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423FA">
      <w:pPr>
        <w:kinsoku/>
        <w:wordWrap/>
        <w:overflowPunct/>
        <w:topLinePunct w:val="0"/>
        <w:bidi w:val="0"/>
        <w:spacing w:line="360" w:lineRule="auto"/>
        <w:jc w:val="center"/>
        <w:outlineLvl w:val="9"/>
        <w:rPr>
          <w:rFonts w:ascii="宋体" w:hAnsi="宋体" w:cs="宋体"/>
          <w:b/>
          <w:color w:val="auto"/>
          <w:sz w:val="24"/>
          <w:highlight w:val="none"/>
        </w:rPr>
      </w:pPr>
    </w:p>
    <w:p w14:paraId="0388E26F">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6DFD3ADB">
      <w:pPr>
        <w:kinsoku/>
        <w:wordWrap/>
        <w:overflowPunct/>
        <w:topLinePunct w:val="0"/>
        <w:bidi w:val="0"/>
        <w:outlineLvl w:val="9"/>
        <w:rPr>
          <w:color w:val="auto"/>
          <w:highlight w:val="none"/>
        </w:rPr>
      </w:pPr>
    </w:p>
    <w:p w14:paraId="6BED8E44">
      <w:pPr>
        <w:kinsoku/>
        <w:wordWrap/>
        <w:overflowPunct/>
        <w:topLinePunct w:val="0"/>
        <w:bidi w:val="0"/>
        <w:adjustRightInd/>
        <w:spacing w:line="360" w:lineRule="auto"/>
        <w:jc w:val="center"/>
        <w:outlineLvl w:val="9"/>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F5D58C2">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44095F5">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48ACABFF">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21C9B43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 xml:space="preserve">：CBZJ-20246274G </w:t>
      </w:r>
      <w:r>
        <w:rPr>
          <w:rFonts w:hint="eastAsia" w:ascii="宋体" w:hAnsi="宋体" w:cs="宋体"/>
          <w:color w:val="auto"/>
          <w:sz w:val="30"/>
          <w:szCs w:val="30"/>
          <w:highlight w:val="none"/>
        </w:rPr>
        <w:t xml:space="preserve">  </w:t>
      </w:r>
    </w:p>
    <w:p w14:paraId="0FE7C9FF">
      <w:pPr>
        <w:kinsoku/>
        <w:wordWrap/>
        <w:overflowPunct/>
        <w:topLinePunct w:val="0"/>
        <w:bidi w:val="0"/>
        <w:snapToGrid w:val="0"/>
        <w:spacing w:line="360" w:lineRule="auto"/>
        <w:jc w:val="left"/>
        <w:outlineLvl w:val="9"/>
        <w:rPr>
          <w:rFonts w:ascii="宋体" w:hAnsi="宋体" w:cs="宋体"/>
          <w:color w:val="auto"/>
          <w:sz w:val="30"/>
          <w:szCs w:val="30"/>
          <w:highlight w:val="none"/>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val="en-US" w:eastAsia="zh-CN"/>
        </w:rPr>
        <w:t>宁海县西店镇卫生院外送病理服务项目</w:t>
      </w:r>
    </w:p>
    <w:p w14:paraId="16A86D69">
      <w:pPr>
        <w:kinsoku/>
        <w:wordWrap/>
        <w:overflowPunct/>
        <w:topLinePunct w:val="0"/>
        <w:bidi w:val="0"/>
        <w:adjustRightInd/>
        <w:spacing w:line="360" w:lineRule="auto"/>
        <w:outlineLvl w:val="9"/>
        <w:rPr>
          <w:rFonts w:ascii="宋体" w:hAnsi="宋体" w:cs="宋体"/>
          <w:color w:val="auto"/>
          <w:sz w:val="28"/>
          <w:szCs w:val="20"/>
          <w:highlight w:val="none"/>
        </w:rPr>
      </w:pPr>
    </w:p>
    <w:p w14:paraId="69E6A78B">
      <w:pPr>
        <w:kinsoku/>
        <w:wordWrap/>
        <w:overflowPunct/>
        <w:topLinePunct w:val="0"/>
        <w:bidi w:val="0"/>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6586F96">
      <w:pPr>
        <w:tabs>
          <w:tab w:val="left" w:pos="2503"/>
        </w:tabs>
        <w:kinsoku/>
        <w:wordWrap/>
        <w:overflowPunct/>
        <w:topLinePunct w:val="0"/>
        <w:bidi w:val="0"/>
        <w:spacing w:line="360" w:lineRule="auto"/>
        <w:jc w:val="left"/>
        <w:outlineLvl w:val="9"/>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ab/>
      </w:r>
    </w:p>
    <w:p w14:paraId="30C41C99">
      <w:pPr>
        <w:kinsoku/>
        <w:wordWrap/>
        <w:overflowPunct/>
        <w:topLinePunct w:val="0"/>
        <w:bidi w:val="0"/>
        <w:spacing w:line="360" w:lineRule="auto"/>
        <w:jc w:val="center"/>
        <w:outlineLvl w:val="9"/>
        <w:rPr>
          <w:rFonts w:ascii="宋体" w:hAnsi="宋体" w:cs="宋体"/>
          <w:color w:val="auto"/>
          <w:sz w:val="24"/>
          <w:highlight w:val="none"/>
        </w:rPr>
      </w:pPr>
    </w:p>
    <w:p w14:paraId="3EE0801D">
      <w:pPr>
        <w:kinsoku/>
        <w:wordWrap/>
        <w:overflowPunct/>
        <w:topLinePunct w:val="0"/>
        <w:bidi w:val="0"/>
        <w:spacing w:line="360" w:lineRule="auto"/>
        <w:outlineLvl w:val="9"/>
        <w:rPr>
          <w:rFonts w:ascii="宋体" w:hAnsi="宋体" w:cs="宋体"/>
          <w:color w:val="auto"/>
          <w:sz w:val="32"/>
          <w:szCs w:val="32"/>
          <w:highlight w:val="none"/>
        </w:rPr>
      </w:pPr>
    </w:p>
    <w:p w14:paraId="1A00EA2D">
      <w:pPr>
        <w:kinsoku/>
        <w:wordWrap/>
        <w:overflowPunct/>
        <w:topLinePunct w:val="0"/>
        <w:bidi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宁海县西店镇卫生院</w:t>
      </w:r>
    </w:p>
    <w:p w14:paraId="543EACA9">
      <w:pPr>
        <w:kinsoku/>
        <w:wordWrap/>
        <w:overflowPunct/>
        <w:topLinePunct w:val="0"/>
        <w:bidi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浙江中基正采管理咨询有限公司</w:t>
      </w:r>
    </w:p>
    <w:p w14:paraId="0A971BD2">
      <w:pPr>
        <w:pStyle w:val="81"/>
        <w:rPr>
          <w:rFonts w:hint="eastAsia" w:ascii="宋体" w:hAnsi="宋体" w:cs="宋体"/>
          <w:bCs/>
          <w:color w:val="auto"/>
          <w:sz w:val="32"/>
          <w:szCs w:val="32"/>
          <w:highlight w:val="none"/>
        </w:rPr>
      </w:pPr>
    </w:p>
    <w:p w14:paraId="51869745">
      <w:pPr>
        <w:rPr>
          <w:rFonts w:hint="eastAsia" w:ascii="宋体" w:hAnsi="宋体" w:cs="宋体"/>
          <w:bCs/>
          <w:color w:val="auto"/>
          <w:sz w:val="32"/>
          <w:szCs w:val="32"/>
          <w:highlight w:val="none"/>
        </w:rPr>
      </w:pPr>
    </w:p>
    <w:p w14:paraId="2E89FA65">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p>
    <w:p w14:paraId="4E519A1A">
      <w:pPr>
        <w:rPr>
          <w:rFonts w:hint="eastAsia" w:ascii="宋体" w:hAnsi="宋体" w:cs="宋体"/>
          <w:color w:val="auto"/>
          <w:sz w:val="24"/>
          <w:highlight w:val="none"/>
        </w:rPr>
      </w:pPr>
      <w:r>
        <w:rPr>
          <w:rFonts w:hint="eastAsia" w:ascii="宋体" w:hAnsi="宋体" w:cs="宋体"/>
          <w:color w:val="auto"/>
          <w:sz w:val="24"/>
          <w:highlight w:val="none"/>
        </w:rPr>
        <w:br w:type="page"/>
      </w:r>
    </w:p>
    <w:p w14:paraId="04C8BEA4">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47B7655">
      <w:pPr>
        <w:kinsoku/>
        <w:wordWrap/>
        <w:overflowPunct/>
        <w:topLinePunct w:val="0"/>
        <w:bidi w:val="0"/>
        <w:spacing w:line="360" w:lineRule="auto"/>
        <w:jc w:val="center"/>
        <w:outlineLvl w:val="9"/>
        <w:rPr>
          <w:rFonts w:ascii="宋体" w:hAnsi="宋体" w:cs="宋体"/>
          <w:color w:val="auto"/>
          <w:sz w:val="24"/>
          <w:highlight w:val="none"/>
        </w:rPr>
      </w:pPr>
    </w:p>
    <w:p w14:paraId="083C6F54">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414FA874">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351F5BB4">
          <w:pPr>
            <w:spacing w:before="0" w:beforeLines="0" w:after="0" w:afterLines="0" w:line="240" w:lineRule="auto"/>
            <w:ind w:left="0" w:leftChars="0" w:right="0" w:rightChars="0" w:firstLine="0" w:firstLineChars="0"/>
            <w:jc w:val="center"/>
            <w:rPr>
              <w:color w:val="auto"/>
              <w:highlight w:val="none"/>
            </w:rPr>
          </w:pPr>
        </w:p>
        <w:p w14:paraId="1EE54F0D">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EDDD51D">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86CAD73">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BEF9E6D">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F992FE1">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C27DB40">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9DC02C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10241488">
      <w:pPr>
        <w:kinsoku/>
        <w:wordWrap/>
        <w:overflowPunct/>
        <w:topLinePunct w:val="0"/>
        <w:bidi w:val="0"/>
        <w:spacing w:line="360" w:lineRule="auto"/>
        <w:outlineLvl w:val="9"/>
        <w:rPr>
          <w:rFonts w:ascii="宋体" w:hAnsi="宋体" w:cs="宋体"/>
          <w:color w:val="auto"/>
          <w:sz w:val="32"/>
          <w:szCs w:val="32"/>
          <w:highlight w:val="none"/>
        </w:rPr>
      </w:pPr>
    </w:p>
    <w:p w14:paraId="0910D275">
      <w:pPr>
        <w:kinsoku/>
        <w:wordWrap/>
        <w:overflowPunct/>
        <w:topLinePunct w:val="0"/>
        <w:bidi w:val="0"/>
        <w:spacing w:line="360" w:lineRule="auto"/>
        <w:outlineLvl w:val="9"/>
        <w:rPr>
          <w:rFonts w:ascii="宋体" w:hAnsi="宋体" w:cs="宋体"/>
          <w:color w:val="auto"/>
          <w:sz w:val="32"/>
          <w:szCs w:val="32"/>
          <w:highlight w:val="none"/>
        </w:rPr>
      </w:pPr>
    </w:p>
    <w:p w14:paraId="35CA7FAF">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1C1BE8DB">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46FEE80">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9F986B8">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9816ED2">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75014F6">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8A3F30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F4FCBB6">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ED9D9F8">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4B45407">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FA95E21">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C7B7C31">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3EBCB2B">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C28933E">
      <w:pPr>
        <w:kinsoku/>
        <w:wordWrap/>
        <w:overflowPunct/>
        <w:topLinePunct w:val="0"/>
        <w:bidi w:val="0"/>
        <w:spacing w:line="360" w:lineRule="auto"/>
        <w:outlineLvl w:val="9"/>
        <w:rPr>
          <w:rFonts w:ascii="宋体" w:hAnsi="宋体" w:cs="宋体"/>
          <w:color w:val="auto"/>
          <w:sz w:val="24"/>
          <w:highlight w:val="none"/>
        </w:rPr>
      </w:pPr>
    </w:p>
    <w:bookmarkEnd w:id="2"/>
    <w:p w14:paraId="43BEA8EC">
      <w:pPr>
        <w:rPr>
          <w:rFonts w:hint="eastAsia" w:ascii="宋体" w:hAnsi="宋体" w:cs="宋体"/>
          <w:b/>
          <w:color w:val="auto"/>
          <w:sz w:val="36"/>
          <w:szCs w:val="20"/>
          <w:highlight w:val="none"/>
        </w:r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24038010">
      <w:pPr>
        <w:rPr>
          <w:rFonts w:hint="eastAsia"/>
          <w:color w:val="auto"/>
          <w:highlight w:val="none"/>
        </w:rPr>
      </w:pPr>
      <w:r>
        <w:rPr>
          <w:rFonts w:hint="eastAsia"/>
          <w:color w:val="auto"/>
          <w:highlight w:val="none"/>
        </w:rPr>
        <w:br w:type="page"/>
      </w:r>
    </w:p>
    <w:p w14:paraId="4C8F734C">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51798128">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377AD55C">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26DB959">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val="en-US" w:eastAsia="zh-CN"/>
        </w:rPr>
        <w:t>宁海县西店镇卫生院外送病理服务项目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 xml:space="preserve">  </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 xml:space="preserve">  </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13</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66D081EB">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BF74AE9">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CBZJ-20246274G</w:t>
      </w:r>
    </w:p>
    <w:p w14:paraId="33D79C62">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宁海县西店镇卫生院外送病理服务项目</w:t>
      </w:r>
    </w:p>
    <w:p w14:paraId="0FCB0FFC">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2100000.00</w:t>
      </w:r>
    </w:p>
    <w:p w14:paraId="6719FAD7">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2100000.00</w:t>
      </w:r>
    </w:p>
    <w:p w14:paraId="1B27B07A">
      <w:pPr>
        <w:pStyle w:val="6"/>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14:paraId="474650EF">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eastAsia="zh-CN"/>
        </w:rPr>
        <w:t>外送病理服务</w:t>
      </w:r>
    </w:p>
    <w:p w14:paraId="22447A68">
      <w:pPr>
        <w:shd w:val="clear"/>
        <w:spacing w:line="360" w:lineRule="auto"/>
        <w:ind w:leftChars="100" w:firstLine="480"/>
        <w:rPr>
          <w:rFonts w:hint="default"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1项</w:t>
      </w:r>
    </w:p>
    <w:p w14:paraId="713F5AB1">
      <w:pPr>
        <w:shd w:val="clear"/>
        <w:spacing w:line="360" w:lineRule="auto"/>
        <w:ind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color w:val="auto"/>
          <w:sz w:val="24"/>
          <w:highlight w:val="none"/>
          <w:lang w:val="en-US" w:eastAsia="zh-CN"/>
        </w:rPr>
        <w:t>2100000.00</w:t>
      </w:r>
    </w:p>
    <w:p w14:paraId="2F2F9284">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cs="宋体"/>
          <w:snapToGrid w:val="0"/>
          <w:color w:val="auto"/>
          <w:kern w:val="28"/>
          <w:sz w:val="24"/>
          <w:szCs w:val="20"/>
          <w:highlight w:val="none"/>
          <w:lang w:val="en-US" w:eastAsia="zh-CN"/>
        </w:rPr>
        <w:t>转运标本种类：病理组织标本等，具体以招标文件第三部分采购需求为准，供应商可点击本公告下方“浏览采购文件”查看采购需求</w:t>
      </w:r>
      <w:r>
        <w:rPr>
          <w:rFonts w:hint="eastAsia" w:ascii="宋体" w:hAnsi="宋体" w:eastAsia="宋体" w:cs="宋体"/>
          <w:snapToGrid w:val="0"/>
          <w:color w:val="auto"/>
          <w:kern w:val="28"/>
          <w:sz w:val="24"/>
          <w:szCs w:val="20"/>
          <w:highlight w:val="none"/>
        </w:rPr>
        <w:t>。</w:t>
      </w:r>
    </w:p>
    <w:p w14:paraId="7C40D157">
      <w:pPr>
        <w:shd w:val="clear"/>
        <w:spacing w:line="360" w:lineRule="auto"/>
        <w:ind w:leftChars="100"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备注：</w:t>
      </w:r>
      <w:r>
        <w:rPr>
          <w:rFonts w:hint="eastAsia" w:ascii="宋体" w:hAnsi="宋体" w:cs="宋体"/>
          <w:snapToGrid w:val="0"/>
          <w:color w:val="auto"/>
          <w:kern w:val="28"/>
          <w:sz w:val="24"/>
          <w:szCs w:val="20"/>
          <w:highlight w:val="none"/>
          <w:lang w:val="en-US" w:eastAsia="zh-CN"/>
        </w:rPr>
        <w:t>1)年度最高限价700000.00元/年；2）组成联合体的家数（含联合体牵头人）不超过2家</w:t>
      </w:r>
      <w:r>
        <w:rPr>
          <w:rFonts w:hint="eastAsia" w:ascii="宋体" w:hAnsi="宋体" w:eastAsia="宋体" w:cs="宋体"/>
          <w:snapToGrid w:val="0"/>
          <w:color w:val="auto"/>
          <w:kern w:val="28"/>
          <w:sz w:val="24"/>
          <w:szCs w:val="20"/>
          <w:highlight w:val="none"/>
          <w:lang w:val="en-US" w:eastAsia="zh-CN"/>
        </w:rPr>
        <w:t>。</w:t>
      </w:r>
    </w:p>
    <w:p w14:paraId="44961E90">
      <w:pPr>
        <w:pStyle w:val="137"/>
        <w:keepNext w:val="0"/>
        <w:keepLines w:val="0"/>
        <w:pageBreakBefore w:val="0"/>
        <w:kinsoku/>
        <w:wordWrap/>
        <w:overflowPunct/>
        <w:topLinePunct w:val="0"/>
        <w:autoSpaceDE/>
        <w:autoSpaceDN/>
        <w:bidi w:val="0"/>
        <w:spacing w:before="0" w:line="336" w:lineRule="auto"/>
        <w:ind w:firstLine="482"/>
        <w:textAlignment w:val="auto"/>
        <w:outlineLvl w:val="9"/>
        <w:rPr>
          <w:rFonts w:hint="eastAsia" w:ascii="宋体" w:hAnsi="宋体" w:eastAsia="宋体" w:cs="宋体"/>
          <w:color w:val="auto"/>
          <w:szCs w:val="21"/>
          <w:highlight w:val="none"/>
          <w:lang w:val="en-US" w:eastAsia="zh-CN"/>
        </w:rPr>
      </w:pPr>
      <w:r>
        <w:rPr>
          <w:rFonts w:hint="eastAsia" w:ascii="宋体" w:hAnsi="宋体" w:cs="宋体"/>
          <w:b/>
          <w:color w:val="auto"/>
          <w:highlight w:val="none"/>
        </w:rPr>
        <w:t>合同履约期限：</w:t>
      </w:r>
      <w:r>
        <w:rPr>
          <w:rFonts w:hint="eastAsia" w:ascii="宋体" w:hAnsi="宋体" w:cs="宋体"/>
          <w:color w:val="auto"/>
          <w:szCs w:val="21"/>
          <w:highlight w:val="none"/>
          <w:lang w:val="en-US" w:eastAsia="zh-CN"/>
        </w:rPr>
        <w:t>本项目服务期三年，合同一年一签。根据中标人在合同履约期内按照履约、考核等情况决定是否续签。</w:t>
      </w:r>
    </w:p>
    <w:p w14:paraId="7C3AEF42">
      <w:pPr>
        <w:pStyle w:val="6"/>
        <w:keepNext w:val="0"/>
        <w:keepLines w:val="0"/>
        <w:pageBreakBefore w:val="0"/>
        <w:kinsoku/>
        <w:wordWrap/>
        <w:overflowPunct/>
        <w:topLinePunct w:val="0"/>
        <w:autoSpaceDE/>
        <w:autoSpaceDN/>
        <w:bidi w:val="0"/>
        <w:spacing w:line="336" w:lineRule="auto"/>
        <w:ind w:firstLine="48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059CAEA">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7DE975BE">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6303CB6F">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p>
    <w:p w14:paraId="4A802755">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14:paraId="020BF8AC">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1351299D">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AAD1970">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14:paraId="60AF9237">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服务</w:t>
      </w:r>
      <w:r>
        <w:rPr>
          <w:rFonts w:hint="eastAsia" w:ascii="宋体" w:hAnsi="宋体" w:cs="宋体"/>
          <w:color w:val="auto"/>
          <w:sz w:val="24"/>
          <w:highlight w:val="none"/>
        </w:rPr>
        <w:t>全部由符合政策要求的小微企业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14:paraId="36DE6504">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65C1B1A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5F48306">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eastAsia="宋体" w:cs="Times New Roman"/>
          <w:color w:val="auto"/>
          <w:kern w:val="0"/>
          <w:sz w:val="24"/>
          <w:szCs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eastAsia="宋体" w:cs="Times New Roman"/>
          <w:color w:val="auto"/>
          <w:kern w:val="0"/>
          <w:sz w:val="24"/>
          <w:szCs w:val="24"/>
          <w:highlight w:val="none"/>
          <w:lang w:eastAsia="zh-CN"/>
        </w:rPr>
        <w:t>；</w:t>
      </w:r>
    </w:p>
    <w:p w14:paraId="2C6F8412">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将依法取消其中标资格）。</w:t>
      </w:r>
    </w:p>
    <w:p w14:paraId="3611CF62">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E5E0481">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6B2C5DEA">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9DB4CE0">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14:paraId="1B09EFFB">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58EB161F">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2B4DEC4">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649F0D1">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26DBB68E">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6E708F98">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28E17712">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F48ACB1">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8D5383F">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4939295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D745537">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22611F">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730B8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33B20E6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0C597BF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45042394">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D6307C5">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lang w:val="en-US" w:eastAsia="zh-CN"/>
        </w:rPr>
        <w:br w:type="textWrapping"/>
      </w:r>
      <w:r>
        <w:rPr>
          <w:rFonts w:hint="eastAsia" w:cs="宋体" w:asciiTheme="minorEastAsia" w:hAnsiTheme="minorEastAsia" w:eastAsiaTheme="minorEastAsia"/>
          <w:color w:val="auto"/>
          <w:sz w:val="24"/>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D5FB464">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AE132F7">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13FD932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称：宁海县西店镇卫生院</w:t>
      </w:r>
    </w:p>
    <w:p w14:paraId="37A2AFE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址：浙江省宁海县西店镇振兴南路299号</w:t>
      </w:r>
    </w:p>
    <w:p w14:paraId="5E98E94D">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w:t>
      </w:r>
    </w:p>
    <w:p w14:paraId="3E7522C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项目联系人（询问）：陈老师</w:t>
      </w:r>
    </w:p>
    <w:p w14:paraId="758BDC4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项目联系方式（询问）：0574-67056796</w:t>
      </w:r>
    </w:p>
    <w:p w14:paraId="084F79F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质疑联系人：王老师</w:t>
      </w:r>
    </w:p>
    <w:p w14:paraId="490101B3">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质疑联系方式：0574-67056712</w:t>
      </w:r>
    </w:p>
    <w:p w14:paraId="0351E54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14:paraId="2ED18EE0">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称：浙江中基正采管理咨询有限公司</w:t>
      </w:r>
    </w:p>
    <w:p w14:paraId="18AC0D54">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14:paraId="14447C8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真：0574-87425373</w:t>
      </w:r>
    </w:p>
    <w:p w14:paraId="17280A6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项目联系人（询问）：朱贤东</w:t>
      </w:r>
    </w:p>
    <w:p w14:paraId="606F4CC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项目联系方式（询问）：0574-87425380</w:t>
      </w:r>
    </w:p>
    <w:p w14:paraId="5F904F6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质疑联系人：王近娜</w:t>
      </w:r>
    </w:p>
    <w:p w14:paraId="189A031D">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质疑联系方式：0574-87425570</w:t>
      </w:r>
    </w:p>
    <w:p w14:paraId="52FB84D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14:paraId="0212CF3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称：宁海县政府采购管理办公室             </w:t>
      </w:r>
    </w:p>
    <w:p w14:paraId="480F43CD">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址：宁海县跃龙街道桃源中路218号            </w:t>
      </w:r>
    </w:p>
    <w:p w14:paraId="4D3B9220">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真：0574-65265612            </w:t>
      </w:r>
    </w:p>
    <w:p w14:paraId="7045715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联系人：王老师             </w:t>
      </w:r>
    </w:p>
    <w:p w14:paraId="0C67359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投诉电话：0574-65265668 </w:t>
      </w:r>
    </w:p>
    <w:p w14:paraId="3BF7154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rPr>
      </w:pPr>
    </w:p>
    <w:p w14:paraId="1363A2DB">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14:paraId="6EE4949F">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7947862">
      <w:pPr>
        <w:pStyle w:val="33"/>
        <w:kinsoku/>
        <w:wordWrap/>
        <w:overflowPunct/>
        <w:topLinePunct w:val="0"/>
        <w:bidi w:val="0"/>
        <w:spacing w:line="360" w:lineRule="auto"/>
        <w:outlineLvl w:val="9"/>
        <w:rPr>
          <w:rFonts w:hAnsi="宋体" w:cs="宋体"/>
          <w:b/>
          <w:color w:val="auto"/>
          <w:sz w:val="36"/>
          <w:szCs w:val="20"/>
          <w:highlight w:val="none"/>
        </w:rPr>
      </w:pPr>
    </w:p>
    <w:p w14:paraId="637C8ADC">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14:paraId="740A9EAA">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14:paraId="1A3FC9C6">
      <w:pPr>
        <w:kinsoku/>
        <w:wordWrap/>
        <w:overflowPunct/>
        <w:topLinePunct w:val="0"/>
        <w:bidi w:val="0"/>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799"/>
        <w:gridCol w:w="5640"/>
      </w:tblGrid>
      <w:tr w14:paraId="3112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7B0B38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799" w:type="dxa"/>
            <w:vAlign w:val="center"/>
          </w:tcPr>
          <w:p w14:paraId="45D692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5640" w:type="dxa"/>
            <w:vAlign w:val="center"/>
          </w:tcPr>
          <w:p w14:paraId="78E057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49C4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7B8194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2799" w:type="dxa"/>
            <w:vAlign w:val="center"/>
          </w:tcPr>
          <w:p w14:paraId="24A00E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w:t>
            </w:r>
          </w:p>
        </w:tc>
        <w:tc>
          <w:tcPr>
            <w:tcW w:w="5640" w:type="dxa"/>
            <w:vAlign w:val="center"/>
          </w:tcPr>
          <w:p w14:paraId="1D72F5E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lang w:val="en-US" w:eastAsia="zh-CN"/>
              </w:rPr>
              <w:t>服务类</w:t>
            </w:r>
            <w:r>
              <w:rPr>
                <w:rFonts w:hint="eastAsia" w:ascii="宋体" w:hAnsi="宋体" w:cs="宋体"/>
                <w:color w:val="auto"/>
                <w:sz w:val="24"/>
                <w:highlight w:val="none"/>
              </w:rPr>
              <w:t>。</w:t>
            </w:r>
          </w:p>
        </w:tc>
      </w:tr>
      <w:tr w14:paraId="6AED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01E5B4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2799" w:type="dxa"/>
            <w:vAlign w:val="center"/>
          </w:tcPr>
          <w:p w14:paraId="255609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640" w:type="dxa"/>
            <w:vAlign w:val="center"/>
          </w:tcPr>
          <w:p w14:paraId="27C02F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外送病理服务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eastAsia="zh-CN"/>
              </w:rPr>
              <w:br w:type="textWrapping"/>
            </w:r>
            <w:r>
              <w:rPr>
                <w:rFonts w:hint="eastAsia" w:ascii="宋体" w:hAnsi="宋体" w:cs="宋体"/>
                <w:color w:val="auto"/>
                <w:kern w:val="0"/>
                <w:sz w:val="24"/>
                <w:highlight w:val="none"/>
                <w:u w:val="none"/>
                <w:lang w:val="en-US" w:eastAsia="zh-CN"/>
              </w:rPr>
              <w:t>本项目非</w:t>
            </w:r>
            <w:r>
              <w:rPr>
                <w:rFonts w:hint="eastAsia" w:ascii="宋体" w:hAnsi="宋体" w:cs="宋体"/>
                <w:color w:val="auto"/>
                <w:kern w:val="0"/>
                <w:sz w:val="24"/>
                <w:highlight w:val="none"/>
                <w:u w:val="none"/>
                <w:lang w:eastAsia="zh-CN"/>
              </w:rPr>
              <w:t>专门面向中小企业。</w:t>
            </w:r>
          </w:p>
        </w:tc>
      </w:tr>
      <w:tr w14:paraId="5B2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4672B2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2799" w:type="dxa"/>
            <w:vAlign w:val="center"/>
          </w:tcPr>
          <w:p w14:paraId="5EB48B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640" w:type="dxa"/>
            <w:vAlign w:val="center"/>
          </w:tcPr>
          <w:p w14:paraId="13747B1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34FF655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989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641F19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2799" w:type="dxa"/>
            <w:vAlign w:val="center"/>
          </w:tcPr>
          <w:p w14:paraId="581460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5640" w:type="dxa"/>
            <w:vAlign w:val="center"/>
          </w:tcPr>
          <w:p w14:paraId="53AE2F2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0D679D6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18D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3F2821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5</w:t>
            </w:r>
          </w:p>
        </w:tc>
        <w:tc>
          <w:tcPr>
            <w:tcW w:w="2799" w:type="dxa"/>
            <w:vAlign w:val="center"/>
          </w:tcPr>
          <w:p w14:paraId="62BA8A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640" w:type="dxa"/>
            <w:vAlign w:val="center"/>
          </w:tcPr>
          <w:p w14:paraId="6F0D456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EABBAD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4AC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66A326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6</w:t>
            </w:r>
          </w:p>
        </w:tc>
        <w:tc>
          <w:tcPr>
            <w:tcW w:w="2799" w:type="dxa"/>
            <w:vAlign w:val="center"/>
          </w:tcPr>
          <w:p w14:paraId="03F554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5640" w:type="dxa"/>
            <w:vAlign w:val="center"/>
          </w:tcPr>
          <w:p w14:paraId="3705BCE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6DCA2C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19EBFD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7E783E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0B09EB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7668F1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2CC47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63FFFEC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FAF5D4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31A7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2703F5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7</w:t>
            </w:r>
          </w:p>
        </w:tc>
        <w:tc>
          <w:tcPr>
            <w:tcW w:w="2799" w:type="dxa"/>
            <w:vAlign w:val="center"/>
          </w:tcPr>
          <w:p w14:paraId="4498F0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5640" w:type="dxa"/>
            <w:vAlign w:val="center"/>
          </w:tcPr>
          <w:p w14:paraId="45DB859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A0AD4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758A0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6F242D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8635E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14:paraId="479E07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0D451B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22CC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14:paraId="3BD0EA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8</w:t>
            </w:r>
          </w:p>
        </w:tc>
        <w:tc>
          <w:tcPr>
            <w:tcW w:w="2799" w:type="dxa"/>
            <w:vMerge w:val="restart"/>
            <w:vAlign w:val="center"/>
          </w:tcPr>
          <w:p w14:paraId="752DF4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5640" w:type="dxa"/>
            <w:vAlign w:val="center"/>
          </w:tcPr>
          <w:p w14:paraId="76BEBD2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ACBB78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2510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vAlign w:val="center"/>
          </w:tcPr>
          <w:p w14:paraId="3A0A53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p>
        </w:tc>
        <w:tc>
          <w:tcPr>
            <w:tcW w:w="2799" w:type="dxa"/>
            <w:vMerge w:val="continue"/>
            <w:vAlign w:val="center"/>
          </w:tcPr>
          <w:p w14:paraId="4CA5C8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640" w:type="dxa"/>
            <w:vAlign w:val="center"/>
          </w:tcPr>
          <w:p w14:paraId="30D8848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224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527813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9</w:t>
            </w:r>
          </w:p>
        </w:tc>
        <w:tc>
          <w:tcPr>
            <w:tcW w:w="2799" w:type="dxa"/>
            <w:vAlign w:val="center"/>
          </w:tcPr>
          <w:p w14:paraId="16249D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640" w:type="dxa"/>
            <w:vAlign w:val="center"/>
          </w:tcPr>
          <w:p w14:paraId="71F1EF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100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42C306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10</w:t>
            </w:r>
          </w:p>
        </w:tc>
        <w:tc>
          <w:tcPr>
            <w:tcW w:w="2799" w:type="dxa"/>
            <w:vAlign w:val="center"/>
          </w:tcPr>
          <w:p w14:paraId="127320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5640" w:type="dxa"/>
            <w:vAlign w:val="center"/>
          </w:tcPr>
          <w:p w14:paraId="1A3CDF5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0" w:firstLineChars="100"/>
              <w:textAlignment w:val="auto"/>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投标文件开标一览表（报价表）是报价的唯一载体，如供应商在政府采购云平台填写的投标报价与投标文件报价文件中开标一览表（报价表）不一致的，以报价文件中开标一览表（报价表）为准。</w:t>
            </w:r>
          </w:p>
          <w:p w14:paraId="1F67797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0" w:firstLineChars="100"/>
              <w:textAlignment w:val="auto"/>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本项目投标报价包含不局限于以下内容：人员费、设备费、检测材料费、样本运输费、检验费、报告出具费、标本储藏费、平台及系统接入费、管理费、其他费用、上述部分的税金、招标代理服务费等全部费用。</w:t>
            </w:r>
          </w:p>
          <w:p w14:paraId="41B80BD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1）报价包括完成本项目服务所发生的全部费用以及供应商利润、税金及合同包含的所有风险、责任等各项应有费用。</w:t>
            </w:r>
          </w:p>
          <w:p w14:paraId="79BEEFE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2）本项目采用投标折扣系数进行报价（以“</w:t>
            </w:r>
            <w:r>
              <w:rPr>
                <w:rFonts w:hint="eastAsia" w:ascii="宋体" w:hAnsi="宋体" w:cs="宋体"/>
                <w:b/>
                <w:bCs/>
                <w:color w:val="auto"/>
                <w:kern w:val="0"/>
                <w:sz w:val="24"/>
                <w:highlight w:val="none"/>
                <w:lang w:val="en-US" w:eastAsia="zh-CN"/>
              </w:rPr>
              <w:t>宁波市</w:t>
            </w:r>
            <w:r>
              <w:rPr>
                <w:rFonts w:hint="eastAsia" w:ascii="宋体" w:hAnsi="宋体" w:cs="宋体"/>
                <w:b/>
                <w:bCs/>
                <w:color w:val="auto"/>
                <w:kern w:val="0"/>
                <w:sz w:val="24"/>
                <w:highlight w:val="none"/>
                <w:lang w:val="zh-CN"/>
              </w:rPr>
              <w:t>医疗服务价格”为基准，清单内所有检测项目投标折扣系数应相同。）</w:t>
            </w:r>
          </w:p>
          <w:p w14:paraId="11700DA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3）常规检验项目最高限价：投标折扣系数最高限价为</w:t>
            </w:r>
            <w:r>
              <w:rPr>
                <w:rFonts w:hint="eastAsia" w:ascii="宋体" w:hAnsi="宋体" w:cs="宋体"/>
                <w:b/>
                <w:bCs/>
                <w:color w:val="auto"/>
                <w:kern w:val="0"/>
                <w:sz w:val="24"/>
                <w:highlight w:val="none"/>
                <w:lang w:val="en-US" w:eastAsia="zh-CN"/>
              </w:rPr>
              <w:t>35</w:t>
            </w:r>
            <w:r>
              <w:rPr>
                <w:rFonts w:hint="eastAsia" w:ascii="宋体" w:hAnsi="宋体" w:cs="宋体"/>
                <w:b/>
                <w:bCs/>
                <w:color w:val="auto"/>
                <w:kern w:val="0"/>
                <w:sz w:val="24"/>
                <w:highlight w:val="none"/>
                <w:lang w:val="zh-CN"/>
              </w:rPr>
              <w:t>.00%（含），投标折扣系数超过最高限价的作无效标处理，报价保留两位小数（例：XX.XX%）。</w:t>
            </w:r>
          </w:p>
          <w:p w14:paraId="5A13D14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4）特殊检验项目最高限价：投标折扣系数最高限价为</w:t>
            </w:r>
            <w:r>
              <w:rPr>
                <w:rFonts w:hint="eastAsia" w:ascii="宋体" w:hAnsi="宋体" w:cs="宋体"/>
                <w:b/>
                <w:bCs/>
                <w:color w:val="auto"/>
                <w:kern w:val="0"/>
                <w:sz w:val="24"/>
                <w:highlight w:val="none"/>
                <w:lang w:val="en-US" w:eastAsia="zh-CN"/>
              </w:rPr>
              <w:t>60</w:t>
            </w:r>
            <w:r>
              <w:rPr>
                <w:rFonts w:hint="eastAsia" w:ascii="宋体" w:hAnsi="宋体" w:cs="宋体"/>
                <w:b/>
                <w:bCs/>
                <w:color w:val="auto"/>
                <w:kern w:val="0"/>
                <w:sz w:val="24"/>
                <w:highlight w:val="none"/>
                <w:lang w:val="zh-CN"/>
              </w:rPr>
              <w:t>.00%（含），投标折扣系数超过最高限价的作无效标处理，报价保留两位小数（例：XX.XX%）。</w:t>
            </w:r>
          </w:p>
          <w:p w14:paraId="3259BF3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投标报价出现下列情形的，投标无效：</w:t>
            </w:r>
          </w:p>
          <w:p w14:paraId="005CD38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投标文件出现不是唯一的、有选择性投标报价的；</w:t>
            </w:r>
          </w:p>
          <w:p w14:paraId="0B79821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投标报价超过招标文件中规定的预算金额或者最高限价的；</w:t>
            </w:r>
          </w:p>
          <w:p w14:paraId="081EADB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eastAsia="zh-CN"/>
              </w:rPr>
              <w:t>报价明显低于其他通过符合性审查供应商的报价（低于项目预算50%的），有可能影响产品质量或者不能诚信履约的，未能按要求提供书面说明或者提交相关证明材料，不能证明其报价合理性的；</w:t>
            </w:r>
          </w:p>
          <w:p w14:paraId="39D9CC6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bCs/>
                <w:color w:val="auto"/>
                <w:kern w:val="0"/>
                <w:sz w:val="24"/>
                <w:highlight w:val="none"/>
                <w:lang w:val="zh-CN"/>
              </w:rPr>
              <w:t>供应商对根据修正原则修正后的报价不确认的。</w:t>
            </w:r>
          </w:p>
        </w:tc>
      </w:tr>
      <w:tr w14:paraId="3CBF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133D35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2799" w:type="dxa"/>
            <w:vAlign w:val="center"/>
          </w:tcPr>
          <w:p w14:paraId="63DAA5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5640" w:type="dxa"/>
            <w:vAlign w:val="center"/>
          </w:tcPr>
          <w:p w14:paraId="7E852E2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0" w:firstLineChars="1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1285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54896E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12</w:t>
            </w:r>
          </w:p>
        </w:tc>
        <w:tc>
          <w:tcPr>
            <w:tcW w:w="2799" w:type="dxa"/>
            <w:vAlign w:val="center"/>
          </w:tcPr>
          <w:p w14:paraId="219E40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640" w:type="dxa"/>
            <w:vAlign w:val="center"/>
          </w:tcPr>
          <w:p w14:paraId="30AF7755">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14:paraId="4AC396CA">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宁海县政务服务中心（宁海县桃源街道金水东路5号五楼）</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1934DB7C">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14:paraId="4FE65C88">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3031B503">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拟在2025年  月  日（含）16:00前到件的邮寄地址为：宁波市鄞州区天童南路666号中基大厦19楼业务六部；</w:t>
            </w:r>
          </w:p>
          <w:p w14:paraId="57DC1F1F">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收件人：朱贤东   联系方式：0574-87425380</w:t>
            </w:r>
          </w:p>
          <w:p w14:paraId="0732B84F">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4BF7AB9A">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14:paraId="7BFF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14:paraId="00ABA6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13</w:t>
            </w:r>
          </w:p>
        </w:tc>
        <w:tc>
          <w:tcPr>
            <w:tcW w:w="2799" w:type="dxa"/>
            <w:vMerge w:val="restart"/>
            <w:vAlign w:val="center"/>
          </w:tcPr>
          <w:p w14:paraId="4EFF99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5640" w:type="dxa"/>
            <w:vAlign w:val="center"/>
          </w:tcPr>
          <w:p w14:paraId="3E4250F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8C6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tcPr>
          <w:p w14:paraId="412506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p>
        </w:tc>
        <w:tc>
          <w:tcPr>
            <w:tcW w:w="2799" w:type="dxa"/>
            <w:vMerge w:val="continue"/>
            <w:vAlign w:val="center"/>
          </w:tcPr>
          <w:p w14:paraId="672F4A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640" w:type="dxa"/>
            <w:vAlign w:val="center"/>
          </w:tcPr>
          <w:p w14:paraId="17E2743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345AFF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0B9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14:paraId="297C74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2799" w:type="dxa"/>
            <w:vAlign w:val="center"/>
          </w:tcPr>
          <w:p w14:paraId="5E9C2E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5640" w:type="dxa"/>
            <w:vAlign w:val="center"/>
          </w:tcPr>
          <w:p w14:paraId="11196455">
            <w:pPr>
              <w:pStyle w:val="20"/>
              <w:keepNext w:val="0"/>
              <w:keepLines w:val="0"/>
              <w:suppressLineNumbers w:val="0"/>
              <w:adjustRightInd/>
              <w:spacing w:before="0" w:beforeLines="0" w:beforeAutospacing="0" w:after="0" w:afterLines="0" w:afterAutospacing="0" w:line="300" w:lineRule="auto"/>
              <w:ind w:left="0" w:right="0"/>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w:t>
            </w:r>
            <w:r>
              <w:rPr>
                <w:rFonts w:hint="eastAsia" w:cs="Arial" w:asciiTheme="minorEastAsia" w:hAnsiTheme="minorEastAsia" w:eastAsiaTheme="minorEastAsia"/>
                <w:color w:val="auto"/>
                <w:kern w:val="0"/>
                <w:sz w:val="24"/>
                <w:highlight w:val="none"/>
                <w:lang w:val="en-US" w:eastAsia="zh-CN"/>
              </w:rPr>
              <w:t>参照原国家发改委发改办价格[2003]857号通知和原国家计委计价格[2002]1980号文件，采购代理按下表中服务招标标准（按差额定率累进法计算），根据预算金额，向中标人收取中标服务费。</w:t>
            </w:r>
          </w:p>
          <w:tbl>
            <w:tblPr>
              <w:tblStyle w:val="63"/>
              <w:tblW w:w="5478" w:type="dxa"/>
              <w:jc w:val="center"/>
              <w:tblLayout w:type="fixed"/>
              <w:tblCellMar>
                <w:top w:w="15" w:type="dxa"/>
                <w:left w:w="15" w:type="dxa"/>
                <w:bottom w:w="15" w:type="dxa"/>
                <w:right w:w="15" w:type="dxa"/>
              </w:tblCellMar>
            </w:tblPr>
            <w:tblGrid>
              <w:gridCol w:w="1572"/>
              <w:gridCol w:w="1359"/>
              <w:gridCol w:w="1288"/>
              <w:gridCol w:w="1259"/>
            </w:tblGrid>
            <w:tr w14:paraId="02A85B35">
              <w:tblPrEx>
                <w:tblCellMar>
                  <w:top w:w="15" w:type="dxa"/>
                  <w:left w:w="15" w:type="dxa"/>
                  <w:bottom w:w="15" w:type="dxa"/>
                  <w:right w:w="15" w:type="dxa"/>
                </w:tblCellMar>
              </w:tblPrEx>
              <w:trPr>
                <w:trHeight w:val="774" w:hRule="atLeast"/>
                <w:jc w:val="center"/>
              </w:trPr>
              <w:tc>
                <w:tcPr>
                  <w:tcW w:w="1572"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285D4F09">
                  <w:pPr>
                    <w:keepNext w:val="0"/>
                    <w:keepLines w:val="0"/>
                    <w:widowControl/>
                    <w:suppressLineNumbers w:val="0"/>
                    <w:adjustRightInd/>
                    <w:spacing w:before="0" w:beforeAutospacing="0" w:after="0" w:afterAutospacing="0" w:line="300" w:lineRule="auto"/>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6CF5F35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3CC09CD">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3BA338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FA76F45">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2FA46113">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40EEAE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62A0BC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4BA0AB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6E4A42">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239132B3">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260C18D">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1AAF4B2">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2ADF6D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857ADE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35657F41">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CB60D99">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15092B3">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61F6B9D">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EA51AA2">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5470EB6D">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EF85D9D">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0507CD">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B1E906B">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747342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50A968C2">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0C4F79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181212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37D227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A61046E">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09B3DCF2">
              <w:tblPrEx>
                <w:tblCellMar>
                  <w:top w:w="15" w:type="dxa"/>
                  <w:left w:w="15" w:type="dxa"/>
                  <w:bottom w:w="15" w:type="dxa"/>
                  <w:right w:w="15" w:type="dxa"/>
                </w:tblCellMar>
              </w:tblPrEx>
              <w:trPr>
                <w:trHeight w:val="473"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A811A0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C2A04B3">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6B19D27">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205C3B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536758F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0774ACF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开户银行：宁波银行股份有限公司鄞州中心区支行</w:t>
            </w:r>
          </w:p>
          <w:p w14:paraId="61D5F10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号：30010122001229488</w:t>
            </w:r>
          </w:p>
          <w:p w14:paraId="522CCA4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rPr>
              <w:t>户    名：</w:t>
            </w:r>
            <w:r>
              <w:rPr>
                <w:rFonts w:hint="eastAsia" w:cs="Arial" w:asciiTheme="minorEastAsia" w:hAnsiTheme="minorEastAsia" w:eastAsiaTheme="minorEastAsia"/>
                <w:color w:val="auto"/>
                <w:kern w:val="0"/>
                <w:sz w:val="24"/>
                <w:highlight w:val="none"/>
                <w:lang w:eastAsia="zh-CN"/>
              </w:rPr>
              <w:t>浙江中基正采管理咨询有限公司</w:t>
            </w:r>
          </w:p>
          <w:p w14:paraId="311193E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注：中标人</w:t>
            </w:r>
            <w:r>
              <w:rPr>
                <w:rFonts w:hint="eastAsia" w:cs="Arial" w:asciiTheme="minorEastAsia" w:hAnsiTheme="minorEastAsia" w:eastAsiaTheme="minorEastAsia"/>
                <w:color w:val="auto"/>
                <w:kern w:val="0"/>
                <w:sz w:val="24"/>
                <w:highlight w:val="none"/>
              </w:rPr>
              <w:t>接到本公司通知后5个工作日内向本采购代理机构领取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通知书（根据</w:t>
            </w:r>
            <w:r>
              <w:rPr>
                <w:rFonts w:hint="eastAsia" w:cs="Arial" w:asciiTheme="minorEastAsia" w:hAnsiTheme="minorEastAsia" w:eastAsiaTheme="minorEastAsia"/>
                <w:color w:val="auto"/>
                <w:kern w:val="0"/>
                <w:sz w:val="24"/>
                <w:highlight w:val="none"/>
                <w:lang w:val="en-US" w:eastAsia="zh-CN"/>
              </w:rPr>
              <w:t>中标人</w:t>
            </w:r>
            <w:r>
              <w:rPr>
                <w:rFonts w:hint="eastAsia" w:cs="Arial" w:asciiTheme="minorEastAsia" w:hAnsiTheme="minorEastAsia" w:eastAsiaTheme="minorEastAsia"/>
                <w:color w:val="auto"/>
                <w:kern w:val="0"/>
                <w:sz w:val="24"/>
                <w:highlight w:val="none"/>
              </w:rPr>
              <w:t>需求可采用邮寄或到采购代理机构现场领取）。</w:t>
            </w:r>
          </w:p>
        </w:tc>
      </w:tr>
      <w:bookmarkEnd w:id="9"/>
    </w:tbl>
    <w:p w14:paraId="431132E3">
      <w:pPr>
        <w:kinsoku/>
        <w:wordWrap/>
        <w:overflowPunct/>
        <w:topLinePunct w:val="0"/>
        <w:bidi w:val="0"/>
        <w:outlineLvl w:val="9"/>
        <w:rPr>
          <w:rFonts w:hint="eastAsia"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br w:type="page"/>
      </w:r>
    </w:p>
    <w:p w14:paraId="3CA91497">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E032778">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5AE186B4">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F9A38C7">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112EA7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A5AD46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9CD10B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0E66954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8D481B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14:paraId="48AF7A2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9262DA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82F6FEB">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9C792F9">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C09B033">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35B9D97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p>
    <w:p w14:paraId="5B97424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14:paraId="74D1256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90F1DA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30D4D70E">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5C42409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D5328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6172721">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00A5667B">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D1C1DC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1F1988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3DD160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1B1D6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3F43779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B9EA4EA">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45A93C1">
      <w:pPr>
        <w:keepNext w:val="0"/>
        <w:keepLines w:val="0"/>
        <w:pageBreakBefore w:val="0"/>
        <w:kinsoku/>
        <w:wordWrap/>
        <w:overflowPunct/>
        <w:topLinePunct w:val="0"/>
        <w:bidi w:val="0"/>
        <w:spacing w:line="34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z w:val="24"/>
          <w:highlight w:val="none"/>
          <w:lang w:val="en-US" w:eastAsia="zh-CN"/>
        </w:rPr>
        <w:t>对省级以上主管部门认定的首台套产品，自纳入《省推广应用指导目录》起三年内参加政府采购活动，视同已具备相应销售业绩，业绩分为满分。</w:t>
      </w:r>
    </w:p>
    <w:p w14:paraId="339269BE">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7B9E8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6636A084">
      <w:pPr>
        <w:pStyle w:val="889"/>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14:paraId="7C0F5EF7">
      <w:pPr>
        <w:pStyle w:val="889"/>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E51B4C">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8BFF986">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A52F1B">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05039B5">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9A452FC">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CC883DA">
      <w:pPr>
        <w:pStyle w:val="6"/>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0F25C57">
      <w:pPr>
        <w:pStyle w:val="33"/>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91BD9D6">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AF09995">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9404D37">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79C6105">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337AD25">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5CEFE69">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18B115E">
      <w:pPr>
        <w:pStyle w:val="33"/>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303B3D6">
      <w:pPr>
        <w:pStyle w:val="889"/>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E7979C5">
      <w:pPr>
        <w:pStyle w:val="889"/>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w:t>
      </w:r>
      <w:r>
        <w:rPr>
          <w:rFonts w:hint="eastAsia"/>
          <w:color w:val="auto"/>
          <w:highlight w:val="none"/>
          <w:lang w:val="en-US" w:eastAsia="zh-CN"/>
        </w:rPr>
        <w:t>2</w:t>
      </w:r>
      <w:r>
        <w:rPr>
          <w:rFonts w:hint="eastAsia"/>
          <w:color w:val="auto"/>
          <w:highlight w:val="none"/>
        </w:rPr>
        <w:t>。</w:t>
      </w:r>
    </w:p>
    <w:p w14:paraId="0C9BD4F4">
      <w:pPr>
        <w:pStyle w:val="889"/>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0EA2999D">
      <w:pPr>
        <w:pStyle w:val="889"/>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31A153E">
      <w:pPr>
        <w:pStyle w:val="889"/>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92EA1AF">
      <w:pPr>
        <w:pStyle w:val="889"/>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1D3EE7B1">
      <w:pPr>
        <w:pStyle w:val="889"/>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3A18D86">
      <w:pPr>
        <w:pStyle w:val="889"/>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403DBC3">
      <w:pPr>
        <w:pStyle w:val="889"/>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31E02F5B">
      <w:pPr>
        <w:pStyle w:val="889"/>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04267733">
      <w:pPr>
        <w:pStyle w:val="889"/>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14:paraId="6667B86B">
      <w:pPr>
        <w:pStyle w:val="889"/>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w:t>
      </w:r>
      <w:r>
        <w:rPr>
          <w:rFonts w:hint="eastAsia"/>
          <w:color w:val="auto"/>
          <w:highlight w:val="none"/>
          <w:lang w:val="en-US" w:eastAsia="zh-CN"/>
        </w:rPr>
        <w:t>3</w:t>
      </w:r>
      <w:r>
        <w:rPr>
          <w:rFonts w:hint="eastAsia"/>
          <w:color w:val="auto"/>
          <w:highlight w:val="none"/>
        </w:rPr>
        <w:t>。</w:t>
      </w:r>
    </w:p>
    <w:p w14:paraId="272CDBB1">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200183F">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0DBDD7EA">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B3BA197">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14:paraId="7029FDE2">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p>
    <w:p w14:paraId="493673FE">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3311AEFD">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14:paraId="1A329B44">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30CDAB02">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258699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67383EB">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043DFEC8">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BD49DE7">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632513FF">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771E0C7">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025BBF77">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320F50A">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B9C1421">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1E3C2A94">
      <w:pPr>
        <w:pStyle w:val="33"/>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53A59FBF">
      <w:pPr>
        <w:pStyle w:val="6"/>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33A5E5E4">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78D481CD">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7030196F">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79DB45B5">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10B488BE">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8BF9FE9">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437825D3">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E09ED6">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eastAsia="宋体" w:cs="宋体"/>
          <w:color w:val="auto"/>
          <w:sz w:val="24"/>
          <w:highlight w:val="none"/>
        </w:rPr>
        <w:t>1.1.4本项目的特定资格要求（如果有)</w:t>
      </w:r>
      <w:r>
        <w:rPr>
          <w:rFonts w:hint="eastAsia" w:ascii="宋体" w:hAnsi="宋体" w:cs="宋体"/>
          <w:color w:val="auto"/>
          <w:sz w:val="24"/>
          <w:highlight w:val="none"/>
          <w:lang w:eastAsia="zh-CN"/>
        </w:rPr>
        <w:t>。</w:t>
      </w:r>
    </w:p>
    <w:p w14:paraId="0A25D739">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10AE48D7">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p>
    <w:p w14:paraId="0B8913E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5550560">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BBDC7A8">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8B20DED">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FF4521A">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595CBBD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2B58D940">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6569CE54">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11.3.1开标一览表（报价表）</w:t>
      </w:r>
      <w:r>
        <w:rPr>
          <w:rFonts w:hint="eastAsia" w:ascii="宋体" w:hAnsi="宋体" w:eastAsia="宋体" w:cs="宋体"/>
          <w:color w:val="auto"/>
          <w:sz w:val="24"/>
          <w:highlight w:val="none"/>
          <w:lang w:val="zh-CN" w:eastAsia="zh-CN"/>
        </w:rPr>
        <w:t>；</w:t>
      </w:r>
    </w:p>
    <w:p w14:paraId="03D6757D">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11.3.2中小企业声明函</w:t>
      </w:r>
      <w:r>
        <w:rPr>
          <w:rFonts w:hint="eastAsia" w:ascii="宋体" w:hAnsi="宋体" w:cs="宋体"/>
          <w:color w:val="auto"/>
          <w:sz w:val="24"/>
          <w:highlight w:val="none"/>
          <w:lang w:val="zh-CN"/>
        </w:rPr>
        <w:t>。</w:t>
      </w:r>
    </w:p>
    <w:p w14:paraId="2DBF6004">
      <w:pPr>
        <w:pageBreakBefore w:val="0"/>
        <w:shd w:val="clear"/>
        <w:kinsoku/>
        <w:wordWrap/>
        <w:overflowPunct/>
        <w:topLinePunct w:val="0"/>
        <w:bidi w:val="0"/>
        <w:spacing w:beforeAutospacing="0" w:line="348" w:lineRule="auto"/>
        <w:ind w:firstLine="723" w:firstLineChars="300"/>
        <w:textAlignment w:val="auto"/>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注：供应商可事先在公开官网查询、核对相关证书和报告内容，确保投标（响应）文件资料准确无误。供应商应对投标文件中材料的真实性、合法性负责。</w:t>
      </w:r>
    </w:p>
    <w:p w14:paraId="5786C170">
      <w:pPr>
        <w:pStyle w:val="137"/>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eastAsia="宋体" w:cs="宋体"/>
          <w:b/>
          <w:snapToGrid w:val="0"/>
          <w:color w:val="auto"/>
          <w:kern w:val="2"/>
          <w:sz w:val="24"/>
          <w:szCs w:val="24"/>
          <w:highlight w:val="none"/>
          <w:lang w:val="zh-CN" w:eastAsia="zh-CN" w:bidi="ar-SA"/>
        </w:rPr>
        <w:t xml:space="preserve">. </w:t>
      </w:r>
      <w:r>
        <w:rPr>
          <w:rFonts w:hint="eastAsia" w:ascii="宋体" w:hAnsi="宋体" w:eastAsia="宋体" w:cs="宋体"/>
          <w:b/>
          <w:snapToGrid w:val="0"/>
          <w:color w:val="auto"/>
          <w:kern w:val="2"/>
          <w:sz w:val="24"/>
          <w:szCs w:val="24"/>
          <w:highlight w:val="none"/>
          <w:lang w:val="en-US" w:eastAsia="zh-CN" w:bidi="ar-SA"/>
        </w:rPr>
        <w:t>投标文件的编制</w:t>
      </w:r>
    </w:p>
    <w:p w14:paraId="3814EA7A">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0F522058">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33032EDC">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C2AE607">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2D3AE75">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35747FAE">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66DBE83C">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92B0180">
      <w:pPr>
        <w:pStyle w:val="137"/>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74A00C2">
      <w:pPr>
        <w:pStyle w:val="137"/>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6EB9F1B">
      <w:pPr>
        <w:pStyle w:val="137"/>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B2C1E6A">
      <w:pPr>
        <w:pStyle w:val="137"/>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2A0624DF">
      <w:pPr>
        <w:pStyle w:val="33"/>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335CB669">
      <w:pPr>
        <w:pStyle w:val="33"/>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7B6107A3">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707AA7E">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F94ECEB">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28EE5EF6">
      <w:pPr>
        <w:pStyle w:val="33"/>
        <w:pageBreakBefore w:val="0"/>
        <w:shd w:val="clear"/>
        <w:kinsoku/>
        <w:wordWrap/>
        <w:overflowPunct/>
        <w:topLinePunct w:val="0"/>
        <w:bidi w:val="0"/>
        <w:spacing w:beforeAutospacing="0" w:line="348" w:lineRule="auto"/>
        <w:ind w:firstLine="479" w:firstLineChars="199"/>
        <w:textAlignment w:val="auto"/>
        <w:outlineLvl w:val="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5C0FDEEA">
      <w:pPr>
        <w:pStyle w:val="33"/>
        <w:pageBreakBefore w:val="0"/>
        <w:shd w:val="clear"/>
        <w:kinsoku/>
        <w:wordWrap/>
        <w:overflowPunct/>
        <w:topLinePunct w:val="0"/>
        <w:bidi w:val="0"/>
        <w:spacing w:beforeAutospacing="0" w:line="348" w:lineRule="auto"/>
        <w:ind w:firstLine="479" w:firstLineChars="199"/>
        <w:textAlignment w:val="auto"/>
        <w:outlineLvl w:val="9"/>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★15.6参与同一个标项的供应商存在下列情形之一且无法合理解释的，其投标（响应）文件无效：</w:t>
      </w:r>
    </w:p>
    <w:p w14:paraId="09032CA7">
      <w:pPr>
        <w:pStyle w:val="33"/>
        <w:pageBreakBefore w:val="0"/>
        <w:shd w:val="clear"/>
        <w:kinsoku/>
        <w:wordWrap/>
        <w:overflowPunct/>
        <w:topLinePunct w:val="0"/>
        <w:bidi w:val="0"/>
        <w:spacing w:beforeAutospacing="0" w:line="348" w:lineRule="auto"/>
        <w:ind w:firstLine="479" w:firstLineChars="199"/>
        <w:textAlignment w:val="auto"/>
        <w:outlineLvl w:val="9"/>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15.6.1.不同供应商的电子投标文件上传计算机的网卡MAC地址或硬盘序列号等硬件信息相同的；</w:t>
      </w:r>
    </w:p>
    <w:p w14:paraId="7B8AED3A">
      <w:pPr>
        <w:pStyle w:val="33"/>
        <w:pageBreakBefore w:val="0"/>
        <w:shd w:val="clear"/>
        <w:kinsoku/>
        <w:wordWrap/>
        <w:overflowPunct/>
        <w:topLinePunct w:val="0"/>
        <w:bidi w:val="0"/>
        <w:spacing w:beforeAutospacing="0" w:line="348" w:lineRule="auto"/>
        <w:ind w:firstLine="479" w:firstLineChars="199"/>
        <w:textAlignment w:val="auto"/>
        <w:outlineLvl w:val="9"/>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15.6.2.上传的电子投标文件若出现使用本项目其他投标（响应）供应商的数字证书加密的，或者加盖本项目其他投标供应商的电子印章的；</w:t>
      </w:r>
    </w:p>
    <w:p w14:paraId="35143625">
      <w:pPr>
        <w:pStyle w:val="33"/>
        <w:pageBreakBefore w:val="0"/>
        <w:shd w:val="clear"/>
        <w:kinsoku/>
        <w:wordWrap/>
        <w:overflowPunct/>
        <w:topLinePunct w:val="0"/>
        <w:bidi w:val="0"/>
        <w:spacing w:beforeAutospacing="0" w:line="348" w:lineRule="auto"/>
        <w:ind w:firstLine="479" w:firstLineChars="199"/>
        <w:textAlignment w:val="auto"/>
        <w:outlineLvl w:val="9"/>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15.6.3.不同供应商的投标文件的内容存在3处（含）以上错误一致的；</w:t>
      </w:r>
    </w:p>
    <w:p w14:paraId="75809A74">
      <w:pPr>
        <w:pStyle w:val="33"/>
        <w:pageBreakBefore w:val="0"/>
        <w:shd w:val="clear"/>
        <w:kinsoku/>
        <w:wordWrap/>
        <w:overflowPunct/>
        <w:topLinePunct w:val="0"/>
        <w:bidi w:val="0"/>
        <w:spacing w:beforeAutospacing="0" w:line="348" w:lineRule="auto"/>
        <w:ind w:firstLine="479" w:firstLineChars="199"/>
        <w:textAlignment w:val="auto"/>
        <w:outlineLvl w:val="9"/>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15.6.4.不同供应商联系人为同一人或不同联系人的联系电话一致的。</w:t>
      </w:r>
    </w:p>
    <w:p w14:paraId="63E45448">
      <w:pPr>
        <w:pStyle w:val="137"/>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288BC74">
      <w:pPr>
        <w:pStyle w:val="25"/>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C872F4A">
      <w:pPr>
        <w:pStyle w:val="137"/>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171A9028">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149A880E">
      <w:pPr>
        <w:pStyle w:val="137"/>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7DA1EDA">
      <w:pPr>
        <w:pStyle w:val="137"/>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3837FF68">
      <w:pPr>
        <w:pStyle w:val="137"/>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1622D7D">
      <w:pPr>
        <w:pStyle w:val="558"/>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91BFC15">
      <w:pPr>
        <w:pStyle w:val="558"/>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79FA34C2">
      <w:pPr>
        <w:pStyle w:val="558"/>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2C3599AA">
      <w:pPr>
        <w:pStyle w:val="558"/>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18.2.1具体开标程序：</w:t>
      </w:r>
    </w:p>
    <w:p w14:paraId="384AAB41">
      <w:pPr>
        <w:pStyle w:val="558"/>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第一阶段：</w:t>
      </w:r>
    </w:p>
    <w:p w14:paraId="058DF7C6">
      <w:pPr>
        <w:pStyle w:val="558"/>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（1）投标截止时间后，供应商登录政府采购云平台，用“项目采购-开标评标”功能对电子投标文件进行在线解密，在线解密电子投标文件时间为开标时间后30分钟内。</w:t>
      </w:r>
    </w:p>
    <w:p w14:paraId="223C7674">
      <w:pPr>
        <w:pStyle w:val="558"/>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（2）在政府采购云平台开启已解密供应商的“资格文件、商务技术文件”，并做开标记录；</w:t>
      </w:r>
    </w:p>
    <w:p w14:paraId="1BF45261">
      <w:pPr>
        <w:pStyle w:val="558"/>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第二阶段：</w:t>
      </w:r>
    </w:p>
    <w:p w14:paraId="564D258C">
      <w:pPr>
        <w:pStyle w:val="558"/>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（1）在政府采购云平台宣告第一阶段评审无效供应商名单及理由；</w:t>
      </w:r>
    </w:p>
    <w:p w14:paraId="2AD22C45">
      <w:pPr>
        <w:pStyle w:val="558"/>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（2）公布经第一阶段评审符合招标文件要求的供应商的商务技术得分情况；</w:t>
      </w:r>
    </w:p>
    <w:p w14:paraId="3B364669">
      <w:pPr>
        <w:pStyle w:val="558"/>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（3）在政府采购云平台开启除第一阶段无效标外的供应商的“报价文件”，并做开标记录；</w:t>
      </w:r>
    </w:p>
    <w:p w14:paraId="7D5EA083">
      <w:pPr>
        <w:pStyle w:val="558"/>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（4）在政府采购云平台公布评审结果。</w:t>
      </w:r>
    </w:p>
    <w:p w14:paraId="12EBDA19">
      <w:pPr>
        <w:pStyle w:val="558"/>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（5）开标会议结束。</w:t>
      </w:r>
      <w:r>
        <w:rPr>
          <w:rFonts w:hint="eastAsia" w:ascii="宋体" w:hAnsi="宋体" w:cs="宋体"/>
          <w:color w:val="auto"/>
          <w:sz w:val="24"/>
          <w:highlight w:val="none"/>
        </w:rPr>
        <w:t>　</w:t>
      </w:r>
    </w:p>
    <w:p w14:paraId="2FD65AC9">
      <w:pPr>
        <w:pStyle w:val="558"/>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742AEA0B">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38B80B8">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22CD7190">
      <w:pPr>
        <w:pStyle w:val="137"/>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370FB478">
      <w:pPr>
        <w:pStyle w:val="137"/>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59682D4">
      <w:pPr>
        <w:pStyle w:val="137"/>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5E11FB9C">
      <w:pPr>
        <w:pStyle w:val="137"/>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7C943AC6">
      <w:pPr>
        <w:pStyle w:val="137"/>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14:paraId="503C6BE3">
      <w:pPr>
        <w:pStyle w:val="137"/>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1B852FE8">
      <w:pPr>
        <w:pStyle w:val="137"/>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2FA14277">
      <w:pPr>
        <w:pStyle w:val="137"/>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AB2FF38">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6C3410C">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68E8672D">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636944A8">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143828F3">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8B9342E">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14:paraId="4B2FD398">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B09EEF0">
      <w:pPr>
        <w:pStyle w:val="137"/>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A3B1D99">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17A185D">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254327C">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3AA6454">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2BB335D4">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F81FA9A">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75B57344">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14:paraId="05B281F4">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195EB34">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2E5BAC0">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A75F01F">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2940118">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14:paraId="2C27A0EE">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57E36F8">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6F89B1">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73829B5F">
      <w:pPr>
        <w:pageBreakBefore w:val="0"/>
        <w:shd w:val="clear"/>
        <w:kinsoku/>
        <w:wordWrap/>
        <w:overflowPunct/>
        <w:topLinePunct w:val="0"/>
        <w:bidi w:val="0"/>
        <w:adjustRightInd/>
        <w:spacing w:beforeAutospacing="0" w:line="348"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6DA83D63">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14:paraId="4DFEAF13">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14:paraId="58773B8C">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DF33DF8">
      <w:pPr>
        <w:pStyle w:val="137"/>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957E28F">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E52702A">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CC6BFF5">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B0D9029">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F490C8E">
      <w:pPr>
        <w:pStyle w:val="137"/>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4E0D55D">
      <w:pPr>
        <w:pStyle w:val="137"/>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6F2C702A">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7D5259D6">
      <w:pPr>
        <w:pStyle w:val="25"/>
        <w:pageBreakBefore w:val="0"/>
        <w:shd w:val="clear"/>
        <w:kinsoku/>
        <w:wordWrap/>
        <w:overflowPunct/>
        <w:topLinePunct w:val="0"/>
        <w:bidi w:val="0"/>
        <w:spacing w:beforeAutospacing="0" w:line="348" w:lineRule="auto"/>
        <w:ind w:firstLine="0" w:firstLineChars="0"/>
        <w:textAlignment w:val="auto"/>
        <w:outlineLvl w:val="9"/>
        <w:rPr>
          <w:rFonts w:cs="宋体"/>
          <w:b/>
          <w:color w:val="auto"/>
          <w:highlight w:val="none"/>
        </w:rPr>
      </w:pPr>
      <w:r>
        <w:rPr>
          <w:rFonts w:hint="eastAsia" w:cs="宋体"/>
          <w:b/>
          <w:color w:val="auto"/>
          <w:highlight w:val="none"/>
        </w:rPr>
        <w:t>30.验收</w:t>
      </w:r>
    </w:p>
    <w:p w14:paraId="3BF319B7">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98D48F">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423A8E55">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DDE325">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74714665"/>
      <w:bookmarkEnd w:id="20"/>
      <w:bookmarkStart w:id="21" w:name="_Hlt75236290"/>
      <w:bookmarkEnd w:id="21"/>
      <w:bookmarkStart w:id="22" w:name="_Hlt68072998"/>
      <w:bookmarkEnd w:id="22"/>
      <w:bookmarkStart w:id="23" w:name="_Hlt75236011"/>
      <w:bookmarkEnd w:id="23"/>
      <w:bookmarkStart w:id="24" w:name="_Hlt74707468"/>
      <w:bookmarkEnd w:id="24"/>
      <w:bookmarkStart w:id="25" w:name="_Hlt74729768"/>
      <w:bookmarkEnd w:id="25"/>
      <w:bookmarkStart w:id="26" w:name="_Hlt74730295"/>
      <w:bookmarkEnd w:id="26"/>
      <w:bookmarkStart w:id="27" w:name="_Hlt68057669"/>
      <w:bookmarkEnd w:id="27"/>
      <w:bookmarkStart w:id="28" w:name="_Hlt68073093"/>
      <w:bookmarkEnd w:id="28"/>
      <w:bookmarkStart w:id="29" w:name="_Hlt68403820"/>
      <w:bookmarkEnd w:id="29"/>
      <w:bookmarkStart w:id="30" w:name="_Hlt68072990"/>
      <w:bookmarkEnd w:id="30"/>
      <w:bookmarkStart w:id="31" w:name="_Hlt75236101"/>
      <w:bookmarkEnd w:id="31"/>
    </w:p>
    <w:p w14:paraId="7E1F3094">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bookmarkEnd w:id="14"/>
    <w:bookmarkEnd w:id="15"/>
    <w:p w14:paraId="6897C376">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14:paraId="023F9658">
      <w:pPr>
        <w:widowControl/>
        <w:kinsoku/>
        <w:wordWrap/>
        <w:overflowPunct/>
        <w:topLinePunct w:val="0"/>
        <w:bidi w:val="0"/>
        <w:adjustRightInd/>
        <w:spacing w:line="320" w:lineRule="exact"/>
        <w:jc w:val="center"/>
        <w:outlineLvl w:val="9"/>
        <w:rPr>
          <w:rFonts w:hint="eastAsia" w:ascii="宋体" w:hAnsi="宋体" w:eastAsia="宋体" w:cs="宋体"/>
          <w:b/>
          <w:bCs/>
          <w:color w:val="auto"/>
          <w:kern w:val="0"/>
          <w:sz w:val="24"/>
          <w:szCs w:val="24"/>
          <w:highlight w:val="none"/>
        </w:rPr>
      </w:pPr>
      <w:bookmarkStart w:id="34" w:name="_Toc24013"/>
      <w:r>
        <w:rPr>
          <w:rFonts w:hint="eastAsia" w:ascii="宋体" w:hAnsi="宋体" w:eastAsia="宋体" w:cs="宋体"/>
          <w:b/>
          <w:bCs/>
          <w:color w:val="auto"/>
          <w:kern w:val="0"/>
          <w:sz w:val="24"/>
          <w:szCs w:val="24"/>
          <w:highlight w:val="none"/>
        </w:rPr>
        <w:t>前附表</w:t>
      </w:r>
      <w:bookmarkEnd w:id="34"/>
    </w:p>
    <w:tbl>
      <w:tblPr>
        <w:tblStyle w:val="63"/>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4787"/>
      </w:tblGrid>
      <w:tr w14:paraId="34D0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14:paraId="0AAFA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bookmarkStart w:id="35" w:name="_Toc317685548"/>
            <w:bookmarkStart w:id="36" w:name="_Toc329697494"/>
            <w:r>
              <w:rPr>
                <w:rFonts w:hint="eastAsia" w:ascii="宋体" w:hAnsi="宋体" w:eastAsia="宋体" w:cs="宋体"/>
                <w:b/>
                <w:color w:val="auto"/>
                <w:kern w:val="0"/>
                <w:sz w:val="24"/>
                <w:szCs w:val="24"/>
                <w:highlight w:val="none"/>
              </w:rPr>
              <w:t>序号</w:t>
            </w:r>
          </w:p>
        </w:tc>
        <w:tc>
          <w:tcPr>
            <w:tcW w:w="2810" w:type="dxa"/>
            <w:noWrap w:val="0"/>
            <w:vAlign w:val="center"/>
          </w:tcPr>
          <w:p w14:paraId="6477C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787" w:type="dxa"/>
            <w:noWrap w:val="0"/>
            <w:vAlign w:val="center"/>
          </w:tcPr>
          <w:p w14:paraId="019E4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采购需求内容</w:t>
            </w:r>
          </w:p>
        </w:tc>
      </w:tr>
      <w:tr w14:paraId="11B0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4D101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810" w:type="dxa"/>
            <w:noWrap w:val="0"/>
            <w:vAlign w:val="center"/>
          </w:tcPr>
          <w:p w14:paraId="2AE9C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4787" w:type="dxa"/>
            <w:noWrap w:val="0"/>
            <w:vAlign w:val="center"/>
          </w:tcPr>
          <w:p w14:paraId="11A36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val="en-US" w:eastAsia="zh-CN"/>
              </w:rPr>
              <w:t>本部分内容</w:t>
            </w:r>
          </w:p>
        </w:tc>
      </w:tr>
      <w:tr w14:paraId="6455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054D3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810" w:type="dxa"/>
            <w:noWrap w:val="0"/>
            <w:vAlign w:val="center"/>
          </w:tcPr>
          <w:p w14:paraId="3CE9C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单位及数量</w:t>
            </w:r>
          </w:p>
        </w:tc>
        <w:tc>
          <w:tcPr>
            <w:tcW w:w="4787" w:type="dxa"/>
            <w:noWrap w:val="0"/>
            <w:vAlign w:val="center"/>
          </w:tcPr>
          <w:p w14:paraId="0D474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详见第一部分 招标公告</w:t>
            </w:r>
          </w:p>
        </w:tc>
      </w:tr>
      <w:tr w14:paraId="6776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6F65F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810" w:type="dxa"/>
            <w:noWrap w:val="0"/>
            <w:vAlign w:val="center"/>
          </w:tcPr>
          <w:p w14:paraId="4634D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交付或者实施的时间和地点</w:t>
            </w:r>
          </w:p>
        </w:tc>
        <w:tc>
          <w:tcPr>
            <w:tcW w:w="4787" w:type="dxa"/>
            <w:noWrap w:val="0"/>
            <w:vAlign w:val="center"/>
          </w:tcPr>
          <w:p w14:paraId="29B47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合同履约期限</w:t>
            </w:r>
            <w:r>
              <w:rPr>
                <w:rFonts w:hint="eastAsia" w:ascii="宋体" w:hAnsi="宋体" w:eastAsia="宋体" w:cs="宋体"/>
                <w:color w:val="auto"/>
                <w:kern w:val="0"/>
                <w:sz w:val="24"/>
                <w:szCs w:val="24"/>
                <w:highlight w:val="none"/>
              </w:rPr>
              <w:t>：详见第一部分 招标公告</w:t>
            </w:r>
          </w:p>
          <w:p w14:paraId="5D900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实施地点：详见</w:t>
            </w:r>
            <w:r>
              <w:rPr>
                <w:rFonts w:hint="eastAsia" w:ascii="宋体" w:hAnsi="宋体" w:eastAsia="宋体" w:cs="宋体"/>
                <w:color w:val="auto"/>
                <w:kern w:val="0"/>
                <w:sz w:val="24"/>
                <w:szCs w:val="24"/>
                <w:highlight w:val="none"/>
                <w:lang w:val="en-US" w:eastAsia="zh-CN"/>
              </w:rPr>
              <w:t>本部分</w:t>
            </w:r>
            <w:r>
              <w:rPr>
                <w:rFonts w:hint="eastAsia" w:ascii="宋体" w:hAnsi="宋体" w:eastAsia="宋体" w:cs="宋体"/>
                <w:color w:val="auto"/>
                <w:kern w:val="0"/>
                <w:sz w:val="24"/>
                <w:szCs w:val="24"/>
                <w:highlight w:val="none"/>
              </w:rPr>
              <w:t>内容</w:t>
            </w:r>
          </w:p>
        </w:tc>
      </w:tr>
      <w:tr w14:paraId="2249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1CAE9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810" w:type="dxa"/>
            <w:noWrap w:val="0"/>
            <w:vAlign w:val="center"/>
          </w:tcPr>
          <w:p w14:paraId="572A3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需实现的功能或者目标</w:t>
            </w:r>
          </w:p>
        </w:tc>
        <w:tc>
          <w:tcPr>
            <w:tcW w:w="4787" w:type="dxa"/>
            <w:noWrap w:val="0"/>
            <w:vAlign w:val="center"/>
          </w:tcPr>
          <w:p w14:paraId="42B75E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详见本部分内容</w:t>
            </w:r>
          </w:p>
        </w:tc>
      </w:tr>
      <w:tr w14:paraId="6344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C9F7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810" w:type="dxa"/>
            <w:noWrap w:val="0"/>
            <w:vAlign w:val="center"/>
          </w:tcPr>
          <w:p w14:paraId="23BFA0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执行的国家相关标准、行业标准、地方标准或者其它标准、规范</w:t>
            </w:r>
          </w:p>
        </w:tc>
        <w:tc>
          <w:tcPr>
            <w:tcW w:w="4787" w:type="dxa"/>
            <w:noWrap w:val="0"/>
            <w:vAlign w:val="center"/>
          </w:tcPr>
          <w:p w14:paraId="0CEC31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国家相关标准、行业标准、地方标准或者其他标准规范。</w:t>
            </w:r>
          </w:p>
        </w:tc>
      </w:tr>
      <w:tr w14:paraId="65D0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2D5A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810" w:type="dxa"/>
            <w:noWrap w:val="0"/>
            <w:vAlign w:val="center"/>
          </w:tcPr>
          <w:p w14:paraId="22CAA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技术规格要求</w:t>
            </w:r>
          </w:p>
        </w:tc>
        <w:tc>
          <w:tcPr>
            <w:tcW w:w="4787" w:type="dxa"/>
            <w:noWrap w:val="0"/>
            <w:vAlign w:val="center"/>
          </w:tcPr>
          <w:p w14:paraId="64A672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详见本部分内容</w:t>
            </w:r>
          </w:p>
        </w:tc>
      </w:tr>
      <w:tr w14:paraId="5D8B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05D7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810" w:type="dxa"/>
            <w:noWrap w:val="0"/>
            <w:vAlign w:val="center"/>
          </w:tcPr>
          <w:p w14:paraId="69838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物理特性要求</w:t>
            </w:r>
          </w:p>
        </w:tc>
        <w:tc>
          <w:tcPr>
            <w:tcW w:w="4787" w:type="dxa"/>
            <w:noWrap w:val="0"/>
            <w:vAlign w:val="center"/>
          </w:tcPr>
          <w:p w14:paraId="70FAF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w:t>
            </w:r>
          </w:p>
        </w:tc>
      </w:tr>
      <w:tr w14:paraId="1973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1E5D69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810" w:type="dxa"/>
            <w:noWrap w:val="0"/>
            <w:vAlign w:val="center"/>
          </w:tcPr>
          <w:p w14:paraId="317CC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质量、安全要求</w:t>
            </w:r>
          </w:p>
        </w:tc>
        <w:tc>
          <w:tcPr>
            <w:tcW w:w="4787" w:type="dxa"/>
            <w:noWrap w:val="0"/>
            <w:vAlign w:val="center"/>
          </w:tcPr>
          <w:p w14:paraId="412F1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（1）质量要求：详见本部分内容</w:t>
            </w:r>
            <w:r>
              <w:rPr>
                <w:rFonts w:hint="eastAsia" w:ascii="宋体" w:hAnsi="宋体" w:eastAsia="宋体" w:cs="宋体"/>
                <w:color w:val="auto"/>
                <w:kern w:val="0"/>
                <w:sz w:val="24"/>
                <w:szCs w:val="24"/>
                <w:highlight w:val="none"/>
                <w:lang w:val="en-US" w:eastAsia="zh-CN"/>
              </w:rPr>
              <w:t>。</w:t>
            </w:r>
          </w:p>
          <w:p w14:paraId="6B85A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（2）安全要求：合格</w:t>
            </w:r>
          </w:p>
        </w:tc>
      </w:tr>
      <w:tr w14:paraId="34F4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0F8C6B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810" w:type="dxa"/>
            <w:noWrap w:val="0"/>
            <w:vAlign w:val="center"/>
          </w:tcPr>
          <w:p w14:paraId="7596E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服务标准、期限、效率</w:t>
            </w:r>
          </w:p>
        </w:tc>
        <w:tc>
          <w:tcPr>
            <w:tcW w:w="4787" w:type="dxa"/>
            <w:noWrap w:val="0"/>
            <w:vAlign w:val="center"/>
          </w:tcPr>
          <w:p w14:paraId="37543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详见本章内容</w:t>
            </w:r>
          </w:p>
        </w:tc>
      </w:tr>
      <w:tr w14:paraId="5022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272D0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810" w:type="dxa"/>
            <w:noWrap w:val="0"/>
            <w:vAlign w:val="center"/>
          </w:tcPr>
          <w:p w14:paraId="4970E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w:t>
            </w:r>
          </w:p>
        </w:tc>
        <w:tc>
          <w:tcPr>
            <w:tcW w:w="4787" w:type="dxa"/>
            <w:noWrap w:val="0"/>
            <w:vAlign w:val="center"/>
          </w:tcPr>
          <w:p w14:paraId="2CDC1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按照中标人提供的投标文件及中标人和采购人签订的政府采购合同为标准进行验收。</w:t>
            </w:r>
          </w:p>
        </w:tc>
      </w:tr>
      <w:tr w14:paraId="5DD6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18156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810" w:type="dxa"/>
            <w:noWrap w:val="0"/>
            <w:vAlign w:val="center"/>
          </w:tcPr>
          <w:p w14:paraId="45683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现场踏勘</w:t>
            </w:r>
          </w:p>
        </w:tc>
        <w:tc>
          <w:tcPr>
            <w:tcW w:w="4787" w:type="dxa"/>
            <w:noWrap w:val="0"/>
            <w:vAlign w:val="center"/>
          </w:tcPr>
          <w:p w14:paraId="71932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r>
              <w:rPr>
                <w:rFonts w:hint="eastAsia" w:ascii="宋体" w:hAnsi="宋体" w:cs="宋体"/>
                <w:color w:val="auto"/>
                <w:kern w:val="0"/>
                <w:sz w:val="24"/>
                <w:szCs w:val="24"/>
                <w:highlight w:val="none"/>
                <w:lang w:eastAsia="zh-CN"/>
              </w:rPr>
              <w:t>。</w:t>
            </w:r>
          </w:p>
        </w:tc>
      </w:tr>
      <w:tr w14:paraId="7E97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B213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810" w:type="dxa"/>
            <w:noWrap w:val="0"/>
            <w:vAlign w:val="center"/>
          </w:tcPr>
          <w:p w14:paraId="748241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演示时间及地点</w:t>
            </w:r>
          </w:p>
        </w:tc>
        <w:tc>
          <w:tcPr>
            <w:tcW w:w="4787" w:type="dxa"/>
            <w:noWrap w:val="0"/>
            <w:vAlign w:val="center"/>
          </w:tcPr>
          <w:p w14:paraId="45C5B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无</w:t>
            </w:r>
          </w:p>
        </w:tc>
      </w:tr>
      <w:tr w14:paraId="44F9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6D30B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810" w:type="dxa"/>
            <w:noWrap w:val="0"/>
            <w:vAlign w:val="center"/>
          </w:tcPr>
          <w:p w14:paraId="42461D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样品要求</w:t>
            </w:r>
          </w:p>
        </w:tc>
        <w:tc>
          <w:tcPr>
            <w:tcW w:w="4787" w:type="dxa"/>
            <w:noWrap w:val="0"/>
            <w:vAlign w:val="center"/>
          </w:tcPr>
          <w:p w14:paraId="02607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无</w:t>
            </w:r>
          </w:p>
        </w:tc>
      </w:tr>
    </w:tbl>
    <w:p w14:paraId="1540D9CC">
      <w:pPr>
        <w:widowControl/>
        <w:kinsoku/>
        <w:wordWrap/>
        <w:overflowPunct/>
        <w:topLinePunct w:val="0"/>
        <w:bidi w:val="0"/>
        <w:adjustRightInd/>
        <w:spacing w:line="360" w:lineRule="auto"/>
        <w:jc w:val="left"/>
        <w:outlineLvl w:val="9"/>
        <w:rPr>
          <w:rFonts w:hint="eastAsia" w:ascii="宋体" w:hAnsi="宋体" w:eastAsia="宋体" w:cs="宋体"/>
          <w:color w:val="auto"/>
          <w:kern w:val="0"/>
          <w:sz w:val="24"/>
          <w:szCs w:val="24"/>
          <w:highlight w:val="none"/>
        </w:rPr>
      </w:pPr>
    </w:p>
    <w:p w14:paraId="01424F52">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65E42911">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一、重要商务要求一览表</w:t>
      </w:r>
    </w:p>
    <w:bookmarkEnd w:id="35"/>
    <w:bookmarkEnd w:id="36"/>
    <w:tbl>
      <w:tblPr>
        <w:tblStyle w:val="63"/>
        <w:tblW w:w="9045" w:type="dxa"/>
        <w:tblInd w:w="-2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6660"/>
      </w:tblGrid>
      <w:tr w14:paraId="68CB7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2385" w:type="dxa"/>
            <w:noWrap w:val="0"/>
            <w:vAlign w:val="center"/>
          </w:tcPr>
          <w:p w14:paraId="7F757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合同履约期限及地点</w:t>
            </w:r>
          </w:p>
        </w:tc>
        <w:tc>
          <w:tcPr>
            <w:tcW w:w="6660" w:type="dxa"/>
            <w:noWrap w:val="0"/>
            <w:vAlign w:val="center"/>
          </w:tcPr>
          <w:p w14:paraId="16389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）合同履约期限：详见第一部分 《招标公告》。</w:t>
            </w:r>
          </w:p>
          <w:p w14:paraId="216A3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）实施地点：</w:t>
            </w:r>
            <w:r>
              <w:rPr>
                <w:rFonts w:hint="eastAsia" w:ascii="宋体" w:hAnsi="宋体" w:cs="宋体"/>
                <w:color w:val="auto"/>
                <w:kern w:val="0"/>
                <w:sz w:val="24"/>
                <w:szCs w:val="24"/>
                <w:highlight w:val="none"/>
                <w:lang w:val="en-US" w:eastAsia="zh-CN"/>
              </w:rPr>
              <w:t>宁海县西店镇卫生院</w:t>
            </w:r>
            <w:r>
              <w:rPr>
                <w:rFonts w:hint="eastAsia" w:ascii="宋体" w:hAnsi="宋体" w:eastAsia="宋体" w:cs="宋体"/>
                <w:color w:val="auto"/>
                <w:kern w:val="0"/>
                <w:sz w:val="24"/>
                <w:szCs w:val="24"/>
                <w:highlight w:val="none"/>
                <w:lang w:eastAsia="zh-CN"/>
              </w:rPr>
              <w:t>。</w:t>
            </w:r>
          </w:p>
        </w:tc>
      </w:tr>
      <w:tr w14:paraId="06F17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2385" w:type="dxa"/>
            <w:noWrap w:val="0"/>
            <w:vAlign w:val="center"/>
          </w:tcPr>
          <w:p w14:paraId="2C295B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★付款方式</w:t>
            </w:r>
          </w:p>
        </w:tc>
        <w:tc>
          <w:tcPr>
            <w:tcW w:w="6660" w:type="dxa"/>
            <w:noWrap w:val="0"/>
            <w:vAlign w:val="center"/>
          </w:tcPr>
          <w:p w14:paraId="5ED2F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合同生效以及具备实施条件后7个工作日内支付合同价的40%作为预付款（若在签订合同时，供应商明确表示无需预付款或降低预付款比例的，采购人可不予支付预付款或降低比例支付。预付款支付约定以合同中约定为准。）；</w:t>
            </w:r>
          </w:p>
          <w:p w14:paraId="78DE9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按月结算，每月月初核对上个月的实际检测标本数量（结算统计日期以每月1日零时起到本月最后一天24时结束），每月结算金额=宁波市医疗服务价格×成交折扣系数（此公式计算结果以“元”为单位，保留到整数位）。</w:t>
            </w:r>
          </w:p>
          <w:p w14:paraId="582562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cs="宋体"/>
                <w:b/>
                <w:bCs/>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（3）中标人应在采购人付款前，向采购人提供等额增值税普通发票、每个月检测清单，经采购人核准后7个工作日内支付。</w:t>
            </w:r>
            <w:r>
              <w:rPr>
                <w:rFonts w:hint="eastAsia" w:ascii="宋体" w:hAnsi="宋体" w:cs="宋体"/>
                <w:b w:val="0"/>
                <w:bCs w:val="0"/>
                <w:color w:val="auto"/>
                <w:kern w:val="0"/>
                <w:sz w:val="24"/>
                <w:szCs w:val="24"/>
                <w:highlight w:val="none"/>
                <w:lang w:val="en-US" w:eastAsia="zh-CN"/>
              </w:rPr>
              <w:br w:type="textWrapping"/>
            </w:r>
            <w:r>
              <w:rPr>
                <w:rFonts w:hint="eastAsia" w:ascii="宋体" w:hAnsi="宋体" w:cs="宋体"/>
                <w:b/>
                <w:bCs/>
                <w:color w:val="auto"/>
                <w:kern w:val="0"/>
                <w:sz w:val="24"/>
                <w:szCs w:val="24"/>
                <w:highlight w:val="none"/>
                <w:lang w:val="en-US" w:eastAsia="zh-CN"/>
              </w:rPr>
              <w:t>注：本项目所有病理诊断服务项目价格按照宁波市医疗服务价格，以His收费数据为基础，按中标对应折扣系数进行结算。</w:t>
            </w:r>
          </w:p>
          <w:p w14:paraId="7FCB58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结算价款=∑各项目宁波市医疗服务价格×中标折扣系数。（如有预付款的，先从预付款中扣除相应价款，预付款全部扣完后再按实支付。）</w:t>
            </w:r>
          </w:p>
        </w:tc>
      </w:tr>
      <w:tr w14:paraId="08918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85" w:type="dxa"/>
            <w:shd w:val="clear" w:color="auto" w:fill="auto"/>
            <w:noWrap w:val="0"/>
            <w:vAlign w:val="center"/>
          </w:tcPr>
          <w:p w14:paraId="67C645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履约保证金</w:t>
            </w:r>
          </w:p>
        </w:tc>
        <w:tc>
          <w:tcPr>
            <w:tcW w:w="6660" w:type="dxa"/>
            <w:shd w:val="clear" w:color="auto" w:fill="auto"/>
            <w:noWrap w:val="0"/>
            <w:vAlign w:val="center"/>
          </w:tcPr>
          <w:p w14:paraId="4121FA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本项目不适用。</w:t>
            </w:r>
          </w:p>
        </w:tc>
      </w:tr>
      <w:tr w14:paraId="32F98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85" w:type="dxa"/>
            <w:shd w:val="clear" w:color="auto" w:fill="auto"/>
            <w:noWrap w:val="0"/>
            <w:vAlign w:val="center"/>
          </w:tcPr>
          <w:p w14:paraId="4320F8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验收标准</w:t>
            </w:r>
          </w:p>
        </w:tc>
        <w:tc>
          <w:tcPr>
            <w:tcW w:w="6660" w:type="dxa"/>
            <w:shd w:val="clear" w:color="auto" w:fill="auto"/>
            <w:noWrap w:val="0"/>
            <w:vAlign w:val="center"/>
          </w:tcPr>
          <w:p w14:paraId="6671F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根据招标文件要求、</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eastAsia="zh-CN"/>
              </w:rPr>
              <w:t>承诺及国家、浙江省、宁波市有关规定（</w:t>
            </w:r>
            <w:r>
              <w:rPr>
                <w:rFonts w:hint="eastAsia" w:ascii="宋体" w:hAnsi="宋体" w:eastAsia="宋体" w:cs="宋体"/>
                <w:color w:val="auto"/>
                <w:kern w:val="0"/>
                <w:sz w:val="24"/>
                <w:szCs w:val="24"/>
                <w:highlight w:val="none"/>
                <w:lang w:val="en-US" w:eastAsia="zh-CN"/>
              </w:rPr>
              <w:t>以其中最高要求的标准为准</w:t>
            </w:r>
            <w:r>
              <w:rPr>
                <w:rFonts w:hint="eastAsia" w:ascii="宋体" w:hAnsi="宋体" w:eastAsia="宋体" w:cs="宋体"/>
                <w:color w:val="auto"/>
                <w:kern w:val="0"/>
                <w:sz w:val="24"/>
                <w:szCs w:val="24"/>
                <w:highlight w:val="none"/>
                <w:lang w:eastAsia="zh-CN"/>
              </w:rPr>
              <w:t>），由</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eastAsia="zh-CN"/>
              </w:rPr>
              <w:t>及相关部门进行验收。</w:t>
            </w:r>
          </w:p>
        </w:tc>
      </w:tr>
      <w:tr w14:paraId="511EC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shd w:val="clear" w:color="auto" w:fill="auto"/>
            <w:vAlign w:val="center"/>
          </w:tcPr>
          <w:p w14:paraId="3F905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安全等级要求</w:t>
            </w:r>
          </w:p>
        </w:tc>
        <w:tc>
          <w:tcPr>
            <w:tcW w:w="0" w:type="auto"/>
            <w:shd w:val="clear" w:color="auto" w:fill="auto"/>
            <w:vAlign w:val="center"/>
          </w:tcPr>
          <w:p w14:paraId="36B0F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合格。</w:t>
            </w:r>
          </w:p>
        </w:tc>
      </w:tr>
      <w:tr w14:paraId="7445F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shd w:val="clear" w:color="auto" w:fill="auto"/>
            <w:vAlign w:val="center"/>
          </w:tcPr>
          <w:p w14:paraId="16560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★合同终止</w:t>
            </w:r>
          </w:p>
        </w:tc>
        <w:tc>
          <w:tcPr>
            <w:tcW w:w="0" w:type="auto"/>
            <w:shd w:val="clear" w:color="auto" w:fill="auto"/>
            <w:vAlign w:val="center"/>
          </w:tcPr>
          <w:p w14:paraId="1B9F7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标人在合同有效期内，不得无理由终止合同，确有特殊情况的，须提前向采购人提出书面申请，经采购人同意后，方可终止合同。因中标人不能保证工作质量，或发生重大差错事故的，采购人有权终止合同，并由中标人承担全部责任。涉及到采购人上级部门出台新政策或新的相关要求，采购人提前一个月通知中标人，可以终止合同。</w:t>
            </w:r>
          </w:p>
        </w:tc>
      </w:tr>
    </w:tbl>
    <w:p w14:paraId="62CF7158">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14:paraId="254C4560">
      <w:pPr>
        <w:kinsoku/>
        <w:wordWrap/>
        <w:overflowPunct/>
        <w:topLinePunct w:val="0"/>
        <w:bidi w:val="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1735AC4F">
      <w:pPr>
        <w:keepNext w:val="0"/>
        <w:keepLines w:val="0"/>
        <w:pageBreakBefore w:val="0"/>
        <w:widowControl w:val="0"/>
        <w:kinsoku/>
        <w:wordWrap/>
        <w:overflowPunct/>
        <w:topLinePunct w:val="0"/>
        <w:autoSpaceDE/>
        <w:autoSpaceDN/>
        <w:bidi w:val="0"/>
        <w:snapToGrid/>
        <w:spacing w:line="360" w:lineRule="auto"/>
        <w:jc w:val="left"/>
        <w:textAlignment w:val="auto"/>
        <w:outlineLvl w:val="9"/>
        <w:rPr>
          <w:rFonts w:hint="eastAsia" w:ascii="宋体" w:hAnsi="宋体" w:eastAsia="宋体" w:cs="宋体"/>
          <w:b/>
          <w:bCs w:val="0"/>
          <w:color w:val="auto"/>
          <w:kern w:val="44"/>
          <w:sz w:val="24"/>
          <w:szCs w:val="24"/>
          <w:highlight w:val="none"/>
          <w:lang w:val="en-US" w:eastAsia="zh-CN"/>
        </w:rPr>
      </w:pPr>
      <w:r>
        <w:rPr>
          <w:rFonts w:hint="eastAsia" w:ascii="宋体" w:hAnsi="宋体" w:eastAsia="宋体" w:cs="宋体"/>
          <w:b/>
          <w:bCs w:val="0"/>
          <w:color w:val="auto"/>
          <w:kern w:val="44"/>
          <w:sz w:val="24"/>
          <w:szCs w:val="24"/>
          <w:highlight w:val="none"/>
          <w:lang w:val="en-US" w:eastAsia="zh-CN"/>
        </w:rPr>
        <w:t>二、服务内容及要求</w:t>
      </w:r>
    </w:p>
    <w:tbl>
      <w:tblPr>
        <w:tblStyle w:val="63"/>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045"/>
        <w:gridCol w:w="7280"/>
        <w:gridCol w:w="1248"/>
      </w:tblGrid>
      <w:tr w14:paraId="47C7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shd w:val="clear" w:color="auto" w:fill="FFFFFF"/>
            <w:noWrap w:val="0"/>
            <w:vAlign w:val="center"/>
          </w:tcPr>
          <w:p w14:paraId="1D89DE23">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7280" w:type="dxa"/>
            <w:shd w:val="clear" w:color="auto" w:fill="FFFFFF"/>
            <w:noWrap w:val="0"/>
            <w:vAlign w:val="center"/>
          </w:tcPr>
          <w:p w14:paraId="230FFEEF">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条款及其它要求</w:t>
            </w:r>
          </w:p>
        </w:tc>
        <w:tc>
          <w:tcPr>
            <w:tcW w:w="1248" w:type="dxa"/>
            <w:shd w:val="clear" w:color="auto" w:fill="FFFFFF"/>
            <w:noWrap w:val="0"/>
            <w:vAlign w:val="top"/>
          </w:tcPr>
          <w:p w14:paraId="61B53253">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投标响应</w:t>
            </w:r>
          </w:p>
        </w:tc>
      </w:tr>
      <w:tr w14:paraId="7C7A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shd w:val="clear" w:color="auto" w:fill="FFFFFF"/>
            <w:noWrap w:val="0"/>
            <w:vAlign w:val="center"/>
          </w:tcPr>
          <w:p w14:paraId="13BE6B94">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7280" w:type="dxa"/>
            <w:shd w:val="clear" w:color="auto" w:fill="FFFFFF"/>
            <w:noWrap w:val="0"/>
            <w:vAlign w:val="center"/>
          </w:tcPr>
          <w:p w14:paraId="2815F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转运标本种类：病理组织标本等；</w:t>
            </w:r>
          </w:p>
        </w:tc>
        <w:tc>
          <w:tcPr>
            <w:tcW w:w="1248" w:type="dxa"/>
            <w:shd w:val="clear" w:color="auto" w:fill="FFFFFF"/>
            <w:noWrap w:val="0"/>
            <w:vAlign w:val="center"/>
          </w:tcPr>
          <w:p w14:paraId="705A3572">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1F59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shd w:val="clear" w:color="auto" w:fill="FFFFFF"/>
            <w:noWrap w:val="0"/>
            <w:vAlign w:val="center"/>
          </w:tcPr>
          <w:p w14:paraId="58E04236">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7280" w:type="dxa"/>
            <w:shd w:val="clear" w:color="auto" w:fill="FFFFFF"/>
            <w:noWrap w:val="0"/>
            <w:vAlign w:val="center"/>
          </w:tcPr>
          <w:p w14:paraId="173BAE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标本需每周一至周六取样，报告单纸质提供，且网上可查询；</w:t>
            </w:r>
          </w:p>
        </w:tc>
        <w:tc>
          <w:tcPr>
            <w:tcW w:w="1248" w:type="dxa"/>
            <w:shd w:val="clear" w:color="auto" w:fill="FFFFFF"/>
            <w:noWrap w:val="0"/>
            <w:vAlign w:val="center"/>
          </w:tcPr>
          <w:p w14:paraId="4352E7E2">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2C15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shd w:val="clear" w:color="auto" w:fill="FFFFFF"/>
            <w:noWrap w:val="0"/>
            <w:vAlign w:val="center"/>
          </w:tcPr>
          <w:p w14:paraId="5AE8866A">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7280" w:type="dxa"/>
            <w:shd w:val="clear" w:color="auto" w:fill="FFFFFF"/>
            <w:noWrap w:val="0"/>
            <w:vAlign w:val="center"/>
          </w:tcPr>
          <w:p w14:paraId="0ADB6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tc>
        <w:tc>
          <w:tcPr>
            <w:tcW w:w="1248" w:type="dxa"/>
            <w:shd w:val="clear" w:color="auto" w:fill="FFFFFF"/>
            <w:noWrap w:val="0"/>
            <w:vAlign w:val="center"/>
          </w:tcPr>
          <w:p w14:paraId="04B51961">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5667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shd w:val="clear" w:color="auto" w:fill="FFFFFF"/>
            <w:noWrap w:val="0"/>
            <w:vAlign w:val="center"/>
          </w:tcPr>
          <w:p w14:paraId="75C56009">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7280" w:type="dxa"/>
            <w:shd w:val="clear" w:color="auto" w:fill="FFFFFF"/>
            <w:noWrap w:val="0"/>
            <w:vAlign w:val="center"/>
          </w:tcPr>
          <w:p w14:paraId="3FA6D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供应商具备完善的病理项目检测能力，能够完成如术中冰冻，常规病理检测，细胞学、免疫组化等项目检测；定期提供所有外送项目的室内质控、室间质控报告；</w:t>
            </w:r>
          </w:p>
        </w:tc>
        <w:tc>
          <w:tcPr>
            <w:tcW w:w="1248" w:type="dxa"/>
            <w:shd w:val="clear" w:color="auto" w:fill="FFFFFF"/>
            <w:noWrap w:val="0"/>
            <w:vAlign w:val="center"/>
          </w:tcPr>
          <w:p w14:paraId="14B972A4">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68B1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shd w:val="clear" w:color="auto" w:fill="FFFFFF"/>
            <w:noWrap w:val="0"/>
            <w:vAlign w:val="center"/>
          </w:tcPr>
          <w:p w14:paraId="63F6079C">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7280" w:type="dxa"/>
            <w:shd w:val="clear" w:color="auto" w:fill="FFFFFF"/>
            <w:noWrap w:val="0"/>
            <w:vAlign w:val="center"/>
          </w:tcPr>
          <w:p w14:paraId="0AC49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供应商具有完善的质控系统，能够按照检验质控要求，定期提供检验仪器设备性能验证报告；</w:t>
            </w:r>
          </w:p>
        </w:tc>
        <w:tc>
          <w:tcPr>
            <w:tcW w:w="1248" w:type="dxa"/>
            <w:shd w:val="clear" w:color="auto" w:fill="FFFFFF"/>
            <w:noWrap w:val="0"/>
            <w:vAlign w:val="center"/>
          </w:tcPr>
          <w:p w14:paraId="640D5777">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5194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shd w:val="clear" w:color="auto" w:fill="FFFFFF"/>
            <w:noWrap w:val="0"/>
            <w:vAlign w:val="center"/>
          </w:tcPr>
          <w:p w14:paraId="65094933">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7280" w:type="dxa"/>
            <w:shd w:val="clear" w:color="auto" w:fill="FFFFFF"/>
            <w:noWrap w:val="0"/>
            <w:vAlign w:val="center"/>
          </w:tcPr>
          <w:p w14:paraId="2C9FF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满足医院总体病理外送检验服务（包括标本接收、运输、化验、报告送检、设备、人员配置、售后以及相关附加服务等）；</w:t>
            </w:r>
          </w:p>
        </w:tc>
        <w:tc>
          <w:tcPr>
            <w:tcW w:w="1248" w:type="dxa"/>
            <w:shd w:val="clear" w:color="auto" w:fill="FFFFFF"/>
            <w:noWrap w:val="0"/>
            <w:vAlign w:val="center"/>
          </w:tcPr>
          <w:p w14:paraId="460FAE57">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7CE0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shd w:val="clear" w:color="auto" w:fill="FFFFFF"/>
            <w:noWrap w:val="0"/>
            <w:vAlign w:val="center"/>
          </w:tcPr>
          <w:p w14:paraId="3183F583">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7280" w:type="dxa"/>
            <w:shd w:val="clear" w:color="auto" w:fill="FFFFFF"/>
            <w:noWrap w:val="0"/>
            <w:vAlign w:val="center"/>
          </w:tcPr>
          <w:p w14:paraId="3647D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满足冰冻病理实验室搭建建设要求（提供实验室设备、人员配备等需求）</w:t>
            </w:r>
          </w:p>
        </w:tc>
        <w:tc>
          <w:tcPr>
            <w:tcW w:w="1248" w:type="dxa"/>
            <w:shd w:val="clear" w:color="auto" w:fill="FFFFFF"/>
            <w:noWrap w:val="0"/>
            <w:vAlign w:val="center"/>
          </w:tcPr>
          <w:p w14:paraId="3A3DC55D">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413A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shd w:val="clear" w:color="auto" w:fill="FFFFFF"/>
            <w:noWrap w:val="0"/>
            <w:vAlign w:val="center"/>
          </w:tcPr>
          <w:p w14:paraId="2F067609">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7280" w:type="dxa"/>
            <w:shd w:val="clear" w:color="auto" w:fill="FFFFFF"/>
            <w:noWrap w:val="0"/>
            <w:vAlign w:val="center"/>
          </w:tcPr>
          <w:p w14:paraId="5F3C84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负责合作期间内的仪器运营维护保养维修等，中标人引起的任何纠纷、赔偿等事宜由中标人自行承担；</w:t>
            </w:r>
          </w:p>
        </w:tc>
        <w:tc>
          <w:tcPr>
            <w:tcW w:w="1248" w:type="dxa"/>
            <w:shd w:val="clear" w:color="auto" w:fill="FFFFFF"/>
            <w:noWrap w:val="0"/>
            <w:vAlign w:val="center"/>
          </w:tcPr>
          <w:p w14:paraId="2AA94664">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29C9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shd w:val="clear" w:color="auto" w:fill="FFFFFF"/>
            <w:noWrap w:val="0"/>
            <w:vAlign w:val="center"/>
          </w:tcPr>
          <w:p w14:paraId="19C3A6D9">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w:t>
            </w:r>
          </w:p>
        </w:tc>
        <w:tc>
          <w:tcPr>
            <w:tcW w:w="7280" w:type="dxa"/>
            <w:shd w:val="clear" w:color="auto" w:fill="FFFFFF"/>
            <w:noWrap w:val="0"/>
            <w:vAlign w:val="center"/>
          </w:tcPr>
          <w:p w14:paraId="106BE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放置到实验室的项目相关设备徐符合相关规定时限且满足相关病理工作的开展。</w:t>
            </w:r>
          </w:p>
        </w:tc>
        <w:tc>
          <w:tcPr>
            <w:tcW w:w="1248" w:type="dxa"/>
            <w:shd w:val="clear" w:color="auto" w:fill="FFFFFF"/>
            <w:noWrap w:val="0"/>
            <w:vAlign w:val="center"/>
          </w:tcPr>
          <w:p w14:paraId="42AB1E1D">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30FE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shd w:val="clear" w:color="auto" w:fill="FFFFFF"/>
            <w:noWrap w:val="0"/>
            <w:vAlign w:val="center"/>
          </w:tcPr>
          <w:p w14:paraId="72C105AA">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7280" w:type="dxa"/>
            <w:shd w:val="clear" w:color="auto" w:fill="FFFFFF"/>
            <w:noWrap w:val="0"/>
            <w:vAlign w:val="center"/>
          </w:tcPr>
          <w:p w14:paraId="5654A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运输冷链系统要求：</w:t>
            </w:r>
          </w:p>
        </w:tc>
        <w:tc>
          <w:tcPr>
            <w:tcW w:w="1248" w:type="dxa"/>
            <w:shd w:val="clear" w:color="auto" w:fill="FFFFFF"/>
            <w:noWrap w:val="0"/>
            <w:vAlign w:val="center"/>
          </w:tcPr>
          <w:p w14:paraId="417F0B59">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6551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7F8BFE">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▲10.1</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E5D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所有样本运送必须采用符合相关标准的冷链物流车或转送车辆及冷链物流箱，冷链物流车或转送车辆及冷链物流箱配备数量满足标本转送要求；</w:t>
            </w:r>
          </w:p>
        </w:tc>
        <w:tc>
          <w:tcPr>
            <w:tcW w:w="1248" w:type="dxa"/>
            <w:shd w:val="clear" w:color="auto" w:fill="FFFFFF"/>
            <w:noWrap w:val="0"/>
            <w:vAlign w:val="center"/>
          </w:tcPr>
          <w:p w14:paraId="385A0725">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2DC3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2E2E99">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10.2</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42C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运输车辆拥有运输标本专业设备如生物安全转运箱，并装有处置生物安全应急事件的应急箱及消毒用喷壶,可以应对突发生物安全事件的现场处置；</w:t>
            </w:r>
          </w:p>
        </w:tc>
        <w:tc>
          <w:tcPr>
            <w:tcW w:w="1248" w:type="dxa"/>
            <w:shd w:val="clear" w:color="auto" w:fill="FFFFFF"/>
            <w:noWrap w:val="0"/>
            <w:vAlign w:val="center"/>
          </w:tcPr>
          <w:p w14:paraId="554CBC43">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5A14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4686A3">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10.3</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815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可实时监控物流各个环节的温度的系统和终端设备，能够对物流的全程进行温度监控、报警及记录，能够对整个过程进行溯源管理，并能够提交相关记录的纸质文档，以留档备查。一年3次以上无法进行运送温度溯源，采购人有权终止合同，并追究相关损失。</w:t>
            </w:r>
          </w:p>
        </w:tc>
        <w:tc>
          <w:tcPr>
            <w:tcW w:w="1248" w:type="dxa"/>
            <w:shd w:val="clear" w:color="auto" w:fill="FFFFFF"/>
            <w:noWrap w:val="0"/>
            <w:vAlign w:val="center"/>
          </w:tcPr>
          <w:p w14:paraId="0ACA3B9F">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3297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BF370">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1DD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根据业务需要，由中标人提供所有所需要的试剂及耗材，耗材和试剂需符合国家规范。</w:t>
            </w:r>
          </w:p>
        </w:tc>
        <w:tc>
          <w:tcPr>
            <w:tcW w:w="1248" w:type="dxa"/>
            <w:shd w:val="clear" w:color="auto" w:fill="FFFFFF"/>
            <w:noWrap w:val="0"/>
            <w:vAlign w:val="center"/>
          </w:tcPr>
          <w:p w14:paraId="026B7379">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4B9B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03E2E6">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C29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项目团队人员：</w:t>
            </w:r>
          </w:p>
        </w:tc>
        <w:tc>
          <w:tcPr>
            <w:tcW w:w="1248" w:type="dxa"/>
            <w:shd w:val="clear" w:color="auto" w:fill="FFFFFF"/>
            <w:noWrap w:val="0"/>
            <w:vAlign w:val="center"/>
          </w:tcPr>
          <w:p w14:paraId="72C3472F">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256D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8F0876">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12.1</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2D0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供应商需为本项目设置专人负责标本收集；</w:t>
            </w:r>
          </w:p>
          <w:p w14:paraId="64CB1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注：供应商须在投标文件中提供该人员情况的相关说明，未提供或无法说明的本项即为负偏离。</w:t>
            </w:r>
          </w:p>
        </w:tc>
        <w:tc>
          <w:tcPr>
            <w:tcW w:w="1248" w:type="dxa"/>
            <w:shd w:val="clear" w:color="auto" w:fill="FFFFFF"/>
            <w:noWrap w:val="0"/>
            <w:vAlign w:val="center"/>
          </w:tcPr>
          <w:p w14:paraId="0DBA9877">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40BD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E18CF8">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12.2</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DC50F7">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项目团队人员需配备至少10名诊断医生，其中主任级别至少1名，副主任级别至少3名。</w:t>
            </w:r>
          </w:p>
          <w:p w14:paraId="7F386010">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注：供应商须在投标文件中提供人员团队的相关证明材料，未提供或无法说明的本项即为负偏离。</w:t>
            </w:r>
          </w:p>
        </w:tc>
        <w:tc>
          <w:tcPr>
            <w:tcW w:w="1248" w:type="dxa"/>
            <w:shd w:val="clear" w:color="auto" w:fill="FFFFFF"/>
            <w:noWrap w:val="0"/>
            <w:vAlign w:val="center"/>
          </w:tcPr>
          <w:p w14:paraId="65A79940">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2E56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E5DA9C">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B67162">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采购人现有LIS系统，供应商出具的检测报告需与该系统进行对接；</w:t>
            </w:r>
          </w:p>
        </w:tc>
        <w:tc>
          <w:tcPr>
            <w:tcW w:w="1248" w:type="dxa"/>
            <w:shd w:val="clear" w:color="auto" w:fill="FFFFFF"/>
            <w:noWrap w:val="0"/>
            <w:vAlign w:val="center"/>
          </w:tcPr>
          <w:p w14:paraId="7AF20B17">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3ED0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0E46C0">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664285">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供应商需结合自身实际情况提供针对检验专业方面的质量控制、技术提升等相关内容的培训服务不少于1次；</w:t>
            </w:r>
          </w:p>
        </w:tc>
        <w:tc>
          <w:tcPr>
            <w:tcW w:w="1248" w:type="dxa"/>
            <w:shd w:val="clear" w:color="auto" w:fill="FFFFFF"/>
            <w:noWrap w:val="0"/>
            <w:vAlign w:val="center"/>
          </w:tcPr>
          <w:p w14:paraId="27C45DDD">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5DB9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561E82">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15</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402163">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术中冰冻：</w:t>
            </w:r>
          </w:p>
        </w:tc>
        <w:tc>
          <w:tcPr>
            <w:tcW w:w="1248" w:type="dxa"/>
            <w:shd w:val="clear" w:color="auto" w:fill="FFFFFF"/>
            <w:noWrap w:val="0"/>
            <w:vAlign w:val="center"/>
          </w:tcPr>
          <w:p w14:paraId="197882F9">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22C9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C84DE0">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15.1</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B279B3">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提供至少1名标本接收处理、冰冻切片染色制片及联络人员驻点服务，该人员的安全管理、工作管理、专业培训收入、待遇等全部由中标人承担；</w:t>
            </w:r>
          </w:p>
        </w:tc>
        <w:tc>
          <w:tcPr>
            <w:tcW w:w="1248" w:type="dxa"/>
            <w:shd w:val="clear" w:color="auto" w:fill="FFFFFF"/>
            <w:noWrap w:val="0"/>
            <w:vAlign w:val="center"/>
          </w:tcPr>
          <w:p w14:paraId="3AE22B62">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1BC3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A633B8">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▲15.2</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78726C">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术中冰冻诊断，需要30分钟内出具检测报告；</w:t>
            </w:r>
          </w:p>
        </w:tc>
        <w:tc>
          <w:tcPr>
            <w:tcW w:w="1248" w:type="dxa"/>
            <w:shd w:val="clear" w:color="auto" w:fill="FFFFFF"/>
            <w:noWrap w:val="0"/>
            <w:vAlign w:val="center"/>
          </w:tcPr>
          <w:p w14:paraId="7B69261A">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4EF2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734145">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▲15.3</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5AA64F">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冰冻报告，需由三级医院副高或以上病理医师出具，报告为中标人出具。</w:t>
            </w:r>
          </w:p>
          <w:p w14:paraId="71BC405D">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注：供应商须在投标文件中提供相关专家人员名单作为佐证材料，未提供或无法说明的本项即为负偏离。</w:t>
            </w:r>
          </w:p>
        </w:tc>
        <w:tc>
          <w:tcPr>
            <w:tcW w:w="1248" w:type="dxa"/>
            <w:shd w:val="clear" w:color="auto" w:fill="FFFFFF"/>
            <w:noWrap w:val="0"/>
            <w:vAlign w:val="center"/>
          </w:tcPr>
          <w:p w14:paraId="39A26F02">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713E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A40687">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909668">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如中标人合同到期，医院更换合作单位时，现中标人需做好对接工作，需等下一合作单位可使医院实验室正常运行后，方可撤出，不得中途撤出。</w:t>
            </w:r>
          </w:p>
        </w:tc>
        <w:tc>
          <w:tcPr>
            <w:tcW w:w="1248" w:type="dxa"/>
            <w:shd w:val="clear" w:color="auto" w:fill="FFFFFF"/>
            <w:noWrap w:val="0"/>
            <w:vAlign w:val="center"/>
          </w:tcPr>
          <w:p w14:paraId="3D151DD3">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48F2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A484E0">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933955">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常规病理：</w:t>
            </w:r>
          </w:p>
        </w:tc>
        <w:tc>
          <w:tcPr>
            <w:tcW w:w="1248" w:type="dxa"/>
            <w:shd w:val="clear" w:color="auto" w:fill="FFFFFF"/>
            <w:noWrap w:val="0"/>
            <w:vAlign w:val="center"/>
          </w:tcPr>
          <w:p w14:paraId="5A06D0B2">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14A3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910BC5">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17.1</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F890C22">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全年</w:t>
            </w:r>
            <w:r>
              <w:rPr>
                <w:rFonts w:hint="eastAsia" w:ascii="宋体" w:hAnsi="宋体" w:eastAsia="宋体" w:cs="宋体"/>
                <w:color w:val="auto"/>
                <w:sz w:val="24"/>
                <w:highlight w:val="none"/>
                <w:lang w:val="en-US" w:eastAsia="zh-CN"/>
              </w:rPr>
              <w:t>周-至周六安排专人</w:t>
            </w:r>
            <w:r>
              <w:rPr>
                <w:rFonts w:hint="eastAsia" w:ascii="宋体" w:hAnsi="宋体" w:eastAsia="宋体" w:cs="宋体"/>
                <w:color w:val="auto"/>
                <w:sz w:val="24"/>
                <w:highlight w:val="none"/>
                <w:lang w:eastAsia="zh-CN"/>
              </w:rPr>
              <w:t>收取标本，特殊情况可根据科室需</w:t>
            </w:r>
            <w:r>
              <w:rPr>
                <w:rFonts w:hint="eastAsia" w:ascii="宋体" w:hAnsi="宋体" w:eastAsia="宋体" w:cs="宋体"/>
                <w:color w:val="auto"/>
                <w:sz w:val="24"/>
                <w:highlight w:val="none"/>
                <w:lang w:val="en-US" w:eastAsia="zh-CN"/>
              </w:rPr>
              <w:t>求调整；</w:t>
            </w:r>
          </w:p>
        </w:tc>
        <w:tc>
          <w:tcPr>
            <w:tcW w:w="1248" w:type="dxa"/>
            <w:shd w:val="clear" w:color="auto" w:fill="FFFFFF"/>
            <w:noWrap w:val="0"/>
            <w:vAlign w:val="center"/>
          </w:tcPr>
          <w:p w14:paraId="5030108D">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52D0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A4FAAE">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★17.2</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FD270A4">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收样后（不含当日与</w:t>
            </w:r>
            <w:r>
              <w:rPr>
                <w:rFonts w:hint="eastAsia" w:ascii="宋体" w:hAnsi="宋体" w:eastAsia="宋体" w:cs="宋体"/>
                <w:color w:val="auto"/>
                <w:sz w:val="24"/>
                <w:highlight w:val="none"/>
                <w:lang w:eastAsia="zh-CN"/>
              </w:rPr>
              <w:t>周末两天</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细胞学诊断</w:t>
            </w:r>
            <w:r>
              <w:rPr>
                <w:rFonts w:hint="eastAsia" w:ascii="宋体" w:hAnsi="宋体" w:eastAsia="宋体" w:cs="宋体"/>
                <w:color w:val="auto"/>
                <w:sz w:val="24"/>
                <w:highlight w:val="none"/>
                <w:lang w:val="en-US" w:eastAsia="zh-CN"/>
              </w:rPr>
              <w:t>2个工作日报告；</w:t>
            </w:r>
            <w:r>
              <w:rPr>
                <w:rFonts w:hint="eastAsia" w:ascii="宋体" w:hAnsi="宋体" w:eastAsia="宋体" w:cs="宋体"/>
                <w:color w:val="auto"/>
                <w:sz w:val="24"/>
                <w:highlight w:val="none"/>
                <w:lang w:eastAsia="zh-CN"/>
              </w:rPr>
              <w:t>石蜡切片3个工作日报告；免疫组织化学染色及特殊染色</w:t>
            </w:r>
            <w:r>
              <w:rPr>
                <w:rFonts w:hint="eastAsia" w:ascii="宋体" w:hAnsi="宋体" w:eastAsia="宋体" w:cs="宋体"/>
                <w:color w:val="auto"/>
                <w:sz w:val="24"/>
                <w:highlight w:val="none"/>
                <w:lang w:val="en-US" w:eastAsia="zh-CN"/>
              </w:rPr>
              <w:t>4-5个工作日报告；</w:t>
            </w:r>
          </w:p>
        </w:tc>
        <w:tc>
          <w:tcPr>
            <w:tcW w:w="1248" w:type="dxa"/>
            <w:shd w:val="clear" w:color="auto" w:fill="FFFFFF"/>
            <w:noWrap w:val="0"/>
            <w:vAlign w:val="center"/>
          </w:tcPr>
          <w:p w14:paraId="485EC78D">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41C3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4245B5">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17.3</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C9ECA27">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如危急值病人，通过电话等方式及时通知。</w:t>
            </w:r>
          </w:p>
        </w:tc>
        <w:tc>
          <w:tcPr>
            <w:tcW w:w="1248" w:type="dxa"/>
            <w:shd w:val="clear" w:color="auto" w:fill="FFFFFF"/>
            <w:noWrap w:val="0"/>
            <w:vAlign w:val="center"/>
          </w:tcPr>
          <w:p w14:paraId="2EDC635B">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6917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1"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50AD0A">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18</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149838">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远程会诊平台：提供远程会诊软件，支持冰冻远程诊断及质控。</w:t>
            </w:r>
          </w:p>
        </w:tc>
        <w:tc>
          <w:tcPr>
            <w:tcW w:w="1248" w:type="dxa"/>
            <w:shd w:val="clear" w:color="auto" w:fill="FFFFFF"/>
            <w:noWrap w:val="0"/>
            <w:vAlign w:val="center"/>
          </w:tcPr>
          <w:p w14:paraId="5F480462">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1841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1979F4">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E4715F">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eastAsia="zh-CN"/>
              </w:rPr>
              <w:t>质量及安全事件处理：</w:t>
            </w:r>
          </w:p>
        </w:tc>
        <w:tc>
          <w:tcPr>
            <w:tcW w:w="1248" w:type="dxa"/>
            <w:shd w:val="clear" w:color="auto" w:fill="FFFFFF"/>
            <w:noWrap w:val="0"/>
            <w:vAlign w:val="center"/>
          </w:tcPr>
          <w:p w14:paraId="66A4607A">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eastAsia="zh-CN"/>
              </w:rPr>
            </w:pPr>
          </w:p>
        </w:tc>
      </w:tr>
      <w:tr w14:paraId="3BAD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9A9B18">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19.1</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F63991">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如因中标人在标本保存、运送、检测、报告发放等环节质量控制不到位等原因导致检验标本不能检测或检测结果不准确，引发临床诊疗中的医疗纠纷甚至医疗事故，后果由中标人承担；</w:t>
            </w:r>
          </w:p>
        </w:tc>
        <w:tc>
          <w:tcPr>
            <w:tcW w:w="1248" w:type="dxa"/>
            <w:shd w:val="clear" w:color="auto" w:fill="FFFFFF"/>
            <w:noWrap w:val="0"/>
            <w:vAlign w:val="center"/>
          </w:tcPr>
          <w:p w14:paraId="714E0F8E">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eastAsia="zh-CN"/>
              </w:rPr>
            </w:pPr>
          </w:p>
        </w:tc>
      </w:tr>
      <w:tr w14:paraId="498C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E9123F">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19.2</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3C9413">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人列出的报告时间出具报告，延迟需第一时间通知，因报告延误造成的病人纠纷、赔偿等由中标人负责；出具的所有报告质量和规范必须符合质控要求，疑难病例有专家组会诊，如因报告不符合相关要求引起的纠纷，有中标人负责；如屡次不改，医院有权终止合同；</w:t>
            </w:r>
          </w:p>
        </w:tc>
        <w:tc>
          <w:tcPr>
            <w:tcW w:w="1248" w:type="dxa"/>
            <w:shd w:val="clear" w:color="auto" w:fill="FFFFFF"/>
            <w:noWrap w:val="0"/>
            <w:vAlign w:val="center"/>
          </w:tcPr>
          <w:p w14:paraId="1786387F">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eastAsia="zh-CN"/>
              </w:rPr>
            </w:pPr>
          </w:p>
        </w:tc>
      </w:tr>
      <w:tr w14:paraId="2B76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A282D9">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19.3</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379634">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中标人应对患者病历、标本及检测结果等相关资料做好保密措施； </w:t>
            </w:r>
          </w:p>
        </w:tc>
        <w:tc>
          <w:tcPr>
            <w:tcW w:w="1248" w:type="dxa"/>
            <w:shd w:val="clear" w:color="auto" w:fill="FFFFFF"/>
            <w:noWrap w:val="0"/>
            <w:vAlign w:val="center"/>
          </w:tcPr>
          <w:p w14:paraId="57CA0C63">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eastAsia="zh-CN"/>
              </w:rPr>
            </w:pPr>
          </w:p>
        </w:tc>
      </w:tr>
      <w:tr w14:paraId="4AC3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CA3045">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19.4</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95839B">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中标人应加强生物安全管理，防范院感及安全事件发生，如因中标人在标本保存、运送、检测等环节生物安全管理不到位导致安全事件发生，后果由中标人承担；</w:t>
            </w:r>
          </w:p>
        </w:tc>
        <w:tc>
          <w:tcPr>
            <w:tcW w:w="1248" w:type="dxa"/>
            <w:shd w:val="clear" w:color="auto" w:fill="FFFFFF"/>
            <w:noWrap w:val="0"/>
            <w:vAlign w:val="center"/>
          </w:tcPr>
          <w:p w14:paraId="794C2BCE">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eastAsia="zh-CN"/>
              </w:rPr>
            </w:pPr>
          </w:p>
        </w:tc>
      </w:tr>
      <w:tr w14:paraId="796F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6A29EE">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19.5</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A74EB6">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中标人在合作期内因为质量问题，名字错误等造成的病人纠纷全由中标人负责，且医院有权终止合同；</w:t>
            </w:r>
          </w:p>
        </w:tc>
        <w:tc>
          <w:tcPr>
            <w:tcW w:w="1248" w:type="dxa"/>
            <w:shd w:val="clear" w:color="auto" w:fill="FFFFFF"/>
            <w:noWrap w:val="0"/>
            <w:vAlign w:val="center"/>
          </w:tcPr>
          <w:p w14:paraId="75122E32">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eastAsia="zh-CN"/>
              </w:rPr>
            </w:pPr>
          </w:p>
        </w:tc>
      </w:tr>
      <w:tr w14:paraId="1D67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9206B3">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19.6</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CFE30E">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中标人对医院不明原因（非院方及患者原因或产品质量等问题）引起的医疗投诉、纠纷，能协助招标方做好患者的协调工作，并承担一定的处理费用；</w:t>
            </w:r>
          </w:p>
        </w:tc>
        <w:tc>
          <w:tcPr>
            <w:tcW w:w="1248" w:type="dxa"/>
            <w:shd w:val="clear" w:color="auto" w:fill="FFFFFF"/>
            <w:noWrap w:val="0"/>
            <w:vAlign w:val="center"/>
          </w:tcPr>
          <w:p w14:paraId="11538A87">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eastAsia="zh-CN"/>
              </w:rPr>
            </w:pPr>
          </w:p>
        </w:tc>
      </w:tr>
      <w:tr w14:paraId="62E2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DDBCD2">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19.7</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0561F1">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石蜡片保存条件和时限、处置等按照国家相关规定执行，不得外流；未经本人及家属同意不得用于其他科研等，如因上述原因引起的纠纷，需中标人全部承担责任；</w:t>
            </w:r>
          </w:p>
        </w:tc>
        <w:tc>
          <w:tcPr>
            <w:tcW w:w="1248" w:type="dxa"/>
            <w:shd w:val="clear" w:color="auto" w:fill="FFFFFF"/>
            <w:noWrap w:val="0"/>
            <w:vAlign w:val="center"/>
          </w:tcPr>
          <w:p w14:paraId="5A42C131">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eastAsia="zh-CN"/>
              </w:rPr>
            </w:pPr>
          </w:p>
        </w:tc>
      </w:tr>
      <w:tr w14:paraId="7F1E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E24860">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19.8</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7107F2">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中标人承诺实验室所有工作均按照相关质控等要求开展，如有违规行为，所有后果均由中标人承担。</w:t>
            </w:r>
          </w:p>
        </w:tc>
        <w:tc>
          <w:tcPr>
            <w:tcW w:w="1248" w:type="dxa"/>
            <w:shd w:val="clear" w:color="auto" w:fill="FFFFFF"/>
            <w:noWrap w:val="0"/>
            <w:vAlign w:val="center"/>
          </w:tcPr>
          <w:p w14:paraId="69572F4A">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eastAsia="zh-CN"/>
              </w:rPr>
            </w:pPr>
          </w:p>
        </w:tc>
      </w:tr>
      <w:tr w14:paraId="614D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04947D">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6DA70C">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冰冻切片机：            1台</w:t>
            </w:r>
          </w:p>
        </w:tc>
        <w:tc>
          <w:tcPr>
            <w:tcW w:w="1248" w:type="dxa"/>
            <w:shd w:val="clear" w:color="auto" w:fill="FFFFFF"/>
            <w:noWrap w:val="0"/>
            <w:vAlign w:val="center"/>
          </w:tcPr>
          <w:p w14:paraId="0D0BCF17">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0568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4338EA">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20.1</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6D374E">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高性能压缩机制冷，保障样本冷冻迅速；</w:t>
            </w:r>
          </w:p>
        </w:tc>
        <w:tc>
          <w:tcPr>
            <w:tcW w:w="1248" w:type="dxa"/>
            <w:shd w:val="clear" w:color="auto" w:fill="FFFFFF"/>
            <w:noWrap w:val="0"/>
            <w:vAlign w:val="center"/>
          </w:tcPr>
          <w:p w14:paraId="73C54580">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1132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45C707">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20.2</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89159">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冷冻室温度范围：-35℃～40℃可调；</w:t>
            </w:r>
          </w:p>
        </w:tc>
        <w:tc>
          <w:tcPr>
            <w:tcW w:w="1248" w:type="dxa"/>
            <w:shd w:val="clear" w:color="auto" w:fill="FFFFFF"/>
            <w:noWrap w:val="0"/>
            <w:vAlign w:val="center"/>
          </w:tcPr>
          <w:p w14:paraId="14AC915C">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7948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796FF7">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20.3</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EA713E">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冷台一次冷冻样本数量≥20个；冷台最低可达到-40℃；</w:t>
            </w:r>
          </w:p>
        </w:tc>
        <w:tc>
          <w:tcPr>
            <w:tcW w:w="1248" w:type="dxa"/>
            <w:shd w:val="clear" w:color="auto" w:fill="FFFFFF"/>
            <w:noWrap w:val="0"/>
            <w:vAlign w:val="center"/>
          </w:tcPr>
          <w:p w14:paraId="6F882D04">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1EE6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005BDC">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20.4</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848546">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具有2个半导体快速制冷点，最低温度可达-</w:t>
            </w:r>
            <w:r>
              <w:rPr>
                <w:rFonts w:hint="default" w:ascii="宋体" w:hAnsi="宋体" w:eastAsia="宋体" w:cs="宋体"/>
                <w:color w:val="auto"/>
                <w:sz w:val="24"/>
                <w:highlight w:val="none"/>
                <w:lang w:val="en-US" w:eastAsia="zh-CN"/>
              </w:rPr>
              <w:t>60</w:t>
            </w:r>
            <w:r>
              <w:rPr>
                <w:rFonts w:hint="eastAsia" w:ascii="宋体" w:hAnsi="宋体" w:eastAsia="宋体" w:cs="宋体"/>
                <w:color w:val="auto"/>
                <w:sz w:val="24"/>
                <w:highlight w:val="none"/>
                <w:lang w:val="en-US" w:eastAsia="zh-CN"/>
              </w:rPr>
              <w:t xml:space="preserve">℃； </w:t>
            </w:r>
          </w:p>
        </w:tc>
        <w:tc>
          <w:tcPr>
            <w:tcW w:w="1248" w:type="dxa"/>
            <w:shd w:val="clear" w:color="auto" w:fill="FFFFFF"/>
            <w:noWrap w:val="0"/>
            <w:vAlign w:val="center"/>
          </w:tcPr>
          <w:p w14:paraId="51F60FD8">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0DD3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8B0C11">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20.5</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AF1E68">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切片厚度范围：0-100um，修片厚度：0μm～600μm；</w:t>
            </w:r>
          </w:p>
        </w:tc>
        <w:tc>
          <w:tcPr>
            <w:tcW w:w="1248" w:type="dxa"/>
            <w:shd w:val="clear" w:color="auto" w:fill="FFFFFF"/>
            <w:noWrap w:val="0"/>
            <w:vAlign w:val="center"/>
          </w:tcPr>
          <w:p w14:paraId="28B70235">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6A61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3D7C69">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20.6</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7DD185">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具有样品回缩功能，调节范围：0-200μm ，可设步进量5μm；</w:t>
            </w:r>
          </w:p>
        </w:tc>
        <w:tc>
          <w:tcPr>
            <w:tcW w:w="1248" w:type="dxa"/>
            <w:shd w:val="clear" w:color="auto" w:fill="FFFFFF"/>
            <w:noWrap w:val="0"/>
            <w:vAlign w:val="center"/>
          </w:tcPr>
          <w:p w14:paraId="54735322">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1BD5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8F5880">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20.7</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0139BB">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样本托：标配≥2种规格大小，方便放置不同大小样本；样本托颜色≥4种，方便区分不同样本；</w:t>
            </w:r>
          </w:p>
          <w:p w14:paraId="499D0C68">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注：供应商须在投标文件中提供相关实物图片作为佐证，未提供或无法说明的本项即为负偏离。</w:t>
            </w:r>
          </w:p>
        </w:tc>
        <w:tc>
          <w:tcPr>
            <w:tcW w:w="1248" w:type="dxa"/>
            <w:shd w:val="clear" w:color="auto" w:fill="FFFFFF"/>
            <w:noWrap w:val="0"/>
            <w:vAlign w:val="center"/>
          </w:tcPr>
          <w:p w14:paraId="1C61F1A9">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27D6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4681AC">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20.8</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2E78DA">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样本进样速度：两档可调，300μm/s、900μm/s；</w:t>
            </w:r>
          </w:p>
        </w:tc>
        <w:tc>
          <w:tcPr>
            <w:tcW w:w="1248" w:type="dxa"/>
            <w:shd w:val="clear" w:color="auto" w:fill="FFFFFF"/>
            <w:noWrap w:val="0"/>
            <w:vAlign w:val="center"/>
          </w:tcPr>
          <w:p w14:paraId="157505EA">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03E0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F650C2">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20.9</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B3CE6C">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水平行程：25mm；垂直行程：59mm；</w:t>
            </w:r>
          </w:p>
        </w:tc>
        <w:tc>
          <w:tcPr>
            <w:tcW w:w="1248" w:type="dxa"/>
            <w:shd w:val="clear" w:color="auto" w:fill="FFFFFF"/>
            <w:noWrap w:val="0"/>
            <w:vAlign w:val="center"/>
          </w:tcPr>
          <w:p w14:paraId="2802893E">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6BC0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FB750C">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20.10</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EEB912">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样品定位：X轴和Y轴12°定位，Z轴360°旋转；</w:t>
            </w:r>
          </w:p>
        </w:tc>
        <w:tc>
          <w:tcPr>
            <w:tcW w:w="1248" w:type="dxa"/>
            <w:shd w:val="clear" w:color="auto" w:fill="FFFFFF"/>
            <w:noWrap w:val="0"/>
            <w:vAlign w:val="center"/>
          </w:tcPr>
          <w:p w14:paraId="64FBC2A9">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129F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3E80D9">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20.11</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16D117">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自动预约休眠、除霜功能；</w:t>
            </w:r>
          </w:p>
        </w:tc>
        <w:tc>
          <w:tcPr>
            <w:tcW w:w="1248" w:type="dxa"/>
            <w:shd w:val="clear" w:color="auto" w:fill="FFFFFF"/>
            <w:noWrap w:val="0"/>
            <w:vAlign w:val="center"/>
          </w:tcPr>
          <w:p w14:paraId="549805A2">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3B1E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4379FA">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20.12</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F558B">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冷台具有无霜设计，避免结霜对切片进程的影响；</w:t>
            </w:r>
          </w:p>
        </w:tc>
        <w:tc>
          <w:tcPr>
            <w:tcW w:w="1248" w:type="dxa"/>
            <w:shd w:val="clear" w:color="auto" w:fill="FFFFFF"/>
            <w:noWrap w:val="0"/>
            <w:vAlign w:val="center"/>
          </w:tcPr>
          <w:p w14:paraId="126CC2B9">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49C4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571548">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20.13</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816C24">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具有烘烤化霜功能，可将箱体加热至40℃，高效彻底除去箱体内部的凝结霜；</w:t>
            </w:r>
          </w:p>
        </w:tc>
        <w:tc>
          <w:tcPr>
            <w:tcW w:w="1248" w:type="dxa"/>
            <w:shd w:val="clear" w:color="auto" w:fill="FFFFFF"/>
            <w:noWrap w:val="0"/>
            <w:vAlign w:val="center"/>
          </w:tcPr>
          <w:p w14:paraId="05AAF32E">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0B30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5D2675">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20.14</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F72159">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具有自动UV消毒功能，有效控制箱体内的细菌繁殖；</w:t>
            </w:r>
          </w:p>
        </w:tc>
        <w:tc>
          <w:tcPr>
            <w:tcW w:w="1248" w:type="dxa"/>
            <w:shd w:val="clear" w:color="auto" w:fill="FFFFFF"/>
            <w:noWrap w:val="0"/>
            <w:vAlign w:val="center"/>
          </w:tcPr>
          <w:p w14:paraId="6E58FAC2">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07F6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D30A92">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20.15</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3B7AFB">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具有防雾玻璃面板，可全面加热，严格保障玻璃窗不结霜；</w:t>
            </w:r>
          </w:p>
        </w:tc>
        <w:tc>
          <w:tcPr>
            <w:tcW w:w="1248" w:type="dxa"/>
            <w:shd w:val="clear" w:color="auto" w:fill="FFFFFF"/>
            <w:noWrap w:val="0"/>
            <w:vAlign w:val="center"/>
          </w:tcPr>
          <w:p w14:paraId="264DC2A8">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1C0F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7C673B">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20.16</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ABCF91">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具有左侧按键面板：可边切边调节切</w:t>
            </w:r>
            <w:r>
              <w:rPr>
                <w:rFonts w:hint="default" w:ascii="宋体" w:hAnsi="宋体" w:eastAsia="宋体" w:cs="宋体"/>
                <w:color w:val="auto"/>
                <w:sz w:val="24"/>
                <w:highlight w:val="none"/>
                <w:lang w:val="en-US" w:eastAsia="zh-CN"/>
              </w:rPr>
              <w:t>修</w:t>
            </w:r>
            <w:r>
              <w:rPr>
                <w:rFonts w:hint="eastAsia" w:ascii="宋体" w:hAnsi="宋体" w:eastAsia="宋体" w:cs="宋体"/>
                <w:color w:val="auto"/>
                <w:sz w:val="24"/>
                <w:highlight w:val="none"/>
                <w:lang w:val="en-US" w:eastAsia="zh-CN"/>
              </w:rPr>
              <w:t>片参数及样本前进与后退，操作方便快捷；</w:t>
            </w:r>
          </w:p>
        </w:tc>
        <w:tc>
          <w:tcPr>
            <w:tcW w:w="1248" w:type="dxa"/>
            <w:shd w:val="clear" w:color="auto" w:fill="FFFFFF"/>
            <w:noWrap w:val="0"/>
            <w:vAlign w:val="center"/>
          </w:tcPr>
          <w:p w14:paraId="17ED6907">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r w14:paraId="42FB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056441">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20.17</w:t>
            </w:r>
          </w:p>
        </w:tc>
        <w:tc>
          <w:tcPr>
            <w:tcW w:w="72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24FFC8">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人机交互：采用≥7</w:t>
            </w:r>
            <w:r>
              <w:rPr>
                <w:rFonts w:hint="default" w:ascii="宋体" w:hAnsi="宋体" w:eastAsia="宋体" w:cs="宋体"/>
                <w:color w:val="auto"/>
                <w:sz w:val="24"/>
                <w:highlight w:val="none"/>
                <w:lang w:val="en-US" w:eastAsia="zh-CN"/>
              </w:rPr>
              <w:t>英</w:t>
            </w:r>
            <w:r>
              <w:rPr>
                <w:rFonts w:hint="eastAsia" w:ascii="宋体" w:hAnsi="宋体" w:eastAsia="宋体" w:cs="宋体"/>
                <w:color w:val="auto"/>
                <w:sz w:val="24"/>
                <w:highlight w:val="none"/>
                <w:lang w:val="en-US" w:eastAsia="zh-CN"/>
              </w:rPr>
              <w:t>寸彩色液晶触摸屏，任何参数和功能设定都可通过触摸显示屏进行设置和制定。</w:t>
            </w:r>
          </w:p>
        </w:tc>
        <w:tc>
          <w:tcPr>
            <w:tcW w:w="1248" w:type="dxa"/>
            <w:shd w:val="clear" w:color="auto" w:fill="FFFFFF"/>
            <w:noWrap w:val="0"/>
            <w:vAlign w:val="center"/>
          </w:tcPr>
          <w:p w14:paraId="155B4338">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Cs/>
                <w:color w:val="auto"/>
                <w:sz w:val="24"/>
                <w:highlight w:val="none"/>
                <w:lang w:val="en-US" w:eastAsia="zh-CN"/>
              </w:rPr>
            </w:pPr>
          </w:p>
        </w:tc>
      </w:tr>
    </w:tbl>
    <w:p w14:paraId="0BCE90E5">
      <w:pPr>
        <w:pStyle w:val="81"/>
        <w:rPr>
          <w:rFonts w:hint="eastAsia" w:ascii="宋体" w:hAnsi="宋体" w:eastAsia="宋体" w:cs="宋体"/>
          <w:b/>
          <w:bCs w:val="0"/>
          <w:color w:val="auto"/>
          <w:kern w:val="0"/>
          <w:sz w:val="24"/>
          <w:szCs w:val="24"/>
          <w:highlight w:val="none"/>
          <w:lang w:val="en-US" w:eastAsia="zh-CN"/>
        </w:rPr>
      </w:pPr>
    </w:p>
    <w:p w14:paraId="75FD20F6">
      <w:pPr>
        <w:rPr>
          <w:rFonts w:hint="eastAsia" w:ascii="宋体" w:hAnsi="宋体" w:eastAsia="宋体" w:cs="宋体"/>
          <w:b/>
          <w:bCs w:val="0"/>
          <w:color w:val="auto"/>
          <w:kern w:val="0"/>
          <w:sz w:val="24"/>
          <w:szCs w:val="24"/>
          <w:highlight w:val="none"/>
          <w:lang w:val="en-US" w:eastAsia="zh-CN"/>
        </w:rPr>
      </w:pPr>
    </w:p>
    <w:p w14:paraId="34B4CD08">
      <w:pPr>
        <w:widowControl/>
        <w:adjustRightInd/>
        <w:spacing w:afterLines="0" w:line="360" w:lineRule="auto"/>
        <w:jc w:val="left"/>
        <w:rPr>
          <w:rFonts w:hint="default" w:ascii="Times New Roman" w:hAnsi="Times New Roman" w:eastAsia="宋体" w:cs="Times New Roman"/>
          <w:b/>
          <w:bCs/>
          <w:color w:val="auto"/>
          <w:kern w:val="0"/>
          <w:szCs w:val="20"/>
          <w:highlight w:val="none"/>
          <w:lang w:val="en-US" w:eastAsia="zh-CN"/>
        </w:rPr>
      </w:pPr>
      <w:r>
        <w:rPr>
          <w:rFonts w:hint="eastAsia" w:ascii="宋体" w:hAnsi="宋体" w:cs="宋体"/>
          <w:b/>
          <w:bCs w:val="0"/>
          <w:color w:val="auto"/>
          <w:kern w:val="0"/>
          <w:sz w:val="24"/>
          <w:szCs w:val="24"/>
          <w:highlight w:val="none"/>
          <w:lang w:val="en-US" w:eastAsia="zh-CN"/>
        </w:rPr>
        <w:t>三</w:t>
      </w:r>
      <w:r>
        <w:rPr>
          <w:rFonts w:hint="eastAsia" w:ascii="宋体" w:hAnsi="宋体" w:eastAsia="宋体" w:cs="宋体"/>
          <w:b/>
          <w:bCs w:val="0"/>
          <w:color w:val="auto"/>
          <w:kern w:val="0"/>
          <w:sz w:val="24"/>
          <w:szCs w:val="24"/>
          <w:highlight w:val="none"/>
          <w:lang w:val="en-US" w:eastAsia="zh-CN"/>
        </w:rPr>
        <w:t>、其他要求</w:t>
      </w:r>
    </w:p>
    <w:p w14:paraId="74A13EEB">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供应商需在投标文件中提供需求响应、项目总体实施方案、检测质量控制措施、培训方案</w:t>
      </w:r>
      <w:r>
        <w:rPr>
          <w:rFonts w:hint="eastAsia" w:ascii="宋体" w:hAnsi="宋体" w:cs="宋体"/>
          <w:b w:val="0"/>
          <w:bCs/>
          <w:color w:val="auto"/>
          <w:kern w:val="0"/>
          <w:sz w:val="24"/>
          <w:szCs w:val="24"/>
          <w:highlight w:val="none"/>
          <w:lang w:val="en-US" w:eastAsia="zh-CN"/>
        </w:rPr>
        <w:t>、病理外送时效保障方案、运输方案、检测方案、设备方案、团队人员、应急保证措施、数据对接方案和业绩等。</w:t>
      </w:r>
    </w:p>
    <w:p w14:paraId="5C83FF4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bookmarkStart w:id="37" w:name="_Toc18651"/>
    </w:p>
    <w:p w14:paraId="52E5791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438766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44E3724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8" w:name="_Toc184310335"/>
      <w:bookmarkEnd w:id="38"/>
      <w:bookmarkStart w:id="39" w:name="_Toc184310301"/>
      <w:bookmarkEnd w:id="39"/>
      <w:bookmarkStart w:id="40" w:name="_Toc184312106"/>
      <w:bookmarkEnd w:id="40"/>
      <w:bookmarkStart w:id="41" w:name="_Toc184314461"/>
      <w:bookmarkEnd w:id="41"/>
      <w:bookmarkStart w:id="42" w:name="_Toc184314451"/>
      <w:bookmarkEnd w:id="42"/>
      <w:bookmarkStart w:id="43" w:name="_Toc184308099"/>
      <w:bookmarkEnd w:id="43"/>
      <w:bookmarkStart w:id="44" w:name="_Toc184312094"/>
      <w:bookmarkEnd w:id="44"/>
      <w:bookmarkStart w:id="45" w:name="_Toc184314424"/>
      <w:bookmarkEnd w:id="45"/>
      <w:bookmarkStart w:id="46" w:name="_Toc184312073"/>
      <w:bookmarkEnd w:id="46"/>
      <w:bookmarkStart w:id="47" w:name="_Toc184310289"/>
      <w:bookmarkEnd w:id="47"/>
      <w:bookmarkStart w:id="48" w:name="_Toc184312130"/>
      <w:bookmarkEnd w:id="48"/>
      <w:bookmarkStart w:id="49" w:name="_Toc184308067"/>
      <w:bookmarkEnd w:id="49"/>
      <w:bookmarkStart w:id="50" w:name="_Toc184310306"/>
      <w:bookmarkEnd w:id="50"/>
      <w:bookmarkStart w:id="51" w:name="_Toc184310336"/>
      <w:bookmarkEnd w:id="51"/>
      <w:bookmarkStart w:id="52" w:name="_Toc184312084"/>
      <w:bookmarkEnd w:id="52"/>
      <w:bookmarkStart w:id="53" w:name="_Toc184308104"/>
      <w:bookmarkEnd w:id="53"/>
      <w:bookmarkStart w:id="54" w:name="_Toc184310292"/>
      <w:bookmarkEnd w:id="54"/>
      <w:bookmarkStart w:id="55" w:name="_Toc184310343"/>
      <w:bookmarkEnd w:id="55"/>
      <w:bookmarkStart w:id="56" w:name="_Toc184308064"/>
      <w:bookmarkEnd w:id="56"/>
      <w:bookmarkStart w:id="57" w:name="_Toc184308093"/>
      <w:bookmarkEnd w:id="57"/>
      <w:bookmarkStart w:id="58" w:name="_Toc184308091"/>
      <w:bookmarkEnd w:id="58"/>
      <w:bookmarkStart w:id="59" w:name="_Toc184313308"/>
      <w:bookmarkEnd w:id="59"/>
      <w:bookmarkStart w:id="60" w:name="_Toc184313264"/>
      <w:bookmarkEnd w:id="60"/>
      <w:bookmarkStart w:id="61" w:name="_Toc184312070"/>
      <w:bookmarkEnd w:id="61"/>
      <w:bookmarkStart w:id="62" w:name="_Toc184313307"/>
      <w:bookmarkEnd w:id="62"/>
      <w:bookmarkStart w:id="63" w:name="_Toc184314425"/>
      <w:bookmarkEnd w:id="63"/>
      <w:bookmarkStart w:id="64" w:name="_Toc184314481"/>
      <w:bookmarkEnd w:id="64"/>
      <w:bookmarkStart w:id="65" w:name="_Toc184314432"/>
      <w:bookmarkEnd w:id="65"/>
      <w:bookmarkStart w:id="66" w:name="_Toc184312107"/>
      <w:bookmarkEnd w:id="66"/>
      <w:bookmarkStart w:id="67" w:name="_Toc184310312"/>
      <w:bookmarkEnd w:id="67"/>
      <w:bookmarkStart w:id="68" w:name="_Toc184313302"/>
      <w:bookmarkEnd w:id="68"/>
      <w:bookmarkStart w:id="69" w:name="_Toc184312124"/>
      <w:bookmarkEnd w:id="69"/>
      <w:bookmarkStart w:id="70" w:name="_Toc184313304"/>
      <w:bookmarkEnd w:id="70"/>
      <w:bookmarkStart w:id="71" w:name="_Toc184314421"/>
      <w:bookmarkEnd w:id="71"/>
      <w:bookmarkStart w:id="72" w:name="_Toc184312085"/>
      <w:bookmarkEnd w:id="72"/>
      <w:bookmarkStart w:id="73" w:name="_Toc184314431"/>
      <w:bookmarkEnd w:id="73"/>
      <w:bookmarkStart w:id="74" w:name="_Toc184308050"/>
      <w:bookmarkEnd w:id="74"/>
      <w:bookmarkStart w:id="75" w:name="_Toc184310324"/>
      <w:bookmarkEnd w:id="75"/>
      <w:bookmarkStart w:id="76" w:name="_Toc184310280"/>
      <w:bookmarkEnd w:id="76"/>
      <w:bookmarkStart w:id="77" w:name="_Toc184308068"/>
      <w:bookmarkEnd w:id="77"/>
      <w:bookmarkStart w:id="78" w:name="_Toc184314422"/>
      <w:bookmarkEnd w:id="78"/>
      <w:bookmarkStart w:id="79" w:name="_Toc184310330"/>
      <w:bookmarkEnd w:id="79"/>
      <w:bookmarkStart w:id="80" w:name="_Toc184308052"/>
      <w:bookmarkEnd w:id="80"/>
      <w:bookmarkStart w:id="81" w:name="_Toc184313267"/>
      <w:bookmarkEnd w:id="81"/>
      <w:bookmarkStart w:id="82" w:name="_Toc184314411"/>
      <w:bookmarkEnd w:id="82"/>
      <w:bookmarkStart w:id="83" w:name="_Toc184308081"/>
      <w:bookmarkEnd w:id="83"/>
      <w:bookmarkStart w:id="84" w:name="_Toc184312118"/>
      <w:bookmarkEnd w:id="84"/>
      <w:bookmarkStart w:id="85" w:name="_Toc184314463"/>
      <w:bookmarkEnd w:id="85"/>
      <w:bookmarkStart w:id="86" w:name="_Toc184312109"/>
      <w:bookmarkEnd w:id="86"/>
      <w:bookmarkStart w:id="87" w:name="_Toc184313260"/>
      <w:bookmarkEnd w:id="87"/>
      <w:bookmarkStart w:id="88" w:name="_Toc184313256"/>
      <w:bookmarkEnd w:id="88"/>
      <w:bookmarkStart w:id="89" w:name="_Toc184312108"/>
      <w:bookmarkEnd w:id="89"/>
      <w:bookmarkStart w:id="90" w:name="_Toc184314416"/>
      <w:bookmarkEnd w:id="90"/>
      <w:bookmarkStart w:id="91" w:name="_Toc184314473"/>
      <w:bookmarkEnd w:id="91"/>
      <w:bookmarkStart w:id="92" w:name="_Toc184314460"/>
      <w:bookmarkEnd w:id="92"/>
      <w:bookmarkStart w:id="93" w:name="_Toc184314414"/>
      <w:bookmarkEnd w:id="93"/>
      <w:bookmarkStart w:id="94" w:name="_Toc184308040"/>
      <w:bookmarkEnd w:id="94"/>
      <w:bookmarkStart w:id="95" w:name="_Toc184308036"/>
      <w:bookmarkEnd w:id="95"/>
      <w:bookmarkStart w:id="96" w:name="_Toc184313240"/>
      <w:bookmarkEnd w:id="96"/>
      <w:bookmarkStart w:id="97" w:name="_Toc184310298"/>
      <w:bookmarkEnd w:id="97"/>
      <w:bookmarkStart w:id="98" w:name="_Toc184313303"/>
      <w:bookmarkEnd w:id="98"/>
      <w:bookmarkStart w:id="99" w:name="_Toc184312076"/>
      <w:bookmarkEnd w:id="99"/>
      <w:bookmarkStart w:id="100" w:name="_Toc184313259"/>
      <w:bookmarkEnd w:id="100"/>
      <w:bookmarkStart w:id="101" w:name="_Toc184313242"/>
      <w:bookmarkEnd w:id="101"/>
      <w:bookmarkStart w:id="102" w:name="_Toc184312123"/>
      <w:bookmarkEnd w:id="102"/>
      <w:bookmarkStart w:id="103" w:name="_Toc184310277"/>
      <w:bookmarkEnd w:id="103"/>
      <w:bookmarkStart w:id="104" w:name="_Toc184313258"/>
      <w:bookmarkEnd w:id="104"/>
      <w:bookmarkStart w:id="105" w:name="_Toc184312082"/>
      <w:bookmarkEnd w:id="105"/>
      <w:bookmarkStart w:id="106" w:name="_Toc184313295"/>
      <w:bookmarkEnd w:id="106"/>
      <w:bookmarkStart w:id="107" w:name="_Toc184312121"/>
      <w:bookmarkEnd w:id="107"/>
      <w:bookmarkStart w:id="108" w:name="_Toc184312090"/>
      <w:bookmarkEnd w:id="108"/>
      <w:bookmarkStart w:id="109" w:name="_Toc184312095"/>
      <w:bookmarkEnd w:id="109"/>
      <w:bookmarkStart w:id="110" w:name="_Toc184314472"/>
      <w:bookmarkEnd w:id="110"/>
      <w:bookmarkStart w:id="111" w:name="_Toc184312125"/>
      <w:bookmarkEnd w:id="111"/>
      <w:bookmarkStart w:id="112" w:name="_Toc184314448"/>
      <w:bookmarkEnd w:id="112"/>
      <w:bookmarkStart w:id="113" w:name="_Toc184312086"/>
      <w:bookmarkEnd w:id="113"/>
      <w:bookmarkStart w:id="114" w:name="_Toc184312091"/>
      <w:bookmarkEnd w:id="114"/>
      <w:bookmarkStart w:id="115" w:name="_Toc184312089"/>
      <w:bookmarkEnd w:id="115"/>
      <w:bookmarkStart w:id="116" w:name="_Toc184312098"/>
      <w:bookmarkEnd w:id="116"/>
      <w:bookmarkStart w:id="117" w:name="_Toc184313268"/>
      <w:bookmarkEnd w:id="117"/>
      <w:bookmarkStart w:id="118" w:name="_Toc184314469"/>
      <w:bookmarkEnd w:id="118"/>
      <w:bookmarkStart w:id="119" w:name="_Toc184310295"/>
      <w:bookmarkEnd w:id="119"/>
      <w:bookmarkStart w:id="120" w:name="_Toc184313294"/>
      <w:bookmarkEnd w:id="120"/>
      <w:bookmarkStart w:id="121" w:name="_Toc184310294"/>
      <w:bookmarkEnd w:id="121"/>
      <w:bookmarkStart w:id="122" w:name="_Toc184312128"/>
      <w:bookmarkEnd w:id="122"/>
      <w:bookmarkStart w:id="123" w:name="_Toc184312112"/>
      <w:bookmarkEnd w:id="123"/>
      <w:bookmarkStart w:id="124" w:name="_Toc184312129"/>
      <w:bookmarkEnd w:id="124"/>
      <w:bookmarkStart w:id="125" w:name="_Toc184308090"/>
      <w:bookmarkEnd w:id="125"/>
      <w:bookmarkStart w:id="126" w:name="_Toc184312074"/>
      <w:bookmarkEnd w:id="126"/>
      <w:bookmarkStart w:id="127" w:name="_Toc184310281"/>
      <w:bookmarkEnd w:id="127"/>
      <w:bookmarkStart w:id="128" w:name="_Toc184310340"/>
      <w:bookmarkEnd w:id="128"/>
      <w:bookmarkStart w:id="129" w:name="_Toc184308103"/>
      <w:bookmarkEnd w:id="129"/>
      <w:bookmarkStart w:id="130" w:name="_Toc184310307"/>
      <w:bookmarkEnd w:id="130"/>
      <w:bookmarkStart w:id="131" w:name="_Toc184308059"/>
      <w:bookmarkEnd w:id="131"/>
      <w:bookmarkStart w:id="132" w:name="_Toc184308070"/>
      <w:bookmarkEnd w:id="132"/>
      <w:bookmarkStart w:id="133" w:name="_Toc184308102"/>
      <w:bookmarkEnd w:id="133"/>
      <w:bookmarkStart w:id="134" w:name="_Toc184310323"/>
      <w:bookmarkEnd w:id="134"/>
      <w:bookmarkStart w:id="135" w:name="_Toc184313293"/>
      <w:bookmarkEnd w:id="135"/>
      <w:bookmarkStart w:id="136" w:name="_Toc184313248"/>
      <w:bookmarkEnd w:id="136"/>
      <w:bookmarkStart w:id="137" w:name="_Toc184313255"/>
      <w:bookmarkEnd w:id="137"/>
      <w:bookmarkStart w:id="138" w:name="_Toc184312131"/>
      <w:bookmarkEnd w:id="138"/>
      <w:bookmarkStart w:id="139" w:name="_Toc184308048"/>
      <w:bookmarkEnd w:id="139"/>
      <w:bookmarkStart w:id="140" w:name="_Toc184313300"/>
      <w:bookmarkEnd w:id="140"/>
      <w:bookmarkStart w:id="141" w:name="_Toc184308051"/>
      <w:bookmarkEnd w:id="141"/>
      <w:bookmarkStart w:id="142" w:name="_Toc184313310"/>
      <w:bookmarkEnd w:id="142"/>
      <w:bookmarkStart w:id="143" w:name="_Toc184314415"/>
      <w:bookmarkEnd w:id="143"/>
      <w:bookmarkStart w:id="144" w:name="_Toc184308101"/>
      <w:bookmarkEnd w:id="144"/>
      <w:bookmarkStart w:id="145" w:name="_Toc184313271"/>
      <w:bookmarkEnd w:id="145"/>
      <w:bookmarkStart w:id="146" w:name="_Toc184314410"/>
      <w:bookmarkEnd w:id="146"/>
      <w:bookmarkStart w:id="147" w:name="_Toc184313273"/>
      <w:bookmarkEnd w:id="147"/>
      <w:bookmarkStart w:id="148" w:name="_Toc184312126"/>
      <w:bookmarkEnd w:id="148"/>
      <w:bookmarkStart w:id="149" w:name="_Toc184313244"/>
      <w:bookmarkEnd w:id="149"/>
      <w:bookmarkStart w:id="150" w:name="_Toc184308037"/>
      <w:bookmarkEnd w:id="150"/>
      <w:bookmarkStart w:id="151" w:name="_Toc184308054"/>
      <w:bookmarkEnd w:id="151"/>
      <w:bookmarkStart w:id="152" w:name="_Toc184314436"/>
      <w:bookmarkEnd w:id="152"/>
      <w:bookmarkStart w:id="153" w:name="_Toc184312083"/>
      <w:bookmarkEnd w:id="153"/>
      <w:bookmarkStart w:id="154" w:name="_Toc184310276"/>
      <w:bookmarkEnd w:id="154"/>
      <w:bookmarkStart w:id="155" w:name="_Toc184310326"/>
      <w:bookmarkEnd w:id="155"/>
      <w:bookmarkStart w:id="156" w:name="_Toc184312080"/>
      <w:bookmarkEnd w:id="156"/>
      <w:bookmarkStart w:id="157" w:name="_Toc184314458"/>
      <w:bookmarkEnd w:id="157"/>
      <w:bookmarkStart w:id="158" w:name="_Toc184312139"/>
      <w:bookmarkEnd w:id="158"/>
      <w:bookmarkStart w:id="159" w:name="_Toc184312133"/>
      <w:bookmarkEnd w:id="159"/>
      <w:bookmarkStart w:id="160" w:name="_Toc184313306"/>
      <w:bookmarkEnd w:id="160"/>
      <w:bookmarkStart w:id="161" w:name="_Toc184313265"/>
      <w:bookmarkEnd w:id="161"/>
      <w:bookmarkStart w:id="162" w:name="_Toc184314433"/>
      <w:bookmarkEnd w:id="162"/>
      <w:bookmarkStart w:id="163" w:name="_Toc184314437"/>
      <w:bookmarkEnd w:id="163"/>
      <w:bookmarkStart w:id="164" w:name="_Toc184313280"/>
      <w:bookmarkEnd w:id="164"/>
      <w:bookmarkStart w:id="165" w:name="_Toc184314466"/>
      <w:bookmarkEnd w:id="165"/>
      <w:bookmarkStart w:id="166" w:name="_Toc184312111"/>
      <w:bookmarkEnd w:id="166"/>
      <w:bookmarkStart w:id="167" w:name="_Toc184314455"/>
      <w:bookmarkEnd w:id="167"/>
      <w:bookmarkStart w:id="168" w:name="_Toc184313282"/>
      <w:bookmarkEnd w:id="168"/>
      <w:bookmarkStart w:id="169" w:name="_Toc184314449"/>
      <w:bookmarkEnd w:id="169"/>
      <w:bookmarkStart w:id="170" w:name="_Toc184313278"/>
      <w:bookmarkEnd w:id="170"/>
      <w:bookmarkStart w:id="171" w:name="_Toc184312119"/>
      <w:bookmarkEnd w:id="171"/>
      <w:bookmarkStart w:id="172" w:name="_Toc184310305"/>
      <w:bookmarkEnd w:id="172"/>
      <w:bookmarkStart w:id="173" w:name="_Toc184313246"/>
      <w:bookmarkEnd w:id="173"/>
      <w:bookmarkStart w:id="174" w:name="_Toc184313285"/>
      <w:bookmarkEnd w:id="174"/>
      <w:bookmarkStart w:id="175" w:name="_Toc184312100"/>
      <w:bookmarkEnd w:id="175"/>
      <w:bookmarkStart w:id="176" w:name="_Toc184308097"/>
      <w:bookmarkEnd w:id="176"/>
      <w:bookmarkStart w:id="177" w:name="_Toc184314459"/>
      <w:bookmarkEnd w:id="177"/>
      <w:bookmarkStart w:id="178" w:name="_Toc184314475"/>
      <w:bookmarkEnd w:id="178"/>
      <w:bookmarkStart w:id="179" w:name="_Toc184310311"/>
      <w:bookmarkEnd w:id="179"/>
      <w:bookmarkStart w:id="180" w:name="_Toc184314435"/>
      <w:bookmarkEnd w:id="180"/>
      <w:bookmarkStart w:id="181" w:name="_Toc184310278"/>
      <w:bookmarkEnd w:id="181"/>
      <w:bookmarkStart w:id="182" w:name="_Toc184314412"/>
      <w:bookmarkEnd w:id="182"/>
      <w:bookmarkStart w:id="183" w:name="_Toc184310299"/>
      <w:bookmarkEnd w:id="183"/>
      <w:bookmarkStart w:id="184" w:name="_Toc184313241"/>
      <w:bookmarkEnd w:id="184"/>
      <w:bookmarkStart w:id="185" w:name="_Toc184314427"/>
      <w:bookmarkEnd w:id="185"/>
      <w:bookmarkStart w:id="186" w:name="_Toc184308100"/>
      <w:bookmarkEnd w:id="186"/>
      <w:bookmarkStart w:id="187" w:name="_Toc184314478"/>
      <w:bookmarkEnd w:id="187"/>
      <w:bookmarkStart w:id="188" w:name="_Toc184310333"/>
      <w:bookmarkEnd w:id="188"/>
      <w:bookmarkStart w:id="189" w:name="_Toc184314434"/>
      <w:bookmarkEnd w:id="189"/>
      <w:bookmarkStart w:id="190" w:name="_Toc184313301"/>
      <w:bookmarkEnd w:id="190"/>
      <w:bookmarkStart w:id="191" w:name="_Toc184310337"/>
      <w:bookmarkEnd w:id="191"/>
      <w:bookmarkStart w:id="192" w:name="_Toc184314418"/>
      <w:bookmarkEnd w:id="192"/>
      <w:bookmarkStart w:id="193" w:name="_Toc184308069"/>
      <w:bookmarkEnd w:id="193"/>
      <w:bookmarkStart w:id="194" w:name="_Toc184314442"/>
      <w:bookmarkEnd w:id="194"/>
      <w:bookmarkStart w:id="195" w:name="_Toc184314454"/>
      <w:bookmarkEnd w:id="195"/>
      <w:bookmarkStart w:id="196" w:name="_Toc184312068"/>
      <w:bookmarkEnd w:id="196"/>
      <w:bookmarkStart w:id="197" w:name="_Toc184312104"/>
      <w:bookmarkEnd w:id="197"/>
      <w:bookmarkStart w:id="198" w:name="_Toc184312097"/>
      <w:bookmarkEnd w:id="198"/>
      <w:bookmarkStart w:id="199" w:name="_Toc184308108"/>
      <w:bookmarkEnd w:id="199"/>
      <w:bookmarkStart w:id="200" w:name="_Toc184314426"/>
      <w:bookmarkEnd w:id="200"/>
      <w:bookmarkStart w:id="201" w:name="_Toc184310310"/>
      <w:bookmarkEnd w:id="201"/>
      <w:bookmarkStart w:id="202" w:name="_Toc184312114"/>
      <w:bookmarkEnd w:id="202"/>
      <w:bookmarkStart w:id="203" w:name="_Toc184310283"/>
      <w:bookmarkEnd w:id="203"/>
      <w:bookmarkStart w:id="204" w:name="_Toc184314420"/>
      <w:bookmarkEnd w:id="204"/>
      <w:bookmarkStart w:id="205" w:name="_Toc184308058"/>
      <w:bookmarkEnd w:id="205"/>
      <w:bookmarkStart w:id="206" w:name="_Toc184308043"/>
      <w:bookmarkEnd w:id="206"/>
      <w:bookmarkStart w:id="207" w:name="_Toc184312101"/>
      <w:bookmarkEnd w:id="207"/>
      <w:bookmarkStart w:id="208" w:name="_Toc184314471"/>
      <w:bookmarkEnd w:id="208"/>
      <w:bookmarkStart w:id="209" w:name="_Toc184310317"/>
      <w:bookmarkEnd w:id="209"/>
      <w:bookmarkStart w:id="210" w:name="_Toc184314450"/>
      <w:bookmarkEnd w:id="210"/>
      <w:bookmarkStart w:id="211" w:name="_Toc184314419"/>
      <w:bookmarkEnd w:id="211"/>
      <w:bookmarkStart w:id="212" w:name="_Toc184308066"/>
      <w:bookmarkEnd w:id="212"/>
      <w:bookmarkStart w:id="213" w:name="_Toc184310328"/>
      <w:bookmarkEnd w:id="213"/>
      <w:bookmarkStart w:id="214" w:name="_Toc184308055"/>
      <w:bookmarkEnd w:id="214"/>
      <w:bookmarkStart w:id="215" w:name="_Toc184308089"/>
      <w:bookmarkEnd w:id="215"/>
      <w:bookmarkStart w:id="216" w:name="_Toc184308078"/>
      <w:bookmarkEnd w:id="216"/>
      <w:bookmarkStart w:id="217" w:name="_Toc184314476"/>
      <w:bookmarkEnd w:id="217"/>
      <w:bookmarkStart w:id="218" w:name="_Toc184312113"/>
      <w:bookmarkEnd w:id="218"/>
      <w:bookmarkStart w:id="219" w:name="_Toc184308088"/>
      <w:bookmarkEnd w:id="219"/>
      <w:bookmarkStart w:id="220" w:name="_Toc184312081"/>
      <w:bookmarkEnd w:id="220"/>
      <w:bookmarkStart w:id="221" w:name="_Toc184308095"/>
      <w:bookmarkEnd w:id="221"/>
      <w:bookmarkStart w:id="222" w:name="_Toc184310304"/>
      <w:bookmarkEnd w:id="222"/>
      <w:bookmarkStart w:id="223" w:name="_Toc184310288"/>
      <w:bookmarkEnd w:id="223"/>
      <w:bookmarkStart w:id="224" w:name="_Toc184310309"/>
      <w:bookmarkEnd w:id="224"/>
      <w:bookmarkStart w:id="225" w:name="_Toc184313284"/>
      <w:bookmarkEnd w:id="225"/>
      <w:bookmarkStart w:id="226" w:name="_Toc184310302"/>
      <w:bookmarkEnd w:id="226"/>
      <w:bookmarkStart w:id="227" w:name="_Toc184313262"/>
      <w:bookmarkEnd w:id="227"/>
      <w:bookmarkStart w:id="228" w:name="_Toc184310327"/>
      <w:bookmarkEnd w:id="228"/>
      <w:bookmarkStart w:id="229" w:name="_Toc184314468"/>
      <w:bookmarkEnd w:id="229"/>
      <w:bookmarkStart w:id="230" w:name="_Toc184310315"/>
      <w:bookmarkEnd w:id="230"/>
      <w:bookmarkStart w:id="231" w:name="_Toc184312117"/>
      <w:bookmarkEnd w:id="231"/>
      <w:bookmarkStart w:id="232" w:name="_Toc184312115"/>
      <w:bookmarkEnd w:id="232"/>
      <w:bookmarkStart w:id="233" w:name="_Toc184310320"/>
      <w:bookmarkEnd w:id="233"/>
      <w:bookmarkStart w:id="234" w:name="_Toc184313281"/>
      <w:bookmarkEnd w:id="234"/>
      <w:bookmarkStart w:id="235" w:name="_Toc184310282"/>
      <w:bookmarkEnd w:id="235"/>
      <w:bookmarkStart w:id="236" w:name="_Toc184308039"/>
      <w:bookmarkEnd w:id="236"/>
      <w:bookmarkStart w:id="237" w:name="_Toc184310338"/>
      <w:bookmarkEnd w:id="237"/>
      <w:bookmarkStart w:id="238" w:name="_Toc184312096"/>
      <w:bookmarkEnd w:id="238"/>
      <w:bookmarkStart w:id="239" w:name="_Toc184312092"/>
      <w:bookmarkEnd w:id="239"/>
      <w:bookmarkStart w:id="240" w:name="_Toc184313239"/>
      <w:bookmarkEnd w:id="240"/>
      <w:bookmarkStart w:id="241" w:name="_Toc184310341"/>
      <w:bookmarkEnd w:id="241"/>
      <w:bookmarkStart w:id="242" w:name="_Toc184314429"/>
      <w:bookmarkEnd w:id="242"/>
      <w:bookmarkStart w:id="243" w:name="_Toc184313292"/>
      <w:bookmarkEnd w:id="243"/>
      <w:bookmarkStart w:id="244" w:name="_Toc184310296"/>
      <w:bookmarkEnd w:id="244"/>
      <w:bookmarkStart w:id="245" w:name="_Toc184312102"/>
      <w:bookmarkEnd w:id="245"/>
      <w:bookmarkStart w:id="246" w:name="_Toc184313309"/>
      <w:bookmarkEnd w:id="246"/>
      <w:bookmarkStart w:id="247" w:name="_Toc184313238"/>
      <w:bookmarkEnd w:id="247"/>
      <w:bookmarkStart w:id="248" w:name="_Toc184310290"/>
      <w:bookmarkEnd w:id="248"/>
      <w:bookmarkStart w:id="249" w:name="_Toc184313299"/>
      <w:bookmarkEnd w:id="249"/>
      <w:bookmarkStart w:id="250" w:name="_Toc184308061"/>
      <w:bookmarkEnd w:id="250"/>
      <w:bookmarkStart w:id="251" w:name="_Toc184313305"/>
      <w:bookmarkEnd w:id="251"/>
      <w:bookmarkStart w:id="252" w:name="_Toc184308085"/>
      <w:bookmarkEnd w:id="252"/>
      <w:bookmarkStart w:id="253" w:name="_Toc184313275"/>
      <w:bookmarkEnd w:id="253"/>
      <w:bookmarkStart w:id="254" w:name="_Toc184308107"/>
      <w:bookmarkEnd w:id="254"/>
      <w:bookmarkStart w:id="255" w:name="_Toc184312122"/>
      <w:bookmarkEnd w:id="255"/>
      <w:bookmarkStart w:id="256" w:name="_Toc184313276"/>
      <w:bookmarkEnd w:id="256"/>
      <w:bookmarkStart w:id="257" w:name="_Toc184314462"/>
      <w:bookmarkEnd w:id="257"/>
      <w:bookmarkStart w:id="258" w:name="_Toc184310316"/>
      <w:bookmarkEnd w:id="258"/>
      <w:bookmarkStart w:id="259" w:name="_Toc184314452"/>
      <w:bookmarkEnd w:id="259"/>
      <w:bookmarkStart w:id="260" w:name="_Toc184310331"/>
      <w:bookmarkEnd w:id="260"/>
      <w:bookmarkStart w:id="261" w:name="_Toc184308062"/>
      <w:bookmarkEnd w:id="261"/>
      <w:bookmarkStart w:id="262" w:name="_Toc184310342"/>
      <w:bookmarkEnd w:id="262"/>
      <w:bookmarkStart w:id="263" w:name="_Toc184308056"/>
      <w:bookmarkEnd w:id="263"/>
      <w:bookmarkStart w:id="264" w:name="_Toc184310322"/>
      <w:bookmarkEnd w:id="264"/>
      <w:bookmarkStart w:id="265" w:name="_Toc184310325"/>
      <w:bookmarkEnd w:id="265"/>
      <w:bookmarkStart w:id="266" w:name="_Toc184314456"/>
      <w:bookmarkEnd w:id="266"/>
      <w:bookmarkStart w:id="267" w:name="_Toc184312116"/>
      <w:bookmarkEnd w:id="267"/>
      <w:bookmarkStart w:id="268" w:name="_Toc184314438"/>
      <w:bookmarkEnd w:id="268"/>
      <w:bookmarkStart w:id="269" w:name="_Toc184314444"/>
      <w:bookmarkEnd w:id="269"/>
      <w:bookmarkStart w:id="270" w:name="_Toc184313263"/>
      <w:bookmarkEnd w:id="270"/>
      <w:bookmarkStart w:id="271" w:name="_Toc184314428"/>
      <w:bookmarkEnd w:id="271"/>
      <w:bookmarkStart w:id="272" w:name="_Toc184310284"/>
      <w:bookmarkEnd w:id="272"/>
      <w:bookmarkStart w:id="273" w:name="_Toc184310272"/>
      <w:bookmarkEnd w:id="273"/>
      <w:bookmarkStart w:id="274" w:name="_Toc184308086"/>
      <w:bookmarkEnd w:id="274"/>
      <w:bookmarkStart w:id="275" w:name="_Toc184308087"/>
      <w:bookmarkEnd w:id="275"/>
      <w:bookmarkStart w:id="276" w:name="_Toc184314445"/>
      <w:bookmarkEnd w:id="276"/>
      <w:bookmarkStart w:id="277" w:name="_Toc184314417"/>
      <w:bookmarkEnd w:id="277"/>
      <w:bookmarkStart w:id="278" w:name="_Toc184313289"/>
      <w:bookmarkEnd w:id="278"/>
      <w:bookmarkStart w:id="279" w:name="_Toc184312087"/>
      <w:bookmarkEnd w:id="279"/>
      <w:bookmarkStart w:id="280" w:name="_Toc184314470"/>
      <w:bookmarkEnd w:id="280"/>
      <w:bookmarkStart w:id="281" w:name="_Toc184312071"/>
      <w:bookmarkEnd w:id="281"/>
      <w:bookmarkStart w:id="282" w:name="_Toc184312077"/>
      <w:bookmarkEnd w:id="282"/>
      <w:bookmarkStart w:id="283" w:name="_Toc184312067"/>
      <w:bookmarkEnd w:id="283"/>
      <w:bookmarkStart w:id="284" w:name="_Toc184314467"/>
      <w:bookmarkEnd w:id="284"/>
      <w:bookmarkStart w:id="285" w:name="_Toc184308049"/>
      <w:bookmarkEnd w:id="285"/>
      <w:bookmarkStart w:id="286" w:name="_Toc184308073"/>
      <w:bookmarkEnd w:id="286"/>
      <w:bookmarkStart w:id="287" w:name="_Toc184314413"/>
      <w:bookmarkEnd w:id="287"/>
      <w:bookmarkStart w:id="288" w:name="_Toc184308060"/>
      <w:bookmarkEnd w:id="288"/>
      <w:bookmarkStart w:id="289" w:name="_Toc184312127"/>
      <w:bookmarkEnd w:id="289"/>
      <w:bookmarkStart w:id="290" w:name="_Toc184310314"/>
      <w:bookmarkEnd w:id="290"/>
      <w:bookmarkStart w:id="291" w:name="_Toc184310344"/>
      <w:bookmarkEnd w:id="291"/>
      <w:bookmarkStart w:id="292" w:name="_Toc184314465"/>
      <w:bookmarkEnd w:id="292"/>
      <w:bookmarkStart w:id="293" w:name="_Toc184310279"/>
      <w:bookmarkEnd w:id="293"/>
      <w:bookmarkStart w:id="294" w:name="_Toc184308106"/>
      <w:bookmarkEnd w:id="294"/>
      <w:bookmarkStart w:id="295" w:name="_Toc184308053"/>
      <w:bookmarkEnd w:id="295"/>
      <w:bookmarkStart w:id="296" w:name="_Toc184310300"/>
      <w:bookmarkEnd w:id="296"/>
      <w:bookmarkStart w:id="297" w:name="_Toc184313253"/>
      <w:bookmarkEnd w:id="297"/>
      <w:bookmarkStart w:id="298" w:name="_Toc184312135"/>
      <w:bookmarkEnd w:id="298"/>
      <w:bookmarkStart w:id="299" w:name="_Toc184308071"/>
      <w:bookmarkEnd w:id="299"/>
      <w:bookmarkStart w:id="300" w:name="_Toc184313290"/>
      <w:bookmarkEnd w:id="300"/>
      <w:bookmarkStart w:id="301" w:name="_Toc184313277"/>
      <w:bookmarkEnd w:id="301"/>
      <w:bookmarkStart w:id="302" w:name="_Toc184312110"/>
      <w:bookmarkEnd w:id="302"/>
      <w:bookmarkStart w:id="303" w:name="_Toc184313243"/>
      <w:bookmarkEnd w:id="303"/>
      <w:bookmarkStart w:id="304" w:name="_Toc184313297"/>
      <w:bookmarkEnd w:id="304"/>
      <w:bookmarkStart w:id="305" w:name="_Toc184312120"/>
      <w:bookmarkEnd w:id="305"/>
      <w:bookmarkStart w:id="306" w:name="_Toc184308082"/>
      <w:bookmarkEnd w:id="306"/>
      <w:bookmarkStart w:id="307" w:name="_Toc184313287"/>
      <w:bookmarkEnd w:id="307"/>
      <w:bookmarkStart w:id="308" w:name="_Toc184308094"/>
      <w:bookmarkEnd w:id="308"/>
      <w:bookmarkStart w:id="309" w:name="_Toc184312136"/>
      <w:bookmarkEnd w:id="309"/>
      <w:bookmarkStart w:id="310" w:name="_Toc184314477"/>
      <w:bookmarkEnd w:id="310"/>
      <w:bookmarkStart w:id="311" w:name="_Toc184313296"/>
      <w:bookmarkEnd w:id="311"/>
      <w:bookmarkStart w:id="312" w:name="_Toc184314464"/>
      <w:bookmarkEnd w:id="312"/>
      <w:bookmarkStart w:id="313" w:name="_Toc184312103"/>
      <w:bookmarkEnd w:id="313"/>
      <w:bookmarkStart w:id="314" w:name="_Toc184310303"/>
      <w:bookmarkEnd w:id="314"/>
      <w:bookmarkStart w:id="315" w:name="_Toc184308042"/>
      <w:bookmarkEnd w:id="315"/>
      <w:bookmarkStart w:id="316" w:name="_Toc184308057"/>
      <w:bookmarkEnd w:id="316"/>
      <w:bookmarkStart w:id="317" w:name="_Toc184313269"/>
      <w:bookmarkEnd w:id="317"/>
      <w:bookmarkStart w:id="318" w:name="_Toc184313288"/>
      <w:bookmarkEnd w:id="318"/>
      <w:bookmarkStart w:id="319" w:name="_Toc184310334"/>
      <w:bookmarkEnd w:id="319"/>
      <w:bookmarkStart w:id="320" w:name="_Toc184314453"/>
      <w:bookmarkEnd w:id="320"/>
      <w:bookmarkStart w:id="321" w:name="_Toc184312105"/>
      <w:bookmarkEnd w:id="321"/>
      <w:bookmarkStart w:id="322" w:name="_Toc184314446"/>
      <w:bookmarkEnd w:id="322"/>
      <w:bookmarkStart w:id="323" w:name="_Toc184314443"/>
      <w:bookmarkEnd w:id="323"/>
      <w:bookmarkStart w:id="324" w:name="_Toc184310297"/>
      <w:bookmarkEnd w:id="324"/>
      <w:bookmarkStart w:id="325" w:name="_Toc184310308"/>
      <w:bookmarkEnd w:id="325"/>
      <w:bookmarkStart w:id="326" w:name="_Toc184308096"/>
      <w:bookmarkEnd w:id="326"/>
      <w:bookmarkStart w:id="327" w:name="_Toc184314430"/>
      <w:bookmarkEnd w:id="327"/>
      <w:bookmarkStart w:id="328" w:name="_Toc184313252"/>
      <w:bookmarkEnd w:id="328"/>
      <w:bookmarkStart w:id="329" w:name="_Toc184308076"/>
      <w:bookmarkEnd w:id="329"/>
      <w:bookmarkStart w:id="330" w:name="_Toc184312079"/>
      <w:bookmarkEnd w:id="330"/>
      <w:bookmarkStart w:id="331" w:name="_Toc184313270"/>
      <w:bookmarkEnd w:id="331"/>
      <w:bookmarkStart w:id="332" w:name="_Toc184308047"/>
      <w:bookmarkEnd w:id="332"/>
      <w:bookmarkStart w:id="333" w:name="_Toc184312069"/>
      <w:bookmarkEnd w:id="333"/>
      <w:bookmarkStart w:id="334" w:name="_Toc184312099"/>
      <w:bookmarkEnd w:id="334"/>
      <w:bookmarkStart w:id="335" w:name="_Toc184313251"/>
      <w:bookmarkEnd w:id="335"/>
      <w:bookmarkStart w:id="336" w:name="_Toc184308092"/>
      <w:bookmarkEnd w:id="336"/>
      <w:bookmarkStart w:id="337" w:name="_Toc184314440"/>
      <w:bookmarkEnd w:id="337"/>
      <w:bookmarkStart w:id="338" w:name="_Toc184310293"/>
      <w:bookmarkEnd w:id="338"/>
      <w:bookmarkStart w:id="339" w:name="_Toc184310274"/>
      <w:bookmarkEnd w:id="339"/>
      <w:bookmarkStart w:id="340" w:name="_Toc184310287"/>
      <w:bookmarkEnd w:id="340"/>
      <w:bookmarkStart w:id="341" w:name="_Toc184312134"/>
      <w:bookmarkEnd w:id="341"/>
      <w:bookmarkStart w:id="342" w:name="_Toc184313286"/>
      <w:bookmarkEnd w:id="342"/>
      <w:bookmarkStart w:id="343" w:name="_Toc184308080"/>
      <w:bookmarkEnd w:id="343"/>
      <w:bookmarkStart w:id="344" w:name="_Toc184308038"/>
      <w:bookmarkEnd w:id="344"/>
      <w:bookmarkStart w:id="345" w:name="_Toc184310286"/>
      <w:bookmarkEnd w:id="345"/>
      <w:bookmarkStart w:id="346" w:name="_Toc184313274"/>
      <w:bookmarkEnd w:id="346"/>
      <w:bookmarkStart w:id="347" w:name="_Toc184310329"/>
      <w:bookmarkEnd w:id="347"/>
      <w:bookmarkStart w:id="348" w:name="_Toc184310321"/>
      <w:bookmarkEnd w:id="348"/>
      <w:bookmarkStart w:id="349" w:name="_Toc184308084"/>
      <w:bookmarkEnd w:id="349"/>
      <w:bookmarkStart w:id="350" w:name="_Toc184314474"/>
      <w:bookmarkEnd w:id="350"/>
      <w:bookmarkStart w:id="351" w:name="_Toc184312093"/>
      <w:bookmarkEnd w:id="351"/>
      <w:bookmarkStart w:id="352" w:name="_Toc184312138"/>
      <w:bookmarkEnd w:id="352"/>
      <w:bookmarkStart w:id="353" w:name="_Toc184313250"/>
      <w:bookmarkEnd w:id="353"/>
      <w:bookmarkStart w:id="354" w:name="_Toc184313257"/>
      <w:bookmarkEnd w:id="354"/>
      <w:bookmarkStart w:id="355" w:name="_Toc184314480"/>
      <w:bookmarkEnd w:id="355"/>
      <w:bookmarkStart w:id="356" w:name="_Toc184314439"/>
      <w:bookmarkEnd w:id="356"/>
      <w:bookmarkStart w:id="357" w:name="_Toc184313261"/>
      <w:bookmarkEnd w:id="357"/>
      <w:bookmarkStart w:id="358" w:name="_Toc184308065"/>
      <w:bookmarkEnd w:id="358"/>
      <w:bookmarkStart w:id="359" w:name="_Toc184308105"/>
      <w:bookmarkEnd w:id="359"/>
      <w:bookmarkStart w:id="360" w:name="_Toc184313298"/>
      <w:bookmarkEnd w:id="360"/>
      <w:bookmarkStart w:id="361" w:name="_Toc184313283"/>
      <w:bookmarkEnd w:id="361"/>
      <w:bookmarkStart w:id="362" w:name="_Toc184308074"/>
      <w:bookmarkEnd w:id="362"/>
      <w:bookmarkStart w:id="363" w:name="_Toc184313245"/>
      <w:bookmarkEnd w:id="363"/>
      <w:bookmarkStart w:id="364" w:name="_Toc184314457"/>
      <w:bookmarkEnd w:id="364"/>
      <w:bookmarkStart w:id="365" w:name="_Toc184310275"/>
      <w:bookmarkEnd w:id="365"/>
      <w:bookmarkStart w:id="366" w:name="_Toc184308075"/>
      <w:bookmarkEnd w:id="366"/>
      <w:bookmarkStart w:id="367" w:name="_Toc184314441"/>
      <w:bookmarkEnd w:id="367"/>
      <w:bookmarkStart w:id="368" w:name="_Toc184312075"/>
      <w:bookmarkEnd w:id="368"/>
      <w:bookmarkStart w:id="369" w:name="_Toc184308044"/>
      <w:bookmarkEnd w:id="369"/>
      <w:bookmarkStart w:id="370" w:name="_Toc184310291"/>
      <w:bookmarkEnd w:id="370"/>
      <w:bookmarkStart w:id="371" w:name="_Toc184308041"/>
      <w:bookmarkEnd w:id="371"/>
      <w:bookmarkStart w:id="372" w:name="_Toc184313272"/>
      <w:bookmarkEnd w:id="372"/>
      <w:bookmarkStart w:id="373" w:name="_Toc184314447"/>
      <w:bookmarkEnd w:id="373"/>
      <w:bookmarkStart w:id="374" w:name="_Toc184308045"/>
      <w:bookmarkEnd w:id="374"/>
      <w:bookmarkStart w:id="375" w:name="_Toc184312137"/>
      <w:bookmarkEnd w:id="375"/>
      <w:bookmarkStart w:id="376" w:name="_Toc184313291"/>
      <w:bookmarkEnd w:id="376"/>
      <w:bookmarkStart w:id="377" w:name="_Toc184308098"/>
      <w:bookmarkEnd w:id="377"/>
      <w:bookmarkStart w:id="378" w:name="_Toc184312088"/>
      <w:bookmarkEnd w:id="378"/>
      <w:bookmarkStart w:id="379" w:name="_Toc184313254"/>
      <w:bookmarkEnd w:id="379"/>
      <w:bookmarkStart w:id="380" w:name="_Toc184313279"/>
      <w:bookmarkEnd w:id="380"/>
      <w:bookmarkStart w:id="381" w:name="_Toc184310332"/>
      <w:bookmarkEnd w:id="381"/>
      <w:bookmarkStart w:id="382" w:name="_Toc184314479"/>
      <w:bookmarkEnd w:id="382"/>
      <w:bookmarkStart w:id="383" w:name="_Toc184310318"/>
      <w:bookmarkEnd w:id="383"/>
      <w:bookmarkStart w:id="384" w:name="_Toc184312072"/>
      <w:bookmarkEnd w:id="384"/>
      <w:bookmarkStart w:id="385" w:name="_Toc184308072"/>
      <w:bookmarkEnd w:id="385"/>
      <w:bookmarkStart w:id="386" w:name="_Toc184313247"/>
      <w:bookmarkEnd w:id="386"/>
      <w:bookmarkStart w:id="387" w:name="_Toc184314423"/>
      <w:bookmarkEnd w:id="387"/>
      <w:bookmarkStart w:id="388" w:name="_Toc184308077"/>
      <w:bookmarkEnd w:id="388"/>
      <w:bookmarkStart w:id="389" w:name="_Toc184312132"/>
      <w:bookmarkEnd w:id="389"/>
      <w:bookmarkStart w:id="390" w:name="_Toc184310339"/>
      <w:bookmarkEnd w:id="390"/>
      <w:bookmarkStart w:id="391" w:name="_Toc184310285"/>
      <w:bookmarkEnd w:id="391"/>
      <w:bookmarkStart w:id="392" w:name="_Toc184313266"/>
      <w:bookmarkEnd w:id="392"/>
      <w:bookmarkStart w:id="393" w:name="_Toc184314482"/>
      <w:bookmarkEnd w:id="393"/>
      <w:bookmarkStart w:id="394" w:name="_Toc184312078"/>
      <w:bookmarkEnd w:id="394"/>
      <w:bookmarkStart w:id="395" w:name="_Toc184310313"/>
      <w:bookmarkEnd w:id="395"/>
      <w:bookmarkStart w:id="396" w:name="_Toc184313249"/>
      <w:bookmarkEnd w:id="396"/>
      <w:bookmarkStart w:id="397" w:name="_Toc184310273"/>
      <w:bookmarkEnd w:id="397"/>
      <w:bookmarkStart w:id="398" w:name="_Toc184308063"/>
      <w:bookmarkEnd w:id="398"/>
      <w:bookmarkStart w:id="399" w:name="_Toc184308079"/>
      <w:bookmarkEnd w:id="399"/>
      <w:bookmarkStart w:id="400" w:name="_Toc184308083"/>
      <w:bookmarkEnd w:id="400"/>
      <w:bookmarkStart w:id="401" w:name="_Toc184308046"/>
      <w:bookmarkEnd w:id="401"/>
      <w:bookmarkStart w:id="402" w:name="_Toc184310319"/>
      <w:bookmarkEnd w:id="402"/>
      <w:r>
        <w:rPr>
          <w:rFonts w:hint="eastAsia" w:ascii="宋体" w:hAnsi="宋体" w:cs="宋体"/>
          <w:b/>
          <w:color w:val="auto"/>
          <w:sz w:val="36"/>
          <w:szCs w:val="36"/>
          <w:highlight w:val="none"/>
        </w:rPr>
        <w:t>评标办法</w:t>
      </w:r>
      <w:bookmarkEnd w:id="37"/>
    </w:p>
    <w:p w14:paraId="08744C54">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0B7CC184">
      <w:pPr>
        <w:widowControl/>
        <w:kinsoku/>
        <w:wordWrap/>
        <w:overflowPunct/>
        <w:topLinePunct w:val="0"/>
        <w:bidi w:val="0"/>
        <w:adjustRightInd/>
        <w:spacing w:line="360" w:lineRule="exact"/>
        <w:jc w:val="center"/>
        <w:outlineLvl w:val="9"/>
        <w:rPr>
          <w:rFonts w:hint="eastAsia" w:ascii="宋体" w:hAnsi="宋体" w:eastAsia="宋体" w:cs="宋体"/>
          <w:b/>
          <w:bCs/>
          <w:color w:val="auto"/>
          <w:kern w:val="0"/>
          <w:sz w:val="32"/>
          <w:szCs w:val="40"/>
          <w:highlight w:val="none"/>
          <w:lang w:eastAsia="zh-CN"/>
        </w:rPr>
      </w:pPr>
      <w:r>
        <w:rPr>
          <w:rFonts w:hint="eastAsia" w:ascii="宋体" w:hAnsi="宋体" w:eastAsia="宋体" w:cs="宋体"/>
          <w:b/>
          <w:bCs/>
          <w:color w:val="auto"/>
          <w:kern w:val="0"/>
          <w:sz w:val="32"/>
          <w:szCs w:val="40"/>
          <w:highlight w:val="none"/>
        </w:rPr>
        <w:t>评分标准表</w:t>
      </w:r>
    </w:p>
    <w:p w14:paraId="00DA616F">
      <w:pPr>
        <w:widowControl/>
        <w:kinsoku/>
        <w:wordWrap/>
        <w:overflowPunct/>
        <w:topLinePunct w:val="0"/>
        <w:bidi w:val="0"/>
        <w:adjustRightInd/>
        <w:spacing w:line="320" w:lineRule="exact"/>
        <w:jc w:val="left"/>
        <w:outlineLvl w:val="9"/>
        <w:rPr>
          <w:rFonts w:hint="eastAsia" w:ascii="宋体" w:hAnsi="宋体" w:cs="宋体"/>
          <w:b w:val="0"/>
          <w:bCs/>
          <w:color w:val="auto"/>
          <w:sz w:val="24"/>
          <w:highlight w:val="none"/>
        </w:rPr>
      </w:pPr>
    </w:p>
    <w:tbl>
      <w:tblPr>
        <w:tblStyle w:val="63"/>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089"/>
        <w:gridCol w:w="44"/>
        <w:gridCol w:w="5411"/>
        <w:gridCol w:w="488"/>
        <w:gridCol w:w="748"/>
      </w:tblGrid>
      <w:tr w14:paraId="13B7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25" w:type="dxa"/>
            <w:gridSpan w:val="4"/>
            <w:tcBorders>
              <w:top w:val="single" w:color="auto" w:sz="4" w:space="0"/>
              <w:left w:val="single" w:color="auto" w:sz="4" w:space="0"/>
              <w:bottom w:val="single" w:color="auto" w:sz="4" w:space="0"/>
              <w:right w:val="single" w:color="auto" w:sz="2" w:space="0"/>
            </w:tcBorders>
            <w:noWrap w:val="0"/>
            <w:vAlign w:val="center"/>
          </w:tcPr>
          <w:p w14:paraId="73EACF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评分项及分值</w:t>
            </w:r>
          </w:p>
        </w:tc>
        <w:tc>
          <w:tcPr>
            <w:tcW w:w="488" w:type="dxa"/>
            <w:tcBorders>
              <w:top w:val="single" w:color="auto" w:sz="4" w:space="0"/>
              <w:left w:val="single" w:color="auto" w:sz="4" w:space="0"/>
              <w:bottom w:val="single" w:color="auto" w:sz="4" w:space="0"/>
              <w:right w:val="single" w:color="auto" w:sz="2" w:space="0"/>
            </w:tcBorders>
            <w:noWrap w:val="0"/>
            <w:vAlign w:val="center"/>
          </w:tcPr>
          <w:p w14:paraId="622148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分值</w:t>
            </w:r>
          </w:p>
        </w:tc>
        <w:tc>
          <w:tcPr>
            <w:tcW w:w="748" w:type="dxa"/>
            <w:tcBorders>
              <w:top w:val="single" w:color="auto" w:sz="4" w:space="0"/>
              <w:left w:val="single" w:color="auto" w:sz="4" w:space="0"/>
              <w:bottom w:val="single" w:color="auto" w:sz="4" w:space="0"/>
              <w:right w:val="single" w:color="auto" w:sz="2" w:space="0"/>
            </w:tcBorders>
            <w:noWrap w:val="0"/>
            <w:vAlign w:val="center"/>
          </w:tcPr>
          <w:p w14:paraId="2D8990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分值类型</w:t>
            </w:r>
          </w:p>
        </w:tc>
      </w:tr>
      <w:tr w14:paraId="2311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restart"/>
            <w:tcBorders>
              <w:top w:val="single" w:color="auto" w:sz="4" w:space="0"/>
              <w:left w:val="single" w:color="auto" w:sz="4" w:space="0"/>
              <w:right w:val="single" w:color="auto" w:sz="2" w:space="0"/>
            </w:tcBorders>
            <w:noWrap w:val="0"/>
            <w:vAlign w:val="center"/>
          </w:tcPr>
          <w:p w14:paraId="2F614B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商务技术分（</w:t>
            </w:r>
            <w:r>
              <w:rPr>
                <w:rFonts w:hint="eastAsia" w:ascii="宋体" w:hAnsi="宋体" w:eastAsia="宋体" w:cs="宋体"/>
                <w:snapToGrid w:val="0"/>
                <w:color w:val="auto"/>
                <w:spacing w:val="-4"/>
                <w:kern w:val="2"/>
                <w:sz w:val="24"/>
                <w:szCs w:val="24"/>
                <w:highlight w:val="none"/>
                <w:lang w:val="en-US" w:eastAsia="zh-CN"/>
              </w:rPr>
              <w:t>70</w:t>
            </w:r>
            <w:r>
              <w:rPr>
                <w:rFonts w:hint="eastAsia" w:ascii="宋体" w:hAnsi="宋体" w:eastAsia="宋体" w:cs="宋体"/>
                <w:snapToGrid w:val="0"/>
                <w:color w:val="auto"/>
                <w:spacing w:val="-4"/>
                <w:kern w:val="2"/>
                <w:sz w:val="24"/>
                <w:szCs w:val="24"/>
                <w:highlight w:val="none"/>
              </w:rPr>
              <w:t>分）</w:t>
            </w:r>
          </w:p>
        </w:tc>
        <w:tc>
          <w:tcPr>
            <w:tcW w:w="6544" w:type="dxa"/>
            <w:gridSpan w:val="3"/>
            <w:tcBorders>
              <w:top w:val="single" w:color="auto" w:sz="4" w:space="0"/>
              <w:left w:val="single" w:color="auto" w:sz="4" w:space="0"/>
              <w:bottom w:val="single" w:color="auto" w:sz="4" w:space="0"/>
              <w:right w:val="single" w:color="auto" w:sz="2" w:space="0"/>
            </w:tcBorders>
            <w:noWrap w:val="0"/>
            <w:vAlign w:val="center"/>
          </w:tcPr>
          <w:p w14:paraId="7F490FCC">
            <w:pPr>
              <w:keepNext w:val="0"/>
              <w:keepLines w:val="0"/>
              <w:widowControl/>
              <w:suppressLineNumbers w:val="0"/>
              <w:adjustRightInd/>
              <w:spacing w:before="0" w:beforeAutospacing="0" w:after="0" w:afterAutospacing="0" w:line="240" w:lineRule="auto"/>
              <w:ind w:left="0" w:right="0"/>
              <w:jc w:val="left"/>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1、对供应商的需求响应进行评议（</w:t>
            </w:r>
            <w:r>
              <w:rPr>
                <w:rFonts w:hint="eastAsia" w:ascii="宋体" w:hAnsi="宋体" w:cs="宋体"/>
                <w:b w:val="0"/>
                <w:bCs w:val="0"/>
                <w:color w:val="auto"/>
                <w:kern w:val="2"/>
                <w:sz w:val="24"/>
                <w:szCs w:val="24"/>
                <w:highlight w:val="none"/>
                <w:lang w:val="en-US" w:eastAsia="zh-CN"/>
              </w:rPr>
              <w:t>15</w:t>
            </w:r>
            <w:r>
              <w:rPr>
                <w:rFonts w:hint="eastAsia" w:ascii="宋体" w:hAnsi="宋体" w:eastAsia="宋体" w:cs="宋体"/>
                <w:b w:val="0"/>
                <w:bCs w:val="0"/>
                <w:color w:val="auto"/>
                <w:kern w:val="2"/>
                <w:sz w:val="24"/>
                <w:szCs w:val="24"/>
                <w:highlight w:val="none"/>
                <w:lang w:val="en-US" w:eastAsia="zh-CN"/>
              </w:rPr>
              <w:t>分）：</w:t>
            </w:r>
          </w:p>
          <w:p w14:paraId="7ED20239">
            <w:pPr>
              <w:keepNext w:val="0"/>
              <w:keepLines w:val="0"/>
              <w:widowControl/>
              <w:suppressLineNumbers w:val="0"/>
              <w:adjustRightInd/>
              <w:spacing w:before="0" w:beforeAutospacing="0" w:after="0" w:afterAutospacing="0" w:line="240" w:lineRule="auto"/>
              <w:ind w:left="0" w:right="0"/>
              <w:jc w:val="left"/>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（1）完全响应招标文件 “第三部分 采购需求 二、服务内容及要求”中所有指标的得</w:t>
            </w:r>
            <w:r>
              <w:rPr>
                <w:rFonts w:hint="eastAsia" w:ascii="宋体" w:hAnsi="宋体" w:cs="宋体"/>
                <w:b w:val="0"/>
                <w:bCs w:val="0"/>
                <w:color w:val="auto"/>
                <w:kern w:val="2"/>
                <w:sz w:val="24"/>
                <w:szCs w:val="24"/>
                <w:highlight w:val="none"/>
                <w:lang w:val="en-US" w:eastAsia="zh-CN"/>
              </w:rPr>
              <w:t>15</w:t>
            </w:r>
            <w:r>
              <w:rPr>
                <w:rFonts w:hint="eastAsia" w:ascii="宋体" w:hAnsi="宋体" w:eastAsia="宋体" w:cs="宋体"/>
                <w:b w:val="0"/>
                <w:bCs w:val="0"/>
                <w:color w:val="auto"/>
                <w:kern w:val="2"/>
                <w:sz w:val="24"/>
                <w:szCs w:val="24"/>
                <w:highlight w:val="none"/>
                <w:lang w:val="en-US" w:eastAsia="zh-CN"/>
              </w:rPr>
              <w:t>分；</w:t>
            </w:r>
          </w:p>
          <w:p w14:paraId="34D1414F">
            <w:pPr>
              <w:keepNext w:val="0"/>
              <w:keepLines w:val="0"/>
              <w:widowControl/>
              <w:suppressLineNumbers w:val="0"/>
              <w:adjustRightInd/>
              <w:spacing w:before="0" w:beforeAutospacing="0" w:after="0" w:afterAutospacing="0" w:line="240" w:lineRule="auto"/>
              <w:ind w:left="0" w:right="0"/>
              <w:jc w:val="left"/>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（2）“第三部分 采购需求 二、服务内容及要求”中标“▲”的指标（共</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条），每负偏离一条扣</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en-US" w:eastAsia="zh-CN"/>
              </w:rPr>
              <w:t>分；</w:t>
            </w:r>
          </w:p>
          <w:p w14:paraId="48280448">
            <w:pPr>
              <w:keepNext w:val="0"/>
              <w:keepLines w:val="0"/>
              <w:widowControl/>
              <w:suppressLineNumbers w:val="0"/>
              <w:adjustRightInd/>
              <w:spacing w:before="0" w:beforeAutospacing="0" w:after="0" w:afterAutospacing="0" w:line="240" w:lineRule="auto"/>
              <w:ind w:left="0" w:right="0"/>
              <w:jc w:val="left"/>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（3）“第三部分 采购需求 二、服务内容及要求”中未标“▲”的指标（共</w:t>
            </w:r>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条），每负偏离一条扣0.</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en-US" w:eastAsia="zh-CN"/>
              </w:rPr>
              <w:t>分。</w:t>
            </w:r>
          </w:p>
          <w:p w14:paraId="54C15814">
            <w:pPr>
              <w:keepNext w:val="0"/>
              <w:keepLines w:val="0"/>
              <w:widowControl/>
              <w:suppressLineNumbers w:val="0"/>
              <w:adjustRightIn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注：1）招标文件技术需求中标“★”的指标不允许负偏离，否则作无效标处理；2）当有供应商此项分值扣减至0分，该供应商投标将被拒绝，其投标文件作无效标处理，不再进行评审。</w:t>
            </w:r>
          </w:p>
        </w:tc>
        <w:tc>
          <w:tcPr>
            <w:tcW w:w="488" w:type="dxa"/>
            <w:tcBorders>
              <w:top w:val="single" w:color="auto" w:sz="4" w:space="0"/>
              <w:left w:val="single" w:color="auto" w:sz="4" w:space="0"/>
              <w:bottom w:val="single" w:color="auto" w:sz="4" w:space="0"/>
              <w:right w:val="single" w:color="auto" w:sz="2" w:space="0"/>
            </w:tcBorders>
            <w:noWrap w:val="0"/>
            <w:vAlign w:val="center"/>
          </w:tcPr>
          <w:p w14:paraId="24B706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cs="宋体"/>
                <w:snapToGrid w:val="0"/>
                <w:color w:val="auto"/>
                <w:spacing w:val="-4"/>
                <w:kern w:val="2"/>
                <w:sz w:val="24"/>
                <w:szCs w:val="24"/>
                <w:highlight w:val="none"/>
                <w:lang w:val="en-US" w:eastAsia="zh-CN"/>
              </w:rPr>
              <w:t>15</w:t>
            </w:r>
          </w:p>
        </w:tc>
        <w:tc>
          <w:tcPr>
            <w:tcW w:w="748" w:type="dxa"/>
            <w:tcBorders>
              <w:top w:val="single" w:color="auto" w:sz="4" w:space="0"/>
              <w:left w:val="single" w:color="auto" w:sz="4" w:space="0"/>
              <w:bottom w:val="single" w:color="auto" w:sz="4" w:space="0"/>
              <w:right w:val="single" w:color="auto" w:sz="2" w:space="0"/>
            </w:tcBorders>
            <w:noWrap w:val="0"/>
            <w:vAlign w:val="center"/>
          </w:tcPr>
          <w:p w14:paraId="0D8333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客观评议</w:t>
            </w:r>
          </w:p>
        </w:tc>
      </w:tr>
      <w:tr w14:paraId="6DCF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0"/>
            <w:vAlign w:val="center"/>
          </w:tcPr>
          <w:p w14:paraId="459D42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p>
        </w:tc>
        <w:tc>
          <w:tcPr>
            <w:tcW w:w="6544" w:type="dxa"/>
            <w:gridSpan w:val="3"/>
            <w:tcBorders>
              <w:top w:val="single" w:color="auto" w:sz="4" w:space="0"/>
              <w:left w:val="single" w:color="auto" w:sz="4" w:space="0"/>
              <w:bottom w:val="single" w:color="auto" w:sz="4" w:space="0"/>
              <w:right w:val="single" w:color="auto" w:sz="2" w:space="0"/>
            </w:tcBorders>
            <w:noWrap w:val="0"/>
            <w:vAlign w:val="center"/>
          </w:tcPr>
          <w:p w14:paraId="4552273B">
            <w:pPr>
              <w:keepNext w:val="0"/>
              <w:keepLines w:val="0"/>
              <w:widowControl/>
              <w:suppressLineNumbers w:val="0"/>
              <w:adjustRightInd/>
              <w:spacing w:before="0" w:beforeAutospacing="0" w:after="0" w:afterAutospacing="0" w:line="240" w:lineRule="auto"/>
              <w:ind w:left="0" w:right="0"/>
              <w:jc w:val="left"/>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根据项目要求，对供应商提供的科学、合理、完整的项目总体实施方案（收集样本流程、时间节点，检测流程，数据分析实施规划、工作时间进度表、工作程序和步骤、管理和协调方法、关键步骤的思路和要点、科室建设、评级经验等）进行评议：方案完整、科学、合理、可行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分；方案基本完整能满足招标需求的得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分；方案基本完整但部分内容缺失的得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分；方案不够完整，存在部分缺陷的得</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分；未提供本项不得分。</w:t>
            </w:r>
          </w:p>
        </w:tc>
        <w:tc>
          <w:tcPr>
            <w:tcW w:w="488" w:type="dxa"/>
            <w:tcBorders>
              <w:top w:val="single" w:color="auto" w:sz="4" w:space="0"/>
              <w:left w:val="single" w:color="auto" w:sz="4" w:space="0"/>
              <w:bottom w:val="single" w:color="auto" w:sz="4" w:space="0"/>
              <w:right w:val="single" w:color="auto" w:sz="2" w:space="0"/>
            </w:tcBorders>
            <w:noWrap w:val="0"/>
            <w:vAlign w:val="center"/>
          </w:tcPr>
          <w:p w14:paraId="433DC9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cs="宋体"/>
                <w:snapToGrid w:val="0"/>
                <w:color w:val="auto"/>
                <w:spacing w:val="-4"/>
                <w:kern w:val="2"/>
                <w:sz w:val="24"/>
                <w:szCs w:val="24"/>
                <w:highlight w:val="none"/>
                <w:lang w:val="en-US" w:eastAsia="zh-CN"/>
              </w:rPr>
              <w:t>4</w:t>
            </w:r>
          </w:p>
        </w:tc>
        <w:tc>
          <w:tcPr>
            <w:tcW w:w="748" w:type="dxa"/>
            <w:tcBorders>
              <w:top w:val="single" w:color="auto" w:sz="4" w:space="0"/>
              <w:left w:val="single" w:color="auto" w:sz="4" w:space="0"/>
              <w:bottom w:val="single" w:color="auto" w:sz="4" w:space="0"/>
              <w:right w:val="single" w:color="auto" w:sz="2" w:space="0"/>
            </w:tcBorders>
            <w:noWrap w:val="0"/>
            <w:vAlign w:val="center"/>
          </w:tcPr>
          <w:p w14:paraId="26F9A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772C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0"/>
            <w:vAlign w:val="center"/>
          </w:tcPr>
          <w:p w14:paraId="0B5E41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p>
        </w:tc>
        <w:tc>
          <w:tcPr>
            <w:tcW w:w="6544" w:type="dxa"/>
            <w:gridSpan w:val="3"/>
            <w:tcBorders>
              <w:top w:val="single" w:color="auto" w:sz="4" w:space="0"/>
              <w:left w:val="single" w:color="auto" w:sz="4" w:space="0"/>
              <w:bottom w:val="single" w:color="auto" w:sz="4" w:space="0"/>
              <w:right w:val="single" w:color="auto" w:sz="2" w:space="0"/>
            </w:tcBorders>
            <w:noWrap w:val="0"/>
            <w:vAlign w:val="center"/>
          </w:tcPr>
          <w:p w14:paraId="28C1DE3F">
            <w:pPr>
              <w:keepNext w:val="0"/>
              <w:keepLines w:val="0"/>
              <w:widowControl/>
              <w:suppressLineNumbers w:val="0"/>
              <w:adjustRightInd/>
              <w:spacing w:before="0" w:beforeAutospacing="0" w:after="0" w:afterAutospacing="0" w:line="240" w:lineRule="auto"/>
              <w:ind w:left="0" w:right="0"/>
              <w:jc w:val="left"/>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3、根据项目要求，对供应商提供的科学、合理、完整的检测质量控制措施（质控水平、质控次数、质控规则）进行评议：方案完整、科学、合理、可行的得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分；方案基本完整能满足招标需求的得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分；方案基本完整但部分内容缺失的得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分；方案不够完整，存在部分缺陷的得</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分；未提供本项不得分。</w:t>
            </w:r>
          </w:p>
        </w:tc>
        <w:tc>
          <w:tcPr>
            <w:tcW w:w="488" w:type="dxa"/>
            <w:tcBorders>
              <w:top w:val="single" w:color="auto" w:sz="4" w:space="0"/>
              <w:left w:val="single" w:color="auto" w:sz="4" w:space="0"/>
              <w:bottom w:val="single" w:color="auto" w:sz="4" w:space="0"/>
              <w:right w:val="single" w:color="auto" w:sz="2" w:space="0"/>
            </w:tcBorders>
            <w:noWrap w:val="0"/>
            <w:vAlign w:val="center"/>
          </w:tcPr>
          <w:p w14:paraId="383268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cs="宋体"/>
                <w:snapToGrid w:val="0"/>
                <w:color w:val="auto"/>
                <w:spacing w:val="-4"/>
                <w:kern w:val="2"/>
                <w:sz w:val="24"/>
                <w:szCs w:val="24"/>
                <w:highlight w:val="none"/>
                <w:lang w:val="en-US" w:eastAsia="zh-CN"/>
              </w:rPr>
              <w:t>4</w:t>
            </w:r>
          </w:p>
        </w:tc>
        <w:tc>
          <w:tcPr>
            <w:tcW w:w="748" w:type="dxa"/>
            <w:tcBorders>
              <w:top w:val="single" w:color="auto" w:sz="4" w:space="0"/>
              <w:left w:val="single" w:color="auto" w:sz="4" w:space="0"/>
              <w:bottom w:val="single" w:color="auto" w:sz="4" w:space="0"/>
              <w:right w:val="single" w:color="auto" w:sz="2" w:space="0"/>
            </w:tcBorders>
            <w:noWrap w:val="0"/>
            <w:vAlign w:val="center"/>
          </w:tcPr>
          <w:p w14:paraId="0ECC4B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1848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0"/>
            <w:vAlign w:val="center"/>
          </w:tcPr>
          <w:p w14:paraId="614681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p>
        </w:tc>
        <w:tc>
          <w:tcPr>
            <w:tcW w:w="6544" w:type="dxa"/>
            <w:gridSpan w:val="3"/>
            <w:tcBorders>
              <w:top w:val="single" w:color="auto" w:sz="4" w:space="0"/>
              <w:left w:val="single" w:color="auto" w:sz="4" w:space="0"/>
              <w:bottom w:val="single" w:color="auto" w:sz="4" w:space="0"/>
              <w:right w:val="single" w:color="auto" w:sz="2" w:space="0"/>
            </w:tcBorders>
            <w:noWrap w:val="0"/>
            <w:vAlign w:val="center"/>
          </w:tcPr>
          <w:p w14:paraId="69DDE352">
            <w:pPr>
              <w:keepNext w:val="0"/>
              <w:keepLines w:val="0"/>
              <w:widowControl/>
              <w:suppressLineNumbers w:val="0"/>
              <w:adjustRightIn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根据项目要求，对供应商提供的科学、合理、完整的学习、培训方案（对采购人团队的培训方案、对</w:t>
            </w: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服务团队的培训方案等）进行评议：方案完整、科学、合理、可行的得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分；方案基本完整能满足招标需求的得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分；方案基本完整但部分内容缺失的得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分；方案不够完整，存在部分缺陷的得</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分；未提供本项不得分</w:t>
            </w:r>
          </w:p>
        </w:tc>
        <w:tc>
          <w:tcPr>
            <w:tcW w:w="48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41EF31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4</w:t>
            </w:r>
          </w:p>
        </w:tc>
        <w:tc>
          <w:tcPr>
            <w:tcW w:w="74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7A59B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408F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0"/>
            <w:vAlign w:val="center"/>
          </w:tcPr>
          <w:p w14:paraId="28949E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p>
        </w:tc>
        <w:tc>
          <w:tcPr>
            <w:tcW w:w="6544" w:type="dxa"/>
            <w:gridSpan w:val="3"/>
            <w:tcBorders>
              <w:top w:val="single" w:color="auto" w:sz="4" w:space="0"/>
              <w:left w:val="single" w:color="auto" w:sz="4" w:space="0"/>
              <w:bottom w:val="single" w:color="auto" w:sz="4" w:space="0"/>
              <w:right w:val="single" w:color="auto" w:sz="2" w:space="0"/>
            </w:tcBorders>
            <w:noWrap w:val="0"/>
            <w:vAlign w:val="center"/>
          </w:tcPr>
          <w:p w14:paraId="09ABBA68">
            <w:pPr>
              <w:keepNext w:val="0"/>
              <w:keepLines w:val="0"/>
              <w:widowControl/>
              <w:suppressLineNumbers w:val="0"/>
              <w:adjustRightInd/>
              <w:spacing w:before="0" w:beforeAutospacing="0" w:after="0" w:afterAutospacing="0" w:line="240" w:lineRule="auto"/>
              <w:ind w:left="0" w:right="0"/>
              <w:jc w:val="left"/>
              <w:textAlignment w:val="auto"/>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5、根据项目要求，对供应商提供的科学、合理、完整的病理外送时效保障方案（外送病理接收、运送、报告出具、病理防丢失等方案）进行评议：方案合理、完整，完全满足采购人项目实际需求的得4分；方案较合理、较完整，基本满足采购人项目实际需求的得3分；方案不够完整，存在部分缺陷的得2分；方案与实际项目需求有一定差距得1分；未提供本项不得分。</w:t>
            </w:r>
          </w:p>
        </w:tc>
        <w:tc>
          <w:tcPr>
            <w:tcW w:w="48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271136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4</w:t>
            </w:r>
          </w:p>
        </w:tc>
        <w:tc>
          <w:tcPr>
            <w:tcW w:w="74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1A991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6424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0"/>
            <w:vAlign w:val="center"/>
          </w:tcPr>
          <w:p w14:paraId="523F7E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p>
        </w:tc>
        <w:tc>
          <w:tcPr>
            <w:tcW w:w="6544" w:type="dxa"/>
            <w:gridSpan w:val="3"/>
            <w:tcBorders>
              <w:top w:val="single" w:color="auto" w:sz="4" w:space="0"/>
              <w:left w:val="single" w:color="auto" w:sz="4" w:space="0"/>
              <w:bottom w:val="single" w:color="auto" w:sz="4" w:space="0"/>
              <w:right w:val="single" w:color="auto" w:sz="2" w:space="0"/>
            </w:tcBorders>
            <w:noWrap w:val="0"/>
            <w:vAlign w:val="center"/>
          </w:tcPr>
          <w:p w14:paraId="7541344A">
            <w:pPr>
              <w:keepNext w:val="0"/>
              <w:keepLines w:val="0"/>
              <w:widowControl/>
              <w:suppressLineNumbers w:val="0"/>
              <w:adjustRightInd/>
              <w:spacing w:before="0" w:beforeAutospacing="0" w:after="0" w:afterAutospacing="0" w:line="240" w:lineRule="auto"/>
              <w:ind w:left="0" w:right="0"/>
              <w:jc w:val="left"/>
              <w:textAlignment w:val="auto"/>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6、根据供应商提供的运输方案（①是否具有物流冷链资质；②物流方案是否合理可行；③物流人员资质是否符合要求；④标本运输效率）进行评议：方案完整、科学、合理、可行的得4分；方案基本完整能满足招标需求的得3分；方案基本完整但部分内容缺失的得2分；方案不够完整，存在部分缺陷的得1分；未提供本项不得分。</w:t>
            </w:r>
          </w:p>
        </w:tc>
        <w:tc>
          <w:tcPr>
            <w:tcW w:w="48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68C55A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4</w:t>
            </w:r>
          </w:p>
        </w:tc>
        <w:tc>
          <w:tcPr>
            <w:tcW w:w="74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38E207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6840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0"/>
            <w:vAlign w:val="center"/>
          </w:tcPr>
          <w:p w14:paraId="533F3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p>
        </w:tc>
        <w:tc>
          <w:tcPr>
            <w:tcW w:w="6544" w:type="dxa"/>
            <w:gridSpan w:val="3"/>
            <w:tcBorders>
              <w:top w:val="single" w:color="auto" w:sz="4" w:space="0"/>
              <w:left w:val="single" w:color="auto" w:sz="4" w:space="0"/>
              <w:bottom w:val="single" w:color="auto" w:sz="4" w:space="0"/>
              <w:right w:val="single" w:color="auto" w:sz="2" w:space="0"/>
            </w:tcBorders>
            <w:noWrap w:val="0"/>
            <w:vAlign w:val="center"/>
          </w:tcPr>
          <w:p w14:paraId="4888E1BF">
            <w:pPr>
              <w:keepNext w:val="0"/>
              <w:keepLines w:val="0"/>
              <w:widowControl/>
              <w:suppressLineNumbers w:val="0"/>
              <w:adjustRightInd/>
              <w:spacing w:before="0" w:beforeAutospacing="0" w:after="0" w:afterAutospacing="0" w:line="240" w:lineRule="auto"/>
              <w:ind w:left="0" w:right="0"/>
              <w:jc w:val="left"/>
              <w:textAlignment w:val="auto"/>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7、对供应商提供的检测方案（①实验室室内控制措施是否合理可行；②提供实验室室间质评（或比对）证明材料；③危急值报告流程）进行评议：方案完整、科学、合理、可行的得4分；方案基本完整能满足招标需求的得3分；方案基本完整但部分内容缺失的得2分；方案不够完整，存在部分缺陷的得1分；未提供本项不得分。</w:t>
            </w:r>
          </w:p>
        </w:tc>
        <w:tc>
          <w:tcPr>
            <w:tcW w:w="48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4D7EB2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4</w:t>
            </w:r>
          </w:p>
        </w:tc>
        <w:tc>
          <w:tcPr>
            <w:tcW w:w="74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758186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49C8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0"/>
            <w:vAlign w:val="center"/>
          </w:tcPr>
          <w:p w14:paraId="64437D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p>
        </w:tc>
        <w:tc>
          <w:tcPr>
            <w:tcW w:w="1133" w:type="dxa"/>
            <w:gridSpan w:val="2"/>
            <w:vMerge w:val="restart"/>
            <w:tcBorders>
              <w:top w:val="single" w:color="auto" w:sz="4" w:space="0"/>
              <w:left w:val="single" w:color="auto" w:sz="4" w:space="0"/>
              <w:right w:val="single" w:color="auto" w:sz="2" w:space="0"/>
            </w:tcBorders>
            <w:shd w:val="clear" w:color="auto" w:fill="auto"/>
            <w:noWrap w:val="0"/>
            <w:vAlign w:val="center"/>
          </w:tcPr>
          <w:p w14:paraId="7F112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w:t>
            </w:r>
            <w:r>
              <w:rPr>
                <w:rFonts w:hint="eastAsia" w:asciiTheme="minorEastAsia" w:hAnsiTheme="minorEastAsia" w:eastAsiaTheme="minorEastAsia" w:cstheme="minorEastAsia"/>
                <w:color w:val="auto"/>
                <w:sz w:val="24"/>
                <w:szCs w:val="24"/>
                <w:highlight w:val="none"/>
                <w:lang w:val="en-US" w:eastAsia="zh-CN"/>
              </w:rPr>
              <w:t>设备</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tc>
        <w:tc>
          <w:tcPr>
            <w:tcW w:w="5411"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7846EB43">
            <w:pPr>
              <w:keepNext w:val="0"/>
              <w:keepLines w:val="0"/>
              <w:widowControl/>
              <w:suppressLineNumbers w:val="0"/>
              <w:adjustRightIn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8.1根据项目要求，对供应商提供的科学、合理、完整的仪器投入方案（仪器种类、数量、技术先进性等）进行评议：仪器充足、种类齐全、技术先进，完全满足采购人项目实际需求的得5分；仪器较充足、种类较齐全、技术较先进，基本满足采购人项目实际需求的得4分；仪器数量基本满足招标文件要求、但种类较少，技术较为落后的得3分；仪器种类不够完整，数量及技术上存在部分缺陷的得2分；方案与实际项目需求有一定差距得1分；未提供本项不得分。</w:t>
            </w:r>
          </w:p>
          <w:p w14:paraId="1F6C4FC8">
            <w:pPr>
              <w:keepNext w:val="0"/>
              <w:keepLines w:val="0"/>
              <w:widowControl/>
              <w:suppressLineNumbers w:val="0"/>
              <w:adjustRightInd/>
              <w:spacing w:before="0" w:beforeAutospacing="0" w:after="0" w:afterAutospacing="0" w:line="240" w:lineRule="auto"/>
              <w:ind w:left="0" w:right="0"/>
              <w:jc w:val="left"/>
              <w:textAlignment w:val="auto"/>
              <w:rPr>
                <w:rFonts w:hint="eastAsia"/>
                <w:color w:val="auto"/>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注：供应商须在投标文件中提供相关设备的照片或彩页作为佐证，未提供的本项不得分。</w:t>
            </w:r>
          </w:p>
        </w:tc>
        <w:tc>
          <w:tcPr>
            <w:tcW w:w="48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22589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5</w:t>
            </w:r>
          </w:p>
        </w:tc>
        <w:tc>
          <w:tcPr>
            <w:tcW w:w="74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1AB1C0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203A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0"/>
            <w:vAlign w:val="center"/>
          </w:tcPr>
          <w:p w14:paraId="65A031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p>
        </w:tc>
        <w:tc>
          <w:tcPr>
            <w:tcW w:w="1133" w:type="dxa"/>
            <w:gridSpan w:val="2"/>
            <w:vMerge w:val="continue"/>
            <w:tcBorders>
              <w:left w:val="single" w:color="auto" w:sz="4" w:space="0"/>
              <w:bottom w:val="single" w:color="auto" w:sz="4" w:space="0"/>
              <w:right w:val="single" w:color="auto" w:sz="2" w:space="0"/>
            </w:tcBorders>
            <w:noWrap w:val="0"/>
            <w:vAlign w:val="center"/>
          </w:tcPr>
          <w:p w14:paraId="32CDCB9B">
            <w:pPr>
              <w:keepNext w:val="0"/>
              <w:keepLines w:val="0"/>
              <w:widowControl/>
              <w:suppressLineNumbers w:val="0"/>
              <w:adjustRightInd/>
              <w:spacing w:before="0" w:beforeAutospacing="0" w:after="0" w:afterAutospacing="0" w:line="240" w:lineRule="auto"/>
              <w:ind w:left="0" w:right="0"/>
              <w:jc w:val="left"/>
              <w:textAlignment w:val="auto"/>
              <w:rPr>
                <w:rFonts w:hint="eastAsia" w:ascii="宋体" w:hAnsi="宋体" w:cs="宋体"/>
                <w:color w:val="auto"/>
                <w:kern w:val="2"/>
                <w:sz w:val="24"/>
                <w:szCs w:val="24"/>
                <w:highlight w:val="none"/>
                <w:lang w:val="en-US" w:eastAsia="zh-CN"/>
              </w:rPr>
            </w:pPr>
          </w:p>
        </w:tc>
        <w:tc>
          <w:tcPr>
            <w:tcW w:w="5411"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0D2EAB88">
            <w:pPr>
              <w:keepNext w:val="0"/>
              <w:keepLines w:val="0"/>
              <w:widowControl/>
              <w:suppressLineNumbers w:val="0"/>
              <w:adjustRightIn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8.2根据项目要求，对供应商提供的科学、合理、完整的试剂匹配方案（对应仪器与试剂使用的匹配度、试剂质量水平、试剂配送方案、管理体系）进行评议：试剂匹配度高、检测结果准确性高、配送及时、管理科学的得5分；试剂匹配度较好、检测结果准确性较好、配送较及时、管理较科学的得4分；试剂匹配度一般、检测结果准确性一般、配送较及时、管理欠科学的得3分；试剂匹配度不好、检测结果准确性一般、配送时间较长、管理不科学的得2分；试剂匹配方案不完整，存在明显缺陷，无法满足招标需求的得1分；未提供本项不得分。</w:t>
            </w:r>
          </w:p>
        </w:tc>
        <w:tc>
          <w:tcPr>
            <w:tcW w:w="48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119C2C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5</w:t>
            </w:r>
          </w:p>
        </w:tc>
        <w:tc>
          <w:tcPr>
            <w:tcW w:w="74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49745C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4DF4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0"/>
            <w:vAlign w:val="center"/>
          </w:tcPr>
          <w:p w14:paraId="322A8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p>
        </w:tc>
        <w:tc>
          <w:tcPr>
            <w:tcW w:w="1133" w:type="dxa"/>
            <w:gridSpan w:val="2"/>
            <w:vMerge w:val="restart"/>
            <w:tcBorders>
              <w:top w:val="single" w:color="auto" w:sz="4" w:space="0"/>
              <w:left w:val="single" w:color="auto" w:sz="4" w:space="0"/>
              <w:right w:val="single" w:color="auto" w:sz="2" w:space="0"/>
            </w:tcBorders>
            <w:shd w:val="clear" w:color="auto" w:fill="auto"/>
            <w:noWrap w:val="0"/>
            <w:vAlign w:val="center"/>
          </w:tcPr>
          <w:p w14:paraId="19D4840A">
            <w:pPr>
              <w:keepNext w:val="0"/>
              <w:keepLines w:val="0"/>
              <w:widowControl/>
              <w:suppressLineNumbers w:val="0"/>
              <w:adjustRightIn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9、团队人员（10分）</w:t>
            </w:r>
          </w:p>
          <w:p w14:paraId="1C96A331">
            <w:pPr>
              <w:keepNext w:val="0"/>
              <w:keepLines w:val="0"/>
              <w:widowControl/>
              <w:suppressLineNumbers w:val="0"/>
              <w:adjustRightInd/>
              <w:spacing w:before="0" w:beforeAutospacing="0" w:after="0" w:afterAutospacing="0" w:line="240" w:lineRule="auto"/>
              <w:ind w:left="0" w:right="0"/>
              <w:jc w:val="left"/>
              <w:textAlignment w:val="auto"/>
              <w:rPr>
                <w:rFonts w:hint="eastAsia" w:ascii="宋体" w:hAnsi="宋体" w:cs="宋体"/>
                <w:color w:val="auto"/>
                <w:kern w:val="2"/>
                <w:sz w:val="24"/>
                <w:szCs w:val="24"/>
                <w:highlight w:val="none"/>
                <w:lang w:val="en-US" w:eastAsia="zh-CN"/>
              </w:rPr>
            </w:pPr>
          </w:p>
        </w:tc>
        <w:tc>
          <w:tcPr>
            <w:tcW w:w="5411"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6AB14DEF">
            <w:pPr>
              <w:keepNext w:val="0"/>
              <w:keepLines w:val="0"/>
              <w:widowControl/>
              <w:suppressLineNumbers w:val="0"/>
              <w:adjustRightIn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9.1根据项目团队的人员投入的完备性、合理性，包括人员数量、资质水平、经验能力等进行评议：人员数量优于招标文件要求、资质水平高、经验丰富、能力强的得5分；人员数量满足招标文件要求、资质水平较高、有一定的经验、能力的得4分；人员数量满足招标文件要求、综合素质一般的得3分；人员数量满足招标文件要求、资质水平一般、经验、能力欠缺的得2分；人员数量满足不招标文件要求、综合素质欠缺的得1分；未提供本项不得分；未提供本项不得分。</w:t>
            </w:r>
          </w:p>
        </w:tc>
        <w:tc>
          <w:tcPr>
            <w:tcW w:w="48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45D1E3C9">
            <w:pPr>
              <w:keepNext w:val="0"/>
              <w:keepLines w:val="0"/>
              <w:widowControl/>
              <w:suppressLineNumbers w:val="0"/>
              <w:adjustRightIn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rPr>
              <w:t>5</w:t>
            </w:r>
          </w:p>
        </w:tc>
        <w:tc>
          <w:tcPr>
            <w:tcW w:w="74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2CC0B272">
            <w:pPr>
              <w:keepNext w:val="0"/>
              <w:keepLines w:val="0"/>
              <w:widowControl/>
              <w:suppressLineNumbers w:val="0"/>
              <w:adjustRightInd/>
              <w:spacing w:before="0" w:beforeAutospacing="0" w:after="0" w:afterAutospacing="0" w:line="240" w:lineRule="auto"/>
              <w:ind w:left="0" w:right="0"/>
              <w:jc w:val="center"/>
              <w:textAlignment w:val="auto"/>
              <w:rPr>
                <w:rFonts w:hint="eastAsia" w:asciiTheme="minorEastAsia" w:hAnsiTheme="minorEastAsia" w:eastAsiaTheme="minorEastAsia" w:cstheme="minorEastAsia"/>
                <w:snapToGrid w:val="0"/>
                <w:color w:val="auto"/>
                <w:spacing w:val="-4"/>
                <w:kern w:val="2"/>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2"/>
                <w:sz w:val="24"/>
                <w:szCs w:val="24"/>
                <w:highlight w:val="none"/>
                <w:lang w:val="en-US" w:eastAsia="zh-CN"/>
              </w:rPr>
              <w:t>主观评议</w:t>
            </w:r>
          </w:p>
        </w:tc>
      </w:tr>
      <w:tr w14:paraId="7C0B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0"/>
            <w:vAlign w:val="center"/>
          </w:tcPr>
          <w:p w14:paraId="5A93C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p>
        </w:tc>
        <w:tc>
          <w:tcPr>
            <w:tcW w:w="1133" w:type="dxa"/>
            <w:gridSpan w:val="2"/>
            <w:vMerge w:val="continue"/>
            <w:tcBorders>
              <w:left w:val="single" w:color="auto" w:sz="4" w:space="0"/>
              <w:bottom w:val="single" w:color="auto" w:sz="4" w:space="0"/>
              <w:right w:val="single" w:color="auto" w:sz="2" w:space="0"/>
            </w:tcBorders>
            <w:noWrap w:val="0"/>
            <w:vAlign w:val="center"/>
          </w:tcPr>
          <w:p w14:paraId="5E3C37DB">
            <w:pPr>
              <w:keepNext w:val="0"/>
              <w:keepLines w:val="0"/>
              <w:widowControl/>
              <w:suppressLineNumbers w:val="0"/>
              <w:adjustRightInd/>
              <w:spacing w:before="0" w:beforeAutospacing="0" w:after="0" w:afterAutospacing="0" w:line="240" w:lineRule="auto"/>
              <w:ind w:left="0" w:right="0"/>
              <w:jc w:val="left"/>
              <w:textAlignment w:val="auto"/>
              <w:rPr>
                <w:rFonts w:hint="eastAsia" w:ascii="宋体" w:hAnsi="宋体" w:cs="宋体"/>
                <w:color w:val="auto"/>
                <w:kern w:val="2"/>
                <w:sz w:val="24"/>
                <w:szCs w:val="24"/>
                <w:highlight w:val="none"/>
                <w:lang w:val="en-US" w:eastAsia="zh-CN"/>
              </w:rPr>
            </w:pPr>
          </w:p>
        </w:tc>
        <w:tc>
          <w:tcPr>
            <w:tcW w:w="5411"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6987FB21">
            <w:pPr>
              <w:keepNext w:val="0"/>
              <w:keepLines w:val="0"/>
              <w:widowControl/>
              <w:suppressLineNumbers w:val="0"/>
              <w:adjustRightIn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9.2根据项目要求，对供应商提供的科学、合理、完整的派驻人员稳定性、工作到场保障性方案进行评议：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48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18A25E72">
            <w:pPr>
              <w:keepNext w:val="0"/>
              <w:keepLines w:val="0"/>
              <w:widowControl/>
              <w:suppressLineNumbers w:val="0"/>
              <w:adjustRightIn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rPr>
              <w:t>5</w:t>
            </w:r>
          </w:p>
        </w:tc>
        <w:tc>
          <w:tcPr>
            <w:tcW w:w="74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42F41B48">
            <w:pPr>
              <w:keepNext w:val="0"/>
              <w:keepLines w:val="0"/>
              <w:widowControl/>
              <w:suppressLineNumbers w:val="0"/>
              <w:adjustRightInd/>
              <w:spacing w:before="0" w:beforeAutospacing="0" w:after="0" w:afterAutospacing="0" w:line="240" w:lineRule="auto"/>
              <w:ind w:left="0" w:right="0"/>
              <w:jc w:val="center"/>
              <w:textAlignment w:val="auto"/>
              <w:rPr>
                <w:rFonts w:hint="eastAsia" w:asciiTheme="minorEastAsia" w:hAnsiTheme="minorEastAsia" w:eastAsiaTheme="minorEastAsia" w:cstheme="minorEastAsia"/>
                <w:snapToGrid w:val="0"/>
                <w:color w:val="auto"/>
                <w:spacing w:val="-4"/>
                <w:kern w:val="2"/>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2"/>
                <w:sz w:val="24"/>
                <w:szCs w:val="24"/>
                <w:highlight w:val="none"/>
                <w:lang w:val="en-US" w:eastAsia="zh-CN"/>
              </w:rPr>
              <w:t>主观评议</w:t>
            </w:r>
          </w:p>
        </w:tc>
      </w:tr>
      <w:tr w14:paraId="2525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881" w:type="dxa"/>
            <w:vMerge w:val="continue"/>
            <w:tcBorders>
              <w:left w:val="single" w:color="auto" w:sz="4" w:space="0"/>
              <w:right w:val="single" w:color="auto" w:sz="2" w:space="0"/>
            </w:tcBorders>
            <w:noWrap w:val="0"/>
            <w:vAlign w:val="center"/>
          </w:tcPr>
          <w:p w14:paraId="1E757A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p>
        </w:tc>
        <w:tc>
          <w:tcPr>
            <w:tcW w:w="6544" w:type="dxa"/>
            <w:gridSpan w:val="3"/>
            <w:tcBorders>
              <w:top w:val="single" w:color="auto" w:sz="4" w:space="0"/>
              <w:left w:val="single" w:color="auto" w:sz="4" w:space="0"/>
              <w:bottom w:val="single" w:color="auto" w:sz="4" w:space="0"/>
              <w:right w:val="single" w:color="auto" w:sz="2" w:space="0"/>
            </w:tcBorders>
            <w:noWrap w:val="0"/>
            <w:vAlign w:val="center"/>
          </w:tcPr>
          <w:p w14:paraId="1E2AD7C2">
            <w:pPr>
              <w:keepNext w:val="0"/>
              <w:keepLines w:val="0"/>
              <w:widowControl/>
              <w:suppressLineNumbers w:val="0"/>
              <w:adjustRightInd/>
              <w:spacing w:before="0" w:beforeAutospacing="0" w:after="0" w:afterAutospacing="0" w:line="240" w:lineRule="auto"/>
              <w:ind w:left="0" w:right="0"/>
              <w:jc w:val="left"/>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en-US" w:eastAsia="zh-CN"/>
              </w:rPr>
              <w:t>、对供应商提供的应急保证措施（①根据自身经验对本项目突发状况预判能力；②对突发状况处理能力；③应急响应措施是否完善）进行评议：方案完整、科学、合理、可行的得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分；方案基本完整能满足招标需求的得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分；方案基本完整但部分内容缺失的得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分；方案不够完整，存在部分缺陷的得</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分；未提供本项不得分。</w:t>
            </w:r>
          </w:p>
        </w:tc>
        <w:tc>
          <w:tcPr>
            <w:tcW w:w="488" w:type="dxa"/>
            <w:tcBorders>
              <w:top w:val="single" w:color="auto" w:sz="4" w:space="0"/>
              <w:left w:val="single" w:color="auto" w:sz="4" w:space="0"/>
              <w:bottom w:val="single" w:color="auto" w:sz="4" w:space="0"/>
              <w:right w:val="single" w:color="auto" w:sz="2" w:space="0"/>
            </w:tcBorders>
            <w:noWrap w:val="0"/>
            <w:vAlign w:val="center"/>
          </w:tcPr>
          <w:p w14:paraId="41DCB3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4</w:t>
            </w:r>
          </w:p>
        </w:tc>
        <w:tc>
          <w:tcPr>
            <w:tcW w:w="748" w:type="dxa"/>
            <w:tcBorders>
              <w:top w:val="single" w:color="auto" w:sz="4" w:space="0"/>
              <w:left w:val="single" w:color="auto" w:sz="4" w:space="0"/>
              <w:bottom w:val="single" w:color="auto" w:sz="4" w:space="0"/>
              <w:right w:val="single" w:color="auto" w:sz="2" w:space="0"/>
            </w:tcBorders>
            <w:noWrap w:val="0"/>
            <w:vAlign w:val="center"/>
          </w:tcPr>
          <w:p w14:paraId="179D33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1D16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881" w:type="dxa"/>
            <w:vMerge w:val="continue"/>
            <w:tcBorders>
              <w:left w:val="single" w:color="auto" w:sz="4" w:space="0"/>
              <w:right w:val="single" w:color="auto" w:sz="2" w:space="0"/>
            </w:tcBorders>
            <w:noWrap w:val="0"/>
            <w:vAlign w:val="center"/>
          </w:tcPr>
          <w:p w14:paraId="5F89CD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p>
        </w:tc>
        <w:tc>
          <w:tcPr>
            <w:tcW w:w="6544" w:type="dxa"/>
            <w:gridSpan w:val="3"/>
            <w:tcBorders>
              <w:top w:val="single" w:color="auto" w:sz="4" w:space="0"/>
              <w:left w:val="single" w:color="auto" w:sz="4" w:space="0"/>
              <w:bottom w:val="single" w:color="auto" w:sz="4" w:space="0"/>
              <w:right w:val="single" w:color="auto" w:sz="2" w:space="0"/>
            </w:tcBorders>
            <w:shd w:val="clear" w:color="auto" w:fill="auto"/>
            <w:noWrap w:val="0"/>
            <w:vAlign w:val="center"/>
          </w:tcPr>
          <w:p w14:paraId="63AA2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11、根据供应商提供的数据对接方案（</w:t>
            </w:r>
            <w:r>
              <w:rPr>
                <w:rFonts w:hint="eastAsia" w:ascii="宋体" w:hAnsi="宋体" w:eastAsia="宋体" w:cs="宋体"/>
                <w:snapToGrid w:val="0"/>
                <w:color w:val="auto"/>
                <w:spacing w:val="-4"/>
                <w:kern w:val="2"/>
                <w:sz w:val="24"/>
                <w:szCs w:val="24"/>
                <w:highlight w:val="none"/>
                <w:lang w:val="en-US" w:eastAsia="zh-CN"/>
              </w:rPr>
              <w:fldChar w:fldCharType="begin"/>
            </w:r>
            <w:r>
              <w:rPr>
                <w:rFonts w:hint="eastAsia" w:ascii="宋体" w:hAnsi="宋体" w:eastAsia="宋体" w:cs="宋体"/>
                <w:snapToGrid w:val="0"/>
                <w:color w:val="auto"/>
                <w:spacing w:val="-4"/>
                <w:kern w:val="2"/>
                <w:sz w:val="24"/>
                <w:szCs w:val="24"/>
                <w:highlight w:val="none"/>
                <w:lang w:val="en-US" w:eastAsia="zh-CN"/>
              </w:rPr>
              <w:instrText xml:space="preserve"> = 1 \* GB3 \* MERGEFORMAT </w:instrText>
            </w:r>
            <w:r>
              <w:rPr>
                <w:rFonts w:hint="eastAsia" w:ascii="宋体" w:hAnsi="宋体" w:eastAsia="宋体" w:cs="宋体"/>
                <w:snapToGrid w:val="0"/>
                <w:color w:val="auto"/>
                <w:spacing w:val="-4"/>
                <w:kern w:val="2"/>
                <w:sz w:val="24"/>
                <w:szCs w:val="24"/>
                <w:highlight w:val="none"/>
                <w:lang w:val="en-US" w:eastAsia="zh-CN"/>
              </w:rPr>
              <w:fldChar w:fldCharType="separate"/>
            </w:r>
            <w:r>
              <w:rPr>
                <w:rFonts w:hint="eastAsia" w:ascii="宋体" w:hAnsi="宋体" w:eastAsia="宋体" w:cs="宋体"/>
                <w:snapToGrid w:val="0"/>
                <w:color w:val="auto"/>
                <w:spacing w:val="-4"/>
                <w:kern w:val="2"/>
                <w:sz w:val="24"/>
                <w:szCs w:val="24"/>
                <w:highlight w:val="none"/>
                <w:lang w:val="en-US" w:eastAsia="zh-CN"/>
              </w:rPr>
              <w:t>①</w:t>
            </w:r>
            <w:r>
              <w:rPr>
                <w:rFonts w:hint="eastAsia" w:ascii="宋体" w:hAnsi="宋体" w:eastAsia="宋体" w:cs="宋体"/>
                <w:snapToGrid w:val="0"/>
                <w:color w:val="auto"/>
                <w:spacing w:val="-4"/>
                <w:kern w:val="2"/>
                <w:sz w:val="24"/>
                <w:szCs w:val="24"/>
                <w:highlight w:val="none"/>
                <w:lang w:val="en-US" w:eastAsia="zh-CN"/>
              </w:rPr>
              <w:fldChar w:fldCharType="end"/>
            </w:r>
            <w:r>
              <w:rPr>
                <w:rFonts w:hint="eastAsia" w:ascii="宋体" w:hAnsi="宋体" w:eastAsia="宋体" w:cs="宋体"/>
                <w:snapToGrid w:val="0"/>
                <w:color w:val="auto"/>
                <w:spacing w:val="-4"/>
                <w:kern w:val="2"/>
                <w:sz w:val="24"/>
                <w:szCs w:val="24"/>
                <w:highlight w:val="none"/>
                <w:lang w:val="en-US" w:eastAsia="zh-CN"/>
              </w:rPr>
              <w:t>检测结果传递的及时性，②信息传输一致性验证方案；</w:t>
            </w:r>
            <w:r>
              <w:rPr>
                <w:rFonts w:hint="eastAsia" w:ascii="宋体" w:hAnsi="宋体" w:eastAsia="宋体" w:cs="宋体"/>
                <w:snapToGrid w:val="0"/>
                <w:color w:val="auto"/>
                <w:spacing w:val="-4"/>
                <w:kern w:val="2"/>
                <w:sz w:val="24"/>
                <w:szCs w:val="24"/>
                <w:highlight w:val="none"/>
                <w:lang w:val="en-US" w:eastAsia="zh-CN"/>
              </w:rPr>
              <w:fldChar w:fldCharType="begin"/>
            </w:r>
            <w:r>
              <w:rPr>
                <w:rFonts w:hint="eastAsia" w:ascii="宋体" w:hAnsi="宋体" w:eastAsia="宋体" w:cs="宋体"/>
                <w:snapToGrid w:val="0"/>
                <w:color w:val="auto"/>
                <w:spacing w:val="-4"/>
                <w:kern w:val="2"/>
                <w:sz w:val="24"/>
                <w:szCs w:val="24"/>
                <w:highlight w:val="none"/>
                <w:lang w:val="en-US" w:eastAsia="zh-CN"/>
              </w:rPr>
              <w:instrText xml:space="preserve"> = 3 \* GB3 \* MERGEFORMAT </w:instrText>
            </w:r>
            <w:r>
              <w:rPr>
                <w:rFonts w:hint="eastAsia" w:ascii="宋体" w:hAnsi="宋体" w:eastAsia="宋体" w:cs="宋体"/>
                <w:snapToGrid w:val="0"/>
                <w:color w:val="auto"/>
                <w:spacing w:val="-4"/>
                <w:kern w:val="2"/>
                <w:sz w:val="24"/>
                <w:szCs w:val="24"/>
                <w:highlight w:val="none"/>
                <w:lang w:val="en-US" w:eastAsia="zh-CN"/>
              </w:rPr>
              <w:fldChar w:fldCharType="separate"/>
            </w:r>
            <w:r>
              <w:rPr>
                <w:rFonts w:hint="eastAsia" w:ascii="宋体" w:hAnsi="宋体" w:eastAsia="宋体" w:cs="宋体"/>
                <w:snapToGrid w:val="0"/>
                <w:color w:val="auto"/>
                <w:spacing w:val="-4"/>
                <w:kern w:val="2"/>
                <w:sz w:val="24"/>
                <w:szCs w:val="24"/>
                <w:highlight w:val="none"/>
                <w:lang w:val="en-US" w:eastAsia="zh-CN"/>
              </w:rPr>
              <w:t>③</w:t>
            </w:r>
            <w:r>
              <w:rPr>
                <w:rFonts w:hint="eastAsia" w:ascii="宋体" w:hAnsi="宋体" w:eastAsia="宋体" w:cs="宋体"/>
                <w:snapToGrid w:val="0"/>
                <w:color w:val="auto"/>
                <w:spacing w:val="-4"/>
                <w:kern w:val="2"/>
                <w:sz w:val="24"/>
                <w:szCs w:val="24"/>
                <w:highlight w:val="none"/>
                <w:lang w:val="en-US" w:eastAsia="zh-CN"/>
              </w:rPr>
              <w:fldChar w:fldCharType="end"/>
            </w:r>
            <w:r>
              <w:rPr>
                <w:rFonts w:hint="eastAsia" w:ascii="宋体" w:hAnsi="宋体" w:eastAsia="宋体" w:cs="宋体"/>
                <w:snapToGrid w:val="0"/>
                <w:color w:val="auto"/>
                <w:spacing w:val="-4"/>
                <w:kern w:val="2"/>
                <w:sz w:val="24"/>
                <w:szCs w:val="24"/>
                <w:highlight w:val="none"/>
                <w:lang w:val="en-US" w:eastAsia="zh-CN"/>
              </w:rPr>
              <w:t>能实现无纸化传输检测结果。④检测数据查询、传输方案是否完善性）进行评议：方案完整、科学、合理、可行的得4分；方案基本完整能满足招标需求的得3分；方案基本完整但部分内容缺失的得2分；方案不够完整，存在部分缺陷的得1分；未提供本项不得分。</w:t>
            </w:r>
          </w:p>
        </w:tc>
        <w:tc>
          <w:tcPr>
            <w:tcW w:w="48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3E6EB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4</w:t>
            </w:r>
          </w:p>
        </w:tc>
        <w:tc>
          <w:tcPr>
            <w:tcW w:w="748"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4FD758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1265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noWrap w:val="0"/>
            <w:vAlign w:val="center"/>
          </w:tcPr>
          <w:p w14:paraId="39B90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p>
        </w:tc>
        <w:tc>
          <w:tcPr>
            <w:tcW w:w="6544" w:type="dxa"/>
            <w:gridSpan w:val="3"/>
            <w:tcBorders>
              <w:top w:val="single" w:color="auto" w:sz="4" w:space="0"/>
              <w:left w:val="single" w:color="auto" w:sz="4" w:space="0"/>
              <w:bottom w:val="single" w:color="auto" w:sz="4" w:space="0"/>
              <w:right w:val="single" w:color="auto" w:sz="2" w:space="0"/>
            </w:tcBorders>
            <w:noWrap w:val="0"/>
            <w:vAlign w:val="center"/>
          </w:tcPr>
          <w:p w14:paraId="44EE93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val="0"/>
                <w:color w:val="auto"/>
                <w:spacing w:val="-4"/>
                <w:kern w:val="2"/>
                <w:sz w:val="24"/>
                <w:szCs w:val="24"/>
                <w:highlight w:val="none"/>
              </w:rPr>
            </w:pPr>
            <w:r>
              <w:rPr>
                <w:rFonts w:hint="eastAsia" w:ascii="宋体" w:hAnsi="宋体" w:cs="宋体"/>
                <w:snapToGrid w:val="0"/>
                <w:color w:val="auto"/>
                <w:spacing w:val="-4"/>
                <w:kern w:val="2"/>
                <w:sz w:val="24"/>
                <w:szCs w:val="24"/>
                <w:highlight w:val="none"/>
                <w:lang w:val="en-US" w:eastAsia="zh-CN"/>
              </w:rPr>
              <w:t>12</w:t>
            </w:r>
            <w:r>
              <w:rPr>
                <w:rFonts w:hint="eastAsia" w:ascii="宋体" w:hAnsi="宋体" w:eastAsia="宋体" w:cs="宋体"/>
                <w:snapToGrid w:val="0"/>
                <w:color w:val="auto"/>
                <w:spacing w:val="-4"/>
                <w:kern w:val="2"/>
                <w:sz w:val="24"/>
                <w:szCs w:val="24"/>
                <w:highlight w:val="none"/>
              </w:rPr>
              <w:t>、业绩（</w:t>
            </w:r>
            <w:r>
              <w:rPr>
                <w:rFonts w:hint="eastAsia" w:ascii="宋体" w:hAnsi="宋体" w:cs="宋体"/>
                <w:snapToGrid w:val="0"/>
                <w:color w:val="auto"/>
                <w:spacing w:val="-4"/>
                <w:kern w:val="2"/>
                <w:sz w:val="24"/>
                <w:szCs w:val="24"/>
                <w:highlight w:val="none"/>
                <w:lang w:val="en-US" w:eastAsia="zh-CN"/>
              </w:rPr>
              <w:t>3</w:t>
            </w:r>
            <w:r>
              <w:rPr>
                <w:rFonts w:hint="eastAsia" w:ascii="宋体" w:hAnsi="宋体" w:eastAsia="宋体" w:cs="宋体"/>
                <w:snapToGrid w:val="0"/>
                <w:color w:val="auto"/>
                <w:spacing w:val="-4"/>
                <w:kern w:val="2"/>
                <w:sz w:val="24"/>
                <w:szCs w:val="24"/>
                <w:highlight w:val="none"/>
              </w:rPr>
              <w:t>分）：</w:t>
            </w:r>
          </w:p>
          <w:p w14:paraId="38EE46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202</w:t>
            </w:r>
            <w:r>
              <w:rPr>
                <w:rFonts w:hint="eastAsia" w:ascii="宋体" w:hAnsi="宋体" w:eastAsia="宋体" w:cs="宋体"/>
                <w:snapToGrid w:val="0"/>
                <w:color w:val="auto"/>
                <w:spacing w:val="-4"/>
                <w:kern w:val="2"/>
                <w:sz w:val="24"/>
                <w:szCs w:val="24"/>
                <w:highlight w:val="none"/>
                <w:lang w:val="en-US" w:eastAsia="zh-CN"/>
              </w:rPr>
              <w:t>1</w:t>
            </w:r>
            <w:r>
              <w:rPr>
                <w:rFonts w:hint="eastAsia" w:ascii="宋体" w:hAnsi="宋体" w:eastAsia="宋体" w:cs="宋体"/>
                <w:snapToGrid w:val="0"/>
                <w:color w:val="auto"/>
                <w:spacing w:val="-4"/>
                <w:kern w:val="2"/>
                <w:sz w:val="24"/>
                <w:szCs w:val="24"/>
                <w:highlight w:val="none"/>
              </w:rPr>
              <w:t>年1月1日（合同签订时间为准）至今，</w:t>
            </w:r>
            <w:r>
              <w:rPr>
                <w:rFonts w:hint="eastAsia" w:ascii="宋体" w:hAnsi="宋体" w:eastAsia="宋体" w:cs="宋体"/>
                <w:snapToGrid w:val="0"/>
                <w:color w:val="auto"/>
                <w:spacing w:val="-4"/>
                <w:kern w:val="2"/>
                <w:sz w:val="24"/>
                <w:szCs w:val="24"/>
                <w:highlight w:val="none"/>
                <w:lang w:eastAsia="zh-CN"/>
              </w:rPr>
              <w:t>供应商</w:t>
            </w:r>
            <w:r>
              <w:rPr>
                <w:rFonts w:hint="eastAsia" w:ascii="宋体" w:hAnsi="宋体" w:eastAsia="宋体" w:cs="宋体"/>
                <w:snapToGrid w:val="0"/>
                <w:color w:val="auto"/>
                <w:spacing w:val="-4"/>
                <w:kern w:val="2"/>
                <w:sz w:val="24"/>
                <w:szCs w:val="24"/>
                <w:highlight w:val="none"/>
              </w:rPr>
              <w:t>具有</w:t>
            </w:r>
            <w:r>
              <w:rPr>
                <w:rFonts w:hint="eastAsia" w:ascii="宋体" w:hAnsi="宋体" w:eastAsia="宋体" w:cs="宋体"/>
                <w:snapToGrid w:val="0"/>
                <w:color w:val="auto"/>
                <w:spacing w:val="-4"/>
                <w:kern w:val="2"/>
                <w:sz w:val="24"/>
                <w:szCs w:val="24"/>
                <w:highlight w:val="none"/>
                <w:lang w:val="en-US" w:eastAsia="zh-CN"/>
              </w:rPr>
              <w:t>外送病理服务</w:t>
            </w:r>
            <w:r>
              <w:rPr>
                <w:rFonts w:hint="eastAsia" w:ascii="宋体" w:hAnsi="宋体" w:eastAsia="宋体" w:cs="宋体"/>
                <w:snapToGrid w:val="0"/>
                <w:color w:val="auto"/>
                <w:spacing w:val="-4"/>
                <w:kern w:val="2"/>
                <w:sz w:val="24"/>
                <w:szCs w:val="24"/>
                <w:highlight w:val="none"/>
              </w:rPr>
              <w:t>业绩</w:t>
            </w:r>
            <w:r>
              <w:rPr>
                <w:rFonts w:hint="eastAsia" w:ascii="宋体" w:hAnsi="宋体" w:eastAsia="宋体" w:cs="宋体"/>
                <w:snapToGrid w:val="0"/>
                <w:color w:val="auto"/>
                <w:spacing w:val="-4"/>
                <w:kern w:val="2"/>
                <w:sz w:val="24"/>
                <w:szCs w:val="24"/>
                <w:highlight w:val="none"/>
                <w:lang w:val="en-US" w:eastAsia="zh-CN"/>
              </w:rPr>
              <w:t>的</w:t>
            </w:r>
            <w:r>
              <w:rPr>
                <w:rFonts w:hint="eastAsia" w:ascii="宋体" w:hAnsi="宋体" w:eastAsia="宋体" w:cs="宋体"/>
                <w:snapToGrid w:val="0"/>
                <w:color w:val="auto"/>
                <w:spacing w:val="-4"/>
                <w:kern w:val="2"/>
                <w:sz w:val="24"/>
                <w:szCs w:val="24"/>
                <w:highlight w:val="none"/>
              </w:rPr>
              <w:t>，每提供一个得</w:t>
            </w:r>
            <w:r>
              <w:rPr>
                <w:rFonts w:hint="eastAsia" w:ascii="宋体" w:hAnsi="宋体" w:cs="宋体"/>
                <w:snapToGrid w:val="0"/>
                <w:color w:val="auto"/>
                <w:spacing w:val="-4"/>
                <w:kern w:val="2"/>
                <w:sz w:val="24"/>
                <w:szCs w:val="24"/>
                <w:highlight w:val="none"/>
                <w:lang w:val="en-US" w:eastAsia="zh-CN"/>
              </w:rPr>
              <w:t>1</w:t>
            </w:r>
            <w:r>
              <w:rPr>
                <w:rFonts w:hint="eastAsia" w:ascii="宋体" w:hAnsi="宋体" w:eastAsia="宋体" w:cs="宋体"/>
                <w:snapToGrid w:val="0"/>
                <w:color w:val="auto"/>
                <w:spacing w:val="-4"/>
                <w:kern w:val="2"/>
                <w:sz w:val="24"/>
                <w:szCs w:val="24"/>
                <w:highlight w:val="none"/>
              </w:rPr>
              <w:t>分，最高得</w:t>
            </w:r>
            <w:r>
              <w:rPr>
                <w:rFonts w:hint="eastAsia" w:ascii="宋体" w:hAnsi="宋体" w:cs="宋体"/>
                <w:snapToGrid w:val="0"/>
                <w:color w:val="auto"/>
                <w:spacing w:val="-4"/>
                <w:kern w:val="2"/>
                <w:sz w:val="24"/>
                <w:szCs w:val="24"/>
                <w:highlight w:val="none"/>
                <w:lang w:val="en-US" w:eastAsia="zh-CN"/>
              </w:rPr>
              <w:t>3</w:t>
            </w:r>
            <w:r>
              <w:rPr>
                <w:rFonts w:hint="eastAsia" w:ascii="宋体" w:hAnsi="宋体" w:eastAsia="宋体" w:cs="宋体"/>
                <w:snapToGrid w:val="0"/>
                <w:color w:val="auto"/>
                <w:spacing w:val="-4"/>
                <w:kern w:val="2"/>
                <w:sz w:val="24"/>
                <w:szCs w:val="24"/>
                <w:highlight w:val="none"/>
              </w:rPr>
              <w:t>分。同一业主不累计得分。</w:t>
            </w:r>
          </w:p>
          <w:p w14:paraId="3C6F1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b/>
                <w:bCs/>
                <w:snapToGrid w:val="0"/>
                <w:color w:val="auto"/>
                <w:spacing w:val="-4"/>
                <w:kern w:val="2"/>
                <w:sz w:val="24"/>
                <w:szCs w:val="24"/>
                <w:highlight w:val="none"/>
                <w:lang w:val="en-US" w:eastAsia="zh-CN"/>
              </w:rPr>
              <w:t>注：</w:t>
            </w:r>
            <w:r>
              <w:rPr>
                <w:rFonts w:hint="eastAsia" w:ascii="宋体" w:hAnsi="宋体" w:eastAsia="宋体" w:cs="宋体"/>
                <w:b/>
                <w:bCs/>
                <w:snapToGrid w:val="0"/>
                <w:color w:val="auto"/>
                <w:spacing w:val="-4"/>
                <w:kern w:val="2"/>
                <w:sz w:val="24"/>
                <w:szCs w:val="24"/>
                <w:highlight w:val="none"/>
              </w:rPr>
              <w:t>提供合同扫描件加盖</w:t>
            </w:r>
            <w:r>
              <w:rPr>
                <w:rFonts w:hint="eastAsia" w:ascii="宋体" w:hAnsi="宋体" w:eastAsia="宋体" w:cs="宋体"/>
                <w:b/>
                <w:bCs/>
                <w:snapToGrid w:val="0"/>
                <w:color w:val="auto"/>
                <w:spacing w:val="-4"/>
                <w:kern w:val="2"/>
                <w:sz w:val="24"/>
                <w:szCs w:val="24"/>
                <w:highlight w:val="none"/>
                <w:lang w:eastAsia="zh-CN"/>
              </w:rPr>
              <w:t>供应商</w:t>
            </w:r>
            <w:r>
              <w:rPr>
                <w:rFonts w:hint="eastAsia" w:ascii="宋体" w:hAnsi="宋体" w:eastAsia="宋体" w:cs="宋体"/>
                <w:b/>
                <w:bCs/>
                <w:snapToGrid w:val="0"/>
                <w:color w:val="auto"/>
                <w:spacing w:val="-4"/>
                <w:kern w:val="2"/>
                <w:sz w:val="24"/>
                <w:szCs w:val="24"/>
                <w:highlight w:val="none"/>
              </w:rPr>
              <w:t>公章，如合同中不能体现服务内容或服务期限的，需同时提供业主盖章的证明资料扫描件，否则不得分。</w:t>
            </w:r>
          </w:p>
        </w:tc>
        <w:tc>
          <w:tcPr>
            <w:tcW w:w="488" w:type="dxa"/>
            <w:tcBorders>
              <w:top w:val="single" w:color="auto" w:sz="4" w:space="0"/>
              <w:left w:val="single" w:color="auto" w:sz="4" w:space="0"/>
              <w:bottom w:val="single" w:color="auto" w:sz="4" w:space="0"/>
              <w:right w:val="single" w:color="auto" w:sz="2" w:space="0"/>
            </w:tcBorders>
            <w:noWrap w:val="0"/>
            <w:vAlign w:val="center"/>
          </w:tcPr>
          <w:p w14:paraId="5B0A4C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cs="宋体"/>
                <w:snapToGrid w:val="0"/>
                <w:color w:val="auto"/>
                <w:spacing w:val="-4"/>
                <w:kern w:val="2"/>
                <w:sz w:val="24"/>
                <w:szCs w:val="24"/>
                <w:highlight w:val="none"/>
                <w:lang w:val="en-US" w:eastAsia="zh-CN"/>
              </w:rPr>
              <w:t>3</w:t>
            </w:r>
          </w:p>
        </w:tc>
        <w:tc>
          <w:tcPr>
            <w:tcW w:w="748" w:type="dxa"/>
            <w:tcBorders>
              <w:top w:val="single" w:color="auto" w:sz="4" w:space="0"/>
              <w:left w:val="single" w:color="auto" w:sz="4" w:space="0"/>
              <w:bottom w:val="single" w:color="auto" w:sz="4" w:space="0"/>
              <w:right w:val="single" w:color="auto" w:sz="2" w:space="0"/>
            </w:tcBorders>
            <w:noWrap w:val="0"/>
            <w:vAlign w:val="center"/>
          </w:tcPr>
          <w:p w14:paraId="26679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lang w:val="en-US" w:eastAsia="zh-CN"/>
              </w:rPr>
              <w:t>客观评议</w:t>
            </w:r>
          </w:p>
        </w:tc>
      </w:tr>
      <w:tr w14:paraId="63CA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81" w:type="dxa"/>
            <w:vMerge w:val="restart"/>
            <w:tcBorders>
              <w:top w:val="single" w:color="auto" w:sz="4" w:space="0"/>
              <w:left w:val="single" w:color="auto" w:sz="4" w:space="0"/>
              <w:right w:val="single" w:color="auto" w:sz="2" w:space="0"/>
            </w:tcBorders>
            <w:noWrap w:val="0"/>
            <w:tcMar>
              <w:top w:w="0" w:type="dxa"/>
              <w:left w:w="0" w:type="dxa"/>
              <w:bottom w:w="0" w:type="dxa"/>
              <w:right w:w="0" w:type="dxa"/>
            </w:tcMar>
            <w:vAlign w:val="center"/>
          </w:tcPr>
          <w:p w14:paraId="215EA948">
            <w:pPr>
              <w:keepNext w:val="0"/>
              <w:keepLines w:val="0"/>
              <w:widowControl w:val="0"/>
              <w:suppressLineNumbers w:val="0"/>
              <w:adjustRightInd/>
              <w:spacing w:before="0" w:beforeLines="50" w:beforeAutospacing="0" w:after="0" w:afterAutospacing="0" w:line="36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报价分</w:t>
            </w:r>
          </w:p>
          <w:p w14:paraId="26DCE171">
            <w:pPr>
              <w:keepNext w:val="0"/>
              <w:keepLines w:val="0"/>
              <w:widowControl w:val="0"/>
              <w:suppressLineNumbers w:val="0"/>
              <w:adjustRightInd/>
              <w:spacing w:before="0" w:beforeLines="50" w:beforeAutospacing="0" w:after="0" w:afterAutospacing="0" w:line="36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w:t>
            </w:r>
            <w:r>
              <w:rPr>
                <w:rFonts w:hint="eastAsia" w:ascii="宋体" w:hAnsi="宋体" w:eastAsia="宋体" w:cs="宋体"/>
                <w:snapToGrid w:val="0"/>
                <w:color w:val="auto"/>
                <w:spacing w:val="-4"/>
                <w:kern w:val="2"/>
                <w:sz w:val="24"/>
                <w:szCs w:val="24"/>
                <w:highlight w:val="none"/>
                <w:lang w:val="en-US" w:eastAsia="zh-CN"/>
              </w:rPr>
              <w:t>30</w:t>
            </w:r>
            <w:r>
              <w:rPr>
                <w:rFonts w:hint="eastAsia" w:ascii="宋体" w:hAnsi="宋体" w:eastAsia="宋体" w:cs="宋体"/>
                <w:snapToGrid w:val="0"/>
                <w:color w:val="auto"/>
                <w:spacing w:val="-4"/>
                <w:kern w:val="2"/>
                <w:sz w:val="24"/>
                <w:szCs w:val="24"/>
                <w:highlight w:val="none"/>
              </w:rPr>
              <w:t>分）</w:t>
            </w:r>
          </w:p>
        </w:tc>
        <w:tc>
          <w:tcPr>
            <w:tcW w:w="1089" w:type="dxa"/>
            <w:tcBorders>
              <w:top w:val="single" w:color="auto" w:sz="4" w:space="0"/>
              <w:left w:val="single" w:color="auto" w:sz="4" w:space="0"/>
              <w:bottom w:val="single" w:color="auto" w:sz="4" w:space="0"/>
              <w:right w:val="single" w:color="auto" w:sz="2" w:space="0"/>
            </w:tcBorders>
            <w:noWrap w:val="0"/>
            <w:vAlign w:val="center"/>
          </w:tcPr>
          <w:p w14:paraId="66CCBEEA">
            <w:pPr>
              <w:keepNext w:val="0"/>
              <w:keepLines w:val="0"/>
              <w:widowControl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常规检验项目价格分</w:t>
            </w:r>
          </w:p>
        </w:tc>
        <w:tc>
          <w:tcPr>
            <w:tcW w:w="5455" w:type="dxa"/>
            <w:gridSpan w:val="2"/>
            <w:tcBorders>
              <w:top w:val="single" w:color="auto" w:sz="4" w:space="0"/>
              <w:left w:val="single" w:color="auto" w:sz="4" w:space="0"/>
              <w:bottom w:val="single" w:color="auto" w:sz="4" w:space="0"/>
              <w:right w:val="single" w:color="auto" w:sz="2" w:space="0"/>
            </w:tcBorders>
            <w:noWrap w:val="0"/>
            <w:vAlign w:val="center"/>
          </w:tcPr>
          <w:p w14:paraId="3A92DF82">
            <w:pPr>
              <w:keepNext w:val="0"/>
              <w:keepLines w:val="0"/>
              <w:widowControl w:val="0"/>
              <w:suppressLineNumbers w:val="0"/>
              <w:adjustRightIn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参与评审的价格=</w:t>
            </w:r>
            <w:r>
              <w:rPr>
                <w:rFonts w:hint="eastAsia" w:ascii="宋体" w:hAnsi="宋体" w:cs="宋体"/>
                <w:color w:val="auto"/>
                <w:kern w:val="2"/>
                <w:sz w:val="24"/>
                <w:szCs w:val="24"/>
                <w:highlight w:val="none"/>
                <w:lang w:val="en-US" w:eastAsia="zh-CN"/>
              </w:rPr>
              <w:t>投标</w:t>
            </w:r>
            <w:r>
              <w:rPr>
                <w:rFonts w:hint="eastAsia" w:ascii="宋体" w:hAnsi="宋体" w:eastAsia="宋体" w:cs="宋体"/>
                <w:color w:val="auto"/>
                <w:kern w:val="2"/>
                <w:sz w:val="24"/>
                <w:szCs w:val="24"/>
                <w:highlight w:val="none"/>
                <w:lang w:val="en-US" w:eastAsia="zh-CN"/>
              </w:rPr>
              <w:t>折扣率（以“宁波市医疗服务价格”为基准）-小微企业政策优惠（如有）</w:t>
            </w:r>
            <w:r>
              <w:rPr>
                <w:rFonts w:hint="eastAsia" w:ascii="宋体" w:hAnsi="宋体" w:eastAsia="宋体" w:cs="宋体"/>
                <w:color w:val="auto"/>
                <w:kern w:val="2"/>
                <w:sz w:val="24"/>
                <w:szCs w:val="24"/>
                <w:highlight w:val="none"/>
              </w:rPr>
              <w:t>；</w:t>
            </w:r>
          </w:p>
          <w:p w14:paraId="4AC6B8D9">
            <w:pPr>
              <w:keepNext w:val="0"/>
              <w:keepLines w:val="0"/>
              <w:widowControl w:val="0"/>
              <w:suppressLineNumbers w:val="0"/>
              <w:adjustRightIn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基准价=满足招标文件要求且最低的参与评审的价格，基准价</w:t>
            </w:r>
            <w:r>
              <w:rPr>
                <w:rFonts w:hint="eastAsia" w:ascii="宋体" w:hAnsi="宋体" w:eastAsia="宋体" w:cs="宋体"/>
                <w:color w:val="auto"/>
                <w:kern w:val="2"/>
                <w:sz w:val="24"/>
                <w:szCs w:val="24"/>
                <w:highlight w:val="none"/>
                <w:lang w:val="en-US" w:eastAsia="zh-CN"/>
              </w:rPr>
              <w:t>25</w:t>
            </w:r>
            <w:r>
              <w:rPr>
                <w:rFonts w:hint="eastAsia" w:ascii="宋体" w:hAnsi="宋体" w:eastAsia="宋体" w:cs="宋体"/>
                <w:color w:val="auto"/>
                <w:kern w:val="2"/>
                <w:sz w:val="24"/>
                <w:szCs w:val="24"/>
                <w:highlight w:val="none"/>
              </w:rPr>
              <w:t>分；</w:t>
            </w:r>
          </w:p>
          <w:p w14:paraId="7B4B471C">
            <w:pPr>
              <w:keepNext w:val="0"/>
              <w:keepLines w:val="0"/>
              <w:widowControl w:val="0"/>
              <w:suppressLineNumbers w:val="0"/>
              <w:adjustRightIn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其余供应商得分为：报价得分=（基准价/参与评审的价格）×</w:t>
            </w:r>
            <w:r>
              <w:rPr>
                <w:rFonts w:hint="eastAsia" w:ascii="宋体" w:hAnsi="宋体" w:eastAsia="宋体" w:cs="宋体"/>
                <w:color w:val="auto"/>
                <w:kern w:val="2"/>
                <w:sz w:val="24"/>
                <w:szCs w:val="24"/>
                <w:highlight w:val="none"/>
                <w:lang w:val="en-US" w:eastAsia="zh-CN"/>
              </w:rPr>
              <w:t>25</w:t>
            </w:r>
            <w:r>
              <w:rPr>
                <w:rFonts w:hint="eastAsia" w:ascii="宋体" w:hAnsi="宋体" w:eastAsia="宋体" w:cs="宋体"/>
                <w:color w:val="auto"/>
                <w:kern w:val="2"/>
                <w:sz w:val="24"/>
                <w:szCs w:val="24"/>
                <w:highlight w:val="none"/>
              </w:rPr>
              <w:t>%×100。</w:t>
            </w:r>
          </w:p>
        </w:tc>
        <w:tc>
          <w:tcPr>
            <w:tcW w:w="488" w:type="dxa"/>
            <w:tcBorders>
              <w:top w:val="single" w:color="auto" w:sz="4" w:space="0"/>
              <w:left w:val="single" w:color="auto" w:sz="4" w:space="0"/>
              <w:bottom w:val="single" w:color="auto" w:sz="4" w:space="0"/>
              <w:right w:val="single" w:color="auto" w:sz="2" w:space="0"/>
            </w:tcBorders>
            <w:noWrap w:val="0"/>
            <w:vAlign w:val="center"/>
          </w:tcPr>
          <w:p w14:paraId="08E05B5A">
            <w:pPr>
              <w:keepNext w:val="0"/>
              <w:keepLines w:val="0"/>
              <w:widowControl w:val="0"/>
              <w:suppressLineNumbers w:val="0"/>
              <w:adjustRightInd/>
              <w:spacing w:before="0" w:beforeAutospacing="0" w:after="0" w:afterAutospacing="0" w:line="240" w:lineRule="auto"/>
              <w:ind w:left="0" w:right="0"/>
              <w:jc w:val="center"/>
              <w:textAlignment w:val="auto"/>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25</w:t>
            </w:r>
          </w:p>
        </w:tc>
        <w:tc>
          <w:tcPr>
            <w:tcW w:w="748" w:type="dxa"/>
            <w:tcBorders>
              <w:top w:val="single" w:color="auto" w:sz="4" w:space="0"/>
              <w:left w:val="single" w:color="auto" w:sz="4" w:space="0"/>
              <w:bottom w:val="single" w:color="auto" w:sz="4" w:space="0"/>
              <w:right w:val="single" w:color="auto" w:sz="2" w:space="0"/>
            </w:tcBorders>
            <w:noWrap w:val="0"/>
            <w:vAlign w:val="center"/>
          </w:tcPr>
          <w:p w14:paraId="0AE8A124">
            <w:pPr>
              <w:keepNext w:val="0"/>
              <w:keepLines w:val="0"/>
              <w:widowControl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客观评议</w:t>
            </w:r>
          </w:p>
        </w:tc>
      </w:tr>
      <w:tr w14:paraId="5E36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81" w:type="dxa"/>
            <w:vMerge w:val="continue"/>
            <w:tcBorders>
              <w:left w:val="single" w:color="auto" w:sz="4" w:space="0"/>
              <w:right w:val="single" w:color="auto" w:sz="2" w:space="0"/>
            </w:tcBorders>
            <w:noWrap w:val="0"/>
            <w:tcMar>
              <w:top w:w="0" w:type="dxa"/>
              <w:left w:w="0" w:type="dxa"/>
              <w:bottom w:w="0" w:type="dxa"/>
              <w:right w:w="0" w:type="dxa"/>
            </w:tcMar>
            <w:vAlign w:val="center"/>
          </w:tcPr>
          <w:p w14:paraId="08911C9F">
            <w:pPr>
              <w:keepNext w:val="0"/>
              <w:keepLines w:val="0"/>
              <w:widowControl w:val="0"/>
              <w:suppressLineNumbers w:val="0"/>
              <w:adjustRightInd/>
              <w:spacing w:before="0" w:beforeAutospacing="0" w:after="0" w:afterAutospacing="0" w:line="240" w:lineRule="auto"/>
              <w:ind w:left="0" w:right="0"/>
              <w:jc w:val="both"/>
              <w:textAlignment w:val="auto"/>
              <w:rPr>
                <w:rFonts w:hint="default" w:ascii="Times New Roman" w:hAnsi="Times New Roman" w:eastAsia="宋体" w:cs="Times New Roman"/>
                <w:color w:val="auto"/>
                <w:highlight w:val="none"/>
              </w:rPr>
            </w:pPr>
          </w:p>
        </w:tc>
        <w:tc>
          <w:tcPr>
            <w:tcW w:w="1089" w:type="dxa"/>
            <w:tcBorders>
              <w:top w:val="single" w:color="auto" w:sz="4" w:space="0"/>
              <w:left w:val="single" w:color="auto" w:sz="4" w:space="0"/>
              <w:bottom w:val="single" w:color="auto" w:sz="4" w:space="0"/>
              <w:right w:val="single" w:color="auto" w:sz="2" w:space="0"/>
            </w:tcBorders>
            <w:noWrap w:val="0"/>
            <w:vAlign w:val="center"/>
          </w:tcPr>
          <w:p w14:paraId="485FE3C4">
            <w:pPr>
              <w:keepNext w:val="0"/>
              <w:keepLines w:val="0"/>
              <w:widowControl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特殊检验项目价格分</w:t>
            </w:r>
          </w:p>
        </w:tc>
        <w:tc>
          <w:tcPr>
            <w:tcW w:w="5455" w:type="dxa"/>
            <w:gridSpan w:val="2"/>
            <w:tcBorders>
              <w:top w:val="single" w:color="auto" w:sz="4" w:space="0"/>
              <w:left w:val="single" w:color="auto" w:sz="4" w:space="0"/>
              <w:bottom w:val="single" w:color="auto" w:sz="4" w:space="0"/>
              <w:right w:val="single" w:color="auto" w:sz="2" w:space="0"/>
            </w:tcBorders>
            <w:noWrap w:val="0"/>
            <w:vAlign w:val="center"/>
          </w:tcPr>
          <w:p w14:paraId="0960CBDA">
            <w:pPr>
              <w:keepNext w:val="0"/>
              <w:keepLines w:val="0"/>
              <w:widowControl w:val="0"/>
              <w:suppressLineNumbers w:val="0"/>
              <w:adjustRightIn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参与评审的价格=</w:t>
            </w:r>
            <w:r>
              <w:rPr>
                <w:rFonts w:hint="eastAsia" w:ascii="宋体" w:hAnsi="宋体" w:eastAsia="宋体" w:cs="宋体"/>
                <w:color w:val="auto"/>
                <w:kern w:val="2"/>
                <w:sz w:val="24"/>
                <w:szCs w:val="24"/>
                <w:highlight w:val="none"/>
                <w:lang w:val="en-US" w:eastAsia="zh-CN"/>
              </w:rPr>
              <w:t>投标折扣率（以“宁波市医疗服务价格”为基准）-小微企业政策优惠（如有）</w:t>
            </w:r>
            <w:r>
              <w:rPr>
                <w:rFonts w:hint="eastAsia" w:ascii="宋体" w:hAnsi="宋体" w:eastAsia="宋体" w:cs="宋体"/>
                <w:color w:val="auto"/>
                <w:kern w:val="2"/>
                <w:sz w:val="24"/>
                <w:szCs w:val="24"/>
                <w:highlight w:val="none"/>
              </w:rPr>
              <w:t>；</w:t>
            </w:r>
          </w:p>
          <w:p w14:paraId="24E0DFBB">
            <w:pPr>
              <w:keepNext w:val="0"/>
              <w:keepLines w:val="0"/>
              <w:widowControl w:val="0"/>
              <w:suppressLineNumbers w:val="0"/>
              <w:adjustRightIn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基准价=满足招标文件要求且最低的参与评审的价格，基准价</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分；</w:t>
            </w:r>
          </w:p>
          <w:p w14:paraId="6F692013">
            <w:pPr>
              <w:keepNext w:val="0"/>
              <w:keepLines w:val="0"/>
              <w:widowControl w:val="0"/>
              <w:suppressLineNumbers w:val="0"/>
              <w:adjustRightIn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其余供应商得分为：报价得分=（基准价/参与评审的价格）×</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%×100。</w:t>
            </w:r>
          </w:p>
        </w:tc>
        <w:tc>
          <w:tcPr>
            <w:tcW w:w="488" w:type="dxa"/>
            <w:tcBorders>
              <w:top w:val="single" w:color="auto" w:sz="4" w:space="0"/>
              <w:left w:val="single" w:color="auto" w:sz="4" w:space="0"/>
              <w:bottom w:val="single" w:color="auto" w:sz="4" w:space="0"/>
              <w:right w:val="single" w:color="auto" w:sz="2" w:space="0"/>
            </w:tcBorders>
            <w:noWrap w:val="0"/>
            <w:vAlign w:val="center"/>
          </w:tcPr>
          <w:p w14:paraId="0C46AA87">
            <w:pPr>
              <w:keepNext w:val="0"/>
              <w:keepLines w:val="0"/>
              <w:widowControl w:val="0"/>
              <w:suppressLineNumbers w:val="0"/>
              <w:adjustRightIn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48" w:type="dxa"/>
            <w:tcBorders>
              <w:top w:val="single" w:color="auto" w:sz="4" w:space="0"/>
              <w:left w:val="single" w:color="auto" w:sz="4" w:space="0"/>
              <w:bottom w:val="single" w:color="auto" w:sz="4" w:space="0"/>
              <w:right w:val="single" w:color="auto" w:sz="2" w:space="0"/>
            </w:tcBorders>
            <w:noWrap w:val="0"/>
            <w:vAlign w:val="center"/>
          </w:tcPr>
          <w:p w14:paraId="11EB2438">
            <w:pPr>
              <w:keepNext w:val="0"/>
              <w:keepLines w:val="0"/>
              <w:widowControl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客观评议</w:t>
            </w:r>
          </w:p>
        </w:tc>
      </w:tr>
    </w:tbl>
    <w:p w14:paraId="102C8984">
      <w:pPr>
        <w:widowControl/>
        <w:kinsoku/>
        <w:wordWrap/>
        <w:overflowPunct/>
        <w:topLinePunct w:val="0"/>
        <w:bidi w:val="0"/>
        <w:adjustRightInd/>
        <w:spacing w:line="320" w:lineRule="exact"/>
        <w:jc w:val="left"/>
        <w:outlineLvl w:val="9"/>
        <w:rPr>
          <w:rFonts w:hint="eastAsia" w:ascii="宋体" w:hAnsi="宋体" w:cs="宋体"/>
          <w:b w:val="0"/>
          <w:bCs/>
          <w:color w:val="auto"/>
          <w:sz w:val="24"/>
          <w:highlight w:val="none"/>
        </w:rPr>
      </w:pPr>
    </w:p>
    <w:p w14:paraId="71F11F98">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、小数点后保留一位数。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14:paraId="51225DAC">
      <w:pPr>
        <w:kinsoku/>
        <w:wordWrap/>
        <w:overflowPunct/>
        <w:topLinePunct w:val="0"/>
        <w:bidi w:val="0"/>
        <w:spacing w:after="120" w:afterLines="0"/>
        <w:jc w:val="center"/>
        <w:outlineLvl w:val="9"/>
        <w:rPr>
          <w:rFonts w:hint="eastAsia" w:ascii="宋体" w:hAnsi="宋体" w:eastAsia="宋体" w:cs="宋体"/>
          <w:b/>
          <w:bCs/>
          <w:color w:val="auto"/>
          <w:sz w:val="32"/>
          <w:szCs w:val="40"/>
          <w:highlight w:val="none"/>
          <w:lang w:val="en-US" w:eastAsia="zh-CN" w:bidi="ar-SA"/>
        </w:rPr>
      </w:pPr>
    </w:p>
    <w:p w14:paraId="37F97AC1">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14:paraId="560101A9">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4C39839">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4E4D1031">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47625B1C">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B8AE132">
      <w:pPr>
        <w:kinsoku/>
        <w:wordWrap/>
        <w:overflowPunct/>
        <w:topLinePunct w:val="0"/>
        <w:bidi w:val="0"/>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367809C">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3D8F5F7B">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4F38BCD">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303559AB">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72F7364">
      <w:pPr>
        <w:pStyle w:val="137"/>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177876A">
      <w:pPr>
        <w:pStyle w:val="137"/>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3AAB764B">
      <w:pPr>
        <w:pStyle w:val="137"/>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4B855EEE">
      <w:pPr>
        <w:pStyle w:val="137"/>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D85AC97">
      <w:pPr>
        <w:pStyle w:val="137"/>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F8BD313">
      <w:pPr>
        <w:pStyle w:val="137"/>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204E7B9D">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C9816ED">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2F39A13">
      <w:pPr>
        <w:pStyle w:val="137"/>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供应商的报价，有可能影响产品质量或者不能诚信履约的，未能按要求提供书面说明或者提交相关证明材料，不能证明其报价合理性的，评标委员会应当将其作为无效投标处理。</w:t>
      </w:r>
    </w:p>
    <w:p w14:paraId="0D9E6AAF">
      <w:pPr>
        <w:pStyle w:val="137"/>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5A16C58">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r>
        <w:rPr>
          <w:rFonts w:hint="eastAsia" w:ascii="宋体" w:hAnsi="宋体" w:cs="宋体"/>
          <w:b/>
          <w:bCs/>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4BEFA734">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43C28BA6">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53469D">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7662595">
      <w:pPr>
        <w:pStyle w:val="137"/>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7E856AD9">
      <w:pPr>
        <w:pStyle w:val="25"/>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EC6EF6E">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14:paraId="47CE6EB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D996560">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14:paraId="07AC8F06">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FF6E030">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5625C0F">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r>
        <w:rPr>
          <w:rFonts w:hint="eastAsia" w:ascii="宋体" w:hAnsi="宋体" w:cs="宋体"/>
          <w:color w:val="auto"/>
          <w:kern w:val="0"/>
          <w:sz w:val="24"/>
          <w:highlight w:val="none"/>
          <w:lang w:eastAsia="zh-CN"/>
        </w:rPr>
        <w:t>；</w:t>
      </w:r>
    </w:p>
    <w:p w14:paraId="3CC099DC">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6D358F16">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w:t>
      </w:r>
      <w:r>
        <w:rPr>
          <w:rFonts w:hint="eastAsia" w:ascii="宋体" w:hAnsi="宋体" w:cs="宋体"/>
          <w:color w:val="auto"/>
          <w:kern w:val="0"/>
          <w:sz w:val="24"/>
          <w:highlight w:val="none"/>
          <w:lang w:val="en-US" w:eastAsia="zh-CN"/>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01F7C78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21820F90">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14:paraId="326C50B0">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7F38A707">
      <w:pPr>
        <w:kinsoku/>
        <w:wordWrap/>
        <w:overflowPunct/>
        <w:topLinePunct w:val="0"/>
        <w:bidi w:val="0"/>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14:paraId="7CC80FFD">
      <w:pPr>
        <w:kinsoku/>
        <w:wordWrap/>
        <w:overflowPunct/>
        <w:topLinePunct w:val="0"/>
        <w:bidi w:val="0"/>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4.2.13参与同一个标项的供应商存在下列情形之一且无法合理解释的，其投标文件无效：</w:t>
      </w:r>
    </w:p>
    <w:p w14:paraId="264617B5">
      <w:pPr>
        <w:kinsoku/>
        <w:wordWrap/>
        <w:overflowPunct/>
        <w:topLinePunct w:val="0"/>
        <w:bidi w:val="0"/>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1）不同供应商的电子投标文件上传计算机的网卡MAC地址或硬盘序列号等硬件信息相同的；</w:t>
      </w:r>
    </w:p>
    <w:p w14:paraId="1079EF62">
      <w:pPr>
        <w:kinsoku/>
        <w:wordWrap/>
        <w:overflowPunct/>
        <w:topLinePunct w:val="0"/>
        <w:bidi w:val="0"/>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2）上传的电子投标文件若出现使用本项目其他投标供应商的数字证书加密的，或者加盖本项目其他投标供应商的电子印章的；    </w:t>
      </w:r>
    </w:p>
    <w:p w14:paraId="25EA4BD3">
      <w:pPr>
        <w:kinsoku/>
        <w:wordWrap/>
        <w:overflowPunct/>
        <w:topLinePunct w:val="0"/>
        <w:bidi w:val="0"/>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3）不同供应商的投标文件的内容存在3处（含）以上错误一致的；</w:t>
      </w:r>
    </w:p>
    <w:p w14:paraId="6102A307">
      <w:pPr>
        <w:kinsoku/>
        <w:wordWrap/>
        <w:overflowPunct/>
        <w:topLinePunct w:val="0"/>
        <w:bidi w:val="0"/>
        <w:spacing w:line="360" w:lineRule="auto"/>
        <w:ind w:firstLine="480" w:firstLineChars="20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4）不同供应商联系人为同一人或不同联系人的联系电话一致的。</w:t>
      </w:r>
    </w:p>
    <w:p w14:paraId="78AE8ADF">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w:t>
      </w:r>
      <w:r>
        <w:rPr>
          <w:rFonts w:hint="eastAsia" w:ascii="宋体" w:hAnsi="宋体" w:eastAsia="宋体" w:cs="宋体"/>
          <w:color w:val="auto"/>
          <w:kern w:val="0"/>
          <w:sz w:val="24"/>
          <w:highlight w:val="none"/>
          <w:lang w:val="en-US"/>
        </w:rPr>
        <w:t>文件不满足招标文件的其它实质性要求的；</w:t>
      </w:r>
    </w:p>
    <w:p w14:paraId="375DA8D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6CABE2AF">
      <w:pPr>
        <w:pStyle w:val="25"/>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FDA828C">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14:paraId="6433EEA8">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14:paraId="564BA2AF">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35EBD1DF">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74C95569">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130D2DB3">
      <w:pPr>
        <w:pStyle w:val="25"/>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C57591C">
      <w:pPr>
        <w:pStyle w:val="25"/>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4CF3557">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14:paraId="0E4BC584">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9B1577D">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8434263">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14:paraId="542AD85D">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D3C0AAA">
      <w:pPr>
        <w:pStyle w:val="25"/>
        <w:kinsoku/>
        <w:wordWrap/>
        <w:overflowPunct/>
        <w:topLinePunct w:val="0"/>
        <w:bidi w:val="0"/>
        <w:snapToGrid w:val="0"/>
        <w:spacing w:line="360" w:lineRule="auto"/>
        <w:ind w:firstLine="0" w:firstLineChars="0"/>
        <w:outlineLvl w:val="9"/>
        <w:rPr>
          <w:rFonts w:cs="宋体"/>
          <w:color w:val="auto"/>
          <w:highlight w:val="none"/>
        </w:rPr>
      </w:pPr>
    </w:p>
    <w:bookmarkEnd w:id="33"/>
    <w:p w14:paraId="1CDFBD9B">
      <w:pPr>
        <w:kinsoku/>
        <w:wordWrap/>
        <w:overflowPunct/>
        <w:topLinePunct w:val="0"/>
        <w:bidi w:val="0"/>
        <w:spacing w:line="360" w:lineRule="auto"/>
        <w:ind w:left="720" w:leftChars="343" w:firstLine="1084" w:firstLineChars="300"/>
        <w:outlineLvl w:val="9"/>
        <w:rPr>
          <w:rFonts w:ascii="宋体" w:hAnsi="宋体" w:cs="宋体"/>
          <w:b/>
          <w:color w:val="auto"/>
          <w:sz w:val="36"/>
          <w:szCs w:val="36"/>
          <w:highlight w:val="none"/>
        </w:rPr>
      </w:pPr>
      <w:bookmarkStart w:id="403" w:name="第五部分"/>
      <w:bookmarkStart w:id="404" w:name="_Toc86217003"/>
    </w:p>
    <w:p w14:paraId="2A2F7311">
      <w:pPr>
        <w:kinsoku/>
        <w:wordWrap/>
        <w:overflowPunct/>
        <w:topLinePunct w:val="0"/>
        <w:bidi w:val="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9384610">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05" w:name="_Toc8264"/>
      <w:r>
        <w:rPr>
          <w:rFonts w:hint="eastAsia" w:ascii="宋体" w:hAnsi="宋体" w:cs="宋体"/>
          <w:b/>
          <w:color w:val="auto"/>
          <w:sz w:val="36"/>
          <w:szCs w:val="36"/>
          <w:highlight w:val="none"/>
        </w:rPr>
        <w:t>第五部分 拟签订的合同文本</w:t>
      </w:r>
      <w:bookmarkEnd w:id="405"/>
    </w:p>
    <w:p w14:paraId="035F05CB">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1A6087A">
      <w:pPr>
        <w:kinsoku/>
        <w:wordWrap/>
        <w:overflowPunct/>
        <w:topLinePunct w:val="0"/>
        <w:bidi w:val="0"/>
        <w:spacing w:line="480" w:lineRule="auto"/>
        <w:jc w:val="center"/>
        <w:outlineLvl w:val="9"/>
        <w:rPr>
          <w:rFonts w:ascii="宋体" w:hAnsi="宋体" w:cs="宋体"/>
          <w:b/>
          <w:color w:val="auto"/>
          <w:sz w:val="28"/>
          <w:szCs w:val="28"/>
          <w:highlight w:val="none"/>
        </w:rPr>
      </w:pPr>
    </w:p>
    <w:p w14:paraId="74625172">
      <w:pPr>
        <w:kinsoku/>
        <w:wordWrap/>
        <w:overflowPunct/>
        <w:topLinePunct w:val="0"/>
        <w:bidi w:val="0"/>
        <w:spacing w:line="480" w:lineRule="auto"/>
        <w:jc w:val="center"/>
        <w:outlineLvl w:val="9"/>
        <w:rPr>
          <w:rFonts w:ascii="宋体" w:hAnsi="宋体" w:cs="宋体"/>
          <w:b/>
          <w:color w:val="auto"/>
          <w:sz w:val="24"/>
          <w:highlight w:val="none"/>
        </w:rPr>
      </w:pPr>
    </w:p>
    <w:p w14:paraId="1065019A">
      <w:pPr>
        <w:kinsoku/>
        <w:wordWrap/>
        <w:overflowPunct/>
        <w:topLinePunct w:val="0"/>
        <w:bidi w:val="0"/>
        <w:spacing w:line="480" w:lineRule="auto"/>
        <w:jc w:val="center"/>
        <w:outlineLvl w:val="9"/>
        <w:rPr>
          <w:rFonts w:ascii="宋体" w:hAnsi="宋体" w:cs="宋体"/>
          <w:b/>
          <w:color w:val="auto"/>
          <w:sz w:val="24"/>
          <w:highlight w:val="none"/>
        </w:rPr>
      </w:pPr>
    </w:p>
    <w:p w14:paraId="0CA8ABAA">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8B4EE28">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服务类</w:t>
      </w:r>
      <w:r>
        <w:rPr>
          <w:rFonts w:hint="eastAsia" w:ascii="宋体" w:hAnsi="宋体" w:cs="宋体"/>
          <w:b/>
          <w:color w:val="auto"/>
          <w:sz w:val="36"/>
          <w:szCs w:val="36"/>
          <w:highlight w:val="none"/>
        </w:rPr>
        <w:t>）</w:t>
      </w:r>
    </w:p>
    <w:p w14:paraId="74D1B4C4">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宋体"/>
          <w:color w:val="auto"/>
          <w:kern w:val="2"/>
          <w:sz w:val="24"/>
          <w:szCs w:val="24"/>
          <w:highlight w:val="none"/>
          <w:lang w:val="en-US" w:eastAsia="zh-CN" w:bidi="ar-SA"/>
        </w:rPr>
      </w:pPr>
    </w:p>
    <w:p w14:paraId="6E0BF411">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宋体"/>
          <w:color w:val="auto"/>
          <w:kern w:val="2"/>
          <w:sz w:val="24"/>
          <w:szCs w:val="24"/>
          <w:highlight w:val="none"/>
          <w:lang w:val="en-US" w:eastAsia="zh-CN" w:bidi="ar-SA"/>
        </w:rPr>
      </w:pPr>
    </w:p>
    <w:p w14:paraId="2C5A8DDF">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center"/>
        <w:outlineLvl w:val="9"/>
        <w:rPr>
          <w:rFonts w:ascii="宋体" w:hAnsi="宋体" w:eastAsia="宋体" w:cs="宋体"/>
          <w:color w:val="auto"/>
          <w:kern w:val="2"/>
          <w:sz w:val="24"/>
          <w:szCs w:val="24"/>
          <w:highlight w:val="none"/>
          <w:lang w:val="en-US" w:eastAsia="zh-CN" w:bidi="ar-SA"/>
        </w:rPr>
      </w:pPr>
    </w:p>
    <w:p w14:paraId="46519B1B">
      <w:pPr>
        <w:keepNext w:val="0"/>
        <w:keepLines w:val="0"/>
        <w:pageBreakBefore w:val="0"/>
        <w:widowControl w:val="0"/>
        <w:kinsoku/>
        <w:wordWrap/>
        <w:overflowPunct/>
        <w:topLinePunct w:val="0"/>
        <w:autoSpaceDE w:val="0"/>
        <w:autoSpaceDN w:val="0"/>
        <w:bidi w:val="0"/>
        <w:adjustRightInd w:val="0"/>
        <w:snapToGrid w:val="0"/>
        <w:spacing w:after="120" w:line="360" w:lineRule="auto"/>
        <w:ind w:left="420" w:leftChars="200" w:firstLine="2843" w:firstLineChars="1180"/>
        <w:jc w:val="both"/>
        <w:textAlignment w:val="auto"/>
        <w:outlineLvl w:val="9"/>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第一部分 合同书</w:t>
      </w:r>
    </w:p>
    <w:p w14:paraId="03F0D62F">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宋体"/>
          <w:color w:val="auto"/>
          <w:kern w:val="2"/>
          <w:sz w:val="24"/>
          <w:szCs w:val="24"/>
          <w:highlight w:val="none"/>
          <w:lang w:val="en-US" w:eastAsia="zh-CN" w:bidi="ar-SA"/>
        </w:rPr>
      </w:pPr>
    </w:p>
    <w:p w14:paraId="3612AC99">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宋体"/>
          <w:color w:val="auto"/>
          <w:kern w:val="2"/>
          <w:sz w:val="24"/>
          <w:szCs w:val="24"/>
          <w:highlight w:val="none"/>
          <w:lang w:val="en-US" w:eastAsia="zh-CN" w:bidi="ar-SA"/>
        </w:rPr>
      </w:pPr>
    </w:p>
    <w:p w14:paraId="68D5328D">
      <w:pPr>
        <w:kinsoku/>
        <w:wordWrap/>
        <w:overflowPunct/>
        <w:topLinePunct w:val="0"/>
        <w:bidi w:val="0"/>
        <w:spacing w:before="120" w:line="22" w:lineRule="atLeast"/>
        <w:outlineLvl w:val="9"/>
        <w:rPr>
          <w:rFonts w:ascii="宋体" w:hAnsi="宋体" w:cs="宋体"/>
          <w:color w:val="auto"/>
          <w:sz w:val="24"/>
          <w:highlight w:val="none"/>
        </w:rPr>
      </w:pPr>
    </w:p>
    <w:p w14:paraId="58546A27">
      <w:pPr>
        <w:kinsoku/>
        <w:wordWrap/>
        <w:overflowPunct/>
        <w:topLinePunct w:val="0"/>
        <w:bidi w:val="0"/>
        <w:spacing w:before="120" w:line="22" w:lineRule="atLeast"/>
        <w:ind w:left="960"/>
        <w:outlineLvl w:val="9"/>
        <w:rPr>
          <w:rFonts w:hint="default" w:ascii="宋体" w:hAnsi="宋体" w:cs="宋体"/>
          <w:color w:val="auto"/>
          <w:sz w:val="24"/>
          <w:highlight w:val="none"/>
          <w:lang w:val="en-US"/>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宁海县西店镇卫生院外送病理服务项目</w:t>
      </w:r>
      <w:r>
        <w:rPr>
          <w:rFonts w:hint="eastAsia" w:ascii="宋体" w:hAnsi="宋体" w:cs="宋体"/>
          <w:color w:val="auto"/>
          <w:sz w:val="24"/>
          <w:highlight w:val="none"/>
          <w:u w:val="single"/>
          <w:lang w:val="en-US" w:eastAsia="zh-CN"/>
        </w:rPr>
        <w:t xml:space="preserve">            </w:t>
      </w:r>
    </w:p>
    <w:p w14:paraId="06251058">
      <w:pPr>
        <w:kinsoku/>
        <w:wordWrap/>
        <w:overflowPunct/>
        <w:topLinePunct w:val="0"/>
        <w:bidi w:val="0"/>
        <w:outlineLvl w:val="9"/>
        <w:rPr>
          <w:rFonts w:ascii="宋体" w:hAnsi="宋体" w:cs="宋体"/>
          <w:color w:val="auto"/>
          <w:sz w:val="24"/>
          <w:highlight w:val="none"/>
        </w:rPr>
      </w:pPr>
    </w:p>
    <w:p w14:paraId="11F5F8EE">
      <w:pPr>
        <w:kinsoku/>
        <w:wordWrap/>
        <w:overflowPunct/>
        <w:topLinePunct w:val="0"/>
        <w:bidi w:val="0"/>
        <w:spacing w:before="120" w:line="22" w:lineRule="atLeast"/>
        <w:ind w:left="960"/>
        <w:outlineLvl w:val="9"/>
        <w:rPr>
          <w:rFonts w:hint="default" w:ascii="宋体" w:hAnsi="宋体" w:cs="宋体"/>
          <w:color w:val="auto"/>
          <w:sz w:val="24"/>
          <w:highlight w:val="none"/>
          <w:u w:val="single"/>
          <w:lang w:val="en-US"/>
        </w:rPr>
      </w:pPr>
      <w:r>
        <w:rPr>
          <w:rFonts w:hint="eastAsia" w:ascii="宋体" w:hAnsi="宋体" w:cs="宋体"/>
          <w:color w:val="auto"/>
          <w:sz w:val="24"/>
          <w:highlight w:val="none"/>
        </w:rPr>
        <w:t>甲方：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宁海县西店镇卫生院</w:t>
      </w:r>
      <w:r>
        <w:rPr>
          <w:rFonts w:hint="eastAsia" w:ascii="宋体" w:hAnsi="宋体" w:cs="宋体"/>
          <w:color w:val="auto"/>
          <w:sz w:val="24"/>
          <w:highlight w:val="none"/>
          <w:u w:val="single"/>
          <w:lang w:val="en-US" w:eastAsia="zh-CN"/>
        </w:rPr>
        <w:t xml:space="preserve">                            </w:t>
      </w:r>
    </w:p>
    <w:p w14:paraId="2491CD35">
      <w:pPr>
        <w:kinsoku/>
        <w:wordWrap/>
        <w:overflowPunct/>
        <w:topLinePunct w:val="0"/>
        <w:bidi w:val="0"/>
        <w:spacing w:before="120" w:line="22" w:lineRule="atLeast"/>
        <w:outlineLvl w:val="9"/>
        <w:rPr>
          <w:rFonts w:ascii="宋体" w:hAnsi="宋体" w:cs="宋体"/>
          <w:color w:val="auto"/>
          <w:sz w:val="24"/>
          <w:highlight w:val="none"/>
        </w:rPr>
      </w:pPr>
    </w:p>
    <w:p w14:paraId="5B8189C0">
      <w:pPr>
        <w:kinsoku/>
        <w:wordWrap/>
        <w:overflowPunct/>
        <w:topLinePunct w:val="0"/>
        <w:bidi w:val="0"/>
        <w:spacing w:before="120" w:line="22" w:lineRule="atLeast"/>
        <w:ind w:left="960"/>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39DF7B1A">
      <w:pPr>
        <w:kinsoku/>
        <w:wordWrap/>
        <w:overflowPunct/>
        <w:topLinePunct w:val="0"/>
        <w:bidi w:val="0"/>
        <w:spacing w:before="120" w:line="22" w:lineRule="atLeast"/>
        <w:outlineLvl w:val="9"/>
        <w:rPr>
          <w:rFonts w:ascii="宋体" w:hAnsi="宋体" w:cs="宋体"/>
          <w:color w:val="auto"/>
          <w:sz w:val="24"/>
          <w:highlight w:val="none"/>
        </w:rPr>
      </w:pPr>
    </w:p>
    <w:p w14:paraId="3D3C547D">
      <w:pPr>
        <w:kinsoku/>
        <w:wordWrap/>
        <w:overflowPunct/>
        <w:topLinePunct w:val="0"/>
        <w:bidi w:val="0"/>
        <w:spacing w:before="120" w:line="22" w:lineRule="atLeast"/>
        <w:ind w:firstLine="960" w:firstLineChars="400"/>
        <w:outlineLvl w:val="9"/>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宁海县                                                  </w:t>
      </w:r>
      <w:r>
        <w:rPr>
          <w:rFonts w:hint="eastAsia" w:ascii="宋体" w:hAnsi="宋体" w:cs="宋体"/>
          <w:color w:val="auto"/>
          <w:sz w:val="24"/>
          <w:highlight w:val="none"/>
          <w:u w:val="single"/>
        </w:rPr>
        <w:t xml:space="preserve">  </w:t>
      </w:r>
    </w:p>
    <w:p w14:paraId="1D7037F0">
      <w:pPr>
        <w:kinsoku/>
        <w:wordWrap/>
        <w:overflowPunct/>
        <w:topLinePunct w:val="0"/>
        <w:bidi w:val="0"/>
        <w:spacing w:before="120" w:line="22" w:lineRule="atLeast"/>
        <w:outlineLvl w:val="9"/>
        <w:rPr>
          <w:rFonts w:ascii="宋体" w:hAnsi="宋体" w:cs="宋体"/>
          <w:color w:val="auto"/>
          <w:sz w:val="24"/>
          <w:highlight w:val="none"/>
        </w:rPr>
      </w:pPr>
    </w:p>
    <w:p w14:paraId="7AE28489">
      <w:pPr>
        <w:kinsoku/>
        <w:wordWrap/>
        <w:overflowPunct/>
        <w:topLinePunct w:val="0"/>
        <w:bidi w:val="0"/>
        <w:spacing w:before="120" w:line="22" w:lineRule="atLeast"/>
        <w:ind w:firstLine="960" w:firstLineChars="400"/>
        <w:outlineLvl w:val="9"/>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B224606">
      <w:pPr>
        <w:widowControl w:val="0"/>
        <w:adjustRightInd w:val="0"/>
        <w:spacing w:line="360" w:lineRule="auto"/>
        <w:ind w:firstLine="480" w:firstLineChars="200"/>
        <w:jc w:val="both"/>
        <w:rPr>
          <w:rFonts w:ascii="Times New Roman" w:hAnsi="Times New Roman" w:eastAsia="楷体_GB2312" w:cs="Lucida Sans"/>
          <w:color w:val="auto"/>
          <w:kern w:val="2"/>
          <w:sz w:val="24"/>
          <w:szCs w:val="24"/>
          <w:highlight w:val="none"/>
          <w:lang w:val="en-US" w:eastAsia="zh-CN" w:bidi="ar-SA"/>
        </w:rPr>
      </w:pPr>
    </w:p>
    <w:p w14:paraId="2142D49F">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u w:val="single"/>
          <w:lang w:val="zh-CN"/>
        </w:rPr>
      </w:pPr>
    </w:p>
    <w:p w14:paraId="101D5729">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u w:val="single"/>
          <w:lang w:val="zh-CN"/>
        </w:rPr>
      </w:pPr>
    </w:p>
    <w:p w14:paraId="2FF8B291">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u w:val="single"/>
          <w:lang w:val="zh-CN"/>
        </w:rPr>
      </w:pPr>
    </w:p>
    <w:p w14:paraId="1D2DB6D3">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rPr>
      </w:pPr>
      <w:r>
        <w:rPr>
          <w:rFonts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lang w:val="en-US" w:eastAsia="zh-CN"/>
        </w:rPr>
        <w:t>2025</w:t>
      </w:r>
      <w:r>
        <w:rPr>
          <w:rFonts w:hint="eastAsia" w:ascii="宋体" w:hAnsi="宋体" w:cs="Times New Roman"/>
          <w:color w:val="auto"/>
          <w:sz w:val="24"/>
          <w:highlight w:val="none"/>
          <w:lang w:val="zh-CN"/>
        </w:rPr>
        <w:t>年</w:t>
      </w:r>
      <w:r>
        <w:rPr>
          <w:rFonts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zh-CN"/>
        </w:rPr>
        <w:t>月</w:t>
      </w:r>
      <w:r>
        <w:rPr>
          <w:rFonts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日</w:t>
      </w:r>
      <w:r>
        <w:rPr>
          <w:rFonts w:hint="eastAsia" w:ascii="宋体" w:hAnsi="宋体" w:cs="Times New Roman"/>
          <w:color w:val="auto"/>
          <w:sz w:val="24"/>
          <w:highlight w:val="none"/>
        </w:rPr>
        <w:t>，</w:t>
      </w:r>
      <w:r>
        <w:rPr>
          <w:rFonts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宁海县西店镇卫生院</w:t>
      </w:r>
      <w:r>
        <w:rPr>
          <w:rFonts w:ascii="宋体" w:hAnsi="宋体" w:cs="Times New Roman"/>
          <w:color w:val="auto"/>
          <w:sz w:val="24"/>
          <w:highlight w:val="none"/>
          <w:u w:val="single"/>
        </w:rPr>
        <w:t xml:space="preserve"> </w:t>
      </w:r>
      <w:r>
        <w:rPr>
          <w:rFonts w:hint="eastAsia" w:ascii="宋体" w:hAnsi="宋体" w:cs="Times New Roman"/>
          <w:color w:val="auto"/>
          <w:sz w:val="24"/>
          <w:highlight w:val="none"/>
        </w:rPr>
        <w:t>以</w:t>
      </w:r>
      <w:r>
        <w:rPr>
          <w:rFonts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公开招标</w:t>
      </w:r>
      <w:r>
        <w:rPr>
          <w:rFonts w:ascii="宋体" w:hAnsi="宋体" w:cs="Times New Roman"/>
          <w:color w:val="auto"/>
          <w:sz w:val="24"/>
          <w:highlight w:val="none"/>
          <w:u w:val="single"/>
        </w:rPr>
        <w:t xml:space="preserve"> </w:t>
      </w:r>
      <w:r>
        <w:rPr>
          <w:rFonts w:hint="eastAsia" w:ascii="宋体" w:hAnsi="宋体" w:cs="Times New Roman"/>
          <w:color w:val="auto"/>
          <w:sz w:val="24"/>
          <w:highlight w:val="none"/>
        </w:rPr>
        <w:t>对</w:t>
      </w:r>
      <w:r>
        <w:rPr>
          <w:rFonts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宁海县西店镇卫生院外送病理服务项目</w:t>
      </w:r>
      <w:r>
        <w:rPr>
          <w:rFonts w:ascii="宋体" w:hAnsi="宋体" w:cs="Times New Roman"/>
          <w:color w:val="auto"/>
          <w:sz w:val="24"/>
          <w:highlight w:val="none"/>
          <w:u w:val="single"/>
        </w:rPr>
        <w:t xml:space="preserve"> </w:t>
      </w:r>
      <w:r>
        <w:rPr>
          <w:rFonts w:hint="eastAsia" w:ascii="宋体" w:hAnsi="宋体" w:cs="Times New Roman"/>
          <w:color w:val="auto"/>
          <w:sz w:val="24"/>
          <w:highlight w:val="none"/>
        </w:rPr>
        <w:t>进行了采购。经</w:t>
      </w:r>
      <w:r>
        <w:rPr>
          <w:rFonts w:hint="eastAsia" w:ascii="宋体" w:hAnsi="宋体" w:cs="Times New Roman"/>
          <w:color w:val="auto"/>
          <w:sz w:val="24"/>
          <w:highlight w:val="none"/>
          <w:u w:val="single"/>
          <w:lang w:val="en-US" w:eastAsia="zh-CN"/>
        </w:rPr>
        <w:t>评标委员会</w:t>
      </w:r>
      <w:r>
        <w:rPr>
          <w:rFonts w:hint="eastAsia" w:ascii="宋体" w:hAnsi="宋体" w:cs="Times New Roman"/>
          <w:color w:val="auto"/>
          <w:sz w:val="24"/>
          <w:highlight w:val="none"/>
        </w:rPr>
        <w:t>评定，</w:t>
      </w:r>
      <w:r>
        <w:rPr>
          <w:rFonts w:ascii="宋体" w:hAnsi="宋体" w:cs="Times New Roman"/>
          <w:color w:val="auto"/>
          <w:sz w:val="24"/>
          <w:highlight w:val="none"/>
          <w:u w:val="single"/>
        </w:rPr>
        <w:t xml:space="preserve"> （中标供应商</w:t>
      </w:r>
      <w:r>
        <w:rPr>
          <w:rFonts w:hint="eastAsia" w:ascii="宋体" w:hAnsi="宋体" w:cs="Times New Roman"/>
          <w:color w:val="auto"/>
          <w:sz w:val="24"/>
          <w:highlight w:val="none"/>
          <w:u w:val="single"/>
          <w:lang w:val="en-US" w:eastAsia="zh-CN"/>
        </w:rPr>
        <w:t>名称</w:t>
      </w:r>
      <w:r>
        <w:rPr>
          <w:rFonts w:ascii="宋体" w:hAnsi="宋体" w:cs="Times New Roman"/>
          <w:color w:val="auto"/>
          <w:sz w:val="24"/>
          <w:highlight w:val="none"/>
          <w:u w:val="single"/>
        </w:rPr>
        <w:t xml:space="preserve">） </w:t>
      </w:r>
      <w:r>
        <w:rPr>
          <w:rFonts w:hint="eastAsia" w:ascii="宋体" w:hAnsi="宋体" w:cs="Times New Roman"/>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s="Times New Roman"/>
          <w:color w:val="auto"/>
          <w:sz w:val="24"/>
          <w:highlight w:val="none"/>
        </w:rPr>
        <w:t>。</w:t>
      </w:r>
    </w:p>
    <w:p w14:paraId="2E6ECB5F">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rPr>
      </w:pPr>
      <w:r>
        <w:rPr>
          <w:rFonts w:hint="eastAsia" w:ascii="宋体" w:hAnsi="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宁海县西店镇卫生院</w:t>
      </w:r>
      <w:r>
        <w:rPr>
          <w:rFonts w:ascii="宋体" w:hAnsi="宋体" w:cs="Times New Roman"/>
          <w:color w:val="auto"/>
          <w:sz w:val="24"/>
          <w:highlight w:val="none"/>
          <w:u w:val="single"/>
        </w:rPr>
        <w:t xml:space="preserve"> </w:t>
      </w:r>
      <w:r>
        <w:rPr>
          <w:rFonts w:ascii="宋体" w:hAnsi="宋体" w:cs="Times New Roman"/>
          <w:color w:val="auto"/>
          <w:sz w:val="24"/>
          <w:highlight w:val="none"/>
          <w:lang w:val="zh-CN"/>
        </w:rPr>
        <w:t>(以下简称：甲方)和</w:t>
      </w:r>
      <w:r>
        <w:rPr>
          <w:rFonts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中标供应商名称</w:t>
      </w:r>
      <w:r>
        <w:rPr>
          <w:rFonts w:ascii="宋体" w:hAnsi="宋体" w:cs="Times New Roman"/>
          <w:color w:val="auto"/>
          <w:sz w:val="24"/>
          <w:highlight w:val="none"/>
          <w:u w:val="single"/>
        </w:rPr>
        <w:t xml:space="preserve">）   </w:t>
      </w:r>
      <w:r>
        <w:rPr>
          <w:rFonts w:ascii="宋体" w:hAnsi="宋体" w:cs="Times New Roman"/>
          <w:color w:val="auto"/>
          <w:sz w:val="24"/>
          <w:highlight w:val="none"/>
          <w:lang w:val="zh-CN"/>
        </w:rPr>
        <w:t>(以下简称：乙方)协商一致，约定以下合同</w:t>
      </w:r>
      <w:r>
        <w:rPr>
          <w:rFonts w:hint="eastAsia" w:ascii="宋体" w:hAnsi="宋体" w:cs="Times New Roman"/>
          <w:color w:val="auto"/>
          <w:sz w:val="24"/>
          <w:highlight w:val="none"/>
        </w:rPr>
        <w:t>条款，以兹共同遵守、全面履行。</w:t>
      </w:r>
    </w:p>
    <w:p w14:paraId="60587981">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Times New Roman"/>
          <w:color w:val="auto"/>
          <w:sz w:val="24"/>
          <w:highlight w:val="none"/>
        </w:rPr>
      </w:pPr>
      <w:r>
        <w:rPr>
          <w:rFonts w:ascii="宋体" w:hAnsi="宋体" w:cs="Times New Roman"/>
          <w:b/>
          <w:color w:val="auto"/>
          <w:sz w:val="24"/>
          <w:highlight w:val="none"/>
        </w:rPr>
        <w:t xml:space="preserve">1.1 </w:t>
      </w:r>
      <w:r>
        <w:rPr>
          <w:rFonts w:hint="eastAsia" w:ascii="宋体" w:hAnsi="宋体" w:cs="Times New Roman"/>
          <w:b/>
          <w:color w:val="auto"/>
          <w:sz w:val="24"/>
          <w:highlight w:val="none"/>
        </w:rPr>
        <w:t>合同组成部分</w:t>
      </w:r>
    </w:p>
    <w:p w14:paraId="567BCA6C">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rPr>
      </w:pPr>
      <w:r>
        <w:rPr>
          <w:rFonts w:hint="eastAsia" w:ascii="宋体" w:hAnsi="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09F047">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rPr>
      </w:pPr>
      <w:r>
        <w:rPr>
          <w:rFonts w:ascii="宋体" w:hAnsi="宋体" w:cs="Times New Roman"/>
          <w:color w:val="auto"/>
          <w:sz w:val="24"/>
          <w:highlight w:val="none"/>
        </w:rPr>
        <w:t xml:space="preserve">1.1.1 </w:t>
      </w:r>
      <w:r>
        <w:rPr>
          <w:rFonts w:hint="eastAsia" w:ascii="宋体" w:hAnsi="宋体" w:cs="Times New Roman"/>
          <w:color w:val="auto"/>
          <w:sz w:val="24"/>
          <w:highlight w:val="none"/>
        </w:rPr>
        <w:t>本合同及其补充合同、变更协议；</w:t>
      </w:r>
    </w:p>
    <w:p w14:paraId="6EBFE94F">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rPr>
      </w:pPr>
      <w:r>
        <w:rPr>
          <w:rFonts w:ascii="宋体" w:hAnsi="宋体" w:cs="Times New Roman"/>
          <w:color w:val="auto"/>
          <w:sz w:val="24"/>
          <w:highlight w:val="none"/>
        </w:rPr>
        <w:t xml:space="preserve">1.1.2 </w:t>
      </w:r>
      <w:r>
        <w:rPr>
          <w:rFonts w:hint="eastAsia" w:ascii="宋体" w:hAnsi="宋体" w:cs="Times New Roman"/>
          <w:color w:val="auto"/>
          <w:sz w:val="24"/>
          <w:highlight w:val="none"/>
        </w:rPr>
        <w:t>中标通知书；</w:t>
      </w:r>
    </w:p>
    <w:p w14:paraId="0F6D79EA">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rPr>
      </w:pPr>
      <w:r>
        <w:rPr>
          <w:rFonts w:ascii="宋体" w:hAnsi="宋体" w:cs="Times New Roman"/>
          <w:color w:val="auto"/>
          <w:sz w:val="24"/>
          <w:highlight w:val="none"/>
        </w:rPr>
        <w:t xml:space="preserve">1.1.3 </w:t>
      </w:r>
      <w:r>
        <w:rPr>
          <w:rFonts w:hint="eastAsia" w:ascii="宋体" w:hAnsi="宋体" w:cs="Times New Roman"/>
          <w:color w:val="auto"/>
          <w:sz w:val="24"/>
          <w:highlight w:val="none"/>
        </w:rPr>
        <w:t>投标文件（含澄清或者说明文件）；</w:t>
      </w:r>
    </w:p>
    <w:p w14:paraId="0E15A41B">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rPr>
      </w:pPr>
      <w:r>
        <w:rPr>
          <w:rFonts w:ascii="宋体" w:hAnsi="宋体" w:cs="Times New Roman"/>
          <w:color w:val="auto"/>
          <w:sz w:val="24"/>
          <w:highlight w:val="none"/>
        </w:rPr>
        <w:t xml:space="preserve">1.1.4 </w:t>
      </w:r>
      <w:r>
        <w:rPr>
          <w:rFonts w:hint="eastAsia" w:ascii="宋体" w:hAnsi="宋体" w:cs="Times New Roman"/>
          <w:color w:val="auto"/>
          <w:sz w:val="24"/>
          <w:highlight w:val="none"/>
        </w:rPr>
        <w:t>采购文件（含澄清或者修改文件）；</w:t>
      </w:r>
    </w:p>
    <w:p w14:paraId="2385675C">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rPr>
      </w:pPr>
      <w:r>
        <w:rPr>
          <w:rFonts w:ascii="宋体" w:hAnsi="宋体" w:cs="Times New Roman"/>
          <w:color w:val="auto"/>
          <w:sz w:val="24"/>
          <w:highlight w:val="none"/>
        </w:rPr>
        <w:t xml:space="preserve">1.1.5 </w:t>
      </w:r>
      <w:r>
        <w:rPr>
          <w:rFonts w:hint="eastAsia" w:ascii="宋体" w:hAnsi="宋体" w:cs="Times New Roman"/>
          <w:color w:val="auto"/>
          <w:sz w:val="24"/>
          <w:highlight w:val="none"/>
        </w:rPr>
        <w:t>其他相关采购文件。</w:t>
      </w:r>
    </w:p>
    <w:p w14:paraId="11035BF1">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Times New Roman"/>
          <w:b/>
          <w:color w:val="auto"/>
          <w:sz w:val="24"/>
          <w:highlight w:val="none"/>
        </w:rPr>
      </w:pPr>
      <w:r>
        <w:rPr>
          <w:rFonts w:ascii="宋体" w:hAnsi="宋体" w:cs="Times New Roman"/>
          <w:b/>
          <w:color w:val="auto"/>
          <w:sz w:val="24"/>
          <w:highlight w:val="none"/>
        </w:rPr>
        <w:t xml:space="preserve">1.2 </w:t>
      </w:r>
      <w:r>
        <w:rPr>
          <w:rFonts w:hint="eastAsia" w:ascii="宋体" w:hAnsi="宋体" w:cs="Times New Roman"/>
          <w:b/>
          <w:color w:val="auto"/>
          <w:sz w:val="24"/>
          <w:highlight w:val="none"/>
        </w:rPr>
        <w:t>标的</w:t>
      </w:r>
    </w:p>
    <w:p w14:paraId="12B16E2E">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u w:val="single"/>
        </w:rPr>
      </w:pPr>
      <w:r>
        <w:rPr>
          <w:rFonts w:ascii="宋体" w:hAnsi="宋体" w:cs="Times New Roman"/>
          <w:color w:val="auto"/>
          <w:sz w:val="24"/>
          <w:highlight w:val="none"/>
        </w:rPr>
        <w:t xml:space="preserve">1.2.1 </w:t>
      </w:r>
      <w:r>
        <w:rPr>
          <w:rFonts w:hint="eastAsia" w:ascii="宋体" w:hAnsi="宋体" w:cs="Times New Roman"/>
          <w:color w:val="auto"/>
          <w:sz w:val="24"/>
          <w:highlight w:val="none"/>
        </w:rPr>
        <w:t>服务内容</w:t>
      </w:r>
      <w:r>
        <w:rPr>
          <w:rFonts w:ascii="宋体" w:hAnsi="宋体" w:cs="Times New Roman"/>
          <w:color w:val="auto"/>
          <w:sz w:val="24"/>
          <w:highlight w:val="none"/>
        </w:rPr>
        <w:t>：</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rPr>
        <w:t>；</w:t>
      </w:r>
    </w:p>
    <w:p w14:paraId="16EA18DA">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u w:val="single"/>
        </w:rPr>
      </w:pPr>
      <w:r>
        <w:rPr>
          <w:rFonts w:ascii="宋体" w:hAnsi="宋体" w:cs="Times New Roman"/>
          <w:color w:val="auto"/>
          <w:sz w:val="24"/>
          <w:highlight w:val="none"/>
        </w:rPr>
        <w:t xml:space="preserve">1.2.2 </w:t>
      </w:r>
      <w:r>
        <w:rPr>
          <w:rFonts w:hint="eastAsia" w:ascii="宋体" w:hAnsi="宋体" w:cs="Times New Roman"/>
          <w:color w:val="auto"/>
          <w:sz w:val="24"/>
          <w:highlight w:val="none"/>
        </w:rPr>
        <w:t>服务标准</w:t>
      </w:r>
      <w:r>
        <w:rPr>
          <w:rFonts w:ascii="宋体" w:hAnsi="宋体" w:cs="Times New Roman"/>
          <w:color w:val="auto"/>
          <w:sz w:val="24"/>
          <w:highlight w:val="none"/>
        </w:rPr>
        <w:t>：</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rPr>
        <w:t>；</w:t>
      </w:r>
    </w:p>
    <w:p w14:paraId="74A07D93">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u w:val="single"/>
        </w:rPr>
      </w:pPr>
      <w:r>
        <w:rPr>
          <w:rFonts w:ascii="宋体" w:hAnsi="宋体" w:cs="Times New Roman"/>
          <w:color w:val="auto"/>
          <w:sz w:val="24"/>
          <w:highlight w:val="none"/>
        </w:rPr>
        <w:t xml:space="preserve">1.2.3 </w:t>
      </w:r>
      <w:r>
        <w:rPr>
          <w:rFonts w:hint="eastAsia" w:ascii="宋体" w:hAnsi="宋体" w:cs="Times New Roman"/>
          <w:color w:val="auto"/>
          <w:sz w:val="24"/>
          <w:highlight w:val="none"/>
        </w:rPr>
        <w:t>技术保障：</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rPr>
        <w:t>；</w:t>
      </w:r>
    </w:p>
    <w:p w14:paraId="31466C98">
      <w:pPr>
        <w:keepNext w:val="0"/>
        <w:keepLines w:val="0"/>
        <w:pageBreakBefore w:val="0"/>
        <w:shd w:val="clear"/>
        <w:kinsoku/>
        <w:wordWrap/>
        <w:overflowPunct/>
        <w:topLinePunct w:val="0"/>
        <w:bidi w:val="0"/>
        <w:snapToGrid/>
        <w:spacing w:line="360" w:lineRule="auto"/>
        <w:ind w:firstLine="480" w:firstLineChars="200"/>
        <w:jc w:val="left"/>
        <w:textAlignment w:val="auto"/>
        <w:rPr>
          <w:rFonts w:ascii="宋体" w:hAnsi="宋体" w:cs="Times New Roman"/>
          <w:color w:val="auto"/>
          <w:sz w:val="24"/>
          <w:highlight w:val="none"/>
        </w:rPr>
      </w:pPr>
      <w:r>
        <w:rPr>
          <w:rFonts w:hint="eastAsia" w:ascii="宋体" w:hAnsi="宋体" w:cs="Times New Roman"/>
          <w:color w:val="auto"/>
          <w:sz w:val="24"/>
          <w:highlight w:val="none"/>
        </w:rPr>
        <w:t>1.2.4 服务人员组成：</w:t>
      </w:r>
      <w:r>
        <w:rPr>
          <w:rFonts w:ascii="宋体" w:hAnsi="宋体" w:cs="Times New Roman"/>
          <w:color w:val="auto"/>
          <w:sz w:val="24"/>
          <w:highlight w:val="none"/>
          <w:u w:val="single"/>
        </w:rPr>
        <w:t xml:space="preserve">　　             　      </w:t>
      </w:r>
      <w:r>
        <w:rPr>
          <w:rFonts w:hint="eastAsia" w:ascii="宋体" w:hAnsi="宋体" w:cs="Times New Roman"/>
          <w:color w:val="auto"/>
          <w:sz w:val="24"/>
          <w:highlight w:val="none"/>
        </w:rPr>
        <w:t>；</w:t>
      </w:r>
    </w:p>
    <w:p w14:paraId="3691D0F7">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Times New Roman"/>
          <w:b/>
          <w:color w:val="auto"/>
          <w:sz w:val="24"/>
          <w:highlight w:val="none"/>
        </w:rPr>
      </w:pPr>
      <w:r>
        <w:rPr>
          <w:rFonts w:ascii="宋体" w:hAnsi="宋体" w:cs="Times New Roman"/>
          <w:b/>
          <w:color w:val="auto"/>
          <w:sz w:val="24"/>
          <w:highlight w:val="none"/>
        </w:rPr>
        <w:t>1.3 价款</w:t>
      </w:r>
    </w:p>
    <w:p w14:paraId="23B8836B">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rPr>
      </w:pPr>
      <w:r>
        <w:rPr>
          <w:rFonts w:hint="eastAsia" w:ascii="宋体" w:hAnsi="宋体" w:cs="Times New Roman"/>
          <w:color w:val="auto"/>
          <w:sz w:val="24"/>
          <w:highlight w:val="none"/>
        </w:rPr>
        <w:t>1.3.1</w:t>
      </w:r>
      <w:r>
        <w:rPr>
          <w:rFonts w:hint="eastAsia" w:ascii="宋体" w:hAnsi="宋体" w:cs="Times New Roman"/>
          <w:color w:val="auto"/>
          <w:sz w:val="24"/>
          <w:highlight w:val="none"/>
          <w:lang w:val="en-US" w:eastAsia="zh-CN"/>
        </w:rPr>
        <w:t xml:space="preserve">  </w:t>
      </w:r>
      <w:r>
        <w:rPr>
          <w:rFonts w:ascii="宋体" w:hAnsi="宋体" w:cs="Times New Roman"/>
          <w:color w:val="auto"/>
          <w:sz w:val="24"/>
          <w:highlight w:val="none"/>
        </w:rPr>
        <w:t>。</w:t>
      </w:r>
    </w:p>
    <w:p w14:paraId="3A1086E6">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1.4履约保证金</w:t>
      </w:r>
    </w:p>
    <w:p w14:paraId="017B8F54">
      <w:pPr>
        <w:keepNext w:val="0"/>
        <w:keepLines w:val="0"/>
        <w:pageBreakBefore w:val="0"/>
        <w:shd w:val="clea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rPr>
        <w:t>乙方</w:t>
      </w:r>
      <w:r>
        <w:rPr>
          <w:rFonts w:hint="eastAsia" w:ascii="宋体" w:hAnsi="宋体" w:eastAsia="宋体" w:cs="宋体"/>
          <w:b w:val="0"/>
          <w:bCs w:val="0"/>
          <w:color w:val="auto"/>
          <w:sz w:val="24"/>
          <w:highlight w:val="none"/>
          <w:u w:val="single"/>
          <w:lang w:val="en-US"/>
        </w:rPr>
        <w:t xml:space="preserve"> </w:t>
      </w:r>
      <w:r>
        <w:rPr>
          <w:rFonts w:hint="eastAsia" w:ascii="宋体" w:hAnsi="宋体" w:cs="宋体"/>
          <w:b w:val="0"/>
          <w:bCs w:val="0"/>
          <w:color w:val="auto"/>
          <w:sz w:val="24"/>
          <w:highlight w:val="none"/>
          <w:u w:val="single"/>
          <w:lang w:val="en-US" w:eastAsia="zh-CN"/>
        </w:rPr>
        <w:t>否</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rPr>
        <w:t>需要支付履约保证金。</w:t>
      </w:r>
    </w:p>
    <w:p w14:paraId="4051D995">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28980BB6">
      <w:pPr>
        <w:pStyle w:val="960"/>
        <w:keepNext w:val="0"/>
        <w:keepLines w:val="0"/>
        <w:pageBreakBefore w:val="0"/>
        <w:shd w:val="clear"/>
        <w:kinsoku/>
        <w:wordWrap/>
        <w:overflowPunct/>
        <w:topLinePunct w:val="0"/>
        <w:bidi w:val="0"/>
        <w:snapToGrid/>
        <w:spacing w:before="0" w:beforeAutospacing="0" w:after="0" w:afterAutospacing="0" w:line="360" w:lineRule="auto"/>
        <w:ind w:firstLine="480"/>
        <w:textAlignment w:val="auto"/>
        <w:rPr>
          <w:rFonts w:hint="eastAsia" w:ascii="宋体" w:hAnsi="宋体" w:eastAsia="宋体" w:cs="Times New Roman"/>
          <w:b/>
          <w:i w:val="0"/>
          <w:iCs/>
          <w:color w:val="auto"/>
          <w:kern w:val="2"/>
          <w:sz w:val="24"/>
          <w:szCs w:val="24"/>
          <w:highlight w:val="none"/>
          <w:u w:val="single"/>
          <w:lang w:val="en-US" w:eastAsia="zh-CN" w:bidi="ar-SA"/>
        </w:rPr>
      </w:pPr>
      <w:r>
        <w:rPr>
          <w:rFonts w:hint="eastAsia" w:ascii="宋体" w:hAnsi="宋体" w:cs="宋体"/>
          <w:color w:val="auto"/>
          <w:kern w:val="0"/>
          <w:sz w:val="24"/>
          <w:highlight w:val="none"/>
        </w:rPr>
        <w:t>1.5.1预付款比例、支付方式、时间详见</w:t>
      </w:r>
      <w:r>
        <w:rPr>
          <w:rFonts w:hint="eastAsia" w:cs="宋体"/>
          <w:color w:val="auto"/>
          <w:kern w:val="0"/>
          <w:sz w:val="24"/>
          <w:highlight w:val="none"/>
          <w:u w:val="single"/>
          <w:lang w:val="en-US" w:eastAsia="zh-CN"/>
        </w:rPr>
        <w:t xml:space="preserve"> </w:t>
      </w:r>
      <w:r>
        <w:rPr>
          <w:rFonts w:hint="eastAsia" w:ascii="宋体" w:hAnsi="宋体" w:eastAsia="宋体" w:cs="Times New Roman"/>
          <w:b/>
          <w:i w:val="0"/>
          <w:iCs/>
          <w:color w:val="auto"/>
          <w:kern w:val="2"/>
          <w:sz w:val="24"/>
          <w:szCs w:val="24"/>
          <w:highlight w:val="none"/>
          <w:u w:val="single"/>
          <w:lang w:val="en-US" w:eastAsia="zh-CN" w:bidi="ar-SA"/>
        </w:rPr>
        <w:t>在合同生效以及具备实施条件后7个工作日内支付</w:t>
      </w:r>
      <w:r>
        <w:rPr>
          <w:rFonts w:hint="eastAsia" w:cs="Times New Roman"/>
          <w:b/>
          <w:i w:val="0"/>
          <w:iCs/>
          <w:color w:val="auto"/>
          <w:kern w:val="2"/>
          <w:sz w:val="24"/>
          <w:szCs w:val="24"/>
          <w:highlight w:val="none"/>
          <w:u w:val="single"/>
          <w:lang w:val="en-US" w:eastAsia="zh-CN" w:bidi="ar-SA"/>
        </w:rPr>
        <w:t>年度</w:t>
      </w:r>
      <w:r>
        <w:rPr>
          <w:rFonts w:hint="eastAsia" w:ascii="宋体" w:hAnsi="宋体" w:eastAsia="宋体" w:cs="Times New Roman"/>
          <w:b/>
          <w:i w:val="0"/>
          <w:iCs/>
          <w:color w:val="auto"/>
          <w:kern w:val="2"/>
          <w:sz w:val="24"/>
          <w:szCs w:val="24"/>
          <w:highlight w:val="none"/>
          <w:u w:val="single"/>
          <w:lang w:val="en-US" w:eastAsia="zh-CN" w:bidi="ar-SA"/>
        </w:rPr>
        <w:t>合同金额</w:t>
      </w:r>
      <w:r>
        <w:rPr>
          <w:rFonts w:hint="eastAsia" w:cs="Times New Roman"/>
          <w:b/>
          <w:i w:val="0"/>
          <w:iCs/>
          <w:color w:val="auto"/>
          <w:kern w:val="2"/>
          <w:sz w:val="24"/>
          <w:szCs w:val="24"/>
          <w:highlight w:val="none"/>
          <w:u w:val="single"/>
          <w:lang w:val="en-US" w:eastAsia="zh-CN" w:bidi="ar-SA"/>
        </w:rPr>
        <w:t>40</w:t>
      </w:r>
      <w:r>
        <w:rPr>
          <w:rFonts w:hint="eastAsia" w:ascii="宋体" w:hAnsi="宋体" w:eastAsia="宋体" w:cs="Times New Roman"/>
          <w:b/>
          <w:i w:val="0"/>
          <w:iCs/>
          <w:color w:val="auto"/>
          <w:kern w:val="2"/>
          <w:sz w:val="24"/>
          <w:szCs w:val="24"/>
          <w:highlight w:val="none"/>
          <w:u w:val="single"/>
          <w:lang w:val="en-US" w:eastAsia="zh-CN" w:bidi="ar-SA"/>
        </w:rPr>
        <w:t>%的预付款；（若在签订合同时，</w:t>
      </w:r>
      <w:r>
        <w:rPr>
          <w:rFonts w:hint="eastAsia" w:cs="Times New Roman"/>
          <w:b/>
          <w:i w:val="0"/>
          <w:iCs/>
          <w:color w:val="auto"/>
          <w:kern w:val="2"/>
          <w:sz w:val="24"/>
          <w:szCs w:val="24"/>
          <w:highlight w:val="none"/>
          <w:u w:val="single"/>
          <w:lang w:val="en-US" w:eastAsia="zh-CN" w:bidi="ar-SA"/>
        </w:rPr>
        <w:t>乙方</w:t>
      </w:r>
      <w:r>
        <w:rPr>
          <w:rFonts w:hint="eastAsia" w:ascii="宋体" w:hAnsi="宋体" w:eastAsia="宋体" w:cs="Times New Roman"/>
          <w:b/>
          <w:i w:val="0"/>
          <w:iCs/>
          <w:color w:val="auto"/>
          <w:kern w:val="2"/>
          <w:sz w:val="24"/>
          <w:szCs w:val="24"/>
          <w:highlight w:val="none"/>
          <w:u w:val="single"/>
          <w:lang w:val="en-US" w:eastAsia="zh-CN" w:bidi="ar-SA"/>
        </w:rPr>
        <w:t>明确表示无需预付款的，</w:t>
      </w:r>
      <w:r>
        <w:rPr>
          <w:rFonts w:hint="eastAsia" w:cs="Times New Roman"/>
          <w:b/>
          <w:i w:val="0"/>
          <w:iCs/>
          <w:color w:val="auto"/>
          <w:kern w:val="2"/>
          <w:sz w:val="24"/>
          <w:szCs w:val="24"/>
          <w:highlight w:val="none"/>
          <w:u w:val="single"/>
          <w:lang w:val="en-US" w:eastAsia="zh-CN" w:bidi="ar-SA"/>
        </w:rPr>
        <w:t>甲方</w:t>
      </w:r>
      <w:r>
        <w:rPr>
          <w:rFonts w:hint="eastAsia" w:ascii="宋体" w:hAnsi="宋体" w:eastAsia="宋体" w:cs="Times New Roman"/>
          <w:b/>
          <w:i w:val="0"/>
          <w:iCs/>
          <w:color w:val="auto"/>
          <w:kern w:val="2"/>
          <w:sz w:val="24"/>
          <w:szCs w:val="24"/>
          <w:highlight w:val="none"/>
          <w:u w:val="single"/>
          <w:lang w:val="en-US" w:eastAsia="zh-CN" w:bidi="ar-SA"/>
        </w:rPr>
        <w:t>可不予支付预付款。预付款支付约定以合同中约定为准。）</w:t>
      </w:r>
    </w:p>
    <w:p w14:paraId="53826A31">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Times New Roman"/>
          <w:b/>
          <w:color w:val="auto"/>
          <w:sz w:val="24"/>
          <w:highlight w:val="none"/>
        </w:rPr>
      </w:pPr>
    </w:p>
    <w:p w14:paraId="54E3F827">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Times New Roman"/>
          <w:b/>
          <w:color w:val="auto"/>
          <w:sz w:val="24"/>
          <w:highlight w:val="none"/>
        </w:rPr>
      </w:pPr>
      <w:r>
        <w:rPr>
          <w:rFonts w:ascii="宋体" w:hAnsi="宋体" w:cs="Times New Roman"/>
          <w:b/>
          <w:color w:val="auto"/>
          <w:sz w:val="24"/>
          <w:highlight w:val="none"/>
        </w:rPr>
        <w:t>1.</w:t>
      </w:r>
      <w:r>
        <w:rPr>
          <w:rFonts w:hint="eastAsia" w:ascii="宋体" w:hAnsi="宋体" w:cs="Times New Roman"/>
          <w:b/>
          <w:color w:val="auto"/>
          <w:sz w:val="24"/>
          <w:highlight w:val="none"/>
          <w:lang w:val="en-US" w:eastAsia="zh-CN"/>
        </w:rPr>
        <w:t>6</w:t>
      </w:r>
      <w:r>
        <w:rPr>
          <w:rFonts w:ascii="宋体" w:hAnsi="宋体" w:cs="Times New Roman"/>
          <w:b/>
          <w:color w:val="auto"/>
          <w:sz w:val="24"/>
          <w:highlight w:val="none"/>
        </w:rPr>
        <w:t xml:space="preserve"> 履行期限</w:t>
      </w:r>
      <w:r>
        <w:rPr>
          <w:rFonts w:hint="eastAsia" w:ascii="宋体" w:hAnsi="宋体" w:cs="Times New Roman"/>
          <w:b/>
          <w:color w:val="auto"/>
          <w:sz w:val="24"/>
          <w:highlight w:val="none"/>
        </w:rPr>
        <w:t>、地点和方式</w:t>
      </w:r>
    </w:p>
    <w:p w14:paraId="04CB13AC">
      <w:pPr>
        <w:keepNext w:val="0"/>
        <w:keepLines w:val="0"/>
        <w:pageBreakBefore w:val="0"/>
        <w:shd w:val="clear"/>
        <w:kinsoku/>
        <w:wordWrap/>
        <w:overflowPunct/>
        <w:topLinePunct w:val="0"/>
        <w:bidi w:val="0"/>
        <w:snapToGrid/>
        <w:spacing w:line="360" w:lineRule="auto"/>
        <w:ind w:firstLine="480" w:firstLineChars="200"/>
        <w:textAlignment w:val="auto"/>
        <w:rPr>
          <w:rFonts w:hint="eastAsia" w:ascii="宋体" w:hAnsi="宋体" w:eastAsia="宋体" w:cs="Times New Roman"/>
          <w:color w:val="auto"/>
          <w:sz w:val="24"/>
          <w:highlight w:val="none"/>
          <w:u w:val="single"/>
          <w:lang w:eastAsia="zh-CN"/>
        </w:rPr>
      </w:pPr>
      <w:r>
        <w:rPr>
          <w:rFonts w:ascii="宋体" w:hAnsi="宋体" w:cs="Times New Roman"/>
          <w:color w:val="auto"/>
          <w:sz w:val="24"/>
          <w:highlight w:val="none"/>
        </w:rPr>
        <w:t>1.</w:t>
      </w:r>
      <w:r>
        <w:rPr>
          <w:rFonts w:hint="eastAsia" w:ascii="宋体" w:hAnsi="宋体" w:cs="Times New Roman"/>
          <w:color w:val="auto"/>
          <w:sz w:val="24"/>
          <w:highlight w:val="none"/>
          <w:lang w:val="en-US" w:eastAsia="zh-CN"/>
        </w:rPr>
        <w:t>6</w:t>
      </w:r>
      <w:r>
        <w:rPr>
          <w:rFonts w:ascii="宋体" w:hAnsi="宋体" w:cs="Times New Roman"/>
          <w:color w:val="auto"/>
          <w:sz w:val="24"/>
          <w:highlight w:val="none"/>
        </w:rPr>
        <w:t xml:space="preserve">.1 </w:t>
      </w:r>
      <w:r>
        <w:rPr>
          <w:rFonts w:hint="eastAsia" w:ascii="宋体" w:hAnsi="宋体" w:cs="Times New Roman"/>
          <w:color w:val="auto"/>
          <w:sz w:val="24"/>
          <w:highlight w:val="none"/>
        </w:rPr>
        <w:t>服务时间</w:t>
      </w:r>
      <w:r>
        <w:rPr>
          <w:rFonts w:ascii="宋体" w:hAnsi="宋体" w:cs="Times New Roman"/>
          <w:color w:val="auto"/>
          <w:sz w:val="24"/>
          <w:highlight w:val="none"/>
        </w:rPr>
        <w:t>：</w:t>
      </w:r>
      <w:r>
        <w:rPr>
          <w:rFonts w:hint="eastAsia" w:ascii="宋体" w:hAnsi="宋体" w:cs="Times New Roman"/>
          <w:b/>
          <w:i w:val="0"/>
          <w:iCs/>
          <w:color w:val="auto"/>
          <w:sz w:val="24"/>
          <w:highlight w:val="none"/>
          <w:u w:val="single"/>
          <w:lang w:val="en-US" w:eastAsia="zh-CN"/>
        </w:rPr>
        <w:t>本项目服务期三年，合同一年一签。根据乙方在合同履约期内按照履约、考核等情况决定是否续签，本次合同的服务期限为2025年 月-2026年 月</w:t>
      </w:r>
      <w:r>
        <w:rPr>
          <w:rFonts w:hint="eastAsia" w:ascii="宋体" w:hAnsi="宋体" w:cs="Times New Roman"/>
          <w:color w:val="auto"/>
          <w:sz w:val="24"/>
          <w:highlight w:val="none"/>
          <w:lang w:val="en-US" w:eastAsia="zh-CN"/>
        </w:rPr>
        <w:t>。</w:t>
      </w:r>
    </w:p>
    <w:p w14:paraId="03D5ED85">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rPr>
      </w:pPr>
      <w:r>
        <w:rPr>
          <w:rFonts w:ascii="宋体" w:hAnsi="宋体" w:cs="Times New Roman"/>
          <w:color w:val="auto"/>
          <w:sz w:val="24"/>
          <w:highlight w:val="none"/>
        </w:rPr>
        <w:t>1.</w:t>
      </w:r>
      <w:r>
        <w:rPr>
          <w:rFonts w:hint="eastAsia" w:ascii="宋体" w:hAnsi="宋体" w:cs="Times New Roman"/>
          <w:color w:val="auto"/>
          <w:sz w:val="24"/>
          <w:highlight w:val="none"/>
          <w:lang w:val="en-US" w:eastAsia="zh-CN"/>
        </w:rPr>
        <w:t>6</w:t>
      </w:r>
      <w:r>
        <w:rPr>
          <w:rFonts w:ascii="宋体" w:hAnsi="宋体" w:cs="Times New Roman"/>
          <w:color w:val="auto"/>
          <w:sz w:val="24"/>
          <w:highlight w:val="none"/>
        </w:rPr>
        <w:t xml:space="preserve">.2 </w:t>
      </w:r>
      <w:r>
        <w:rPr>
          <w:rFonts w:hint="eastAsia" w:ascii="宋体" w:hAnsi="宋体" w:cs="Times New Roman"/>
          <w:color w:val="auto"/>
          <w:sz w:val="24"/>
          <w:highlight w:val="none"/>
        </w:rPr>
        <w:t>服</w:t>
      </w:r>
      <w:r>
        <w:rPr>
          <w:rFonts w:hint="eastAsia" w:ascii="宋体" w:hAnsi="宋体" w:cs="宋体"/>
          <w:color w:val="auto"/>
          <w:sz w:val="24"/>
          <w:highlight w:val="none"/>
        </w:rPr>
        <w:t>务地点：</w:t>
      </w:r>
      <w:r>
        <w:rPr>
          <w:rFonts w:hint="eastAsia" w:ascii="宋体" w:hAnsi="宋体" w:cs="Times New Roman"/>
          <w:b/>
          <w:i w:val="0"/>
          <w:iCs/>
          <w:color w:val="auto"/>
          <w:sz w:val="24"/>
          <w:highlight w:val="none"/>
          <w:u w:val="single"/>
          <w:lang w:val="en-US" w:eastAsia="zh-CN"/>
        </w:rPr>
        <w:t>宁海县西店镇卫生院</w:t>
      </w:r>
      <w:r>
        <w:rPr>
          <w:rFonts w:hint="eastAsia" w:ascii="宋体" w:hAnsi="宋体" w:eastAsia="宋体" w:cs="Times New Roman"/>
          <w:b/>
          <w:i w:val="0"/>
          <w:iCs/>
          <w:color w:val="auto"/>
          <w:sz w:val="24"/>
          <w:highlight w:val="none"/>
          <w:u w:val="single"/>
          <w:lang w:val="en-US" w:eastAsia="zh-CN"/>
        </w:rPr>
        <w:t>；</w:t>
      </w:r>
    </w:p>
    <w:p w14:paraId="3D2CE8A3">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rPr>
      </w:pPr>
      <w:r>
        <w:rPr>
          <w:rFonts w:ascii="宋体" w:hAnsi="宋体" w:cs="Times New Roman"/>
          <w:color w:val="auto"/>
          <w:sz w:val="24"/>
          <w:highlight w:val="none"/>
        </w:rPr>
        <w:t>1.</w:t>
      </w:r>
      <w:r>
        <w:rPr>
          <w:rFonts w:hint="eastAsia" w:ascii="宋体" w:hAnsi="宋体" w:cs="Times New Roman"/>
          <w:color w:val="auto"/>
          <w:sz w:val="24"/>
          <w:highlight w:val="none"/>
          <w:lang w:val="en-US" w:eastAsia="zh-CN"/>
        </w:rPr>
        <w:t>6</w:t>
      </w:r>
      <w:r>
        <w:rPr>
          <w:rFonts w:ascii="宋体" w:hAnsi="宋体" w:cs="Times New Roman"/>
          <w:color w:val="auto"/>
          <w:sz w:val="24"/>
          <w:highlight w:val="none"/>
        </w:rPr>
        <w:t xml:space="preserve">.3 </w:t>
      </w:r>
      <w:r>
        <w:rPr>
          <w:rFonts w:hint="eastAsia" w:ascii="宋体" w:hAnsi="宋体" w:cs="Times New Roman"/>
          <w:color w:val="auto"/>
          <w:sz w:val="24"/>
          <w:highlight w:val="none"/>
        </w:rPr>
        <w:t>服务方式：</w:t>
      </w:r>
      <w:r>
        <w:rPr>
          <w:rFonts w:hint="eastAsia" w:ascii="宋体" w:hAnsi="宋体" w:eastAsia="宋体" w:cs="Times New Roman"/>
          <w:b/>
          <w:i w:val="0"/>
          <w:iCs/>
          <w:color w:val="auto"/>
          <w:sz w:val="24"/>
          <w:highlight w:val="none"/>
          <w:u w:val="single"/>
          <w:lang w:val="en-US" w:eastAsia="zh-CN"/>
        </w:rPr>
        <w:t>甲方指定方式</w:t>
      </w:r>
      <w:r>
        <w:rPr>
          <w:rFonts w:hint="eastAsia" w:ascii="宋体" w:hAnsi="宋体" w:cs="Times New Roman"/>
          <w:color w:val="auto"/>
          <w:sz w:val="24"/>
          <w:highlight w:val="none"/>
        </w:rPr>
        <w:t>。</w:t>
      </w:r>
    </w:p>
    <w:p w14:paraId="07CE745F">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Times New Roman"/>
          <w:color w:val="auto"/>
          <w:sz w:val="24"/>
          <w:highlight w:val="none"/>
          <w:u w:val="single"/>
        </w:rPr>
      </w:pPr>
      <w:r>
        <w:rPr>
          <w:rFonts w:ascii="宋体" w:hAnsi="宋体" w:cs="Times New Roman"/>
          <w:b/>
          <w:color w:val="auto"/>
          <w:sz w:val="24"/>
          <w:highlight w:val="none"/>
        </w:rPr>
        <w:t>1.</w:t>
      </w:r>
      <w:r>
        <w:rPr>
          <w:rFonts w:hint="eastAsia" w:ascii="宋体" w:hAnsi="宋体" w:cs="Times New Roman"/>
          <w:b/>
          <w:color w:val="auto"/>
          <w:sz w:val="24"/>
          <w:highlight w:val="none"/>
          <w:lang w:val="en-US" w:eastAsia="zh-CN"/>
        </w:rPr>
        <w:t>7</w:t>
      </w:r>
      <w:r>
        <w:rPr>
          <w:rFonts w:hint="eastAsia" w:ascii="宋体" w:hAnsi="宋体" w:cs="Times New Roman"/>
          <w:b/>
          <w:color w:val="auto"/>
          <w:sz w:val="24"/>
          <w:highlight w:val="none"/>
        </w:rPr>
        <w:t>违约责任</w:t>
      </w:r>
    </w:p>
    <w:p w14:paraId="5156681F">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rPr>
      </w:pPr>
      <w:r>
        <w:rPr>
          <w:rFonts w:ascii="宋体" w:hAnsi="宋体" w:cs="Times New Roman"/>
          <w:color w:val="auto"/>
          <w:sz w:val="24"/>
          <w:highlight w:val="none"/>
        </w:rPr>
        <w:t>1.</w:t>
      </w:r>
      <w:r>
        <w:rPr>
          <w:rFonts w:hint="eastAsia" w:ascii="宋体" w:hAnsi="宋体" w:cs="Times New Roman"/>
          <w:color w:val="auto"/>
          <w:sz w:val="24"/>
          <w:highlight w:val="none"/>
          <w:lang w:val="en-US" w:eastAsia="zh-CN"/>
        </w:rPr>
        <w:t>7</w:t>
      </w:r>
      <w:r>
        <w:rPr>
          <w:rFonts w:ascii="宋体" w:hAnsi="宋体" w:cs="Times New Roman"/>
          <w:color w:val="auto"/>
          <w:sz w:val="24"/>
          <w:highlight w:val="none"/>
        </w:rPr>
        <w:t>.1 除不可抗力外，如果乙方没有按照本合同约定的期限</w:t>
      </w:r>
      <w:r>
        <w:rPr>
          <w:rFonts w:hint="eastAsia" w:ascii="宋体" w:hAnsi="宋体" w:cs="Times New Roman"/>
          <w:color w:val="auto"/>
          <w:sz w:val="24"/>
          <w:highlight w:val="none"/>
        </w:rPr>
        <w:t>、</w:t>
      </w:r>
      <w:r>
        <w:rPr>
          <w:rFonts w:ascii="宋体" w:hAnsi="宋体" w:cs="Times New Roman"/>
          <w:color w:val="auto"/>
          <w:sz w:val="24"/>
          <w:highlight w:val="none"/>
        </w:rPr>
        <w:t>地点和方式</w:t>
      </w:r>
      <w:r>
        <w:rPr>
          <w:rFonts w:hint="eastAsia" w:ascii="宋体" w:hAnsi="宋体" w:cs="Times New Roman"/>
          <w:color w:val="auto"/>
          <w:sz w:val="24"/>
          <w:highlight w:val="none"/>
        </w:rPr>
        <w:t>交付服务成果或者实施服务</w:t>
      </w:r>
      <w:r>
        <w:rPr>
          <w:rFonts w:ascii="宋体" w:hAnsi="宋体" w:cs="Times New Roman"/>
          <w:color w:val="auto"/>
          <w:sz w:val="24"/>
          <w:highlight w:val="none"/>
        </w:rPr>
        <w:t>，那么甲方可要求乙方支付违约金</w:t>
      </w:r>
      <w:r>
        <w:rPr>
          <w:rFonts w:hint="eastAsia" w:ascii="宋体" w:hAnsi="宋体" w:cs="Times New Roman"/>
          <w:color w:val="auto"/>
          <w:sz w:val="24"/>
          <w:highlight w:val="none"/>
        </w:rPr>
        <w:t>，迟延履行</w:t>
      </w:r>
      <w:r>
        <w:rPr>
          <w:rFonts w:ascii="宋体" w:hAnsi="宋体" w:cs="Times New Roman"/>
          <w:color w:val="auto"/>
          <w:sz w:val="24"/>
          <w:highlight w:val="none"/>
        </w:rPr>
        <w:t>违约金按每迟延</w:t>
      </w:r>
      <w:r>
        <w:rPr>
          <w:rFonts w:hint="eastAsia" w:ascii="宋体" w:hAnsi="宋体" w:cs="Times New Roman"/>
          <w:color w:val="auto"/>
          <w:sz w:val="24"/>
          <w:highlight w:val="none"/>
        </w:rPr>
        <w:t>履行</w:t>
      </w:r>
      <w:r>
        <w:rPr>
          <w:rFonts w:ascii="宋体" w:hAnsi="宋体" w:cs="Times New Roman"/>
          <w:color w:val="auto"/>
          <w:sz w:val="24"/>
          <w:highlight w:val="none"/>
        </w:rPr>
        <w:t>一日的应提供而未</w:t>
      </w:r>
      <w:r>
        <w:rPr>
          <w:rFonts w:hint="eastAsia" w:ascii="宋体" w:hAnsi="宋体" w:cs="Times New Roman"/>
          <w:color w:val="auto"/>
          <w:sz w:val="24"/>
          <w:highlight w:val="none"/>
        </w:rPr>
        <w:t>提供</w:t>
      </w:r>
      <w:r>
        <w:rPr>
          <w:rFonts w:ascii="宋体" w:hAnsi="宋体" w:cs="Times New Roman"/>
          <w:color w:val="auto"/>
          <w:sz w:val="24"/>
          <w:highlight w:val="none"/>
        </w:rPr>
        <w:t>服务价格的</w:t>
      </w:r>
      <w:r>
        <w:rPr>
          <w:rFonts w:hint="eastAsia" w:ascii="宋体" w:hAnsi="宋体" w:cs="Times New Roman"/>
          <w:color w:val="auto"/>
          <w:sz w:val="24"/>
          <w:highlight w:val="none"/>
          <w:u w:val="single"/>
        </w:rPr>
        <w:t>0.05</w:t>
      </w:r>
      <w:r>
        <w:rPr>
          <w:rFonts w:ascii="宋体" w:hAnsi="宋体" w:cs="Times New Roman"/>
          <w:color w:val="auto"/>
          <w:sz w:val="24"/>
          <w:highlight w:val="none"/>
          <w:u w:val="single"/>
        </w:rPr>
        <w:t xml:space="preserve"> </w:t>
      </w:r>
      <w:r>
        <w:rPr>
          <w:rFonts w:ascii="宋体" w:hAnsi="宋体" w:cs="Times New Roman"/>
          <w:color w:val="auto"/>
          <w:sz w:val="24"/>
          <w:highlight w:val="none"/>
        </w:rPr>
        <w:t>%计算</w:t>
      </w:r>
      <w:r>
        <w:rPr>
          <w:rFonts w:hint="eastAsia" w:ascii="宋体" w:hAnsi="宋体" w:cs="Times New Roman"/>
          <w:color w:val="auto"/>
          <w:sz w:val="24"/>
          <w:highlight w:val="none"/>
        </w:rPr>
        <w:t>，</w:t>
      </w:r>
      <w:r>
        <w:rPr>
          <w:rFonts w:ascii="宋体" w:hAnsi="宋体" w:cs="Times New Roman"/>
          <w:color w:val="auto"/>
          <w:sz w:val="24"/>
          <w:highlight w:val="none"/>
        </w:rPr>
        <w:t>最高限额为</w:t>
      </w:r>
      <w:r>
        <w:rPr>
          <w:rFonts w:hint="eastAsia" w:ascii="宋体" w:hAnsi="宋体" w:cs="Times New Roman"/>
          <w:color w:val="auto"/>
          <w:sz w:val="24"/>
          <w:highlight w:val="none"/>
        </w:rPr>
        <w:t>本</w:t>
      </w:r>
      <w:r>
        <w:rPr>
          <w:rFonts w:ascii="宋体" w:hAnsi="宋体" w:cs="Times New Roman"/>
          <w:color w:val="auto"/>
          <w:sz w:val="24"/>
          <w:highlight w:val="none"/>
        </w:rPr>
        <w:t>合同总价的</w:t>
      </w:r>
      <w:r>
        <w:rPr>
          <w:rFonts w:ascii="宋体" w:hAnsi="宋体" w:cs="Times New Roman"/>
          <w:color w:val="auto"/>
          <w:sz w:val="24"/>
          <w:highlight w:val="none"/>
          <w:u w:val="single"/>
        </w:rPr>
        <w:t xml:space="preserve">  20   </w:t>
      </w:r>
      <w:r>
        <w:rPr>
          <w:rFonts w:ascii="宋体" w:hAnsi="宋体" w:cs="Times New Roman"/>
          <w:color w:val="auto"/>
          <w:sz w:val="24"/>
          <w:highlight w:val="none"/>
        </w:rPr>
        <w:t>%</w:t>
      </w:r>
      <w:r>
        <w:rPr>
          <w:rFonts w:hint="eastAsia" w:ascii="宋体" w:hAnsi="宋体" w:cs="Times New Roman"/>
          <w:color w:val="auto"/>
          <w:sz w:val="24"/>
          <w:highlight w:val="none"/>
        </w:rPr>
        <w:t>；</w:t>
      </w:r>
      <w:r>
        <w:rPr>
          <w:rFonts w:ascii="宋体" w:hAnsi="宋体" w:cs="Times New Roman"/>
          <w:color w:val="auto"/>
          <w:sz w:val="24"/>
          <w:highlight w:val="none"/>
        </w:rPr>
        <w:t>迟延</w:t>
      </w:r>
      <w:r>
        <w:rPr>
          <w:rFonts w:hint="eastAsia" w:ascii="宋体" w:hAnsi="宋体" w:cs="Times New Roman"/>
          <w:color w:val="auto"/>
          <w:sz w:val="24"/>
          <w:highlight w:val="none"/>
        </w:rPr>
        <w:t>履行</w:t>
      </w:r>
      <w:r>
        <w:rPr>
          <w:rFonts w:ascii="宋体" w:hAnsi="宋体" w:cs="Times New Roman"/>
          <w:color w:val="auto"/>
          <w:sz w:val="24"/>
          <w:highlight w:val="none"/>
        </w:rPr>
        <w:t>的违约金计算数额达到前述最高限额之日起</w:t>
      </w:r>
      <w:r>
        <w:rPr>
          <w:rFonts w:hint="eastAsia" w:ascii="宋体" w:hAnsi="宋体" w:cs="Times New Roman"/>
          <w:color w:val="auto"/>
          <w:sz w:val="24"/>
          <w:highlight w:val="none"/>
        </w:rPr>
        <w:t>，</w:t>
      </w:r>
      <w:r>
        <w:rPr>
          <w:rFonts w:ascii="宋体" w:hAnsi="宋体" w:cs="Times New Roman"/>
          <w:color w:val="auto"/>
          <w:sz w:val="24"/>
          <w:highlight w:val="none"/>
        </w:rPr>
        <w:t>甲方有权在要求乙方支付违约金的同时</w:t>
      </w:r>
      <w:r>
        <w:rPr>
          <w:rFonts w:hint="eastAsia" w:ascii="宋体" w:hAnsi="宋体" w:cs="Times New Roman"/>
          <w:color w:val="auto"/>
          <w:sz w:val="24"/>
          <w:highlight w:val="none"/>
        </w:rPr>
        <w:t>，书面通知乙方</w:t>
      </w:r>
      <w:r>
        <w:rPr>
          <w:rFonts w:ascii="宋体" w:hAnsi="宋体" w:cs="Times New Roman"/>
          <w:color w:val="auto"/>
          <w:sz w:val="24"/>
          <w:highlight w:val="none"/>
        </w:rPr>
        <w:t>解除本合同</w:t>
      </w:r>
      <w:r>
        <w:rPr>
          <w:rFonts w:hint="eastAsia" w:ascii="宋体" w:hAnsi="宋体" w:cs="Times New Roman"/>
          <w:color w:val="auto"/>
          <w:sz w:val="24"/>
          <w:highlight w:val="none"/>
        </w:rPr>
        <w:t>；</w:t>
      </w:r>
    </w:p>
    <w:p w14:paraId="38D045A0">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Times New Roman"/>
          <w:color w:val="auto"/>
          <w:sz w:val="24"/>
          <w:highlight w:val="none"/>
        </w:rPr>
      </w:pPr>
      <w:r>
        <w:rPr>
          <w:rFonts w:ascii="宋体" w:hAnsi="宋体" w:cs="Times New Roman"/>
          <w:color w:val="auto"/>
          <w:sz w:val="24"/>
          <w:highlight w:val="none"/>
        </w:rPr>
        <w:t>1.</w:t>
      </w:r>
      <w:r>
        <w:rPr>
          <w:rFonts w:hint="eastAsia" w:ascii="宋体" w:hAnsi="宋体" w:cs="Times New Roman"/>
          <w:color w:val="auto"/>
          <w:sz w:val="24"/>
          <w:highlight w:val="none"/>
          <w:lang w:val="en-US" w:eastAsia="zh-CN"/>
        </w:rPr>
        <w:t>7</w:t>
      </w:r>
      <w:r>
        <w:rPr>
          <w:rFonts w:ascii="宋体" w:hAnsi="宋体" w:cs="Times New Roman"/>
          <w:color w:val="auto"/>
          <w:sz w:val="24"/>
          <w:highlight w:val="none"/>
        </w:rPr>
        <w:t>.</w:t>
      </w:r>
      <w:r>
        <w:rPr>
          <w:rFonts w:hint="eastAsia" w:ascii="宋体" w:hAnsi="宋体" w:cs="Times New Roman"/>
          <w:color w:val="auto"/>
          <w:sz w:val="24"/>
          <w:highlight w:val="none"/>
          <w:lang w:val="en-US" w:eastAsia="zh-CN"/>
        </w:rPr>
        <w:t>2</w:t>
      </w:r>
      <w:r>
        <w:rPr>
          <w:rFonts w:hint="eastAsia" w:ascii="宋体" w:hAnsi="宋体" w:cs="宋体"/>
          <w:color w:val="auto"/>
          <w:sz w:val="24"/>
          <w:highlight w:val="none"/>
        </w:rPr>
        <w:t>除不可抗力外，如果甲方没有按照本合同约定的付款方式付款，那么乙方可</w:t>
      </w:r>
      <w:r>
        <w:rPr>
          <w:rFonts w:hint="eastAsia" w:ascii="宋体" w:hAnsi="宋体" w:eastAsia="宋体" w:cs="Times New Roman"/>
          <w:color w:val="auto"/>
          <w:sz w:val="24"/>
          <w:highlight w:val="none"/>
        </w:rPr>
        <w:t>要求</w:t>
      </w:r>
      <w:r>
        <w:rPr>
          <w:rFonts w:hint="eastAsia" w:ascii="宋体" w:hAnsi="宋体" w:cs="宋体"/>
          <w:color w:val="auto"/>
          <w:sz w:val="24"/>
          <w:highlight w:val="none"/>
        </w:rPr>
        <w:t>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s="Times New Roman"/>
          <w:color w:val="auto"/>
          <w:sz w:val="24"/>
          <w:highlight w:val="none"/>
        </w:rPr>
        <w:t>；</w:t>
      </w:r>
    </w:p>
    <w:p w14:paraId="60B93B8B">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D64A0B">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8C6E77A">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5E3C1C9A">
      <w:pPr>
        <w:keepNext w:val="0"/>
        <w:keepLines w:val="0"/>
        <w:pageBreakBefore w:val="0"/>
        <w:shd w:val="clear"/>
        <w:kinsoku/>
        <w:wordWrap/>
        <w:overflowPunct/>
        <w:topLinePunct w:val="0"/>
        <w:bidi w:val="0"/>
        <w:snapToGrid/>
        <w:spacing w:line="360" w:lineRule="auto"/>
        <w:ind w:right="-420" w:rightChars="-200" w:firstLine="480" w:firstLineChars="200"/>
        <w:textAlignment w:val="auto"/>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.7违约责任另有约定的，从其约定。</w:t>
      </w:r>
    </w:p>
    <w:p w14:paraId="67DF016B">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合同争议的解决</w:t>
      </w:r>
    </w:p>
    <w:p w14:paraId="4C22E927">
      <w:pPr>
        <w:keepNext w:val="0"/>
        <w:keepLines w:val="0"/>
        <w:pageBreakBefore w:val="0"/>
        <w:shd w:val="clear"/>
        <w:kinsoku/>
        <w:wordWrap/>
        <w:overflowPunct/>
        <w:topLinePunct w:val="0"/>
        <w:bidi w:val="0"/>
        <w:snapToGrid/>
        <w:spacing w:line="360" w:lineRule="auto"/>
        <w:ind w:left="-61" w:leftChars="-29" w:right="-420" w:rightChars="-200" w:firstLine="240" w:firstLineChars="1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本合同履行过程中发生的任何争议，双方当事人均可通过和解或者调解解决；不愿和解、调解或者和解、调解不成的，可以向</w:t>
      </w:r>
      <w:r>
        <w:rPr>
          <w:rFonts w:hint="eastAsia" w:ascii="宋体" w:hAnsi="宋体" w:cs="宋体"/>
          <w:color w:val="auto"/>
          <w:sz w:val="24"/>
          <w:highlight w:val="none"/>
          <w:lang w:val="en-US" w:eastAsia="zh-CN"/>
        </w:rPr>
        <w:t>宁海县</w:t>
      </w:r>
      <w:r>
        <w:rPr>
          <w:rFonts w:hint="eastAsia" w:ascii="宋体" w:hAnsi="宋体" w:cs="宋体"/>
          <w:color w:val="auto"/>
          <w:sz w:val="24"/>
          <w:highlight w:val="none"/>
        </w:rPr>
        <w:t>人民法院起诉</w:t>
      </w:r>
      <w:r>
        <w:rPr>
          <w:rFonts w:hint="eastAsia" w:ascii="宋体" w:hAnsi="宋体" w:cs="宋体"/>
          <w:color w:val="auto"/>
          <w:sz w:val="24"/>
          <w:highlight w:val="none"/>
          <w:lang w:eastAsia="zh-CN"/>
        </w:rPr>
        <w:t>。</w:t>
      </w:r>
    </w:p>
    <w:p w14:paraId="575D9FD2">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 xml:space="preserve"> 合同生效</w:t>
      </w:r>
    </w:p>
    <w:p w14:paraId="13433227">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56ED737">
      <w:pPr>
        <w:keepNext w:val="0"/>
        <w:keepLines w:val="0"/>
        <w:pageBreakBefore w:val="0"/>
        <w:shd w:val="clear"/>
        <w:kinsoku/>
        <w:wordWrap/>
        <w:overflowPunct/>
        <w:topLinePunct w:val="0"/>
        <w:autoSpaceDE w:val="0"/>
        <w:autoSpaceDN w:val="0"/>
        <w:bidi w:val="0"/>
        <w:snapToGrid/>
        <w:spacing w:line="360" w:lineRule="auto"/>
        <w:textAlignment w:val="auto"/>
        <w:rPr>
          <w:rFonts w:hint="eastAsia" w:ascii="宋体" w:hAnsi="宋体" w:cs="Times New Roman"/>
          <w:b/>
          <w:color w:val="auto"/>
          <w:sz w:val="24"/>
          <w:highlight w:val="none"/>
          <w:lang w:val="zh-CN"/>
        </w:rPr>
      </w:pPr>
    </w:p>
    <w:p w14:paraId="4DC2A7D7">
      <w:pPr>
        <w:keepNext w:val="0"/>
        <w:keepLines w:val="0"/>
        <w:pageBreakBefore w:val="0"/>
        <w:shd w:val="clear"/>
        <w:kinsoku/>
        <w:wordWrap/>
        <w:overflowPunct/>
        <w:topLinePunct w:val="0"/>
        <w:autoSpaceDE w:val="0"/>
        <w:autoSpaceDN w:val="0"/>
        <w:bidi w:val="0"/>
        <w:snapToGrid/>
        <w:spacing w:line="360" w:lineRule="auto"/>
        <w:ind w:firstLine="482" w:firstLineChars="200"/>
        <w:textAlignment w:val="auto"/>
        <w:rPr>
          <w:rFonts w:ascii="宋体" w:hAnsi="宋体" w:cs="Times New Roman"/>
          <w:color w:val="auto"/>
          <w:sz w:val="24"/>
          <w:highlight w:val="none"/>
          <w:lang w:val="zh-CN"/>
        </w:rPr>
      </w:pPr>
      <w:r>
        <w:rPr>
          <w:rFonts w:hint="eastAsia" w:ascii="宋体" w:hAnsi="宋体" w:cs="Times New Roman"/>
          <w:b/>
          <w:color w:val="auto"/>
          <w:sz w:val="24"/>
          <w:highlight w:val="none"/>
          <w:lang w:val="zh-CN"/>
        </w:rPr>
        <w:t>甲方</w:t>
      </w:r>
      <w:r>
        <w:rPr>
          <w:rFonts w:hint="eastAsia" w:ascii="宋体" w:hAnsi="宋体" w:cs="Times New Roman"/>
          <w:color w:val="auto"/>
          <w:sz w:val="24"/>
          <w:highlight w:val="none"/>
          <w:lang w:val="zh-CN"/>
        </w:rPr>
        <w:t>：</w:t>
      </w:r>
      <w:r>
        <w:rPr>
          <w:rFonts w:ascii="宋体" w:hAnsi="宋体" w:cs="Times New Roman"/>
          <w:color w:val="auto"/>
          <w:sz w:val="24"/>
          <w:highlight w:val="none"/>
          <w:lang w:val="zh-CN"/>
        </w:rPr>
        <w:t xml:space="preserve">                             </w:t>
      </w:r>
      <w:r>
        <w:rPr>
          <w:rFonts w:ascii="宋体" w:hAnsi="宋体" w:cs="Times New Roman"/>
          <w:b/>
          <w:color w:val="auto"/>
          <w:sz w:val="24"/>
          <w:highlight w:val="none"/>
          <w:lang w:val="zh-CN"/>
        </w:rPr>
        <w:t xml:space="preserve">      乙方</w:t>
      </w:r>
      <w:r>
        <w:rPr>
          <w:rFonts w:hint="eastAsia" w:ascii="宋体" w:hAnsi="宋体" w:cs="Times New Roman"/>
          <w:color w:val="auto"/>
          <w:sz w:val="24"/>
          <w:highlight w:val="none"/>
          <w:lang w:val="zh-CN"/>
        </w:rPr>
        <w:t>：</w:t>
      </w:r>
    </w:p>
    <w:p w14:paraId="24F92A33">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s="Times New Roman"/>
          <w:color w:val="auto"/>
          <w:sz w:val="24"/>
          <w:highlight w:val="none"/>
          <w:lang w:val="zh-CN"/>
        </w:rPr>
      </w:pPr>
      <w:r>
        <w:rPr>
          <w:rFonts w:hint="eastAsia" w:ascii="宋体" w:hAnsi="宋体" w:cs="Times New Roman"/>
          <w:color w:val="auto"/>
          <w:sz w:val="24"/>
          <w:highlight w:val="none"/>
          <w:lang w:val="zh-CN"/>
        </w:rPr>
        <w:t>统一社会信用代码：</w:t>
      </w:r>
      <w:r>
        <w:rPr>
          <w:rFonts w:ascii="宋体" w:hAnsi="宋体" w:cs="Times New Roman"/>
          <w:color w:val="auto"/>
          <w:sz w:val="24"/>
          <w:highlight w:val="none"/>
          <w:lang w:val="zh-CN"/>
        </w:rPr>
        <w:t xml:space="preserve">                       </w:t>
      </w:r>
      <w:r>
        <w:rPr>
          <w:rFonts w:hint="eastAsia" w:ascii="宋体" w:hAnsi="宋体" w:cs="Times New Roman"/>
          <w:color w:val="auto"/>
          <w:sz w:val="24"/>
          <w:highlight w:val="none"/>
          <w:lang w:val="zh-CN"/>
        </w:rPr>
        <w:t>统一社会信用代码或身份证号码：</w:t>
      </w:r>
    </w:p>
    <w:p w14:paraId="089716C1">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s="Times New Roman"/>
          <w:color w:val="auto"/>
          <w:sz w:val="24"/>
          <w:highlight w:val="none"/>
          <w:lang w:val="zh-CN"/>
        </w:rPr>
      </w:pPr>
      <w:r>
        <w:rPr>
          <w:rFonts w:hint="eastAsia" w:ascii="宋体" w:hAnsi="宋体" w:cs="Times New Roman"/>
          <w:color w:val="auto"/>
          <w:sz w:val="24"/>
          <w:highlight w:val="none"/>
          <w:lang w:val="zh-CN"/>
        </w:rPr>
        <w:t>住所：</w:t>
      </w:r>
      <w:r>
        <w:rPr>
          <w:rFonts w:ascii="宋体" w:hAnsi="宋体" w:cs="Times New Roman"/>
          <w:color w:val="auto"/>
          <w:sz w:val="24"/>
          <w:highlight w:val="none"/>
          <w:lang w:val="zh-CN"/>
        </w:rPr>
        <w:t xml:space="preserve">                                   </w:t>
      </w:r>
      <w:r>
        <w:rPr>
          <w:rFonts w:hint="eastAsia" w:ascii="宋体" w:hAnsi="宋体" w:cs="Times New Roman"/>
          <w:color w:val="auto"/>
          <w:sz w:val="24"/>
          <w:highlight w:val="none"/>
          <w:lang w:val="zh-CN"/>
        </w:rPr>
        <w:t>住所：</w:t>
      </w:r>
    </w:p>
    <w:p w14:paraId="17F5054D">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s="Times New Roman"/>
          <w:color w:val="auto"/>
          <w:sz w:val="24"/>
          <w:highlight w:val="none"/>
          <w:lang w:val="zh-CN"/>
        </w:rPr>
      </w:pPr>
      <w:r>
        <w:rPr>
          <w:rFonts w:hint="eastAsia" w:ascii="宋体" w:hAnsi="宋体" w:cs="Times New Roman"/>
          <w:color w:val="auto"/>
          <w:sz w:val="24"/>
          <w:highlight w:val="none"/>
          <w:lang w:val="zh-CN"/>
        </w:rPr>
        <w:t>法定代表人或</w:t>
      </w:r>
      <w:r>
        <w:rPr>
          <w:rFonts w:ascii="宋体" w:hAnsi="宋体" w:cs="Times New Roman"/>
          <w:color w:val="auto"/>
          <w:sz w:val="24"/>
          <w:highlight w:val="none"/>
          <w:lang w:val="zh-CN"/>
        </w:rPr>
        <w:t xml:space="preserve">                             </w:t>
      </w:r>
      <w:r>
        <w:rPr>
          <w:rFonts w:hint="eastAsia" w:ascii="宋体" w:hAnsi="宋体" w:cs="Times New Roman"/>
          <w:color w:val="auto"/>
          <w:sz w:val="24"/>
          <w:highlight w:val="none"/>
          <w:lang w:val="zh-CN"/>
        </w:rPr>
        <w:t>法定代表人或</w:t>
      </w:r>
    </w:p>
    <w:p w14:paraId="5C1D6471">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s="Times New Roman"/>
          <w:color w:val="auto"/>
          <w:sz w:val="24"/>
          <w:highlight w:val="none"/>
          <w:lang w:val="zh-CN"/>
        </w:rPr>
      </w:pPr>
      <w:r>
        <w:rPr>
          <w:rFonts w:hint="eastAsia" w:ascii="宋体" w:hAnsi="宋体" w:cs="Times New Roman"/>
          <w:color w:val="auto"/>
          <w:sz w:val="24"/>
          <w:highlight w:val="none"/>
          <w:lang w:val="zh-CN"/>
        </w:rPr>
        <w:t>授权代表（签字）：</w:t>
      </w:r>
      <w:r>
        <w:rPr>
          <w:rFonts w:ascii="宋体" w:hAnsi="宋体" w:cs="Times New Roman"/>
          <w:color w:val="auto"/>
          <w:sz w:val="24"/>
          <w:highlight w:val="none"/>
          <w:lang w:val="zh-CN"/>
        </w:rPr>
        <w:t xml:space="preserve">                       授权代表（签字）: </w:t>
      </w:r>
    </w:p>
    <w:p w14:paraId="005312E1">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s="Times New Roman"/>
          <w:color w:val="auto"/>
          <w:sz w:val="24"/>
          <w:highlight w:val="none"/>
          <w:lang w:val="zh-CN"/>
        </w:rPr>
      </w:pPr>
      <w:r>
        <w:rPr>
          <w:rFonts w:hint="eastAsia" w:ascii="宋体" w:hAnsi="宋体" w:cs="Times New Roman"/>
          <w:color w:val="auto"/>
          <w:sz w:val="24"/>
          <w:highlight w:val="none"/>
          <w:lang w:val="zh-CN"/>
        </w:rPr>
        <w:t>联系人：</w:t>
      </w:r>
      <w:r>
        <w:rPr>
          <w:rFonts w:ascii="宋体" w:hAnsi="宋体" w:cs="Times New Roman"/>
          <w:color w:val="auto"/>
          <w:sz w:val="24"/>
          <w:highlight w:val="none"/>
          <w:lang w:val="zh-CN"/>
        </w:rPr>
        <w:t xml:space="preserve">                                 </w:t>
      </w:r>
      <w:r>
        <w:rPr>
          <w:rFonts w:hint="eastAsia" w:ascii="宋体" w:hAnsi="宋体" w:cs="Times New Roman"/>
          <w:color w:val="auto"/>
          <w:sz w:val="24"/>
          <w:highlight w:val="none"/>
          <w:lang w:val="zh-CN"/>
        </w:rPr>
        <w:t>联系人：</w:t>
      </w:r>
    </w:p>
    <w:p w14:paraId="010DF7DF">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s="Times New Roman"/>
          <w:color w:val="auto"/>
          <w:sz w:val="24"/>
          <w:highlight w:val="none"/>
          <w:lang w:val="zh-CN"/>
        </w:rPr>
      </w:pPr>
      <w:r>
        <w:rPr>
          <w:rFonts w:hint="eastAsia" w:ascii="宋体" w:hAnsi="宋体" w:cs="Times New Roman"/>
          <w:color w:val="auto"/>
          <w:sz w:val="24"/>
          <w:highlight w:val="none"/>
          <w:lang w:val="zh-CN"/>
        </w:rPr>
        <w:t>约定送达地址：</w:t>
      </w:r>
      <w:r>
        <w:rPr>
          <w:rFonts w:ascii="宋体" w:hAnsi="宋体" w:cs="Times New Roman"/>
          <w:color w:val="auto"/>
          <w:sz w:val="24"/>
          <w:highlight w:val="none"/>
          <w:lang w:val="zh-CN"/>
        </w:rPr>
        <w:t xml:space="preserve">                           </w:t>
      </w:r>
      <w:r>
        <w:rPr>
          <w:rFonts w:hint="eastAsia" w:ascii="宋体" w:hAnsi="宋体" w:cs="Times New Roman"/>
          <w:color w:val="auto"/>
          <w:sz w:val="24"/>
          <w:highlight w:val="none"/>
          <w:lang w:val="zh-CN"/>
        </w:rPr>
        <w:t>约定送达地址：</w:t>
      </w:r>
    </w:p>
    <w:p w14:paraId="7A104BCF">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s="Times New Roman"/>
          <w:color w:val="auto"/>
          <w:sz w:val="24"/>
          <w:highlight w:val="none"/>
          <w:lang w:val="zh-CN"/>
        </w:rPr>
      </w:pPr>
      <w:r>
        <w:rPr>
          <w:rFonts w:hint="eastAsia" w:ascii="宋体" w:hAnsi="宋体" w:cs="Times New Roman"/>
          <w:color w:val="auto"/>
          <w:sz w:val="24"/>
          <w:highlight w:val="none"/>
          <w:lang w:val="zh-CN"/>
        </w:rPr>
        <w:t>邮政编码：</w:t>
      </w:r>
      <w:r>
        <w:rPr>
          <w:rFonts w:ascii="宋体" w:hAnsi="宋体" w:cs="Times New Roman"/>
          <w:color w:val="auto"/>
          <w:sz w:val="24"/>
          <w:highlight w:val="none"/>
          <w:lang w:val="zh-CN"/>
        </w:rPr>
        <w:t xml:space="preserve">                               </w:t>
      </w:r>
      <w:r>
        <w:rPr>
          <w:rFonts w:hint="eastAsia" w:ascii="宋体" w:hAnsi="宋体" w:cs="Times New Roman"/>
          <w:color w:val="auto"/>
          <w:sz w:val="24"/>
          <w:highlight w:val="none"/>
          <w:lang w:val="zh-CN"/>
        </w:rPr>
        <w:t>邮政编码：</w:t>
      </w:r>
    </w:p>
    <w:p w14:paraId="72CE072B">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s="Times New Roman"/>
          <w:color w:val="auto"/>
          <w:sz w:val="24"/>
          <w:highlight w:val="none"/>
          <w:lang w:val="zh-CN"/>
        </w:rPr>
      </w:pPr>
      <w:r>
        <w:rPr>
          <w:rFonts w:hint="eastAsia" w:ascii="宋体" w:hAnsi="宋体" w:cs="Times New Roman"/>
          <w:color w:val="auto"/>
          <w:sz w:val="24"/>
          <w:highlight w:val="none"/>
          <w:lang w:val="zh-CN"/>
        </w:rPr>
        <w:t>电话</w:t>
      </w:r>
      <w:r>
        <w:rPr>
          <w:rFonts w:ascii="宋体" w:hAnsi="宋体" w:cs="Times New Roman"/>
          <w:color w:val="auto"/>
          <w:sz w:val="24"/>
          <w:highlight w:val="none"/>
          <w:lang w:val="zh-CN"/>
        </w:rPr>
        <w:t xml:space="preserve">:                                    电话: </w:t>
      </w:r>
    </w:p>
    <w:p w14:paraId="32A4B0D4">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s="Times New Roman"/>
          <w:color w:val="auto"/>
          <w:sz w:val="24"/>
          <w:highlight w:val="none"/>
          <w:lang w:val="zh-CN"/>
        </w:rPr>
      </w:pPr>
      <w:r>
        <w:rPr>
          <w:rFonts w:hint="eastAsia" w:ascii="宋体" w:hAnsi="宋体" w:cs="Times New Roman"/>
          <w:color w:val="auto"/>
          <w:sz w:val="24"/>
          <w:highlight w:val="none"/>
          <w:lang w:val="zh-CN"/>
        </w:rPr>
        <w:t>传真</w:t>
      </w:r>
      <w:r>
        <w:rPr>
          <w:rFonts w:ascii="宋体" w:hAnsi="宋体" w:cs="Times New Roman"/>
          <w:color w:val="auto"/>
          <w:sz w:val="24"/>
          <w:highlight w:val="none"/>
          <w:lang w:val="zh-CN"/>
        </w:rPr>
        <w:t xml:space="preserve">:                                    </w:t>
      </w:r>
      <w:r>
        <w:rPr>
          <w:rFonts w:hint="eastAsia" w:ascii="宋体" w:hAnsi="宋体" w:cs="Times New Roman"/>
          <w:color w:val="auto"/>
          <w:sz w:val="24"/>
          <w:highlight w:val="none"/>
          <w:lang w:val="zh-CN"/>
        </w:rPr>
        <w:t>传真</w:t>
      </w:r>
      <w:r>
        <w:rPr>
          <w:rFonts w:ascii="宋体" w:hAnsi="宋体" w:cs="Times New Roman"/>
          <w:color w:val="auto"/>
          <w:sz w:val="24"/>
          <w:highlight w:val="none"/>
          <w:lang w:val="zh-CN"/>
        </w:rPr>
        <w:t>:</w:t>
      </w:r>
    </w:p>
    <w:p w14:paraId="54F29286">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s="Times New Roman"/>
          <w:color w:val="auto"/>
          <w:sz w:val="24"/>
          <w:highlight w:val="none"/>
        </w:rPr>
      </w:pPr>
      <w:r>
        <w:rPr>
          <w:rFonts w:hint="eastAsia" w:ascii="宋体" w:hAnsi="宋体" w:cs="Times New Roman"/>
          <w:color w:val="auto"/>
          <w:sz w:val="24"/>
          <w:highlight w:val="none"/>
          <w:lang w:val="zh-CN"/>
        </w:rPr>
        <w:t>电子邮箱：</w:t>
      </w:r>
      <w:r>
        <w:rPr>
          <w:rFonts w:ascii="宋体" w:hAnsi="宋体" w:cs="Times New Roman"/>
          <w:color w:val="auto"/>
          <w:sz w:val="24"/>
          <w:highlight w:val="none"/>
          <w:lang w:val="zh-CN"/>
        </w:rPr>
        <w:t xml:space="preserve">                               </w:t>
      </w:r>
      <w:r>
        <w:rPr>
          <w:rFonts w:hint="eastAsia" w:ascii="宋体" w:hAnsi="宋体" w:cs="Times New Roman"/>
          <w:color w:val="auto"/>
          <w:sz w:val="24"/>
          <w:highlight w:val="none"/>
          <w:lang w:val="zh-CN"/>
        </w:rPr>
        <w:t>电子邮箱：</w:t>
      </w:r>
    </w:p>
    <w:p w14:paraId="0A3B45E9">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s="Times New Roman"/>
          <w:color w:val="auto"/>
          <w:sz w:val="24"/>
          <w:highlight w:val="none"/>
        </w:rPr>
      </w:pPr>
      <w:r>
        <w:rPr>
          <w:rFonts w:hint="eastAsia" w:ascii="宋体" w:hAnsi="宋体" w:cs="Times New Roman"/>
          <w:color w:val="auto"/>
          <w:sz w:val="24"/>
          <w:highlight w:val="none"/>
        </w:rPr>
        <w:t>开户银行：</w:t>
      </w:r>
      <w:r>
        <w:rPr>
          <w:rFonts w:ascii="宋体" w:hAnsi="宋体" w:cs="Times New Roman"/>
          <w:color w:val="auto"/>
          <w:sz w:val="24"/>
          <w:highlight w:val="none"/>
        </w:rPr>
        <w:t xml:space="preserve">                               开户银行： </w:t>
      </w:r>
    </w:p>
    <w:p w14:paraId="57F4E686">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s="Times New Roman"/>
          <w:color w:val="auto"/>
          <w:sz w:val="24"/>
          <w:highlight w:val="none"/>
        </w:rPr>
      </w:pPr>
      <w:r>
        <w:rPr>
          <w:rFonts w:hint="eastAsia" w:ascii="宋体" w:hAnsi="宋体" w:cs="Times New Roman"/>
          <w:color w:val="auto"/>
          <w:sz w:val="24"/>
          <w:highlight w:val="none"/>
        </w:rPr>
        <w:t>开户名称：</w:t>
      </w:r>
      <w:r>
        <w:rPr>
          <w:rFonts w:ascii="宋体" w:hAnsi="宋体" w:cs="Times New Roman"/>
          <w:color w:val="auto"/>
          <w:sz w:val="24"/>
          <w:highlight w:val="none"/>
        </w:rPr>
        <w:t xml:space="preserve">                               开户名称： </w:t>
      </w:r>
    </w:p>
    <w:p w14:paraId="60E08B29">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s="Times New Roman"/>
          <w:color w:val="auto"/>
          <w:sz w:val="24"/>
          <w:highlight w:val="none"/>
        </w:rPr>
      </w:pPr>
      <w:r>
        <w:rPr>
          <w:rFonts w:hint="eastAsia" w:ascii="宋体" w:hAnsi="宋体" w:cs="Times New Roman"/>
          <w:color w:val="auto"/>
          <w:sz w:val="24"/>
          <w:highlight w:val="none"/>
        </w:rPr>
        <w:t>开户账号：</w:t>
      </w:r>
      <w:r>
        <w:rPr>
          <w:rFonts w:ascii="宋体" w:hAnsi="宋体" w:cs="Times New Roman"/>
          <w:color w:val="auto"/>
          <w:sz w:val="24"/>
          <w:highlight w:val="none"/>
          <w:lang w:val="zh-CN"/>
        </w:rPr>
        <w:t xml:space="preserve">                               </w:t>
      </w:r>
      <w:r>
        <w:rPr>
          <w:rFonts w:hint="eastAsia" w:ascii="宋体" w:hAnsi="宋体" w:cs="Times New Roman"/>
          <w:color w:val="auto"/>
          <w:sz w:val="24"/>
          <w:highlight w:val="none"/>
        </w:rPr>
        <w:t>开户账号：</w:t>
      </w:r>
    </w:p>
    <w:p w14:paraId="592D66EA">
      <w:pPr>
        <w:keepNext w:val="0"/>
        <w:keepLines w:val="0"/>
        <w:pageBreakBefore w:val="0"/>
        <w:widowControl/>
        <w:shd w:val="clear"/>
        <w:kinsoku/>
        <w:wordWrap/>
        <w:overflowPunct/>
        <w:topLinePunct w:val="0"/>
        <w:bidi w:val="0"/>
        <w:snapToGrid/>
        <w:spacing w:line="360" w:lineRule="auto"/>
        <w:jc w:val="left"/>
        <w:textAlignment w:val="auto"/>
        <w:rPr>
          <w:rFonts w:ascii="宋体" w:hAnsi="宋体" w:cs="Times New Roman"/>
          <w:b/>
          <w:color w:val="auto"/>
          <w:sz w:val="24"/>
          <w:highlight w:val="none"/>
        </w:rPr>
      </w:pPr>
    </w:p>
    <w:p w14:paraId="35A5504A">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见证方：浙江中基正采管理咨询有限公司</w:t>
      </w:r>
    </w:p>
    <w:p w14:paraId="3B1413A2">
      <w:pPr>
        <w:widowControl/>
        <w:shd w:val="clear"/>
        <w:adjustRightInd/>
        <w:jc w:val="left"/>
        <w:rPr>
          <w:rFonts w:ascii="宋体" w:hAnsi="宋体" w:cs="Times New Roman"/>
          <w:b/>
          <w:color w:val="auto"/>
          <w:sz w:val="24"/>
          <w:highlight w:val="none"/>
        </w:rPr>
      </w:pPr>
      <w:r>
        <w:rPr>
          <w:rFonts w:ascii="宋体" w:hAnsi="宋体" w:cs="Times New Roman"/>
          <w:b/>
          <w:color w:val="auto"/>
          <w:highlight w:val="none"/>
        </w:rPr>
        <w:br w:type="page"/>
      </w:r>
    </w:p>
    <w:p w14:paraId="5D8D14AD">
      <w:pPr>
        <w:keepNext w:val="0"/>
        <w:keepLines w:val="0"/>
        <w:pageBreakBefore w:val="0"/>
        <w:widowControl w:val="0"/>
        <w:kinsoku/>
        <w:wordWrap/>
        <w:overflowPunct/>
        <w:topLinePunct w:val="0"/>
        <w:autoSpaceDE w:val="0"/>
        <w:autoSpaceDN w:val="0"/>
        <w:bidi w:val="0"/>
        <w:adjustRightInd w:val="0"/>
        <w:snapToGrid w:val="0"/>
        <w:spacing w:after="120" w:line="560" w:lineRule="exact"/>
        <w:ind w:left="420" w:leftChars="200" w:firstLine="482" w:firstLineChars="200"/>
        <w:jc w:val="center"/>
        <w:textAlignment w:val="auto"/>
        <w:outlineLvl w:val="9"/>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第二部分 合同一般条款</w:t>
      </w:r>
    </w:p>
    <w:p w14:paraId="0DD052BB">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2.1 定义</w:t>
      </w:r>
    </w:p>
    <w:p w14:paraId="3833B89C">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本合同中的下列</w:t>
      </w:r>
      <w:r>
        <w:rPr>
          <w:rFonts w:hint="eastAsia" w:ascii="宋体" w:hAnsi="宋体" w:cs="Times New Roman"/>
          <w:color w:val="auto"/>
          <w:sz w:val="24"/>
          <w:highlight w:val="none"/>
        </w:rPr>
        <w:t>词</w:t>
      </w:r>
      <w:r>
        <w:rPr>
          <w:rFonts w:ascii="宋体" w:hAnsi="宋体" w:cs="Times New Roman"/>
          <w:color w:val="auto"/>
          <w:sz w:val="24"/>
          <w:highlight w:val="none"/>
        </w:rPr>
        <w:t>语应</w:t>
      </w:r>
      <w:r>
        <w:rPr>
          <w:rFonts w:hint="eastAsia" w:ascii="宋体" w:hAnsi="宋体" w:cs="Times New Roman"/>
          <w:color w:val="auto"/>
          <w:sz w:val="24"/>
          <w:highlight w:val="none"/>
        </w:rPr>
        <w:t>按以下内容进行</w:t>
      </w:r>
      <w:r>
        <w:rPr>
          <w:rFonts w:ascii="宋体" w:hAnsi="宋体" w:cs="Times New Roman"/>
          <w:color w:val="auto"/>
          <w:sz w:val="24"/>
          <w:highlight w:val="none"/>
        </w:rPr>
        <w:t>解释：</w:t>
      </w:r>
    </w:p>
    <w:p w14:paraId="5A266FCF">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2.1.1 “合同”系指采购人和</w:t>
      </w:r>
      <w:r>
        <w:rPr>
          <w:rFonts w:hint="eastAsia" w:ascii="宋体" w:hAnsi="宋体" w:cs="宋体"/>
          <w:color w:val="auto"/>
          <w:sz w:val="24"/>
          <w:highlight w:val="none"/>
        </w:rPr>
        <w:t>中标或成交</w:t>
      </w:r>
      <w:r>
        <w:rPr>
          <w:rFonts w:ascii="宋体" w:hAnsi="宋体" w:cs="Times New Roman"/>
          <w:color w:val="auto"/>
          <w:sz w:val="24"/>
          <w:highlight w:val="none"/>
        </w:rPr>
        <w:t>供应商签订的载明双方当事人所达成的协议，并包括所有的附件、附录和构成合同的其他文件。</w:t>
      </w:r>
    </w:p>
    <w:p w14:paraId="6D55ECE9">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s="Times New Roman"/>
          <w:color w:val="auto"/>
          <w:sz w:val="24"/>
          <w:highlight w:val="none"/>
        </w:rPr>
        <w:t>供应商在完全履行合同义务后</w:t>
      </w:r>
      <w:r>
        <w:rPr>
          <w:rFonts w:hint="eastAsia" w:ascii="宋体" w:hAnsi="宋体" w:cs="Times New Roman"/>
          <w:color w:val="auto"/>
          <w:sz w:val="24"/>
          <w:highlight w:val="none"/>
        </w:rPr>
        <w:t>，</w:t>
      </w:r>
      <w:r>
        <w:rPr>
          <w:rFonts w:ascii="宋体" w:hAnsi="宋体" w:cs="Times New Roman"/>
          <w:color w:val="auto"/>
          <w:sz w:val="24"/>
          <w:highlight w:val="none"/>
        </w:rPr>
        <w:t>采购人应支付给</w:t>
      </w:r>
      <w:r>
        <w:rPr>
          <w:rFonts w:hint="eastAsia" w:ascii="宋体" w:hAnsi="宋体" w:cs="宋体"/>
          <w:color w:val="auto"/>
          <w:sz w:val="24"/>
          <w:highlight w:val="none"/>
        </w:rPr>
        <w:t>中标或成交</w:t>
      </w:r>
      <w:r>
        <w:rPr>
          <w:rFonts w:ascii="宋体" w:hAnsi="宋体" w:cs="Times New Roman"/>
          <w:color w:val="auto"/>
          <w:sz w:val="24"/>
          <w:highlight w:val="none"/>
        </w:rPr>
        <w:t>供应商的价格。</w:t>
      </w:r>
    </w:p>
    <w:p w14:paraId="0F939359">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2.1.3 “</w:t>
      </w:r>
      <w:r>
        <w:rPr>
          <w:rFonts w:hint="eastAsia" w:ascii="宋体" w:hAnsi="宋体" w:cs="Times New Roman"/>
          <w:color w:val="auto"/>
          <w:sz w:val="24"/>
          <w:highlight w:val="none"/>
        </w:rPr>
        <w:t>服务</w:t>
      </w:r>
      <w:r>
        <w:rPr>
          <w:rFonts w:ascii="宋体" w:hAnsi="宋体" w:cs="Times New Roman"/>
          <w:color w:val="auto"/>
          <w:sz w:val="24"/>
          <w:highlight w:val="none"/>
        </w:rPr>
        <w:t>”系指</w:t>
      </w:r>
      <w:r>
        <w:rPr>
          <w:rFonts w:hint="eastAsia" w:ascii="宋体" w:hAnsi="宋体" w:cs="宋体"/>
          <w:color w:val="auto"/>
          <w:sz w:val="24"/>
          <w:highlight w:val="none"/>
        </w:rPr>
        <w:t>中标或成交</w:t>
      </w:r>
      <w:r>
        <w:rPr>
          <w:rFonts w:hint="eastAsia" w:ascii="宋体" w:hAnsi="宋体" w:cs="Times New Roman"/>
          <w:color w:val="auto"/>
          <w:sz w:val="24"/>
          <w:highlight w:val="none"/>
        </w:rPr>
        <w:t>供应商</w:t>
      </w:r>
      <w:r>
        <w:rPr>
          <w:rFonts w:ascii="宋体" w:hAnsi="宋体" w:cs="Times New Roman"/>
          <w:color w:val="auto"/>
          <w:sz w:val="24"/>
          <w:highlight w:val="none"/>
        </w:rPr>
        <w:t>根据合同约定应向采购人</w:t>
      </w:r>
      <w:r>
        <w:rPr>
          <w:rFonts w:hint="eastAsia" w:ascii="宋体" w:hAnsi="宋体" w:cs="Times New Roman"/>
          <w:color w:val="auto"/>
          <w:sz w:val="24"/>
          <w:highlight w:val="none"/>
        </w:rPr>
        <w:t>履行</w:t>
      </w:r>
      <w:r>
        <w:rPr>
          <w:rFonts w:ascii="宋体" w:hAnsi="宋体" w:cs="Times New Roman"/>
          <w:color w:val="auto"/>
          <w:sz w:val="24"/>
          <w:highlight w:val="none"/>
        </w:rPr>
        <w:t>的</w:t>
      </w:r>
      <w:r>
        <w:rPr>
          <w:rFonts w:hint="eastAsia" w:ascii="宋体" w:hAnsi="宋体" w:cs="Times New Roman"/>
          <w:color w:val="auto"/>
          <w:sz w:val="24"/>
          <w:highlight w:val="none"/>
        </w:rPr>
        <w:t>除货物和工程以外的其他政府采购对象，包括采购人自身需要的服务和向社会公众提供的公共服务。</w:t>
      </w:r>
    </w:p>
    <w:p w14:paraId="5B27E26F">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2.1.4 “</w:t>
      </w:r>
      <w:r>
        <w:rPr>
          <w:rFonts w:hint="eastAsia" w:ascii="宋体" w:hAnsi="宋体" w:cs="Times New Roman"/>
          <w:color w:val="auto"/>
          <w:sz w:val="24"/>
          <w:highlight w:val="none"/>
        </w:rPr>
        <w:t>甲方</w:t>
      </w:r>
      <w:r>
        <w:rPr>
          <w:rFonts w:ascii="宋体" w:hAnsi="宋体" w:cs="Times New Roman"/>
          <w:color w:val="auto"/>
          <w:sz w:val="24"/>
          <w:highlight w:val="none"/>
        </w:rPr>
        <w:t>”系指与</w:t>
      </w:r>
      <w:r>
        <w:rPr>
          <w:rFonts w:hint="eastAsia" w:ascii="宋体" w:hAnsi="宋体" w:cs="宋体"/>
          <w:color w:val="auto"/>
          <w:sz w:val="24"/>
          <w:highlight w:val="none"/>
        </w:rPr>
        <w:t>中标或成交</w:t>
      </w:r>
      <w:r>
        <w:rPr>
          <w:rFonts w:hint="eastAsia" w:ascii="宋体" w:hAnsi="宋体" w:cs="Times New Roman"/>
          <w:color w:val="auto"/>
          <w:sz w:val="24"/>
          <w:highlight w:val="none"/>
        </w:rPr>
        <w:t>供应商</w:t>
      </w:r>
      <w:r>
        <w:rPr>
          <w:rFonts w:ascii="宋体" w:hAnsi="宋体" w:cs="Times New Roman"/>
          <w:color w:val="auto"/>
          <w:sz w:val="24"/>
          <w:highlight w:val="none"/>
        </w:rPr>
        <w:t>签署合同的采购人</w:t>
      </w:r>
      <w:r>
        <w:rPr>
          <w:rFonts w:hint="eastAsia" w:ascii="宋体" w:hAnsi="宋体" w:cs="Times New Roman"/>
          <w:color w:val="auto"/>
          <w:sz w:val="24"/>
          <w:highlight w:val="none"/>
        </w:rPr>
        <w:t>；采购人委托采购代理机构代表其与乙方签订合同的，采购人的授权委托书作为合同附件。</w:t>
      </w:r>
    </w:p>
    <w:p w14:paraId="35351020">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s="Times New Roman"/>
          <w:color w:val="auto"/>
          <w:sz w:val="24"/>
          <w:highlight w:val="none"/>
        </w:rPr>
        <w:t>供应商</w:t>
      </w:r>
      <w:r>
        <w:rPr>
          <w:rFonts w:hint="eastAsia" w:ascii="宋体" w:hAnsi="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21957BB">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2.1.6 “现场”系指合同约定提供服务的地点。</w:t>
      </w:r>
    </w:p>
    <w:p w14:paraId="5AEFADF1">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2.2 技术规范</w:t>
      </w:r>
    </w:p>
    <w:p w14:paraId="6BDE7924">
      <w:pPr>
        <w:shd w:val="clear"/>
        <w:spacing w:line="560" w:lineRule="exact"/>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服务</w:t>
      </w:r>
      <w:r>
        <w:rPr>
          <w:rFonts w:ascii="宋体" w:hAnsi="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s="Times New Roman"/>
          <w:color w:val="auto"/>
          <w:sz w:val="24"/>
          <w:highlight w:val="none"/>
        </w:rPr>
        <w:t>；</w:t>
      </w:r>
      <w:r>
        <w:rPr>
          <w:rFonts w:ascii="宋体" w:hAnsi="宋体" w:cs="Times New Roman"/>
          <w:color w:val="auto"/>
          <w:sz w:val="24"/>
          <w:highlight w:val="none"/>
        </w:rPr>
        <w:t>如果采购文件中没有技术规范的相应说明，那么应以国家有关部门最新颁布的相应标准</w:t>
      </w:r>
      <w:r>
        <w:rPr>
          <w:rFonts w:hint="eastAsia" w:ascii="宋体" w:hAnsi="宋体" w:cs="Times New Roman"/>
          <w:color w:val="auto"/>
          <w:sz w:val="24"/>
          <w:highlight w:val="none"/>
        </w:rPr>
        <w:t>和</w:t>
      </w:r>
      <w:r>
        <w:rPr>
          <w:rFonts w:ascii="宋体" w:hAnsi="宋体" w:cs="Times New Roman"/>
          <w:color w:val="auto"/>
          <w:sz w:val="24"/>
          <w:highlight w:val="none"/>
        </w:rPr>
        <w:t>规范为准。</w:t>
      </w:r>
    </w:p>
    <w:p w14:paraId="0DE5F546">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2.3 知识产权</w:t>
      </w:r>
    </w:p>
    <w:p w14:paraId="657584A4">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2.3.1 </w:t>
      </w:r>
      <w:r>
        <w:rPr>
          <w:rFonts w:hint="eastAsia" w:ascii="宋体" w:hAnsi="宋体" w:cs="Times New Roman"/>
          <w:color w:val="auto"/>
          <w:sz w:val="24"/>
          <w:highlight w:val="none"/>
        </w:rPr>
        <w:t>乙</w:t>
      </w:r>
      <w:r>
        <w:rPr>
          <w:rFonts w:ascii="宋体" w:hAnsi="宋体" w:cs="Times New Roman"/>
          <w:color w:val="auto"/>
          <w:sz w:val="24"/>
          <w:highlight w:val="none"/>
        </w:rPr>
        <w:t>方应保证</w:t>
      </w:r>
      <w:r>
        <w:rPr>
          <w:rFonts w:hint="eastAsia" w:ascii="宋体" w:hAnsi="宋体" w:cs="Times New Roman"/>
          <w:color w:val="auto"/>
          <w:sz w:val="24"/>
          <w:highlight w:val="none"/>
        </w:rPr>
        <w:t>其提供的服务</w:t>
      </w:r>
      <w:r>
        <w:rPr>
          <w:rFonts w:ascii="宋体" w:hAnsi="宋体" w:cs="Times New Roman"/>
          <w:color w:val="auto"/>
          <w:sz w:val="24"/>
          <w:highlight w:val="none"/>
        </w:rPr>
        <w:t>不受任何第三方提出的侵犯其著作权、商标权、专利权等知识产权方面的起诉</w:t>
      </w:r>
      <w:r>
        <w:rPr>
          <w:rFonts w:hint="eastAsia" w:ascii="宋体" w:hAnsi="宋体" w:cs="Times New Roman"/>
          <w:color w:val="auto"/>
          <w:sz w:val="24"/>
          <w:highlight w:val="none"/>
        </w:rPr>
        <w:t>；</w:t>
      </w:r>
      <w:r>
        <w:rPr>
          <w:rFonts w:ascii="宋体" w:hAnsi="宋体" w:cs="Times New Roman"/>
          <w:color w:val="auto"/>
          <w:sz w:val="24"/>
          <w:highlight w:val="none"/>
        </w:rPr>
        <w:t>如果任何第三方提出侵权</w:t>
      </w:r>
      <w:r>
        <w:rPr>
          <w:rFonts w:hint="eastAsia" w:ascii="宋体" w:hAnsi="宋体" w:cs="Times New Roman"/>
          <w:color w:val="auto"/>
          <w:sz w:val="24"/>
          <w:highlight w:val="none"/>
        </w:rPr>
        <w:t>指控</w:t>
      </w:r>
      <w:r>
        <w:rPr>
          <w:rFonts w:ascii="宋体" w:hAnsi="宋体" w:cs="Times New Roman"/>
          <w:color w:val="auto"/>
          <w:sz w:val="24"/>
          <w:highlight w:val="none"/>
        </w:rPr>
        <w:t>，那么乙方须与该第三方交涉并承担由此发生的一切责任、费用和赔偿</w:t>
      </w:r>
      <w:r>
        <w:rPr>
          <w:rFonts w:hint="eastAsia" w:ascii="宋体" w:hAnsi="宋体" w:cs="Times New Roman"/>
          <w:color w:val="auto"/>
          <w:sz w:val="24"/>
          <w:highlight w:val="none"/>
        </w:rPr>
        <w:t>，乙方还应及时澄清相关信息，使甲方声誉免受损害，甲方保留追责的权利。</w:t>
      </w:r>
    </w:p>
    <w:p w14:paraId="37310002">
      <w:pPr>
        <w:shd w:val="clear"/>
        <w:spacing w:line="560" w:lineRule="exact"/>
        <w:ind w:firstLine="482" w:firstLineChars="200"/>
        <w:rPr>
          <w:rFonts w:ascii="宋体" w:hAnsi="宋体" w:cs="Times New Roman"/>
          <w:b/>
          <w:color w:val="auto"/>
          <w:sz w:val="24"/>
          <w:highlight w:val="none"/>
        </w:rPr>
      </w:pPr>
      <w:r>
        <w:rPr>
          <w:rFonts w:ascii="宋体" w:hAnsi="宋体" w:cs="Times New Roman"/>
          <w:b/>
          <w:color w:val="auto"/>
          <w:sz w:val="24"/>
          <w:highlight w:val="none"/>
        </w:rPr>
        <w:t xml:space="preserve">2.4 </w:t>
      </w:r>
      <w:r>
        <w:rPr>
          <w:rFonts w:hint="eastAsia" w:ascii="宋体" w:hAnsi="宋体" w:cs="Times New Roman"/>
          <w:b/>
          <w:color w:val="auto"/>
          <w:sz w:val="24"/>
          <w:highlight w:val="none"/>
        </w:rPr>
        <w:t>履约检查和问题反馈</w:t>
      </w:r>
    </w:p>
    <w:p w14:paraId="1E7337F3">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2.4.1甲方</w:t>
      </w:r>
      <w:r>
        <w:rPr>
          <w:rFonts w:hint="eastAsia" w:ascii="宋体" w:hAnsi="宋体" w:cs="Times New Roman"/>
          <w:color w:val="auto"/>
          <w:sz w:val="24"/>
          <w:highlight w:val="none"/>
        </w:rPr>
        <w:t>有权</w:t>
      </w:r>
      <w:r>
        <w:rPr>
          <w:rFonts w:ascii="宋体" w:hAnsi="宋体" w:cs="Times New Roman"/>
          <w:color w:val="auto"/>
          <w:sz w:val="24"/>
          <w:highlight w:val="none"/>
        </w:rPr>
        <w:t>在其认为必要时</w:t>
      </w:r>
      <w:r>
        <w:rPr>
          <w:rFonts w:hint="eastAsia" w:ascii="宋体" w:hAnsi="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27C82AD">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2.4.2 </w:t>
      </w:r>
      <w:r>
        <w:rPr>
          <w:rFonts w:hint="eastAsia" w:ascii="宋体" w:hAnsi="宋体" w:cs="Times New Roman"/>
          <w:color w:val="auto"/>
          <w:sz w:val="24"/>
          <w:highlight w:val="none"/>
        </w:rPr>
        <w:t>合同履行期间，甲方有权将履行过程中出现的问题反馈给乙方，双方当事人应以书面形式约定需要完善和改进的内容。</w:t>
      </w:r>
    </w:p>
    <w:p w14:paraId="3FE79B41">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2.5 结算方式和付款条件</w:t>
      </w:r>
    </w:p>
    <w:p w14:paraId="378A82A2">
      <w:pPr>
        <w:shd w:val="clear"/>
        <w:spacing w:line="560" w:lineRule="exact"/>
        <w:ind w:firstLine="480" w:firstLineChars="200"/>
        <w:rPr>
          <w:rFonts w:hint="default"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（1）合同生效以及具备实施条件后7个工作日内支付合同价的40%作为预付款（若在签订合同时，</w:t>
      </w:r>
      <w:r>
        <w:rPr>
          <w:rFonts w:hint="eastAsia" w:ascii="宋体" w:hAnsi="宋体" w:cs="Times New Roman"/>
          <w:color w:val="auto"/>
          <w:sz w:val="24"/>
          <w:highlight w:val="none"/>
          <w:lang w:val="en-US" w:eastAsia="zh-CN"/>
        </w:rPr>
        <w:t>乙方</w:t>
      </w:r>
      <w:r>
        <w:rPr>
          <w:rFonts w:hint="default" w:ascii="宋体" w:hAnsi="宋体" w:cs="Times New Roman"/>
          <w:color w:val="auto"/>
          <w:sz w:val="24"/>
          <w:highlight w:val="none"/>
          <w:lang w:val="en-US" w:eastAsia="zh-CN"/>
        </w:rPr>
        <w:t>明确表示无需预付款或降低预付款比例的，</w:t>
      </w:r>
      <w:r>
        <w:rPr>
          <w:rFonts w:hint="eastAsia" w:ascii="宋体" w:hAnsi="宋体" w:cs="Times New Roman"/>
          <w:color w:val="auto"/>
          <w:sz w:val="24"/>
          <w:highlight w:val="none"/>
          <w:lang w:val="en-US" w:eastAsia="zh-CN"/>
        </w:rPr>
        <w:t>甲方</w:t>
      </w:r>
      <w:r>
        <w:rPr>
          <w:rFonts w:hint="default" w:ascii="宋体" w:hAnsi="宋体" w:cs="Times New Roman"/>
          <w:color w:val="auto"/>
          <w:sz w:val="24"/>
          <w:highlight w:val="none"/>
          <w:lang w:val="en-US" w:eastAsia="zh-CN"/>
        </w:rPr>
        <w:t>可不予支付预付款或降低比例支付。预付款支付约定以合同中约定为准。）；</w:t>
      </w:r>
    </w:p>
    <w:p w14:paraId="3EA9ACE1">
      <w:pPr>
        <w:shd w:val="clear"/>
        <w:spacing w:line="560" w:lineRule="exact"/>
        <w:ind w:firstLine="480" w:firstLineChars="200"/>
        <w:rPr>
          <w:rFonts w:hint="default"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2）按月结算，每月月初核对上个月的实际检测标本数量（结算统计日期以每月1日零时起到本月最后一天24时结束），每月结算金额=宁波市医疗服务价格×成交折扣系数（此公式计算结果以“元”为单位，保留到整数位）。</w:t>
      </w:r>
    </w:p>
    <w:p w14:paraId="204F8611">
      <w:pPr>
        <w:shd w:val="clear"/>
        <w:spacing w:line="560" w:lineRule="exact"/>
        <w:ind w:firstLine="480" w:firstLineChars="200"/>
        <w:rPr>
          <w:rFonts w:hint="default" w:ascii="宋体" w:hAnsi="宋体" w:cs="Times New Roman"/>
          <w:b/>
          <w:bCs/>
          <w:color w:val="auto"/>
          <w:sz w:val="24"/>
          <w:highlight w:val="none"/>
          <w:lang w:val="en-US" w:eastAsia="zh-CN"/>
        </w:rPr>
      </w:pPr>
      <w:r>
        <w:rPr>
          <w:rFonts w:hint="default" w:ascii="宋体" w:hAnsi="宋体" w:cs="Times New Roman"/>
          <w:color w:val="auto"/>
          <w:sz w:val="24"/>
          <w:highlight w:val="none"/>
          <w:lang w:val="en-US" w:eastAsia="zh-CN"/>
        </w:rPr>
        <w:t>（3）</w:t>
      </w:r>
      <w:r>
        <w:rPr>
          <w:rFonts w:hint="eastAsia" w:ascii="宋体" w:hAnsi="宋体" w:cs="Times New Roman"/>
          <w:color w:val="auto"/>
          <w:sz w:val="24"/>
          <w:highlight w:val="none"/>
          <w:lang w:val="en-US" w:eastAsia="zh-CN"/>
        </w:rPr>
        <w:t>乙方</w:t>
      </w:r>
      <w:r>
        <w:rPr>
          <w:rFonts w:hint="default" w:ascii="宋体" w:hAnsi="宋体" w:cs="Times New Roman"/>
          <w:color w:val="auto"/>
          <w:sz w:val="24"/>
          <w:highlight w:val="none"/>
          <w:lang w:val="en-US" w:eastAsia="zh-CN"/>
        </w:rPr>
        <w:t>应在</w:t>
      </w:r>
      <w:r>
        <w:rPr>
          <w:rFonts w:hint="eastAsia" w:ascii="宋体" w:hAnsi="宋体" w:cs="Times New Roman"/>
          <w:color w:val="auto"/>
          <w:sz w:val="24"/>
          <w:highlight w:val="none"/>
          <w:lang w:val="en-US" w:eastAsia="zh-CN"/>
        </w:rPr>
        <w:t>甲方</w:t>
      </w:r>
      <w:r>
        <w:rPr>
          <w:rFonts w:hint="default" w:ascii="宋体" w:hAnsi="宋体" w:cs="Times New Roman"/>
          <w:color w:val="auto"/>
          <w:sz w:val="24"/>
          <w:highlight w:val="none"/>
          <w:lang w:val="en-US" w:eastAsia="zh-CN"/>
        </w:rPr>
        <w:t>付款前，向</w:t>
      </w:r>
      <w:r>
        <w:rPr>
          <w:rFonts w:hint="eastAsia" w:ascii="宋体" w:hAnsi="宋体" w:cs="Times New Roman"/>
          <w:color w:val="auto"/>
          <w:sz w:val="24"/>
          <w:highlight w:val="none"/>
          <w:lang w:val="en-US" w:eastAsia="zh-CN"/>
        </w:rPr>
        <w:t>甲方</w:t>
      </w:r>
      <w:r>
        <w:rPr>
          <w:rFonts w:hint="default" w:ascii="宋体" w:hAnsi="宋体" w:cs="Times New Roman"/>
          <w:color w:val="auto"/>
          <w:sz w:val="24"/>
          <w:highlight w:val="none"/>
          <w:lang w:val="en-US" w:eastAsia="zh-CN"/>
        </w:rPr>
        <w:t>提供等额增值税普通发票、每个月检测清单，经</w:t>
      </w:r>
      <w:r>
        <w:rPr>
          <w:rFonts w:hint="eastAsia" w:ascii="宋体" w:hAnsi="宋体" w:cs="Times New Roman"/>
          <w:color w:val="auto"/>
          <w:sz w:val="24"/>
          <w:highlight w:val="none"/>
          <w:lang w:val="en-US" w:eastAsia="zh-CN"/>
        </w:rPr>
        <w:t>甲方</w:t>
      </w:r>
      <w:r>
        <w:rPr>
          <w:rFonts w:hint="default" w:ascii="宋体" w:hAnsi="宋体" w:cs="Times New Roman"/>
          <w:color w:val="auto"/>
          <w:sz w:val="24"/>
          <w:highlight w:val="none"/>
          <w:lang w:val="en-US" w:eastAsia="zh-CN"/>
        </w:rPr>
        <w:t>核准后7个工作日内支付。</w:t>
      </w:r>
      <w:r>
        <w:rPr>
          <w:rFonts w:hint="default" w:ascii="宋体" w:hAnsi="宋体" w:cs="Times New Roman"/>
          <w:color w:val="auto"/>
          <w:sz w:val="24"/>
          <w:highlight w:val="none"/>
          <w:lang w:val="en-US" w:eastAsia="zh-CN"/>
        </w:rPr>
        <w:br w:type="textWrapping"/>
      </w:r>
      <w:r>
        <w:rPr>
          <w:rFonts w:hint="eastAsia" w:ascii="宋体" w:hAnsi="宋体" w:cs="Times New Roman"/>
          <w:color w:val="auto"/>
          <w:sz w:val="24"/>
          <w:highlight w:val="none"/>
          <w:lang w:val="en-US" w:eastAsia="zh-CN"/>
        </w:rPr>
        <w:t xml:space="preserve">   </w:t>
      </w:r>
      <w:r>
        <w:rPr>
          <w:rFonts w:hint="eastAsia" w:ascii="宋体" w:hAnsi="宋体" w:cs="Times New Roman"/>
          <w:b/>
          <w:bCs/>
          <w:color w:val="auto"/>
          <w:sz w:val="24"/>
          <w:highlight w:val="none"/>
          <w:lang w:val="en-US" w:eastAsia="zh-CN"/>
        </w:rPr>
        <w:t xml:space="preserve">  </w:t>
      </w:r>
      <w:r>
        <w:rPr>
          <w:rFonts w:hint="default" w:ascii="宋体" w:hAnsi="宋体" w:cs="Times New Roman"/>
          <w:b/>
          <w:bCs/>
          <w:color w:val="auto"/>
          <w:sz w:val="24"/>
          <w:highlight w:val="none"/>
          <w:lang w:val="en-US" w:eastAsia="zh-CN"/>
        </w:rPr>
        <w:t>注：本项目所有病理诊断服务项目价格按照宁波市医疗服务价格，以His收费数据为基础，按中标对应折扣系数进行结算。</w:t>
      </w:r>
    </w:p>
    <w:p w14:paraId="12D58673">
      <w:pPr>
        <w:shd w:val="clear"/>
        <w:spacing w:line="560" w:lineRule="exact"/>
        <w:ind w:firstLine="482" w:firstLineChars="200"/>
        <w:rPr>
          <w:rFonts w:hint="default" w:ascii="宋体" w:hAnsi="宋体" w:cs="Times New Roman"/>
          <w:b/>
          <w:bCs/>
          <w:color w:val="auto"/>
          <w:sz w:val="24"/>
          <w:highlight w:val="none"/>
          <w:lang w:val="en-US" w:eastAsia="zh-CN"/>
        </w:rPr>
      </w:pPr>
      <w:r>
        <w:rPr>
          <w:rFonts w:hint="default" w:ascii="宋体" w:hAnsi="宋体" w:cs="Times New Roman"/>
          <w:b/>
          <w:bCs/>
          <w:color w:val="auto"/>
          <w:sz w:val="24"/>
          <w:highlight w:val="none"/>
          <w:lang w:val="en-US" w:eastAsia="zh-CN"/>
        </w:rPr>
        <w:t>结算价款=∑各项目宁波市医疗服务价格×中标折扣系数。（如有预付款的，先从预付款中扣除相应价款，预付款全部扣完后再按实支付。）。</w:t>
      </w:r>
    </w:p>
    <w:p w14:paraId="2305ACCA">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2.6 技术资料和保密义务</w:t>
      </w:r>
    </w:p>
    <w:p w14:paraId="11EB2E3D">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2.6.1 乙方有权依据合同约定和项目需要，向甲方了解有关情况，调阅有关资料等，甲方应予积极配合；</w:t>
      </w:r>
    </w:p>
    <w:p w14:paraId="41038B04">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2.6.2 </w:t>
      </w:r>
      <w:r>
        <w:rPr>
          <w:rFonts w:hint="eastAsia" w:ascii="宋体" w:hAnsi="宋体" w:cs="Times New Roman"/>
          <w:color w:val="auto"/>
          <w:sz w:val="24"/>
          <w:highlight w:val="none"/>
        </w:rPr>
        <w:t>乙方有义务妥善保管和保护由甲方提供的前款信息和资料等；</w:t>
      </w:r>
    </w:p>
    <w:p w14:paraId="2EAAFFB8">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2.6.3 </w:t>
      </w:r>
      <w:r>
        <w:rPr>
          <w:rFonts w:hint="eastAsia" w:ascii="宋体" w:hAnsi="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s="Times New Roman"/>
          <w:color w:val="auto"/>
          <w:sz w:val="24"/>
          <w:highlight w:val="none"/>
        </w:rPr>
        <w:t>技术情报</w:t>
      </w:r>
      <w:r>
        <w:rPr>
          <w:rFonts w:hint="eastAsia" w:ascii="宋体" w:hAnsi="宋体" w:cs="Times New Roman"/>
          <w:color w:val="auto"/>
          <w:sz w:val="24"/>
          <w:highlight w:val="none"/>
        </w:rPr>
        <w:t>、</w:t>
      </w:r>
      <w:r>
        <w:rPr>
          <w:rFonts w:ascii="宋体" w:hAnsi="宋体" w:cs="Times New Roman"/>
          <w:color w:val="auto"/>
          <w:sz w:val="24"/>
          <w:highlight w:val="none"/>
        </w:rPr>
        <w:t>技术资料</w:t>
      </w:r>
      <w:r>
        <w:rPr>
          <w:rFonts w:hint="eastAsia" w:ascii="宋体" w:hAnsi="宋体" w:cs="Times New Roman"/>
          <w:color w:val="auto"/>
          <w:sz w:val="24"/>
          <w:highlight w:val="none"/>
        </w:rPr>
        <w:t>、商业秘密和商业信息等，并采取一切合理和必要措施和方式防止任何第三方接触到对方当事人的上述保密信息和资料。</w:t>
      </w:r>
    </w:p>
    <w:p w14:paraId="7962D27F">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 xml:space="preserve">2.7 </w:t>
      </w:r>
      <w:r>
        <w:rPr>
          <w:rFonts w:hint="eastAsia" w:ascii="宋体" w:hAnsi="宋体" w:cs="Times New Roman"/>
          <w:b/>
          <w:color w:val="auto"/>
          <w:sz w:val="24"/>
          <w:highlight w:val="none"/>
        </w:rPr>
        <w:t>质量保证</w:t>
      </w:r>
    </w:p>
    <w:p w14:paraId="02E3D791">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2.7.1 </w:t>
      </w:r>
      <w:r>
        <w:rPr>
          <w:rFonts w:hint="eastAsia" w:ascii="宋体" w:hAnsi="宋体" w:cs="Times New Roman"/>
          <w:color w:val="auto"/>
          <w:sz w:val="24"/>
          <w:highlight w:val="none"/>
        </w:rPr>
        <w:t>乙方应建立和完善履行合同的内部质量保证体系，并提供相关内部规章制度给甲方，以便甲方进行监督检查；</w:t>
      </w:r>
    </w:p>
    <w:p w14:paraId="0FD2D4C2">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2.7.2 </w:t>
      </w:r>
      <w:r>
        <w:rPr>
          <w:rFonts w:hint="eastAsia" w:ascii="宋体" w:hAnsi="宋体" w:cs="Times New Roman"/>
          <w:color w:val="auto"/>
          <w:sz w:val="24"/>
          <w:highlight w:val="none"/>
        </w:rPr>
        <w:t>乙方应保证履行合同的人员数量和素质、软件和硬件设备的配置、场地、环境和设施等满足全面履行合同的要求，并应接受甲方的监督检查。</w:t>
      </w:r>
    </w:p>
    <w:p w14:paraId="070A3500">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 xml:space="preserve">2.8 </w:t>
      </w:r>
      <w:r>
        <w:rPr>
          <w:rFonts w:hint="eastAsia" w:ascii="宋体" w:hAnsi="宋体" w:cs="Times New Roman"/>
          <w:b/>
          <w:color w:val="auto"/>
          <w:sz w:val="24"/>
          <w:highlight w:val="none"/>
        </w:rPr>
        <w:t>延迟履行</w:t>
      </w:r>
    </w:p>
    <w:p w14:paraId="1A5CDCD3">
      <w:pPr>
        <w:shd w:val="clear"/>
        <w:spacing w:line="560" w:lineRule="exact"/>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甲乙双方签订合同后，乙方应按照合同约定履行合同义务，除不可抗力外，乙方不得延迟履行。</w:t>
      </w:r>
      <w:r>
        <w:rPr>
          <w:rFonts w:ascii="宋体" w:hAnsi="宋体" w:cs="Times New Roman"/>
          <w:color w:val="auto"/>
          <w:sz w:val="24"/>
          <w:highlight w:val="none"/>
        </w:rPr>
        <w:t>在合同履行过程中，如果</w:t>
      </w:r>
      <w:r>
        <w:rPr>
          <w:rFonts w:hint="eastAsia" w:ascii="宋体" w:hAnsi="宋体" w:cs="Times New Roman"/>
          <w:color w:val="auto"/>
          <w:sz w:val="24"/>
          <w:highlight w:val="none"/>
        </w:rPr>
        <w:t>因不可抗力，</w:t>
      </w:r>
      <w:r>
        <w:rPr>
          <w:rFonts w:ascii="宋体" w:hAnsi="宋体" w:cs="Times New Roman"/>
          <w:color w:val="auto"/>
          <w:sz w:val="24"/>
          <w:highlight w:val="none"/>
        </w:rPr>
        <w:t>乙方遇到不能按时</w:t>
      </w:r>
      <w:r>
        <w:rPr>
          <w:rFonts w:hint="eastAsia" w:ascii="宋体" w:hAnsi="宋体" w:cs="Times New Roman"/>
          <w:color w:val="auto"/>
          <w:sz w:val="24"/>
          <w:highlight w:val="none"/>
        </w:rPr>
        <w:t>提供服务</w:t>
      </w:r>
      <w:r>
        <w:rPr>
          <w:rFonts w:ascii="宋体" w:hAnsi="宋体" w:cs="Times New Roman"/>
          <w:color w:val="auto"/>
          <w:sz w:val="24"/>
          <w:highlight w:val="none"/>
        </w:rPr>
        <w:t>的情况，应及时以书面形式将不能按时</w:t>
      </w:r>
      <w:r>
        <w:rPr>
          <w:rFonts w:hint="eastAsia" w:ascii="宋体" w:hAnsi="宋体" w:cs="Times New Roman"/>
          <w:color w:val="auto"/>
          <w:sz w:val="24"/>
          <w:highlight w:val="none"/>
        </w:rPr>
        <w:t>提供服务</w:t>
      </w:r>
      <w:r>
        <w:rPr>
          <w:rFonts w:ascii="宋体" w:hAnsi="宋体" w:cs="Times New Roman"/>
          <w:color w:val="auto"/>
          <w:sz w:val="24"/>
          <w:highlight w:val="none"/>
        </w:rPr>
        <w:t>的理由、预期延误时间通知甲方</w:t>
      </w:r>
      <w:r>
        <w:rPr>
          <w:rFonts w:hint="eastAsia" w:ascii="宋体" w:hAnsi="宋体" w:cs="Times New Roman"/>
          <w:color w:val="auto"/>
          <w:sz w:val="24"/>
          <w:highlight w:val="none"/>
        </w:rPr>
        <w:t>；甲</w:t>
      </w:r>
      <w:r>
        <w:rPr>
          <w:rFonts w:ascii="宋体" w:hAnsi="宋体" w:cs="Times New Roman"/>
          <w:color w:val="auto"/>
          <w:sz w:val="24"/>
          <w:highlight w:val="none"/>
        </w:rPr>
        <w:t>方收到乙方通知后，认为其理由正当的，可以书面形式酌情同意乙方可以延长</w:t>
      </w:r>
      <w:r>
        <w:rPr>
          <w:rFonts w:hint="eastAsia" w:ascii="宋体" w:hAnsi="宋体" w:cs="Times New Roman"/>
          <w:color w:val="auto"/>
          <w:sz w:val="24"/>
          <w:highlight w:val="none"/>
        </w:rPr>
        <w:t>履行</w:t>
      </w:r>
      <w:r>
        <w:rPr>
          <w:rFonts w:ascii="宋体" w:hAnsi="宋体" w:cs="Times New Roman"/>
          <w:color w:val="auto"/>
          <w:sz w:val="24"/>
          <w:highlight w:val="none"/>
        </w:rPr>
        <w:t>的具体时间。</w:t>
      </w:r>
    </w:p>
    <w:p w14:paraId="106AB368">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 xml:space="preserve">2.9 </w:t>
      </w:r>
      <w:r>
        <w:rPr>
          <w:rFonts w:hint="eastAsia" w:ascii="宋体" w:hAnsi="宋体" w:cs="Times New Roman"/>
          <w:b/>
          <w:color w:val="auto"/>
          <w:sz w:val="24"/>
          <w:highlight w:val="none"/>
        </w:rPr>
        <w:t>合同变更</w:t>
      </w:r>
    </w:p>
    <w:p w14:paraId="697DBF9D">
      <w:pPr>
        <w:shd w:val="clear"/>
        <w:spacing w:line="560" w:lineRule="exact"/>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0605D34">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2.10 合同转让和分包</w:t>
      </w:r>
    </w:p>
    <w:p w14:paraId="3AB968C0">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合同的权利义务依法不</w:t>
      </w:r>
      <w:r>
        <w:rPr>
          <w:rFonts w:hint="eastAsia" w:ascii="宋体" w:hAnsi="宋体" w:cs="Times New Roman"/>
          <w:color w:val="auto"/>
          <w:sz w:val="24"/>
          <w:highlight w:val="none"/>
        </w:rPr>
        <w:t>得</w:t>
      </w:r>
      <w:r>
        <w:rPr>
          <w:rFonts w:ascii="宋体" w:hAnsi="宋体" w:cs="Times New Roman"/>
          <w:color w:val="auto"/>
          <w:sz w:val="24"/>
          <w:highlight w:val="none"/>
        </w:rPr>
        <w:t>转让</w:t>
      </w:r>
      <w:r>
        <w:rPr>
          <w:rFonts w:hint="eastAsia" w:ascii="宋体" w:hAnsi="宋体" w:cs="Times New Roman"/>
          <w:color w:val="auto"/>
          <w:sz w:val="24"/>
          <w:highlight w:val="none"/>
        </w:rPr>
        <w:t>，</w:t>
      </w:r>
      <w:r>
        <w:rPr>
          <w:rFonts w:ascii="宋体" w:hAnsi="宋体" w:cs="Times New Roman"/>
          <w:color w:val="auto"/>
          <w:sz w:val="24"/>
          <w:highlight w:val="none"/>
        </w:rPr>
        <w:t>但经甲方</w:t>
      </w:r>
      <w:r>
        <w:rPr>
          <w:rFonts w:hint="eastAsia" w:ascii="宋体" w:hAnsi="宋体" w:cs="Times New Roman"/>
          <w:color w:val="auto"/>
          <w:sz w:val="24"/>
          <w:highlight w:val="none"/>
        </w:rPr>
        <w:t>同意，乙方可以依法采取分包方式履行合同，即：依法可以</w:t>
      </w:r>
      <w:r>
        <w:rPr>
          <w:rFonts w:ascii="宋体" w:hAnsi="宋体" w:cs="Times New Roman"/>
          <w:color w:val="auto"/>
          <w:sz w:val="24"/>
          <w:highlight w:val="none"/>
        </w:rPr>
        <w:t>将合同项下的部分非主体、非关键性工作分包给他人完成</w:t>
      </w:r>
      <w:r>
        <w:rPr>
          <w:rFonts w:hint="eastAsia" w:ascii="宋体" w:hAnsi="宋体" w:cs="Times New Roman"/>
          <w:color w:val="auto"/>
          <w:sz w:val="24"/>
          <w:highlight w:val="none"/>
        </w:rPr>
        <w:t>，</w:t>
      </w:r>
      <w:r>
        <w:rPr>
          <w:rFonts w:ascii="宋体" w:hAnsi="宋体" w:cs="Times New Roman"/>
          <w:color w:val="auto"/>
          <w:sz w:val="24"/>
          <w:highlight w:val="none"/>
        </w:rPr>
        <w:t>接受分包的人应当具备相应的资格条件，并不得再次分包</w:t>
      </w:r>
      <w:r>
        <w:rPr>
          <w:rFonts w:hint="eastAsia" w:ascii="宋体" w:hAnsi="宋体" w:cs="Times New Roman"/>
          <w:color w:val="auto"/>
          <w:sz w:val="24"/>
          <w:highlight w:val="none"/>
        </w:rPr>
        <w:t>，</w:t>
      </w:r>
      <w:r>
        <w:rPr>
          <w:rFonts w:ascii="宋体" w:hAnsi="宋体" w:cs="Times New Roman"/>
          <w:color w:val="auto"/>
          <w:sz w:val="24"/>
          <w:highlight w:val="none"/>
        </w:rPr>
        <w:t>且乙方应就分包项目向甲方负责</w:t>
      </w:r>
      <w:r>
        <w:rPr>
          <w:rFonts w:hint="eastAsia" w:ascii="宋体" w:hAnsi="宋体" w:cs="Times New Roman"/>
          <w:color w:val="auto"/>
          <w:sz w:val="24"/>
          <w:highlight w:val="none"/>
        </w:rPr>
        <w:t>，</w:t>
      </w:r>
      <w:r>
        <w:rPr>
          <w:rFonts w:ascii="宋体" w:hAnsi="宋体" w:cs="Times New Roman"/>
          <w:color w:val="auto"/>
          <w:sz w:val="24"/>
          <w:highlight w:val="none"/>
        </w:rPr>
        <w:t>并</w:t>
      </w:r>
      <w:r>
        <w:rPr>
          <w:rFonts w:hint="eastAsia" w:ascii="宋体" w:hAnsi="宋体" w:cs="Times New Roman"/>
          <w:color w:val="auto"/>
          <w:sz w:val="24"/>
          <w:highlight w:val="none"/>
        </w:rPr>
        <w:t>与分包供应商就分包项目向甲方承担连带责任。</w:t>
      </w:r>
    </w:p>
    <w:p w14:paraId="2308DAC8">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2.11 不可抗力</w:t>
      </w:r>
    </w:p>
    <w:p w14:paraId="4F693D74">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s="Times New Roman"/>
          <w:color w:val="auto"/>
          <w:sz w:val="24"/>
          <w:highlight w:val="none"/>
        </w:rPr>
        <w:t>；</w:t>
      </w:r>
    </w:p>
    <w:p w14:paraId="7D641291">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2.11.2 </w:t>
      </w:r>
      <w:r>
        <w:rPr>
          <w:rFonts w:hint="eastAsia" w:ascii="宋体" w:hAnsi="宋体" w:cs="Times New Roman"/>
          <w:color w:val="auto"/>
          <w:sz w:val="24"/>
          <w:highlight w:val="none"/>
        </w:rPr>
        <w:t>因不可抗力致使不能实现合同目的的，当事人可以解除合同；</w:t>
      </w:r>
    </w:p>
    <w:p w14:paraId="4842474F">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2.11.3 </w:t>
      </w:r>
      <w:r>
        <w:rPr>
          <w:rFonts w:hint="eastAsia" w:ascii="宋体" w:hAnsi="宋体" w:cs="Times New Roman"/>
          <w:color w:val="auto"/>
          <w:sz w:val="24"/>
          <w:highlight w:val="none"/>
        </w:rPr>
        <w:t>因</w:t>
      </w:r>
      <w:r>
        <w:rPr>
          <w:rFonts w:ascii="宋体" w:hAnsi="宋体" w:cs="Times New Roman"/>
          <w:color w:val="auto"/>
          <w:sz w:val="24"/>
          <w:highlight w:val="none"/>
        </w:rPr>
        <w:t>不可抗力致使合同有变更必要的，双方当事人应在约定时间内以书面形式变更合同</w:t>
      </w:r>
      <w:r>
        <w:rPr>
          <w:rFonts w:hint="eastAsia" w:ascii="宋体" w:hAnsi="宋体" w:cs="Times New Roman"/>
          <w:color w:val="auto"/>
          <w:sz w:val="24"/>
          <w:highlight w:val="none"/>
        </w:rPr>
        <w:t>；</w:t>
      </w:r>
    </w:p>
    <w:p w14:paraId="6029EDEA">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2.11.4受</w:t>
      </w:r>
      <w:r>
        <w:rPr>
          <w:rFonts w:hint="eastAsia" w:ascii="宋体" w:hAnsi="宋体" w:cs="Times New Roman"/>
          <w:color w:val="auto"/>
          <w:sz w:val="24"/>
          <w:highlight w:val="none"/>
        </w:rPr>
        <w:t>不可抗力</w:t>
      </w:r>
      <w:r>
        <w:rPr>
          <w:rFonts w:ascii="宋体" w:hAnsi="宋体" w:cs="Times New Roman"/>
          <w:color w:val="auto"/>
          <w:sz w:val="24"/>
          <w:highlight w:val="none"/>
        </w:rPr>
        <w:t>影响的一方在不可抗力发生后</w:t>
      </w:r>
      <w:r>
        <w:rPr>
          <w:rFonts w:hint="eastAsia" w:ascii="宋体" w:hAnsi="宋体" w:cs="Times New Roman"/>
          <w:color w:val="auto"/>
          <w:sz w:val="24"/>
          <w:highlight w:val="none"/>
        </w:rPr>
        <w:t>，</w:t>
      </w:r>
      <w:r>
        <w:rPr>
          <w:rFonts w:ascii="宋体" w:hAnsi="宋体" w:cs="Times New Roman"/>
          <w:color w:val="auto"/>
          <w:sz w:val="24"/>
          <w:highlight w:val="none"/>
        </w:rPr>
        <w:t>应在约定时间内以书面形式通知</w:t>
      </w:r>
      <w:r>
        <w:rPr>
          <w:rFonts w:hint="eastAsia" w:ascii="宋体" w:hAnsi="宋体" w:cs="Times New Roman"/>
          <w:color w:val="auto"/>
          <w:sz w:val="24"/>
          <w:highlight w:val="none"/>
        </w:rPr>
        <w:t>对</w:t>
      </w:r>
      <w:r>
        <w:rPr>
          <w:rFonts w:ascii="宋体" w:hAnsi="宋体" w:cs="Times New Roman"/>
          <w:color w:val="auto"/>
          <w:sz w:val="24"/>
          <w:highlight w:val="none"/>
        </w:rPr>
        <w:t>方当事人，并在约定时间内，将有关部门出具的证明文件送达</w:t>
      </w:r>
      <w:r>
        <w:rPr>
          <w:rFonts w:hint="eastAsia" w:ascii="宋体" w:hAnsi="宋体" w:cs="Times New Roman"/>
          <w:color w:val="auto"/>
          <w:sz w:val="24"/>
          <w:highlight w:val="none"/>
        </w:rPr>
        <w:t>对方当事人</w:t>
      </w:r>
      <w:r>
        <w:rPr>
          <w:rFonts w:ascii="宋体" w:hAnsi="宋体" w:cs="Times New Roman"/>
          <w:color w:val="auto"/>
          <w:sz w:val="24"/>
          <w:highlight w:val="none"/>
        </w:rPr>
        <w:t>。</w:t>
      </w:r>
    </w:p>
    <w:p w14:paraId="148D5A9E">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2.12 税费</w:t>
      </w:r>
    </w:p>
    <w:p w14:paraId="3191F057">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与合同有关的一切税费</w:t>
      </w:r>
      <w:r>
        <w:rPr>
          <w:rFonts w:hint="eastAsia" w:ascii="宋体" w:hAnsi="宋体" w:cs="Times New Roman"/>
          <w:color w:val="auto"/>
          <w:sz w:val="24"/>
          <w:highlight w:val="none"/>
        </w:rPr>
        <w:t>，</w:t>
      </w:r>
      <w:r>
        <w:rPr>
          <w:rFonts w:ascii="宋体" w:hAnsi="宋体" w:cs="Times New Roman"/>
          <w:color w:val="auto"/>
          <w:sz w:val="24"/>
          <w:highlight w:val="none"/>
        </w:rPr>
        <w:t>均按照中华人民共和国法律的相关规定缴纳。</w:t>
      </w:r>
    </w:p>
    <w:p w14:paraId="0A1FDD69">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2.13 乙方破产</w:t>
      </w:r>
    </w:p>
    <w:p w14:paraId="2DBDE1A2">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如果乙方破产导致合同无法履行时，甲方可以书面形式通知乙方终止合同且不给予乙方任何补偿和赔偿</w:t>
      </w:r>
      <w:r>
        <w:rPr>
          <w:rFonts w:hint="eastAsia" w:ascii="宋体" w:hAnsi="宋体" w:cs="Times New Roman"/>
          <w:color w:val="auto"/>
          <w:sz w:val="24"/>
          <w:highlight w:val="none"/>
        </w:rPr>
        <w:t>，但合同的</w:t>
      </w:r>
      <w:r>
        <w:rPr>
          <w:rFonts w:ascii="宋体" w:hAnsi="宋体" w:cs="Times New Roman"/>
          <w:color w:val="auto"/>
          <w:sz w:val="24"/>
          <w:highlight w:val="none"/>
        </w:rPr>
        <w:t>终止不损害或不影响甲方已经采取或将要采取的任何要求乙方支付违约金</w:t>
      </w:r>
      <w:r>
        <w:rPr>
          <w:rFonts w:hint="eastAsia" w:ascii="宋体" w:hAnsi="宋体" w:cs="Times New Roman"/>
          <w:color w:val="auto"/>
          <w:sz w:val="24"/>
          <w:highlight w:val="none"/>
        </w:rPr>
        <w:t>、</w:t>
      </w:r>
      <w:r>
        <w:rPr>
          <w:rFonts w:ascii="宋体" w:hAnsi="宋体" w:cs="Times New Roman"/>
          <w:color w:val="auto"/>
          <w:sz w:val="24"/>
          <w:highlight w:val="none"/>
        </w:rPr>
        <w:t>赔偿损失等的行动或补救措施的权利</w:t>
      </w:r>
      <w:r>
        <w:rPr>
          <w:rFonts w:hint="eastAsia" w:ascii="宋体" w:hAnsi="宋体" w:cs="Times New Roman"/>
          <w:color w:val="auto"/>
          <w:sz w:val="24"/>
          <w:highlight w:val="none"/>
        </w:rPr>
        <w:t>。</w:t>
      </w:r>
    </w:p>
    <w:p w14:paraId="74AC39CC">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2.14 合同中止、终止</w:t>
      </w:r>
    </w:p>
    <w:p w14:paraId="69304801">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2.14.1 </w:t>
      </w:r>
      <w:r>
        <w:rPr>
          <w:rFonts w:hint="eastAsia" w:ascii="宋体" w:hAnsi="宋体" w:cs="Times New Roman"/>
          <w:color w:val="auto"/>
          <w:sz w:val="24"/>
          <w:highlight w:val="none"/>
        </w:rPr>
        <w:t>双方当事人不得擅自中止或者终止合同；</w:t>
      </w:r>
    </w:p>
    <w:p w14:paraId="48148E6C">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7B1FC6F">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2.15 检验和验收</w:t>
      </w:r>
    </w:p>
    <w:p w14:paraId="636385EE">
      <w:pPr>
        <w:shd w:val="clear"/>
        <w:tabs>
          <w:tab w:val="left" w:pos="360"/>
          <w:tab w:val="left" w:pos="540"/>
          <w:tab w:val="left" w:pos="1080"/>
        </w:tabs>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2.15.1 </w:t>
      </w:r>
      <w:r>
        <w:rPr>
          <w:rFonts w:hint="eastAsia" w:ascii="宋体" w:hAnsi="宋体" w:cs="Times New Roman"/>
          <w:color w:val="auto"/>
          <w:sz w:val="24"/>
          <w:highlight w:val="none"/>
        </w:rPr>
        <w:t>乙方按照</w:t>
      </w:r>
      <w:r>
        <w:rPr>
          <w:rFonts w:ascii="宋体" w:hAnsi="宋体" w:cs="Times New Roman"/>
          <w:color w:val="auto"/>
          <w:sz w:val="24"/>
          <w:highlight w:val="none"/>
        </w:rPr>
        <w:t>约定</w:t>
      </w:r>
      <w:r>
        <w:rPr>
          <w:rFonts w:hint="eastAsia" w:ascii="宋体" w:hAnsi="宋体" w:cs="Times New Roman"/>
          <w:color w:val="auto"/>
          <w:sz w:val="24"/>
          <w:highlight w:val="none"/>
        </w:rPr>
        <w:t>，</w:t>
      </w:r>
      <w:r>
        <w:rPr>
          <w:rFonts w:ascii="宋体" w:hAnsi="宋体" w:cs="Times New Roman"/>
          <w:color w:val="auto"/>
          <w:sz w:val="24"/>
          <w:highlight w:val="none"/>
        </w:rPr>
        <w:t>定期提交服务报告</w:t>
      </w:r>
      <w:r>
        <w:rPr>
          <w:rFonts w:hint="eastAsia" w:ascii="宋体" w:hAnsi="宋体" w:cs="Times New Roman"/>
          <w:color w:val="auto"/>
          <w:sz w:val="24"/>
          <w:highlight w:val="none"/>
        </w:rPr>
        <w:t>，甲方</w:t>
      </w:r>
      <w:r>
        <w:rPr>
          <w:rFonts w:ascii="宋体" w:hAnsi="宋体" w:cs="Times New Roman"/>
          <w:color w:val="auto"/>
          <w:sz w:val="24"/>
          <w:highlight w:val="none"/>
        </w:rPr>
        <w:t>进行定期验收</w:t>
      </w:r>
      <w:r>
        <w:rPr>
          <w:rFonts w:hint="eastAsia" w:ascii="宋体" w:hAnsi="宋体" w:cs="Times New Roman"/>
          <w:color w:val="auto"/>
          <w:sz w:val="24"/>
          <w:highlight w:val="none"/>
        </w:rPr>
        <w:t>；</w:t>
      </w:r>
    </w:p>
    <w:p w14:paraId="2C25F469">
      <w:pPr>
        <w:shd w:val="clear"/>
        <w:tabs>
          <w:tab w:val="left" w:pos="360"/>
          <w:tab w:val="left" w:pos="540"/>
          <w:tab w:val="left" w:pos="1080"/>
        </w:tabs>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2.15.2 </w:t>
      </w:r>
      <w:r>
        <w:rPr>
          <w:rFonts w:hint="eastAsia" w:ascii="宋体" w:hAnsi="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BA70174">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2.16 通知和送达</w:t>
      </w:r>
    </w:p>
    <w:p w14:paraId="1429997B">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2.17.1</w:t>
      </w:r>
      <w:r>
        <w:rPr>
          <w:rFonts w:hint="eastAsia" w:ascii="宋体" w:hAnsi="宋体" w:cs="Times New Roman"/>
          <w:color w:val="auto"/>
          <w:sz w:val="24"/>
          <w:highlight w:val="none"/>
        </w:rPr>
        <w:t>任何一方因履行合同而以合同第一部分尾部所列明的传真或电子邮件</w:t>
      </w:r>
      <w:r>
        <w:rPr>
          <w:rFonts w:ascii="宋体" w:hAnsi="宋体" w:cs="Times New Roman"/>
          <w:color w:val="auto"/>
          <w:sz w:val="24"/>
          <w:highlight w:val="none"/>
        </w:rPr>
        <w:t xml:space="preserve"> </w:t>
      </w:r>
      <w:r>
        <w:rPr>
          <w:rFonts w:ascii="宋体" w:hAnsi="宋体" w:cs="Times New Roman"/>
          <w:color w:val="auto"/>
          <w:sz w:val="24"/>
          <w:highlight w:val="none"/>
          <w:u w:val="single"/>
        </w:rPr>
        <w:t xml:space="preserve">       </w:t>
      </w:r>
      <w:r>
        <w:rPr>
          <w:rFonts w:hint="eastAsia" w:ascii="宋体" w:hAnsi="宋体" w:cs="Times New Roman"/>
          <w:color w:val="auto"/>
          <w:sz w:val="24"/>
          <w:highlight w:val="none"/>
        </w:rPr>
        <w:t>发出的所有通知、文件、材料，均视为已向对方当事人送达；任何一方变更上述送达方式或者地址的，应于</w:t>
      </w:r>
      <w:r>
        <w:rPr>
          <w:rFonts w:ascii="宋体" w:hAnsi="宋体" w:cs="Times New Roman"/>
          <w:color w:val="auto"/>
          <w:sz w:val="24"/>
          <w:highlight w:val="none"/>
          <w:u w:val="single"/>
        </w:rPr>
        <w:t>3</w:t>
      </w:r>
      <w:r>
        <w:rPr>
          <w:rFonts w:hint="eastAsia" w:ascii="宋体" w:hAnsi="宋体" w:cs="Times New Roman"/>
          <w:color w:val="auto"/>
          <w:sz w:val="24"/>
          <w:highlight w:val="none"/>
        </w:rPr>
        <w:t>个工作日内书面通知对方当事人，在对方当事人收到有关变更通知之前，变更前的约定送达方式或者地址仍视为有效。</w:t>
      </w:r>
    </w:p>
    <w:p w14:paraId="58BFAE57">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s="Times New Roman"/>
          <w:color w:val="auto"/>
          <w:sz w:val="24"/>
          <w:highlight w:val="none"/>
        </w:rPr>
        <w:t>的，邮件挂号寄出或者交邮之日之次日视为送达。</w:t>
      </w:r>
    </w:p>
    <w:p w14:paraId="230E0FF5">
      <w:pPr>
        <w:shd w:val="clear"/>
        <w:spacing w:line="560" w:lineRule="exact"/>
        <w:ind w:firstLine="482" w:firstLineChars="200"/>
        <w:outlineLvl w:val="0"/>
        <w:rPr>
          <w:rFonts w:ascii="宋体" w:hAnsi="宋体" w:cs="Times New Roman"/>
          <w:b/>
          <w:color w:val="auto"/>
          <w:sz w:val="24"/>
          <w:highlight w:val="none"/>
        </w:rPr>
      </w:pPr>
      <w:r>
        <w:rPr>
          <w:rFonts w:ascii="宋体" w:hAnsi="宋体" w:cs="Times New Roman"/>
          <w:b/>
          <w:color w:val="auto"/>
          <w:sz w:val="24"/>
          <w:highlight w:val="none"/>
        </w:rPr>
        <w:t xml:space="preserve">2.17 </w:t>
      </w:r>
      <w:r>
        <w:rPr>
          <w:rFonts w:hint="eastAsia" w:ascii="宋体" w:hAnsi="宋体" w:cs="Times New Roman"/>
          <w:b/>
          <w:color w:val="auto"/>
          <w:sz w:val="24"/>
          <w:highlight w:val="none"/>
        </w:rPr>
        <w:t>合同使用的文字和</w:t>
      </w:r>
      <w:r>
        <w:rPr>
          <w:rFonts w:ascii="宋体" w:hAnsi="宋体" w:cs="Times New Roman"/>
          <w:b/>
          <w:color w:val="auto"/>
          <w:sz w:val="24"/>
          <w:highlight w:val="none"/>
        </w:rPr>
        <w:t>适用的法律</w:t>
      </w:r>
    </w:p>
    <w:p w14:paraId="19800C5D">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2.17.1 合同使用汉语书就</w:t>
      </w:r>
      <w:r>
        <w:rPr>
          <w:rFonts w:hint="eastAsia" w:ascii="宋体" w:hAnsi="宋体" w:cs="Times New Roman"/>
          <w:color w:val="auto"/>
          <w:sz w:val="24"/>
          <w:highlight w:val="none"/>
        </w:rPr>
        <w:t>、</w:t>
      </w:r>
      <w:r>
        <w:rPr>
          <w:rFonts w:ascii="宋体" w:hAnsi="宋体" w:cs="Times New Roman"/>
          <w:color w:val="auto"/>
          <w:sz w:val="24"/>
          <w:highlight w:val="none"/>
        </w:rPr>
        <w:t>变更和解释</w:t>
      </w:r>
      <w:r>
        <w:rPr>
          <w:rFonts w:hint="eastAsia" w:ascii="宋体" w:hAnsi="宋体" w:cs="Times New Roman"/>
          <w:color w:val="auto"/>
          <w:sz w:val="24"/>
          <w:highlight w:val="none"/>
        </w:rPr>
        <w:t>；</w:t>
      </w:r>
    </w:p>
    <w:p w14:paraId="11ABA02E">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 xml:space="preserve">2.17.2 </w:t>
      </w:r>
      <w:r>
        <w:rPr>
          <w:rFonts w:hint="eastAsia" w:ascii="宋体" w:hAnsi="宋体" w:cs="Times New Roman"/>
          <w:color w:val="auto"/>
          <w:sz w:val="24"/>
          <w:highlight w:val="none"/>
        </w:rPr>
        <w:t>合同适用</w:t>
      </w:r>
      <w:r>
        <w:rPr>
          <w:rFonts w:ascii="宋体" w:hAnsi="宋体" w:cs="Times New Roman"/>
          <w:color w:val="auto"/>
          <w:sz w:val="24"/>
          <w:highlight w:val="none"/>
        </w:rPr>
        <w:t>中华人民共和国法律。</w:t>
      </w:r>
    </w:p>
    <w:p w14:paraId="4DDCC3C9">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263A5088">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1924819">
      <w:pPr>
        <w:shd w:val="clear"/>
        <w:spacing w:line="560" w:lineRule="exact"/>
        <w:ind w:firstLine="482" w:firstLineChars="200"/>
        <w:rPr>
          <w:rFonts w:ascii="宋体" w:hAnsi="宋体" w:cs="Times New Roman"/>
          <w:b/>
          <w:color w:val="auto"/>
          <w:sz w:val="24"/>
          <w:highlight w:val="none"/>
        </w:rPr>
      </w:pPr>
      <w:r>
        <w:rPr>
          <w:rFonts w:ascii="宋体" w:hAnsi="宋体" w:cs="Times New Roman"/>
          <w:b/>
          <w:color w:val="auto"/>
          <w:sz w:val="24"/>
          <w:highlight w:val="none"/>
        </w:rPr>
        <w:t>2.</w:t>
      </w:r>
      <w:r>
        <w:rPr>
          <w:rFonts w:hint="eastAsia" w:ascii="宋体" w:hAnsi="宋体" w:cs="Times New Roman"/>
          <w:b/>
          <w:color w:val="auto"/>
          <w:sz w:val="24"/>
          <w:highlight w:val="none"/>
        </w:rPr>
        <w:t>19</w:t>
      </w:r>
      <w:r>
        <w:rPr>
          <w:rFonts w:ascii="宋体" w:hAnsi="宋体" w:cs="Times New Roman"/>
          <w:b/>
          <w:color w:val="auto"/>
          <w:sz w:val="24"/>
          <w:highlight w:val="none"/>
        </w:rPr>
        <w:t>合同份数</w:t>
      </w:r>
    </w:p>
    <w:p w14:paraId="4A40D48F">
      <w:pPr>
        <w:shd w:val="clear"/>
        <w:spacing w:line="560" w:lineRule="exact"/>
        <w:ind w:firstLine="480" w:firstLineChars="200"/>
        <w:rPr>
          <w:rFonts w:ascii="宋体" w:hAnsi="宋体" w:cs="Times New Roman"/>
          <w:color w:val="auto"/>
          <w:sz w:val="24"/>
          <w:highlight w:val="none"/>
        </w:rPr>
      </w:pPr>
      <w:r>
        <w:rPr>
          <w:rFonts w:ascii="宋体" w:hAnsi="宋体" w:cs="Times New Roman"/>
          <w:color w:val="auto"/>
          <w:sz w:val="24"/>
          <w:highlight w:val="none"/>
        </w:rPr>
        <w:t>合同份数</w:t>
      </w:r>
      <w:r>
        <w:rPr>
          <w:rFonts w:hint="eastAsia" w:ascii="宋体" w:hAnsi="宋体" w:cs="Times New Roman"/>
          <w:color w:val="auto"/>
          <w:sz w:val="24"/>
          <w:highlight w:val="none"/>
          <w:lang w:val="en-US" w:eastAsia="zh-CN"/>
        </w:rPr>
        <w:t>正本</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份，副本</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份</w:t>
      </w:r>
      <w:r>
        <w:rPr>
          <w:rFonts w:hint="eastAsia" w:ascii="宋体" w:hAnsi="宋体" w:cs="Times New Roman"/>
          <w:color w:val="auto"/>
          <w:sz w:val="24"/>
          <w:highlight w:val="none"/>
        </w:rPr>
        <w:t>，</w:t>
      </w:r>
      <w:r>
        <w:rPr>
          <w:rFonts w:ascii="宋体" w:hAnsi="宋体" w:cs="Times New Roman"/>
          <w:color w:val="auto"/>
          <w:sz w:val="24"/>
          <w:highlight w:val="none"/>
        </w:rPr>
        <w:t>每份均具有同等法律效力</w:t>
      </w:r>
      <w:r>
        <w:rPr>
          <w:rFonts w:hint="eastAsia" w:ascii="宋体" w:hAnsi="宋体" w:cs="Times New Roman"/>
          <w:color w:val="auto"/>
          <w:sz w:val="24"/>
          <w:highlight w:val="none"/>
        </w:rPr>
        <w:t>。</w:t>
      </w:r>
    </w:p>
    <w:p w14:paraId="6E626D31">
      <w:pPr>
        <w:widowControl/>
        <w:shd w:val="clear"/>
        <w:adjustRightInd/>
        <w:jc w:val="left"/>
        <w:rPr>
          <w:rFonts w:ascii="宋体" w:hAnsi="宋体" w:cs="Times New Roman"/>
          <w:b/>
          <w:color w:val="auto"/>
          <w:sz w:val="24"/>
          <w:highlight w:val="none"/>
        </w:rPr>
      </w:pPr>
      <w:bookmarkStart w:id="406" w:name="_Toc22993"/>
      <w:r>
        <w:rPr>
          <w:rFonts w:ascii="宋体" w:hAnsi="宋体" w:cs="Times New Roman"/>
          <w:b/>
          <w:color w:val="auto"/>
          <w:highlight w:val="none"/>
        </w:rPr>
        <w:br w:type="page"/>
      </w:r>
    </w:p>
    <w:p w14:paraId="3ECFB654">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bookmarkEnd w:id="406"/>
    </w:p>
    <w:p w14:paraId="3738FF73">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2C72E01B">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E0180CB">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A111A94">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1EAA28C5">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DF38791">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（2）联合协议………………………………………………………………（页码）</w:t>
      </w:r>
    </w:p>
    <w:p w14:paraId="6413CAC8">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7A04DBE6">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5DEDC9FD">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BC2BF2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7689DBF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32C8843D">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CA74706">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07BECF3">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11A1243">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EC360D9">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538DE30">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69627A5">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0A59EE7">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E747282">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r>
        <w:rPr>
          <w:rFonts w:hint="eastAsia" w:ascii="宋体" w:hAnsi="宋体" w:cs="宋体"/>
          <w:color w:val="auto"/>
          <w:sz w:val="24"/>
          <w:highlight w:val="none"/>
        </w:rPr>
        <w:t>未在中国裁判文书网有行贿犯罪相关记录。</w:t>
      </w:r>
    </w:p>
    <w:p w14:paraId="54B4FA6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4D2936F9">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07B6877">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371A6E7">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7906E838">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7D93C7EB">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09C3C5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5EAE32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E1EA8E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102DC5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7D3DB83">
      <w:pPr>
        <w:kinsoku/>
        <w:wordWrap/>
        <w:overflowPunct/>
        <w:topLinePunct w:val="0"/>
        <w:bidi w:val="0"/>
        <w:outlineLvl w:val="9"/>
        <w:rPr>
          <w:rFonts w:ascii="宋体" w:hAnsi="宋体" w:cs="宋体"/>
          <w:color w:val="auto"/>
          <w:highlight w:val="none"/>
        </w:rPr>
      </w:pPr>
    </w:p>
    <w:p w14:paraId="0FAD399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A16449B">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32D966F4">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660A93DB">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404E336">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42C7001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39616B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C3A884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C99BB2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A386BD1">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D3BCB79">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74F0C045">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3F05CBB">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3A9FD4B1">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6159189">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602B3C1A">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B521C26">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29E94CB">
      <w:pPr>
        <w:kinsoku/>
        <w:wordWrap/>
        <w:overflowPunct/>
        <w:topLinePunct w:val="0"/>
        <w:bidi w:val="0"/>
        <w:outlineLvl w:val="9"/>
        <w:rPr>
          <w:rFonts w:ascii="宋体" w:hAnsi="宋体" w:cs="宋体"/>
          <w:color w:val="auto"/>
          <w:highlight w:val="none"/>
        </w:rPr>
      </w:pPr>
    </w:p>
    <w:p w14:paraId="1B051040">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FE9117E">
      <w:pPr>
        <w:kinsoku/>
        <w:wordWrap/>
        <w:overflowPunct/>
        <w:topLinePunct w:val="0"/>
        <w:bidi w:val="0"/>
        <w:spacing w:line="360" w:lineRule="auto"/>
        <w:ind w:right="420"/>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57E9976">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8D7B2B5">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63701A0">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550D179">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ED7971E">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709A769">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099849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F15B707">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0968BE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3E18C98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406500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0E511BC">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35F111E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5DCAC217">
      <w:pPr>
        <w:kinsoku/>
        <w:wordWrap/>
        <w:overflowPunct/>
        <w:topLinePunct w:val="0"/>
        <w:bidi w:val="0"/>
        <w:outlineLvl w:val="9"/>
        <w:rPr>
          <w:rFonts w:ascii="宋体" w:hAnsi="宋体" w:cs="宋体"/>
          <w:color w:val="auto"/>
          <w:highlight w:val="none"/>
        </w:rPr>
      </w:pPr>
    </w:p>
    <w:p w14:paraId="296EE5EC">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31D0606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41544D63">
      <w:pPr>
        <w:tabs>
          <w:tab w:val="left" w:pos="432"/>
        </w:tabs>
        <w:kinsoku/>
        <w:wordWrap/>
        <w:overflowPunct/>
        <w:topLinePunct w:val="0"/>
        <w:bidi w:val="0"/>
        <w:outlineLvl w:val="9"/>
        <w:rPr>
          <w:color w:val="auto"/>
          <w:highlight w:val="none"/>
          <w:lang w:val="en-US"/>
        </w:rPr>
      </w:pPr>
    </w:p>
    <w:p w14:paraId="793D3958">
      <w:pPr>
        <w:kinsoku/>
        <w:wordWrap/>
        <w:overflowPunct/>
        <w:topLinePunct w:val="0"/>
        <w:bidi w:val="0"/>
        <w:outlineLvl w:val="9"/>
        <w:rPr>
          <w:color w:val="auto"/>
          <w:highlight w:val="none"/>
        </w:rPr>
      </w:pPr>
    </w:p>
    <w:p w14:paraId="2BB6DA4E">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7D1D2268">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28AB6ADC">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3DA5220A">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52F2A6">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772FB34">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1195ED0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3D2629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DA0EF5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BC484A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3EBEDEE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2.1.1承诺函；</w:t>
      </w:r>
    </w:p>
    <w:p w14:paraId="3461C90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BF6328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392D98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cs="宋体"/>
          <w:snapToGrid w:val="0"/>
          <w:color w:val="auto"/>
          <w:kern w:val="28"/>
          <w:sz w:val="24"/>
          <w:szCs w:val="20"/>
          <w:highlight w:val="none"/>
          <w:lang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13899EDA">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8D42C1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4EE8BF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CA4C3D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E6D43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35AC80D">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C719186">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15C6CA9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560B094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9C355E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2.3.1开标一览表（报价表）</w:t>
      </w:r>
      <w:r>
        <w:rPr>
          <w:rFonts w:hint="eastAsia" w:ascii="宋体" w:hAnsi="宋体" w:eastAsia="宋体" w:cs="宋体"/>
          <w:color w:val="auto"/>
          <w:sz w:val="24"/>
          <w:highlight w:val="none"/>
          <w:lang w:eastAsia="zh-CN"/>
        </w:rPr>
        <w:t>；</w:t>
      </w:r>
    </w:p>
    <w:p w14:paraId="2316DE4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w:t>
      </w:r>
    </w:p>
    <w:p w14:paraId="5E6FF6D3">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bookmarkStart w:id="416" w:name="_GoBack"/>
      <w:bookmarkEnd w:id="416"/>
    </w:p>
    <w:p w14:paraId="3547AF3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525E1572">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721D082">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042D28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在合同约定的期限内完成合同规定的全部义务。</w:t>
      </w:r>
    </w:p>
    <w:p w14:paraId="215B220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4.4</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59344A27">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5EB823">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70F3E257">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860D2B">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62EEE7F3">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94E98F5">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454D56B0">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AC4140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999390C">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B148523">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566F9E7">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BD7FCF2">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54F690D">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C385E23">
      <w:pPr>
        <w:kinsoku/>
        <w:wordWrap/>
        <w:overflowPunct/>
        <w:topLinePunct w:val="0"/>
        <w:bidi w:val="0"/>
        <w:snapToGrid w:val="0"/>
        <w:spacing w:line="360" w:lineRule="auto"/>
        <w:outlineLvl w:val="9"/>
        <w:rPr>
          <w:rFonts w:ascii="宋体" w:hAnsi="宋体" w:cs="宋体"/>
          <w:color w:val="auto"/>
          <w:sz w:val="24"/>
          <w:highlight w:val="none"/>
        </w:rPr>
      </w:pPr>
    </w:p>
    <w:p w14:paraId="74B306F5">
      <w:pPr>
        <w:kinsoku/>
        <w:wordWrap/>
        <w:overflowPunct/>
        <w:topLinePunct w:val="0"/>
        <w:bidi w:val="0"/>
        <w:snapToGrid w:val="0"/>
        <w:spacing w:line="360" w:lineRule="auto"/>
        <w:outlineLvl w:val="9"/>
        <w:rPr>
          <w:rFonts w:ascii="宋体" w:hAnsi="宋体" w:cs="宋体"/>
          <w:color w:val="auto"/>
          <w:sz w:val="24"/>
          <w:highlight w:val="none"/>
        </w:rPr>
      </w:pPr>
    </w:p>
    <w:p w14:paraId="6E729C1D">
      <w:pPr>
        <w:kinsoku/>
        <w:wordWrap/>
        <w:overflowPunct/>
        <w:topLinePunct w:val="0"/>
        <w:bidi w:val="0"/>
        <w:snapToGrid w:val="0"/>
        <w:spacing w:line="360" w:lineRule="auto"/>
        <w:outlineLvl w:val="9"/>
        <w:rPr>
          <w:rFonts w:ascii="宋体" w:hAnsi="宋体" w:cs="宋体"/>
          <w:color w:val="auto"/>
          <w:sz w:val="24"/>
          <w:highlight w:val="none"/>
        </w:rPr>
      </w:pPr>
    </w:p>
    <w:p w14:paraId="4307A4B3">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8D5D84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82FAE22">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DC7F81A">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04CB281">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79A538A">
      <w:pPr>
        <w:kinsoku/>
        <w:wordWrap/>
        <w:overflowPunct/>
        <w:topLinePunct w:val="0"/>
        <w:bidi w:val="0"/>
        <w:jc w:val="center"/>
        <w:outlineLvl w:val="9"/>
        <w:rPr>
          <w:rFonts w:ascii="宋体" w:hAnsi="宋体" w:cs="宋体"/>
          <w:b/>
          <w:color w:val="auto"/>
          <w:kern w:val="0"/>
          <w:sz w:val="32"/>
          <w:szCs w:val="32"/>
          <w:highlight w:val="none"/>
        </w:rPr>
      </w:pPr>
    </w:p>
    <w:p w14:paraId="5BA58E8B">
      <w:pPr>
        <w:kinsoku/>
        <w:wordWrap/>
        <w:overflowPunct/>
        <w:topLinePunct w:val="0"/>
        <w:bidi w:val="0"/>
        <w:jc w:val="center"/>
        <w:outlineLvl w:val="9"/>
        <w:rPr>
          <w:rFonts w:ascii="宋体" w:hAnsi="宋体" w:cs="宋体"/>
          <w:b/>
          <w:color w:val="auto"/>
          <w:kern w:val="0"/>
          <w:sz w:val="32"/>
          <w:szCs w:val="32"/>
          <w:highlight w:val="none"/>
        </w:rPr>
      </w:pPr>
    </w:p>
    <w:p w14:paraId="411ADB49">
      <w:pPr>
        <w:kinsoku/>
        <w:wordWrap/>
        <w:overflowPunct/>
        <w:topLinePunct w:val="0"/>
        <w:bidi w:val="0"/>
        <w:jc w:val="center"/>
        <w:outlineLvl w:val="9"/>
        <w:rPr>
          <w:rFonts w:ascii="宋体" w:hAnsi="宋体" w:cs="宋体"/>
          <w:b/>
          <w:color w:val="auto"/>
          <w:kern w:val="0"/>
          <w:sz w:val="32"/>
          <w:szCs w:val="32"/>
          <w:highlight w:val="none"/>
        </w:rPr>
      </w:pPr>
    </w:p>
    <w:p w14:paraId="0F225055">
      <w:pPr>
        <w:kinsoku/>
        <w:wordWrap/>
        <w:overflowPunct/>
        <w:topLinePunct w:val="0"/>
        <w:bidi w:val="0"/>
        <w:outlineLvl w:val="9"/>
        <w:rPr>
          <w:rFonts w:ascii="宋体" w:hAnsi="宋体" w:cs="宋体"/>
          <w:color w:val="auto"/>
          <w:highlight w:val="none"/>
        </w:rPr>
      </w:pPr>
    </w:p>
    <w:p w14:paraId="1A6B3A6A">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1BD0CA">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B2C564">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228C9457">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7BC98D2">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396D2884">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34C71D3B">
      <w:pPr>
        <w:pStyle w:val="155"/>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98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590357">
            <w:pPr>
              <w:pStyle w:val="155"/>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12A1516B">
            <w:pPr>
              <w:pStyle w:val="155"/>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2D35AA48">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641F7C1">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242CC29F">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7004B4">
      <w:pPr>
        <w:kinsoku/>
        <w:wordWrap/>
        <w:overflowPunct/>
        <w:topLinePunct w:val="0"/>
        <w:bidi w:val="0"/>
        <w:jc w:val="center"/>
        <w:outlineLvl w:val="9"/>
        <w:rPr>
          <w:rFonts w:ascii="宋体" w:hAnsi="宋体" w:cs="宋体"/>
          <w:b/>
          <w:color w:val="auto"/>
          <w:kern w:val="0"/>
          <w:sz w:val="32"/>
          <w:szCs w:val="32"/>
          <w:highlight w:val="none"/>
        </w:rPr>
      </w:pPr>
    </w:p>
    <w:p w14:paraId="6B27A527">
      <w:pPr>
        <w:kinsoku/>
        <w:wordWrap/>
        <w:overflowPunct/>
        <w:topLinePunct w:val="0"/>
        <w:bidi w:val="0"/>
        <w:jc w:val="center"/>
        <w:outlineLvl w:val="9"/>
        <w:rPr>
          <w:rFonts w:ascii="宋体" w:hAnsi="宋体" w:cs="宋体"/>
          <w:b/>
          <w:color w:val="auto"/>
          <w:kern w:val="0"/>
          <w:sz w:val="32"/>
          <w:szCs w:val="32"/>
          <w:highlight w:val="none"/>
        </w:rPr>
      </w:pPr>
    </w:p>
    <w:p w14:paraId="23EF9A14">
      <w:pPr>
        <w:kinsoku/>
        <w:wordWrap/>
        <w:overflowPunct/>
        <w:topLinePunct w:val="0"/>
        <w:bidi w:val="0"/>
        <w:jc w:val="center"/>
        <w:outlineLvl w:val="9"/>
        <w:rPr>
          <w:rFonts w:ascii="宋体" w:hAnsi="宋体" w:cs="宋体"/>
          <w:b/>
          <w:color w:val="auto"/>
          <w:kern w:val="0"/>
          <w:sz w:val="32"/>
          <w:szCs w:val="32"/>
          <w:highlight w:val="none"/>
        </w:rPr>
      </w:pPr>
    </w:p>
    <w:p w14:paraId="04803B71">
      <w:pPr>
        <w:kinsoku/>
        <w:wordWrap/>
        <w:overflowPunct/>
        <w:topLinePunct w:val="0"/>
        <w:bidi w:val="0"/>
        <w:jc w:val="center"/>
        <w:outlineLvl w:val="9"/>
        <w:rPr>
          <w:rFonts w:ascii="宋体" w:hAnsi="宋体" w:cs="宋体"/>
          <w:b/>
          <w:color w:val="auto"/>
          <w:kern w:val="0"/>
          <w:sz w:val="32"/>
          <w:szCs w:val="32"/>
          <w:highlight w:val="none"/>
        </w:rPr>
      </w:pPr>
    </w:p>
    <w:p w14:paraId="605E47EA">
      <w:pPr>
        <w:kinsoku/>
        <w:wordWrap/>
        <w:overflowPunct/>
        <w:topLinePunct w:val="0"/>
        <w:bidi w:val="0"/>
        <w:jc w:val="center"/>
        <w:outlineLvl w:val="9"/>
        <w:rPr>
          <w:rFonts w:ascii="宋体" w:hAnsi="宋体" w:cs="宋体"/>
          <w:b/>
          <w:color w:val="auto"/>
          <w:kern w:val="0"/>
          <w:sz w:val="32"/>
          <w:szCs w:val="32"/>
          <w:highlight w:val="none"/>
        </w:rPr>
      </w:pPr>
    </w:p>
    <w:p w14:paraId="5E438E1F">
      <w:pPr>
        <w:kinsoku/>
        <w:wordWrap/>
        <w:overflowPunct/>
        <w:topLinePunct w:val="0"/>
        <w:bidi w:val="0"/>
        <w:jc w:val="center"/>
        <w:outlineLvl w:val="9"/>
        <w:rPr>
          <w:rFonts w:ascii="宋体" w:hAnsi="宋体" w:cs="宋体"/>
          <w:b/>
          <w:color w:val="auto"/>
          <w:kern w:val="0"/>
          <w:sz w:val="32"/>
          <w:szCs w:val="32"/>
          <w:highlight w:val="none"/>
        </w:rPr>
      </w:pPr>
    </w:p>
    <w:p w14:paraId="3DA39137">
      <w:pPr>
        <w:kinsoku/>
        <w:wordWrap/>
        <w:overflowPunct/>
        <w:topLinePunct w:val="0"/>
        <w:bidi w:val="0"/>
        <w:jc w:val="center"/>
        <w:outlineLvl w:val="9"/>
        <w:rPr>
          <w:rFonts w:ascii="宋体" w:hAnsi="宋体" w:cs="宋体"/>
          <w:b/>
          <w:color w:val="auto"/>
          <w:kern w:val="0"/>
          <w:sz w:val="32"/>
          <w:szCs w:val="32"/>
          <w:highlight w:val="none"/>
        </w:rPr>
      </w:pPr>
    </w:p>
    <w:p w14:paraId="1F81C959">
      <w:pPr>
        <w:kinsoku/>
        <w:wordWrap/>
        <w:overflowPunct/>
        <w:topLinePunct w:val="0"/>
        <w:bidi w:val="0"/>
        <w:jc w:val="center"/>
        <w:outlineLvl w:val="9"/>
        <w:rPr>
          <w:rFonts w:ascii="宋体" w:hAnsi="宋体" w:cs="宋体"/>
          <w:b/>
          <w:color w:val="auto"/>
          <w:kern w:val="0"/>
          <w:sz w:val="32"/>
          <w:szCs w:val="32"/>
          <w:highlight w:val="none"/>
        </w:rPr>
      </w:pPr>
    </w:p>
    <w:p w14:paraId="1B29B22A">
      <w:pPr>
        <w:kinsoku/>
        <w:wordWrap/>
        <w:overflowPunct/>
        <w:topLinePunct w:val="0"/>
        <w:bidi w:val="0"/>
        <w:jc w:val="center"/>
        <w:outlineLvl w:val="9"/>
        <w:rPr>
          <w:rFonts w:ascii="宋体" w:hAnsi="宋体" w:cs="宋体"/>
          <w:b/>
          <w:color w:val="auto"/>
          <w:kern w:val="0"/>
          <w:sz w:val="32"/>
          <w:szCs w:val="32"/>
          <w:highlight w:val="none"/>
        </w:rPr>
      </w:pPr>
    </w:p>
    <w:p w14:paraId="04D21144">
      <w:pPr>
        <w:kinsoku/>
        <w:wordWrap/>
        <w:overflowPunct/>
        <w:topLinePunct w:val="0"/>
        <w:bidi w:val="0"/>
        <w:jc w:val="center"/>
        <w:outlineLvl w:val="9"/>
        <w:rPr>
          <w:rFonts w:ascii="宋体" w:hAnsi="宋体" w:cs="宋体"/>
          <w:b/>
          <w:color w:val="auto"/>
          <w:kern w:val="0"/>
          <w:sz w:val="32"/>
          <w:szCs w:val="32"/>
          <w:highlight w:val="none"/>
        </w:rPr>
      </w:pPr>
    </w:p>
    <w:p w14:paraId="2BCAD131">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7FDF8A2">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813A0A2">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40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w:t>
      </w:r>
      <w:r>
        <w:rPr>
          <w:rFonts w:hint="eastAsia" w:ascii="宋体" w:hAnsi="宋体" w:cs="宋体"/>
          <w:b/>
          <w:color w:val="auto"/>
          <w:sz w:val="24"/>
          <w:highlight w:val="none"/>
          <w:lang w:val="en-US" w:eastAsia="zh-CN"/>
        </w:rPr>
        <w:t>5</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407"/>
    <w:p w14:paraId="503FB74A">
      <w:pPr>
        <w:kinsoku/>
        <w:wordWrap/>
        <w:overflowPunct/>
        <w:topLinePunct w:val="0"/>
        <w:bidi w:val="0"/>
        <w:snapToGrid w:val="0"/>
        <w:spacing w:line="360" w:lineRule="auto"/>
        <w:outlineLvl w:val="9"/>
        <w:rPr>
          <w:rFonts w:ascii="宋体" w:hAnsi="宋体" w:cs="宋体"/>
          <w:color w:val="auto"/>
          <w:kern w:val="0"/>
          <w:sz w:val="24"/>
          <w:highlight w:val="none"/>
        </w:rPr>
      </w:pPr>
    </w:p>
    <w:p w14:paraId="5C91AF72">
      <w:pPr>
        <w:kinsoku/>
        <w:wordWrap/>
        <w:overflowPunct/>
        <w:topLinePunct w:val="0"/>
        <w:bidi w:val="0"/>
        <w:jc w:val="center"/>
        <w:outlineLvl w:val="9"/>
        <w:rPr>
          <w:rFonts w:ascii="宋体" w:hAnsi="宋体" w:cs="宋体"/>
          <w:b/>
          <w:color w:val="auto"/>
          <w:kern w:val="0"/>
          <w:sz w:val="32"/>
          <w:szCs w:val="32"/>
          <w:highlight w:val="none"/>
        </w:rPr>
      </w:pPr>
    </w:p>
    <w:p w14:paraId="0090FBC4">
      <w:pPr>
        <w:tabs>
          <w:tab w:val="left" w:pos="432"/>
        </w:tabs>
        <w:kinsoku/>
        <w:wordWrap/>
        <w:overflowPunct/>
        <w:topLinePunct w:val="0"/>
        <w:bidi w:val="0"/>
        <w:outlineLvl w:val="9"/>
        <w:rPr>
          <w:color w:val="auto"/>
          <w:highlight w:val="none"/>
          <w:lang w:val="en-US"/>
        </w:rPr>
      </w:pPr>
    </w:p>
    <w:p w14:paraId="36309B7F">
      <w:pPr>
        <w:kinsoku/>
        <w:wordWrap/>
        <w:overflowPunct/>
        <w:topLinePunct w:val="0"/>
        <w:bidi w:val="0"/>
        <w:outlineLvl w:val="9"/>
        <w:rPr>
          <w:color w:val="auto"/>
          <w:highlight w:val="none"/>
        </w:rPr>
      </w:pPr>
    </w:p>
    <w:p w14:paraId="2ECD892B">
      <w:pPr>
        <w:tabs>
          <w:tab w:val="left" w:pos="432"/>
        </w:tabs>
        <w:kinsoku/>
        <w:wordWrap/>
        <w:overflowPunct/>
        <w:topLinePunct w:val="0"/>
        <w:bidi w:val="0"/>
        <w:outlineLvl w:val="9"/>
        <w:rPr>
          <w:color w:val="auto"/>
          <w:highlight w:val="none"/>
          <w:lang w:val="en-US"/>
        </w:rPr>
      </w:pPr>
    </w:p>
    <w:p w14:paraId="559CDBA0">
      <w:pPr>
        <w:kinsoku/>
        <w:wordWrap/>
        <w:overflowPunct/>
        <w:topLinePunct w:val="0"/>
        <w:bidi w:val="0"/>
        <w:jc w:val="center"/>
        <w:outlineLvl w:val="9"/>
        <w:rPr>
          <w:rFonts w:ascii="宋体" w:hAnsi="宋体" w:cs="宋体"/>
          <w:b/>
          <w:color w:val="auto"/>
          <w:kern w:val="0"/>
          <w:sz w:val="32"/>
          <w:szCs w:val="32"/>
          <w:highlight w:val="none"/>
        </w:rPr>
      </w:pPr>
    </w:p>
    <w:p w14:paraId="237F2DAC">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D41A92F">
      <w:pPr>
        <w:kinsoku/>
        <w:wordWrap/>
        <w:overflowPunct/>
        <w:topLinePunct w:val="0"/>
        <w:bidi w:val="0"/>
        <w:jc w:val="center"/>
        <w:outlineLvl w:val="9"/>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0"/>
        <w:gridCol w:w="3102"/>
        <w:gridCol w:w="1418"/>
      </w:tblGrid>
      <w:tr w14:paraId="1501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F95B713">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0" w:type="dxa"/>
            <w:vAlign w:val="center"/>
          </w:tcPr>
          <w:p w14:paraId="69609EF8">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2" w:type="dxa"/>
            <w:vAlign w:val="center"/>
          </w:tcPr>
          <w:p w14:paraId="67116E10">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34F375F">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62794E17">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73A7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11401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0" w:type="dxa"/>
            <w:vAlign w:val="center"/>
          </w:tcPr>
          <w:p w14:paraId="48738589">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2" w:type="dxa"/>
            <w:vAlign w:val="center"/>
          </w:tcPr>
          <w:p w14:paraId="09C92F76">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6209DC7A">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14:paraId="03DF4472">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CB4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C25CA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0" w:type="dxa"/>
            <w:vAlign w:val="center"/>
          </w:tcPr>
          <w:p w14:paraId="05B80AD6">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2" w:type="dxa"/>
            <w:vAlign w:val="center"/>
          </w:tcPr>
          <w:p w14:paraId="5AC48801">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6F6317F2">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02C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84D38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0" w:type="dxa"/>
            <w:vAlign w:val="center"/>
          </w:tcPr>
          <w:p w14:paraId="0C9732B8">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2" w:type="dxa"/>
            <w:vAlign w:val="center"/>
          </w:tcPr>
          <w:p w14:paraId="61660DC1">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center"/>
          </w:tcPr>
          <w:p w14:paraId="193A936E">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7A6517D">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5C3F7E">
      <w:pPr>
        <w:kinsoku/>
        <w:wordWrap/>
        <w:overflowPunct/>
        <w:topLinePunct w:val="0"/>
        <w:bidi w:val="0"/>
        <w:jc w:val="center"/>
        <w:outlineLvl w:val="9"/>
        <w:rPr>
          <w:rFonts w:ascii="宋体" w:hAnsi="宋体" w:cs="宋体"/>
          <w:b/>
          <w:color w:val="auto"/>
          <w:kern w:val="0"/>
          <w:sz w:val="32"/>
          <w:szCs w:val="32"/>
          <w:highlight w:val="none"/>
        </w:rPr>
      </w:pPr>
    </w:p>
    <w:p w14:paraId="41836ED4">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2F2AB8C">
      <w:pPr>
        <w:kinsoku/>
        <w:wordWrap/>
        <w:overflowPunct/>
        <w:topLinePunct w:val="0"/>
        <w:bidi w:val="0"/>
        <w:jc w:val="center"/>
        <w:outlineLvl w:val="9"/>
        <w:rPr>
          <w:rFonts w:ascii="宋体" w:hAnsi="宋体" w:cs="宋体"/>
          <w:b/>
          <w:color w:val="auto"/>
          <w:kern w:val="0"/>
          <w:sz w:val="32"/>
          <w:szCs w:val="32"/>
          <w:highlight w:val="none"/>
        </w:rPr>
      </w:pPr>
    </w:p>
    <w:p w14:paraId="49789699">
      <w:pPr>
        <w:kinsoku/>
        <w:wordWrap/>
        <w:overflowPunct/>
        <w:topLinePunct w:val="0"/>
        <w:bidi w:val="0"/>
        <w:jc w:val="center"/>
        <w:outlineLvl w:val="9"/>
        <w:rPr>
          <w:rFonts w:ascii="宋体" w:hAnsi="宋体" w:cs="宋体"/>
          <w:b/>
          <w:color w:val="auto"/>
          <w:kern w:val="0"/>
          <w:sz w:val="32"/>
          <w:szCs w:val="32"/>
          <w:highlight w:val="none"/>
        </w:rPr>
      </w:pPr>
    </w:p>
    <w:p w14:paraId="43B16C99">
      <w:pPr>
        <w:kinsoku/>
        <w:wordWrap/>
        <w:overflowPunct/>
        <w:topLinePunct w:val="0"/>
        <w:bidi w:val="0"/>
        <w:jc w:val="center"/>
        <w:outlineLvl w:val="9"/>
        <w:rPr>
          <w:rFonts w:ascii="宋体" w:hAnsi="宋体" w:cs="宋体"/>
          <w:b/>
          <w:color w:val="auto"/>
          <w:kern w:val="0"/>
          <w:sz w:val="32"/>
          <w:szCs w:val="32"/>
          <w:highlight w:val="none"/>
        </w:rPr>
      </w:pPr>
    </w:p>
    <w:p w14:paraId="3B438845">
      <w:pPr>
        <w:kinsoku/>
        <w:wordWrap/>
        <w:overflowPunct/>
        <w:topLinePunct w:val="0"/>
        <w:bidi w:val="0"/>
        <w:jc w:val="center"/>
        <w:outlineLvl w:val="9"/>
        <w:rPr>
          <w:rFonts w:ascii="宋体" w:hAnsi="宋体" w:cs="宋体"/>
          <w:b/>
          <w:color w:val="auto"/>
          <w:kern w:val="0"/>
          <w:sz w:val="32"/>
          <w:szCs w:val="32"/>
          <w:highlight w:val="none"/>
        </w:rPr>
      </w:pPr>
    </w:p>
    <w:p w14:paraId="40C6870A">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68FADE">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E4B23E7">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409CC0E">
      <w:pPr>
        <w:kinsoku/>
        <w:wordWrap/>
        <w:overflowPunct/>
        <w:topLinePunct w:val="0"/>
        <w:bidi w:val="0"/>
        <w:jc w:val="center"/>
        <w:outlineLvl w:val="9"/>
        <w:rPr>
          <w:rFonts w:ascii="宋体" w:hAnsi="宋体" w:cs="宋体"/>
          <w:b/>
          <w:color w:val="auto"/>
          <w:kern w:val="0"/>
          <w:sz w:val="32"/>
          <w:szCs w:val="32"/>
          <w:highlight w:val="none"/>
        </w:rPr>
      </w:pPr>
    </w:p>
    <w:p w14:paraId="0BDC85D9">
      <w:pPr>
        <w:kinsoku/>
        <w:wordWrap/>
        <w:overflowPunct/>
        <w:topLinePunct w:val="0"/>
        <w:bidi w:val="0"/>
        <w:jc w:val="center"/>
        <w:outlineLvl w:val="9"/>
        <w:rPr>
          <w:rFonts w:ascii="宋体" w:hAnsi="宋体" w:cs="宋体"/>
          <w:b/>
          <w:color w:val="auto"/>
          <w:kern w:val="0"/>
          <w:sz w:val="32"/>
          <w:szCs w:val="32"/>
          <w:highlight w:val="none"/>
        </w:rPr>
      </w:pPr>
    </w:p>
    <w:p w14:paraId="2F9105B9">
      <w:pPr>
        <w:kinsoku/>
        <w:wordWrap/>
        <w:overflowPunct/>
        <w:topLinePunct w:val="0"/>
        <w:bidi w:val="0"/>
        <w:jc w:val="center"/>
        <w:outlineLvl w:val="9"/>
        <w:rPr>
          <w:rFonts w:ascii="宋体" w:hAnsi="宋体" w:cs="宋体"/>
          <w:b/>
          <w:color w:val="auto"/>
          <w:kern w:val="0"/>
          <w:sz w:val="32"/>
          <w:szCs w:val="32"/>
          <w:highlight w:val="none"/>
        </w:rPr>
      </w:pPr>
    </w:p>
    <w:p w14:paraId="22778534">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3E8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6F8CD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DB94A8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97A5A8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77E970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508A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84105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B7FC12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06D0042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7BA412B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006E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180A2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FD776C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745D16E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64945A0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2B40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9A46C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4195BA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0B52E6F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140D29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3921F7C0">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2144104E">
      <w:pPr>
        <w:kinsoku/>
        <w:wordWrap/>
        <w:overflowPunct/>
        <w:topLinePunct w:val="0"/>
        <w:bidi w:val="0"/>
        <w:jc w:val="center"/>
        <w:outlineLvl w:val="9"/>
        <w:rPr>
          <w:rFonts w:ascii="宋体" w:hAnsi="宋体" w:cs="宋体"/>
          <w:b/>
          <w:color w:val="auto"/>
          <w:kern w:val="0"/>
          <w:sz w:val="32"/>
          <w:szCs w:val="32"/>
          <w:highlight w:val="none"/>
        </w:rPr>
      </w:pPr>
    </w:p>
    <w:p w14:paraId="029E421B">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0020DA">
      <w:pPr>
        <w:kinsoku/>
        <w:wordWrap/>
        <w:overflowPunct/>
        <w:topLinePunct w:val="0"/>
        <w:bidi w:val="0"/>
        <w:ind w:firstLine="1911" w:firstLineChars="595"/>
        <w:outlineLvl w:val="9"/>
        <w:rPr>
          <w:rFonts w:ascii="宋体" w:hAnsi="宋体" w:cs="宋体"/>
          <w:b/>
          <w:bCs/>
          <w:color w:val="auto"/>
          <w:sz w:val="32"/>
          <w:szCs w:val="32"/>
          <w:highlight w:val="none"/>
        </w:rPr>
      </w:pPr>
    </w:p>
    <w:p w14:paraId="0AC47912">
      <w:pPr>
        <w:kinsoku/>
        <w:wordWrap/>
        <w:overflowPunct/>
        <w:topLinePunct w:val="0"/>
        <w:bidi w:val="0"/>
        <w:ind w:firstLine="1911" w:firstLineChars="595"/>
        <w:outlineLvl w:val="9"/>
        <w:rPr>
          <w:rFonts w:ascii="宋体" w:hAnsi="宋体" w:cs="宋体"/>
          <w:b/>
          <w:bCs/>
          <w:color w:val="auto"/>
          <w:sz w:val="32"/>
          <w:szCs w:val="32"/>
          <w:highlight w:val="none"/>
        </w:rPr>
      </w:pPr>
    </w:p>
    <w:p w14:paraId="3F182057">
      <w:pPr>
        <w:kinsoku/>
        <w:wordWrap/>
        <w:overflowPunct/>
        <w:topLinePunct w:val="0"/>
        <w:bidi w:val="0"/>
        <w:ind w:firstLine="1911" w:firstLineChars="595"/>
        <w:outlineLvl w:val="9"/>
        <w:rPr>
          <w:rFonts w:ascii="宋体" w:hAnsi="宋体" w:cs="宋体"/>
          <w:b/>
          <w:bCs/>
          <w:color w:val="auto"/>
          <w:sz w:val="32"/>
          <w:szCs w:val="32"/>
          <w:highlight w:val="none"/>
        </w:rPr>
      </w:pPr>
    </w:p>
    <w:p w14:paraId="2CAFF8A2">
      <w:pPr>
        <w:kinsoku/>
        <w:wordWrap/>
        <w:overflowPunct/>
        <w:topLinePunct w:val="0"/>
        <w:bidi w:val="0"/>
        <w:ind w:firstLine="1911" w:firstLineChars="595"/>
        <w:outlineLvl w:val="9"/>
        <w:rPr>
          <w:rFonts w:ascii="宋体" w:hAnsi="宋体" w:cs="宋体"/>
          <w:b/>
          <w:bCs/>
          <w:color w:val="auto"/>
          <w:sz w:val="32"/>
          <w:szCs w:val="32"/>
          <w:highlight w:val="none"/>
        </w:rPr>
      </w:pPr>
    </w:p>
    <w:p w14:paraId="159E9453">
      <w:pPr>
        <w:kinsoku/>
        <w:wordWrap/>
        <w:overflowPunct/>
        <w:topLinePunct w:val="0"/>
        <w:bidi w:val="0"/>
        <w:ind w:firstLine="1911" w:firstLineChars="595"/>
        <w:outlineLvl w:val="9"/>
        <w:rPr>
          <w:rFonts w:ascii="宋体" w:hAnsi="宋体" w:cs="宋体"/>
          <w:b/>
          <w:bCs/>
          <w:color w:val="auto"/>
          <w:sz w:val="32"/>
          <w:szCs w:val="32"/>
          <w:highlight w:val="none"/>
        </w:rPr>
      </w:pPr>
    </w:p>
    <w:p w14:paraId="5E26446D">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87CDA50">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CAFBCF9">
      <w:pPr>
        <w:kinsoku/>
        <w:wordWrap/>
        <w:overflowPunct/>
        <w:topLinePunct w:val="0"/>
        <w:bidi w:val="0"/>
        <w:snapToGrid w:val="0"/>
        <w:spacing w:line="360" w:lineRule="auto"/>
        <w:outlineLvl w:val="9"/>
        <w:rPr>
          <w:rFonts w:ascii="宋体" w:hAnsi="宋体" w:cs="宋体"/>
          <w:color w:val="auto"/>
          <w:sz w:val="24"/>
          <w:highlight w:val="none"/>
        </w:rPr>
      </w:pPr>
    </w:p>
    <w:p w14:paraId="650497E3">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46BF594">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7EBC91A">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353CC75">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1E9D84D">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07D22EC">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0311ECB">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8CEDF3C">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532BA8E">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5122B41">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521711D">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9F58079">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0F10C01E">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3110B79B">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31B872F1">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0258D5">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5DA6318">
      <w:pPr>
        <w:kinsoku/>
        <w:wordWrap/>
        <w:overflowPunct/>
        <w:topLinePunct w:val="0"/>
        <w:bidi w:val="0"/>
        <w:spacing w:line="360" w:lineRule="auto"/>
        <w:jc w:val="center"/>
        <w:outlineLvl w:val="9"/>
        <w:rPr>
          <w:rFonts w:ascii="宋体" w:hAnsi="宋体" w:cs="宋体"/>
          <w:b/>
          <w:bCs/>
          <w:color w:val="auto"/>
          <w:sz w:val="24"/>
          <w:highlight w:val="none"/>
        </w:rPr>
      </w:pPr>
    </w:p>
    <w:p w14:paraId="1466CF1D">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894F4D">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46F6031">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1AE422E">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AA770C0">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195F0914">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rPr>
        <w:t>1）开标一览表（报价表）………………………………………………………（页码）</w:t>
      </w:r>
    </w:p>
    <w:p w14:paraId="4A96905A">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34438482">
      <w:pPr>
        <w:kinsoku/>
        <w:wordWrap/>
        <w:overflowPunct/>
        <w:topLinePunct w:val="0"/>
        <w:bidi w:val="0"/>
        <w:snapToGrid w:val="0"/>
        <w:spacing w:line="360" w:lineRule="auto"/>
        <w:outlineLvl w:val="9"/>
        <w:rPr>
          <w:rFonts w:ascii="宋体" w:hAnsi="宋体" w:cs="宋体"/>
          <w:color w:val="auto"/>
          <w:sz w:val="24"/>
          <w:highlight w:val="none"/>
        </w:rPr>
      </w:pPr>
    </w:p>
    <w:p w14:paraId="699779E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4BE7BA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F96171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69C8AB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22FD2A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19A825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C5166E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80A47B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B45E0D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009D9A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1B99E9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09AAD8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5A1EE2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F2E817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7C298D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DF80F15">
      <w:pPr>
        <w:pStyle w:val="694"/>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49CA422">
      <w:pPr>
        <w:pStyle w:val="694"/>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bookmarkStart w:id="408" w:name="_Toc26425"/>
      <w:bookmarkStart w:id="409" w:name="_Toc18859"/>
      <w:r>
        <w:rPr>
          <w:rFonts w:hint="eastAsia" w:ascii="宋体" w:hAnsi="宋体" w:eastAsia="宋体" w:cs="宋体"/>
          <w:color w:val="auto"/>
          <w:kern w:val="2"/>
          <w:sz w:val="32"/>
          <w:szCs w:val="32"/>
          <w:highlight w:val="none"/>
        </w:rPr>
        <w:t>一、开标一览表（报价表）</w:t>
      </w:r>
      <w:bookmarkEnd w:id="408"/>
      <w:bookmarkEnd w:id="409"/>
    </w:p>
    <w:p w14:paraId="0881FA78">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F2D0B29">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994C66D">
      <w:pPr>
        <w:kinsoku/>
        <w:wordWrap/>
        <w:overflowPunct/>
        <w:topLinePunct w:val="0"/>
        <w:bidi w:val="0"/>
        <w:spacing w:line="360" w:lineRule="auto"/>
        <w:jc w:val="center"/>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2730"/>
        <w:gridCol w:w="5706"/>
      </w:tblGrid>
      <w:tr w14:paraId="1CCE5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14:paraId="605F0D71">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16E24226">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服务内容</w:t>
            </w:r>
          </w:p>
        </w:tc>
        <w:tc>
          <w:tcPr>
            <w:tcW w:w="5706" w:type="dxa"/>
            <w:tcBorders>
              <w:top w:val="single" w:color="auto" w:sz="4" w:space="0"/>
              <w:left w:val="single" w:color="auto" w:sz="4" w:space="0"/>
              <w:bottom w:val="single" w:color="auto" w:sz="4" w:space="0"/>
              <w:right w:val="single" w:color="auto" w:sz="4" w:space="0"/>
            </w:tcBorders>
            <w:noWrap w:val="0"/>
            <w:vAlign w:val="center"/>
          </w:tcPr>
          <w:p w14:paraId="53ECCD01">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合同履约期限</w:t>
            </w:r>
          </w:p>
        </w:tc>
      </w:tr>
      <w:tr w14:paraId="32D36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1102" w:type="dxa"/>
            <w:tcBorders>
              <w:top w:val="single" w:color="auto" w:sz="4" w:space="0"/>
              <w:left w:val="single" w:color="auto" w:sz="4" w:space="0"/>
              <w:right w:val="single" w:color="auto" w:sz="4" w:space="0"/>
            </w:tcBorders>
            <w:noWrap w:val="0"/>
            <w:vAlign w:val="center"/>
          </w:tcPr>
          <w:p w14:paraId="4F46C573">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03C7E04E">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63D19CA7">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kern w:val="2"/>
                <w:sz w:val="24"/>
                <w:szCs w:val="24"/>
                <w:highlight w:val="none"/>
                <w:lang w:val="en-US" w:eastAsia="zh-CN" w:bidi="ar-SA"/>
              </w:rPr>
            </w:pPr>
          </w:p>
        </w:tc>
      </w:tr>
      <w:tr w14:paraId="6ACEF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3832" w:type="dxa"/>
            <w:gridSpan w:val="2"/>
            <w:tcBorders>
              <w:top w:val="single" w:color="auto" w:sz="4" w:space="0"/>
              <w:left w:val="single" w:color="auto" w:sz="4" w:space="0"/>
              <w:right w:val="single" w:color="auto" w:sz="4" w:space="0"/>
            </w:tcBorders>
            <w:shd w:val="clear" w:color="auto" w:fill="auto"/>
            <w:noWrap w:val="0"/>
            <w:vAlign w:val="center"/>
          </w:tcPr>
          <w:p w14:paraId="78FF5F0B">
            <w:pPr>
              <w:keepNext w:val="0"/>
              <w:keepLines w:val="0"/>
              <w:suppressLineNumbers w:val="0"/>
              <w:adjustRightInd/>
              <w:snapToGrid w:val="0"/>
              <w:spacing w:before="50" w:beforeAutospacing="0" w:after="5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常规检验项目</w:t>
            </w:r>
          </w:p>
        </w:tc>
        <w:tc>
          <w:tcPr>
            <w:tcW w:w="5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05AABB">
            <w:pPr>
              <w:keepNext w:val="0"/>
              <w:keepLines w:val="0"/>
              <w:suppressLineNumbers w:val="0"/>
              <w:adjustRightInd/>
              <w:snapToGrid w:val="0"/>
              <w:spacing w:before="50" w:beforeAutospacing="0" w:after="50" w:afterAutospacing="0"/>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p>
          <w:p w14:paraId="1289890C">
            <w:pPr>
              <w:keepNext w:val="0"/>
              <w:keepLines w:val="0"/>
              <w:suppressLineNumbers w:val="0"/>
              <w:adjustRightInd/>
              <w:snapToGrid w:val="0"/>
              <w:spacing w:before="50" w:beforeAutospacing="0" w:after="50" w:afterAutospacing="0"/>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大写：百分之</w:t>
            </w:r>
            <w:r>
              <w:rPr>
                <w:rFonts w:hint="eastAsia" w:ascii="宋体" w:hAnsi="宋体" w:eastAsia="宋体" w:cs="宋体"/>
                <w:color w:val="auto"/>
                <w:sz w:val="24"/>
                <w:szCs w:val="24"/>
                <w:highlight w:val="none"/>
                <w:u w:val="single"/>
              </w:rPr>
              <w:t xml:space="preserve">    </w:t>
            </w:r>
          </w:p>
        </w:tc>
      </w:tr>
      <w:tr w14:paraId="3A6C4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3832" w:type="dxa"/>
            <w:gridSpan w:val="2"/>
            <w:tcBorders>
              <w:top w:val="single" w:color="auto" w:sz="4" w:space="0"/>
              <w:left w:val="single" w:color="auto" w:sz="4" w:space="0"/>
              <w:right w:val="single" w:color="auto" w:sz="4" w:space="0"/>
            </w:tcBorders>
            <w:shd w:val="clear" w:color="auto" w:fill="auto"/>
            <w:noWrap w:val="0"/>
            <w:vAlign w:val="center"/>
          </w:tcPr>
          <w:p w14:paraId="6E9BAD87">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特殊检验项目</w:t>
            </w:r>
          </w:p>
        </w:tc>
        <w:tc>
          <w:tcPr>
            <w:tcW w:w="5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9DE58C">
            <w:pPr>
              <w:keepNext w:val="0"/>
              <w:keepLines w:val="0"/>
              <w:suppressLineNumbers w:val="0"/>
              <w:adjustRightInd/>
              <w:snapToGrid w:val="0"/>
              <w:spacing w:before="50" w:beforeAutospacing="0" w:after="50" w:afterAutospacing="0"/>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DEB1C1A">
            <w:pPr>
              <w:keepNext w:val="0"/>
              <w:keepLines w:val="0"/>
              <w:suppressLineNumbers w:val="0"/>
              <w:adjustRightInd/>
              <w:snapToGrid w:val="0"/>
              <w:spacing w:before="50" w:beforeAutospacing="0" w:after="50" w:afterAutospacing="0"/>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大写：百分之</w:t>
            </w:r>
            <w:r>
              <w:rPr>
                <w:rFonts w:hint="eastAsia" w:ascii="宋体" w:hAnsi="宋体" w:eastAsia="宋体" w:cs="宋体"/>
                <w:color w:val="auto"/>
                <w:sz w:val="24"/>
                <w:szCs w:val="24"/>
                <w:highlight w:val="none"/>
                <w:u w:val="single"/>
              </w:rPr>
              <w:t xml:space="preserve">    </w:t>
            </w:r>
          </w:p>
        </w:tc>
      </w:tr>
      <w:tr w14:paraId="08BFF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3832" w:type="dxa"/>
            <w:gridSpan w:val="2"/>
            <w:tcBorders>
              <w:top w:val="single" w:color="auto" w:sz="4" w:space="0"/>
              <w:left w:val="single" w:color="auto" w:sz="4" w:space="0"/>
              <w:bottom w:val="single" w:color="auto" w:sz="4" w:space="0"/>
              <w:right w:val="single" w:color="auto" w:sz="4" w:space="0"/>
            </w:tcBorders>
            <w:noWrap w:val="0"/>
            <w:vAlign w:val="center"/>
          </w:tcPr>
          <w:p w14:paraId="02D9144E">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5706" w:type="dxa"/>
            <w:tcBorders>
              <w:top w:val="single" w:color="auto" w:sz="4" w:space="0"/>
              <w:left w:val="single" w:color="auto" w:sz="4" w:space="0"/>
              <w:bottom w:val="single" w:color="auto" w:sz="4" w:space="0"/>
              <w:right w:val="single" w:color="auto" w:sz="4" w:space="0"/>
            </w:tcBorders>
            <w:noWrap w:val="0"/>
            <w:vAlign w:val="center"/>
          </w:tcPr>
          <w:p w14:paraId="6951730F">
            <w:pPr>
              <w:keepNext w:val="0"/>
              <w:keepLines w:val="0"/>
              <w:suppressLineNumbers w:val="0"/>
              <w:adjustRightInd/>
              <w:snapToGrid w:val="0"/>
              <w:spacing w:before="50" w:beforeAutospacing="0" w:after="50" w:afterAutospacing="0"/>
              <w:ind w:left="0" w:right="0"/>
              <w:rPr>
                <w:rFonts w:hint="eastAsia" w:ascii="宋体" w:hAnsi="宋体" w:eastAsia="宋体" w:cs="宋体"/>
                <w:color w:val="auto"/>
                <w:sz w:val="24"/>
                <w:szCs w:val="24"/>
                <w:highlight w:val="none"/>
              </w:rPr>
            </w:pPr>
          </w:p>
        </w:tc>
      </w:tr>
    </w:tbl>
    <w:p w14:paraId="6E555EBD">
      <w:pPr>
        <w:pStyle w:val="51"/>
        <w:rPr>
          <w:rFonts w:hint="eastAsia"/>
          <w:color w:val="auto"/>
          <w:highlight w:val="none"/>
          <w:lang w:val="zh-CN"/>
        </w:rPr>
      </w:pPr>
    </w:p>
    <w:p w14:paraId="4157B8C3">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注①：1）报价包括完成本项目服务所发生的全部费用以及供应商利润、税金及合同包含的所有风险、责任等各项应有费用。</w:t>
      </w:r>
    </w:p>
    <w:p w14:paraId="3F57B7D9">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2）本项目采用投标折扣系数进行报价（以“</w:t>
      </w:r>
      <w:r>
        <w:rPr>
          <w:rFonts w:hint="eastAsia" w:ascii="宋体" w:hAnsi="宋体" w:eastAsia="宋体" w:cs="宋体"/>
          <w:color w:val="auto"/>
          <w:kern w:val="0"/>
          <w:sz w:val="24"/>
          <w:highlight w:val="none"/>
          <w:lang w:val="en-US" w:eastAsia="zh-CN"/>
        </w:rPr>
        <w:t>宁波市</w:t>
      </w:r>
      <w:r>
        <w:rPr>
          <w:rFonts w:hint="eastAsia" w:ascii="宋体" w:hAnsi="宋体" w:eastAsia="宋体" w:cs="宋体"/>
          <w:color w:val="auto"/>
          <w:kern w:val="0"/>
          <w:sz w:val="24"/>
          <w:highlight w:val="none"/>
          <w:lang w:val="zh-CN"/>
        </w:rPr>
        <w:t>医疗服务价格”为基准，清单内所有检测项目投标折扣系数应相同。）</w:t>
      </w:r>
    </w:p>
    <w:p w14:paraId="6BCBB060">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3）常规检验项目最高限价：投标折扣系数最高限价为</w:t>
      </w:r>
      <w:r>
        <w:rPr>
          <w:rFonts w:hint="eastAsia" w:ascii="宋体" w:hAnsi="宋体" w:eastAsia="宋体" w:cs="宋体"/>
          <w:color w:val="auto"/>
          <w:kern w:val="0"/>
          <w:sz w:val="24"/>
          <w:highlight w:val="none"/>
          <w:lang w:val="en-US" w:eastAsia="zh-CN"/>
        </w:rPr>
        <w:t>3</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zh-CN"/>
        </w:rPr>
        <w:t>.00%（含），投标折扣系数超过最高限价的作无效标处理，报价保留两位小数（例：XX.XX%）。</w:t>
      </w:r>
    </w:p>
    <w:p w14:paraId="5298DCE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4）特殊检验项目最高限价：投标折扣系数最高限价为</w:t>
      </w:r>
      <w:r>
        <w:rPr>
          <w:rFonts w:hint="eastAsia" w:ascii="宋体" w:hAnsi="宋体" w:cs="宋体"/>
          <w:color w:val="auto"/>
          <w:kern w:val="0"/>
          <w:sz w:val="24"/>
          <w:highlight w:val="none"/>
          <w:lang w:val="en-US" w:eastAsia="zh-CN"/>
        </w:rPr>
        <w:t>60</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0%（含），投标折扣系数超过最高限价的作无效标处理，报价保留两位小数（例：XX.XX%）。</w:t>
      </w:r>
    </w:p>
    <w:p w14:paraId="4AC2012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注②：1）供应商需按本表格式填写，否则视为投标文件含有采购人不能接受的附加条件，投标无效。</w:t>
      </w:r>
    </w:p>
    <w:p w14:paraId="48CF80C4">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将以合同形式有偿取得货物或服务，不接受供应商给予的赠品、回扣或者与采购无关的其他商品、服务，不得出现“0元”“免费赠送”等形式的无偿报价，否则视为投标文件含有采购人不能接受的附加条件，投标无效；采购内容未包含在《开标一览表（报价表）》名称栏中，供应商不能作出合理解释的，视为投标文件含有采购人不能接受的附加条件的，投标无效。</w:t>
      </w:r>
    </w:p>
    <w:p w14:paraId="24327632">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7F7AD44F">
      <w:pPr>
        <w:spacing w:line="360" w:lineRule="auto"/>
        <w:ind w:left="-2" w:leftChars="-1" w:firstLine="480" w:firstLineChars="200"/>
        <w:rPr>
          <w:rFonts w:hint="eastAsia" w:ascii="宋体" w:hAnsi="宋体" w:eastAsia="宋体" w:cs="宋体"/>
          <w:color w:val="auto"/>
          <w:kern w:val="0"/>
          <w:sz w:val="24"/>
          <w:highlight w:val="none"/>
          <w:lang w:val="zh-CN"/>
        </w:rPr>
        <w:sectPr>
          <w:pgSz w:w="11906" w:h="16838"/>
          <w:pgMar w:top="1247" w:right="1418" w:bottom="1276" w:left="1418" w:header="851" w:footer="992" w:gutter="0"/>
          <w:cols w:space="720" w:num="1"/>
          <w:titlePg/>
          <w:docGrid w:linePitch="312" w:charSpace="0"/>
        </w:sectPr>
      </w:pPr>
      <w:r>
        <w:rPr>
          <w:rFonts w:hint="eastAsia" w:ascii="宋体" w:hAnsi="宋体" w:eastAsia="宋体" w:cs="宋体"/>
          <w:color w:val="auto"/>
          <w:kern w:val="0"/>
          <w:sz w:val="24"/>
          <w:highlight w:val="none"/>
          <w:lang w:val="zh-CN"/>
        </w:rPr>
        <w:t>4）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0CFA3F9">
      <w:pPr>
        <w:keepNext w:val="0"/>
        <w:pageBreakBefore w:val="0"/>
        <w:widowControl w:val="0"/>
        <w:adjustRightInd w:val="0"/>
        <w:snapToGrid w:val="0"/>
        <w:spacing w:before="120" w:after="120" w:line="360" w:lineRule="auto"/>
        <w:ind w:firstLine="643"/>
        <w:jc w:val="center"/>
        <w:outlineLvl w:val="9"/>
        <w:rPr>
          <w:rFonts w:ascii="宋体" w:hAnsi="宋体" w:eastAsia="宋体" w:cs="宋体"/>
          <w:b/>
          <w:color w:val="auto"/>
          <w:kern w:val="44"/>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二、</w:t>
      </w:r>
      <w:r>
        <w:rPr>
          <w:rFonts w:hint="eastAsia" w:ascii="宋体" w:hAnsi="宋体" w:eastAsia="宋体" w:cs="宋体"/>
          <w:b/>
          <w:color w:val="auto"/>
          <w:kern w:val="44"/>
          <w:sz w:val="32"/>
          <w:szCs w:val="32"/>
          <w:highlight w:val="none"/>
          <w:lang w:val="en-US" w:eastAsia="zh-CN" w:bidi="ar-SA"/>
        </w:rPr>
        <w:t>中小企业声明函（如果有）</w:t>
      </w:r>
    </w:p>
    <w:p w14:paraId="1E68D672">
      <w:pPr>
        <w:widowControl/>
        <w:spacing w:line="360" w:lineRule="auto"/>
        <w:ind w:firstLine="120" w:firstLineChars="50"/>
        <w:jc w:val="left"/>
        <w:rPr>
          <w:rFonts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eastAsia="宋体" w:cs="宋体"/>
          <w:b/>
          <w:color w:val="auto"/>
          <w:sz w:val="24"/>
          <w:highlight w:val="none"/>
        </w:rPr>
        <w:t>7</w:t>
      </w:r>
      <w:r>
        <w:rPr>
          <w:rFonts w:hint="eastAsia" w:ascii="宋体" w:hAnsi="宋体" w:eastAsia="宋体" w:cs="宋体"/>
          <w:b/>
          <w:color w:val="auto"/>
          <w:sz w:val="24"/>
          <w:highlight w:val="none"/>
        </w:rPr>
        <w:t>）。]</w:t>
      </w:r>
    </w:p>
    <w:p w14:paraId="22B052E6">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061914EE">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22010C4D">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1838FDB9">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01FA6D07">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03DE6146">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1706852B">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219B2EDC">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37CFBD21">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648C1A04">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4953EA03">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79B54DCD">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5A1EF0C5">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74FB3209">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635432DE">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45626C0E">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68DA28C3">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38D2CCE5">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1BD7507F">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4D1CB5D4">
      <w:pPr>
        <w:spacing w:line="360" w:lineRule="auto"/>
        <w:rPr>
          <w:rFonts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10BA2FFD">
      <w:pPr>
        <w:spacing w:line="360" w:lineRule="auto"/>
        <w:jc w:val="center"/>
        <w:rPr>
          <w:rFonts w:ascii="宋体" w:hAnsi="宋体" w:eastAsia="宋体" w:cs="宋体"/>
          <w:b/>
          <w:color w:val="auto"/>
          <w:spacing w:val="6"/>
          <w:sz w:val="32"/>
          <w:szCs w:val="32"/>
          <w:highlight w:val="none"/>
        </w:rPr>
      </w:pPr>
      <w:bookmarkStart w:id="410" w:name="OLE_LINK14"/>
      <w:bookmarkStart w:id="411" w:name="OLE_LINK13"/>
      <w:r>
        <w:rPr>
          <w:rFonts w:hint="eastAsia" w:ascii="宋体" w:hAnsi="宋体" w:eastAsia="宋体" w:cs="宋体"/>
          <w:b/>
          <w:color w:val="auto"/>
          <w:spacing w:val="6"/>
          <w:sz w:val="32"/>
          <w:szCs w:val="32"/>
          <w:highlight w:val="none"/>
        </w:rPr>
        <w:t>残疾人福利性单位声明函</w:t>
      </w:r>
    </w:p>
    <w:bookmarkEnd w:id="410"/>
    <w:bookmarkEnd w:id="411"/>
    <w:p w14:paraId="59B1D4F7">
      <w:pPr>
        <w:spacing w:line="360" w:lineRule="auto"/>
        <w:rPr>
          <w:rFonts w:ascii="宋体" w:hAnsi="宋体" w:eastAsia="宋体" w:cs="宋体"/>
          <w:b/>
          <w:color w:val="auto"/>
          <w:spacing w:val="6"/>
          <w:sz w:val="30"/>
          <w:szCs w:val="30"/>
          <w:highlight w:val="none"/>
        </w:rPr>
      </w:pPr>
    </w:p>
    <w:p w14:paraId="71606A6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单位的</w:t>
      </w:r>
      <w:r>
        <w:rPr>
          <w:rFonts w:hint="eastAsia" w:ascii="宋体" w:hAnsi="宋体" w:cs="宋体"/>
          <w:color w:val="auto"/>
          <w:sz w:val="24"/>
          <w:highlight w:val="none"/>
          <w:u w:val="single"/>
          <w:lang w:eastAsia="zh-CN"/>
        </w:rPr>
        <w:t>宁海县西店镇卫生院外送病理服务项目</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7F19B4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0C8C997">
      <w:pPr>
        <w:spacing w:line="360" w:lineRule="auto"/>
        <w:ind w:firstLine="480" w:firstLineChars="200"/>
        <w:rPr>
          <w:rFonts w:ascii="宋体" w:hAnsi="宋体" w:eastAsia="宋体" w:cs="宋体"/>
          <w:color w:val="auto"/>
          <w:sz w:val="24"/>
          <w:highlight w:val="none"/>
        </w:rPr>
      </w:pPr>
    </w:p>
    <w:p w14:paraId="04B5AE06">
      <w:pPr>
        <w:spacing w:line="360" w:lineRule="auto"/>
        <w:ind w:firstLine="480" w:firstLineChars="200"/>
        <w:rPr>
          <w:rFonts w:ascii="宋体" w:hAnsi="宋体" w:eastAsia="宋体" w:cs="宋体"/>
          <w:color w:val="auto"/>
          <w:sz w:val="24"/>
          <w:highlight w:val="none"/>
        </w:rPr>
      </w:pPr>
    </w:p>
    <w:p w14:paraId="57D55142">
      <w:pPr>
        <w:tabs>
          <w:tab w:val="left" w:pos="4860"/>
        </w:tabs>
        <w:spacing w:line="360" w:lineRule="auto"/>
        <w:ind w:right="1560" w:firstLine="480" w:firstLineChars="200"/>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31F58014">
      <w:pPr>
        <w:tabs>
          <w:tab w:val="left" w:pos="4860"/>
        </w:tabs>
        <w:spacing w:line="360" w:lineRule="auto"/>
        <w:ind w:right="1560" w:firstLine="480" w:firstLineChars="200"/>
        <w:jc w:val="center"/>
        <w:rPr>
          <w:rFonts w:ascii="宋体" w:hAnsi="宋体" w:eastAsia="宋体" w:cs="宋体"/>
          <w:color w:val="auto"/>
          <w:sz w:val="24"/>
          <w:highlight w:val="none"/>
        </w:rPr>
      </w:pPr>
      <w:r>
        <w:rPr>
          <w:rFonts w:hint="eastAsia" w:ascii="宋体" w:hAnsi="宋体" w:eastAsia="宋体" w:cs="宋体"/>
          <w:color w:val="auto"/>
          <w:sz w:val="24"/>
          <w:highlight w:val="none"/>
        </w:rPr>
        <w:t>日  期：</w:t>
      </w:r>
    </w:p>
    <w:p w14:paraId="29FF6A8C">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29F5C745">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63AE708D">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752B7AAB">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748DD2D2">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63EFA5B9">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35427112">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589DF6B9">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264CDE2F">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03D266D2">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5590C96E">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32D01826">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6A31BA11">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：质疑函范本及制作说明</w:t>
      </w:r>
    </w:p>
    <w:p w14:paraId="2A1D39D5">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05D71F3">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D1C9553">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A7DF62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C96721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3953257">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5090D7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1D9EE9">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123499E">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6BBBBF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2DFCB0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5EDA0D8">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04264E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169C7C3F">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F979015">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C7CD0AE">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21F4E29">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681F804">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7607C2D">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FC3C81A">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57C77578">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376D1082">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AF4F943">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CC9B67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87ABF8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38225857">
      <w:pPr>
        <w:kinsoku/>
        <w:wordWrap/>
        <w:overflowPunct/>
        <w:topLinePunct w:val="0"/>
        <w:bidi w:val="0"/>
        <w:spacing w:line="360" w:lineRule="auto"/>
        <w:jc w:val="center"/>
        <w:outlineLvl w:val="9"/>
        <w:rPr>
          <w:rFonts w:ascii="宋体" w:hAnsi="宋体" w:cs="宋体"/>
          <w:b/>
          <w:bCs/>
          <w:color w:val="auto"/>
          <w:sz w:val="24"/>
          <w:highlight w:val="none"/>
        </w:rPr>
      </w:pPr>
    </w:p>
    <w:p w14:paraId="6B2C5477">
      <w:pPr>
        <w:kinsoku/>
        <w:wordWrap/>
        <w:overflowPunct/>
        <w:topLinePunct w:val="0"/>
        <w:bidi w:val="0"/>
        <w:spacing w:line="360" w:lineRule="auto"/>
        <w:outlineLvl w:val="9"/>
        <w:rPr>
          <w:rFonts w:ascii="宋体" w:hAnsi="宋体" w:cs="宋体"/>
          <w:b/>
          <w:color w:val="auto"/>
          <w:sz w:val="24"/>
          <w:highlight w:val="none"/>
        </w:rPr>
      </w:pPr>
    </w:p>
    <w:p w14:paraId="1C2209E1">
      <w:pPr>
        <w:kinsoku/>
        <w:wordWrap/>
        <w:overflowPunct/>
        <w:topLinePunct w:val="0"/>
        <w:bidi w:val="0"/>
        <w:spacing w:line="360" w:lineRule="auto"/>
        <w:outlineLvl w:val="9"/>
        <w:rPr>
          <w:rFonts w:ascii="宋体" w:hAnsi="宋体" w:cs="宋体"/>
          <w:b/>
          <w:color w:val="auto"/>
          <w:sz w:val="24"/>
          <w:highlight w:val="none"/>
        </w:rPr>
      </w:pPr>
    </w:p>
    <w:p w14:paraId="772CE43D">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78E01A2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A034175">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58102FC">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9249A0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258B917">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A589625">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F52041C">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33A81B02">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952837E">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2EAD9DE">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59B727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EBCABF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3E23057">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0891A33">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20D04DE">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E1CE41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52FF441">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F96924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46D72C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D067F7D">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62CC74BB">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798509AD">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：投诉书范本及制作说明</w:t>
      </w:r>
    </w:p>
    <w:p w14:paraId="1B5FF00E">
      <w:pPr>
        <w:kinsoku/>
        <w:wordWrap/>
        <w:overflowPunct/>
        <w:topLinePunct w:val="0"/>
        <w:bidi w:val="0"/>
        <w:spacing w:line="360" w:lineRule="auto"/>
        <w:jc w:val="center"/>
        <w:outlineLvl w:val="9"/>
        <w:rPr>
          <w:rFonts w:ascii="宋体" w:hAnsi="宋体" w:cs="宋体"/>
          <w:b/>
          <w:color w:val="auto"/>
          <w:sz w:val="24"/>
          <w:highlight w:val="none"/>
        </w:rPr>
      </w:pPr>
    </w:p>
    <w:p w14:paraId="1CD4AE8F">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786F59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474D96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0D4A8A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3659AE">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AE4E5AF">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EAD54DF">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D64905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F656C8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1404A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B7116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99C6B8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65D0E03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118BFD6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423101">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453305">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076DD5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765E145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3C2817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3CA39A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B4A5C2">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A1BA344">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8C3791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AD56E3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6440786D">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774679B">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87EEDC">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532328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218614F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6713B0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AB6ADB">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9EE9F5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4BF34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B0350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54577A9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0396CD4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09C55C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67BD72">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045238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01FB55B">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3B19E6C1">
      <w:pPr>
        <w:kinsoku/>
        <w:wordWrap/>
        <w:overflowPunct/>
        <w:topLinePunct w:val="0"/>
        <w:bidi w:val="0"/>
        <w:spacing w:line="360" w:lineRule="auto"/>
        <w:outlineLvl w:val="9"/>
        <w:rPr>
          <w:rFonts w:ascii="宋体" w:hAnsi="宋体" w:cs="宋体"/>
          <w:b/>
          <w:color w:val="auto"/>
          <w:sz w:val="24"/>
          <w:highlight w:val="none"/>
        </w:rPr>
      </w:pPr>
    </w:p>
    <w:p w14:paraId="1DE14DC5">
      <w:pPr>
        <w:kinsoku/>
        <w:wordWrap/>
        <w:overflowPunct/>
        <w:topLinePunct w:val="0"/>
        <w:bidi w:val="0"/>
        <w:spacing w:line="360" w:lineRule="auto"/>
        <w:outlineLvl w:val="9"/>
        <w:rPr>
          <w:rFonts w:ascii="宋体" w:hAnsi="宋体" w:cs="宋体"/>
          <w:b/>
          <w:color w:val="auto"/>
          <w:sz w:val="24"/>
          <w:highlight w:val="none"/>
        </w:rPr>
      </w:pPr>
    </w:p>
    <w:p w14:paraId="40BD2593">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60FC4A25">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CA11289">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05721C0">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27EE17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B2A0157">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BD30F9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E155740">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91E1332">
      <w:pPr>
        <w:kinsoku/>
        <w:wordWrap/>
        <w:overflowPunct/>
        <w:topLinePunct w:val="0"/>
        <w:bidi w:val="0"/>
        <w:spacing w:line="360" w:lineRule="auto"/>
        <w:outlineLvl w:val="9"/>
        <w:rPr>
          <w:rFonts w:ascii="宋体" w:hAnsi="宋体" w:cs="宋体"/>
          <w:b/>
          <w:color w:val="auto"/>
          <w:sz w:val="24"/>
          <w:highlight w:val="none"/>
        </w:rPr>
      </w:pPr>
    </w:p>
    <w:p w14:paraId="3BBBEBA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D526B3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5CD0B89">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1CCE7B3">
      <w:pPr>
        <w:kinsoku/>
        <w:wordWrap/>
        <w:overflowPunct/>
        <w:topLinePunct w:val="0"/>
        <w:bidi w:val="0"/>
        <w:spacing w:line="360" w:lineRule="auto"/>
        <w:outlineLvl w:val="9"/>
        <w:rPr>
          <w:rFonts w:ascii="宋体" w:hAnsi="宋体" w:cs="宋体"/>
          <w:color w:val="auto"/>
          <w:sz w:val="24"/>
          <w:highlight w:val="none"/>
          <w:u w:val="single"/>
        </w:rPr>
      </w:pPr>
    </w:p>
    <w:p w14:paraId="1CBCDE9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8251B07">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C128E24">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7A974E09">
      <w:pPr>
        <w:kinsoku/>
        <w:wordWrap/>
        <w:overflowPunct/>
        <w:topLinePunct w:val="0"/>
        <w:bidi w:val="0"/>
        <w:spacing w:line="360" w:lineRule="auto"/>
        <w:ind w:firstLine="494"/>
        <w:outlineLvl w:val="9"/>
        <w:rPr>
          <w:rFonts w:ascii="宋体" w:hAnsi="宋体" w:cs="宋体"/>
          <w:color w:val="auto"/>
          <w:sz w:val="24"/>
          <w:highlight w:val="none"/>
        </w:rPr>
      </w:pPr>
    </w:p>
    <w:p w14:paraId="73F8825D">
      <w:pPr>
        <w:kinsoku/>
        <w:wordWrap/>
        <w:overflowPunct/>
        <w:topLinePunct w:val="0"/>
        <w:bidi w:val="0"/>
        <w:spacing w:line="360" w:lineRule="auto"/>
        <w:ind w:firstLine="494"/>
        <w:outlineLvl w:val="9"/>
        <w:rPr>
          <w:rFonts w:ascii="宋体" w:hAnsi="宋体" w:cs="宋体"/>
          <w:color w:val="auto"/>
          <w:sz w:val="24"/>
          <w:highlight w:val="none"/>
        </w:rPr>
      </w:pPr>
    </w:p>
    <w:p w14:paraId="03D8D0BE">
      <w:pPr>
        <w:kinsoku/>
        <w:wordWrap/>
        <w:overflowPunct/>
        <w:topLinePunct w:val="0"/>
        <w:bidi w:val="0"/>
        <w:spacing w:line="360" w:lineRule="auto"/>
        <w:ind w:firstLine="494"/>
        <w:outlineLvl w:val="9"/>
        <w:rPr>
          <w:rFonts w:ascii="宋体" w:hAnsi="宋体" w:cs="宋体"/>
          <w:color w:val="auto"/>
          <w:sz w:val="24"/>
          <w:highlight w:val="none"/>
        </w:rPr>
      </w:pPr>
    </w:p>
    <w:p w14:paraId="1928D60D">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13E392F9">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E5DA99C">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6EB90495">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76105DD">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76105DD">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76CF795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76CF7955">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51359D6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08C1E2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6EC378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DE04DB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3139D3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BF08B5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966B6E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CF4454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8F7C47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D9BF37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E2A3D0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FACD58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7B320A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82CE3B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0D4B09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DFB360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4295E22">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18D14BF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：联合协议</w:t>
      </w:r>
    </w:p>
    <w:p w14:paraId="18FE8FDD">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06F331B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A81927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1AEF19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1B0CE0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4E9480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41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4B4700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219F18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2"/>
    <w:p w14:paraId="6858629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A17D8D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CAB3EA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072C82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DB7772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B61E0D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976FF4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7B3A0C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C8FD884">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E42164">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C17F3B6">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C239D38">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25303BB">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A57CE7F">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13526332">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6</w:t>
      </w:r>
      <w:r>
        <w:rPr>
          <w:rFonts w:hint="eastAsia" w:ascii="宋体" w:hAnsi="宋体" w:cs="宋体"/>
          <w:b/>
          <w:color w:val="auto"/>
          <w:kern w:val="0"/>
          <w:sz w:val="32"/>
          <w:szCs w:val="32"/>
          <w:highlight w:val="none"/>
        </w:rPr>
        <w:t>：分包意向协议</w:t>
      </w:r>
    </w:p>
    <w:p w14:paraId="62661089">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6BE5EEA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970BE1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91CB7D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451685C">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2FD92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52D807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4E8BA99">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3"/>
    </w:p>
    <w:p w14:paraId="07B0C0C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FB6584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4B258A7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B6EB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17B4D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CCB6721">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58F97E">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ABDE7D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5A3C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5FE98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74288B">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29F0C2AF">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F4D213D">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30A84CFB">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377468">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37984AA">
      <w:pPr>
        <w:spacing w:line="360" w:lineRule="auto"/>
        <w:jc w:val="left"/>
        <w:outlineLvl w:val="0"/>
        <w:rPr>
          <w:rFonts w:hint="eastAsia" w:ascii="宋体" w:hAnsi="宋体" w:eastAsia="宋体" w:cs="宋体"/>
          <w:b/>
          <w:color w:val="auto"/>
          <w:sz w:val="36"/>
          <w:szCs w:val="20"/>
          <w:highlight w:val="none"/>
        </w:rPr>
      </w:pPr>
      <w:bookmarkStart w:id="414" w:name="_Toc21207"/>
    </w:p>
    <w:p w14:paraId="0AC22908">
      <w:pPr>
        <w:spacing w:line="360" w:lineRule="auto"/>
        <w:jc w:val="left"/>
        <w:outlineLvl w:val="0"/>
        <w:rPr>
          <w:rFonts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w:t>
      </w:r>
      <w:r>
        <w:rPr>
          <w:rFonts w:ascii="宋体" w:hAnsi="宋体" w:eastAsia="宋体" w:cs="宋体"/>
          <w:b/>
          <w:color w:val="auto"/>
          <w:sz w:val="36"/>
          <w:szCs w:val="20"/>
          <w:highlight w:val="none"/>
        </w:rPr>
        <w:t>7</w:t>
      </w:r>
      <w:r>
        <w:rPr>
          <w:rFonts w:hint="eastAsia" w:ascii="宋体" w:hAnsi="宋体" w:eastAsia="宋体" w:cs="宋体"/>
          <w:b/>
          <w:color w:val="auto"/>
          <w:sz w:val="36"/>
          <w:szCs w:val="20"/>
          <w:highlight w:val="none"/>
        </w:rPr>
        <w:t>：中小企业声明函</w:t>
      </w:r>
      <w:bookmarkEnd w:id="414"/>
    </w:p>
    <w:p w14:paraId="5FA76B99">
      <w:pPr>
        <w:spacing w:line="360" w:lineRule="auto"/>
        <w:jc w:val="center"/>
        <w:outlineLvl w:val="0"/>
        <w:rPr>
          <w:rFonts w:ascii="宋体" w:hAnsi="宋体" w:eastAsia="宋体" w:cs="宋体"/>
          <w:b/>
          <w:color w:val="auto"/>
          <w:sz w:val="32"/>
          <w:szCs w:val="32"/>
          <w:highlight w:val="none"/>
        </w:rPr>
      </w:pPr>
      <w:bookmarkStart w:id="415" w:name="_Toc31756"/>
      <w:r>
        <w:rPr>
          <w:rFonts w:hint="eastAsia" w:ascii="宋体" w:hAnsi="宋体" w:eastAsia="宋体" w:cs="宋体"/>
          <w:b/>
          <w:color w:val="auto"/>
          <w:sz w:val="32"/>
          <w:szCs w:val="32"/>
          <w:highlight w:val="none"/>
        </w:rPr>
        <w:t>中小企业声明函（服务）</w:t>
      </w:r>
      <w:bookmarkEnd w:id="415"/>
    </w:p>
    <w:p w14:paraId="2FB612E2">
      <w:pPr>
        <w:spacing w:line="288" w:lineRule="auto"/>
        <w:ind w:firstLine="360" w:firstLineChars="15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宁海县西店镇卫生院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宁海县西店镇卫生院外送病理服务项目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43D7125">
      <w:pPr>
        <w:spacing w:line="288"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外送病理服务</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D369CEB">
      <w:pPr>
        <w:spacing w:line="288"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w:t>
      </w:r>
    </w:p>
    <w:p w14:paraId="32B0E6C3">
      <w:pPr>
        <w:spacing w:line="288"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4F6BA3C">
      <w:pPr>
        <w:spacing w:line="288"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B32FF84">
      <w:pPr>
        <w:spacing w:line="288" w:lineRule="auto"/>
        <w:ind w:right="1760"/>
        <w:jc w:val="right"/>
        <w:rPr>
          <w:rFonts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27A389C9">
      <w:pPr>
        <w:spacing w:line="288" w:lineRule="auto"/>
        <w:ind w:right="1120" w:firstLine="4680" w:firstLineChars="1950"/>
        <w:rPr>
          <w:rFonts w:ascii="宋体" w:hAnsi="宋体" w:eastAsia="宋体" w:cs="宋体"/>
          <w:color w:val="auto"/>
          <w:sz w:val="24"/>
          <w:highlight w:val="none"/>
        </w:rPr>
      </w:pPr>
      <w:r>
        <w:rPr>
          <w:rFonts w:hint="eastAsia" w:ascii="宋体" w:hAnsi="宋体" w:eastAsia="宋体" w:cs="宋体"/>
          <w:color w:val="auto"/>
          <w:sz w:val="24"/>
          <w:highlight w:val="none"/>
        </w:rPr>
        <w:t>日 期：</w:t>
      </w:r>
    </w:p>
    <w:p w14:paraId="45CA377E">
      <w:pPr>
        <w:spacing w:line="288" w:lineRule="auto"/>
        <w:ind w:firstLine="310" w:firstLineChars="147"/>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508B0D09">
      <w:pPr>
        <w:spacing w:line="288" w:lineRule="auto"/>
        <w:ind w:right="420"/>
        <w:rPr>
          <w:rFonts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3EEA81A2">
      <w:pPr>
        <w:spacing w:line="288" w:lineRule="auto"/>
        <w:ind w:right="42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565C8C8">
      <w:pPr>
        <w:spacing w:line="288" w:lineRule="auto"/>
        <w:ind w:right="420"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55A2511">
      <w:pPr>
        <w:spacing w:line="288" w:lineRule="auto"/>
        <w:ind w:right="420" w:firstLine="723" w:firstLineChars="300"/>
        <w:rPr>
          <w:rFonts w:ascii="宋体" w:hAnsi="宋体" w:eastAsia="宋体" w:cs="宋体"/>
          <w:bCs/>
          <w:color w:val="auto"/>
          <w:sz w:val="24"/>
          <w:highlight w:val="none"/>
        </w:rPr>
      </w:pPr>
      <w:r>
        <w:rPr>
          <w:rFonts w:hint="eastAsia" w:ascii="宋体" w:hAnsi="宋体" w:eastAsia="宋体" w:cs="宋体"/>
          <w:b/>
          <w:bCs/>
          <w:color w:val="auto"/>
          <w:sz w:val="24"/>
          <w:highlight w:val="none"/>
        </w:rPr>
        <w:t>3、本招标文件中明确的所属行业为其他未列明行业：从业人员300人以下的为中小微型企业。其中，从业人员100人及以上的为中型企业；从业人员10人及以上的为小型企业；从业人员10人以下的为微型企业。</w:t>
      </w:r>
    </w:p>
    <w:p w14:paraId="71E8649D">
      <w:pPr>
        <w:widowControl/>
        <w:kinsoku/>
        <w:wordWrap/>
        <w:overflowPunct/>
        <w:topLinePunct w:val="0"/>
        <w:bidi w:val="0"/>
        <w:adjustRightInd/>
        <w:jc w:val="left"/>
        <w:outlineLvl w:val="9"/>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37DA">
    <w:pPr>
      <w:pStyle w:val="40"/>
      <w:framePr w:wrap="around" w:vAnchor="text" w:hAnchor="margin" w:xAlign="right" w:y="1"/>
      <w:rPr>
        <w:rStyle w:val="73"/>
      </w:rPr>
    </w:pPr>
    <w:r>
      <w:fldChar w:fldCharType="begin"/>
    </w:r>
    <w:r>
      <w:rPr>
        <w:rStyle w:val="73"/>
      </w:rPr>
      <w:instrText xml:space="preserve">PAGE  </w:instrText>
    </w:r>
    <w:r>
      <w:fldChar w:fldCharType="end"/>
    </w:r>
  </w:p>
  <w:p w14:paraId="7E62E089">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FFC01">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A67E1">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B3A67E1">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B6196">
    <w:pPr>
      <w:pStyle w:val="40"/>
      <w:framePr w:wrap="around" w:vAnchor="text" w:hAnchor="margin" w:xAlign="right" w:y="1"/>
      <w:rPr>
        <w:rStyle w:val="73"/>
      </w:rPr>
    </w:pPr>
    <w:r>
      <w:fldChar w:fldCharType="begin"/>
    </w:r>
    <w:r>
      <w:rPr>
        <w:rStyle w:val="73"/>
      </w:rPr>
      <w:instrText xml:space="preserve">PAGE  </w:instrText>
    </w:r>
    <w:r>
      <w:fldChar w:fldCharType="end"/>
    </w:r>
  </w:p>
  <w:p w14:paraId="0D6F85A3">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0DBCF">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70743">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70743">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11C8D">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7D3C5">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07D3C5">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9E0A">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D067E">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2D067E">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C310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D6223">
                          <w:pPr>
                            <w:pStyle w:val="4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90D6223">
                    <w:pPr>
                      <w:pStyle w:val="4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A381B">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2F7CE">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62F7CE">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25BD9">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7613C">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367613C">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4A85">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5EB90">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605EB90">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0016D">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9D10B">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59D10B">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3745">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63F7F">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6763F7F">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E93B">
    <w:pPr>
      <w:pStyle w:val="41"/>
      <w:pBdr>
        <w:bottom w:val="single" w:color="auto" w:sz="6" w:space="4"/>
      </w:pBdr>
      <w:jc w:val="right"/>
    </w:pPr>
    <w:r>
      <w:t></w:t>
    </w:r>
    <w:r>
      <w:rPr>
        <w:rFonts w:hint="eastAsia"/>
      </w:rPr>
      <w:t xml:space="preserve">             </w:t>
    </w:r>
  </w:p>
  <w:p w14:paraId="10E09C9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D93FE">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7206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2D22E">
    <w:pPr>
      <w:pStyle w:val="41"/>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2D9A1">
    <w:pPr>
      <w:pStyle w:val="41"/>
    </w:pPr>
    <w:r>
      <w:t></w:t>
    </w:r>
    <w:r>
      <w:rPr>
        <w:rFonts w:hint="eastAsia"/>
      </w:rPr>
      <w:t xml:space="preserve">         </w:t>
    </w:r>
  </w:p>
  <w:p w14:paraId="17669927">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35C65">
    <w:pPr>
      <w:pStyle w:val="41"/>
      <w:rPr>
        <w:rFonts w:ascii="仿宋_GB2312" w:eastAsia="仿宋_GB2312"/>
        <w:b/>
        <w:i/>
        <w:u w:val="single"/>
      </w:rPr>
    </w:pPr>
    <w:r>
      <w:t></w:t>
    </w:r>
    <w:r>
      <w:rPr>
        <w:rFonts w:hint="eastAsia"/>
      </w:rPr>
      <w:t xml:space="preserve">                                               </w:t>
    </w:r>
  </w:p>
  <w:p w14:paraId="7DDDE58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48CA0">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43054">
    <w:pPr>
      <w:pStyle w:val="41"/>
      <w:jc w:val="right"/>
      <w:rPr>
        <w:rFonts w:ascii="仿宋_GB2312" w:eastAsia="仿宋_GB2312"/>
        <w:b/>
        <w:i/>
        <w:u w:val="single"/>
      </w:rPr>
    </w:pPr>
    <w:r>
      <w:rPr>
        <w:rFonts w:hint="eastAsia"/>
      </w:rPr>
      <w:t xml:space="preserve">                                </w:t>
    </w:r>
  </w:p>
  <w:p w14:paraId="77217FA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9EAF">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0AB2">
    <w:pPr>
      <w:pStyle w:val="41"/>
      <w:jc w:val="right"/>
      <w:rPr>
        <w:rFonts w:ascii="仿宋_GB2312" w:eastAsia="仿宋_GB2312"/>
        <w:b/>
        <w:i/>
        <w:iCs/>
        <w:u w:val="single"/>
      </w:rP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YzA0NmE3ZTNlMTg0OWRkNmQ3YTZkNjJhZjljO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8DE"/>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20B"/>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A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1EE"/>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2474"/>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8BB"/>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26E"/>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1D10"/>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C5220"/>
    <w:rsid w:val="011F6449"/>
    <w:rsid w:val="01236AFB"/>
    <w:rsid w:val="012E04F0"/>
    <w:rsid w:val="014B299E"/>
    <w:rsid w:val="0150424E"/>
    <w:rsid w:val="0155716D"/>
    <w:rsid w:val="01924994"/>
    <w:rsid w:val="019F7441"/>
    <w:rsid w:val="01A22C15"/>
    <w:rsid w:val="01B37585"/>
    <w:rsid w:val="01B51D18"/>
    <w:rsid w:val="01B67601"/>
    <w:rsid w:val="01D14205"/>
    <w:rsid w:val="01D55165"/>
    <w:rsid w:val="01DA16D0"/>
    <w:rsid w:val="01DF6BF8"/>
    <w:rsid w:val="01DF79C5"/>
    <w:rsid w:val="01EC2C57"/>
    <w:rsid w:val="01EF122A"/>
    <w:rsid w:val="01F42D45"/>
    <w:rsid w:val="02083043"/>
    <w:rsid w:val="020E3E06"/>
    <w:rsid w:val="0218414F"/>
    <w:rsid w:val="02426589"/>
    <w:rsid w:val="025F0711"/>
    <w:rsid w:val="026B2E25"/>
    <w:rsid w:val="02824D4D"/>
    <w:rsid w:val="0284056C"/>
    <w:rsid w:val="029712F4"/>
    <w:rsid w:val="029D18A6"/>
    <w:rsid w:val="02B54C4A"/>
    <w:rsid w:val="02C1531D"/>
    <w:rsid w:val="02DC4B10"/>
    <w:rsid w:val="02DD76CE"/>
    <w:rsid w:val="02F36323"/>
    <w:rsid w:val="02F5619C"/>
    <w:rsid w:val="02FA11C7"/>
    <w:rsid w:val="031F2043"/>
    <w:rsid w:val="0326446A"/>
    <w:rsid w:val="032D5555"/>
    <w:rsid w:val="0332621A"/>
    <w:rsid w:val="036634D2"/>
    <w:rsid w:val="03905ADC"/>
    <w:rsid w:val="03922527"/>
    <w:rsid w:val="03C52E7C"/>
    <w:rsid w:val="03C84489"/>
    <w:rsid w:val="03D472D2"/>
    <w:rsid w:val="03DA48E8"/>
    <w:rsid w:val="03DD35E4"/>
    <w:rsid w:val="04073203"/>
    <w:rsid w:val="04076900"/>
    <w:rsid w:val="040D00EE"/>
    <w:rsid w:val="040F156E"/>
    <w:rsid w:val="041A5A3B"/>
    <w:rsid w:val="042042C5"/>
    <w:rsid w:val="042311BA"/>
    <w:rsid w:val="042B157A"/>
    <w:rsid w:val="043E721B"/>
    <w:rsid w:val="0458719A"/>
    <w:rsid w:val="045C69D9"/>
    <w:rsid w:val="04722D72"/>
    <w:rsid w:val="047C66AE"/>
    <w:rsid w:val="048E543A"/>
    <w:rsid w:val="048F763B"/>
    <w:rsid w:val="04905D97"/>
    <w:rsid w:val="049F330E"/>
    <w:rsid w:val="04AA775C"/>
    <w:rsid w:val="04AF1889"/>
    <w:rsid w:val="04B75EEE"/>
    <w:rsid w:val="04C15CE9"/>
    <w:rsid w:val="04C52A1F"/>
    <w:rsid w:val="04E3348B"/>
    <w:rsid w:val="04F66F48"/>
    <w:rsid w:val="0513229F"/>
    <w:rsid w:val="05133589"/>
    <w:rsid w:val="05157BA2"/>
    <w:rsid w:val="0518354E"/>
    <w:rsid w:val="05251E14"/>
    <w:rsid w:val="054A7465"/>
    <w:rsid w:val="059B00A7"/>
    <w:rsid w:val="05A16594"/>
    <w:rsid w:val="05A7762D"/>
    <w:rsid w:val="05C869C2"/>
    <w:rsid w:val="05FB57F0"/>
    <w:rsid w:val="060A6FDB"/>
    <w:rsid w:val="060E5941"/>
    <w:rsid w:val="06110FAF"/>
    <w:rsid w:val="06206C00"/>
    <w:rsid w:val="063E0A32"/>
    <w:rsid w:val="06493CA7"/>
    <w:rsid w:val="065A6178"/>
    <w:rsid w:val="06605C46"/>
    <w:rsid w:val="066F1CF3"/>
    <w:rsid w:val="067A7832"/>
    <w:rsid w:val="06851580"/>
    <w:rsid w:val="068A641F"/>
    <w:rsid w:val="06930BB8"/>
    <w:rsid w:val="06A26752"/>
    <w:rsid w:val="06A91D04"/>
    <w:rsid w:val="06BF48BB"/>
    <w:rsid w:val="06D51014"/>
    <w:rsid w:val="06F871D7"/>
    <w:rsid w:val="0705522E"/>
    <w:rsid w:val="070E5AAE"/>
    <w:rsid w:val="07245D42"/>
    <w:rsid w:val="07261BF2"/>
    <w:rsid w:val="07264C62"/>
    <w:rsid w:val="072A7934"/>
    <w:rsid w:val="07370F8E"/>
    <w:rsid w:val="07703D20"/>
    <w:rsid w:val="0779354C"/>
    <w:rsid w:val="077B0190"/>
    <w:rsid w:val="078D3A1F"/>
    <w:rsid w:val="078F5200"/>
    <w:rsid w:val="079052BE"/>
    <w:rsid w:val="07990616"/>
    <w:rsid w:val="07C35742"/>
    <w:rsid w:val="07F910B5"/>
    <w:rsid w:val="08061376"/>
    <w:rsid w:val="08065580"/>
    <w:rsid w:val="080C247A"/>
    <w:rsid w:val="08123F24"/>
    <w:rsid w:val="08422A5C"/>
    <w:rsid w:val="0845254C"/>
    <w:rsid w:val="08452D77"/>
    <w:rsid w:val="086401F8"/>
    <w:rsid w:val="08751CAA"/>
    <w:rsid w:val="087E4C40"/>
    <w:rsid w:val="0881168F"/>
    <w:rsid w:val="08A871D0"/>
    <w:rsid w:val="08AD7EA6"/>
    <w:rsid w:val="08D631A4"/>
    <w:rsid w:val="08D66AD6"/>
    <w:rsid w:val="08DA33A3"/>
    <w:rsid w:val="08E05092"/>
    <w:rsid w:val="08E80F13"/>
    <w:rsid w:val="08ED490B"/>
    <w:rsid w:val="090C3286"/>
    <w:rsid w:val="092A537F"/>
    <w:rsid w:val="09306375"/>
    <w:rsid w:val="09335624"/>
    <w:rsid w:val="093403CB"/>
    <w:rsid w:val="093D3223"/>
    <w:rsid w:val="0944690F"/>
    <w:rsid w:val="09535675"/>
    <w:rsid w:val="095C2F24"/>
    <w:rsid w:val="095F057D"/>
    <w:rsid w:val="09606C8A"/>
    <w:rsid w:val="09642282"/>
    <w:rsid w:val="09733572"/>
    <w:rsid w:val="09772C16"/>
    <w:rsid w:val="09815806"/>
    <w:rsid w:val="098353B5"/>
    <w:rsid w:val="098F7F12"/>
    <w:rsid w:val="099142E0"/>
    <w:rsid w:val="09A5238B"/>
    <w:rsid w:val="09A92330"/>
    <w:rsid w:val="09B06B87"/>
    <w:rsid w:val="09C13146"/>
    <w:rsid w:val="09D46C43"/>
    <w:rsid w:val="09D709B0"/>
    <w:rsid w:val="09E04166"/>
    <w:rsid w:val="09E57ED5"/>
    <w:rsid w:val="09EB3D86"/>
    <w:rsid w:val="09EF44EC"/>
    <w:rsid w:val="0A045B92"/>
    <w:rsid w:val="0A1C0718"/>
    <w:rsid w:val="0A3E7710"/>
    <w:rsid w:val="0A5B7E63"/>
    <w:rsid w:val="0A7E5DA1"/>
    <w:rsid w:val="0AA374A5"/>
    <w:rsid w:val="0AAB7649"/>
    <w:rsid w:val="0ABC5606"/>
    <w:rsid w:val="0ACE6829"/>
    <w:rsid w:val="0AFB7D1B"/>
    <w:rsid w:val="0AFF19D8"/>
    <w:rsid w:val="0B0D6C7C"/>
    <w:rsid w:val="0B30404E"/>
    <w:rsid w:val="0B3351D8"/>
    <w:rsid w:val="0B4C6C14"/>
    <w:rsid w:val="0B547599"/>
    <w:rsid w:val="0B627C36"/>
    <w:rsid w:val="0B631A88"/>
    <w:rsid w:val="0B683D45"/>
    <w:rsid w:val="0B7F3F11"/>
    <w:rsid w:val="0B884417"/>
    <w:rsid w:val="0BAC00AA"/>
    <w:rsid w:val="0BB2024E"/>
    <w:rsid w:val="0BB70527"/>
    <w:rsid w:val="0BC05F54"/>
    <w:rsid w:val="0BDB7148"/>
    <w:rsid w:val="0BF6188C"/>
    <w:rsid w:val="0BF73C91"/>
    <w:rsid w:val="0C032B35"/>
    <w:rsid w:val="0C05315A"/>
    <w:rsid w:val="0C170175"/>
    <w:rsid w:val="0C23311B"/>
    <w:rsid w:val="0C3D1A78"/>
    <w:rsid w:val="0C550884"/>
    <w:rsid w:val="0C571A41"/>
    <w:rsid w:val="0C5C1171"/>
    <w:rsid w:val="0C5E1CBC"/>
    <w:rsid w:val="0C5E4C35"/>
    <w:rsid w:val="0C615B50"/>
    <w:rsid w:val="0C706DB8"/>
    <w:rsid w:val="0C711B61"/>
    <w:rsid w:val="0C7927C4"/>
    <w:rsid w:val="0C8445DA"/>
    <w:rsid w:val="0C87121B"/>
    <w:rsid w:val="0CC007F7"/>
    <w:rsid w:val="0CC617AC"/>
    <w:rsid w:val="0CCC5321"/>
    <w:rsid w:val="0CDA32A3"/>
    <w:rsid w:val="0CE618DF"/>
    <w:rsid w:val="0CEB35EB"/>
    <w:rsid w:val="0CFE707A"/>
    <w:rsid w:val="0D063BDA"/>
    <w:rsid w:val="0D08375F"/>
    <w:rsid w:val="0D184CFB"/>
    <w:rsid w:val="0D220EDC"/>
    <w:rsid w:val="0D4A7419"/>
    <w:rsid w:val="0D5F5E5E"/>
    <w:rsid w:val="0D827401"/>
    <w:rsid w:val="0D84094E"/>
    <w:rsid w:val="0D8A00E9"/>
    <w:rsid w:val="0D8D589E"/>
    <w:rsid w:val="0D8E5FAA"/>
    <w:rsid w:val="0DA01C73"/>
    <w:rsid w:val="0DA21BF2"/>
    <w:rsid w:val="0DC76E2C"/>
    <w:rsid w:val="0DCA2888"/>
    <w:rsid w:val="0DD63300"/>
    <w:rsid w:val="0DF50604"/>
    <w:rsid w:val="0DF702FE"/>
    <w:rsid w:val="0E013AA6"/>
    <w:rsid w:val="0E060E51"/>
    <w:rsid w:val="0E0B1EBB"/>
    <w:rsid w:val="0E1434A7"/>
    <w:rsid w:val="0E2543A1"/>
    <w:rsid w:val="0E4D2AEF"/>
    <w:rsid w:val="0E5604B2"/>
    <w:rsid w:val="0E6D5D79"/>
    <w:rsid w:val="0E772D33"/>
    <w:rsid w:val="0E7912E8"/>
    <w:rsid w:val="0E9A03FC"/>
    <w:rsid w:val="0E9D0089"/>
    <w:rsid w:val="0EA06CB7"/>
    <w:rsid w:val="0EA13290"/>
    <w:rsid w:val="0EA75D9A"/>
    <w:rsid w:val="0EAA7385"/>
    <w:rsid w:val="0EB803EE"/>
    <w:rsid w:val="0ECD3EA6"/>
    <w:rsid w:val="0ED94142"/>
    <w:rsid w:val="0EDC3291"/>
    <w:rsid w:val="0EF94D4B"/>
    <w:rsid w:val="0F170CE4"/>
    <w:rsid w:val="0F1C6E00"/>
    <w:rsid w:val="0F426AD0"/>
    <w:rsid w:val="0F4958DC"/>
    <w:rsid w:val="0F515DF7"/>
    <w:rsid w:val="0F563291"/>
    <w:rsid w:val="0F596BA8"/>
    <w:rsid w:val="0F6248D2"/>
    <w:rsid w:val="0F693536"/>
    <w:rsid w:val="0F7B0511"/>
    <w:rsid w:val="0F7B76D9"/>
    <w:rsid w:val="0F816ACD"/>
    <w:rsid w:val="0F8B4F2A"/>
    <w:rsid w:val="0F8C4D95"/>
    <w:rsid w:val="0F9832DB"/>
    <w:rsid w:val="0FA53461"/>
    <w:rsid w:val="0FBC1727"/>
    <w:rsid w:val="0FBF3FD2"/>
    <w:rsid w:val="0FBF7FF3"/>
    <w:rsid w:val="10174821"/>
    <w:rsid w:val="103B3CCB"/>
    <w:rsid w:val="103F23E9"/>
    <w:rsid w:val="104447E9"/>
    <w:rsid w:val="1053405A"/>
    <w:rsid w:val="105B7B98"/>
    <w:rsid w:val="10646583"/>
    <w:rsid w:val="107514F4"/>
    <w:rsid w:val="107D4B15"/>
    <w:rsid w:val="108A3C80"/>
    <w:rsid w:val="10C02B10"/>
    <w:rsid w:val="10C26171"/>
    <w:rsid w:val="10F25EEC"/>
    <w:rsid w:val="10F33360"/>
    <w:rsid w:val="10FC16EA"/>
    <w:rsid w:val="110F1D40"/>
    <w:rsid w:val="11194998"/>
    <w:rsid w:val="111E5A3E"/>
    <w:rsid w:val="11266F33"/>
    <w:rsid w:val="11395D7E"/>
    <w:rsid w:val="11400B60"/>
    <w:rsid w:val="116033DA"/>
    <w:rsid w:val="11673E86"/>
    <w:rsid w:val="117669E6"/>
    <w:rsid w:val="1181450E"/>
    <w:rsid w:val="118963A1"/>
    <w:rsid w:val="11BF336F"/>
    <w:rsid w:val="11C6522A"/>
    <w:rsid w:val="11D067E4"/>
    <w:rsid w:val="11E104CC"/>
    <w:rsid w:val="11E20309"/>
    <w:rsid w:val="1201785C"/>
    <w:rsid w:val="12106436"/>
    <w:rsid w:val="12141320"/>
    <w:rsid w:val="121A1366"/>
    <w:rsid w:val="12255233"/>
    <w:rsid w:val="1226647F"/>
    <w:rsid w:val="12530213"/>
    <w:rsid w:val="12547EAC"/>
    <w:rsid w:val="125C0BBE"/>
    <w:rsid w:val="12691A06"/>
    <w:rsid w:val="12695089"/>
    <w:rsid w:val="127723A9"/>
    <w:rsid w:val="12862074"/>
    <w:rsid w:val="12883966"/>
    <w:rsid w:val="12937E5A"/>
    <w:rsid w:val="129E45B4"/>
    <w:rsid w:val="12AE6A32"/>
    <w:rsid w:val="12B91B6C"/>
    <w:rsid w:val="12D81596"/>
    <w:rsid w:val="12E72FE9"/>
    <w:rsid w:val="12E83108"/>
    <w:rsid w:val="13072A44"/>
    <w:rsid w:val="1343264F"/>
    <w:rsid w:val="1346119F"/>
    <w:rsid w:val="135950FD"/>
    <w:rsid w:val="135D2E40"/>
    <w:rsid w:val="135F4BE2"/>
    <w:rsid w:val="136A10B9"/>
    <w:rsid w:val="136F6EA1"/>
    <w:rsid w:val="13815EDF"/>
    <w:rsid w:val="139B1A0A"/>
    <w:rsid w:val="139D25C7"/>
    <w:rsid w:val="13A740BB"/>
    <w:rsid w:val="13BF3CE4"/>
    <w:rsid w:val="13C01E82"/>
    <w:rsid w:val="13CA16CE"/>
    <w:rsid w:val="13EB21F9"/>
    <w:rsid w:val="13F374B8"/>
    <w:rsid w:val="13FA3B48"/>
    <w:rsid w:val="140C03C2"/>
    <w:rsid w:val="141008D8"/>
    <w:rsid w:val="14125FE6"/>
    <w:rsid w:val="1442760C"/>
    <w:rsid w:val="144E543E"/>
    <w:rsid w:val="145C6C53"/>
    <w:rsid w:val="146D271E"/>
    <w:rsid w:val="1490081F"/>
    <w:rsid w:val="14982588"/>
    <w:rsid w:val="149A5AD9"/>
    <w:rsid w:val="14A7619D"/>
    <w:rsid w:val="14E135FC"/>
    <w:rsid w:val="14F271DF"/>
    <w:rsid w:val="14F70F66"/>
    <w:rsid w:val="150536C3"/>
    <w:rsid w:val="150C1963"/>
    <w:rsid w:val="150F3CC6"/>
    <w:rsid w:val="151447A0"/>
    <w:rsid w:val="15163B8A"/>
    <w:rsid w:val="151B08BD"/>
    <w:rsid w:val="15342D09"/>
    <w:rsid w:val="153C0833"/>
    <w:rsid w:val="153F04BB"/>
    <w:rsid w:val="153F0EB6"/>
    <w:rsid w:val="154A6454"/>
    <w:rsid w:val="15610299"/>
    <w:rsid w:val="15643B91"/>
    <w:rsid w:val="156A0E93"/>
    <w:rsid w:val="156E3D61"/>
    <w:rsid w:val="1574621E"/>
    <w:rsid w:val="15762120"/>
    <w:rsid w:val="15842905"/>
    <w:rsid w:val="15954E35"/>
    <w:rsid w:val="15962639"/>
    <w:rsid w:val="15B36D47"/>
    <w:rsid w:val="15D157AE"/>
    <w:rsid w:val="15EB309C"/>
    <w:rsid w:val="15F76776"/>
    <w:rsid w:val="16322361"/>
    <w:rsid w:val="166149F5"/>
    <w:rsid w:val="16A8729C"/>
    <w:rsid w:val="16B33777"/>
    <w:rsid w:val="16BC70A7"/>
    <w:rsid w:val="16C6339E"/>
    <w:rsid w:val="16E34270"/>
    <w:rsid w:val="16E42F30"/>
    <w:rsid w:val="16F37B36"/>
    <w:rsid w:val="17172696"/>
    <w:rsid w:val="172F2D79"/>
    <w:rsid w:val="17345C65"/>
    <w:rsid w:val="173C2D6C"/>
    <w:rsid w:val="17544559"/>
    <w:rsid w:val="17557BEF"/>
    <w:rsid w:val="177625A5"/>
    <w:rsid w:val="17AF353E"/>
    <w:rsid w:val="17BE63A1"/>
    <w:rsid w:val="17D349C1"/>
    <w:rsid w:val="17E21B65"/>
    <w:rsid w:val="1801120B"/>
    <w:rsid w:val="18244F26"/>
    <w:rsid w:val="18245CDA"/>
    <w:rsid w:val="1830729E"/>
    <w:rsid w:val="1870062C"/>
    <w:rsid w:val="18760BB3"/>
    <w:rsid w:val="18817102"/>
    <w:rsid w:val="18830A15"/>
    <w:rsid w:val="18852B28"/>
    <w:rsid w:val="188B5321"/>
    <w:rsid w:val="188E4CA2"/>
    <w:rsid w:val="18933499"/>
    <w:rsid w:val="18B00717"/>
    <w:rsid w:val="18B539B9"/>
    <w:rsid w:val="18D6213F"/>
    <w:rsid w:val="18E24C39"/>
    <w:rsid w:val="190D71AF"/>
    <w:rsid w:val="193E47DD"/>
    <w:rsid w:val="195158FE"/>
    <w:rsid w:val="196A2016"/>
    <w:rsid w:val="19706CFD"/>
    <w:rsid w:val="198C1D89"/>
    <w:rsid w:val="19932372"/>
    <w:rsid w:val="19A20DD5"/>
    <w:rsid w:val="19AE03F1"/>
    <w:rsid w:val="19C25DFF"/>
    <w:rsid w:val="19D52BFA"/>
    <w:rsid w:val="19EF056A"/>
    <w:rsid w:val="1A071A03"/>
    <w:rsid w:val="1A1F16AE"/>
    <w:rsid w:val="1A2024D1"/>
    <w:rsid w:val="1A3B5C77"/>
    <w:rsid w:val="1A692698"/>
    <w:rsid w:val="1A7D7923"/>
    <w:rsid w:val="1A846F04"/>
    <w:rsid w:val="1A8A765A"/>
    <w:rsid w:val="1A984BAD"/>
    <w:rsid w:val="1AB8220E"/>
    <w:rsid w:val="1ABA46D4"/>
    <w:rsid w:val="1AE4166C"/>
    <w:rsid w:val="1AF06CFB"/>
    <w:rsid w:val="1AF11B8D"/>
    <w:rsid w:val="1B057F96"/>
    <w:rsid w:val="1B0D3053"/>
    <w:rsid w:val="1B11359C"/>
    <w:rsid w:val="1B1878EB"/>
    <w:rsid w:val="1B214753"/>
    <w:rsid w:val="1B2A271F"/>
    <w:rsid w:val="1B40570F"/>
    <w:rsid w:val="1B4E306E"/>
    <w:rsid w:val="1B530544"/>
    <w:rsid w:val="1B570174"/>
    <w:rsid w:val="1B59792D"/>
    <w:rsid w:val="1B713184"/>
    <w:rsid w:val="1B735084"/>
    <w:rsid w:val="1B9E3D36"/>
    <w:rsid w:val="1BA14F49"/>
    <w:rsid w:val="1BA209CF"/>
    <w:rsid w:val="1BA43EF7"/>
    <w:rsid w:val="1BB4777D"/>
    <w:rsid w:val="1BBF058C"/>
    <w:rsid w:val="1BC752A5"/>
    <w:rsid w:val="1BCA6B98"/>
    <w:rsid w:val="1BCC110E"/>
    <w:rsid w:val="1BD75AB8"/>
    <w:rsid w:val="1BF9122C"/>
    <w:rsid w:val="1C0459C2"/>
    <w:rsid w:val="1C1B3B4A"/>
    <w:rsid w:val="1C284B16"/>
    <w:rsid w:val="1C5C0C4E"/>
    <w:rsid w:val="1C5E5533"/>
    <w:rsid w:val="1C610BFB"/>
    <w:rsid w:val="1C6B28A5"/>
    <w:rsid w:val="1C77656C"/>
    <w:rsid w:val="1C8574D5"/>
    <w:rsid w:val="1C88086E"/>
    <w:rsid w:val="1C8D7751"/>
    <w:rsid w:val="1C915908"/>
    <w:rsid w:val="1CC1038E"/>
    <w:rsid w:val="1CC17F9B"/>
    <w:rsid w:val="1CC37CA8"/>
    <w:rsid w:val="1CD42259"/>
    <w:rsid w:val="1CDC4DD5"/>
    <w:rsid w:val="1CDD28FB"/>
    <w:rsid w:val="1CEB6DC6"/>
    <w:rsid w:val="1CF44B0C"/>
    <w:rsid w:val="1CF77E61"/>
    <w:rsid w:val="1CFF5F62"/>
    <w:rsid w:val="1D047E88"/>
    <w:rsid w:val="1D0E0D07"/>
    <w:rsid w:val="1D1E62D0"/>
    <w:rsid w:val="1D266050"/>
    <w:rsid w:val="1D266CE1"/>
    <w:rsid w:val="1D355362"/>
    <w:rsid w:val="1D3963AF"/>
    <w:rsid w:val="1D417B50"/>
    <w:rsid w:val="1D4552E6"/>
    <w:rsid w:val="1D5F3FAC"/>
    <w:rsid w:val="1D6A673C"/>
    <w:rsid w:val="1D6B6159"/>
    <w:rsid w:val="1D9247AE"/>
    <w:rsid w:val="1DB07D27"/>
    <w:rsid w:val="1DB567EC"/>
    <w:rsid w:val="1DC34663"/>
    <w:rsid w:val="1DF51A98"/>
    <w:rsid w:val="1E051CD9"/>
    <w:rsid w:val="1E075E82"/>
    <w:rsid w:val="1E3D060F"/>
    <w:rsid w:val="1E3F7D2E"/>
    <w:rsid w:val="1E4134E4"/>
    <w:rsid w:val="1E4569AA"/>
    <w:rsid w:val="1E5062B3"/>
    <w:rsid w:val="1E523514"/>
    <w:rsid w:val="1E714A66"/>
    <w:rsid w:val="1E802593"/>
    <w:rsid w:val="1E814BE5"/>
    <w:rsid w:val="1E8B6156"/>
    <w:rsid w:val="1E911BEF"/>
    <w:rsid w:val="1EA703CC"/>
    <w:rsid w:val="1EB7330C"/>
    <w:rsid w:val="1EC94328"/>
    <w:rsid w:val="1EEC27E3"/>
    <w:rsid w:val="1EFC364D"/>
    <w:rsid w:val="1F0A0FF3"/>
    <w:rsid w:val="1F155A65"/>
    <w:rsid w:val="1F1A7A1E"/>
    <w:rsid w:val="1F3D1AEC"/>
    <w:rsid w:val="1F3E1D77"/>
    <w:rsid w:val="1F47684D"/>
    <w:rsid w:val="1F5771FF"/>
    <w:rsid w:val="1F5F7009"/>
    <w:rsid w:val="1F66307C"/>
    <w:rsid w:val="1F7C1719"/>
    <w:rsid w:val="1F930620"/>
    <w:rsid w:val="1FB57B5F"/>
    <w:rsid w:val="1FC73600"/>
    <w:rsid w:val="1FD52574"/>
    <w:rsid w:val="1FE22B1B"/>
    <w:rsid w:val="1FE67D19"/>
    <w:rsid w:val="1FE868A9"/>
    <w:rsid w:val="20034907"/>
    <w:rsid w:val="20173E4B"/>
    <w:rsid w:val="204E48BC"/>
    <w:rsid w:val="20523600"/>
    <w:rsid w:val="208921B3"/>
    <w:rsid w:val="20973DEB"/>
    <w:rsid w:val="20A36034"/>
    <w:rsid w:val="20B26522"/>
    <w:rsid w:val="20B44310"/>
    <w:rsid w:val="20BF1705"/>
    <w:rsid w:val="20D858B3"/>
    <w:rsid w:val="21035A46"/>
    <w:rsid w:val="211116EB"/>
    <w:rsid w:val="2129562B"/>
    <w:rsid w:val="213D1BBA"/>
    <w:rsid w:val="21432B39"/>
    <w:rsid w:val="215018EE"/>
    <w:rsid w:val="215A6C10"/>
    <w:rsid w:val="216133FC"/>
    <w:rsid w:val="21A97B2D"/>
    <w:rsid w:val="21AE1655"/>
    <w:rsid w:val="21C45D42"/>
    <w:rsid w:val="21D56769"/>
    <w:rsid w:val="21DF255E"/>
    <w:rsid w:val="21E52EF3"/>
    <w:rsid w:val="21F04E7F"/>
    <w:rsid w:val="21FB5D7B"/>
    <w:rsid w:val="22015E94"/>
    <w:rsid w:val="220A23B6"/>
    <w:rsid w:val="220B1C3D"/>
    <w:rsid w:val="220F64F1"/>
    <w:rsid w:val="22162B37"/>
    <w:rsid w:val="221D1D20"/>
    <w:rsid w:val="22274D44"/>
    <w:rsid w:val="22326F75"/>
    <w:rsid w:val="22334A87"/>
    <w:rsid w:val="22384C79"/>
    <w:rsid w:val="22482214"/>
    <w:rsid w:val="22696FF6"/>
    <w:rsid w:val="226B7056"/>
    <w:rsid w:val="226F6442"/>
    <w:rsid w:val="227961F6"/>
    <w:rsid w:val="229A36C5"/>
    <w:rsid w:val="22A14BF8"/>
    <w:rsid w:val="22AC6A54"/>
    <w:rsid w:val="22BE6801"/>
    <w:rsid w:val="22CB2D3E"/>
    <w:rsid w:val="22DE784D"/>
    <w:rsid w:val="22E77254"/>
    <w:rsid w:val="22EC3898"/>
    <w:rsid w:val="231A6A0F"/>
    <w:rsid w:val="232C68AC"/>
    <w:rsid w:val="23316C1F"/>
    <w:rsid w:val="233500BF"/>
    <w:rsid w:val="23377FF7"/>
    <w:rsid w:val="234F5CFB"/>
    <w:rsid w:val="236B046C"/>
    <w:rsid w:val="236B425F"/>
    <w:rsid w:val="23836192"/>
    <w:rsid w:val="23901F29"/>
    <w:rsid w:val="239C0061"/>
    <w:rsid w:val="23B2407F"/>
    <w:rsid w:val="23B908A4"/>
    <w:rsid w:val="23E95BEF"/>
    <w:rsid w:val="23F4261E"/>
    <w:rsid w:val="23FD0064"/>
    <w:rsid w:val="24077A99"/>
    <w:rsid w:val="240F3CE2"/>
    <w:rsid w:val="241100FB"/>
    <w:rsid w:val="2420033E"/>
    <w:rsid w:val="24217571"/>
    <w:rsid w:val="244A4D1A"/>
    <w:rsid w:val="244F088E"/>
    <w:rsid w:val="245375B0"/>
    <w:rsid w:val="24537BC5"/>
    <w:rsid w:val="245B6DB7"/>
    <w:rsid w:val="246279E1"/>
    <w:rsid w:val="24642C0A"/>
    <w:rsid w:val="2481057A"/>
    <w:rsid w:val="249D355D"/>
    <w:rsid w:val="24B22173"/>
    <w:rsid w:val="24B618E1"/>
    <w:rsid w:val="24B95AD9"/>
    <w:rsid w:val="24BE24DA"/>
    <w:rsid w:val="24C3687B"/>
    <w:rsid w:val="24CE5665"/>
    <w:rsid w:val="24CF5825"/>
    <w:rsid w:val="24D663E6"/>
    <w:rsid w:val="24D757B6"/>
    <w:rsid w:val="24D77F2B"/>
    <w:rsid w:val="24DE5879"/>
    <w:rsid w:val="256718FC"/>
    <w:rsid w:val="258B00E2"/>
    <w:rsid w:val="25A917A6"/>
    <w:rsid w:val="25AB2553"/>
    <w:rsid w:val="25BE27CC"/>
    <w:rsid w:val="25C16B8B"/>
    <w:rsid w:val="25D435EF"/>
    <w:rsid w:val="25F0544D"/>
    <w:rsid w:val="25F74A5C"/>
    <w:rsid w:val="261513AF"/>
    <w:rsid w:val="2628662C"/>
    <w:rsid w:val="262D45DE"/>
    <w:rsid w:val="267E2E0E"/>
    <w:rsid w:val="26871DC8"/>
    <w:rsid w:val="268B161A"/>
    <w:rsid w:val="26971DB2"/>
    <w:rsid w:val="26A0342B"/>
    <w:rsid w:val="26A53EF9"/>
    <w:rsid w:val="26A544E4"/>
    <w:rsid w:val="26A64C5A"/>
    <w:rsid w:val="26A94201"/>
    <w:rsid w:val="26AC274F"/>
    <w:rsid w:val="26D23C48"/>
    <w:rsid w:val="270142B1"/>
    <w:rsid w:val="27044A29"/>
    <w:rsid w:val="271D34C8"/>
    <w:rsid w:val="272730F1"/>
    <w:rsid w:val="273036BA"/>
    <w:rsid w:val="27457CE6"/>
    <w:rsid w:val="27547C5E"/>
    <w:rsid w:val="276142BF"/>
    <w:rsid w:val="276370CF"/>
    <w:rsid w:val="27783712"/>
    <w:rsid w:val="278D4EE0"/>
    <w:rsid w:val="27907362"/>
    <w:rsid w:val="279544FE"/>
    <w:rsid w:val="27C17204"/>
    <w:rsid w:val="27C546B8"/>
    <w:rsid w:val="27CB3CE5"/>
    <w:rsid w:val="27DD40F7"/>
    <w:rsid w:val="280276BA"/>
    <w:rsid w:val="28101DD7"/>
    <w:rsid w:val="28333E1D"/>
    <w:rsid w:val="28454BD6"/>
    <w:rsid w:val="28455253"/>
    <w:rsid w:val="28551971"/>
    <w:rsid w:val="285A2FA5"/>
    <w:rsid w:val="285B1C53"/>
    <w:rsid w:val="286F11F3"/>
    <w:rsid w:val="287702CA"/>
    <w:rsid w:val="288B5901"/>
    <w:rsid w:val="28965F52"/>
    <w:rsid w:val="289F7086"/>
    <w:rsid w:val="28C32028"/>
    <w:rsid w:val="28CA4984"/>
    <w:rsid w:val="28CC490F"/>
    <w:rsid w:val="28D61EBD"/>
    <w:rsid w:val="28DC1CC9"/>
    <w:rsid w:val="28DE40AA"/>
    <w:rsid w:val="28E82D54"/>
    <w:rsid w:val="29333963"/>
    <w:rsid w:val="29345E77"/>
    <w:rsid w:val="29396D98"/>
    <w:rsid w:val="29475CCC"/>
    <w:rsid w:val="294C65AD"/>
    <w:rsid w:val="2953671A"/>
    <w:rsid w:val="2965010A"/>
    <w:rsid w:val="2967011C"/>
    <w:rsid w:val="29806583"/>
    <w:rsid w:val="298B3C4C"/>
    <w:rsid w:val="298F19EC"/>
    <w:rsid w:val="298F27C5"/>
    <w:rsid w:val="29AB0437"/>
    <w:rsid w:val="29E344D0"/>
    <w:rsid w:val="29F10CFD"/>
    <w:rsid w:val="29F26D24"/>
    <w:rsid w:val="29F714A0"/>
    <w:rsid w:val="2A0E67EA"/>
    <w:rsid w:val="2A15033F"/>
    <w:rsid w:val="2A1662C1"/>
    <w:rsid w:val="2A1C7367"/>
    <w:rsid w:val="2A2815FA"/>
    <w:rsid w:val="2A293624"/>
    <w:rsid w:val="2A5F7045"/>
    <w:rsid w:val="2A636B36"/>
    <w:rsid w:val="2A6D6092"/>
    <w:rsid w:val="2A715F67"/>
    <w:rsid w:val="2A7D76B4"/>
    <w:rsid w:val="2A816FBC"/>
    <w:rsid w:val="2AA16FC2"/>
    <w:rsid w:val="2AB56C65"/>
    <w:rsid w:val="2AD861A6"/>
    <w:rsid w:val="2AED6C7B"/>
    <w:rsid w:val="2B065713"/>
    <w:rsid w:val="2B09293F"/>
    <w:rsid w:val="2B437463"/>
    <w:rsid w:val="2B4F306B"/>
    <w:rsid w:val="2B7663F5"/>
    <w:rsid w:val="2B7807EE"/>
    <w:rsid w:val="2B852AF3"/>
    <w:rsid w:val="2BA50BF7"/>
    <w:rsid w:val="2BA60E10"/>
    <w:rsid w:val="2BBF00EC"/>
    <w:rsid w:val="2BC162D3"/>
    <w:rsid w:val="2BC37CFD"/>
    <w:rsid w:val="2BD5237F"/>
    <w:rsid w:val="2BE536CE"/>
    <w:rsid w:val="2BE758D9"/>
    <w:rsid w:val="2BE9496F"/>
    <w:rsid w:val="2BF10171"/>
    <w:rsid w:val="2BF346BB"/>
    <w:rsid w:val="2C09049E"/>
    <w:rsid w:val="2C0A653C"/>
    <w:rsid w:val="2C191F85"/>
    <w:rsid w:val="2C1C746F"/>
    <w:rsid w:val="2C264098"/>
    <w:rsid w:val="2C31056E"/>
    <w:rsid w:val="2C384254"/>
    <w:rsid w:val="2C3971FB"/>
    <w:rsid w:val="2C3A0EA2"/>
    <w:rsid w:val="2C416A03"/>
    <w:rsid w:val="2C587AAB"/>
    <w:rsid w:val="2C5933A3"/>
    <w:rsid w:val="2C6554BB"/>
    <w:rsid w:val="2C8E776E"/>
    <w:rsid w:val="2CC633AC"/>
    <w:rsid w:val="2CE808B5"/>
    <w:rsid w:val="2CE82D6F"/>
    <w:rsid w:val="2CF41CC7"/>
    <w:rsid w:val="2D0B17AA"/>
    <w:rsid w:val="2D1063D5"/>
    <w:rsid w:val="2D197980"/>
    <w:rsid w:val="2D343236"/>
    <w:rsid w:val="2D575011"/>
    <w:rsid w:val="2D837537"/>
    <w:rsid w:val="2D9E4D24"/>
    <w:rsid w:val="2D9F156A"/>
    <w:rsid w:val="2DA06E71"/>
    <w:rsid w:val="2DAC5EA2"/>
    <w:rsid w:val="2DB11966"/>
    <w:rsid w:val="2DBE0ECB"/>
    <w:rsid w:val="2DD15014"/>
    <w:rsid w:val="2DD90EBD"/>
    <w:rsid w:val="2DF72DE4"/>
    <w:rsid w:val="2DFB0384"/>
    <w:rsid w:val="2E0220AF"/>
    <w:rsid w:val="2E4B082A"/>
    <w:rsid w:val="2E5549E7"/>
    <w:rsid w:val="2E5A0900"/>
    <w:rsid w:val="2E5D4E86"/>
    <w:rsid w:val="2E5D790B"/>
    <w:rsid w:val="2E6136A4"/>
    <w:rsid w:val="2E840A66"/>
    <w:rsid w:val="2E9A3C18"/>
    <w:rsid w:val="2E9A78DD"/>
    <w:rsid w:val="2EB36CB5"/>
    <w:rsid w:val="2EB57234"/>
    <w:rsid w:val="2EBB0FEE"/>
    <w:rsid w:val="2EC63002"/>
    <w:rsid w:val="2ECF08DB"/>
    <w:rsid w:val="2F0A6B38"/>
    <w:rsid w:val="2F407445"/>
    <w:rsid w:val="2F4A36C5"/>
    <w:rsid w:val="2F616D81"/>
    <w:rsid w:val="2F634EE2"/>
    <w:rsid w:val="2F7760A6"/>
    <w:rsid w:val="2F7960D4"/>
    <w:rsid w:val="2F8772D8"/>
    <w:rsid w:val="2F8A246F"/>
    <w:rsid w:val="2F905058"/>
    <w:rsid w:val="2F946CCB"/>
    <w:rsid w:val="2F996B56"/>
    <w:rsid w:val="2FAA0D51"/>
    <w:rsid w:val="2FAE7398"/>
    <w:rsid w:val="2FCC6F2B"/>
    <w:rsid w:val="2FD25781"/>
    <w:rsid w:val="2FDC745C"/>
    <w:rsid w:val="2FF3270A"/>
    <w:rsid w:val="2FF434B5"/>
    <w:rsid w:val="2FF43C97"/>
    <w:rsid w:val="2FFD7934"/>
    <w:rsid w:val="30134B5A"/>
    <w:rsid w:val="30467EE1"/>
    <w:rsid w:val="30733ACD"/>
    <w:rsid w:val="308C3862"/>
    <w:rsid w:val="309379D8"/>
    <w:rsid w:val="30A270F7"/>
    <w:rsid w:val="30B04157"/>
    <w:rsid w:val="30C25A2F"/>
    <w:rsid w:val="30DF1478"/>
    <w:rsid w:val="30EC586F"/>
    <w:rsid w:val="30FD3EF5"/>
    <w:rsid w:val="311734C2"/>
    <w:rsid w:val="311961A0"/>
    <w:rsid w:val="311B07F6"/>
    <w:rsid w:val="313059E8"/>
    <w:rsid w:val="31413C4F"/>
    <w:rsid w:val="314E2130"/>
    <w:rsid w:val="31501496"/>
    <w:rsid w:val="31796C3F"/>
    <w:rsid w:val="319C6071"/>
    <w:rsid w:val="319D4A39"/>
    <w:rsid w:val="319F38CE"/>
    <w:rsid w:val="31A517E2"/>
    <w:rsid w:val="31AC537E"/>
    <w:rsid w:val="31AE2A82"/>
    <w:rsid w:val="31B92EBF"/>
    <w:rsid w:val="31C9409A"/>
    <w:rsid w:val="31E15F4B"/>
    <w:rsid w:val="31E3679B"/>
    <w:rsid w:val="31E732FD"/>
    <w:rsid w:val="31E85B72"/>
    <w:rsid w:val="31F564A6"/>
    <w:rsid w:val="31FC517A"/>
    <w:rsid w:val="320C7229"/>
    <w:rsid w:val="32385D83"/>
    <w:rsid w:val="323963CE"/>
    <w:rsid w:val="32517576"/>
    <w:rsid w:val="32696CB3"/>
    <w:rsid w:val="32764F2C"/>
    <w:rsid w:val="3281725C"/>
    <w:rsid w:val="32A970B0"/>
    <w:rsid w:val="32BE5C2C"/>
    <w:rsid w:val="32E9375F"/>
    <w:rsid w:val="32FA790B"/>
    <w:rsid w:val="32FB6478"/>
    <w:rsid w:val="332629BB"/>
    <w:rsid w:val="33263B3F"/>
    <w:rsid w:val="333C0319"/>
    <w:rsid w:val="334E5EA9"/>
    <w:rsid w:val="336963EB"/>
    <w:rsid w:val="337A5206"/>
    <w:rsid w:val="33816EEB"/>
    <w:rsid w:val="339A10EE"/>
    <w:rsid w:val="33A855B9"/>
    <w:rsid w:val="33EB55CD"/>
    <w:rsid w:val="33EC4C02"/>
    <w:rsid w:val="340229ED"/>
    <w:rsid w:val="340D2360"/>
    <w:rsid w:val="3410665D"/>
    <w:rsid w:val="34190265"/>
    <w:rsid w:val="34211214"/>
    <w:rsid w:val="342E63AB"/>
    <w:rsid w:val="34302329"/>
    <w:rsid w:val="34321327"/>
    <w:rsid w:val="345A1D9D"/>
    <w:rsid w:val="3486012A"/>
    <w:rsid w:val="3491604D"/>
    <w:rsid w:val="34950E68"/>
    <w:rsid w:val="34986E94"/>
    <w:rsid w:val="34AF62C9"/>
    <w:rsid w:val="34CB4388"/>
    <w:rsid w:val="34E602EB"/>
    <w:rsid w:val="34F90942"/>
    <w:rsid w:val="34FA6E12"/>
    <w:rsid w:val="35092088"/>
    <w:rsid w:val="35132F06"/>
    <w:rsid w:val="35321DFC"/>
    <w:rsid w:val="354D7158"/>
    <w:rsid w:val="358D2A71"/>
    <w:rsid w:val="358D5588"/>
    <w:rsid w:val="35976F45"/>
    <w:rsid w:val="35BA6F50"/>
    <w:rsid w:val="35DA3A24"/>
    <w:rsid w:val="35DF6310"/>
    <w:rsid w:val="35FA0B23"/>
    <w:rsid w:val="361374D2"/>
    <w:rsid w:val="362441E9"/>
    <w:rsid w:val="362D63E3"/>
    <w:rsid w:val="363A3B40"/>
    <w:rsid w:val="363B0967"/>
    <w:rsid w:val="365302AE"/>
    <w:rsid w:val="365577ED"/>
    <w:rsid w:val="3660217B"/>
    <w:rsid w:val="36607A0A"/>
    <w:rsid w:val="366E227C"/>
    <w:rsid w:val="366F2E0D"/>
    <w:rsid w:val="367B6A5C"/>
    <w:rsid w:val="368C11C2"/>
    <w:rsid w:val="368F0CB2"/>
    <w:rsid w:val="369C0E1F"/>
    <w:rsid w:val="369C39B5"/>
    <w:rsid w:val="369D2EA4"/>
    <w:rsid w:val="36A22794"/>
    <w:rsid w:val="36A74ADA"/>
    <w:rsid w:val="36AD60D5"/>
    <w:rsid w:val="36B224F9"/>
    <w:rsid w:val="36E44D2C"/>
    <w:rsid w:val="36EC0CC9"/>
    <w:rsid w:val="3717055E"/>
    <w:rsid w:val="372C7F37"/>
    <w:rsid w:val="373F410B"/>
    <w:rsid w:val="374B61CE"/>
    <w:rsid w:val="37607F59"/>
    <w:rsid w:val="376637C1"/>
    <w:rsid w:val="37B24C58"/>
    <w:rsid w:val="37B409D1"/>
    <w:rsid w:val="37DA41AF"/>
    <w:rsid w:val="37EE7094"/>
    <w:rsid w:val="37F4701F"/>
    <w:rsid w:val="38294068"/>
    <w:rsid w:val="38296C89"/>
    <w:rsid w:val="383002EB"/>
    <w:rsid w:val="38406701"/>
    <w:rsid w:val="38586797"/>
    <w:rsid w:val="38593C76"/>
    <w:rsid w:val="385D15DF"/>
    <w:rsid w:val="386F25DF"/>
    <w:rsid w:val="38AC5B4C"/>
    <w:rsid w:val="38BC0149"/>
    <w:rsid w:val="38CD0DC8"/>
    <w:rsid w:val="38D87D1C"/>
    <w:rsid w:val="38E26F5B"/>
    <w:rsid w:val="38E92C80"/>
    <w:rsid w:val="391334D5"/>
    <w:rsid w:val="39300DFB"/>
    <w:rsid w:val="39577C58"/>
    <w:rsid w:val="39636459"/>
    <w:rsid w:val="396B7F6C"/>
    <w:rsid w:val="3971469F"/>
    <w:rsid w:val="39770179"/>
    <w:rsid w:val="39AD1B7B"/>
    <w:rsid w:val="39B417A9"/>
    <w:rsid w:val="39C66799"/>
    <w:rsid w:val="39DA3FF3"/>
    <w:rsid w:val="39F0779C"/>
    <w:rsid w:val="39F540DE"/>
    <w:rsid w:val="39F76D8F"/>
    <w:rsid w:val="39FC5695"/>
    <w:rsid w:val="3A006D8E"/>
    <w:rsid w:val="3A3651E5"/>
    <w:rsid w:val="3A4A561C"/>
    <w:rsid w:val="3A546DBE"/>
    <w:rsid w:val="3A74058B"/>
    <w:rsid w:val="3A744481"/>
    <w:rsid w:val="3A8C7BEF"/>
    <w:rsid w:val="3A8F302F"/>
    <w:rsid w:val="3A906246"/>
    <w:rsid w:val="3A9B65F1"/>
    <w:rsid w:val="3ACD4EF5"/>
    <w:rsid w:val="3AFF6407"/>
    <w:rsid w:val="3B02643E"/>
    <w:rsid w:val="3B0C28D2"/>
    <w:rsid w:val="3B1874C8"/>
    <w:rsid w:val="3B2349B7"/>
    <w:rsid w:val="3B2C0E8E"/>
    <w:rsid w:val="3B2D45F6"/>
    <w:rsid w:val="3B464036"/>
    <w:rsid w:val="3B4648A6"/>
    <w:rsid w:val="3B523D67"/>
    <w:rsid w:val="3B616CFF"/>
    <w:rsid w:val="3B6259F6"/>
    <w:rsid w:val="3B976654"/>
    <w:rsid w:val="3B9C37F1"/>
    <w:rsid w:val="3BBC42F8"/>
    <w:rsid w:val="3BC01EFC"/>
    <w:rsid w:val="3BC136BC"/>
    <w:rsid w:val="3BC60CD2"/>
    <w:rsid w:val="3BCA786A"/>
    <w:rsid w:val="3BD31E2F"/>
    <w:rsid w:val="3BEB698B"/>
    <w:rsid w:val="3BF15831"/>
    <w:rsid w:val="3BF770DE"/>
    <w:rsid w:val="3C105946"/>
    <w:rsid w:val="3C177780"/>
    <w:rsid w:val="3C471448"/>
    <w:rsid w:val="3C4E0AFB"/>
    <w:rsid w:val="3C536A3E"/>
    <w:rsid w:val="3C5B0F96"/>
    <w:rsid w:val="3C5F759A"/>
    <w:rsid w:val="3C6C525A"/>
    <w:rsid w:val="3C96112F"/>
    <w:rsid w:val="3CB44AC3"/>
    <w:rsid w:val="3CCE23CB"/>
    <w:rsid w:val="3CD17D17"/>
    <w:rsid w:val="3CEF0B3D"/>
    <w:rsid w:val="3CF932EC"/>
    <w:rsid w:val="3D121CF5"/>
    <w:rsid w:val="3D362E0F"/>
    <w:rsid w:val="3D3C7F39"/>
    <w:rsid w:val="3D440F09"/>
    <w:rsid w:val="3D4504A0"/>
    <w:rsid w:val="3D4A5E08"/>
    <w:rsid w:val="3D4C5207"/>
    <w:rsid w:val="3D6458FA"/>
    <w:rsid w:val="3D675380"/>
    <w:rsid w:val="3D8734BB"/>
    <w:rsid w:val="3D8C5F4C"/>
    <w:rsid w:val="3D9A11D4"/>
    <w:rsid w:val="3DA16D89"/>
    <w:rsid w:val="3DA364BE"/>
    <w:rsid w:val="3DB95E1B"/>
    <w:rsid w:val="3DCD3E19"/>
    <w:rsid w:val="3DD841DC"/>
    <w:rsid w:val="3DE041CB"/>
    <w:rsid w:val="3E0D48F6"/>
    <w:rsid w:val="3E1868B4"/>
    <w:rsid w:val="3E377251"/>
    <w:rsid w:val="3E42664B"/>
    <w:rsid w:val="3E507983"/>
    <w:rsid w:val="3E5A7334"/>
    <w:rsid w:val="3E5F4B6E"/>
    <w:rsid w:val="3E7B5D6B"/>
    <w:rsid w:val="3E843E66"/>
    <w:rsid w:val="3E8F51FE"/>
    <w:rsid w:val="3E926F87"/>
    <w:rsid w:val="3E9A59DE"/>
    <w:rsid w:val="3EAF4836"/>
    <w:rsid w:val="3EC13ECC"/>
    <w:rsid w:val="3EC33DFA"/>
    <w:rsid w:val="3ED656D0"/>
    <w:rsid w:val="3F060E16"/>
    <w:rsid w:val="3F0C0DE6"/>
    <w:rsid w:val="3F0D372E"/>
    <w:rsid w:val="3F1D1096"/>
    <w:rsid w:val="3F2504D1"/>
    <w:rsid w:val="3F2F0234"/>
    <w:rsid w:val="3F6363FE"/>
    <w:rsid w:val="3F6778AF"/>
    <w:rsid w:val="3F756B8F"/>
    <w:rsid w:val="3F7E53F5"/>
    <w:rsid w:val="3F95482B"/>
    <w:rsid w:val="3F9D5862"/>
    <w:rsid w:val="3FAA26B9"/>
    <w:rsid w:val="3FB86B84"/>
    <w:rsid w:val="3FBB48C6"/>
    <w:rsid w:val="3FC16416"/>
    <w:rsid w:val="3FFF47B3"/>
    <w:rsid w:val="4019356B"/>
    <w:rsid w:val="404D1D57"/>
    <w:rsid w:val="40592157"/>
    <w:rsid w:val="406E1CAE"/>
    <w:rsid w:val="40A0133A"/>
    <w:rsid w:val="40A37834"/>
    <w:rsid w:val="40A81ADC"/>
    <w:rsid w:val="40B44A20"/>
    <w:rsid w:val="40BA66CD"/>
    <w:rsid w:val="40C31A53"/>
    <w:rsid w:val="40C70712"/>
    <w:rsid w:val="40D479EE"/>
    <w:rsid w:val="40DE77C3"/>
    <w:rsid w:val="40E83499"/>
    <w:rsid w:val="40FF545D"/>
    <w:rsid w:val="410067C8"/>
    <w:rsid w:val="414544E4"/>
    <w:rsid w:val="414B5438"/>
    <w:rsid w:val="41536A5A"/>
    <w:rsid w:val="418F0D2A"/>
    <w:rsid w:val="41921B42"/>
    <w:rsid w:val="419B49AF"/>
    <w:rsid w:val="419C69FB"/>
    <w:rsid w:val="41AB7DB5"/>
    <w:rsid w:val="41B12798"/>
    <w:rsid w:val="41D01505"/>
    <w:rsid w:val="41D61E12"/>
    <w:rsid w:val="41E96A54"/>
    <w:rsid w:val="41F93484"/>
    <w:rsid w:val="42474939"/>
    <w:rsid w:val="424C3C57"/>
    <w:rsid w:val="42613FF3"/>
    <w:rsid w:val="42660D96"/>
    <w:rsid w:val="426C1EA8"/>
    <w:rsid w:val="426D0932"/>
    <w:rsid w:val="42703746"/>
    <w:rsid w:val="42731488"/>
    <w:rsid w:val="428667D2"/>
    <w:rsid w:val="42903BA2"/>
    <w:rsid w:val="429C0C25"/>
    <w:rsid w:val="42B1494A"/>
    <w:rsid w:val="42CD1CE0"/>
    <w:rsid w:val="42E1381E"/>
    <w:rsid w:val="42E94DCA"/>
    <w:rsid w:val="42ED6459"/>
    <w:rsid w:val="42FE33C9"/>
    <w:rsid w:val="42FE58DD"/>
    <w:rsid w:val="43065E58"/>
    <w:rsid w:val="43174B3D"/>
    <w:rsid w:val="4329772D"/>
    <w:rsid w:val="433724B6"/>
    <w:rsid w:val="43486471"/>
    <w:rsid w:val="434B790E"/>
    <w:rsid w:val="435E7A42"/>
    <w:rsid w:val="4360274F"/>
    <w:rsid w:val="436074C4"/>
    <w:rsid w:val="43923B90"/>
    <w:rsid w:val="43977AB6"/>
    <w:rsid w:val="43A3342B"/>
    <w:rsid w:val="43C77C27"/>
    <w:rsid w:val="43DB20E4"/>
    <w:rsid w:val="43DE09EE"/>
    <w:rsid w:val="43E57386"/>
    <w:rsid w:val="43F54807"/>
    <w:rsid w:val="44002FAD"/>
    <w:rsid w:val="441B764E"/>
    <w:rsid w:val="446077EA"/>
    <w:rsid w:val="44702643"/>
    <w:rsid w:val="4479751F"/>
    <w:rsid w:val="448C05DF"/>
    <w:rsid w:val="449101DD"/>
    <w:rsid w:val="44AB6CB7"/>
    <w:rsid w:val="44B71A8A"/>
    <w:rsid w:val="44BF6C07"/>
    <w:rsid w:val="44DE1391"/>
    <w:rsid w:val="451B225C"/>
    <w:rsid w:val="45213271"/>
    <w:rsid w:val="452139A1"/>
    <w:rsid w:val="452410C9"/>
    <w:rsid w:val="45317DFB"/>
    <w:rsid w:val="454A1AA6"/>
    <w:rsid w:val="45586D59"/>
    <w:rsid w:val="455E1F7C"/>
    <w:rsid w:val="456D3CE4"/>
    <w:rsid w:val="4579042C"/>
    <w:rsid w:val="457C68A6"/>
    <w:rsid w:val="457F0571"/>
    <w:rsid w:val="45851176"/>
    <w:rsid w:val="45931B79"/>
    <w:rsid w:val="45935AF4"/>
    <w:rsid w:val="459C6612"/>
    <w:rsid w:val="45C5346C"/>
    <w:rsid w:val="45C63B94"/>
    <w:rsid w:val="45D264C6"/>
    <w:rsid w:val="45D65FB6"/>
    <w:rsid w:val="45E87A97"/>
    <w:rsid w:val="46040D75"/>
    <w:rsid w:val="46084F78"/>
    <w:rsid w:val="460E7DA5"/>
    <w:rsid w:val="461011E0"/>
    <w:rsid w:val="461104A1"/>
    <w:rsid w:val="46110D1C"/>
    <w:rsid w:val="4628284A"/>
    <w:rsid w:val="46333408"/>
    <w:rsid w:val="46422483"/>
    <w:rsid w:val="4647199E"/>
    <w:rsid w:val="464F7B16"/>
    <w:rsid w:val="4659254A"/>
    <w:rsid w:val="465B0637"/>
    <w:rsid w:val="465E3F0D"/>
    <w:rsid w:val="46625A9C"/>
    <w:rsid w:val="466A16E6"/>
    <w:rsid w:val="467370F1"/>
    <w:rsid w:val="46893F2B"/>
    <w:rsid w:val="46992A6B"/>
    <w:rsid w:val="46B1432D"/>
    <w:rsid w:val="46B61F24"/>
    <w:rsid w:val="46C4686E"/>
    <w:rsid w:val="46D20D44"/>
    <w:rsid w:val="46D95039"/>
    <w:rsid w:val="46E22739"/>
    <w:rsid w:val="46E55629"/>
    <w:rsid w:val="46E97F6B"/>
    <w:rsid w:val="471450A0"/>
    <w:rsid w:val="47156B58"/>
    <w:rsid w:val="47385407"/>
    <w:rsid w:val="474E6020"/>
    <w:rsid w:val="47573350"/>
    <w:rsid w:val="47617B01"/>
    <w:rsid w:val="477B778F"/>
    <w:rsid w:val="477F442B"/>
    <w:rsid w:val="478203EC"/>
    <w:rsid w:val="47B025FA"/>
    <w:rsid w:val="4809698F"/>
    <w:rsid w:val="480C3F11"/>
    <w:rsid w:val="4811697D"/>
    <w:rsid w:val="4812283E"/>
    <w:rsid w:val="48194880"/>
    <w:rsid w:val="4836049D"/>
    <w:rsid w:val="487230E1"/>
    <w:rsid w:val="487A3E25"/>
    <w:rsid w:val="487F7E32"/>
    <w:rsid w:val="488B5503"/>
    <w:rsid w:val="48937E21"/>
    <w:rsid w:val="489A0361"/>
    <w:rsid w:val="48A653A7"/>
    <w:rsid w:val="48B306AC"/>
    <w:rsid w:val="48B94FF3"/>
    <w:rsid w:val="48E1714C"/>
    <w:rsid w:val="48E37AAB"/>
    <w:rsid w:val="48FD4B4C"/>
    <w:rsid w:val="490A68E0"/>
    <w:rsid w:val="491055FE"/>
    <w:rsid w:val="49127986"/>
    <w:rsid w:val="491954C2"/>
    <w:rsid w:val="49261002"/>
    <w:rsid w:val="493D634C"/>
    <w:rsid w:val="495F5B3E"/>
    <w:rsid w:val="496873FA"/>
    <w:rsid w:val="496B6655"/>
    <w:rsid w:val="496F77D7"/>
    <w:rsid w:val="497654FD"/>
    <w:rsid w:val="49892E51"/>
    <w:rsid w:val="49B64211"/>
    <w:rsid w:val="49C67378"/>
    <w:rsid w:val="49CC16CC"/>
    <w:rsid w:val="49F6167F"/>
    <w:rsid w:val="4A064FA0"/>
    <w:rsid w:val="4A16615C"/>
    <w:rsid w:val="4A187736"/>
    <w:rsid w:val="4A1B043B"/>
    <w:rsid w:val="4A2A1ED2"/>
    <w:rsid w:val="4A365779"/>
    <w:rsid w:val="4A4424D7"/>
    <w:rsid w:val="4A565766"/>
    <w:rsid w:val="4A5971B6"/>
    <w:rsid w:val="4A7E7A76"/>
    <w:rsid w:val="4A9E5367"/>
    <w:rsid w:val="4AB34B18"/>
    <w:rsid w:val="4AB82D0F"/>
    <w:rsid w:val="4AD8632C"/>
    <w:rsid w:val="4AE64290"/>
    <w:rsid w:val="4AE90539"/>
    <w:rsid w:val="4AEB7664"/>
    <w:rsid w:val="4AED7781"/>
    <w:rsid w:val="4AF34F14"/>
    <w:rsid w:val="4AFD3FE5"/>
    <w:rsid w:val="4AFD7C19"/>
    <w:rsid w:val="4B0567D1"/>
    <w:rsid w:val="4B0E747A"/>
    <w:rsid w:val="4B0F52DA"/>
    <w:rsid w:val="4B236AAE"/>
    <w:rsid w:val="4B412124"/>
    <w:rsid w:val="4B4A45E7"/>
    <w:rsid w:val="4B5C51AF"/>
    <w:rsid w:val="4B707271"/>
    <w:rsid w:val="4B7F2C4C"/>
    <w:rsid w:val="4B9739F7"/>
    <w:rsid w:val="4BBF5506"/>
    <w:rsid w:val="4BC00F91"/>
    <w:rsid w:val="4BC0573E"/>
    <w:rsid w:val="4BEE2503"/>
    <w:rsid w:val="4BF11D83"/>
    <w:rsid w:val="4C006274"/>
    <w:rsid w:val="4C245A30"/>
    <w:rsid w:val="4C281285"/>
    <w:rsid w:val="4C352698"/>
    <w:rsid w:val="4CAA7DEC"/>
    <w:rsid w:val="4CB25804"/>
    <w:rsid w:val="4CB644F0"/>
    <w:rsid w:val="4CB6685F"/>
    <w:rsid w:val="4CC367FE"/>
    <w:rsid w:val="4CEF5BAF"/>
    <w:rsid w:val="4D077F3C"/>
    <w:rsid w:val="4D123355"/>
    <w:rsid w:val="4D2A3B31"/>
    <w:rsid w:val="4D2D2A59"/>
    <w:rsid w:val="4D312C52"/>
    <w:rsid w:val="4D4203D5"/>
    <w:rsid w:val="4D4F574C"/>
    <w:rsid w:val="4D565C2E"/>
    <w:rsid w:val="4D5A04CE"/>
    <w:rsid w:val="4D825DF2"/>
    <w:rsid w:val="4D905305"/>
    <w:rsid w:val="4D964A72"/>
    <w:rsid w:val="4D9B1643"/>
    <w:rsid w:val="4D9B201E"/>
    <w:rsid w:val="4D9C1254"/>
    <w:rsid w:val="4DA229B3"/>
    <w:rsid w:val="4DB1031F"/>
    <w:rsid w:val="4DC25072"/>
    <w:rsid w:val="4DCB4CA4"/>
    <w:rsid w:val="4DD21759"/>
    <w:rsid w:val="4DD3102D"/>
    <w:rsid w:val="4DF10C8C"/>
    <w:rsid w:val="4E083A40"/>
    <w:rsid w:val="4E151983"/>
    <w:rsid w:val="4E2335E5"/>
    <w:rsid w:val="4E573A0C"/>
    <w:rsid w:val="4E793892"/>
    <w:rsid w:val="4E800872"/>
    <w:rsid w:val="4E90715E"/>
    <w:rsid w:val="4E95707A"/>
    <w:rsid w:val="4EC569ED"/>
    <w:rsid w:val="4ED50EA1"/>
    <w:rsid w:val="4EEC050C"/>
    <w:rsid w:val="4F0D04BF"/>
    <w:rsid w:val="4F104EC3"/>
    <w:rsid w:val="4F1633CA"/>
    <w:rsid w:val="4F47354A"/>
    <w:rsid w:val="4F62571C"/>
    <w:rsid w:val="4F7A5C04"/>
    <w:rsid w:val="4F85794C"/>
    <w:rsid w:val="4F911C54"/>
    <w:rsid w:val="4FC5018F"/>
    <w:rsid w:val="4FDC7366"/>
    <w:rsid w:val="4FE625E0"/>
    <w:rsid w:val="5021480F"/>
    <w:rsid w:val="502C00CB"/>
    <w:rsid w:val="50527546"/>
    <w:rsid w:val="50632800"/>
    <w:rsid w:val="5076676F"/>
    <w:rsid w:val="50795432"/>
    <w:rsid w:val="50821724"/>
    <w:rsid w:val="50962ECB"/>
    <w:rsid w:val="509F1FA5"/>
    <w:rsid w:val="50A42E38"/>
    <w:rsid w:val="50A4577F"/>
    <w:rsid w:val="50A71735"/>
    <w:rsid w:val="50B73D1F"/>
    <w:rsid w:val="50BD049E"/>
    <w:rsid w:val="50BD5BC9"/>
    <w:rsid w:val="50C11EEE"/>
    <w:rsid w:val="50D852D8"/>
    <w:rsid w:val="50E97CFC"/>
    <w:rsid w:val="50EF43D0"/>
    <w:rsid w:val="50FA4028"/>
    <w:rsid w:val="5106695C"/>
    <w:rsid w:val="510D65B7"/>
    <w:rsid w:val="511157AB"/>
    <w:rsid w:val="51256043"/>
    <w:rsid w:val="513C382A"/>
    <w:rsid w:val="5142540C"/>
    <w:rsid w:val="5176689F"/>
    <w:rsid w:val="517D332A"/>
    <w:rsid w:val="517E5D9F"/>
    <w:rsid w:val="518832C8"/>
    <w:rsid w:val="519D3C50"/>
    <w:rsid w:val="519D6B66"/>
    <w:rsid w:val="51A0432A"/>
    <w:rsid w:val="51A40D74"/>
    <w:rsid w:val="51A86090"/>
    <w:rsid w:val="51A90A23"/>
    <w:rsid w:val="51B7396D"/>
    <w:rsid w:val="51BB3024"/>
    <w:rsid w:val="51C06FBC"/>
    <w:rsid w:val="51CC6EC2"/>
    <w:rsid w:val="51D96B0E"/>
    <w:rsid w:val="51F223CA"/>
    <w:rsid w:val="51F2795F"/>
    <w:rsid w:val="51FC57E6"/>
    <w:rsid w:val="520F4D44"/>
    <w:rsid w:val="52163191"/>
    <w:rsid w:val="52263AC6"/>
    <w:rsid w:val="522916A8"/>
    <w:rsid w:val="522E4CC3"/>
    <w:rsid w:val="523E0607"/>
    <w:rsid w:val="5244713B"/>
    <w:rsid w:val="524A3FB4"/>
    <w:rsid w:val="52615633"/>
    <w:rsid w:val="526F4DE4"/>
    <w:rsid w:val="5272134C"/>
    <w:rsid w:val="529214B7"/>
    <w:rsid w:val="52977FD4"/>
    <w:rsid w:val="529813CF"/>
    <w:rsid w:val="52A25790"/>
    <w:rsid w:val="52A96B6F"/>
    <w:rsid w:val="52AF02BB"/>
    <w:rsid w:val="52B45975"/>
    <w:rsid w:val="52D753D2"/>
    <w:rsid w:val="52D94AA4"/>
    <w:rsid w:val="52DA2EF0"/>
    <w:rsid w:val="52E760A8"/>
    <w:rsid w:val="52EA3A62"/>
    <w:rsid w:val="52EC0BF4"/>
    <w:rsid w:val="52F50BB8"/>
    <w:rsid w:val="53097272"/>
    <w:rsid w:val="531427A3"/>
    <w:rsid w:val="53544462"/>
    <w:rsid w:val="536C5EBC"/>
    <w:rsid w:val="537242E3"/>
    <w:rsid w:val="537258E4"/>
    <w:rsid w:val="5397158E"/>
    <w:rsid w:val="53D14261"/>
    <w:rsid w:val="53E6260A"/>
    <w:rsid w:val="53F109E6"/>
    <w:rsid w:val="54013861"/>
    <w:rsid w:val="54014B46"/>
    <w:rsid w:val="540208BE"/>
    <w:rsid w:val="540F3ADB"/>
    <w:rsid w:val="543C16DA"/>
    <w:rsid w:val="5444720F"/>
    <w:rsid w:val="54487265"/>
    <w:rsid w:val="544D6070"/>
    <w:rsid w:val="5459552B"/>
    <w:rsid w:val="54605E1E"/>
    <w:rsid w:val="54613836"/>
    <w:rsid w:val="54930DDC"/>
    <w:rsid w:val="54A45253"/>
    <w:rsid w:val="54B3506A"/>
    <w:rsid w:val="54C90683"/>
    <w:rsid w:val="54CA0D16"/>
    <w:rsid w:val="54DD4057"/>
    <w:rsid w:val="54E7490F"/>
    <w:rsid w:val="54F36B90"/>
    <w:rsid w:val="54FE200B"/>
    <w:rsid w:val="5505692B"/>
    <w:rsid w:val="550764A4"/>
    <w:rsid w:val="550B2BF6"/>
    <w:rsid w:val="550F3998"/>
    <w:rsid w:val="55214EB5"/>
    <w:rsid w:val="55364EFD"/>
    <w:rsid w:val="55366A71"/>
    <w:rsid w:val="55377F1F"/>
    <w:rsid w:val="555D4828"/>
    <w:rsid w:val="55690BF5"/>
    <w:rsid w:val="557A4C8B"/>
    <w:rsid w:val="557D6152"/>
    <w:rsid w:val="558931E1"/>
    <w:rsid w:val="55923347"/>
    <w:rsid w:val="55925180"/>
    <w:rsid w:val="55983B1B"/>
    <w:rsid w:val="55A8376B"/>
    <w:rsid w:val="55AF1B1C"/>
    <w:rsid w:val="55B611EB"/>
    <w:rsid w:val="55B73BD3"/>
    <w:rsid w:val="55DC29B6"/>
    <w:rsid w:val="55DD4241"/>
    <w:rsid w:val="55E262B1"/>
    <w:rsid w:val="55FB20AD"/>
    <w:rsid w:val="55FD24BD"/>
    <w:rsid w:val="55FF50B5"/>
    <w:rsid w:val="5642720A"/>
    <w:rsid w:val="56496568"/>
    <w:rsid w:val="564C5482"/>
    <w:rsid w:val="566B6D1E"/>
    <w:rsid w:val="56835CE6"/>
    <w:rsid w:val="5688184B"/>
    <w:rsid w:val="56A77ED4"/>
    <w:rsid w:val="56CC38D1"/>
    <w:rsid w:val="56E11E48"/>
    <w:rsid w:val="56F77495"/>
    <w:rsid w:val="57032A2C"/>
    <w:rsid w:val="570F5219"/>
    <w:rsid w:val="571E4796"/>
    <w:rsid w:val="574C432A"/>
    <w:rsid w:val="5751600B"/>
    <w:rsid w:val="57554DCE"/>
    <w:rsid w:val="575D12B5"/>
    <w:rsid w:val="57610A87"/>
    <w:rsid w:val="576178A6"/>
    <w:rsid w:val="577B1140"/>
    <w:rsid w:val="577B7F21"/>
    <w:rsid w:val="577F181B"/>
    <w:rsid w:val="57921984"/>
    <w:rsid w:val="57944FA8"/>
    <w:rsid w:val="579737F0"/>
    <w:rsid w:val="57AB7B30"/>
    <w:rsid w:val="57AF5251"/>
    <w:rsid w:val="57B26373"/>
    <w:rsid w:val="57B63F04"/>
    <w:rsid w:val="57CD20C2"/>
    <w:rsid w:val="57D675AB"/>
    <w:rsid w:val="57D73717"/>
    <w:rsid w:val="57D95FDD"/>
    <w:rsid w:val="57E22784"/>
    <w:rsid w:val="57E82409"/>
    <w:rsid w:val="583A23D4"/>
    <w:rsid w:val="58461A08"/>
    <w:rsid w:val="58490869"/>
    <w:rsid w:val="58501BF8"/>
    <w:rsid w:val="586438F5"/>
    <w:rsid w:val="58727DC0"/>
    <w:rsid w:val="587C3B8A"/>
    <w:rsid w:val="588A5148"/>
    <w:rsid w:val="58900246"/>
    <w:rsid w:val="58917D2F"/>
    <w:rsid w:val="5894085C"/>
    <w:rsid w:val="58AE4F0C"/>
    <w:rsid w:val="58B85899"/>
    <w:rsid w:val="58C72561"/>
    <w:rsid w:val="58E363A9"/>
    <w:rsid w:val="58EF598F"/>
    <w:rsid w:val="59044820"/>
    <w:rsid w:val="59166304"/>
    <w:rsid w:val="59301424"/>
    <w:rsid w:val="59372DB8"/>
    <w:rsid w:val="594A2FD8"/>
    <w:rsid w:val="595E1678"/>
    <w:rsid w:val="59641C0A"/>
    <w:rsid w:val="59645A89"/>
    <w:rsid w:val="596D5BD4"/>
    <w:rsid w:val="597332A9"/>
    <w:rsid w:val="5978041C"/>
    <w:rsid w:val="597E3DD8"/>
    <w:rsid w:val="59837DAB"/>
    <w:rsid w:val="599F22A1"/>
    <w:rsid w:val="59A0672C"/>
    <w:rsid w:val="59AC5554"/>
    <w:rsid w:val="59B352CD"/>
    <w:rsid w:val="59B776DE"/>
    <w:rsid w:val="59BA24D8"/>
    <w:rsid w:val="59C450D9"/>
    <w:rsid w:val="59D422A8"/>
    <w:rsid w:val="59DE4FE1"/>
    <w:rsid w:val="59EF245F"/>
    <w:rsid w:val="59F80043"/>
    <w:rsid w:val="5A09252F"/>
    <w:rsid w:val="5A0B2778"/>
    <w:rsid w:val="5A2A7C7B"/>
    <w:rsid w:val="5A3E2560"/>
    <w:rsid w:val="5A49166C"/>
    <w:rsid w:val="5A4932C9"/>
    <w:rsid w:val="5A5D3B6E"/>
    <w:rsid w:val="5A637A76"/>
    <w:rsid w:val="5A6D33BA"/>
    <w:rsid w:val="5A792B1F"/>
    <w:rsid w:val="5A874767"/>
    <w:rsid w:val="5A955FE8"/>
    <w:rsid w:val="5AA85BE2"/>
    <w:rsid w:val="5AA958C1"/>
    <w:rsid w:val="5AAD6F28"/>
    <w:rsid w:val="5AB21352"/>
    <w:rsid w:val="5AB40E78"/>
    <w:rsid w:val="5AC0437F"/>
    <w:rsid w:val="5AC8016B"/>
    <w:rsid w:val="5AD63A24"/>
    <w:rsid w:val="5AEB1E12"/>
    <w:rsid w:val="5AFD5ADF"/>
    <w:rsid w:val="5B1E2A01"/>
    <w:rsid w:val="5B2E1A1D"/>
    <w:rsid w:val="5B3C552A"/>
    <w:rsid w:val="5B455EF5"/>
    <w:rsid w:val="5B461BF1"/>
    <w:rsid w:val="5B5C4D58"/>
    <w:rsid w:val="5B5F7F9D"/>
    <w:rsid w:val="5B800A46"/>
    <w:rsid w:val="5B843432"/>
    <w:rsid w:val="5B843A1C"/>
    <w:rsid w:val="5B873E3F"/>
    <w:rsid w:val="5B9E14A3"/>
    <w:rsid w:val="5BBF1697"/>
    <w:rsid w:val="5BC55A61"/>
    <w:rsid w:val="5BEE3D39"/>
    <w:rsid w:val="5BF1724E"/>
    <w:rsid w:val="5C02690E"/>
    <w:rsid w:val="5C196DA7"/>
    <w:rsid w:val="5C2A048C"/>
    <w:rsid w:val="5C3435DF"/>
    <w:rsid w:val="5C3C7C98"/>
    <w:rsid w:val="5C4A5F64"/>
    <w:rsid w:val="5C6E4D42"/>
    <w:rsid w:val="5C80234E"/>
    <w:rsid w:val="5C871960"/>
    <w:rsid w:val="5C883936"/>
    <w:rsid w:val="5C8A680C"/>
    <w:rsid w:val="5CA67364"/>
    <w:rsid w:val="5CAE513F"/>
    <w:rsid w:val="5CF76771"/>
    <w:rsid w:val="5CFA1A85"/>
    <w:rsid w:val="5D0C4701"/>
    <w:rsid w:val="5D0F0395"/>
    <w:rsid w:val="5D221076"/>
    <w:rsid w:val="5D2B1F4F"/>
    <w:rsid w:val="5D2C42B6"/>
    <w:rsid w:val="5D397964"/>
    <w:rsid w:val="5D5A391C"/>
    <w:rsid w:val="5D5F10C0"/>
    <w:rsid w:val="5D794F45"/>
    <w:rsid w:val="5D7F697E"/>
    <w:rsid w:val="5D891B7B"/>
    <w:rsid w:val="5D9603E5"/>
    <w:rsid w:val="5D9C2856"/>
    <w:rsid w:val="5DA75383"/>
    <w:rsid w:val="5DAD38EE"/>
    <w:rsid w:val="5DB524FD"/>
    <w:rsid w:val="5DC310BE"/>
    <w:rsid w:val="5DD970EE"/>
    <w:rsid w:val="5DDE1A54"/>
    <w:rsid w:val="5E006862"/>
    <w:rsid w:val="5E0207B9"/>
    <w:rsid w:val="5E0D32C0"/>
    <w:rsid w:val="5E1834A1"/>
    <w:rsid w:val="5E1A7052"/>
    <w:rsid w:val="5E261785"/>
    <w:rsid w:val="5E324EE3"/>
    <w:rsid w:val="5E4141C2"/>
    <w:rsid w:val="5E4A7017"/>
    <w:rsid w:val="5E4B2D2D"/>
    <w:rsid w:val="5E552BBA"/>
    <w:rsid w:val="5E611C10"/>
    <w:rsid w:val="5E762B94"/>
    <w:rsid w:val="5E7A0F3F"/>
    <w:rsid w:val="5E993BCD"/>
    <w:rsid w:val="5EAA2AF4"/>
    <w:rsid w:val="5EB97DCB"/>
    <w:rsid w:val="5EC8426C"/>
    <w:rsid w:val="5EE70DDC"/>
    <w:rsid w:val="5EED40EC"/>
    <w:rsid w:val="5EF37781"/>
    <w:rsid w:val="5EFC7377"/>
    <w:rsid w:val="5F06174D"/>
    <w:rsid w:val="5F1E2A19"/>
    <w:rsid w:val="5F3A3602"/>
    <w:rsid w:val="5F45733B"/>
    <w:rsid w:val="5F520B89"/>
    <w:rsid w:val="5F6277C6"/>
    <w:rsid w:val="5F6366B5"/>
    <w:rsid w:val="5F6D0B1D"/>
    <w:rsid w:val="5F7B6E87"/>
    <w:rsid w:val="5F7F784E"/>
    <w:rsid w:val="5F8D0B82"/>
    <w:rsid w:val="5F8F56E7"/>
    <w:rsid w:val="5FC550E4"/>
    <w:rsid w:val="5FCB6008"/>
    <w:rsid w:val="5FCC5339"/>
    <w:rsid w:val="5FD749AD"/>
    <w:rsid w:val="5FE34A5B"/>
    <w:rsid w:val="5FE35C69"/>
    <w:rsid w:val="5FFE1E36"/>
    <w:rsid w:val="60003F04"/>
    <w:rsid w:val="6004172D"/>
    <w:rsid w:val="600B5EB3"/>
    <w:rsid w:val="600C224A"/>
    <w:rsid w:val="60232584"/>
    <w:rsid w:val="60252844"/>
    <w:rsid w:val="60650E54"/>
    <w:rsid w:val="607330CE"/>
    <w:rsid w:val="60825176"/>
    <w:rsid w:val="608A5EC3"/>
    <w:rsid w:val="609647E0"/>
    <w:rsid w:val="60982218"/>
    <w:rsid w:val="609F2AC4"/>
    <w:rsid w:val="60B82A30"/>
    <w:rsid w:val="60BD3BA3"/>
    <w:rsid w:val="60C330AE"/>
    <w:rsid w:val="60E0295D"/>
    <w:rsid w:val="60E92BEA"/>
    <w:rsid w:val="60FA2EE8"/>
    <w:rsid w:val="61054A27"/>
    <w:rsid w:val="610A52BC"/>
    <w:rsid w:val="611D2366"/>
    <w:rsid w:val="61257885"/>
    <w:rsid w:val="612754C0"/>
    <w:rsid w:val="6141056D"/>
    <w:rsid w:val="61421856"/>
    <w:rsid w:val="615227C4"/>
    <w:rsid w:val="61526F6E"/>
    <w:rsid w:val="61551709"/>
    <w:rsid w:val="615B6909"/>
    <w:rsid w:val="615E238B"/>
    <w:rsid w:val="61652E80"/>
    <w:rsid w:val="61654E3F"/>
    <w:rsid w:val="617701F5"/>
    <w:rsid w:val="6182292A"/>
    <w:rsid w:val="61894757"/>
    <w:rsid w:val="619F7F92"/>
    <w:rsid w:val="61BA6334"/>
    <w:rsid w:val="61C15914"/>
    <w:rsid w:val="61C807BC"/>
    <w:rsid w:val="61E81EE3"/>
    <w:rsid w:val="61ED7BB9"/>
    <w:rsid w:val="61F03696"/>
    <w:rsid w:val="61F94C26"/>
    <w:rsid w:val="62000E56"/>
    <w:rsid w:val="62043966"/>
    <w:rsid w:val="6228716A"/>
    <w:rsid w:val="62397BA1"/>
    <w:rsid w:val="624F3E49"/>
    <w:rsid w:val="62522A10"/>
    <w:rsid w:val="62580834"/>
    <w:rsid w:val="626200AF"/>
    <w:rsid w:val="62632286"/>
    <w:rsid w:val="62637767"/>
    <w:rsid w:val="627155B6"/>
    <w:rsid w:val="627B1F67"/>
    <w:rsid w:val="62885958"/>
    <w:rsid w:val="628C1A7E"/>
    <w:rsid w:val="62946B14"/>
    <w:rsid w:val="6295025A"/>
    <w:rsid w:val="629E2D3B"/>
    <w:rsid w:val="629F38D0"/>
    <w:rsid w:val="62C27B96"/>
    <w:rsid w:val="62F31C3F"/>
    <w:rsid w:val="62F40B65"/>
    <w:rsid w:val="62F6339C"/>
    <w:rsid w:val="62FC2CFE"/>
    <w:rsid w:val="63024505"/>
    <w:rsid w:val="630737FB"/>
    <w:rsid w:val="63481296"/>
    <w:rsid w:val="635505B7"/>
    <w:rsid w:val="635600A5"/>
    <w:rsid w:val="635B1DB5"/>
    <w:rsid w:val="636C7315"/>
    <w:rsid w:val="63711FED"/>
    <w:rsid w:val="63880DDC"/>
    <w:rsid w:val="638D750D"/>
    <w:rsid w:val="63AC6CC0"/>
    <w:rsid w:val="63B07EEF"/>
    <w:rsid w:val="63D21525"/>
    <w:rsid w:val="63EC5FEE"/>
    <w:rsid w:val="63F44780"/>
    <w:rsid w:val="64030141"/>
    <w:rsid w:val="64055776"/>
    <w:rsid w:val="64175A5B"/>
    <w:rsid w:val="64240056"/>
    <w:rsid w:val="643B1604"/>
    <w:rsid w:val="643E143A"/>
    <w:rsid w:val="64491666"/>
    <w:rsid w:val="64540CC2"/>
    <w:rsid w:val="645A5BAC"/>
    <w:rsid w:val="648B6EEF"/>
    <w:rsid w:val="648D7D30"/>
    <w:rsid w:val="649C354E"/>
    <w:rsid w:val="64AA2690"/>
    <w:rsid w:val="64C158BF"/>
    <w:rsid w:val="64CE2EAA"/>
    <w:rsid w:val="65222B6E"/>
    <w:rsid w:val="65294F03"/>
    <w:rsid w:val="653C3090"/>
    <w:rsid w:val="653D3504"/>
    <w:rsid w:val="655B2F90"/>
    <w:rsid w:val="655F0EAE"/>
    <w:rsid w:val="656B5366"/>
    <w:rsid w:val="65844F8D"/>
    <w:rsid w:val="65853702"/>
    <w:rsid w:val="65854376"/>
    <w:rsid w:val="658767BE"/>
    <w:rsid w:val="658820E9"/>
    <w:rsid w:val="65892531"/>
    <w:rsid w:val="65BC7F16"/>
    <w:rsid w:val="65F7066F"/>
    <w:rsid w:val="660B715E"/>
    <w:rsid w:val="66195831"/>
    <w:rsid w:val="661B0E4D"/>
    <w:rsid w:val="662D5327"/>
    <w:rsid w:val="662E75B1"/>
    <w:rsid w:val="663012BB"/>
    <w:rsid w:val="66342C2E"/>
    <w:rsid w:val="663E784C"/>
    <w:rsid w:val="664C2949"/>
    <w:rsid w:val="666A657B"/>
    <w:rsid w:val="66805D9E"/>
    <w:rsid w:val="668B6A45"/>
    <w:rsid w:val="668C0B60"/>
    <w:rsid w:val="66A7157D"/>
    <w:rsid w:val="66AA44AC"/>
    <w:rsid w:val="66BA1100"/>
    <w:rsid w:val="66D93700"/>
    <w:rsid w:val="66E05A1B"/>
    <w:rsid w:val="670544F5"/>
    <w:rsid w:val="672F3F24"/>
    <w:rsid w:val="673E055F"/>
    <w:rsid w:val="6751439C"/>
    <w:rsid w:val="67551CE3"/>
    <w:rsid w:val="676034DA"/>
    <w:rsid w:val="676378A7"/>
    <w:rsid w:val="67672ABA"/>
    <w:rsid w:val="67827ECA"/>
    <w:rsid w:val="678554B6"/>
    <w:rsid w:val="679D5B1A"/>
    <w:rsid w:val="67A22552"/>
    <w:rsid w:val="67B22DCC"/>
    <w:rsid w:val="67BE71AA"/>
    <w:rsid w:val="67D90273"/>
    <w:rsid w:val="67DE5875"/>
    <w:rsid w:val="67E55852"/>
    <w:rsid w:val="67EA7CCE"/>
    <w:rsid w:val="67EB1AB4"/>
    <w:rsid w:val="67FA1285"/>
    <w:rsid w:val="68172B1F"/>
    <w:rsid w:val="6823667A"/>
    <w:rsid w:val="682B3AE8"/>
    <w:rsid w:val="684E345F"/>
    <w:rsid w:val="68551F4F"/>
    <w:rsid w:val="687C10C9"/>
    <w:rsid w:val="68840C16"/>
    <w:rsid w:val="68866387"/>
    <w:rsid w:val="68876EFB"/>
    <w:rsid w:val="68880F3A"/>
    <w:rsid w:val="68884654"/>
    <w:rsid w:val="689F444F"/>
    <w:rsid w:val="68B82181"/>
    <w:rsid w:val="68B96DBB"/>
    <w:rsid w:val="68CA2805"/>
    <w:rsid w:val="68D0468F"/>
    <w:rsid w:val="68D27724"/>
    <w:rsid w:val="68DE626F"/>
    <w:rsid w:val="68E937A3"/>
    <w:rsid w:val="68EC1B68"/>
    <w:rsid w:val="68FC1897"/>
    <w:rsid w:val="691C7D63"/>
    <w:rsid w:val="693E15D3"/>
    <w:rsid w:val="69407A67"/>
    <w:rsid w:val="69482477"/>
    <w:rsid w:val="694F177F"/>
    <w:rsid w:val="69531548"/>
    <w:rsid w:val="69574893"/>
    <w:rsid w:val="695B6585"/>
    <w:rsid w:val="69627681"/>
    <w:rsid w:val="6977531D"/>
    <w:rsid w:val="697A2D74"/>
    <w:rsid w:val="698D2EBA"/>
    <w:rsid w:val="69990490"/>
    <w:rsid w:val="699930D0"/>
    <w:rsid w:val="69A27DD9"/>
    <w:rsid w:val="69CC2BFF"/>
    <w:rsid w:val="69E231EE"/>
    <w:rsid w:val="69F30635"/>
    <w:rsid w:val="69FD55B8"/>
    <w:rsid w:val="6A040A94"/>
    <w:rsid w:val="6A0B1C62"/>
    <w:rsid w:val="6A2406C8"/>
    <w:rsid w:val="6A401B02"/>
    <w:rsid w:val="6A465B57"/>
    <w:rsid w:val="6AA43E1A"/>
    <w:rsid w:val="6AAB0F10"/>
    <w:rsid w:val="6AAC3401"/>
    <w:rsid w:val="6AB50B02"/>
    <w:rsid w:val="6ADA6B38"/>
    <w:rsid w:val="6ADE0BD1"/>
    <w:rsid w:val="6AE96859"/>
    <w:rsid w:val="6AED1528"/>
    <w:rsid w:val="6AF64A64"/>
    <w:rsid w:val="6B147746"/>
    <w:rsid w:val="6B166CD1"/>
    <w:rsid w:val="6B24787C"/>
    <w:rsid w:val="6B486645"/>
    <w:rsid w:val="6B573233"/>
    <w:rsid w:val="6B5B5E18"/>
    <w:rsid w:val="6B5B6274"/>
    <w:rsid w:val="6B847F5E"/>
    <w:rsid w:val="6B882FFF"/>
    <w:rsid w:val="6B9023FF"/>
    <w:rsid w:val="6B935D53"/>
    <w:rsid w:val="6B9E4FF3"/>
    <w:rsid w:val="6B9E5CFE"/>
    <w:rsid w:val="6BAC3618"/>
    <w:rsid w:val="6C044D7B"/>
    <w:rsid w:val="6C196F71"/>
    <w:rsid w:val="6C226FCB"/>
    <w:rsid w:val="6C277C1D"/>
    <w:rsid w:val="6C2B5723"/>
    <w:rsid w:val="6C2E1E2A"/>
    <w:rsid w:val="6C31226F"/>
    <w:rsid w:val="6C5526F5"/>
    <w:rsid w:val="6C552F0B"/>
    <w:rsid w:val="6C677FCB"/>
    <w:rsid w:val="6C700663"/>
    <w:rsid w:val="6C7843B5"/>
    <w:rsid w:val="6C784EA9"/>
    <w:rsid w:val="6C7D1436"/>
    <w:rsid w:val="6C8C67B7"/>
    <w:rsid w:val="6C9D744C"/>
    <w:rsid w:val="6CE32BE3"/>
    <w:rsid w:val="6D03720A"/>
    <w:rsid w:val="6D167928"/>
    <w:rsid w:val="6D1A237D"/>
    <w:rsid w:val="6D21370B"/>
    <w:rsid w:val="6D26299B"/>
    <w:rsid w:val="6D4772EC"/>
    <w:rsid w:val="6D8228B3"/>
    <w:rsid w:val="6D9078AF"/>
    <w:rsid w:val="6D922258"/>
    <w:rsid w:val="6DA00AD4"/>
    <w:rsid w:val="6DA0348B"/>
    <w:rsid w:val="6DAA3FEF"/>
    <w:rsid w:val="6DB12CE1"/>
    <w:rsid w:val="6DC0172B"/>
    <w:rsid w:val="6DCB690C"/>
    <w:rsid w:val="6DD41A5B"/>
    <w:rsid w:val="6DF43C2E"/>
    <w:rsid w:val="6DF51CA3"/>
    <w:rsid w:val="6E0607D2"/>
    <w:rsid w:val="6E25002E"/>
    <w:rsid w:val="6E4678CD"/>
    <w:rsid w:val="6E8335BD"/>
    <w:rsid w:val="6E8E12EF"/>
    <w:rsid w:val="6E922385"/>
    <w:rsid w:val="6E972936"/>
    <w:rsid w:val="6EB40202"/>
    <w:rsid w:val="6ED446C5"/>
    <w:rsid w:val="6EE112EC"/>
    <w:rsid w:val="6EE214DD"/>
    <w:rsid w:val="6EE668F9"/>
    <w:rsid w:val="6F097745"/>
    <w:rsid w:val="6F0D345B"/>
    <w:rsid w:val="6F130D38"/>
    <w:rsid w:val="6F285293"/>
    <w:rsid w:val="6F2A7D94"/>
    <w:rsid w:val="6F8331F1"/>
    <w:rsid w:val="6F8A0D9E"/>
    <w:rsid w:val="6FAE1A09"/>
    <w:rsid w:val="6FD75BF8"/>
    <w:rsid w:val="6FD76303"/>
    <w:rsid w:val="6FEC3DEB"/>
    <w:rsid w:val="6FF922DA"/>
    <w:rsid w:val="70001CFE"/>
    <w:rsid w:val="700659F8"/>
    <w:rsid w:val="700D583A"/>
    <w:rsid w:val="70297111"/>
    <w:rsid w:val="70390D6C"/>
    <w:rsid w:val="704020FA"/>
    <w:rsid w:val="70507A6D"/>
    <w:rsid w:val="705C33D8"/>
    <w:rsid w:val="707723D0"/>
    <w:rsid w:val="708F2CC4"/>
    <w:rsid w:val="70904F00"/>
    <w:rsid w:val="70961D03"/>
    <w:rsid w:val="709A3F00"/>
    <w:rsid w:val="709B5B2E"/>
    <w:rsid w:val="70AB06C0"/>
    <w:rsid w:val="70B054D2"/>
    <w:rsid w:val="70F5661B"/>
    <w:rsid w:val="70FE283F"/>
    <w:rsid w:val="71125845"/>
    <w:rsid w:val="71357CB6"/>
    <w:rsid w:val="71360107"/>
    <w:rsid w:val="71374018"/>
    <w:rsid w:val="713B688E"/>
    <w:rsid w:val="71456569"/>
    <w:rsid w:val="714A4C8C"/>
    <w:rsid w:val="714C65AC"/>
    <w:rsid w:val="714E061E"/>
    <w:rsid w:val="716342F2"/>
    <w:rsid w:val="717128A4"/>
    <w:rsid w:val="718C1A9B"/>
    <w:rsid w:val="71A6677C"/>
    <w:rsid w:val="71AF1970"/>
    <w:rsid w:val="71D43752"/>
    <w:rsid w:val="71F1796A"/>
    <w:rsid w:val="7201383B"/>
    <w:rsid w:val="720D5704"/>
    <w:rsid w:val="72154626"/>
    <w:rsid w:val="72262B5D"/>
    <w:rsid w:val="72283FF7"/>
    <w:rsid w:val="722E7212"/>
    <w:rsid w:val="7232489D"/>
    <w:rsid w:val="723A0474"/>
    <w:rsid w:val="72435AEC"/>
    <w:rsid w:val="725923E4"/>
    <w:rsid w:val="7262796D"/>
    <w:rsid w:val="728531A8"/>
    <w:rsid w:val="72864BF7"/>
    <w:rsid w:val="729023FC"/>
    <w:rsid w:val="72A2709C"/>
    <w:rsid w:val="72AA7CFF"/>
    <w:rsid w:val="72FA5D32"/>
    <w:rsid w:val="73170003"/>
    <w:rsid w:val="732803ED"/>
    <w:rsid w:val="73551D32"/>
    <w:rsid w:val="73591E51"/>
    <w:rsid w:val="735A1831"/>
    <w:rsid w:val="736032BE"/>
    <w:rsid w:val="73773186"/>
    <w:rsid w:val="73795218"/>
    <w:rsid w:val="7385387C"/>
    <w:rsid w:val="73C0646E"/>
    <w:rsid w:val="73CB43D1"/>
    <w:rsid w:val="73F152F7"/>
    <w:rsid w:val="73FE0302"/>
    <w:rsid w:val="741018E1"/>
    <w:rsid w:val="742222F5"/>
    <w:rsid w:val="74326CDE"/>
    <w:rsid w:val="743B3304"/>
    <w:rsid w:val="74476126"/>
    <w:rsid w:val="746C7962"/>
    <w:rsid w:val="74706664"/>
    <w:rsid w:val="747F3682"/>
    <w:rsid w:val="74930F19"/>
    <w:rsid w:val="749C4185"/>
    <w:rsid w:val="74AF48D2"/>
    <w:rsid w:val="74BA264A"/>
    <w:rsid w:val="74BB61F3"/>
    <w:rsid w:val="74C4779E"/>
    <w:rsid w:val="74ED5B50"/>
    <w:rsid w:val="74EE0377"/>
    <w:rsid w:val="74FE6679"/>
    <w:rsid w:val="75067759"/>
    <w:rsid w:val="75236DCA"/>
    <w:rsid w:val="752E6DCD"/>
    <w:rsid w:val="7551380D"/>
    <w:rsid w:val="75543963"/>
    <w:rsid w:val="755F69D9"/>
    <w:rsid w:val="75600BE5"/>
    <w:rsid w:val="756220B1"/>
    <w:rsid w:val="7564475C"/>
    <w:rsid w:val="758145B0"/>
    <w:rsid w:val="75835FC5"/>
    <w:rsid w:val="7583797F"/>
    <w:rsid w:val="75917B29"/>
    <w:rsid w:val="75B07D22"/>
    <w:rsid w:val="75B74C0D"/>
    <w:rsid w:val="75C01326"/>
    <w:rsid w:val="75CC1203"/>
    <w:rsid w:val="75D20F1D"/>
    <w:rsid w:val="75DA2C18"/>
    <w:rsid w:val="75DA6B4D"/>
    <w:rsid w:val="75DD4A5B"/>
    <w:rsid w:val="75F223AC"/>
    <w:rsid w:val="75F54412"/>
    <w:rsid w:val="75F6649A"/>
    <w:rsid w:val="761D08E0"/>
    <w:rsid w:val="765D347C"/>
    <w:rsid w:val="76607052"/>
    <w:rsid w:val="766755D0"/>
    <w:rsid w:val="76826699"/>
    <w:rsid w:val="76830268"/>
    <w:rsid w:val="76A71125"/>
    <w:rsid w:val="76A870A5"/>
    <w:rsid w:val="76C87133"/>
    <w:rsid w:val="76CD08D5"/>
    <w:rsid w:val="76DB4B92"/>
    <w:rsid w:val="76E56B01"/>
    <w:rsid w:val="76EC264E"/>
    <w:rsid w:val="76F70D5B"/>
    <w:rsid w:val="77052AA4"/>
    <w:rsid w:val="77136511"/>
    <w:rsid w:val="77170059"/>
    <w:rsid w:val="77270EA4"/>
    <w:rsid w:val="77340A39"/>
    <w:rsid w:val="77351FD0"/>
    <w:rsid w:val="77407E24"/>
    <w:rsid w:val="77472422"/>
    <w:rsid w:val="774F0B38"/>
    <w:rsid w:val="7755292F"/>
    <w:rsid w:val="77726963"/>
    <w:rsid w:val="777F31F2"/>
    <w:rsid w:val="77BE0D98"/>
    <w:rsid w:val="77C163F0"/>
    <w:rsid w:val="77CD629B"/>
    <w:rsid w:val="77D1700D"/>
    <w:rsid w:val="77E44E04"/>
    <w:rsid w:val="77EC04CC"/>
    <w:rsid w:val="78075902"/>
    <w:rsid w:val="786B1CDE"/>
    <w:rsid w:val="786C7F30"/>
    <w:rsid w:val="78715547"/>
    <w:rsid w:val="78775729"/>
    <w:rsid w:val="78A42DB0"/>
    <w:rsid w:val="78A656AB"/>
    <w:rsid w:val="78A70701"/>
    <w:rsid w:val="78B2245C"/>
    <w:rsid w:val="78B81351"/>
    <w:rsid w:val="78BE62E1"/>
    <w:rsid w:val="78E172CC"/>
    <w:rsid w:val="78EA1D1F"/>
    <w:rsid w:val="7904172F"/>
    <w:rsid w:val="790C1713"/>
    <w:rsid w:val="790F7E27"/>
    <w:rsid w:val="79214B3D"/>
    <w:rsid w:val="792A231A"/>
    <w:rsid w:val="792A6432"/>
    <w:rsid w:val="792C05C1"/>
    <w:rsid w:val="792E3438"/>
    <w:rsid w:val="79316829"/>
    <w:rsid w:val="7956298E"/>
    <w:rsid w:val="797E66A9"/>
    <w:rsid w:val="79815763"/>
    <w:rsid w:val="798518A4"/>
    <w:rsid w:val="798C6767"/>
    <w:rsid w:val="799040F2"/>
    <w:rsid w:val="79A13C0A"/>
    <w:rsid w:val="79A77132"/>
    <w:rsid w:val="79A97383"/>
    <w:rsid w:val="79E27E8B"/>
    <w:rsid w:val="79E47F9A"/>
    <w:rsid w:val="79ED50A1"/>
    <w:rsid w:val="79F850CE"/>
    <w:rsid w:val="79FD443C"/>
    <w:rsid w:val="7A1D1975"/>
    <w:rsid w:val="7A3E5150"/>
    <w:rsid w:val="7A4670D6"/>
    <w:rsid w:val="7A490096"/>
    <w:rsid w:val="7A534B63"/>
    <w:rsid w:val="7A615382"/>
    <w:rsid w:val="7A67303B"/>
    <w:rsid w:val="7A707A80"/>
    <w:rsid w:val="7A7641B0"/>
    <w:rsid w:val="7A812BFE"/>
    <w:rsid w:val="7AA80FC8"/>
    <w:rsid w:val="7AAB1D04"/>
    <w:rsid w:val="7ABA4368"/>
    <w:rsid w:val="7AC57DCC"/>
    <w:rsid w:val="7AD05746"/>
    <w:rsid w:val="7B072192"/>
    <w:rsid w:val="7B0B0CDB"/>
    <w:rsid w:val="7B257FFD"/>
    <w:rsid w:val="7B343476"/>
    <w:rsid w:val="7B392C1B"/>
    <w:rsid w:val="7B5A2978"/>
    <w:rsid w:val="7B5A7E4C"/>
    <w:rsid w:val="7B667AF9"/>
    <w:rsid w:val="7B6C0247"/>
    <w:rsid w:val="7B6D3EA2"/>
    <w:rsid w:val="7B7468F8"/>
    <w:rsid w:val="7B756B94"/>
    <w:rsid w:val="7B9D4040"/>
    <w:rsid w:val="7BCF0EA8"/>
    <w:rsid w:val="7BDB203F"/>
    <w:rsid w:val="7BEE0103"/>
    <w:rsid w:val="7BF31DA0"/>
    <w:rsid w:val="7C0A0FE4"/>
    <w:rsid w:val="7C254906"/>
    <w:rsid w:val="7C37059C"/>
    <w:rsid w:val="7C590818"/>
    <w:rsid w:val="7C7A6994"/>
    <w:rsid w:val="7C7C10F6"/>
    <w:rsid w:val="7C853BEA"/>
    <w:rsid w:val="7C881368"/>
    <w:rsid w:val="7C8820A3"/>
    <w:rsid w:val="7CB403D5"/>
    <w:rsid w:val="7CDC13FD"/>
    <w:rsid w:val="7CE27788"/>
    <w:rsid w:val="7D060228"/>
    <w:rsid w:val="7D080444"/>
    <w:rsid w:val="7D0C32F1"/>
    <w:rsid w:val="7D0F408D"/>
    <w:rsid w:val="7D126BCC"/>
    <w:rsid w:val="7D254B52"/>
    <w:rsid w:val="7D276B1C"/>
    <w:rsid w:val="7D491C6C"/>
    <w:rsid w:val="7D4E1EEA"/>
    <w:rsid w:val="7D5247C9"/>
    <w:rsid w:val="7D5429C0"/>
    <w:rsid w:val="7D6E6D43"/>
    <w:rsid w:val="7D974B56"/>
    <w:rsid w:val="7DA017BC"/>
    <w:rsid w:val="7DB27B05"/>
    <w:rsid w:val="7DB57A34"/>
    <w:rsid w:val="7DE60973"/>
    <w:rsid w:val="7DE65520"/>
    <w:rsid w:val="7DEF0916"/>
    <w:rsid w:val="7E105802"/>
    <w:rsid w:val="7E1E5218"/>
    <w:rsid w:val="7E215C47"/>
    <w:rsid w:val="7E2C27CE"/>
    <w:rsid w:val="7E3E411D"/>
    <w:rsid w:val="7E437985"/>
    <w:rsid w:val="7E4C41F6"/>
    <w:rsid w:val="7E5E46CC"/>
    <w:rsid w:val="7E633B84"/>
    <w:rsid w:val="7E755665"/>
    <w:rsid w:val="7E9A4E1F"/>
    <w:rsid w:val="7EA7723A"/>
    <w:rsid w:val="7EB62349"/>
    <w:rsid w:val="7EBE700C"/>
    <w:rsid w:val="7EC34F75"/>
    <w:rsid w:val="7EC565EC"/>
    <w:rsid w:val="7ECC39DB"/>
    <w:rsid w:val="7ECF1219"/>
    <w:rsid w:val="7ED755DB"/>
    <w:rsid w:val="7EF56FBB"/>
    <w:rsid w:val="7F0768EB"/>
    <w:rsid w:val="7F143BEC"/>
    <w:rsid w:val="7F3215D4"/>
    <w:rsid w:val="7F390D88"/>
    <w:rsid w:val="7F3E014D"/>
    <w:rsid w:val="7F42147D"/>
    <w:rsid w:val="7F531E4A"/>
    <w:rsid w:val="7F6477A9"/>
    <w:rsid w:val="7F6776A3"/>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4"/>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next w:val="1"/>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2"/>
    <w:qFormat/>
    <w:uiPriority w:val="0"/>
    <w:rPr>
      <w:b/>
      <w:bCs/>
    </w:rPr>
  </w:style>
  <w:style w:type="paragraph" w:styleId="61">
    <w:name w:val="Body Text First Indent"/>
    <w:basedOn w:val="1"/>
    <w:link w:val="325"/>
    <w:qFormat/>
    <w:uiPriority w:val="0"/>
    <w:pPr>
      <w:ind w:firstLine="420"/>
    </w:pPr>
    <w:rPr>
      <w:rFonts w:hAnsi="Calibri" w:cs="Times New Roman"/>
      <w:snapToGrid/>
      <w:szCs w:val="20"/>
    </w:rPr>
  </w:style>
  <w:style w:type="paragraph" w:styleId="62">
    <w:name w:val="Body Text First Indent 2"/>
    <w:basedOn w:val="25"/>
    <w:next w:val="1"/>
    <w:link w:val="12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样式3"/>
    <w:basedOn w:val="33"/>
    <w:next w:val="9"/>
    <w:qFormat/>
    <w:uiPriority w:val="0"/>
    <w:pPr>
      <w:tabs>
        <w:tab w:val="left" w:pos="2790"/>
        <w:tab w:val="left" w:pos="4230"/>
      </w:tabs>
      <w:spacing w:before="312" w:beforeLines="100"/>
      <w:jc w:val="left"/>
    </w:pPr>
  </w:style>
  <w:style w:type="paragraph" w:customStyle="1" w:styleId="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4">
    <w:name w:val="Body Text First Indent 21"/>
    <w:basedOn w:val="8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85">
    <w:name w:val="Body Text Indent1"/>
    <w:basedOn w:val="1"/>
    <w:next w:val="1"/>
    <w:qFormat/>
    <w:uiPriority w:val="0"/>
    <w:pPr>
      <w:spacing w:after="120" w:afterLines="0"/>
      <w:ind w:left="420" w:leftChars="200"/>
    </w:pPr>
    <w:rPr>
      <w:color w:val="000000"/>
      <w:sz w:val="21"/>
      <w:szCs w:val="21"/>
    </w:rPr>
  </w:style>
  <w:style w:type="paragraph" w:customStyle="1" w:styleId="86">
    <w:name w:val="_Style 3"/>
    <w:basedOn w:val="1"/>
    <w:qFormat/>
    <w:uiPriority w:val="0"/>
    <w:pPr>
      <w:adjustRightInd/>
      <w:ind w:firstLine="420" w:firstLineChars="200"/>
    </w:pPr>
    <w:rPr>
      <w:rFonts w:eastAsia="仿宋_GB2312"/>
      <w:sz w:val="28"/>
    </w:rPr>
  </w:style>
  <w:style w:type="paragraph" w:styleId="87">
    <w:name w:val="List Paragraph"/>
    <w:basedOn w:val="1"/>
    <w:qFormat/>
    <w:uiPriority w:val="34"/>
    <w:pPr>
      <w:spacing w:line="360" w:lineRule="auto"/>
      <w:ind w:firstLine="200" w:firstLineChars="200"/>
    </w:pPr>
    <w:rPr>
      <w:rFonts w:eastAsia="楷体_GB2312" w:cs="Lucida Sans"/>
      <w:sz w:val="24"/>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0"/>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2"/>
    <w:qFormat/>
    <w:uiPriority w:val="0"/>
    <w:rPr>
      <w:rFonts w:ascii="宋体" w:hAnsi="宋体"/>
      <w:kern w:val="2"/>
      <w:sz w:val="21"/>
      <w:szCs w:val="24"/>
    </w:rPr>
  </w:style>
  <w:style w:type="character" w:customStyle="1" w:styleId="128">
    <w:name w:val="font11"/>
    <w:basedOn w:val="70"/>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7"/>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basedOn w:val="70"/>
    <w:qFormat/>
    <w:uiPriority w:val="0"/>
    <w:rPr>
      <w:rFonts w:hint="eastAsia" w:ascii="仿宋_GB2312" w:eastAsia="仿宋_GB2312" w:cs="仿宋_GB2312"/>
      <w:color w:val="000000"/>
      <w:sz w:val="22"/>
      <w:szCs w:val="22"/>
      <w:u w:val="none"/>
    </w:rPr>
  </w:style>
  <w:style w:type="character" w:customStyle="1" w:styleId="153">
    <w:name w:val="标题 6 Char"/>
    <w:link w:val="9"/>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6"/>
    <w:qFormat/>
    <w:uiPriority w:val="0"/>
    <w:rPr>
      <w:rFonts w:ascii="宋体"/>
      <w:kern w:val="2"/>
      <w:sz w:val="24"/>
      <w:szCs w:val="21"/>
      <w:lang w:val="zh-CN"/>
    </w:rPr>
  </w:style>
  <w:style w:type="character" w:customStyle="1" w:styleId="188">
    <w:name w:val="标题 9 Char"/>
    <w:link w:val="12"/>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0"/>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9"/>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basedOn w:val="70"/>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7"/>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0"/>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7"/>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9"/>
    <w:qFormat/>
    <w:uiPriority w:val="10"/>
    <w:rPr>
      <w:b/>
      <w:sz w:val="24"/>
      <w:lang w:val="en-GB"/>
    </w:rPr>
  </w:style>
  <w:style w:type="character" w:customStyle="1" w:styleId="291">
    <w:name w:val="font81"/>
    <w:basedOn w:val="70"/>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7"/>
    <w:qFormat/>
    <w:uiPriority w:val="0"/>
    <w:rPr>
      <w:rFonts w:ascii="黑体" w:hAnsi="Courier New" w:eastAsia="黑体"/>
    </w:rPr>
  </w:style>
  <w:style w:type="character" w:customStyle="1" w:styleId="306">
    <w:name w:val="正文文本 2 Char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0"/>
    <w:qFormat/>
    <w:uiPriority w:val="0"/>
    <w:rPr>
      <w:b/>
      <w:bCs/>
      <w:kern w:val="2"/>
      <w:sz w:val="24"/>
      <w:szCs w:val="24"/>
    </w:rPr>
  </w:style>
  <w:style w:type="character" w:customStyle="1" w:styleId="312">
    <w:name w:val="正文文本缩进 2 Char"/>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basedOn w:val="70"/>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0"/>
    <w:rPr>
      <w:kern w:val="2"/>
      <w:sz w:val="21"/>
      <w:szCs w:val="24"/>
    </w:rPr>
  </w:style>
  <w:style w:type="character" w:customStyle="1" w:styleId="349">
    <w:name w:val="签名 Char"/>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basedOn w:val="70"/>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1"/>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0"/>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8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7"/>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7"/>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7"/>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6">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7">
    <w:name w:val="WPSOffice手动目录 1"/>
    <w:qFormat/>
    <w:uiPriority w:val="0"/>
    <w:pPr>
      <w:ind w:leftChars="0"/>
    </w:pPr>
    <w:rPr>
      <w:rFonts w:ascii="Times New Roman" w:hAnsi="Times New Roman" w:eastAsia="宋体" w:cs="Times New Roman"/>
      <w:sz w:val="20"/>
      <w:szCs w:val="20"/>
    </w:rPr>
  </w:style>
  <w:style w:type="paragraph" w:customStyle="1" w:styleId="968">
    <w:name w:val="列表段落"/>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15866</Words>
  <Characters>17130</Characters>
  <Lines>1</Lines>
  <Paragraphs>1</Paragraphs>
  <TotalTime>0</TotalTime>
  <ScaleCrop>false</ScaleCrop>
  <LinksUpToDate>false</LinksUpToDate>
  <CharactersWithSpaces>17497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朱同学。</cp:lastModifiedBy>
  <cp:lastPrinted>2023-03-28T06:19:00Z</cp:lastPrinted>
  <dcterms:modified xsi:type="dcterms:W3CDTF">2025-03-14T02:17:31Z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0D65CCA805844FC781561E586E5D4776</vt:lpwstr>
  </property>
  <property fmtid="{D5CDD505-2E9C-101B-9397-08002B2CF9AE}" pid="5" name="KSOTemplateDocerSaveRecord">
    <vt:lpwstr>eyJoZGlkIjoiMDc1NDI0OTFhZGFlZDc0OTlhZjI2NTdiOTJhMDU4ZWIiLCJ1c2VySWQiOiIyNjc3NzMxNzIifQ==</vt:lpwstr>
  </property>
</Properties>
</file>