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5C40ED">
      <w:pPr>
        <w:spacing w:line="360" w:lineRule="auto"/>
        <w:jc w:val="center"/>
        <w:rPr>
          <w:rFonts w:hint="eastAsia" w:ascii="宋体" w:hAnsi="宋体" w:cs="宋体"/>
          <w:b/>
          <w:color w:val="auto"/>
          <w:sz w:val="24"/>
          <w:highlight w:val="none"/>
        </w:rPr>
      </w:pPr>
    </w:p>
    <w:p w14:paraId="6A2E3F23">
      <w:pPr>
        <w:adjustRightInd/>
        <w:spacing w:line="360" w:lineRule="auto"/>
        <w:jc w:val="center"/>
        <w:rPr>
          <w:rFonts w:hint="eastAsia" w:ascii="宋体" w:hAnsi="宋体" w:cs="宋体"/>
          <w:b/>
          <w:color w:val="auto"/>
          <w:sz w:val="48"/>
          <w:szCs w:val="48"/>
          <w:highlight w:val="none"/>
        </w:rPr>
      </w:pPr>
    </w:p>
    <w:p w14:paraId="290F9DC2">
      <w:pPr>
        <w:rPr>
          <w:color w:val="auto"/>
          <w:highlight w:val="none"/>
        </w:rPr>
      </w:pPr>
    </w:p>
    <w:p w14:paraId="72E9A6FE">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招标文件 （货物）</w:t>
      </w:r>
    </w:p>
    <w:p w14:paraId="6EA9EB53">
      <w:pPr>
        <w:adjustRightInd/>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A72DE56">
      <w:pPr>
        <w:snapToGrid w:val="0"/>
        <w:spacing w:line="360" w:lineRule="auto"/>
        <w:jc w:val="left"/>
        <w:rPr>
          <w:rFonts w:hint="eastAsia" w:ascii="宋体" w:hAnsi="宋体" w:cs="宋体"/>
          <w:color w:val="auto"/>
          <w:sz w:val="30"/>
          <w:szCs w:val="30"/>
          <w:highlight w:val="none"/>
        </w:rPr>
      </w:pPr>
    </w:p>
    <w:p w14:paraId="0942B4F6">
      <w:pPr>
        <w:snapToGrid w:val="0"/>
        <w:spacing w:line="360" w:lineRule="auto"/>
        <w:jc w:val="left"/>
        <w:rPr>
          <w:rFonts w:hint="eastAsia" w:ascii="宋体" w:hAnsi="宋体" w:cs="宋体"/>
          <w:color w:val="auto"/>
          <w:sz w:val="30"/>
          <w:szCs w:val="30"/>
          <w:highlight w:val="none"/>
        </w:rPr>
      </w:pPr>
    </w:p>
    <w:p w14:paraId="2D1D1932">
      <w:pPr>
        <w:snapToGrid w:val="0"/>
        <w:spacing w:line="360" w:lineRule="auto"/>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项目编号：CBZJ-20256048G   </w:t>
      </w:r>
    </w:p>
    <w:p w14:paraId="1047D55B">
      <w:pPr>
        <w:snapToGrid w:val="0"/>
        <w:spacing w:line="360" w:lineRule="auto"/>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项目名称：宁海县教育局智能护学一期项目</w:t>
      </w:r>
    </w:p>
    <w:p w14:paraId="58FF5EDB">
      <w:pPr>
        <w:adjustRightInd/>
        <w:spacing w:line="360" w:lineRule="auto"/>
        <w:rPr>
          <w:rFonts w:hint="eastAsia" w:ascii="宋体" w:hAnsi="宋体" w:cs="宋体"/>
          <w:color w:val="auto"/>
          <w:sz w:val="28"/>
          <w:szCs w:val="20"/>
          <w:highlight w:val="none"/>
        </w:rPr>
      </w:pPr>
    </w:p>
    <w:p w14:paraId="5765C2CF">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126FBA6C">
      <w:pPr>
        <w:spacing w:line="360" w:lineRule="auto"/>
        <w:jc w:val="center"/>
        <w:rPr>
          <w:rFonts w:hint="eastAsia" w:ascii="宋体" w:hAnsi="宋体" w:cs="宋体"/>
          <w:b/>
          <w:color w:val="auto"/>
          <w:sz w:val="44"/>
          <w:szCs w:val="44"/>
          <w:highlight w:val="none"/>
        </w:rPr>
      </w:pPr>
    </w:p>
    <w:p w14:paraId="53AD9D01">
      <w:pPr>
        <w:spacing w:line="360" w:lineRule="auto"/>
        <w:jc w:val="center"/>
        <w:rPr>
          <w:rFonts w:hint="eastAsia" w:ascii="宋体" w:hAnsi="宋体" w:cs="宋体"/>
          <w:color w:val="auto"/>
          <w:sz w:val="24"/>
          <w:highlight w:val="none"/>
        </w:rPr>
      </w:pPr>
    </w:p>
    <w:p w14:paraId="62D50C6E">
      <w:pPr>
        <w:spacing w:line="360" w:lineRule="auto"/>
        <w:rPr>
          <w:rFonts w:hint="eastAsia" w:ascii="宋体" w:hAnsi="宋体" w:cs="宋体"/>
          <w:color w:val="auto"/>
          <w:sz w:val="32"/>
          <w:szCs w:val="32"/>
          <w:highlight w:val="none"/>
        </w:rPr>
      </w:pPr>
    </w:p>
    <w:p w14:paraId="6CECEB4C">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采购人：宁海县教育局装备与信息管理中心</w:t>
      </w:r>
    </w:p>
    <w:p w14:paraId="676283C4">
      <w:pPr>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采购代理机构：浙江中基正采管理咨询有限公司</w:t>
      </w:r>
    </w:p>
    <w:p w14:paraId="1AA35494">
      <w:pPr>
        <w:snapToGrid w:val="0"/>
        <w:spacing w:line="360" w:lineRule="auto"/>
        <w:jc w:val="center"/>
        <w:rPr>
          <w:rFonts w:hint="eastAsia" w:ascii="宋体" w:hAnsi="宋体" w:cs="宋体"/>
          <w:bCs/>
          <w:color w:val="auto"/>
          <w:sz w:val="32"/>
          <w:szCs w:val="32"/>
          <w:highlight w:val="none"/>
        </w:rPr>
      </w:pPr>
    </w:p>
    <w:p w14:paraId="20617C0A">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二〇二五年四月</w:t>
      </w:r>
    </w:p>
    <w:p w14:paraId="707A2C6C">
      <w:pPr>
        <w:rPr>
          <w:rFonts w:hint="eastAsia" w:ascii="宋体" w:hAnsi="宋体" w:cs="宋体"/>
          <w:color w:val="auto"/>
          <w:sz w:val="24"/>
          <w:highlight w:val="none"/>
        </w:rPr>
      </w:pPr>
      <w:r>
        <w:rPr>
          <w:rFonts w:hint="eastAsia" w:ascii="宋体" w:hAnsi="宋体" w:cs="宋体"/>
          <w:color w:val="auto"/>
          <w:sz w:val="24"/>
          <w:highlight w:val="none"/>
        </w:rPr>
        <w:br w:type="page"/>
      </w:r>
    </w:p>
    <w:p w14:paraId="5F0FD2DF">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B73A4C">
      <w:pPr>
        <w:spacing w:line="360" w:lineRule="auto"/>
        <w:jc w:val="center"/>
        <w:rPr>
          <w:rFonts w:hint="eastAsia" w:ascii="宋体" w:hAnsi="宋体" w:cs="宋体"/>
          <w:color w:val="auto"/>
          <w:sz w:val="24"/>
          <w:highlight w:val="none"/>
        </w:rPr>
      </w:pPr>
    </w:p>
    <w:p w14:paraId="3BEB4CAE">
      <w:pPr>
        <w:spacing w:line="360" w:lineRule="auto"/>
        <w:jc w:val="center"/>
        <w:rPr>
          <w:rFonts w:hint="eastAsia" w:ascii="宋体" w:hAnsi="宋体" w:cs="宋体"/>
          <w:b/>
          <w:color w:val="auto"/>
          <w:sz w:val="48"/>
          <w:szCs w:val="48"/>
          <w:highlight w:val="none"/>
        </w:rPr>
      </w:pPr>
    </w:p>
    <w:p w14:paraId="17E43B2F">
      <w:pPr>
        <w:spacing w:line="360" w:lineRule="auto"/>
        <w:jc w:val="center"/>
        <w:rPr>
          <w:rFonts w:hint="eastAsia" w:ascii="宋体" w:hAnsi="宋体" w:cs="宋体"/>
          <w:b/>
          <w:color w:val="auto"/>
          <w:sz w:val="48"/>
          <w:szCs w:val="48"/>
          <w:highlight w:val="none"/>
        </w:rPr>
      </w:pPr>
      <w:r>
        <w:rPr>
          <w:rFonts w:hint="eastAsia" w:ascii="宋体" w:hAnsi="宋体" w:cs="宋体"/>
          <w:b/>
          <w:color w:val="auto"/>
          <w:sz w:val="48"/>
          <w:szCs w:val="48"/>
          <w:highlight w:val="none"/>
        </w:rPr>
        <w:t>目  录</w:t>
      </w:r>
    </w:p>
    <w:sdt>
      <w:sdtPr>
        <w:rPr>
          <w:rFonts w:ascii="宋体" w:hAnsi="宋体"/>
          <w:color w:val="auto"/>
          <w:highlight w:val="none"/>
        </w:rPr>
        <w:id w:val="147454320"/>
        <w15:color w:val="DBDBDB"/>
        <w:docPartObj>
          <w:docPartGallery w:val="Table of Contents"/>
          <w:docPartUnique/>
        </w:docPartObj>
      </w:sdtPr>
      <w:sdtEndPr>
        <w:rPr>
          <w:rFonts w:ascii="宋体" w:hAnsi="宋体" w:cs="宋体"/>
          <w:color w:val="auto"/>
          <w:szCs w:val="32"/>
          <w:highlight w:val="none"/>
        </w:rPr>
      </w:sdtEndPr>
      <w:sdtContent>
        <w:p w14:paraId="2B63B62C">
          <w:pPr>
            <w:jc w:val="center"/>
            <w:rPr>
              <w:color w:val="auto"/>
              <w:highlight w:val="none"/>
            </w:rPr>
          </w:pPr>
        </w:p>
        <w:p w14:paraId="718E158F">
          <w:pPr>
            <w:pStyle w:val="42"/>
            <w:tabs>
              <w:tab w:val="right" w:leader="dot" w:pos="9070"/>
            </w:tabs>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"_Toc9238" </w:instrText>
          </w:r>
          <w:r>
            <w:rPr>
              <w:color w:val="auto"/>
              <w:highlight w:val="none"/>
            </w:rPr>
            <w:fldChar w:fldCharType="separate"/>
          </w:r>
          <w:r>
            <w:rPr>
              <w:rFonts w:hint="eastAsia" w:ascii="宋体" w:hAnsi="宋体" w:cs="宋体"/>
              <w:color w:val="auto"/>
              <w:sz w:val="32"/>
              <w:szCs w:val="32"/>
              <w:highlight w:val="none"/>
            </w:rPr>
            <w:t>第一部分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_Toc9238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901C95B">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"_Toc29691" </w:instrText>
          </w:r>
          <w:r>
            <w:rPr>
              <w:color w:val="auto"/>
              <w:highlight w:val="none"/>
            </w:rPr>
            <w:fldChar w:fldCharType="separate"/>
          </w:r>
          <w:r>
            <w:rPr>
              <w:rFonts w:hint="eastAsia" w:ascii="宋体" w:hAnsi="宋体" w:cs="宋体"/>
              <w:color w:val="auto"/>
              <w:sz w:val="32"/>
              <w:szCs w:val="32"/>
              <w:highlight w:val="none"/>
            </w:rPr>
            <w:t>第二部分  供应商须知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_Toc29691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6</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6A50992">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"_Toc26044" </w:instrText>
          </w:r>
          <w:r>
            <w:rPr>
              <w:color w:val="auto"/>
              <w:highlight w:val="none"/>
            </w:rPr>
            <w:fldChar w:fldCharType="separate"/>
          </w:r>
          <w:r>
            <w:rPr>
              <w:rFonts w:hint="eastAsia" w:ascii="宋体" w:hAnsi="宋体" w:cs="宋体"/>
              <w:color w:val="auto"/>
              <w:sz w:val="32"/>
              <w:szCs w:val="32"/>
              <w:highlight w:val="none"/>
            </w:rPr>
            <w:t>第三部分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_Toc26044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3BCD214">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"_Toc18651" </w:instrText>
          </w:r>
          <w:r>
            <w:rPr>
              <w:color w:val="auto"/>
              <w:highlight w:val="none"/>
            </w:rPr>
            <w:fldChar w:fldCharType="separate"/>
          </w:r>
          <w:r>
            <w:rPr>
              <w:rFonts w:hint="eastAsia" w:ascii="宋体" w:hAnsi="宋体" w:cs="宋体"/>
              <w:color w:val="auto"/>
              <w:sz w:val="32"/>
              <w:szCs w:val="32"/>
              <w:highlight w:val="none"/>
            </w:rPr>
            <w:t>第四部分  评标办法</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_Toc18651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29</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B440CE7">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"_Toc8264" </w:instrText>
          </w:r>
          <w:r>
            <w:rPr>
              <w:color w:val="auto"/>
              <w:highlight w:val="none"/>
            </w:rPr>
            <w:fldChar w:fldCharType="separate"/>
          </w:r>
          <w:r>
            <w:rPr>
              <w:rFonts w:hint="eastAsia" w:ascii="宋体" w:hAnsi="宋体" w:cs="宋体"/>
              <w:color w:val="auto"/>
              <w:sz w:val="32"/>
              <w:szCs w:val="32"/>
              <w:highlight w:val="none"/>
            </w:rPr>
            <w:t>第五部分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_Toc8264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38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DB155B2">
          <w:pPr>
            <w:pStyle w:val="42"/>
            <w:tabs>
              <w:tab w:val="right" w:leader="dot" w:pos="9070"/>
            </w:tabs>
            <w:spacing w:line="360" w:lineRule="auto"/>
            <w:rPr>
              <w:rFonts w:hint="eastAsia"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"_Toc22993" </w:instrText>
          </w:r>
          <w:r>
            <w:rPr>
              <w:color w:val="auto"/>
              <w:highlight w:val="none"/>
            </w:rPr>
            <w:fldChar w:fldCharType="separate"/>
          </w:r>
          <w:r>
            <w:rPr>
              <w:rFonts w:hint="eastAsia" w:ascii="宋体" w:hAnsi="宋体" w:cs="宋体"/>
              <w:color w:val="auto"/>
              <w:sz w:val="32"/>
              <w:szCs w:val="32"/>
              <w:highlight w:val="none"/>
            </w:rPr>
            <w:t>第六部分  应提交的有关格式范例</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_Toc22993 \h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48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5BAD815">
          <w:pPr>
            <w:spacing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end"/>
          </w:r>
        </w:p>
      </w:sdtContent>
    </w:sdt>
    <w:p w14:paraId="5A446027">
      <w:pPr>
        <w:spacing w:line="360" w:lineRule="auto"/>
        <w:rPr>
          <w:rFonts w:hint="eastAsia" w:ascii="宋体" w:hAnsi="宋体" w:cs="宋体"/>
          <w:color w:val="auto"/>
          <w:sz w:val="32"/>
          <w:szCs w:val="32"/>
          <w:highlight w:val="none"/>
        </w:rPr>
      </w:pPr>
    </w:p>
    <w:p w14:paraId="1DF553A2">
      <w:pPr>
        <w:spacing w:line="360" w:lineRule="auto"/>
        <w:rPr>
          <w:rFonts w:hint="eastAsia" w:ascii="宋体" w:hAnsi="宋体" w:cs="宋体"/>
          <w:color w:val="auto"/>
          <w:sz w:val="32"/>
          <w:szCs w:val="32"/>
          <w:highlight w:val="none"/>
        </w:rPr>
      </w:pPr>
    </w:p>
    <w:p w14:paraId="07379088">
      <w:pPr>
        <w:spacing w:line="360" w:lineRule="auto"/>
        <w:ind w:firstLine="549" w:firstLineChars="229"/>
        <w:rPr>
          <w:rFonts w:hint="eastAsia" w:ascii="宋体" w:hAnsi="宋体" w:cs="宋体"/>
          <w:color w:val="auto"/>
          <w:sz w:val="24"/>
          <w:highlight w:val="none"/>
        </w:rPr>
      </w:pPr>
      <w:bookmarkStart w:id="1" w:name="_Hlt91233176"/>
      <w:bookmarkEnd w:id="1"/>
      <w:bookmarkStart w:id="2" w:name="_Toc91899869"/>
    </w:p>
    <w:p w14:paraId="09C6278F">
      <w:pPr>
        <w:spacing w:line="360" w:lineRule="auto"/>
        <w:ind w:firstLine="549" w:firstLineChars="229"/>
        <w:rPr>
          <w:rFonts w:hint="eastAsia" w:ascii="宋体" w:hAnsi="宋体" w:cs="宋体"/>
          <w:color w:val="auto"/>
          <w:sz w:val="24"/>
          <w:highlight w:val="none"/>
        </w:rPr>
      </w:pPr>
    </w:p>
    <w:p w14:paraId="0D2EF6D0">
      <w:pPr>
        <w:spacing w:line="360" w:lineRule="auto"/>
        <w:ind w:firstLine="549" w:firstLineChars="229"/>
        <w:rPr>
          <w:rFonts w:hint="eastAsia" w:ascii="宋体" w:hAnsi="宋体" w:cs="宋体"/>
          <w:color w:val="auto"/>
          <w:sz w:val="24"/>
          <w:highlight w:val="none"/>
        </w:rPr>
      </w:pPr>
    </w:p>
    <w:p w14:paraId="2BAEC0A8">
      <w:pPr>
        <w:spacing w:line="360" w:lineRule="auto"/>
        <w:ind w:firstLine="549" w:firstLineChars="229"/>
        <w:rPr>
          <w:rFonts w:hint="eastAsia" w:ascii="宋体" w:hAnsi="宋体" w:cs="宋体"/>
          <w:color w:val="auto"/>
          <w:sz w:val="24"/>
          <w:highlight w:val="none"/>
        </w:rPr>
      </w:pPr>
    </w:p>
    <w:p w14:paraId="22B686E3">
      <w:pPr>
        <w:spacing w:line="360" w:lineRule="auto"/>
        <w:ind w:firstLine="549" w:firstLineChars="229"/>
        <w:rPr>
          <w:rFonts w:hint="eastAsia" w:ascii="宋体" w:hAnsi="宋体" w:cs="宋体"/>
          <w:color w:val="auto"/>
          <w:sz w:val="24"/>
          <w:highlight w:val="none"/>
        </w:rPr>
      </w:pPr>
    </w:p>
    <w:p w14:paraId="4F6D9E75">
      <w:pPr>
        <w:spacing w:line="360" w:lineRule="auto"/>
        <w:ind w:firstLine="549" w:firstLineChars="229"/>
        <w:rPr>
          <w:rFonts w:hint="eastAsia" w:ascii="宋体" w:hAnsi="宋体" w:cs="宋体"/>
          <w:color w:val="auto"/>
          <w:sz w:val="24"/>
          <w:highlight w:val="none"/>
        </w:rPr>
      </w:pPr>
    </w:p>
    <w:p w14:paraId="158B51A7">
      <w:pPr>
        <w:spacing w:line="360" w:lineRule="auto"/>
        <w:ind w:firstLine="549" w:firstLineChars="229"/>
        <w:rPr>
          <w:rFonts w:hint="eastAsia" w:ascii="宋体" w:hAnsi="宋体" w:cs="宋体"/>
          <w:color w:val="auto"/>
          <w:sz w:val="24"/>
          <w:highlight w:val="none"/>
        </w:rPr>
      </w:pPr>
    </w:p>
    <w:p w14:paraId="1EC617B9">
      <w:pPr>
        <w:spacing w:line="360" w:lineRule="auto"/>
        <w:ind w:firstLine="549" w:firstLineChars="229"/>
        <w:rPr>
          <w:rFonts w:hint="eastAsia" w:ascii="宋体" w:hAnsi="宋体" w:cs="宋体"/>
          <w:color w:val="auto"/>
          <w:sz w:val="24"/>
          <w:highlight w:val="none"/>
        </w:rPr>
      </w:pPr>
    </w:p>
    <w:p w14:paraId="76AAFF16">
      <w:pPr>
        <w:spacing w:line="360" w:lineRule="auto"/>
        <w:ind w:firstLine="549" w:firstLineChars="229"/>
        <w:rPr>
          <w:rFonts w:hint="eastAsia" w:ascii="宋体" w:hAnsi="宋体" w:cs="宋体"/>
          <w:color w:val="auto"/>
          <w:sz w:val="24"/>
          <w:highlight w:val="none"/>
        </w:rPr>
      </w:pPr>
    </w:p>
    <w:p w14:paraId="17CA0422">
      <w:pPr>
        <w:spacing w:line="360" w:lineRule="auto"/>
        <w:ind w:firstLine="549" w:firstLineChars="229"/>
        <w:rPr>
          <w:rFonts w:hint="eastAsia" w:ascii="宋体" w:hAnsi="宋体" w:cs="宋体"/>
          <w:color w:val="auto"/>
          <w:sz w:val="24"/>
          <w:highlight w:val="none"/>
        </w:rPr>
      </w:pPr>
    </w:p>
    <w:p w14:paraId="789FB1AB">
      <w:pPr>
        <w:spacing w:line="360" w:lineRule="auto"/>
        <w:ind w:firstLine="549" w:firstLineChars="229"/>
        <w:rPr>
          <w:rFonts w:hint="eastAsia" w:ascii="宋体" w:hAnsi="宋体" w:cs="宋体"/>
          <w:color w:val="auto"/>
          <w:sz w:val="24"/>
          <w:highlight w:val="none"/>
        </w:rPr>
      </w:pPr>
    </w:p>
    <w:p w14:paraId="4579B463">
      <w:pPr>
        <w:spacing w:line="360" w:lineRule="auto"/>
        <w:ind w:firstLine="549" w:firstLineChars="229"/>
        <w:rPr>
          <w:rFonts w:hint="eastAsia" w:ascii="宋体" w:hAnsi="宋体" w:cs="宋体"/>
          <w:color w:val="auto"/>
          <w:sz w:val="24"/>
          <w:highlight w:val="none"/>
        </w:rPr>
      </w:pPr>
    </w:p>
    <w:p w14:paraId="29CD6A50">
      <w:pPr>
        <w:spacing w:line="360" w:lineRule="auto"/>
        <w:ind w:firstLine="549" w:firstLineChars="229"/>
        <w:rPr>
          <w:rFonts w:hint="eastAsia" w:ascii="宋体" w:hAnsi="宋体" w:cs="宋体"/>
          <w:color w:val="auto"/>
          <w:sz w:val="24"/>
          <w:highlight w:val="none"/>
        </w:rPr>
      </w:pPr>
    </w:p>
    <w:p w14:paraId="0F7F1B54">
      <w:pPr>
        <w:spacing w:line="360" w:lineRule="auto"/>
        <w:rPr>
          <w:rFonts w:hint="eastAsia" w:ascii="宋体" w:hAnsi="宋体" w:cs="宋体"/>
          <w:color w:val="auto"/>
          <w:sz w:val="24"/>
          <w:highlight w:val="none"/>
        </w:rPr>
      </w:pPr>
    </w:p>
    <w:bookmarkEnd w:id="2"/>
    <w:p w14:paraId="164615E2">
      <w:pPr>
        <w:rPr>
          <w:rFonts w:hint="eastAsia" w:ascii="宋体" w:hAnsi="宋体" w:cs="宋体"/>
          <w:b/>
          <w:color w:val="auto"/>
          <w:sz w:val="36"/>
          <w:szCs w:val="20"/>
          <w:highlight w:val="none"/>
        </w:rPr>
      </w:pPr>
      <w:bookmarkStart w:id="3" w:name="_Hlt74707423"/>
      <w:bookmarkEnd w:id="3"/>
      <w:bookmarkStart w:id="4" w:name="_Hlt74729822"/>
      <w:bookmarkEnd w:id="4"/>
      <w:bookmarkStart w:id="5" w:name="_Hlt74728647"/>
      <w:bookmarkEnd w:id="5"/>
      <w:bookmarkStart w:id="6" w:name="_Hlt74649545"/>
      <w:bookmarkEnd w:id="6"/>
      <w:bookmarkStart w:id="7" w:name="第二部分"/>
      <w:bookmarkStart w:id="8" w:name="_Toc91899870"/>
      <w:bookmarkStart w:id="9" w:name="_Toc91899871"/>
      <w:r>
        <w:rPr>
          <w:rFonts w:hint="eastAsia" w:ascii="宋体" w:hAnsi="宋体" w:cs="宋体"/>
          <w:b/>
          <w:color w:val="auto"/>
          <w:sz w:val="36"/>
          <w:szCs w:val="20"/>
          <w:highlight w:val="none"/>
        </w:rPr>
        <w:br w:type="page"/>
      </w:r>
    </w:p>
    <w:p w14:paraId="2000EE8C">
      <w:pPr>
        <w:rPr>
          <w:color w:val="auto"/>
          <w:highlight w:val="none"/>
        </w:rPr>
      </w:pPr>
      <w:r>
        <w:rPr>
          <w:rFonts w:hint="eastAsia"/>
          <w:color w:val="auto"/>
          <w:highlight w:val="none"/>
        </w:rPr>
        <w:br w:type="page"/>
      </w:r>
    </w:p>
    <w:p w14:paraId="06E7406A">
      <w:pPr>
        <w:rPr>
          <w:color w:val="auto"/>
          <w:highlight w:val="none"/>
        </w:rPr>
        <w:sectPr>
          <w:headerReference r:id="rId4" w:type="first"/>
          <w:headerReference r:id="rId3" w:type="default"/>
          <w:footerReference r:id="rId5" w:type="even"/>
          <w:pgSz w:w="11906" w:h="16838"/>
          <w:pgMar w:top="680" w:right="1418" w:bottom="468" w:left="1418" w:header="851" w:footer="992" w:gutter="0"/>
          <w:cols w:space="720" w:num="1"/>
          <w:titlePg/>
          <w:docGrid w:linePitch="312" w:charSpace="0"/>
        </w:sectPr>
      </w:pPr>
    </w:p>
    <w:p w14:paraId="3ECC8DE8">
      <w:pPr>
        <w:adjustRightInd/>
        <w:spacing w:line="360" w:lineRule="auto"/>
        <w:jc w:val="center"/>
        <w:outlineLvl w:val="0"/>
        <w:rPr>
          <w:rFonts w:hint="eastAsia" w:ascii="宋体" w:hAnsi="宋体" w:cs="宋体"/>
          <w:b/>
          <w:color w:val="auto"/>
          <w:sz w:val="36"/>
          <w:szCs w:val="20"/>
          <w:highlight w:val="none"/>
        </w:rPr>
      </w:pPr>
      <w:bookmarkStart w:id="10" w:name="_Toc9238"/>
      <w:r>
        <w:rPr>
          <w:rFonts w:hint="eastAsia" w:ascii="宋体" w:hAnsi="宋体" w:cs="宋体"/>
          <w:b/>
          <w:color w:val="auto"/>
          <w:sz w:val="36"/>
          <w:szCs w:val="20"/>
          <w:highlight w:val="none"/>
        </w:rPr>
        <w:t>第一部分 招标公告</w:t>
      </w:r>
      <w:bookmarkEnd w:id="10"/>
    </w:p>
    <w:p w14:paraId="335CF7C8">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项目概况</w:t>
      </w:r>
    </w:p>
    <w:p w14:paraId="2BB51CD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Theme="minorEastAsia" w:hAnsiTheme="minorEastAsia" w:eastAsiaTheme="minorEastAsia"/>
          <w:color w:val="auto"/>
          <w:sz w:val="24"/>
          <w:highlight w:val="none"/>
          <w:u w:val="single"/>
        </w:rPr>
      </w:pPr>
      <w:r>
        <w:rPr>
          <w:rFonts w:hint="eastAsia" w:cs="仿宋_GB2312" w:asciiTheme="minorEastAsia" w:hAnsiTheme="minorEastAsia" w:eastAsiaTheme="minorEastAsia"/>
          <w:color w:val="auto"/>
          <w:sz w:val="24"/>
          <w:highlight w:val="none"/>
          <w:u w:val="single"/>
        </w:rPr>
        <w:t>（宁海县教育局智能护学一期项目）</w:t>
      </w:r>
      <w:r>
        <w:rPr>
          <w:rFonts w:hint="eastAsia" w:asciiTheme="minorEastAsia" w:hAnsiTheme="minorEastAsia" w:eastAsiaTheme="minorEastAsia"/>
          <w:color w:val="auto"/>
          <w:sz w:val="24"/>
          <w:highlight w:val="none"/>
        </w:rPr>
        <w:t>招标项目的潜在供应商应在政采云平台（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cs="Times New Roman" w:asciiTheme="minorEastAsia" w:hAnsiTheme="minorEastAsia" w:eastAsiaTheme="minorEastAsia"/>
          <w:snapToGrid/>
          <w:color w:val="auto"/>
          <w:kern w:val="2"/>
          <w:sz w:val="24"/>
          <w:szCs w:val="24"/>
          <w:highlight w:val="none"/>
        </w:rPr>
        <w:t>https://www.zcygov.cn/）获取（下载）招标文件，并于</w:t>
      </w:r>
      <w:r>
        <w:rPr>
          <w:rStyle w:val="77"/>
          <w:rFonts w:hint="eastAsia" w:cs="Times New Roman" w:asciiTheme="minorEastAsia" w:hAnsiTheme="minorEastAsia" w:eastAsiaTheme="minorEastAsia"/>
          <w:snapToGrid/>
          <w:color w:val="auto"/>
          <w:kern w:val="2"/>
          <w:sz w:val="24"/>
          <w:szCs w:val="24"/>
          <w:highlight w:val="none"/>
        </w:rPr>
        <w:t>2025</w:t>
      </w:r>
      <w:r>
        <w:rPr>
          <w:rStyle w:val="77"/>
          <w:rFonts w:cs="Times New Roman" w:asciiTheme="minorEastAsia" w:hAnsiTheme="minorEastAsia" w:eastAsiaTheme="minorEastAsia"/>
          <w:snapToGrid/>
          <w:color w:val="auto"/>
          <w:kern w:val="2"/>
          <w:sz w:val="24"/>
          <w:szCs w:val="24"/>
          <w:highlight w:val="none"/>
        </w:rPr>
        <w:t>年</w:t>
      </w:r>
      <w:r>
        <w:rPr>
          <w:rStyle w:val="77"/>
          <w:rFonts w:hint="eastAsia" w:cs="Times New Roman" w:asciiTheme="minorEastAsia" w:hAnsiTheme="minorEastAsia" w:eastAsiaTheme="minorEastAsia"/>
          <w:snapToGrid/>
          <w:color w:val="auto"/>
          <w:kern w:val="2"/>
          <w:sz w:val="24"/>
          <w:szCs w:val="24"/>
          <w:highlight w:val="none"/>
        </w:rPr>
        <w:t xml:space="preserve"> 月  日13点30分</w:t>
      </w:r>
      <w:r>
        <w:rPr>
          <w:rStyle w:val="77"/>
          <w:rFonts w:hint="eastAsia" w:cs="Times New Roman" w:asciiTheme="minorEastAsia" w:hAnsiTheme="minorEastAsia" w:eastAsiaTheme="minorEastAsia"/>
          <w:bCs/>
          <w:snapToGrid/>
          <w:color w:val="auto"/>
          <w:kern w:val="2"/>
          <w:sz w:val="24"/>
          <w:szCs w:val="24"/>
          <w:highlight w:val="none"/>
        </w:rPr>
        <w:t>00秒</w:t>
      </w:r>
      <w:r>
        <w:rPr>
          <w:rStyle w:val="77"/>
          <w:rFonts w:hint="eastAsia" w:cs="Times New Roman" w:asciiTheme="minorEastAsia" w:hAnsiTheme="minorEastAsia" w:eastAsiaTheme="minorEastAsia"/>
          <w:bCs/>
          <w:snapToGrid/>
          <w:color w:val="auto"/>
          <w:kern w:val="2"/>
          <w:sz w:val="24"/>
          <w:szCs w:val="24"/>
          <w:highlight w:val="none"/>
        </w:rPr>
        <w:fldChar w:fldCharType="end"/>
      </w:r>
      <w:r>
        <w:rPr>
          <w:rFonts w:hint="eastAsia" w:asciiTheme="minorEastAsia" w:hAnsiTheme="minorEastAsia" w:eastAsiaTheme="minorEastAsia"/>
          <w:bCs/>
          <w:color w:val="auto"/>
          <w:sz w:val="24"/>
          <w:highlight w:val="none"/>
        </w:rPr>
        <w:t>（北京时间）前</w:t>
      </w:r>
      <w:r>
        <w:rPr>
          <w:rFonts w:hint="eastAsia" w:asciiTheme="minorEastAsia" w:hAnsiTheme="minorEastAsia" w:eastAsiaTheme="minorEastAsia"/>
          <w:color w:val="auto"/>
          <w:sz w:val="24"/>
          <w:highlight w:val="none"/>
        </w:rPr>
        <w:t>递交（上传）投标文件。</w:t>
      </w:r>
    </w:p>
    <w:p w14:paraId="38CEE3D0">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7DE48D1">
      <w:pPr>
        <w:spacing w:line="336"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bCs/>
          <w:color w:val="auto"/>
          <w:sz w:val="24"/>
          <w:highlight w:val="none"/>
        </w:rPr>
        <w:t>CBZJ-20256048G</w:t>
      </w:r>
    </w:p>
    <w:p w14:paraId="675769A5">
      <w:pPr>
        <w:spacing w:line="336"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bCs/>
          <w:color w:val="auto"/>
          <w:sz w:val="24"/>
          <w:highlight w:val="none"/>
        </w:rPr>
        <w:t>宁海县教育局智能护学一期项目</w:t>
      </w:r>
    </w:p>
    <w:p w14:paraId="6FCF938F">
      <w:pPr>
        <w:spacing w:line="336"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rPr>
        <w:t>424300.00</w:t>
      </w:r>
    </w:p>
    <w:p w14:paraId="1A7EE944">
      <w:pPr>
        <w:spacing w:line="336" w:lineRule="auto"/>
        <w:ind w:firstLine="480"/>
        <w:rPr>
          <w:rFonts w:hint="eastAsia"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rPr>
        <w:t>424300.00</w:t>
      </w:r>
    </w:p>
    <w:p w14:paraId="21703F8C">
      <w:pPr>
        <w:pStyle w:val="5"/>
        <w:spacing w:line="336" w:lineRule="auto"/>
        <w:ind w:firstLine="480"/>
        <w:rPr>
          <w:rFonts w:hint="eastAsia" w:hAnsi="宋体" w:cs="宋体"/>
          <w:b/>
          <w:color w:val="auto"/>
          <w:sz w:val="24"/>
          <w:highlight w:val="none"/>
        </w:rPr>
      </w:pPr>
      <w:r>
        <w:rPr>
          <w:rFonts w:hint="eastAsia" w:hAnsi="宋体" w:cs="宋体"/>
          <w:b/>
          <w:color w:val="auto"/>
          <w:sz w:val="24"/>
          <w:highlight w:val="none"/>
        </w:rPr>
        <w:t>采购需求：</w:t>
      </w:r>
    </w:p>
    <w:p w14:paraId="7F3ABD4E">
      <w:pPr>
        <w:widowControl/>
        <w:adjustRightInd/>
        <w:spacing w:line="336" w:lineRule="auto"/>
        <w:ind w:firstLine="960" w:firstLineChars="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标项名称：</w:t>
      </w:r>
      <w:r>
        <w:rPr>
          <w:rFonts w:hint="eastAsia" w:ascii="宋体" w:hAnsi="宋体" w:cs="宋体"/>
          <w:color w:val="auto"/>
          <w:sz w:val="24"/>
          <w:highlight w:val="none"/>
        </w:rPr>
        <w:t>宁海县教育局智能护学一期项目</w:t>
      </w:r>
    </w:p>
    <w:p w14:paraId="1DA3408A">
      <w:pPr>
        <w:widowControl/>
        <w:adjustRightInd/>
        <w:spacing w:line="336" w:lineRule="auto"/>
        <w:ind w:firstLine="960" w:firstLineChars="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数量：1批</w:t>
      </w:r>
    </w:p>
    <w:p w14:paraId="31E83518">
      <w:pPr>
        <w:widowControl/>
        <w:adjustRightInd/>
        <w:spacing w:line="336" w:lineRule="auto"/>
        <w:ind w:firstLine="960" w:firstLineChars="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预算金额（元）：</w:t>
      </w:r>
      <w:r>
        <w:rPr>
          <w:rFonts w:hint="eastAsia" w:ascii="宋体" w:hAnsi="宋体" w:cs="宋体"/>
          <w:color w:val="auto"/>
          <w:sz w:val="24"/>
          <w:highlight w:val="none"/>
        </w:rPr>
        <w:t>424300.00</w:t>
      </w:r>
    </w:p>
    <w:p w14:paraId="46AD22DF">
      <w:pPr>
        <w:widowControl/>
        <w:adjustRightInd/>
        <w:spacing w:line="336" w:lineRule="auto"/>
        <w:ind w:firstLine="960" w:firstLineChars="4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简要规格描述或项目基本概况介绍、用途：具体以招标文件第三部分采购需求为准，供应商可点击本公告下方“浏览采购文件”查看采购需求。</w:t>
      </w:r>
    </w:p>
    <w:p w14:paraId="3A63EF87">
      <w:pPr>
        <w:pStyle w:val="132"/>
        <w:spacing w:before="0" w:line="336" w:lineRule="auto"/>
        <w:ind w:firstLine="482"/>
        <w:rPr>
          <w:rFonts w:hint="eastAsia"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Cs w:val="21"/>
          <w:highlight w:val="none"/>
        </w:rPr>
        <w:t>合同签订后，接采购人通知后90个工作日内完成项目供货、安装、调试，进行试运行测试，试运行期一个月后，由采购人进行统一验收。</w:t>
      </w:r>
    </w:p>
    <w:p w14:paraId="2A33F8B9">
      <w:pPr>
        <w:pStyle w:val="5"/>
        <w:spacing w:line="336" w:lineRule="auto"/>
        <w:ind w:firstLine="480"/>
        <w:rPr>
          <w:rFonts w:hint="eastAsia" w:hAnsi="宋体" w:cs="宋体"/>
          <w:color w:val="auto"/>
          <w:kern w:val="0"/>
          <w:sz w:val="24"/>
          <w:highlight w:val="none"/>
        </w:rPr>
      </w:pPr>
      <w:r>
        <w:rPr>
          <w:rFonts w:hint="eastAsia" w:hAnsi="宋体" w:cs="宋体"/>
          <w:b/>
          <w:color w:val="auto"/>
          <w:sz w:val="24"/>
          <w:highlight w:val="none"/>
        </w:rPr>
        <w:t>本项目接受联合体投标：</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hAnsi="宋体" w:cs="宋体"/>
          <w:b/>
          <w:color w:val="auto"/>
          <w:sz w:val="24"/>
          <w:highlight w:val="none"/>
        </w:rPr>
        <w:t>是</w:t>
      </w:r>
      <w:r>
        <w:rPr>
          <w:rFonts w:hint="eastAsia" w:hAnsi="宋体" w:cs="宋体"/>
          <w:b/>
          <w:snapToGrid/>
          <w:color w:val="auto"/>
          <w:kern w:val="2"/>
          <w:sz w:val="24"/>
          <w:highlight w:val="none"/>
        </w:rPr>
        <w:t>；</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61512949">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17A4AF9E">
      <w:pPr>
        <w:spacing w:line="336" w:lineRule="auto"/>
        <w:ind w:firstLine="480"/>
        <w:rPr>
          <w:rFonts w:hint="eastAsia"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1629F56">
      <w:pPr>
        <w:spacing w:line="336" w:lineRule="auto"/>
        <w:ind w:firstLine="48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w:t>
      </w:r>
    </w:p>
    <w:p w14:paraId="0ADB671A">
      <w:pPr>
        <w:spacing w:line="336" w:lineRule="auto"/>
        <w:ind w:firstLine="480" w:firstLineChars="200"/>
        <w:rPr>
          <w:rFonts w:hint="eastAsia"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 落实政府采购政策需满足的资格要求：</w:t>
      </w:r>
    </w:p>
    <w:p w14:paraId="39AEB748">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无；</w:t>
      </w:r>
    </w:p>
    <w:p w14:paraId="3AF96F29">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85E0A6D">
      <w:pPr>
        <w:spacing w:line="336" w:lineRule="auto"/>
        <w:ind w:firstLine="897" w:firstLineChars="374"/>
        <w:rPr>
          <w:rFonts w:hint="eastAsia"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货物全部由符合政策要求的中小企业制造，提供中小企业声明函；</w:t>
      </w:r>
    </w:p>
    <w:p w14:paraId="5ED9499B">
      <w:pPr>
        <w:spacing w:line="336" w:lineRule="auto"/>
        <w:ind w:firstLine="897" w:firstLineChars="374"/>
        <w:rPr>
          <w:rFonts w:hint="eastAsia"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货物全部由符合政策要求的小微企业制造，提供中小企业声明函；</w:t>
      </w:r>
    </w:p>
    <w:p w14:paraId="0BBE16AD">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2709B393">
      <w:pPr>
        <w:spacing w:line="336"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6B9A52EB">
      <w:pPr>
        <w:widowControl/>
        <w:numPr>
          <w:ilvl w:val="0"/>
          <w:numId w:val="1"/>
        </w:numPr>
        <w:adjustRightInd/>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本项目的特定资格要求：无；</w:t>
      </w:r>
    </w:p>
    <w:p w14:paraId="0AE3DD0C">
      <w:pPr>
        <w:widowControl/>
        <w:numPr>
          <w:ilvl w:val="0"/>
          <w:numId w:val="1"/>
        </w:numPr>
        <w:adjustRightInd/>
        <w:spacing w:line="336"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未在中国裁判文书网有行贿犯罪相关记录。（以投标截止日当天中国裁判文书网查询结果为准，如相关记录已失效，供应商需提供相关证明资料；若在开标当天因不可抗力事件导致无法查询且一时无法恢复查询的，可在中标公示期间对中标候选人进行事后查询。中标候选人在中国裁判文书网有行贿犯罪相关记录，采购人将依法取消其中标资格）。</w:t>
      </w:r>
    </w:p>
    <w:p w14:paraId="373218E9">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3315FEB3">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时间：</w:t>
      </w:r>
      <w:r>
        <w:rPr>
          <w:rFonts w:hint="eastAsia" w:cs="宋体" w:asciiTheme="minorEastAsia" w:hAnsiTheme="minorEastAsia" w:eastAsiaTheme="minorEastAsia"/>
          <w:bCs/>
          <w:color w:val="auto"/>
          <w:sz w:val="24"/>
          <w:highlight w:val="none"/>
        </w:rPr>
        <w:t>2025年  月  日至2025年  月  日</w:t>
      </w:r>
      <w:r>
        <w:rPr>
          <w:rFonts w:hint="eastAsia" w:cs="宋体" w:asciiTheme="minorEastAsia" w:hAnsiTheme="minorEastAsia" w:eastAsiaTheme="minorEastAsia"/>
          <w:color w:val="auto"/>
          <w:sz w:val="24"/>
          <w:highlight w:val="none"/>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465C8884">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5B2C46D">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供应商登录政采云平台https://www.zcygov.cn/在线申请获取招标文件（进入“项目采购”应用，在获取招标文件菜单中选择项目，申请获取招标文件）。 </w:t>
      </w:r>
    </w:p>
    <w:p w14:paraId="33F3CB91">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p>
    <w:p w14:paraId="0FCFBF61">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4D5AA81B">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2025年  月  日13点30分00秒</w:t>
      </w:r>
      <w:r>
        <w:rPr>
          <w:rFonts w:hint="eastAsia" w:ascii="宋体" w:hAnsi="宋体" w:cs="宋体"/>
          <w:color w:val="auto"/>
          <w:sz w:val="24"/>
          <w:highlight w:val="none"/>
        </w:rPr>
        <w:t>（北京时间）</w:t>
      </w:r>
    </w:p>
    <w:p w14:paraId="62615515">
      <w:pPr>
        <w:spacing w:line="336"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Theme="minorEastAsia" w:hAnsiTheme="minorEastAsia" w:eastAsiaTheme="minorEastAsia"/>
          <w:color w:val="auto"/>
          <w:sz w:val="24"/>
          <w:highlight w:val="none"/>
        </w:rPr>
        <w:t>政府采购云平台（http://www.zcygov.cn/）。</w:t>
      </w:r>
    </w:p>
    <w:p w14:paraId="13843B8D">
      <w:pPr>
        <w:spacing w:line="336" w:lineRule="auto"/>
        <w:ind w:firstLine="482" w:firstLineChars="200"/>
        <w:rPr>
          <w:rFonts w:hint="eastAsia"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2025年  月  日13点30分00秒</w:t>
      </w:r>
    </w:p>
    <w:p w14:paraId="5031C97E">
      <w:pPr>
        <w:spacing w:line="336"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开标地点（网址）：</w:t>
      </w:r>
      <w:r>
        <w:rPr>
          <w:rFonts w:hint="eastAsia" w:asciiTheme="minorEastAsia" w:hAnsiTheme="minorEastAsia" w:eastAsiaTheme="minorEastAsia"/>
          <w:color w:val="auto"/>
          <w:sz w:val="24"/>
          <w:highlight w:val="none"/>
        </w:rPr>
        <w:t>政府采购云平台（http://www.zcygov.cn/）。</w:t>
      </w:r>
    </w:p>
    <w:p w14:paraId="60453BAA">
      <w:pPr>
        <w:spacing w:line="336" w:lineRule="auto"/>
        <w:rPr>
          <w:rFonts w:hint="eastAsia" w:ascii="宋体" w:hAnsi="宋体" w:cs="宋体"/>
          <w:color w:val="auto"/>
          <w:sz w:val="24"/>
          <w:highlight w:val="none"/>
        </w:rPr>
      </w:pPr>
      <w:r>
        <w:rPr>
          <w:rFonts w:hint="eastAsia" w:ascii="宋体" w:hAnsi="宋体" w:cs="宋体"/>
          <w:b/>
          <w:color w:val="auto"/>
          <w:sz w:val="24"/>
          <w:highlight w:val="none"/>
        </w:rPr>
        <w:t xml:space="preserve">五、公告期限 </w:t>
      </w:r>
    </w:p>
    <w:p w14:paraId="016DE73B">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自本公告发布之日起5个工作日。</w:t>
      </w:r>
    </w:p>
    <w:p w14:paraId="46BB0B34">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六、其他补充事宜</w:t>
      </w:r>
    </w:p>
    <w:p w14:paraId="5511C780">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90D2A6D">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5DC7998">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BF79B05">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52B484D">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（1）需要落实的政府采购政策：包括节约资源、保护环境、支持创新、促进中小企业发展等。详见招标文件的第二部分总则。</w:t>
      </w:r>
    </w:p>
    <w:p w14:paraId="778429E6">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招标文件菜单中选择项目，获取招标文件；④投标文件的制作</w:t>
      </w:r>
      <w:r>
        <w:rPr>
          <w:rFonts w:hint="eastAsia" w:cs="仿宋_GB2312" w:asciiTheme="minorEastAsia" w:hAnsiTheme="minorEastAsia" w:eastAsiaTheme="minorEastAsia"/>
          <w:color w:val="auto"/>
          <w:sz w:val="24"/>
          <w:highlight w:val="none"/>
        </w:rPr>
        <w:t>（文件后缀为：jmbs）</w:t>
      </w:r>
      <w:r>
        <w:rPr>
          <w:rFonts w:hint="eastAsia" w:ascii="宋体" w:hAnsi="宋体" w:cs="宋体"/>
          <w:color w:val="auto"/>
          <w:sz w:val="24"/>
          <w:highlight w:val="none"/>
        </w:rPr>
        <w:t>：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供应商在投标截止时间前将加密的投标文件上传至政府采购云平台，还可以在投标截止时间前直接提交或者以邮政快递方式递交备份投标文件1份。备份投标文件（文件后缀为：bfbs）的制作、存储、密封详见招标文件第二部分第15点—“备份投标文件”；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未在电子交易平台传输递交投标文件的，投标无效；⑩具体操作指南：详见政采云平台“服务中心－帮助文档－项目采购－操作流程－电子招投标－政府采购项目电子交易管理操作指南－供应商”。</w:t>
      </w:r>
    </w:p>
    <w:p w14:paraId="242A8F28">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（3）招标文件公告期限与招标公告的公告期限一致。</w:t>
      </w:r>
    </w:p>
    <w:p w14:paraId="01F28494">
      <w:pPr>
        <w:spacing w:line="336"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（4）《第一部分  招标公告》中二、申请人的资格要求：第一条中的“重大税收违法案件当事人名单”即为“重大税收违法失信主体”。</w:t>
      </w:r>
      <w:r>
        <w:rPr>
          <w:rFonts w:hint="eastAsia" w:cs="宋体" w:asciiTheme="minorEastAsia" w:hAnsiTheme="minorEastAsia" w:eastAsiaTheme="minorEastAsia"/>
          <w:color w:val="auto"/>
          <w:sz w:val="24"/>
          <w:highlight w:val="none"/>
        </w:rPr>
        <w:br w:type="textWrapping"/>
      </w:r>
      <w:r>
        <w:rPr>
          <w:rFonts w:hint="eastAsia" w:cs="宋体" w:asciiTheme="minorEastAsia" w:hAnsiTheme="minorEastAsia" w:eastAsiaTheme="minorEastAsia"/>
          <w:color w:val="auto"/>
          <w:sz w:val="24"/>
          <w:highlight w:val="none"/>
        </w:rPr>
        <w:t xml:space="preserve">    （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73E836B">
      <w:pPr>
        <w:spacing w:line="336" w:lineRule="auto"/>
        <w:rPr>
          <w:rFonts w:hint="eastAsia"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22F6FB3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1.采购人信息</w:t>
      </w:r>
    </w:p>
    <w:p w14:paraId="73334D35">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称：宁海县教育局装备与信息管理中心</w:t>
      </w:r>
    </w:p>
    <w:p w14:paraId="58A1D56F">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址：宁海县人民路290号</w:t>
      </w:r>
    </w:p>
    <w:p w14:paraId="6826033F">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048BED22">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项目联系人（询问）：孙老师</w:t>
      </w:r>
    </w:p>
    <w:p w14:paraId="200D4CF8">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项目联系方式（询问）：0574-65259635</w:t>
      </w:r>
    </w:p>
    <w:p w14:paraId="740E1A9E">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质疑联系人：华老师</w:t>
      </w:r>
    </w:p>
    <w:p w14:paraId="4BBDA205">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质疑联系方式：13646619878</w:t>
      </w:r>
    </w:p>
    <w:p w14:paraId="4B03CD81">
      <w:pPr>
        <w:spacing w:line="336" w:lineRule="auto"/>
        <w:ind w:firstLine="480"/>
        <w:rPr>
          <w:rFonts w:hint="eastAsia" w:ascii="宋体" w:hAnsi="宋体" w:cs="宋体"/>
          <w:color w:val="auto"/>
          <w:sz w:val="24"/>
          <w:highlight w:val="none"/>
        </w:rPr>
      </w:pPr>
    </w:p>
    <w:p w14:paraId="5A6CC19E">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2.采购代理机构信息</w:t>
      </w:r>
    </w:p>
    <w:p w14:paraId="471DBE99">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称：浙江中基正采管理咨询有限公司</w:t>
      </w:r>
    </w:p>
    <w:p w14:paraId="6EE4C503">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址：宁波市鄞州区天童南路666号中基大厦19楼</w:t>
      </w:r>
    </w:p>
    <w:p w14:paraId="7E409FDD">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真：0574-87425373</w:t>
      </w:r>
    </w:p>
    <w:p w14:paraId="61A7895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项目联系人（询问）：朱贤东、史宇骁</w:t>
      </w:r>
    </w:p>
    <w:p w14:paraId="675C6B0B">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项目联系方式（询问）：0574-87425279</w:t>
      </w:r>
    </w:p>
    <w:p w14:paraId="09B18BE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质疑联系人：王近娜</w:t>
      </w:r>
    </w:p>
    <w:p w14:paraId="3B49672E">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质疑联系方式：0574-87425570</w:t>
      </w:r>
    </w:p>
    <w:p w14:paraId="01C667E4">
      <w:pPr>
        <w:spacing w:line="336" w:lineRule="auto"/>
        <w:ind w:firstLine="480"/>
        <w:rPr>
          <w:rFonts w:hint="eastAsia" w:ascii="宋体" w:hAnsi="宋体" w:cs="宋体"/>
          <w:color w:val="auto"/>
          <w:sz w:val="24"/>
          <w:highlight w:val="none"/>
        </w:rPr>
      </w:pPr>
    </w:p>
    <w:p w14:paraId="79E462D9">
      <w:pPr>
        <w:spacing w:line="336" w:lineRule="auto"/>
        <w:ind w:firstLine="480"/>
        <w:rPr>
          <w:rFonts w:hint="eastAsia" w:ascii="宋体" w:hAnsi="宋体" w:cs="宋体"/>
          <w:color w:val="auto"/>
          <w:sz w:val="24"/>
          <w:highlight w:val="none"/>
        </w:rPr>
      </w:pPr>
    </w:p>
    <w:p w14:paraId="1173806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3.同级政府采购监督管理部门：</w:t>
      </w:r>
    </w:p>
    <w:p w14:paraId="5F97AA1B">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名    称：宁海县政府采购管理办公室             </w:t>
      </w:r>
    </w:p>
    <w:p w14:paraId="1887642D">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    址：宁海县跃龙街道桃源中路218号            </w:t>
      </w:r>
    </w:p>
    <w:p w14:paraId="579A199C">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    真：0574-65265612            </w:t>
      </w:r>
    </w:p>
    <w:p w14:paraId="7DF01EB6">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联系人 ：王老师             </w:t>
      </w:r>
    </w:p>
    <w:p w14:paraId="00503B53">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投诉电话：0574-65265668 </w:t>
      </w:r>
    </w:p>
    <w:p w14:paraId="71846484">
      <w:pPr>
        <w:spacing w:line="336" w:lineRule="auto"/>
        <w:ind w:firstLine="48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C9C9693">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E04B3A3">
      <w:pPr>
        <w:spacing w:line="336"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13C35705">
      <w:pPr>
        <w:pStyle w:val="32"/>
        <w:spacing w:line="360" w:lineRule="auto"/>
        <w:rPr>
          <w:rFonts w:hint="eastAsia" w:hAnsi="宋体" w:cs="宋体"/>
          <w:b/>
          <w:color w:val="auto"/>
          <w:sz w:val="36"/>
          <w:szCs w:val="20"/>
          <w:highlight w:val="none"/>
        </w:rPr>
      </w:pPr>
    </w:p>
    <w:p w14:paraId="0A7109C1">
      <w:pPr>
        <w:tabs>
          <w:tab w:val="left" w:pos="432"/>
        </w:tabs>
        <w:rPr>
          <w:rFonts w:ascii="宋体"/>
          <w:snapToGrid w:val="0"/>
          <w:color w:val="auto"/>
          <w:highlight w:val="none"/>
        </w:rPr>
      </w:pPr>
      <w:r>
        <w:rPr>
          <w:color w:val="auto"/>
          <w:highlight w:val="none"/>
        </w:rPr>
        <w:br w:type="page"/>
      </w:r>
    </w:p>
    <w:p w14:paraId="1DBA228D">
      <w:pPr>
        <w:adjustRightInd/>
        <w:spacing w:line="360" w:lineRule="auto"/>
        <w:jc w:val="center"/>
        <w:outlineLvl w:val="0"/>
        <w:rPr>
          <w:rFonts w:hint="eastAsia" w:ascii="宋体" w:hAnsi="宋体" w:cs="宋体"/>
          <w:b/>
          <w:color w:val="auto"/>
          <w:sz w:val="36"/>
          <w:szCs w:val="20"/>
          <w:highlight w:val="none"/>
        </w:rPr>
      </w:pPr>
      <w:bookmarkStart w:id="13" w:name="_Toc29691"/>
      <w:r>
        <w:rPr>
          <w:rFonts w:hint="eastAsia" w:ascii="宋体" w:hAnsi="宋体" w:cs="宋体"/>
          <w:b/>
          <w:color w:val="auto"/>
          <w:sz w:val="36"/>
          <w:szCs w:val="20"/>
          <w:highlight w:val="none"/>
        </w:rPr>
        <w:t>第二部分</w:t>
      </w:r>
      <w:bookmarkEnd w:id="7"/>
      <w:r>
        <w:rPr>
          <w:rFonts w:hint="eastAsia" w:ascii="宋体" w:hAnsi="宋体" w:cs="宋体"/>
          <w:b/>
          <w:color w:val="auto"/>
          <w:sz w:val="36"/>
          <w:szCs w:val="20"/>
          <w:highlight w:val="none"/>
        </w:rPr>
        <w:t xml:space="preserve"> 供应商须知</w:t>
      </w:r>
      <w:bookmarkEnd w:id="8"/>
      <w:bookmarkEnd w:id="13"/>
    </w:p>
    <w:p w14:paraId="7FBA2872">
      <w:pPr>
        <w:adjustRightInd/>
        <w:spacing w:line="360" w:lineRule="auto"/>
        <w:ind w:firstLine="3845" w:firstLineChars="1197"/>
        <w:rPr>
          <w:rFonts w:hint="eastAsia"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1BD45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tcPr>
          <w:p w14:paraId="4B31EC3B">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1843" w:type="dxa"/>
            <w:vAlign w:val="center"/>
          </w:tcPr>
          <w:p w14:paraId="796869F1">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事项</w:t>
            </w:r>
          </w:p>
        </w:tc>
        <w:tc>
          <w:tcPr>
            <w:tcW w:w="6095" w:type="dxa"/>
            <w:vAlign w:val="center"/>
          </w:tcPr>
          <w:p w14:paraId="55DFEF5A">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本项目的特别规定</w:t>
            </w:r>
          </w:p>
        </w:tc>
      </w:tr>
      <w:tr w14:paraId="7722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8B2F12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843" w:type="dxa"/>
            <w:vAlign w:val="center"/>
          </w:tcPr>
          <w:p w14:paraId="21FD0119">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项目属性与核心产品</w:t>
            </w:r>
          </w:p>
        </w:tc>
        <w:tc>
          <w:tcPr>
            <w:tcW w:w="6095" w:type="dxa"/>
            <w:vAlign w:val="center"/>
          </w:tcPr>
          <w:p w14:paraId="3D499726">
            <w:pPr>
              <w:spacing w:line="288" w:lineRule="auto"/>
              <w:rPr>
                <w:rFonts w:hint="eastAsia" w:ascii="宋体" w:hAnsi="宋体" w:cs="宋体"/>
                <w:color w:val="auto"/>
                <w:sz w:val="24"/>
                <w:highlight w:val="none"/>
              </w:rPr>
            </w:pPr>
            <w:r>
              <w:rPr>
                <w:rFonts w:hint="eastAsia" w:ascii="宋体" w:hAnsi="宋体" w:cs="宋体"/>
                <w:color w:val="auto"/>
                <w:sz w:val="24"/>
                <w:highlight w:val="none"/>
              </w:rPr>
              <w:t>货物类，单一产品或核心产品为：</w:t>
            </w:r>
            <w:r>
              <w:rPr>
                <w:rFonts w:hint="eastAsia" w:ascii="宋体" w:hAnsi="宋体" w:cs="宋体"/>
                <w:color w:val="auto"/>
                <w:sz w:val="24"/>
                <w:highlight w:val="none"/>
                <w:u w:val="single"/>
              </w:rPr>
              <w:t xml:space="preserve"> AI预警终端 </w:t>
            </w:r>
            <w:r>
              <w:rPr>
                <w:rFonts w:hint="eastAsia" w:ascii="宋体" w:hAnsi="宋体" w:cs="宋体"/>
                <w:color w:val="auto"/>
                <w:sz w:val="24"/>
                <w:highlight w:val="none"/>
              </w:rPr>
              <w:t>。</w:t>
            </w:r>
          </w:p>
        </w:tc>
      </w:tr>
      <w:tr w14:paraId="09E36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5192C00B">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843" w:type="dxa"/>
            <w:vAlign w:val="center"/>
          </w:tcPr>
          <w:p w14:paraId="67689E2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vAlign w:val="center"/>
          </w:tcPr>
          <w:p w14:paraId="0DB57189">
            <w:pPr>
              <w:numPr>
                <w:ilvl w:val="0"/>
                <w:numId w:val="2"/>
              </w:num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rPr>
              <w:t xml:space="preserve"> 欺凌防范系统、语音AI预警终端、智能AI感知终端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工业 </w:t>
            </w:r>
            <w:r>
              <w:rPr>
                <w:rFonts w:hint="eastAsia" w:ascii="宋体" w:hAnsi="宋体" w:cs="宋体"/>
                <w:color w:val="auto"/>
                <w:kern w:val="0"/>
                <w:sz w:val="24"/>
                <w:highlight w:val="none"/>
              </w:rPr>
              <w:t>行业；</w:t>
            </w:r>
          </w:p>
          <w:p w14:paraId="6BB1F436">
            <w:pPr>
              <w:numPr>
                <w:ilvl w:val="0"/>
                <w:numId w:val="2"/>
              </w:num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本项目非专门面向中小企业。</w:t>
            </w:r>
          </w:p>
        </w:tc>
      </w:tr>
      <w:tr w14:paraId="515D7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2114881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843" w:type="dxa"/>
            <w:vAlign w:val="center"/>
          </w:tcPr>
          <w:p w14:paraId="5576E990">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vAlign w:val="center"/>
          </w:tcPr>
          <w:p w14:paraId="19CC357D">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本项目不允许采购进口产品。</w:t>
            </w:r>
          </w:p>
          <w:p w14:paraId="3704C095">
            <w:pPr>
              <w:spacing w:line="288" w:lineRule="auto"/>
              <w:rPr>
                <w:rFonts w:hint="eastAsia"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49359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0246FFE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843" w:type="dxa"/>
            <w:vAlign w:val="center"/>
          </w:tcPr>
          <w:p w14:paraId="21A1C378">
            <w:pPr>
              <w:snapToGrid w:val="0"/>
              <w:spacing w:line="288"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095" w:type="dxa"/>
            <w:vAlign w:val="center"/>
          </w:tcPr>
          <w:p w14:paraId="018B229E">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47728692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安装、培训等 </w:t>
            </w:r>
            <w:r>
              <w:rPr>
                <w:rFonts w:hint="eastAsia" w:ascii="宋体" w:hAnsi="宋体" w:cs="宋体"/>
                <w:color w:val="auto"/>
                <w:sz w:val="24"/>
                <w:highlight w:val="none"/>
              </w:rPr>
              <w:t>工作分包。</w:t>
            </w:r>
          </w:p>
          <w:p w14:paraId="15367086">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27633135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4C021AE0">
            <w:pPr>
              <w:spacing w:line="288" w:lineRule="auto"/>
              <w:rPr>
                <w:rFonts w:hint="eastAsia"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106F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F3C06F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1843" w:type="dxa"/>
            <w:vAlign w:val="center"/>
          </w:tcPr>
          <w:p w14:paraId="62BD7317">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vAlign w:val="center"/>
          </w:tcPr>
          <w:p w14:paraId="555B5118">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179300B1">
            <w:pPr>
              <w:spacing w:line="288"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99980297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40370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B37A197">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1843" w:type="dxa"/>
            <w:vAlign w:val="center"/>
          </w:tcPr>
          <w:p w14:paraId="67789EDF">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095" w:type="dxa"/>
            <w:vAlign w:val="center"/>
          </w:tcPr>
          <w:p w14:paraId="7541A568">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5F874E9">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p>
          <w:p w14:paraId="7FEC8638">
            <w:pPr>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284670EA">
            <w:pPr>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6AEAF725">
            <w:pPr>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13DA74EE">
            <w:pPr>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283C075">
            <w:pPr>
              <w:spacing w:line="288" w:lineRule="auto"/>
              <w:rPr>
                <w:rFonts w:hint="eastAsia"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78119A19">
            <w:pPr>
              <w:spacing w:line="288" w:lineRule="auto"/>
              <w:rPr>
                <w:rFonts w:hint="eastAsia" w:ascii="宋体" w:hAnsi="宋体" w:cs="宋体"/>
                <w:color w:val="auto"/>
                <w:sz w:val="24"/>
                <w:highlight w:val="none"/>
              </w:rPr>
            </w:pPr>
            <w:r>
              <w:rPr>
                <w:rFonts w:hint="eastAsia" w:ascii="宋体" w:hAnsi="宋体" w:cs="宋体"/>
                <w:color w:val="auto"/>
                <w:sz w:val="24"/>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F26A5AE">
            <w:pPr>
              <w:spacing w:line="288" w:lineRule="auto"/>
              <w:rPr>
                <w:rFonts w:hint="eastAsia"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4D83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0D8DA8">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7</w:t>
            </w:r>
          </w:p>
        </w:tc>
        <w:tc>
          <w:tcPr>
            <w:tcW w:w="1843" w:type="dxa"/>
            <w:vAlign w:val="center"/>
          </w:tcPr>
          <w:p w14:paraId="5DD8FBC1">
            <w:pPr>
              <w:snapToGrid w:val="0"/>
              <w:spacing w:line="288" w:lineRule="auto"/>
              <w:jc w:val="center"/>
              <w:rPr>
                <w:rFonts w:hint="eastAsia"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vAlign w:val="center"/>
          </w:tcPr>
          <w:p w14:paraId="658F66E7">
            <w:pPr>
              <w:spacing w:line="288" w:lineRule="auto"/>
              <w:rPr>
                <w:rFonts w:hint="eastAsia" w:ascii="宋体" w:hAnsi="宋体" w:cs="宋体"/>
                <w:color w:val="auto"/>
                <w:sz w:val="24"/>
                <w:highlight w:val="none"/>
              </w:rPr>
            </w:pPr>
            <w:sdt>
              <w:sdtPr>
                <w:rPr>
                  <w:rFonts w:hint="eastAsia" w:ascii="宋体" w:hAnsi="宋体" w:cs="宋体"/>
                  <w:color w:val="auto"/>
                  <w:kern w:val="0"/>
                  <w:sz w:val="24"/>
                  <w:highlight w:val="none"/>
                </w:rPr>
                <w:id w:val="-185934854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2079DE66">
            <w:pPr>
              <w:spacing w:line="288" w:lineRule="auto"/>
              <w:rPr>
                <w:rFonts w:hint="eastAsia"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B组织。</w:t>
            </w:r>
          </w:p>
          <w:p w14:paraId="2EDEFE6D">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（1）在评标时安排每个供应商进行方案讲解演示。每个供应商时间不超过</w:t>
            </w:r>
            <w:r>
              <w:rPr>
                <w:rFonts w:hint="eastAsia" w:ascii="宋体" w:hAnsi="宋体" w:cs="宋体"/>
                <w:color w:val="auto"/>
                <w:kern w:val="0"/>
                <w:sz w:val="24"/>
                <w:highlight w:val="none"/>
                <w:u w:val="single"/>
              </w:rPr>
              <w:t>10</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2</w:t>
            </w:r>
            <w:r>
              <w:rPr>
                <w:rFonts w:hint="eastAsia" w:ascii="宋体" w:hAnsi="宋体" w:cs="宋体"/>
                <w:color w:val="auto"/>
                <w:kern w:val="0"/>
                <w:sz w:val="24"/>
                <w:highlight w:val="none"/>
              </w:rPr>
              <w:t>人。</w:t>
            </w:r>
          </w:p>
          <w:p w14:paraId="485F66CC">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3DA78B58">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一：供应商可将演示内容单独制作并存储到U盘中（要求演示的方式为系统演示或DEMO视频。因供应商演示内容无法播放或损坏的，视作未提供演示，打分时不予计分）。递交方式：①邮寄送达，送达地址：宁波中基国际招标有限公司 （宁波市鄞州区天童南路666号中基大厦19楼业务六部），联系人：孔晖，联系方式：0574-87425279供应商邮寄后可将邮件单号发送至采购代理机构电子邮箱（电子邮箱：24692711@qq.com），以便采购代理机构查询物流记录。各供应商应当确保“演示文件”的密封包装在邮寄过程保持完好，因邮寄造成“演示文件”密封破损的或邮寄过程中导致“演示文件”未按时送达的，采购代理机构将拒绝其“演示文件”。各供应商自行考虑邮寄在途时间，“演示文件”送达时间以采购代理机构工作人员实际签收时间为准。“演示文件”邮寄送达截止时间为：提交投标文件截止时间前一工作日的16:00点前。②现场提交：在开标当天，提交投标文件截止时间前送达宁海县政务服务中心五楼开标室（宁海县金水东路5号5楼，具体开标室见现场电子显示屏）。</w:t>
            </w:r>
          </w:p>
          <w:p w14:paraId="509BC82D">
            <w:pPr>
              <w:snapToGrid w:val="0"/>
              <w:spacing w:line="288" w:lineRule="auto"/>
              <w:rPr>
                <w:rFonts w:hint="eastAsia" w:ascii="宋体" w:hAnsi="宋体" w:cs="宋体"/>
                <w:color w:val="auto"/>
                <w:kern w:val="0"/>
                <w:sz w:val="24"/>
                <w:highlight w:val="none"/>
              </w:rPr>
            </w:pPr>
            <w:r>
              <w:rPr>
                <w:rFonts w:hint="eastAsia" w:ascii="宋体" w:hAnsi="宋体" w:cs="宋体"/>
                <w:color w:val="auto"/>
                <w:kern w:val="0"/>
                <w:sz w:val="24"/>
                <w:highlight w:val="none"/>
              </w:rPr>
              <w:t>方式二：评标现场讲解演示。现场讲解地点为</w:t>
            </w:r>
            <w:r>
              <w:rPr>
                <w:rFonts w:hint="eastAsia" w:ascii="宋体" w:hAnsi="宋体" w:cs="宋体"/>
                <w:color w:val="auto"/>
                <w:sz w:val="24"/>
                <w:highlight w:val="none"/>
                <w:u w:val="single"/>
              </w:rPr>
              <w:t>宁海县政务服务中心七楼评标室（宁海县金水东路5号7楼，北门上）</w:t>
            </w:r>
            <w:r>
              <w:rPr>
                <w:rFonts w:hint="eastAsia" w:ascii="宋体" w:hAnsi="宋体" w:cs="宋体"/>
                <w:color w:val="auto"/>
                <w:kern w:val="0"/>
                <w:sz w:val="24"/>
                <w:highlight w:val="none"/>
              </w:rPr>
              <w:t>，讲解演示所用电脑等设备由供应商自备。现场讲解演示人员应于提交投标文件截止时间前完成现场签到，否则不得讲解演示。</w:t>
            </w:r>
          </w:p>
          <w:p w14:paraId="52B59949">
            <w:pPr>
              <w:snapToGrid w:val="0"/>
              <w:spacing w:line="288" w:lineRule="auto"/>
              <w:rPr>
                <w:rFonts w:hint="eastAsia"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w:t>
            </w:r>
          </w:p>
        </w:tc>
      </w:tr>
      <w:tr w14:paraId="69C1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3CF4C9D4">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vAlign w:val="center"/>
          </w:tcPr>
          <w:p w14:paraId="5343FACE">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095" w:type="dxa"/>
            <w:vAlign w:val="center"/>
          </w:tcPr>
          <w:p w14:paraId="6CE262D4">
            <w:pPr>
              <w:spacing w:line="288" w:lineRule="auto"/>
              <w:rPr>
                <w:rFonts w:hint="eastAsia"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16C4F89E">
            <w:pPr>
              <w:spacing w:line="288" w:lineRule="auto"/>
              <w:rPr>
                <w:rFonts w:hint="eastAsia"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供应商未提供有效的资格证明文件的，视为供应商不具备招标文件中规定的资格要求，投标无效。</w:t>
            </w:r>
          </w:p>
        </w:tc>
      </w:tr>
      <w:tr w14:paraId="7BAA7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vAlign w:val="center"/>
          </w:tcPr>
          <w:p w14:paraId="500752D2">
            <w:pPr>
              <w:snapToGrid w:val="0"/>
              <w:spacing w:line="288" w:lineRule="auto"/>
              <w:jc w:val="center"/>
              <w:rPr>
                <w:rFonts w:hint="eastAsia" w:ascii="宋体" w:hAnsi="宋体" w:cs="宋体"/>
                <w:color w:val="auto"/>
                <w:sz w:val="24"/>
                <w:highlight w:val="none"/>
              </w:rPr>
            </w:pPr>
          </w:p>
        </w:tc>
        <w:tc>
          <w:tcPr>
            <w:tcW w:w="1843" w:type="dxa"/>
            <w:vMerge w:val="continue"/>
            <w:vAlign w:val="center"/>
          </w:tcPr>
          <w:p w14:paraId="3F51E2E6">
            <w:pPr>
              <w:snapToGrid w:val="0"/>
              <w:spacing w:line="288" w:lineRule="auto"/>
              <w:jc w:val="center"/>
              <w:rPr>
                <w:rFonts w:hint="eastAsia" w:ascii="宋体" w:hAnsi="宋体" w:cs="宋体"/>
                <w:b/>
                <w:color w:val="auto"/>
                <w:sz w:val="24"/>
                <w:highlight w:val="none"/>
              </w:rPr>
            </w:pPr>
          </w:p>
        </w:tc>
        <w:tc>
          <w:tcPr>
            <w:tcW w:w="6095" w:type="dxa"/>
            <w:vAlign w:val="center"/>
          </w:tcPr>
          <w:p w14:paraId="32B0DF8C">
            <w:pPr>
              <w:spacing w:line="288" w:lineRule="auto"/>
              <w:rPr>
                <w:rFonts w:hint="eastAsia"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07AE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9076BD1">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9</w:t>
            </w:r>
          </w:p>
        </w:tc>
        <w:tc>
          <w:tcPr>
            <w:tcW w:w="1843" w:type="dxa"/>
            <w:vAlign w:val="center"/>
          </w:tcPr>
          <w:p w14:paraId="3B0BB2D0">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vAlign w:val="center"/>
          </w:tcPr>
          <w:p w14:paraId="08742968">
            <w:pPr>
              <w:snapToGrid w:val="0"/>
              <w:spacing w:line="288" w:lineRule="auto"/>
              <w:rPr>
                <w:rFonts w:hint="eastAsia"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0DF5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146C9F9">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10</w:t>
            </w:r>
          </w:p>
        </w:tc>
        <w:tc>
          <w:tcPr>
            <w:tcW w:w="1843" w:type="dxa"/>
            <w:vAlign w:val="center"/>
          </w:tcPr>
          <w:p w14:paraId="7E501FE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095" w:type="dxa"/>
            <w:vAlign w:val="center"/>
          </w:tcPr>
          <w:p w14:paraId="5BC03F0B">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开标一览表（报价表）是报价的唯一载体，如供应商在政府采购云平台填写的投标报价与投标文件报价文件中开标一览表（报价表）不一致的，以报价文件中开标一览表（报价表）为准。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招标文件未列明，而供应商认为必需的费用也需列入报价。</w:t>
            </w:r>
          </w:p>
          <w:p w14:paraId="2BD8C2B3">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rPr>
              <w:t>本项目</w:t>
            </w:r>
            <w:r>
              <w:rPr>
                <w:rFonts w:hint="eastAsia" w:ascii="宋体" w:hAnsi="宋体" w:cs="宋体"/>
                <w:b/>
                <w:color w:val="auto"/>
                <w:kern w:val="0"/>
                <w:sz w:val="24"/>
                <w:highlight w:val="none"/>
                <w:lang w:val="zh-CN"/>
              </w:rPr>
              <w:t>采用</w:t>
            </w:r>
            <w:r>
              <w:rPr>
                <w:rFonts w:hint="eastAsia" w:ascii="宋体" w:hAnsi="宋体" w:cs="宋体"/>
                <w:b/>
                <w:color w:val="auto"/>
                <w:kern w:val="0"/>
                <w:sz w:val="24"/>
                <w:highlight w:val="none"/>
              </w:rPr>
              <w:t>人民币</w:t>
            </w:r>
            <w:r>
              <w:rPr>
                <w:rFonts w:hint="eastAsia" w:ascii="宋体" w:hAnsi="宋体" w:cs="宋体"/>
                <w:b/>
                <w:color w:val="auto"/>
                <w:kern w:val="0"/>
                <w:sz w:val="24"/>
                <w:highlight w:val="none"/>
                <w:lang w:val="zh-CN"/>
              </w:rPr>
              <w:t>报价。</w:t>
            </w:r>
          </w:p>
          <w:p w14:paraId="3FC9826C">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投标报价须是完成本项目的所有费用，应当包含设备价、零备件和专用工具价、</w:t>
            </w:r>
            <w:r>
              <w:rPr>
                <w:rFonts w:hint="eastAsia" w:ascii="宋体" w:hAnsi="宋体" w:cs="宋体"/>
                <w:b/>
                <w:color w:val="auto"/>
                <w:kern w:val="0"/>
                <w:sz w:val="24"/>
                <w:highlight w:val="none"/>
              </w:rPr>
              <w:t>软件费、</w:t>
            </w:r>
            <w:r>
              <w:rPr>
                <w:rFonts w:hint="eastAsia" w:ascii="宋体" w:hAnsi="宋体" w:cs="宋体"/>
                <w:b/>
                <w:color w:val="auto"/>
                <w:kern w:val="0"/>
                <w:sz w:val="24"/>
                <w:highlight w:val="none"/>
                <w:lang w:val="zh-CN"/>
              </w:rPr>
              <w:t>运输费、保险费、安装调试费、检测费、</w:t>
            </w:r>
            <w:r>
              <w:rPr>
                <w:rFonts w:hint="eastAsia" w:ascii="宋体" w:hAnsi="宋体" w:cs="宋体"/>
                <w:b/>
                <w:color w:val="auto"/>
                <w:kern w:val="0"/>
                <w:sz w:val="24"/>
                <w:highlight w:val="none"/>
              </w:rPr>
              <w:t>验收费、</w:t>
            </w:r>
            <w:r>
              <w:rPr>
                <w:rFonts w:hint="eastAsia" w:ascii="宋体" w:hAnsi="宋体" w:cs="宋体"/>
                <w:b/>
                <w:color w:val="auto"/>
                <w:kern w:val="0"/>
                <w:sz w:val="24"/>
                <w:highlight w:val="none"/>
                <w:lang w:val="zh-CN"/>
              </w:rPr>
              <w:t>技术培训费、质保期服务、利润、税金等一切与本次采购相关的费用。</w:t>
            </w:r>
          </w:p>
          <w:p w14:paraId="13E81C64">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不论投标结果如何，供应商均应自行承担所有与投标有关的全部费用。</w:t>
            </w:r>
          </w:p>
          <w:p w14:paraId="50CF490C">
            <w:pPr>
              <w:snapToGrid w:val="0"/>
              <w:spacing w:line="288" w:lineRule="auto"/>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45E30FD">
            <w:pPr>
              <w:snapToGrid w:val="0"/>
              <w:spacing w:line="288" w:lineRule="auto"/>
              <w:ind w:firstLine="241" w:firstLineChars="100"/>
              <w:jc w:val="left"/>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29A4544A">
            <w:pPr>
              <w:snapToGrid w:val="0"/>
              <w:spacing w:line="288" w:lineRule="auto"/>
              <w:ind w:firstLine="241" w:firstLineChars="100"/>
              <w:jc w:val="left"/>
              <w:rPr>
                <w:rFonts w:hint="eastAsia"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362EA382">
            <w:pPr>
              <w:spacing w:line="288" w:lineRule="auto"/>
              <w:ind w:firstLine="241" w:firstLineChars="100"/>
              <w:rPr>
                <w:rFonts w:hint="eastAsia"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报价明显低于其他通过符合性审查供应商的报价（低于项目预算50%的），有可能影响产品质量或者不能诚信履约的，未能按要求提供书面说明或者提交相关证明材料，不能证明其报价合理性的</w:t>
            </w:r>
            <w:r>
              <w:rPr>
                <w:rFonts w:hint="eastAsia" w:ascii="宋体" w:hAnsi="宋体" w:cs="宋体"/>
                <w:b/>
                <w:color w:val="auto"/>
                <w:sz w:val="24"/>
                <w:szCs w:val="21"/>
                <w:highlight w:val="none"/>
              </w:rPr>
              <w:t>；</w:t>
            </w:r>
          </w:p>
          <w:p w14:paraId="7B113042">
            <w:pPr>
              <w:spacing w:line="288" w:lineRule="auto"/>
              <w:ind w:firstLine="241" w:firstLineChars="100"/>
              <w:rPr>
                <w:rFonts w:hint="eastAsia"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74C85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35DCB71E">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11</w:t>
            </w:r>
          </w:p>
        </w:tc>
        <w:tc>
          <w:tcPr>
            <w:tcW w:w="1843" w:type="dxa"/>
            <w:vAlign w:val="center"/>
          </w:tcPr>
          <w:p w14:paraId="70870371">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vAlign w:val="center"/>
          </w:tcPr>
          <w:p w14:paraId="61E9A89C">
            <w:pPr>
              <w:spacing w:line="288" w:lineRule="auto"/>
              <w:ind w:firstLine="240" w:firstLineChars="100"/>
              <w:rPr>
                <w:rFonts w:hint="eastAsia"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金融服务中心－融资服务，可在热门申请中选择产品直接申请，也可点击云智贷匹配适合产品进行申请，或者在可申请项目中根据该项目进行申请。</w:t>
            </w:r>
          </w:p>
        </w:tc>
      </w:tr>
      <w:tr w14:paraId="4A1F8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682BD167">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12</w:t>
            </w:r>
          </w:p>
        </w:tc>
        <w:tc>
          <w:tcPr>
            <w:tcW w:w="1843" w:type="dxa"/>
            <w:vAlign w:val="center"/>
          </w:tcPr>
          <w:p w14:paraId="792131B5">
            <w:pPr>
              <w:snapToGrid w:val="0"/>
              <w:spacing w:line="288" w:lineRule="auto"/>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vAlign w:val="center"/>
          </w:tcPr>
          <w:p w14:paraId="737BDB5A">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供应商可以准备U盘存储的电子备份投标文件1份，按政府采购云平台要求制作的电子备份投标文件，以用于异常情况处理。</w:t>
            </w:r>
          </w:p>
          <w:p w14:paraId="5B70343B">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如提供备份投标文件的，应于投标文件提交（上传）截止时间前，将以U盘存储的电子备份投标文件密封，递交至</w:t>
            </w:r>
            <w:r>
              <w:rPr>
                <w:rFonts w:hint="eastAsia" w:cs="宋体" w:asciiTheme="minorEastAsia" w:hAnsiTheme="minorEastAsia" w:eastAsiaTheme="minorEastAsia"/>
                <w:color w:val="auto"/>
                <w:kern w:val="28"/>
                <w:sz w:val="24"/>
                <w:szCs w:val="24"/>
                <w:highlight w:val="none"/>
                <w:u w:val="single"/>
              </w:rPr>
              <w:t>宁海县公共资源交易中心（宁海县桃源街道金水东路5号五楼）</w:t>
            </w:r>
            <w:r>
              <w:rPr>
                <w:rFonts w:hint="eastAsia" w:cs="宋体" w:asciiTheme="minorEastAsia" w:hAnsiTheme="minorEastAsia" w:eastAsiaTheme="minorEastAsia"/>
                <w:color w:val="auto"/>
                <w:kern w:val="28"/>
                <w:sz w:val="24"/>
                <w:szCs w:val="24"/>
                <w:highlight w:val="none"/>
              </w:rPr>
              <w:t>，逾期送达或未密封将予以拒收。</w:t>
            </w:r>
          </w:p>
          <w:p w14:paraId="77AA78E5">
            <w:pPr>
              <w:pStyle w:val="32"/>
              <w:spacing w:line="288" w:lineRule="auto"/>
              <w:rPr>
                <w:rFonts w:hint="eastAsia" w:cs="宋体" w:asciiTheme="minorEastAsia" w:hAnsiTheme="minorEastAsia" w:eastAsiaTheme="minorEastAsia"/>
                <w:b/>
                <w:bCs/>
                <w:color w:val="auto"/>
                <w:kern w:val="28"/>
                <w:sz w:val="24"/>
                <w:szCs w:val="24"/>
                <w:highlight w:val="none"/>
              </w:rPr>
            </w:pPr>
            <w:r>
              <w:rPr>
                <w:rFonts w:hint="eastAsia" w:cs="宋体" w:asciiTheme="minorEastAsia" w:hAnsiTheme="minorEastAsia" w:eastAsiaTheme="minorEastAsia"/>
                <w:b/>
                <w:bCs/>
                <w:color w:val="auto"/>
                <w:kern w:val="28"/>
                <w:sz w:val="24"/>
                <w:szCs w:val="24"/>
                <w:highlight w:val="none"/>
              </w:rPr>
              <w:t>供应商可采用邮寄（含快递）方式递交备份投标文件。</w:t>
            </w:r>
          </w:p>
          <w:p w14:paraId="3AE33F26">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各供应商在规定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2CC0142">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拟在开标前一个工作日16:00前到件的邮寄地址为：宁波市鄞州区天童南路666号中基大厦19楼业务六部；</w:t>
            </w:r>
          </w:p>
          <w:p w14:paraId="5D786AD5">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收件人：孔工   联系方式：0574-87425279</w:t>
            </w:r>
          </w:p>
          <w:p w14:paraId="74C0F8C8">
            <w:pPr>
              <w:pStyle w:val="32"/>
              <w:spacing w:line="288" w:lineRule="auto"/>
              <w:rPr>
                <w:rFonts w:hint="eastAsia" w:cs="宋体" w:asciiTheme="minorEastAsia" w:hAnsiTheme="minorEastAsia" w:eastAsiaTheme="minorEastAsia"/>
                <w:color w:val="auto"/>
                <w:kern w:val="28"/>
                <w:sz w:val="24"/>
                <w:szCs w:val="24"/>
                <w:highlight w:val="none"/>
              </w:rPr>
            </w:pPr>
            <w:r>
              <w:rPr>
                <w:rFonts w:hint="eastAsia" w:cs="宋体" w:asciiTheme="minorEastAsia" w:hAnsiTheme="minorEastAsia" w:eastAsiaTheme="minorEastAsia"/>
                <w:color w:val="auto"/>
                <w:kern w:val="28"/>
                <w:sz w:val="24"/>
                <w:szCs w:val="24"/>
                <w:highlight w:val="none"/>
              </w:rPr>
              <w:t>请各供应商确保密封包装在邮寄过程密封包装完好，因邮寄过程的密封破损造成不符合开标要求的，本采购代理及采购人概不负责。</w:t>
            </w:r>
          </w:p>
          <w:p w14:paraId="6FCAC32E">
            <w:pPr>
              <w:pStyle w:val="32"/>
              <w:spacing w:line="288" w:lineRule="auto"/>
              <w:rPr>
                <w:rFonts w:hint="eastAsia" w:hAnsi="宋体" w:cs="宋体"/>
                <w:color w:val="auto"/>
                <w:kern w:val="28"/>
                <w:sz w:val="24"/>
                <w:highlight w:val="none"/>
              </w:rPr>
            </w:pPr>
            <w:r>
              <w:rPr>
                <w:rFonts w:hint="eastAsia" w:cs="宋体" w:asciiTheme="minorEastAsia" w:hAnsiTheme="minorEastAsia" w:eastAsiaTheme="minorEastAsia"/>
                <w:b/>
                <w:color w:val="auto"/>
                <w:sz w:val="24"/>
                <w:szCs w:val="24"/>
                <w:highlight w:val="none"/>
              </w:rPr>
              <w:t>采购人、采购代理机构不强制或变相强制供应商提交备份投标文件。</w:t>
            </w:r>
          </w:p>
        </w:tc>
      </w:tr>
      <w:tr w14:paraId="364E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restart"/>
            <w:vAlign w:val="center"/>
          </w:tcPr>
          <w:p w14:paraId="28AA928F">
            <w:pPr>
              <w:snapToGrid w:val="0"/>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vAlign w:val="center"/>
          </w:tcPr>
          <w:p w14:paraId="112A3BE0">
            <w:pPr>
              <w:snapToGrid w:val="0"/>
              <w:spacing w:line="288"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vAlign w:val="center"/>
          </w:tcPr>
          <w:p w14:paraId="7603D90A">
            <w:pPr>
              <w:spacing w:line="288"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634FE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Merge w:val="continue"/>
          </w:tcPr>
          <w:p w14:paraId="1FDAA284">
            <w:pPr>
              <w:snapToGrid w:val="0"/>
              <w:spacing w:line="288" w:lineRule="auto"/>
              <w:jc w:val="center"/>
              <w:rPr>
                <w:rFonts w:hint="eastAsia" w:ascii="宋体" w:hAnsi="宋体" w:cs="宋体"/>
                <w:color w:val="auto"/>
                <w:sz w:val="24"/>
                <w:highlight w:val="none"/>
              </w:rPr>
            </w:pPr>
          </w:p>
        </w:tc>
        <w:tc>
          <w:tcPr>
            <w:tcW w:w="1843" w:type="dxa"/>
            <w:vMerge w:val="continue"/>
            <w:vAlign w:val="center"/>
          </w:tcPr>
          <w:p w14:paraId="0FC8D4B9">
            <w:pPr>
              <w:snapToGrid w:val="0"/>
              <w:spacing w:line="288" w:lineRule="auto"/>
              <w:jc w:val="center"/>
              <w:rPr>
                <w:rFonts w:hint="eastAsia" w:ascii="宋体" w:hAnsi="宋体" w:cs="宋体"/>
                <w:b/>
                <w:color w:val="auto"/>
                <w:sz w:val="24"/>
                <w:highlight w:val="none"/>
              </w:rPr>
            </w:pPr>
          </w:p>
        </w:tc>
        <w:tc>
          <w:tcPr>
            <w:tcW w:w="6095" w:type="dxa"/>
            <w:vAlign w:val="center"/>
          </w:tcPr>
          <w:p w14:paraId="5969EC5D">
            <w:pPr>
              <w:spacing w:line="288"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0702C800">
            <w:pPr>
              <w:spacing w:line="288" w:lineRule="auto"/>
              <w:rPr>
                <w:rFonts w:hint="eastAsia"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Wingdings" w:hAnsi="Wingdings" w:cs="Arial" w:eastAsiaTheme="minorEastAsia"/>
                    <w:color w:val="auto"/>
                    <w:kern w:val="0"/>
                    <w:sz w:val="24"/>
                    <w:highlight w:val="none"/>
                  </w:rPr>
                  <w:t>þ</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381E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 w:hRule="atLeast"/>
        </w:trPr>
        <w:tc>
          <w:tcPr>
            <w:tcW w:w="629" w:type="dxa"/>
            <w:vAlign w:val="center"/>
          </w:tcPr>
          <w:p w14:paraId="1FB3D985">
            <w:pPr>
              <w:snapToGrid w:val="0"/>
              <w:spacing w:line="288" w:lineRule="auto"/>
              <w:jc w:val="center"/>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14</w:t>
            </w:r>
          </w:p>
        </w:tc>
        <w:tc>
          <w:tcPr>
            <w:tcW w:w="1843" w:type="dxa"/>
            <w:vAlign w:val="center"/>
          </w:tcPr>
          <w:p w14:paraId="7B548C03">
            <w:pPr>
              <w:snapToGrid w:val="0"/>
              <w:spacing w:line="288" w:lineRule="auto"/>
              <w:jc w:val="center"/>
              <w:rPr>
                <w:rFonts w:hint="eastAsia" w:cs="宋体" w:asciiTheme="minorEastAsia" w:hAnsiTheme="minorEastAsia" w:eastAsiaTheme="minorEastAsia"/>
                <w:b/>
                <w:color w:val="auto"/>
                <w:sz w:val="24"/>
                <w:highlight w:val="none"/>
              </w:rPr>
            </w:pPr>
            <w:r>
              <w:rPr>
                <w:rFonts w:hint="eastAsia" w:cs="宋体" w:asciiTheme="minorEastAsia" w:hAnsiTheme="minorEastAsia" w:eastAsiaTheme="minorEastAsia"/>
                <w:b/>
                <w:color w:val="auto"/>
                <w:sz w:val="24"/>
                <w:highlight w:val="none"/>
              </w:rPr>
              <w:t>其他说明</w:t>
            </w:r>
          </w:p>
        </w:tc>
        <w:tc>
          <w:tcPr>
            <w:tcW w:w="6095" w:type="dxa"/>
            <w:vAlign w:val="center"/>
          </w:tcPr>
          <w:p w14:paraId="4952E75C">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招标代理服务费的收取标准：代理机构按下表中服务招标的标准（按差额定率累进法计算），根据中标总金额，向中标人收取招标代理服务费。</w:t>
            </w:r>
          </w:p>
          <w:tbl>
            <w:tblPr>
              <w:tblStyle w:val="63"/>
              <w:tblW w:w="5817" w:type="dxa"/>
              <w:jc w:val="center"/>
              <w:tblLayout w:type="fixed"/>
              <w:tblCellMar>
                <w:top w:w="15" w:type="dxa"/>
                <w:left w:w="15" w:type="dxa"/>
                <w:bottom w:w="15" w:type="dxa"/>
                <w:right w:w="15" w:type="dxa"/>
              </w:tblCellMar>
            </w:tblPr>
            <w:tblGrid>
              <w:gridCol w:w="1669"/>
              <w:gridCol w:w="1443"/>
              <w:gridCol w:w="1368"/>
              <w:gridCol w:w="1337"/>
            </w:tblGrid>
            <w:tr w14:paraId="20CD9BE1">
              <w:tblPrEx>
                <w:tblCellMar>
                  <w:top w:w="15" w:type="dxa"/>
                  <w:left w:w="15" w:type="dxa"/>
                  <w:bottom w:w="15" w:type="dxa"/>
                  <w:right w:w="15" w:type="dxa"/>
                </w:tblCellMar>
              </w:tblPrEx>
              <w:trPr>
                <w:trHeight w:val="608" w:hRule="atLeast"/>
                <w:jc w:val="center"/>
              </w:trPr>
              <w:tc>
                <w:tcPr>
                  <w:tcW w:w="1669"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130AC304">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类型</w:t>
                  </w:r>
                </w:p>
                <w:p w14:paraId="1DE0DE25">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金额（万元）</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7262D86">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货物招标</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D2A5240">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服务招标</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15E1270">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工程招标</w:t>
                  </w:r>
                </w:p>
              </w:tc>
            </w:tr>
            <w:tr w14:paraId="27B54EC7">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FF92065">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100以下</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A074F6">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7B8634E">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035405A">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w:t>
                  </w:r>
                </w:p>
              </w:tc>
            </w:tr>
            <w:tr w14:paraId="2C28CCA1">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352F678">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100-500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2E4360E">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1.1%</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1C4774A">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0.8%</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4FC38A2">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0.7%</w:t>
                  </w:r>
                </w:p>
              </w:tc>
            </w:tr>
            <w:tr w14:paraId="34DB6D6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4990181">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500-1000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1BCB1DF">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0.8%</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323AE54">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0.45%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788786B">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0.55%</w:t>
                  </w:r>
                </w:p>
              </w:tc>
            </w:tr>
            <w:tr w14:paraId="082092C9">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1645FB2">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1000-5000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09AC97B">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9146558">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0.25%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61FF75">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0.35%</w:t>
                  </w:r>
                </w:p>
              </w:tc>
            </w:tr>
            <w:tr w14:paraId="5E2E4B6D">
              <w:tblPrEx>
                <w:tblCellMar>
                  <w:top w:w="15" w:type="dxa"/>
                  <w:left w:w="15" w:type="dxa"/>
                  <w:bottom w:w="15" w:type="dxa"/>
                  <w:right w:w="15" w:type="dxa"/>
                </w:tblCellMar>
              </w:tblPrEx>
              <w:trPr>
                <w:trHeight w:val="329"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21F8332">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5000-10000</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8488E2">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0.25%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AB9C028">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0.1%</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270AE95">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0.2%</w:t>
                  </w:r>
                </w:p>
              </w:tc>
            </w:tr>
            <w:tr w14:paraId="130C7A2B">
              <w:tblPrEx>
                <w:tblCellMar>
                  <w:top w:w="15" w:type="dxa"/>
                  <w:left w:w="15" w:type="dxa"/>
                  <w:bottom w:w="15" w:type="dxa"/>
                  <w:right w:w="15" w:type="dxa"/>
                </w:tblCellMar>
              </w:tblPrEx>
              <w:trPr>
                <w:trHeight w:val="337" w:hRule="atLeast"/>
                <w:jc w:val="center"/>
              </w:trPr>
              <w:tc>
                <w:tcPr>
                  <w:tcW w:w="1669"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0261643">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1亿～5亿</w:t>
                  </w:r>
                </w:p>
              </w:tc>
              <w:tc>
                <w:tcPr>
                  <w:tcW w:w="1443"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218F834">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0.05%</w:t>
                  </w:r>
                </w:p>
              </w:tc>
              <w:tc>
                <w:tcPr>
                  <w:tcW w:w="136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8A45E0F">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0.05%</w:t>
                  </w:r>
                </w:p>
              </w:tc>
              <w:tc>
                <w:tcPr>
                  <w:tcW w:w="1337"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70B1771">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0.05%</w:t>
                  </w:r>
                </w:p>
              </w:tc>
            </w:tr>
          </w:tbl>
          <w:p w14:paraId="6D6A854D">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中标服务费只收现金、银行票汇款、电汇款。汇入以下账户：</w:t>
            </w:r>
          </w:p>
          <w:p w14:paraId="24BFF400">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开户银行：宁波银行股份有限公司鄞州中心区支行</w:t>
            </w:r>
          </w:p>
          <w:p w14:paraId="39D40FD8">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账    号：30010122001229488</w:t>
            </w:r>
          </w:p>
          <w:p w14:paraId="62C6D30D">
            <w:pPr>
              <w:spacing w:line="288" w:lineRule="auto"/>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户    名：浙江中基正采管理咨询有限公司</w:t>
            </w:r>
          </w:p>
        </w:tc>
      </w:tr>
      <w:bookmarkEnd w:id="9"/>
    </w:tbl>
    <w:p w14:paraId="02B0E363">
      <w:pPr>
        <w:rPr>
          <w:rFonts w:hint="eastAsia" w:ascii="宋体" w:hAnsi="宋体" w:cs="宋体"/>
          <w:b/>
          <w:color w:val="auto"/>
          <w:sz w:val="32"/>
          <w:szCs w:val="20"/>
          <w:highlight w:val="none"/>
        </w:rPr>
      </w:pPr>
      <w:bookmarkStart w:id="14" w:name="_Toc164416483"/>
      <w:bookmarkStart w:id="15" w:name="第三部分"/>
      <w:r>
        <w:rPr>
          <w:rFonts w:hint="eastAsia" w:ascii="宋体" w:hAnsi="宋体" w:cs="宋体"/>
          <w:b/>
          <w:color w:val="auto"/>
          <w:sz w:val="32"/>
          <w:szCs w:val="20"/>
          <w:highlight w:val="none"/>
        </w:rPr>
        <w:br w:type="page"/>
      </w:r>
    </w:p>
    <w:p w14:paraId="57FD40A1">
      <w:pPr>
        <w:adjustRightInd/>
        <w:spacing w:line="348" w:lineRule="auto"/>
        <w:ind w:firstLine="3845" w:firstLineChars="1197"/>
        <w:rPr>
          <w:rFonts w:hint="eastAsia" w:ascii="宋体" w:hAnsi="宋体" w:cs="宋体"/>
          <w:b/>
          <w:color w:val="auto"/>
          <w:sz w:val="32"/>
          <w:szCs w:val="20"/>
          <w:highlight w:val="none"/>
        </w:rPr>
      </w:pPr>
      <w:r>
        <w:rPr>
          <w:rFonts w:hint="eastAsia" w:ascii="宋体" w:hAnsi="宋体" w:cs="宋体"/>
          <w:b/>
          <w:color w:val="auto"/>
          <w:sz w:val="32"/>
          <w:szCs w:val="20"/>
          <w:highlight w:val="none"/>
        </w:rPr>
        <w:t>一、总则</w:t>
      </w:r>
    </w:p>
    <w:p w14:paraId="3E8D25CD">
      <w:pPr>
        <w:snapToGrid w:val="0"/>
        <w:spacing w:line="348" w:lineRule="auto"/>
        <w:ind w:firstLine="361" w:firstLineChars="150"/>
        <w:jc w:val="left"/>
        <w:rPr>
          <w:rFonts w:hint="eastAsia" w:ascii="宋体" w:hAnsi="宋体" w:cs="宋体"/>
          <w:b/>
          <w:color w:val="auto"/>
          <w:sz w:val="24"/>
          <w:highlight w:val="none"/>
        </w:rPr>
      </w:pPr>
      <w:r>
        <w:rPr>
          <w:rFonts w:hint="eastAsia" w:ascii="宋体" w:hAnsi="宋体" w:cs="宋体"/>
          <w:b/>
          <w:color w:val="auto"/>
          <w:sz w:val="24"/>
          <w:highlight w:val="none"/>
        </w:rPr>
        <w:t>1. 适用范围</w:t>
      </w:r>
    </w:p>
    <w:p w14:paraId="36843FCA">
      <w:pPr>
        <w:snapToGrid w:val="0"/>
        <w:spacing w:line="348"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0AE8146F">
      <w:pPr>
        <w:adjustRightInd/>
        <w:spacing w:line="348" w:lineRule="auto"/>
        <w:rPr>
          <w:rFonts w:hint="eastAsia" w:ascii="宋体" w:hAnsi="宋体" w:cs="宋体"/>
          <w:b/>
          <w:color w:val="auto"/>
          <w:sz w:val="24"/>
          <w:highlight w:val="none"/>
        </w:rPr>
      </w:pPr>
      <w:r>
        <w:rPr>
          <w:rFonts w:hint="eastAsia" w:ascii="宋体" w:hAnsi="宋体" w:cs="宋体"/>
          <w:b/>
          <w:color w:val="auto"/>
          <w:sz w:val="24"/>
          <w:highlight w:val="none"/>
        </w:rPr>
        <w:t xml:space="preserve">   2.定义</w:t>
      </w:r>
    </w:p>
    <w:p w14:paraId="19BB7FAB">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6726A350">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 “采购代理机构”系指招标公告中载明的本项目的采购代理机构。</w:t>
      </w:r>
    </w:p>
    <w:p w14:paraId="44725A19">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 “供应商”系指是指响应招标、参加投标竞争的法人、其他组织或者自然人。</w:t>
      </w:r>
    </w:p>
    <w:p w14:paraId="33C8E530">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B1B76F9">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FF89542">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2.6“电子交易平台”系指本项目政府采购活动所依托的政府采购云平台（https://www.zcygov.cn/）。</w:t>
      </w:r>
    </w:p>
    <w:p w14:paraId="46D70E46">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3FEC2081">
      <w:pPr>
        <w:spacing w:line="348" w:lineRule="auto"/>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F3E69B9">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30F1099C">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3.2 支持绿色发展</w:t>
      </w:r>
    </w:p>
    <w:p w14:paraId="6477CC8B">
      <w:pPr>
        <w:spacing w:line="348"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招标文件要求提供相关产品认证证书。</w:t>
      </w:r>
    </w:p>
    <w:p w14:paraId="748427BD">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3.2.2纳入政府采购管理的修缮、装修类项目采购建材的，鼓励采购单位将绿色建材性能、指标等作为实质性条件纳入招标文件和合同，具体性能指标要求参考相关绿色建材政府采购需求标准。</w:t>
      </w:r>
    </w:p>
    <w:p w14:paraId="432B3BA8">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6" w:name="_Hlk107568539"/>
      <w:r>
        <w:rPr>
          <w:rFonts w:hint="eastAsia" w:ascii="宋体" w:hAnsi="宋体" w:cs="宋体"/>
          <w:color w:val="auto"/>
          <w:sz w:val="24"/>
          <w:highlight w:val="none"/>
        </w:rPr>
        <w:t>鼓励采购单位优先采购秸秆环保板材等资源综合利用产品。鼓励采购单位优先采购绿色物流配送服务、提供新能源交通工具的租赁服务。</w:t>
      </w:r>
    </w:p>
    <w:p w14:paraId="0FAF457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3.2.4鼓励供应商在参加政府采购过程中开展绿色设计、选择绿色材料、打造绿色制造工艺、开展绿色运输、做好废弃产品回收处理，实现产品全周期的绿色环保。鼓励采购单位对其提高预付款比例、免收履约保证金。</w:t>
      </w:r>
      <w:bookmarkEnd w:id="16"/>
    </w:p>
    <w:p w14:paraId="3CF6AB7B">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3.3支持中小企业发展</w:t>
      </w:r>
    </w:p>
    <w:p w14:paraId="1B76AEA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C1276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579AE8AF">
      <w:pPr>
        <w:widowControl/>
        <w:spacing w:line="348" w:lineRule="auto"/>
        <w:ind w:firstLine="480" w:firstLineChars="200"/>
        <w:jc w:val="left"/>
        <w:rPr>
          <w:rFonts w:hint="eastAsia"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5EBCE072">
      <w:pPr>
        <w:widowControl/>
        <w:spacing w:line="348"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0E7B46D1">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3.3.3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w:t>
      </w:r>
      <w:bookmarkStart w:id="17" w:name="_Hlk101132181"/>
      <w:r>
        <w:rPr>
          <w:rFonts w:hint="eastAsia" w:ascii="宋体" w:hAnsi="宋体" w:cs="宋体"/>
          <w:color w:val="auto"/>
          <w:sz w:val="24"/>
          <w:highlight w:val="none"/>
        </w:rPr>
        <w:t>联合协议或者分包意向协议约定小微企业的合同份额占到合同总金额30%以上的</w:t>
      </w:r>
      <w:bookmarkEnd w:id="17"/>
      <w:r>
        <w:rPr>
          <w:rFonts w:hint="eastAsia" w:ascii="宋体" w:hAnsi="宋体" w:cs="宋体"/>
          <w:color w:val="auto"/>
          <w:sz w:val="24"/>
          <w:highlight w:val="none"/>
        </w:rPr>
        <w:t>，对联合体或者大中型企业的报价给予4%的扣除，用扣除后的价格参加评审。组成联合体或者接受分包的小微企业与联合体内其他企业、分包企业之间存在直接控股、管理关系的，不享受价格扣除优惠政策。</w:t>
      </w:r>
    </w:p>
    <w:p w14:paraId="1DC4159F">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00004DE">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5B89CE7">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3.3.6可享受中小企业扶持政策的供应商应按照招标文件格式要求提供《中小企业声明函》，供应商提供的《中小企业声明函》与实际情况不符的，不享受中小企业扶持政策。声明内容不实的，属于提供虚假材料谋取中标、成交的，依法承担法律责任。</w:t>
      </w:r>
    </w:p>
    <w:p w14:paraId="0E750178">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4FC70ABE">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24B9904E">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3.4.1 对省级以上主管部门认定的首台套产品，自纳入《省推广应用指导目录》起三年内参加政府采购活动，视同已具备相应销售业绩，业绩分为满分。</w:t>
      </w:r>
    </w:p>
    <w:p w14:paraId="2CE6417A">
      <w:pPr>
        <w:spacing w:line="348" w:lineRule="auto"/>
        <w:ind w:firstLine="240" w:firstLineChars="100"/>
        <w:rPr>
          <w:rFonts w:hint="eastAsia"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0327F2D4">
      <w:pPr>
        <w:spacing w:line="348" w:lineRule="auto"/>
        <w:ind w:firstLine="480" w:firstLineChars="200"/>
        <w:rPr>
          <w:b/>
          <w:color w:val="auto"/>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1351F772">
      <w:pPr>
        <w:pStyle w:val="887"/>
        <w:snapToGrid w:val="0"/>
        <w:spacing w:before="0" w:beforeAutospacing="0" w:after="0" w:afterAutospacing="0" w:line="348" w:lineRule="auto"/>
        <w:ind w:firstLine="400"/>
        <w:contextualSpacing/>
        <w:rPr>
          <w:rFonts w:hint="eastAsia"/>
          <w:color w:val="auto"/>
          <w:highlight w:val="none"/>
          <w:lang w:val="zh-CN"/>
        </w:rPr>
      </w:pPr>
      <w:r>
        <w:rPr>
          <w:rFonts w:hint="eastAsia"/>
          <w:color w:val="auto"/>
          <w:highlight w:val="none"/>
          <w:lang w:val="zh-CN"/>
        </w:rPr>
        <w:t>4.1在线询问、质疑、投诉</w:t>
      </w:r>
    </w:p>
    <w:p w14:paraId="5A8A7F8D">
      <w:pPr>
        <w:pStyle w:val="887"/>
        <w:snapToGrid w:val="0"/>
        <w:spacing w:before="0" w:beforeAutospacing="0" w:after="0" w:afterAutospacing="0" w:line="348" w:lineRule="auto"/>
        <w:ind w:firstLine="400"/>
        <w:contextualSpacing/>
        <w:rPr>
          <w:rFonts w:hint="eastAsia"/>
          <w:color w:val="auto"/>
          <w:highlight w:val="none"/>
          <w:lang w:val="zh-CN"/>
        </w:rPr>
      </w:pPr>
      <w:r>
        <w:rPr>
          <w:rFonts w:hint="eastAsia"/>
          <w:color w:val="auto"/>
          <w:highlight w:val="none"/>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25A07B">
      <w:pPr>
        <w:autoSpaceDE w:val="0"/>
        <w:autoSpaceDN w:val="0"/>
        <w:spacing w:line="348"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4715DC1A">
      <w:pPr>
        <w:autoSpaceDE w:val="0"/>
        <w:autoSpaceDN w:val="0"/>
        <w:spacing w:line="348"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B54E5F4">
      <w:pPr>
        <w:autoSpaceDE w:val="0"/>
        <w:autoSpaceDN w:val="0"/>
        <w:spacing w:line="348" w:lineRule="auto"/>
        <w:ind w:firstLine="240" w:firstLineChars="1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2E649D6">
      <w:pPr>
        <w:pStyle w:val="32"/>
        <w:spacing w:line="348"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15B5FE5E">
      <w:pPr>
        <w:pStyle w:val="32"/>
        <w:spacing w:line="348" w:lineRule="auto"/>
        <w:ind w:firstLine="480" w:firstLineChars="200"/>
        <w:rPr>
          <w:rFonts w:hint="eastAsia"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13116F86">
      <w:pPr>
        <w:pStyle w:val="5"/>
        <w:spacing w:line="348" w:lineRule="auto"/>
        <w:ind w:firstLine="480" w:firstLineChars="200"/>
        <w:rPr>
          <w:rFonts w:hint="eastAsia"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73D977AA">
      <w:pPr>
        <w:pStyle w:val="32"/>
        <w:spacing w:line="348" w:lineRule="auto"/>
        <w:ind w:left="479" w:leftChars="228"/>
        <w:rPr>
          <w:rFonts w:hint="eastAsia"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5BA69C68">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75854886">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60A08FAA">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38517256">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28991D3">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673EEA9">
      <w:pPr>
        <w:pStyle w:val="32"/>
        <w:spacing w:line="348" w:lineRule="auto"/>
        <w:ind w:firstLine="480" w:firstLineChars="200"/>
        <w:rPr>
          <w:rFonts w:hint="eastAsia"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F349EF8">
      <w:pPr>
        <w:pStyle w:val="32"/>
        <w:spacing w:line="348" w:lineRule="auto"/>
        <w:ind w:firstLine="960" w:firstLineChars="400"/>
        <w:rPr>
          <w:rFonts w:hint="eastAsia"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C14DFE2">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7A8C7A87">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质疑函范本及制作说明详见附件2。</w:t>
      </w:r>
    </w:p>
    <w:p w14:paraId="2927C2E2">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4.3.4对同一采购程序环节的质疑，供应商须在法定质疑期内一次性提出。</w:t>
      </w:r>
    </w:p>
    <w:p w14:paraId="0DB8027E">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.5采购人或者采购代理机构应当在收到供应商的书面质疑后七个工作日内作出答复，并以书面形式通知质疑供应商和其他与质疑处理结果有利害关系的政府采购当事人，但答复的内容不得涉及商业秘密。</w:t>
      </w:r>
      <w:r>
        <w:rPr>
          <w:rFonts w:hint="eastAsia" w:asciiTheme="minorEastAsia" w:hAnsiTheme="minorEastAsia" w:eastAsiaTheme="minorEastAsia"/>
          <w:color w:val="auto"/>
          <w:highlight w:val="none"/>
        </w:rPr>
        <w:t>根据《浙江省财政厅关于进一步加强政府采购公平竞争打造最优营商环境的通知》（浙财采监〔</w:t>
      </w:r>
      <w:r>
        <w:rPr>
          <w:rFonts w:asciiTheme="minorEastAsia" w:hAnsiTheme="minorEastAsia" w:eastAsiaTheme="minorEastAsia"/>
          <w:color w:val="auto"/>
          <w:highlight w:val="none"/>
        </w:rPr>
        <w:t>2021〕</w:t>
      </w:r>
      <w:r>
        <w:rPr>
          <w:rFonts w:hint="eastAsia" w:asciiTheme="minorEastAsia" w:hAnsiTheme="minorEastAsia" w:eastAsiaTheme="minorEastAsia"/>
          <w:color w:val="auto"/>
          <w:highlight w:val="none"/>
        </w:rPr>
        <w:t>22</w:t>
      </w:r>
      <w:r>
        <w:rPr>
          <w:rFonts w:asciiTheme="minorEastAsia" w:hAnsiTheme="minorEastAsia" w:eastAsiaTheme="minorEastAsia"/>
          <w:color w:val="auto"/>
          <w:highlight w:val="none"/>
        </w:rPr>
        <w:t>号）</w:t>
      </w:r>
      <w:r>
        <w:rPr>
          <w:rFonts w:hint="eastAsia" w:asciiTheme="minorEastAsia" w:hAnsiTheme="minorEastAsia" w:eastAsiaTheme="minorEastAsia"/>
          <w:color w:val="auto"/>
          <w:highlight w:val="none"/>
        </w:rPr>
        <w:t>，</w:t>
      </w:r>
      <w:r>
        <w:rPr>
          <w:rFonts w:hint="eastAsia"/>
          <w:color w:val="auto"/>
          <w:highlight w:val="none"/>
        </w:rPr>
        <w:t>采购人或者采购代理机构在质疑回复后5个工作日内，在浙江政府采购网的“其他公告”栏目公开质疑答复，答复内容应当完整。质疑函作为附件上传。</w:t>
      </w:r>
    </w:p>
    <w:p w14:paraId="454DC554">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D212EE8">
      <w:pPr>
        <w:pStyle w:val="887"/>
        <w:snapToGrid w:val="0"/>
        <w:spacing w:before="0" w:beforeAutospacing="0" w:after="0" w:afterAutospacing="0" w:line="348" w:lineRule="auto"/>
        <w:ind w:firstLine="480" w:firstLineChars="200"/>
        <w:contextualSpacing/>
        <w:rPr>
          <w:rFonts w:hint="eastAsia"/>
          <w:color w:val="auto"/>
          <w:highlight w:val="none"/>
          <w:lang w:val="zh-CN"/>
        </w:rPr>
      </w:pPr>
      <w:r>
        <w:rPr>
          <w:rFonts w:hint="eastAsia"/>
          <w:color w:val="auto"/>
          <w:highlight w:val="none"/>
          <w:lang w:val="zh-CN"/>
        </w:rPr>
        <w:t>4.4供应商投诉</w:t>
      </w:r>
    </w:p>
    <w:p w14:paraId="3EFEE7A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4.4.1质疑供应商对采购人、采购代理机构的答复不满意或者采购人、采购代理机构未在规定的时间内作出答复的，可以在答复期满后十五个工作日内向同级政府采购监督管理部门提出投诉。</w:t>
      </w:r>
    </w:p>
    <w:p w14:paraId="76297466">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0AFBF27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4.4.3供应商投诉应当有明确的请求和必要的证明材料。</w:t>
      </w:r>
    </w:p>
    <w:p w14:paraId="3AF8AB2D">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4.4.4以联合体形式参加政府采购活动的，其投诉应当由组成联合体的所有供应商共同提出。</w:t>
      </w:r>
    </w:p>
    <w:p w14:paraId="55A28C48">
      <w:pPr>
        <w:pStyle w:val="887"/>
        <w:snapToGrid w:val="0"/>
        <w:spacing w:before="0" w:beforeAutospacing="0" w:after="0" w:afterAutospacing="0" w:line="348" w:lineRule="auto"/>
        <w:ind w:firstLine="480" w:firstLineChars="200"/>
        <w:contextualSpacing/>
        <w:rPr>
          <w:rFonts w:hint="eastAsia"/>
          <w:color w:val="auto"/>
          <w:highlight w:val="none"/>
        </w:rPr>
      </w:pPr>
      <w:r>
        <w:rPr>
          <w:rFonts w:hint="eastAsia"/>
          <w:color w:val="auto"/>
          <w:highlight w:val="none"/>
        </w:rPr>
        <w:t>4.4.5投诉材料</w:t>
      </w:r>
      <w:r>
        <w:rPr>
          <w:rFonts w:hint="eastAsia" w:hAnsi="Courier New"/>
          <w:color w:val="auto"/>
          <w:highlight w:val="none"/>
        </w:rPr>
        <w:t>寄送</w:t>
      </w:r>
      <w:r>
        <w:rPr>
          <w:rFonts w:hint="eastAsia"/>
          <w:color w:val="auto"/>
          <w:highlight w:val="none"/>
        </w:rPr>
        <w:t>相关信息详见《第一部分  招标公告》。</w:t>
      </w:r>
    </w:p>
    <w:p w14:paraId="516AA881">
      <w:pPr>
        <w:pStyle w:val="887"/>
        <w:snapToGrid w:val="0"/>
        <w:spacing w:before="0" w:beforeAutospacing="0" w:after="0" w:afterAutospacing="0" w:line="348" w:lineRule="auto"/>
        <w:ind w:firstLine="400"/>
        <w:contextualSpacing/>
        <w:rPr>
          <w:rFonts w:hint="eastAsia"/>
          <w:color w:val="auto"/>
          <w:highlight w:val="none"/>
        </w:rPr>
      </w:pPr>
      <w:r>
        <w:rPr>
          <w:rFonts w:hint="eastAsia"/>
          <w:color w:val="auto"/>
          <w:highlight w:val="none"/>
        </w:rPr>
        <w:t>投诉书范本及制作说明详见附件3。</w:t>
      </w:r>
    </w:p>
    <w:p w14:paraId="496B4C8A">
      <w:pPr>
        <w:adjustRightInd/>
        <w:spacing w:line="348"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2821A8E2">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5．招标文件的构成</w:t>
      </w:r>
    </w:p>
    <w:p w14:paraId="7667665F">
      <w:pPr>
        <w:pStyle w:val="32"/>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5.1 招标文件包括下列文件及附件：</w:t>
      </w:r>
    </w:p>
    <w:p w14:paraId="2A0FEF81">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5.1.1招标公告；</w:t>
      </w:r>
    </w:p>
    <w:p w14:paraId="25A1BBCD">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5.1.2供应商须知；</w:t>
      </w:r>
    </w:p>
    <w:p w14:paraId="4488B6FB">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5.1.3采购需求；</w:t>
      </w:r>
    </w:p>
    <w:p w14:paraId="3B431926">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5.1.4评标办法；</w:t>
      </w:r>
    </w:p>
    <w:p w14:paraId="6E251C5D">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szCs w:val="24"/>
          <w:highlight w:val="none"/>
        </w:rPr>
        <w:t>5.1.5拟签订的合同文本；</w:t>
      </w:r>
    </w:p>
    <w:p w14:paraId="721F02D7">
      <w:pPr>
        <w:pStyle w:val="32"/>
        <w:tabs>
          <w:tab w:val="left" w:pos="840"/>
        </w:tabs>
        <w:spacing w:line="348" w:lineRule="auto"/>
        <w:ind w:firstLine="960" w:firstLineChars="400"/>
        <w:rPr>
          <w:rFonts w:hint="eastAsia"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768463C2">
      <w:pPr>
        <w:spacing w:line="34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EAF0B6F">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6.招标文件的澄清、修改</w:t>
      </w:r>
    </w:p>
    <w:p w14:paraId="10F273DD">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6.1已获取招标文件的潜在供应商，若有问题需要澄清，应于投标截止时间前，以书面形式向采购代理机构提出。</w:t>
      </w:r>
    </w:p>
    <w:p w14:paraId="7CAFA02B">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6.2采购代理机构对招标文件进行澄清或修改的，将同时通过电子交易平台通知已获取招标文件的潜在供应商。依法应当公告的，将按规定公告，同时视情况延长投标截止时间和开标时间。该澄清或者修改的内容为招标文件的组成部分。</w:t>
      </w:r>
    </w:p>
    <w:p w14:paraId="34B0624C">
      <w:pPr>
        <w:adjustRightInd/>
        <w:spacing w:line="348" w:lineRule="auto"/>
        <w:jc w:val="center"/>
        <w:rPr>
          <w:rFonts w:hint="eastAsia" w:ascii="宋体" w:hAnsi="宋体" w:cs="宋体"/>
          <w:b/>
          <w:color w:val="auto"/>
          <w:sz w:val="30"/>
          <w:szCs w:val="20"/>
          <w:highlight w:val="none"/>
        </w:rPr>
      </w:pPr>
      <w:r>
        <w:rPr>
          <w:rFonts w:hint="eastAsia" w:ascii="宋体" w:hAnsi="宋体" w:cs="宋体"/>
          <w:b/>
          <w:color w:val="auto"/>
          <w:sz w:val="30"/>
          <w:szCs w:val="20"/>
          <w:highlight w:val="none"/>
        </w:rPr>
        <w:t>三、投标</w:t>
      </w:r>
    </w:p>
    <w:p w14:paraId="6AF99940">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7.招标文件的获取</w:t>
      </w:r>
    </w:p>
    <w:p w14:paraId="19CE1F1C">
      <w:pPr>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2A0F96B9">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8.开标前答疑会或现场考察</w:t>
      </w:r>
    </w:p>
    <w:p w14:paraId="55C4D387">
      <w:pPr>
        <w:pStyle w:val="32"/>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采购人组织潜在供应商现场考察或者召开开标前答疑会的，潜在供应商按第二部分供应商须知前附表的规定参加现场考察或者开标前答疑会。</w:t>
      </w:r>
    </w:p>
    <w:p w14:paraId="0A51CB61">
      <w:pPr>
        <w:pStyle w:val="32"/>
        <w:spacing w:line="348" w:lineRule="auto"/>
        <w:rPr>
          <w:rFonts w:hint="eastAsia" w:hAnsi="宋体" w:cs="宋体"/>
          <w:b/>
          <w:color w:val="auto"/>
          <w:szCs w:val="24"/>
          <w:highlight w:val="none"/>
        </w:rPr>
      </w:pPr>
      <w:r>
        <w:rPr>
          <w:rFonts w:hint="eastAsia" w:hAnsi="宋体" w:cs="宋体"/>
          <w:b/>
          <w:color w:val="auto"/>
          <w:kern w:val="28"/>
          <w:sz w:val="24"/>
          <w:szCs w:val="24"/>
          <w:highlight w:val="none"/>
        </w:rPr>
        <w:t>9.投标保证金</w:t>
      </w:r>
    </w:p>
    <w:p w14:paraId="4AE29936">
      <w:pPr>
        <w:pStyle w:val="5"/>
        <w:spacing w:line="348" w:lineRule="auto"/>
        <w:ind w:firstLine="470" w:firstLineChars="196"/>
        <w:rPr>
          <w:rFonts w:hint="eastAsia" w:hAnsi="宋体" w:cs="宋体"/>
          <w:color w:val="auto"/>
          <w:sz w:val="24"/>
          <w:highlight w:val="none"/>
        </w:rPr>
      </w:pPr>
      <w:r>
        <w:rPr>
          <w:rFonts w:hint="eastAsia" w:hAnsi="宋体" w:cs="宋体"/>
          <w:color w:val="auto"/>
          <w:sz w:val="24"/>
          <w:highlight w:val="none"/>
        </w:rPr>
        <w:t>本项目不需缴纳投标保证金。</w:t>
      </w:r>
    </w:p>
    <w:p w14:paraId="56EDB901">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10. 投标文件的语言</w:t>
      </w:r>
    </w:p>
    <w:p w14:paraId="0CEA67CE">
      <w:pPr>
        <w:autoSpaceDE w:val="0"/>
        <w:autoSpaceDN w:val="0"/>
        <w:spacing w:line="348" w:lineRule="auto"/>
        <w:ind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投标文件及供应商与采购有关的来往通知、函件和文件均应使用中文。</w:t>
      </w:r>
    </w:p>
    <w:p w14:paraId="45EF406A">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11. 投标文件的组成</w:t>
      </w:r>
    </w:p>
    <w:p w14:paraId="6642A3A8">
      <w:pPr>
        <w:snapToGrid w:val="0"/>
        <w:spacing w:line="348"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11.1资格文件：</w:t>
      </w:r>
    </w:p>
    <w:p w14:paraId="36FABEA5">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503715FF">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8" w:name="_Hlk101259339"/>
      <w:r>
        <w:rPr>
          <w:rFonts w:hint="eastAsia" w:ascii="宋体" w:hAnsi="宋体" w:cs="宋体"/>
          <w:snapToGrid w:val="0"/>
          <w:color w:val="auto"/>
          <w:kern w:val="28"/>
          <w:sz w:val="24"/>
          <w:szCs w:val="20"/>
          <w:highlight w:val="none"/>
        </w:rPr>
        <w:t>联合协议</w:t>
      </w:r>
      <w:bookmarkEnd w:id="18"/>
      <w:r>
        <w:rPr>
          <w:rFonts w:hint="eastAsia" w:ascii="宋体" w:hAnsi="宋体" w:cs="宋体"/>
          <w:snapToGrid w:val="0"/>
          <w:color w:val="auto"/>
          <w:kern w:val="28"/>
          <w:sz w:val="24"/>
          <w:szCs w:val="20"/>
          <w:highlight w:val="none"/>
        </w:rPr>
        <w:t>（如果有）；</w:t>
      </w:r>
    </w:p>
    <w:p w14:paraId="49D8F12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5FA0C42">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EF16895">
      <w:pPr>
        <w:snapToGrid w:val="0"/>
        <w:spacing w:line="348" w:lineRule="auto"/>
        <w:ind w:firstLine="482" w:firstLineChars="200"/>
        <w:rPr>
          <w:rFonts w:hint="eastAsia" w:ascii="宋体" w:hAnsi="宋体" w:cs="宋体"/>
          <w:b/>
          <w:bCs/>
          <w:color w:val="auto"/>
          <w:sz w:val="24"/>
          <w:highlight w:val="none"/>
          <w:lang w:val="zh-CN"/>
        </w:rPr>
      </w:pPr>
      <w:r>
        <w:rPr>
          <w:rFonts w:hint="eastAsia" w:ascii="宋体" w:hAnsi="宋体" w:cs="宋体"/>
          <w:b/>
          <w:bCs/>
          <w:color w:val="auto"/>
          <w:sz w:val="24"/>
          <w:highlight w:val="none"/>
          <w:lang w:val="zh-CN"/>
        </w:rPr>
        <w:t>11.</w:t>
      </w:r>
      <w:r>
        <w:rPr>
          <w:rFonts w:hint="eastAsia" w:ascii="宋体" w:hAnsi="宋体" w:cs="宋体"/>
          <w:b/>
          <w:bCs/>
          <w:color w:val="auto"/>
          <w:sz w:val="24"/>
          <w:highlight w:val="none"/>
        </w:rPr>
        <w:t>2商务技术</w:t>
      </w:r>
      <w:r>
        <w:rPr>
          <w:rFonts w:hint="eastAsia" w:ascii="宋体" w:hAnsi="宋体" w:cs="宋体"/>
          <w:b/>
          <w:bCs/>
          <w:color w:val="auto"/>
          <w:sz w:val="24"/>
          <w:highlight w:val="none"/>
          <w:lang w:val="zh-CN"/>
        </w:rPr>
        <w:t>文件：</w:t>
      </w:r>
    </w:p>
    <w:p w14:paraId="062E06F4">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p>
    <w:p w14:paraId="42EB71B3">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5FD385A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9506E61">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D9601EB">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C29AED8">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商务技术偏离表；</w:t>
      </w:r>
    </w:p>
    <w:p w14:paraId="500200B8">
      <w:pPr>
        <w:snapToGrid w:val="0"/>
        <w:spacing w:line="348"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68E22A8F">
      <w:pPr>
        <w:snapToGrid w:val="0"/>
        <w:spacing w:line="348" w:lineRule="auto"/>
        <w:ind w:firstLine="482" w:firstLineChars="200"/>
        <w:rPr>
          <w:rFonts w:hint="eastAsia" w:ascii="宋体" w:hAnsi="宋体" w:cs="宋体"/>
          <w:b/>
          <w:bCs/>
          <w:color w:val="auto"/>
          <w:sz w:val="24"/>
          <w:highlight w:val="none"/>
          <w:u w:val="single"/>
          <w:lang w:val="zh-CN"/>
        </w:rPr>
      </w:pPr>
      <w:r>
        <w:rPr>
          <w:rFonts w:hint="eastAsia" w:ascii="宋体" w:hAnsi="宋体" w:cs="宋体"/>
          <w:b/>
          <w:bCs/>
          <w:color w:val="auto"/>
          <w:kern w:val="0"/>
          <w:sz w:val="24"/>
          <w:highlight w:val="none"/>
          <w:lang w:val="zh-CN"/>
        </w:rPr>
        <w:t>11.</w:t>
      </w:r>
      <w:r>
        <w:rPr>
          <w:rFonts w:hint="eastAsia" w:ascii="宋体" w:hAnsi="宋体" w:cs="宋体"/>
          <w:b/>
          <w:bCs/>
          <w:color w:val="auto"/>
          <w:kern w:val="0"/>
          <w:sz w:val="24"/>
          <w:highlight w:val="none"/>
        </w:rPr>
        <w:t>3</w:t>
      </w:r>
      <w:r>
        <w:rPr>
          <w:rFonts w:hint="eastAsia" w:ascii="宋体" w:hAnsi="宋体" w:cs="宋体"/>
          <w:b/>
          <w:bCs/>
          <w:color w:val="auto"/>
          <w:sz w:val="24"/>
          <w:highlight w:val="none"/>
        </w:rPr>
        <w:t>报价文件：</w:t>
      </w:r>
    </w:p>
    <w:p w14:paraId="48BC68B6">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11.3.1开标一览表（报价表）、投标分项报价表；</w:t>
      </w:r>
    </w:p>
    <w:p w14:paraId="588D0FE9">
      <w:pPr>
        <w:snapToGrid w:val="0"/>
        <w:spacing w:line="348"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11.3.2中小企业声明函。</w:t>
      </w:r>
    </w:p>
    <w:p w14:paraId="7FCA539D">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11.3.3报价情况说明（如供应商报价低于项目预算50%的，应当提交本文档，详细阐述不影响产品质量或者诚信履约的具体原因）。</w:t>
      </w:r>
    </w:p>
    <w:p w14:paraId="72A7D777">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3C1B2E0C">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30B0AF3E">
      <w:pPr>
        <w:spacing w:line="348" w:lineRule="auto"/>
        <w:ind w:firstLine="964" w:firstLineChars="400"/>
        <w:rPr>
          <w:rFonts w:hint="eastAsia" w:ascii="宋体" w:hAnsi="宋体" w:cs="宋体"/>
          <w:b/>
          <w:color w:val="auto"/>
          <w:sz w:val="24"/>
          <w:highlight w:val="none"/>
        </w:rPr>
      </w:pPr>
      <w:r>
        <w:rPr>
          <w:rFonts w:hint="eastAsia" w:ascii="宋体" w:hAnsi="宋体" w:cs="宋体"/>
          <w:b/>
          <w:color w:val="auto"/>
          <w:sz w:val="24"/>
          <w:highlight w:val="none"/>
        </w:rPr>
        <w:t>注：投标人可事先在公开官网查询、核对相关证书和报告内容，确保投标（响应）文件资料准确无误。投标人应对投标文件中材料的真实性、合法性负责。</w:t>
      </w:r>
    </w:p>
    <w:p w14:paraId="5416A5EF">
      <w:pPr>
        <w:pStyle w:val="132"/>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F3C1CF8">
      <w:pPr>
        <w:spacing w:line="348" w:lineRule="auto"/>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供应商在编制投标文件时请按照招标文件第六部分规定的格式进行，混乱的编排导致投标文件被误读或评标委员会查找不到有效文件是供应商的风险。</w:t>
      </w:r>
    </w:p>
    <w:p w14:paraId="4E110B22">
      <w:pPr>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12.2供应商进行电子投标应安装客户端软件—“政采云电子交易客户端”，并按照招标文件和电子交易平台的要求编制并加密投标文件。供应商未按规定加密的投标文件，电子交易平台将拒收并提示。</w:t>
      </w:r>
    </w:p>
    <w:p w14:paraId="02F7FDAD">
      <w:pPr>
        <w:spacing w:line="348"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AF01222">
      <w:pPr>
        <w:snapToGrid w:val="0"/>
        <w:spacing w:line="348" w:lineRule="auto"/>
        <w:rPr>
          <w:rFonts w:hint="eastAsia" w:ascii="宋体" w:hAnsi="宋体" w:cs="宋体"/>
          <w:b/>
          <w:color w:val="auto"/>
          <w:sz w:val="24"/>
          <w:highlight w:val="none"/>
        </w:rPr>
      </w:pPr>
      <w:r>
        <w:rPr>
          <w:rFonts w:hint="eastAsia" w:ascii="宋体" w:hAnsi="宋体" w:cs="宋体"/>
          <w:b/>
          <w:color w:val="auto"/>
          <w:sz w:val="24"/>
          <w:highlight w:val="none"/>
        </w:rPr>
        <w:t>13.投标文件的签署、盖章</w:t>
      </w:r>
    </w:p>
    <w:p w14:paraId="1EC6BC23">
      <w:pPr>
        <w:pStyle w:val="132"/>
        <w:snapToGrid w:val="0"/>
        <w:spacing w:before="0" w:line="348" w:lineRule="auto"/>
        <w:ind w:firstLine="480"/>
        <w:rPr>
          <w:rFonts w:hint="eastAsia"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▲供应商的投标文件未按照招标文件要求签署、盖章的，其投标无效</w:t>
      </w:r>
      <w:r>
        <w:rPr>
          <w:rFonts w:hint="eastAsia" w:ascii="宋体" w:hAnsi="宋体" w:cs="宋体"/>
          <w:color w:val="auto"/>
          <w:szCs w:val="24"/>
          <w:highlight w:val="none"/>
        </w:rPr>
        <w:t>。</w:t>
      </w:r>
    </w:p>
    <w:p w14:paraId="39724924">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13.2为确保网上操作合法、有效和安全，供应商应当在投标截止时间前完成在“政府采购云平台”的身份认证，确保在电子投标过程中能够对相关数据电文进行加密和使用电子签名。</w:t>
      </w:r>
    </w:p>
    <w:p w14:paraId="15AA64DD">
      <w:pPr>
        <w:pStyle w:val="132"/>
        <w:snapToGrid w:val="0"/>
        <w:spacing w:before="0" w:line="348" w:lineRule="auto"/>
        <w:ind w:firstLine="480"/>
        <w:rPr>
          <w:rFonts w:hint="eastAsia"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61BD7F55">
      <w:pPr>
        <w:pStyle w:val="132"/>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15618FB1">
      <w:pPr>
        <w:pStyle w:val="132"/>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8271721">
      <w:pPr>
        <w:pStyle w:val="132"/>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1198BA3C">
      <w:pPr>
        <w:pStyle w:val="132"/>
        <w:spacing w:before="0" w:line="348" w:lineRule="auto"/>
        <w:ind w:firstLine="480"/>
        <w:rPr>
          <w:rFonts w:hint="eastAsia" w:ascii="宋体" w:hAnsi="宋体" w:cs="宋体"/>
          <w:color w:val="auto"/>
          <w:szCs w:val="24"/>
          <w:highlight w:val="none"/>
        </w:rPr>
      </w:pPr>
      <w:r>
        <w:rPr>
          <w:rFonts w:hint="eastAsia" w:ascii="宋体" w:hAnsi="宋体" w:cs="宋体"/>
          <w:color w:val="auto"/>
          <w:szCs w:val="24"/>
          <w:highlight w:val="none"/>
        </w:rPr>
        <w:t>14.3采购人、采购代理机构可以视情况延长投标文件提交的截止时间。在上述情况下，采购代理机构与供应商以前在投标截止期方面的全部权利、责任和义务，将适用于延长至新的投标截止期。</w:t>
      </w:r>
    </w:p>
    <w:p w14:paraId="510A8DF0">
      <w:pPr>
        <w:pStyle w:val="32"/>
        <w:spacing w:line="348" w:lineRule="auto"/>
        <w:rPr>
          <w:rFonts w:hint="eastAsia" w:hAnsi="宋体" w:cs="宋体"/>
          <w:b/>
          <w:color w:val="auto"/>
          <w:sz w:val="24"/>
          <w:szCs w:val="24"/>
          <w:highlight w:val="none"/>
        </w:rPr>
      </w:pPr>
      <w:r>
        <w:rPr>
          <w:rFonts w:hint="eastAsia" w:hAnsi="宋体" w:cs="宋体"/>
          <w:b/>
          <w:color w:val="auto"/>
          <w:sz w:val="24"/>
          <w:szCs w:val="24"/>
          <w:highlight w:val="none"/>
        </w:rPr>
        <w:t>15.备份投标文件（文件后缀为：bfbs）</w:t>
      </w:r>
    </w:p>
    <w:p w14:paraId="6482BD68">
      <w:pPr>
        <w:pStyle w:val="32"/>
        <w:spacing w:line="348" w:lineRule="auto"/>
        <w:ind w:firstLine="360" w:firstLineChars="150"/>
        <w:rPr>
          <w:rFonts w:hint="eastAsia" w:hAnsi="宋体" w:cs="宋体"/>
          <w:b/>
          <w:color w:val="auto"/>
          <w:sz w:val="24"/>
          <w:szCs w:val="24"/>
          <w:highlight w:val="none"/>
        </w:rPr>
      </w:pPr>
      <w:r>
        <w:rPr>
          <w:rFonts w:hint="eastAsia" w:hAnsi="宋体" w:cs="宋体"/>
          <w:color w:val="auto"/>
          <w:sz w:val="24"/>
          <w:szCs w:val="24"/>
          <w:highlight w:val="none"/>
        </w:rPr>
        <w:t>15.1供应商在电子交易平台传输递交投标文件后，还可以在投标截止时间前直接提交或者以邮政快递方式递交备份投标文件1份，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但采购人、采购代理机构不强制或变相强制供应商提交备份投标文件。</w:t>
      </w:r>
    </w:p>
    <w:p w14:paraId="4E96DAE3">
      <w:pPr>
        <w:pStyle w:val="32"/>
        <w:spacing w:line="348" w:lineRule="auto"/>
        <w:ind w:firstLine="480" w:firstLineChars="200"/>
        <w:rPr>
          <w:rFonts w:hint="eastAsia"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U盘</w:t>
      </w:r>
      <w:r>
        <w:rPr>
          <w:rFonts w:hint="eastAsia" w:hAnsi="宋体" w:cs="宋体"/>
          <w:color w:val="auto"/>
          <w:sz w:val="24"/>
          <w:szCs w:val="24"/>
          <w:highlight w:val="none"/>
        </w:rPr>
        <w:t>中。备份投标文件应当密封包装并在包装上加盖公章并注明投标项目名称，供应商名称（联合体投标的，包装物封面需注明联合体投标，并注明联合体成员各方的名称和联合协议中约定的牵头人的名称）。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3F727DE3">
      <w:pPr>
        <w:pStyle w:val="32"/>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15.3直接提交备份投标文件的，供应商应于投标截止时间前在招标公告中载明的开标地点将备份投标文件提交给采购代理机构，采购代理机构将拒绝接受逾期送达的备份投标文件。</w:t>
      </w:r>
    </w:p>
    <w:p w14:paraId="63D44972">
      <w:pPr>
        <w:pStyle w:val="32"/>
        <w:spacing w:line="348"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15.4以邮政快递方式递交备份投标文件的，供应商应先将备份投标文件按要求密封和标记，再进行邮政快递包装后邮寄。备份投标文件须在投标截止时间之前送达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招标文件第二部分供应商须知前附表规定的备份投标文件送达地点；</w:t>
      </w:r>
      <w:r>
        <w:rPr>
          <w:rFonts w:hint="eastAsia" w:hAnsi="宋体" w:cs="宋体"/>
          <w:color w:val="auto"/>
          <w:sz w:val="24"/>
          <w:szCs w:val="24"/>
          <w:highlight w:val="none"/>
        </w:rPr>
        <w:t>送达时间以签收人签收时间为准。采购代理机构将拒绝接受逾期送达的备份投标文件。邮寄过程中，电子备份投标文件发生泄露、遗失、损坏或延期送达等情况的，由供应商自行负责。</w:t>
      </w:r>
    </w:p>
    <w:p w14:paraId="7A2F929C">
      <w:pPr>
        <w:pStyle w:val="32"/>
        <w:spacing w:line="348" w:lineRule="auto"/>
        <w:ind w:firstLine="479" w:firstLineChars="199"/>
        <w:rPr>
          <w:rFonts w:hint="eastAsia" w:hAnsi="宋体" w:cs="宋体"/>
          <w:b/>
          <w:color w:val="auto"/>
          <w:sz w:val="24"/>
          <w:szCs w:val="24"/>
          <w:highlight w:val="none"/>
        </w:rPr>
      </w:pPr>
      <w:r>
        <w:rPr>
          <w:rFonts w:hint="eastAsia" w:hAnsi="宋体" w:cs="宋体"/>
          <w:b/>
          <w:color w:val="auto"/>
          <w:sz w:val="24"/>
          <w:szCs w:val="24"/>
          <w:highlight w:val="none"/>
        </w:rPr>
        <w:t>15.5供应商仅提交备份投标文件，未在电子交易平台传输递交投标文件的，投标无效。</w:t>
      </w:r>
    </w:p>
    <w:p w14:paraId="4E0E6FDD">
      <w:pPr>
        <w:pStyle w:val="132"/>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16.投标文件的无效处理</w:t>
      </w:r>
    </w:p>
    <w:p w14:paraId="4F447E68">
      <w:pPr>
        <w:pStyle w:val="25"/>
        <w:spacing w:line="348" w:lineRule="auto"/>
        <w:ind w:firstLine="360" w:firstLineChars="150"/>
        <w:rPr>
          <w:rFonts w:hint="eastAsia" w:cs="宋体"/>
          <w:color w:val="auto"/>
          <w:szCs w:val="21"/>
          <w:highlight w:val="none"/>
        </w:rPr>
      </w:pPr>
      <w:r>
        <w:rPr>
          <w:rFonts w:hint="eastAsia" w:cs="宋体"/>
          <w:color w:val="auto"/>
          <w:szCs w:val="21"/>
          <w:highlight w:val="none"/>
        </w:rPr>
        <w:t>有招标文件第四部分</w:t>
      </w:r>
      <w:r>
        <w:rPr>
          <w:rFonts w:cs="宋体"/>
          <w:color w:val="auto"/>
          <w:highlight w:val="none"/>
        </w:rPr>
        <w:t>4.2规定</w:t>
      </w:r>
      <w:r>
        <w:rPr>
          <w:rFonts w:hint="eastAsia" w:cs="宋体"/>
          <w:color w:val="auto"/>
          <w:szCs w:val="21"/>
          <w:highlight w:val="none"/>
        </w:rPr>
        <w:t>的情形之一的，投标无效：</w:t>
      </w:r>
    </w:p>
    <w:p w14:paraId="75481399">
      <w:pPr>
        <w:pStyle w:val="132"/>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17.投标有效期</w:t>
      </w:r>
    </w:p>
    <w:p w14:paraId="1855ACAF">
      <w:pPr>
        <w:spacing w:line="348" w:lineRule="auto"/>
        <w:ind w:firstLine="480" w:firstLineChars="200"/>
        <w:rPr>
          <w:rFonts w:hint="eastAsia"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供应商的投标文件中承</w:t>
      </w:r>
      <w:r>
        <w:rPr>
          <w:rFonts w:hint="eastAsia" w:ascii="宋体" w:hAnsi="宋体" w:cs="宋体"/>
          <w:b/>
          <w:color w:val="auto"/>
          <w:sz w:val="24"/>
          <w:szCs w:val="21"/>
          <w:highlight w:val="none"/>
        </w:rPr>
        <w:t>诺的投标有效期少于招标文件中载明的投标有效期的，投标无效。</w:t>
      </w:r>
    </w:p>
    <w:p w14:paraId="4D0A254B">
      <w:pPr>
        <w:pStyle w:val="132"/>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07DF802">
      <w:pPr>
        <w:pStyle w:val="132"/>
        <w:spacing w:before="0" w:line="348" w:lineRule="auto"/>
        <w:ind w:firstLine="480"/>
        <w:rPr>
          <w:rFonts w:hint="eastAsia" w:ascii="宋体" w:hAnsi="宋体" w:cs="宋体"/>
          <w:color w:val="auto"/>
          <w:highlight w:val="none"/>
        </w:rPr>
      </w:pPr>
      <w:r>
        <w:rPr>
          <w:rFonts w:hint="eastAsia" w:ascii="宋体" w:hAnsi="宋体" w:cs="宋体"/>
          <w:color w:val="auto"/>
          <w:highlight w:val="none"/>
        </w:rPr>
        <w:t>17.3在原定投标有效期满之前，如果出现特殊情况，采购代理机构可以以书面形式通知供应商延长投标有效期。供应商同意延长的，不得要求或被允许修改其投标文件，供应商拒绝延长的，其投标无效。</w:t>
      </w:r>
    </w:p>
    <w:p w14:paraId="78BF79B8">
      <w:pPr>
        <w:pStyle w:val="132"/>
        <w:spacing w:before="0" w:line="348" w:lineRule="auto"/>
        <w:ind w:firstLine="1928" w:firstLineChars="600"/>
        <w:rPr>
          <w:rFonts w:hint="eastAsia"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2689EF3C">
      <w:pPr>
        <w:pStyle w:val="555"/>
        <w:spacing w:before="0" w:line="348" w:lineRule="auto"/>
        <w:ind w:left="0" w:firstLine="241" w:firstLineChars="100"/>
        <w:contextualSpacing/>
        <w:rPr>
          <w:rFonts w:hint="eastAsia"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2C37D2BB">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18.1采购代理机构按照招标文件规定的时间通过电子交易平台组织开标，所有供应商均应当准时在线参加。供应商不足3家的，不得开标。</w:t>
      </w:r>
    </w:p>
    <w:p w14:paraId="23C10BC3">
      <w:pPr>
        <w:pStyle w:val="555"/>
        <w:spacing w:before="0" w:line="348" w:lineRule="auto"/>
        <w:ind w:left="0" w:firstLine="240" w:firstLineChars="100"/>
        <w:contextualSpacing/>
        <w:rPr>
          <w:rFonts w:hint="eastAsia"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18.2开标时，电子交易平台按开标时间自动提取所有投标文件。采购代理机构依托电子交易平台发起开始解密指令，供应商按照平台提示和招标文件的规定在半小时内完成在线解密。</w:t>
      </w:r>
    </w:p>
    <w:p w14:paraId="052BB8CA">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18.2.1具体开标程序：</w:t>
      </w:r>
    </w:p>
    <w:p w14:paraId="2BAB41C9">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第一阶段：</w:t>
      </w:r>
    </w:p>
    <w:p w14:paraId="5E1FB3D1">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（1）投标截止时间后，供应商登录政府采购云平台，用“项目采购－开标评标”功能对电子投标文件进行在线解密，在线解密电子投标文件时间为开标时间后30分钟内。</w:t>
      </w:r>
    </w:p>
    <w:p w14:paraId="5DE5EBB0">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（2）在政府采购云平台开启已解密供应商的“资格文件、商务技术文件”，并做开标记录；</w:t>
      </w:r>
    </w:p>
    <w:p w14:paraId="3E7A434B">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第二阶段：</w:t>
      </w:r>
    </w:p>
    <w:p w14:paraId="4563B70A">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（1）在政府采购云平台宣告第一阶段评审无效供应商名单及理由；</w:t>
      </w:r>
    </w:p>
    <w:p w14:paraId="08A8B543">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（2）公布经第一阶段评审符合招标文件要求的供应商的商务技术得分情况；</w:t>
      </w:r>
    </w:p>
    <w:p w14:paraId="61D325D8">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（3）在政府采购云平台开启除第一阶段无效标外的供应商的“报价文件”，并做开标记录；</w:t>
      </w:r>
    </w:p>
    <w:p w14:paraId="37B9D012">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（4）在政府采购云平台公布评审结果。</w:t>
      </w:r>
    </w:p>
    <w:p w14:paraId="63D518A1">
      <w:pPr>
        <w:pStyle w:val="555"/>
        <w:spacing w:before="0" w:line="348" w:lineRule="auto"/>
        <w:ind w:left="0"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（5）开标会议结束。</w:t>
      </w:r>
    </w:p>
    <w:p w14:paraId="75465538">
      <w:pPr>
        <w:pStyle w:val="555"/>
        <w:spacing w:before="0" w:line="348" w:lineRule="auto"/>
        <w:ind w:left="0" w:firstLine="240" w:firstLineChars="100"/>
        <w:contextualSpacing/>
        <w:rPr>
          <w:rFonts w:hint="eastAsia"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投标文件未按时解密，供应商提供了备份投标文件的，以备份投标文件作为依据，否则视为投标文件撤回。投标文件已按时解密的，备份投标文件自动失效。</w:t>
      </w:r>
    </w:p>
    <w:p w14:paraId="3B7FEC08">
      <w:pPr>
        <w:widowControl/>
        <w:spacing w:line="348" w:lineRule="auto"/>
        <w:jc w:val="left"/>
        <w:rPr>
          <w:rFonts w:hint="eastAsia"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6AEB90DC">
      <w:pPr>
        <w:snapToGrid w:val="0"/>
        <w:spacing w:line="348"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rPr>
        <w:t>19.1</w:t>
      </w:r>
      <w:r>
        <w:rPr>
          <w:rFonts w:hint="eastAsia" w:ascii="宋体" w:hAnsi="宋体" w:cs="宋体"/>
          <w:color w:val="auto"/>
          <w:sz w:val="24"/>
          <w:highlight w:val="none"/>
        </w:rPr>
        <w:t>采购人或采购代理机构依据法律法规和招标文件的规定，对供应商的资格进行审查。</w:t>
      </w:r>
    </w:p>
    <w:p w14:paraId="753A7A32">
      <w:pPr>
        <w:pStyle w:val="132"/>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19.2供应商未按照招标文件要求提供与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供应商不具备招标文件中规定的资格要求，其投标无效。</w:t>
      </w:r>
    </w:p>
    <w:p w14:paraId="517B91F0">
      <w:pPr>
        <w:pStyle w:val="132"/>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3对未通过资格审查的供应商，采购人或采购代理机构告知其未通过的原因。</w:t>
      </w:r>
    </w:p>
    <w:p w14:paraId="49CBDC1A">
      <w:pPr>
        <w:pStyle w:val="132"/>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4合格供应商不足3家的，不再评标。</w:t>
      </w:r>
    </w:p>
    <w:p w14:paraId="5FA61AE4">
      <w:pPr>
        <w:pStyle w:val="132"/>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20、信用信息查询</w:t>
      </w:r>
    </w:p>
    <w:p w14:paraId="035532F5">
      <w:pPr>
        <w:pStyle w:val="132"/>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20.1信用信息查询渠道及截止时间：采购代理机构将在资格审查时通过“信用中国”网站（www.creditchina.gov.cn）、中国政府采购网（www.ccgp.gov.cn）渠道查询供应商接受资格审查时的信用记录。</w:t>
      </w:r>
    </w:p>
    <w:p w14:paraId="325DC334">
      <w:pPr>
        <w:pStyle w:val="132"/>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20.2信用信息查询记录和证据留存的具体方式：现场查询的供应商的信用记录、查询结果经确认后将与招标文件一起存档。</w:t>
      </w:r>
    </w:p>
    <w:p w14:paraId="4DBDC24A">
      <w:pPr>
        <w:pStyle w:val="132"/>
        <w:spacing w:before="0" w:line="348" w:lineRule="auto"/>
        <w:ind w:firstLine="495" w:firstLineChars="0"/>
        <w:rPr>
          <w:rFonts w:hint="eastAsia"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w:t>
      </w:r>
      <w:r>
        <w:rPr>
          <w:rFonts w:hint="eastAsia" w:ascii="宋体" w:hAnsi="宋体" w:cs="宋体"/>
          <w:snapToGrid w:val="0"/>
          <w:color w:val="auto"/>
          <w:kern w:val="28"/>
          <w:highlight w:val="none"/>
        </w:rPr>
        <w:t>（重大税收违法失信主体）</w:t>
      </w:r>
      <w:r>
        <w:rPr>
          <w:rFonts w:hint="eastAsia" w:ascii="宋体" w:hAnsi="宋体" w:cs="宋体"/>
          <w:color w:val="auto"/>
          <w:kern w:val="0"/>
          <w:szCs w:val="24"/>
          <w:highlight w:val="none"/>
        </w:rPr>
        <w:t>、政府采购严重违法失信行为记录名单的供应商将被拒绝参与政府采购活动。</w:t>
      </w:r>
    </w:p>
    <w:p w14:paraId="09A1C15D">
      <w:pPr>
        <w:pStyle w:val="132"/>
        <w:spacing w:before="0" w:line="348" w:lineRule="auto"/>
        <w:ind w:firstLine="480"/>
        <w:rPr>
          <w:rFonts w:hint="eastAsia"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463B8618">
      <w:pPr>
        <w:snapToGrid w:val="0"/>
        <w:spacing w:line="348"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五、评标</w:t>
      </w:r>
    </w:p>
    <w:p w14:paraId="4D8AE91F">
      <w:pPr>
        <w:spacing w:line="348" w:lineRule="auto"/>
        <w:rPr>
          <w:rFonts w:hint="eastAsia"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供应商对招标文件的响应情况。对实质上响应招标文件的供应商，按照评审因素的量化指标排出推荐中标的供应商的先后顺序，并按顺序提出授标建议。</w:t>
      </w:r>
      <w:r>
        <w:rPr>
          <w:rFonts w:hint="eastAsia" w:ascii="宋体" w:hAnsi="宋体" w:cs="宋体"/>
          <w:b/>
          <w:color w:val="auto"/>
          <w:sz w:val="24"/>
          <w:highlight w:val="none"/>
        </w:rPr>
        <w:t>详见招标文件第四部分评标办法。</w:t>
      </w:r>
    </w:p>
    <w:p w14:paraId="5A22C0C0">
      <w:pPr>
        <w:snapToGrid w:val="0"/>
        <w:spacing w:line="348" w:lineRule="auto"/>
        <w:jc w:val="center"/>
        <w:rPr>
          <w:rFonts w:hint="eastAsia" w:ascii="宋体" w:hAnsi="宋体" w:cs="宋体"/>
          <w:b/>
          <w:color w:val="auto"/>
          <w:sz w:val="36"/>
          <w:szCs w:val="36"/>
          <w:highlight w:val="none"/>
        </w:rPr>
      </w:pPr>
    </w:p>
    <w:p w14:paraId="5C69749E">
      <w:pPr>
        <w:snapToGrid w:val="0"/>
        <w:spacing w:line="348"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六、定 标</w:t>
      </w:r>
    </w:p>
    <w:p w14:paraId="39EF40D8">
      <w:pPr>
        <w:pStyle w:val="25"/>
        <w:spacing w:line="348" w:lineRule="auto"/>
        <w:ind w:left="479" w:hanging="479" w:hangingChars="199"/>
        <w:rPr>
          <w:rFonts w:hint="eastAsia" w:cs="宋体"/>
          <w:b/>
          <w:color w:val="auto"/>
          <w:highlight w:val="none"/>
        </w:rPr>
      </w:pPr>
      <w:r>
        <w:rPr>
          <w:rFonts w:hint="eastAsia" w:cs="宋体"/>
          <w:b/>
          <w:color w:val="auto"/>
          <w:highlight w:val="none"/>
        </w:rPr>
        <w:t>22. 确定中标供应商</w:t>
      </w:r>
    </w:p>
    <w:p w14:paraId="527E0BD2">
      <w:pPr>
        <w:pStyle w:val="132"/>
        <w:snapToGrid w:val="0"/>
        <w:spacing w:before="0" w:line="348" w:lineRule="auto"/>
        <w:ind w:firstLine="480"/>
        <w:rPr>
          <w:rFonts w:hint="eastAsia"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444B1FB">
      <w:pPr>
        <w:pStyle w:val="132"/>
        <w:snapToGrid w:val="0"/>
        <w:spacing w:before="0" w:line="348" w:lineRule="auto"/>
        <w:ind w:firstLine="0" w:firstLineChars="0"/>
        <w:rPr>
          <w:rFonts w:hint="eastAsia"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D1BA83F">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23.1自中标人确定之日起2个工作日内，采购代理机构通过电子交易平台向中标人发出中标通知书，同时编制发布采购结果公告。采购代理机构也可以以纸质形式进行中标通知。</w:t>
      </w:r>
    </w:p>
    <w:p w14:paraId="17A85222">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842B59F">
      <w:pPr>
        <w:widowControl/>
        <w:spacing w:line="348"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0B8B8785">
      <w:pPr>
        <w:snapToGrid w:val="0"/>
        <w:spacing w:line="348" w:lineRule="auto"/>
        <w:ind w:left="120" w:leftChars="57" w:firstLine="482" w:firstLineChars="150"/>
        <w:jc w:val="center"/>
        <w:rPr>
          <w:rFonts w:hint="eastAsia" w:ascii="宋体" w:hAnsi="宋体" w:cs="宋体"/>
          <w:b/>
          <w:color w:val="auto"/>
          <w:sz w:val="32"/>
          <w:highlight w:val="none"/>
        </w:rPr>
      </w:pPr>
      <w:r>
        <w:rPr>
          <w:rFonts w:hint="eastAsia" w:ascii="宋体" w:hAnsi="宋体" w:cs="宋体"/>
          <w:b/>
          <w:color w:val="auto"/>
          <w:sz w:val="32"/>
          <w:highlight w:val="none"/>
        </w:rPr>
        <w:t>七、合同授予</w:t>
      </w:r>
    </w:p>
    <w:p w14:paraId="3D0AAD45">
      <w:pPr>
        <w:pStyle w:val="25"/>
        <w:spacing w:line="348" w:lineRule="auto"/>
        <w:ind w:left="479" w:hanging="479" w:hangingChars="199"/>
        <w:rPr>
          <w:rFonts w:hint="eastAsia"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7C65132">
      <w:pPr>
        <w:pStyle w:val="25"/>
        <w:spacing w:line="348" w:lineRule="auto"/>
        <w:ind w:left="479" w:hanging="479" w:hangingChars="199"/>
        <w:rPr>
          <w:rFonts w:hint="eastAsia" w:cs="宋体"/>
          <w:b/>
          <w:color w:val="auto"/>
          <w:highlight w:val="none"/>
        </w:rPr>
      </w:pPr>
      <w:r>
        <w:rPr>
          <w:rFonts w:hint="eastAsia" w:cs="宋体"/>
          <w:b/>
          <w:color w:val="auto"/>
          <w:highlight w:val="none"/>
        </w:rPr>
        <w:t>25. 合同的签订</w:t>
      </w:r>
    </w:p>
    <w:p w14:paraId="6BB0C445">
      <w:pPr>
        <w:widowControl/>
        <w:spacing w:line="348" w:lineRule="auto"/>
        <w:ind w:firstLine="480"/>
        <w:jc w:val="left"/>
        <w:rPr>
          <w:rFonts w:hint="eastAsia"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招标文件确定的事项签订政府采购合同。</w:t>
      </w:r>
    </w:p>
    <w:p w14:paraId="3ADDD003">
      <w:pPr>
        <w:pStyle w:val="132"/>
        <w:snapToGrid w:val="0"/>
        <w:spacing w:before="0" w:line="348" w:lineRule="auto"/>
        <w:ind w:firstLine="480"/>
        <w:rPr>
          <w:rFonts w:hint="eastAsia"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17AB17">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0E3D33DC">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77A5AE89">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590C57CD">
      <w:pPr>
        <w:pStyle w:val="25"/>
        <w:spacing w:line="348" w:lineRule="auto"/>
        <w:ind w:left="479" w:hanging="479" w:hangingChars="199"/>
        <w:rPr>
          <w:rFonts w:hint="eastAsia" w:cs="宋体"/>
          <w:b/>
          <w:color w:val="auto"/>
          <w:highlight w:val="none"/>
        </w:rPr>
      </w:pPr>
      <w:r>
        <w:rPr>
          <w:rFonts w:hint="eastAsia" w:cs="宋体"/>
          <w:b/>
          <w:color w:val="auto"/>
          <w:highlight w:val="none"/>
        </w:rPr>
        <w:t>26. 履约保证金</w:t>
      </w:r>
    </w:p>
    <w:p w14:paraId="7FFAED7A">
      <w:pPr>
        <w:tabs>
          <w:tab w:val="left" w:pos="0"/>
        </w:tabs>
        <w:spacing w:line="348" w:lineRule="auto"/>
        <w:ind w:firstLine="482"/>
        <w:rPr>
          <w:rFonts w:hint="eastAsia"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2D089ACC">
      <w:pPr>
        <w:tabs>
          <w:tab w:val="left" w:pos="432"/>
        </w:tabs>
        <w:spacing w:line="348"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6A239BCD">
      <w:pPr>
        <w:tabs>
          <w:tab w:val="left" w:pos="432"/>
        </w:tabs>
        <w:spacing w:line="348" w:lineRule="auto"/>
        <w:rPr>
          <w:color w:val="auto"/>
          <w:highlight w:val="none"/>
        </w:rPr>
      </w:pPr>
      <w:r>
        <w:rPr>
          <w:rFonts w:ascii="宋体" w:hAnsi="宋体"/>
          <w:b/>
          <w:bCs/>
          <w:color w:val="auto"/>
          <w:sz w:val="24"/>
          <w:szCs w:val="32"/>
          <w:highlight w:val="none"/>
        </w:rPr>
        <w:t>27.预付款</w:t>
      </w:r>
    </w:p>
    <w:p w14:paraId="03F0E55C">
      <w:pPr>
        <w:adjustRightInd/>
        <w:spacing w:line="348"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ascii="宋体" w:hAnsi="宋体"/>
          <w:color w:val="auto"/>
          <w:sz w:val="24"/>
          <w:highlight w:val="none"/>
        </w:rPr>
        <w:t>400-903-9583。</w:t>
      </w:r>
    </w:p>
    <w:p w14:paraId="5201AAAB">
      <w:pPr>
        <w:snapToGrid w:val="0"/>
        <w:spacing w:line="348" w:lineRule="auto"/>
        <w:ind w:firstLine="3357" w:firstLineChars="1045"/>
        <w:rPr>
          <w:rFonts w:hint="eastAsia" w:ascii="宋体" w:hAnsi="宋体" w:cs="宋体"/>
          <w:b/>
          <w:color w:val="auto"/>
          <w:sz w:val="24"/>
          <w:highlight w:val="none"/>
        </w:rPr>
      </w:pPr>
      <w:r>
        <w:rPr>
          <w:rFonts w:hint="eastAsia" w:ascii="宋体" w:hAnsi="宋体" w:cs="宋体"/>
          <w:b/>
          <w:color w:val="auto"/>
          <w:sz w:val="32"/>
          <w:highlight w:val="none"/>
        </w:rPr>
        <w:t>八、电子交易活动的中止</w:t>
      </w:r>
    </w:p>
    <w:p w14:paraId="77C864B7">
      <w:pPr>
        <w:pStyle w:val="132"/>
        <w:snapToGrid w:val="0"/>
        <w:spacing w:before="0" w:line="348" w:lineRule="auto"/>
        <w:ind w:firstLine="0" w:firstLineChars="0"/>
        <w:rPr>
          <w:rFonts w:hint="eastAsia" w:ascii="宋体" w:hAnsi="宋体" w:cs="宋体"/>
          <w:color w:val="auto"/>
          <w:highlight w:val="none"/>
        </w:rPr>
      </w:pPr>
      <w:r>
        <w:rPr>
          <w:rFonts w:ascii="宋体" w:hAnsi="宋体" w:cs="宋体"/>
          <w:b/>
          <w:bCs/>
          <w:color w:val="auto"/>
          <w:highlight w:val="none"/>
        </w:rPr>
        <w:t>2</w:t>
      </w:r>
      <w:r>
        <w:rPr>
          <w:rFonts w:ascii="宋体" w:hAnsi="宋体" w:cs="宋体"/>
          <w:b/>
          <w:bCs/>
          <w:color w:val="auto"/>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采购过程中出现以下情形，导致电子交易平台无法正常运行，或者无法保证电子交易的公平、公正和安全时，采购代理机构可中止电子交易活动：</w:t>
      </w:r>
    </w:p>
    <w:p w14:paraId="2B44CF0B">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E7A00A5">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DE77A3F">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CBE8F33">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 xml:space="preserve">28.4病毒发作导致不能进行正常操作的； </w:t>
      </w:r>
    </w:p>
    <w:p w14:paraId="61AFD985">
      <w:pPr>
        <w:pStyle w:val="132"/>
        <w:snapToGrid w:val="0"/>
        <w:spacing w:before="0" w:line="348" w:lineRule="auto"/>
        <w:ind w:firstLine="480"/>
        <w:rPr>
          <w:rFonts w:hint="eastAsia" w:ascii="宋体" w:hAnsi="宋体" w:cs="宋体"/>
          <w:color w:val="auto"/>
          <w:highlight w:val="none"/>
        </w:rPr>
      </w:pPr>
      <w:r>
        <w:rPr>
          <w:rFonts w:hint="eastAsia" w:ascii="宋体" w:hAnsi="宋体" w:cs="宋体"/>
          <w:color w:val="auto"/>
          <w:highlight w:val="none"/>
        </w:rPr>
        <w:t>28.5其他无法保证电子交易的公平、公正和安全的情况。</w:t>
      </w:r>
    </w:p>
    <w:p w14:paraId="6CBABC35">
      <w:pPr>
        <w:pStyle w:val="132"/>
        <w:snapToGrid w:val="0"/>
        <w:spacing w:before="0" w:line="348" w:lineRule="auto"/>
        <w:ind w:firstLine="0" w:firstLineChars="0"/>
        <w:rPr>
          <w:rFonts w:hint="eastAsia"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29.出现以上情形，不影响采购公平、公正性的，采购组织机构可以待上述情形消除后继续组织电子交易活动；影响或可能影响采购公平、公正性的，应当重新采购。</w:t>
      </w:r>
    </w:p>
    <w:p w14:paraId="00530578">
      <w:pPr>
        <w:snapToGrid w:val="0"/>
        <w:spacing w:line="348" w:lineRule="auto"/>
        <w:ind w:left="120" w:leftChars="57"/>
        <w:jc w:val="center"/>
        <w:rPr>
          <w:rFonts w:hint="eastAsia" w:ascii="宋体" w:hAnsi="宋体" w:cs="宋体"/>
          <w:b/>
          <w:color w:val="auto"/>
          <w:sz w:val="32"/>
          <w:highlight w:val="none"/>
        </w:rPr>
      </w:pPr>
      <w:r>
        <w:rPr>
          <w:rFonts w:hint="eastAsia" w:ascii="宋体" w:hAnsi="宋体" w:cs="宋体"/>
          <w:b/>
          <w:color w:val="auto"/>
          <w:sz w:val="32"/>
          <w:highlight w:val="none"/>
        </w:rPr>
        <w:t>九、验收</w:t>
      </w:r>
    </w:p>
    <w:p w14:paraId="4C8EA96E">
      <w:pPr>
        <w:pStyle w:val="25"/>
        <w:spacing w:line="348" w:lineRule="auto"/>
        <w:ind w:firstLine="0" w:firstLineChars="0"/>
        <w:rPr>
          <w:rFonts w:hint="eastAsia" w:cs="宋体"/>
          <w:b/>
          <w:color w:val="auto"/>
          <w:highlight w:val="none"/>
        </w:rPr>
      </w:pPr>
      <w:r>
        <w:rPr>
          <w:rFonts w:hint="eastAsia" w:cs="宋体"/>
          <w:b/>
          <w:color w:val="auto"/>
          <w:highlight w:val="none"/>
        </w:rPr>
        <w:t>30.验收</w:t>
      </w:r>
    </w:p>
    <w:p w14:paraId="3E925332">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A378473">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759E971">
      <w:pPr>
        <w:tabs>
          <w:tab w:val="left" w:pos="0"/>
        </w:tabs>
        <w:spacing w:line="348"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69B3FF4">
      <w:pPr>
        <w:tabs>
          <w:tab w:val="left" w:pos="0"/>
        </w:tabs>
        <w:spacing w:line="348" w:lineRule="auto"/>
        <w:ind w:firstLine="480"/>
        <w:rPr>
          <w:rFonts w:hint="eastAsia"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9DEA9D1">
      <w:pPr>
        <w:rPr>
          <w:rFonts w:hint="eastAsia" w:ascii="宋体" w:hAnsi="宋体" w:cs="宋体"/>
          <w:color w:val="auto"/>
          <w:kern w:val="0"/>
          <w:sz w:val="24"/>
          <w:highlight w:val="none"/>
        </w:rPr>
      </w:pPr>
      <w:bookmarkStart w:id="20" w:name="_Hlt75236101"/>
      <w:bookmarkEnd w:id="20"/>
      <w:bookmarkStart w:id="21" w:name="_Hlt75236290"/>
      <w:bookmarkEnd w:id="21"/>
      <w:bookmarkStart w:id="22" w:name="_Hlt74707468"/>
      <w:bookmarkEnd w:id="22"/>
      <w:bookmarkStart w:id="23" w:name="_Hlt74730295"/>
      <w:bookmarkEnd w:id="23"/>
      <w:bookmarkStart w:id="24" w:name="_Hlt74729768"/>
      <w:bookmarkEnd w:id="24"/>
      <w:bookmarkStart w:id="25" w:name="_Hlt75236011"/>
      <w:bookmarkEnd w:id="25"/>
      <w:bookmarkStart w:id="26" w:name="_Hlt68057669"/>
      <w:bookmarkEnd w:id="26"/>
      <w:bookmarkStart w:id="27" w:name="_Hlt68403820"/>
      <w:bookmarkEnd w:id="27"/>
      <w:bookmarkStart w:id="28" w:name="_Hlt68072998"/>
      <w:bookmarkEnd w:id="28"/>
      <w:bookmarkStart w:id="29" w:name="_Hlt74714665"/>
      <w:bookmarkEnd w:id="29"/>
      <w:bookmarkStart w:id="30" w:name="_Hlt68073093"/>
      <w:bookmarkEnd w:id="30"/>
      <w:bookmarkStart w:id="31" w:name="_Hlt68072990"/>
      <w:bookmarkEnd w:id="31"/>
    </w:p>
    <w:p w14:paraId="498588F7">
      <w:pPr>
        <w:rPr>
          <w:color w:val="auto"/>
          <w:highlight w:val="none"/>
        </w:rPr>
        <w:sectPr>
          <w:footerReference r:id="rId7" w:type="first"/>
          <w:footerReference r:id="rId6" w:type="default"/>
          <w:pgSz w:w="11906" w:h="16838"/>
          <w:pgMar w:top="680" w:right="1418" w:bottom="468" w:left="1418" w:header="851" w:footer="992" w:gutter="0"/>
          <w:pgNumType w:start="1"/>
          <w:cols w:space="720" w:num="1"/>
          <w:titlePg/>
          <w:docGrid w:linePitch="312" w:charSpace="0"/>
        </w:sectPr>
      </w:pPr>
    </w:p>
    <w:bookmarkEnd w:id="14"/>
    <w:bookmarkEnd w:id="15"/>
    <w:p w14:paraId="277B0E7A">
      <w:pPr>
        <w:spacing w:line="360" w:lineRule="auto"/>
        <w:jc w:val="center"/>
        <w:outlineLvl w:val="0"/>
        <w:rPr>
          <w:rFonts w:hint="eastAsia" w:ascii="宋体" w:hAnsi="宋体" w:cs="宋体"/>
          <w:b/>
          <w:color w:val="auto"/>
          <w:sz w:val="36"/>
          <w:szCs w:val="36"/>
          <w:highlight w:val="none"/>
        </w:rPr>
      </w:pPr>
      <w:bookmarkStart w:id="32" w:name="_Toc26044"/>
      <w:bookmarkStart w:id="33" w:name="第四部分"/>
      <w:r>
        <w:rPr>
          <w:rFonts w:hint="eastAsia" w:ascii="宋体" w:hAnsi="宋体" w:cs="宋体"/>
          <w:b/>
          <w:color w:val="auto"/>
          <w:sz w:val="36"/>
          <w:szCs w:val="36"/>
          <w:highlight w:val="none"/>
        </w:rPr>
        <w:t>第三部分   采购需求</w:t>
      </w:r>
      <w:bookmarkEnd w:id="32"/>
    </w:p>
    <w:p w14:paraId="2740A27D">
      <w:pPr>
        <w:widowControl/>
        <w:adjustRightInd/>
        <w:spacing w:line="360" w:lineRule="auto"/>
        <w:jc w:val="left"/>
        <w:rPr>
          <w:rFonts w:hint="eastAsia" w:ascii="宋体" w:hAnsi="宋体" w:cs="宋体"/>
          <w:b/>
          <w:color w:val="auto"/>
          <w:kern w:val="0"/>
          <w:sz w:val="24"/>
          <w:highlight w:val="none"/>
        </w:rPr>
      </w:pPr>
      <w:bookmarkStart w:id="34" w:name="_Toc329697494"/>
      <w:bookmarkStart w:id="35" w:name="_Toc317685548"/>
      <w:r>
        <w:rPr>
          <w:rFonts w:hint="eastAsia" w:ascii="宋体" w:hAnsi="宋体" w:cs="宋体"/>
          <w:b/>
          <w:color w:val="auto"/>
          <w:kern w:val="0"/>
          <w:sz w:val="24"/>
          <w:highlight w:val="none"/>
        </w:rPr>
        <w:t>一、重要商务要求一览表</w:t>
      </w:r>
    </w:p>
    <w:bookmarkEnd w:id="34"/>
    <w:bookmarkEnd w:id="35"/>
    <w:tbl>
      <w:tblPr>
        <w:tblStyle w:val="63"/>
        <w:tblW w:w="9421" w:type="dxa"/>
        <w:tblInd w:w="-37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7709"/>
      </w:tblGrid>
      <w:tr w14:paraId="06122C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712" w:type="dxa"/>
            <w:vAlign w:val="center"/>
          </w:tcPr>
          <w:p w14:paraId="6F1A1E55">
            <w:pPr>
              <w:widowControl/>
              <w:adjustRightInd/>
              <w:spacing w:line="348"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产品及服务</w:t>
            </w:r>
          </w:p>
          <w:p w14:paraId="0656444B">
            <w:pPr>
              <w:widowControl/>
              <w:adjustRightInd/>
              <w:spacing w:line="348"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质量保证</w:t>
            </w:r>
          </w:p>
        </w:tc>
        <w:tc>
          <w:tcPr>
            <w:tcW w:w="7709" w:type="dxa"/>
            <w:vAlign w:val="center"/>
          </w:tcPr>
          <w:p w14:paraId="7324042F">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1、供应商保证所供的设备必须是出厂原装合格产品，如发生所供的设备与合同不符，采购人有权拒收或退货，由此产生的一切责任和后果由供应商承担。质保期自货物验收合格之日起计。</w:t>
            </w:r>
          </w:p>
          <w:p w14:paraId="75BB8B47">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2、在所供设备交付时，供应商应向采购人提供产品说明书、质量保证书、保修卡及招标文件要求的其他证明材料等必须具备的资料和必备附件。</w:t>
            </w:r>
          </w:p>
          <w:p w14:paraId="0F86DAED">
            <w:pPr>
              <w:widowControl/>
              <w:adjustRightInd/>
              <w:spacing w:line="348" w:lineRule="auto"/>
              <w:jc w:val="left"/>
              <w:rPr>
                <w:rFonts w:hint="eastAsia" w:ascii="宋体" w:hAnsi="宋体" w:cs="宋体"/>
                <w:color w:val="auto"/>
                <w:szCs w:val="21"/>
                <w:highlight w:val="none"/>
              </w:rPr>
            </w:pPr>
            <w:r>
              <w:rPr>
                <w:rFonts w:hint="eastAsia" w:ascii="宋体" w:hAnsi="宋体" w:cs="宋体"/>
                <w:color w:val="auto"/>
                <w:kern w:val="0"/>
                <w:sz w:val="24"/>
                <w:highlight w:val="none"/>
              </w:rPr>
              <w:t>3、质保期内需确保设备能通过各级质控检测、计量部门检定（如有），若无法通过，中标人需承担相应检测费用，并免费维修直至通过检测。</w:t>
            </w:r>
          </w:p>
        </w:tc>
      </w:tr>
      <w:tr w14:paraId="47750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2" w:type="dxa"/>
            <w:vMerge w:val="restart"/>
            <w:vAlign w:val="center"/>
          </w:tcPr>
          <w:p w14:paraId="10E28E18">
            <w:pPr>
              <w:widowControl/>
              <w:adjustRightInd/>
              <w:spacing w:line="348"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交货（安装）</w:t>
            </w:r>
          </w:p>
          <w:p w14:paraId="50B07562">
            <w:pPr>
              <w:widowControl/>
              <w:adjustRightInd/>
              <w:spacing w:line="348"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时间及地点</w:t>
            </w:r>
          </w:p>
        </w:tc>
        <w:tc>
          <w:tcPr>
            <w:tcW w:w="7709" w:type="dxa"/>
            <w:vAlign w:val="center"/>
          </w:tcPr>
          <w:p w14:paraId="734A8E80">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交货时间（合同履约期限）：合同签订后，接采购人通知后90个工作日内完成项目供货、安装、调试，进行试运行测试，试运行期一个月后，由采购人进行统一验收。</w:t>
            </w:r>
          </w:p>
        </w:tc>
      </w:tr>
      <w:tr w14:paraId="4F49BE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12" w:type="dxa"/>
            <w:vMerge w:val="continue"/>
            <w:vAlign w:val="center"/>
          </w:tcPr>
          <w:p w14:paraId="4DACF193">
            <w:pPr>
              <w:widowControl/>
              <w:adjustRightInd/>
              <w:spacing w:line="348" w:lineRule="auto"/>
              <w:jc w:val="center"/>
              <w:rPr>
                <w:rFonts w:hint="eastAsia" w:ascii="宋体" w:hAnsi="宋体" w:cs="宋体"/>
                <w:color w:val="auto"/>
                <w:kern w:val="0"/>
                <w:sz w:val="24"/>
                <w:highlight w:val="none"/>
              </w:rPr>
            </w:pPr>
          </w:p>
        </w:tc>
        <w:tc>
          <w:tcPr>
            <w:tcW w:w="7709" w:type="dxa"/>
            <w:vAlign w:val="center"/>
          </w:tcPr>
          <w:p w14:paraId="0B21F1F6">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安装地点：宁海县采购人指定地点。</w:t>
            </w:r>
          </w:p>
        </w:tc>
      </w:tr>
      <w:tr w14:paraId="6757A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2" w:type="dxa"/>
            <w:vMerge w:val="continue"/>
            <w:vAlign w:val="center"/>
          </w:tcPr>
          <w:p w14:paraId="77061BBF">
            <w:pPr>
              <w:widowControl/>
              <w:adjustRightInd/>
              <w:spacing w:line="348" w:lineRule="auto"/>
              <w:jc w:val="center"/>
              <w:rPr>
                <w:rFonts w:hint="eastAsia" w:ascii="宋体" w:hAnsi="宋体" w:cs="宋体"/>
                <w:color w:val="auto"/>
                <w:kern w:val="0"/>
                <w:sz w:val="24"/>
                <w:highlight w:val="none"/>
              </w:rPr>
            </w:pPr>
          </w:p>
        </w:tc>
        <w:tc>
          <w:tcPr>
            <w:tcW w:w="7709" w:type="dxa"/>
            <w:vAlign w:val="center"/>
          </w:tcPr>
          <w:p w14:paraId="47D8E878">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安装标准：达到国家、行业、地方及采购需求中的验收标准要求。</w:t>
            </w:r>
          </w:p>
        </w:tc>
      </w:tr>
      <w:tr w14:paraId="2A3F2A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2" w:type="dxa"/>
            <w:vMerge w:val="continue"/>
            <w:vAlign w:val="center"/>
          </w:tcPr>
          <w:p w14:paraId="5580ED85">
            <w:pPr>
              <w:widowControl/>
              <w:adjustRightInd/>
              <w:spacing w:line="348" w:lineRule="auto"/>
              <w:jc w:val="center"/>
              <w:rPr>
                <w:rFonts w:hint="eastAsia" w:ascii="宋体" w:hAnsi="宋体" w:cs="宋体"/>
                <w:color w:val="auto"/>
                <w:kern w:val="0"/>
                <w:sz w:val="24"/>
                <w:highlight w:val="none"/>
              </w:rPr>
            </w:pPr>
          </w:p>
        </w:tc>
        <w:tc>
          <w:tcPr>
            <w:tcW w:w="7709" w:type="dxa"/>
            <w:vAlign w:val="center"/>
          </w:tcPr>
          <w:p w14:paraId="6417F661">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验收标准：与产品技术数据及标书技术文件一致，符合国家有关技术规范和技术标准。</w:t>
            </w:r>
          </w:p>
        </w:tc>
      </w:tr>
      <w:tr w14:paraId="22F58F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2" w:type="dxa"/>
            <w:vMerge w:val="continue"/>
            <w:vAlign w:val="center"/>
          </w:tcPr>
          <w:p w14:paraId="6BA60682">
            <w:pPr>
              <w:widowControl/>
              <w:adjustRightInd/>
              <w:spacing w:line="348" w:lineRule="auto"/>
              <w:jc w:val="center"/>
              <w:rPr>
                <w:rFonts w:hint="eastAsia" w:ascii="宋体" w:hAnsi="宋体" w:cs="宋体"/>
                <w:color w:val="auto"/>
                <w:kern w:val="0"/>
                <w:sz w:val="24"/>
                <w:highlight w:val="none"/>
              </w:rPr>
            </w:pPr>
          </w:p>
        </w:tc>
        <w:tc>
          <w:tcPr>
            <w:tcW w:w="7709" w:type="dxa"/>
            <w:vAlign w:val="center"/>
          </w:tcPr>
          <w:p w14:paraId="7B227D63">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安装、验收所产生的一切费用（包括卸货、搬运费等）由中标人负责。</w:t>
            </w:r>
          </w:p>
        </w:tc>
      </w:tr>
      <w:tr w14:paraId="30B2A7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712" w:type="dxa"/>
            <w:vAlign w:val="center"/>
          </w:tcPr>
          <w:p w14:paraId="22B1EA4F">
            <w:pPr>
              <w:widowControl/>
              <w:adjustRightInd/>
              <w:spacing w:line="348"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履约保证金</w:t>
            </w:r>
          </w:p>
        </w:tc>
        <w:tc>
          <w:tcPr>
            <w:tcW w:w="7709" w:type="dxa"/>
            <w:vAlign w:val="center"/>
          </w:tcPr>
          <w:p w14:paraId="722EA5A3">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本项目不适用。</w:t>
            </w:r>
          </w:p>
        </w:tc>
      </w:tr>
      <w:tr w14:paraId="2C9847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712" w:type="dxa"/>
            <w:vAlign w:val="center"/>
          </w:tcPr>
          <w:p w14:paraId="6994D346">
            <w:pPr>
              <w:widowControl/>
              <w:adjustRightInd/>
              <w:spacing w:line="348"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▲付款条件</w:t>
            </w:r>
          </w:p>
        </w:tc>
        <w:tc>
          <w:tcPr>
            <w:tcW w:w="7709" w:type="dxa"/>
            <w:vAlign w:val="center"/>
          </w:tcPr>
          <w:p w14:paraId="59A46D0C">
            <w:pPr>
              <w:widowControl/>
              <w:adjustRightInd/>
              <w:spacing w:line="348"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适用于中小微企业：</w:t>
            </w:r>
          </w:p>
          <w:p w14:paraId="1AE5DB80">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①合同生效且具备实施条件后，七个工作日内支付合同总额的40%作为预付款；（合同签订时中标人主动要求不需要预付款的采购人可以不支付）；</w:t>
            </w:r>
          </w:p>
          <w:p w14:paraId="2814881A">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②设备安装调试、系统对接完毕并验收合格后，采购人在七个工作日内向中标人付清余款。</w:t>
            </w:r>
          </w:p>
          <w:p w14:paraId="6389B3A9">
            <w:pPr>
              <w:widowControl/>
              <w:adjustRightInd/>
              <w:spacing w:line="348" w:lineRule="auto"/>
              <w:jc w:val="left"/>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适用于大型企业：</w:t>
            </w:r>
          </w:p>
          <w:p w14:paraId="416EE3B4">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①货到验收合格且采购人收到合法有效的发票后七个工作日内付清全款。</w:t>
            </w:r>
          </w:p>
        </w:tc>
      </w:tr>
      <w:tr w14:paraId="11BCF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12" w:type="dxa"/>
            <w:vAlign w:val="center"/>
          </w:tcPr>
          <w:p w14:paraId="27161509">
            <w:pPr>
              <w:widowControl/>
              <w:adjustRightInd/>
              <w:spacing w:line="348"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售后服务</w:t>
            </w:r>
          </w:p>
        </w:tc>
        <w:tc>
          <w:tcPr>
            <w:tcW w:w="7709" w:type="dxa"/>
            <w:vAlign w:val="center"/>
          </w:tcPr>
          <w:p w14:paraId="17E422FB">
            <w:pPr>
              <w:widowControl/>
              <w:numPr>
                <w:ilvl w:val="0"/>
                <w:numId w:val="3"/>
              </w:numPr>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质保期限：自项目终验（竣工验收）合格之日起3年。</w:t>
            </w:r>
          </w:p>
          <w:p w14:paraId="3AA53D66">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质保期内免费服务内容包括但不限于技术咨询、故障排除、定期巡检、性能优化、软件升级、功能完善等。免费提供7×24技术服务，有任何问题和故障，及时响应并到达现场，提供不间断的服务直到系统恢复正常。</w:t>
            </w:r>
          </w:p>
        </w:tc>
      </w:tr>
      <w:tr w14:paraId="7FF33D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2" w:type="dxa"/>
            <w:vAlign w:val="center"/>
          </w:tcPr>
          <w:p w14:paraId="41B27163">
            <w:pPr>
              <w:widowControl/>
              <w:adjustRightInd/>
              <w:spacing w:line="348"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培训</w:t>
            </w:r>
          </w:p>
        </w:tc>
        <w:tc>
          <w:tcPr>
            <w:tcW w:w="7709" w:type="dxa"/>
            <w:vAlign w:val="center"/>
          </w:tcPr>
          <w:p w14:paraId="29AB6562">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中标人需为采购人提供专业技术培训，并提供技术指导和咨询，通过多种方式解决需求，提供支持，确保采购人相关工作人员可以正确使用。技术培训费用应包含在投标总价中，技术培训要求在验收前完成。</w:t>
            </w:r>
          </w:p>
        </w:tc>
      </w:tr>
      <w:tr w14:paraId="41EAD5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2" w:type="dxa"/>
            <w:vAlign w:val="center"/>
          </w:tcPr>
          <w:p w14:paraId="48B22CC0">
            <w:pPr>
              <w:widowControl/>
              <w:adjustRightInd/>
              <w:spacing w:line="348"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知识产权</w:t>
            </w:r>
          </w:p>
        </w:tc>
        <w:tc>
          <w:tcPr>
            <w:tcW w:w="7709" w:type="dxa"/>
            <w:vAlign w:val="center"/>
          </w:tcPr>
          <w:p w14:paraId="5388D186">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在项目实施过程中，中标人不得侵犯第三方的知识产权（包括但不限于著作权、专利权、商标权），同时，在交付本合同成果中也不得涉及或非法使用第三方的知识产权（包括但不限于著作权、专利权、商标权）。</w:t>
            </w:r>
          </w:p>
        </w:tc>
      </w:tr>
      <w:tr w14:paraId="7C751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2" w:type="dxa"/>
            <w:shd w:val="clear" w:color="auto" w:fill="auto"/>
            <w:vAlign w:val="center"/>
          </w:tcPr>
          <w:p w14:paraId="0DB11FDC">
            <w:pPr>
              <w:adjustRightInd/>
              <w:spacing w:line="288" w:lineRule="auto"/>
              <w:jc w:val="center"/>
              <w:rPr>
                <w:rFonts w:hint="eastAsia" w:ascii="宋体" w:hAnsi="宋体" w:cs="宋体"/>
                <w:color w:val="auto"/>
                <w:sz w:val="24"/>
                <w:highlight w:val="none"/>
              </w:rPr>
            </w:pPr>
            <w:r>
              <w:rPr>
                <w:rFonts w:hint="eastAsia" w:ascii="宋体" w:hAnsi="宋体" w:cs="宋体"/>
                <w:color w:val="auto"/>
                <w:sz w:val="24"/>
                <w:highlight w:val="none"/>
              </w:rPr>
              <w:t>其他说明</w:t>
            </w:r>
          </w:p>
        </w:tc>
        <w:tc>
          <w:tcPr>
            <w:tcW w:w="7709" w:type="dxa"/>
            <w:shd w:val="clear" w:color="auto" w:fill="auto"/>
            <w:vAlign w:val="center"/>
          </w:tcPr>
          <w:p w14:paraId="29BBD431">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1、本招标所提的要求仅为主要要求，不应作为完整的详细的要求；</w:t>
            </w:r>
          </w:p>
          <w:p w14:paraId="59DC0DCF">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2、供应商应对投标材料的一切专利承担责任，并负责保护采购人的利益不受损害；一切由于文字、商标和技术专利侵权引起的法律裁决、诉讼及其费用均与采购人无关。</w:t>
            </w:r>
          </w:p>
        </w:tc>
      </w:tr>
      <w:tr w14:paraId="0C3A1E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2" w:type="dxa"/>
            <w:shd w:val="clear" w:color="auto" w:fill="auto"/>
            <w:vAlign w:val="center"/>
          </w:tcPr>
          <w:p w14:paraId="01AB9CBC">
            <w:pPr>
              <w:adjustRightInd/>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合同终止</w:t>
            </w:r>
          </w:p>
        </w:tc>
        <w:tc>
          <w:tcPr>
            <w:tcW w:w="7709" w:type="dxa"/>
            <w:shd w:val="clear" w:color="auto" w:fill="auto"/>
            <w:vAlign w:val="center"/>
          </w:tcPr>
          <w:p w14:paraId="48744673">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中标人在合同有效期内，不得无理由终止合同，确有特殊情况的，须提前两个月向采购人提出书面申请，经采购人同意后，方可终止合同。因中标人不能保证工作质量，或发生重大差错事故的，采购人可有权终止协议，中标人承担全部责任。</w:t>
            </w:r>
          </w:p>
        </w:tc>
      </w:tr>
      <w:tr w14:paraId="59EBF5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712" w:type="dxa"/>
            <w:shd w:val="clear" w:color="auto" w:fill="auto"/>
            <w:vAlign w:val="center"/>
          </w:tcPr>
          <w:p w14:paraId="404950EF">
            <w:pPr>
              <w:adjustRightInd/>
              <w:spacing w:line="360" w:lineRule="auto"/>
              <w:contextualSpacing/>
              <w:jc w:val="center"/>
              <w:rPr>
                <w:rFonts w:hint="eastAsia" w:ascii="宋体" w:hAnsi="宋体" w:cs="宋体"/>
                <w:color w:val="auto"/>
                <w:sz w:val="24"/>
                <w:highlight w:val="none"/>
              </w:rPr>
            </w:pPr>
            <w:r>
              <w:rPr>
                <w:rFonts w:hint="eastAsia" w:ascii="宋体" w:hAnsi="宋体" w:cs="宋体"/>
                <w:color w:val="auto"/>
                <w:sz w:val="24"/>
                <w:highlight w:val="none"/>
              </w:rPr>
              <w:t>数据保密要求</w:t>
            </w:r>
          </w:p>
        </w:tc>
        <w:tc>
          <w:tcPr>
            <w:tcW w:w="7709" w:type="dxa"/>
            <w:shd w:val="clear" w:color="auto" w:fill="auto"/>
            <w:vAlign w:val="center"/>
          </w:tcPr>
          <w:p w14:paraId="20D3763D">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1、在本项目履行期间获悉的所有系统内的信息、资料等，均为采购人秘密，供应商及其雇员负有严格保密义务，未经采购人书面同意不得向任何第三人泄露，且保密责任不因合同的终止或解除而失效。如采购人提出要求，供应商须无条件与采购人签订保密协议。项目完成后，供应商必须把采购人提供的所有资料、数据完整归还采购人，并不得留存任何形式的复制品，并归还所有含保密信息的文件或媒体或其复制件或摘要且不得就此要求经济补偿。所有因项目实施而获得的采购人及系统中所有的人员的资料及数据，未经采购人书面同意，供应商不得向第三方提供保密信息或由保密信息衍生的信息。</w:t>
            </w:r>
          </w:p>
          <w:p w14:paraId="30CFB3F8">
            <w:pPr>
              <w:widowControl/>
              <w:adjustRightInd/>
              <w:spacing w:line="348"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2、如发生任何因供应商及其雇员原因造成的数据泄露，供应商承担全部责任。</w:t>
            </w:r>
          </w:p>
        </w:tc>
      </w:tr>
    </w:tbl>
    <w:p w14:paraId="7662289D">
      <w:pP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br w:type="page"/>
      </w:r>
    </w:p>
    <w:p w14:paraId="48022A56">
      <w:pPr>
        <w:adjustRightInd/>
        <w:spacing w:line="360" w:lineRule="auto"/>
        <w:rPr>
          <w:rFonts w:hint="eastAsia" w:ascii="宋体" w:hAnsi="宋体" w:cs="宋体"/>
          <w:b/>
          <w:color w:val="auto"/>
          <w:sz w:val="24"/>
          <w:highlight w:val="none"/>
        </w:rPr>
      </w:pPr>
      <w:r>
        <w:rPr>
          <w:rFonts w:hint="eastAsia" w:ascii="宋体" w:hAnsi="宋体" w:cs="宋体"/>
          <w:b/>
          <w:color w:val="auto"/>
          <w:sz w:val="24"/>
          <w:highlight w:val="none"/>
        </w:rPr>
        <w:t>二、采购清单及技术参数要求</w:t>
      </w:r>
    </w:p>
    <w:tbl>
      <w:tblPr>
        <w:tblStyle w:val="63"/>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6"/>
        <w:gridCol w:w="763"/>
        <w:gridCol w:w="5262"/>
        <w:gridCol w:w="671"/>
        <w:gridCol w:w="620"/>
        <w:gridCol w:w="728"/>
      </w:tblGrid>
      <w:tr w14:paraId="570A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556" w:type="dxa"/>
            <w:shd w:val="clear" w:color="000000" w:fill="FFFFFF"/>
            <w:vAlign w:val="center"/>
          </w:tcPr>
          <w:p w14:paraId="7923C139">
            <w:pPr>
              <w:widowControl/>
              <w:adjustRightInd/>
              <w:jc w:val="center"/>
              <w:rPr>
                <w:rFonts w:hint="eastAsia" w:ascii="宋体" w:hAnsi="宋体" w:cs="宋体"/>
                <w:color w:val="auto"/>
                <w:kern w:val="0"/>
                <w:szCs w:val="21"/>
                <w:highlight w:val="none"/>
              </w:rPr>
            </w:pPr>
            <w:bookmarkStart w:id="36" w:name="RANGE!A1:F27"/>
            <w:r>
              <w:rPr>
                <w:rFonts w:hint="eastAsia" w:ascii="宋体" w:hAnsi="宋体" w:cs="宋体"/>
                <w:color w:val="auto"/>
                <w:kern w:val="0"/>
                <w:szCs w:val="21"/>
                <w:highlight w:val="none"/>
              </w:rPr>
              <w:t>序号</w:t>
            </w:r>
            <w:bookmarkEnd w:id="36"/>
          </w:p>
        </w:tc>
        <w:tc>
          <w:tcPr>
            <w:tcW w:w="763" w:type="dxa"/>
            <w:shd w:val="clear" w:color="000000" w:fill="FFFFFF"/>
            <w:vAlign w:val="center"/>
          </w:tcPr>
          <w:p w14:paraId="60539083">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设备名称</w:t>
            </w:r>
          </w:p>
        </w:tc>
        <w:tc>
          <w:tcPr>
            <w:tcW w:w="5262" w:type="dxa"/>
            <w:shd w:val="clear" w:color="000000" w:fill="FFFFFF"/>
            <w:vAlign w:val="center"/>
          </w:tcPr>
          <w:p w14:paraId="758E8DFF">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技术参数要求</w:t>
            </w:r>
          </w:p>
        </w:tc>
        <w:tc>
          <w:tcPr>
            <w:tcW w:w="671" w:type="dxa"/>
            <w:shd w:val="clear" w:color="000000" w:fill="FFFFFF"/>
            <w:vAlign w:val="center"/>
          </w:tcPr>
          <w:p w14:paraId="5F6C695F">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单位</w:t>
            </w:r>
          </w:p>
        </w:tc>
        <w:tc>
          <w:tcPr>
            <w:tcW w:w="620" w:type="dxa"/>
            <w:shd w:val="clear" w:color="000000" w:fill="FFFFFF"/>
            <w:vAlign w:val="center"/>
          </w:tcPr>
          <w:p w14:paraId="6E91F84B">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728" w:type="dxa"/>
            <w:shd w:val="clear" w:color="000000" w:fill="FFFFFF"/>
            <w:vAlign w:val="center"/>
          </w:tcPr>
          <w:p w14:paraId="766006D3">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投标响应</w:t>
            </w:r>
          </w:p>
        </w:tc>
      </w:tr>
      <w:tr w14:paraId="234B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600" w:type="dxa"/>
            <w:gridSpan w:val="6"/>
            <w:shd w:val="clear" w:color="000000" w:fill="FFFFFF"/>
            <w:vAlign w:val="center"/>
          </w:tcPr>
          <w:p w14:paraId="0A853F99">
            <w:pPr>
              <w:widowControl/>
              <w:adjustRightInd/>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一、应用软件</w:t>
            </w:r>
          </w:p>
        </w:tc>
      </w:tr>
      <w:tr w14:paraId="2753C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dxa"/>
            <w:shd w:val="clear" w:color="000000" w:fill="FFFFFF"/>
            <w:vAlign w:val="center"/>
          </w:tcPr>
          <w:p w14:paraId="25D9B073">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763" w:type="dxa"/>
            <w:shd w:val="clear" w:color="000000" w:fill="FFFFFF"/>
            <w:vAlign w:val="center"/>
          </w:tcPr>
          <w:p w14:paraId="09DCDBAC">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欺凌防范系统</w:t>
            </w:r>
          </w:p>
        </w:tc>
        <w:tc>
          <w:tcPr>
            <w:tcW w:w="5262" w:type="dxa"/>
            <w:shd w:val="clear" w:color="000000" w:fill="FFFFFF"/>
            <w:vAlign w:val="center"/>
          </w:tcPr>
          <w:p w14:paraId="39940B45">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一、欺凌防范大数据</w:t>
            </w:r>
          </w:p>
          <w:p w14:paraId="685726BC">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支持采用可视化方式对学校欺凌防范信息进行统计、分析、展示。</w:t>
            </w:r>
          </w:p>
          <w:p w14:paraId="1DE8FC2D">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欺凌防范看板：具备学校欺凌防范的数据统计、分析展示功能；支持展示近30天的预警事件分析、学生异常行为分析（语音预警、旷课、异常逗留等）的数据趋势；支持展示学校欺凌委员会、安全教育等建设情况。</w:t>
            </w:r>
            <w:r>
              <w:rPr>
                <w:rFonts w:hint="eastAsia" w:ascii="宋体" w:hAnsi="宋体" w:cs="宋体"/>
                <w:b/>
                <w:bCs/>
                <w:color w:val="auto"/>
                <w:kern w:val="0"/>
                <w:szCs w:val="21"/>
                <w:highlight w:val="none"/>
              </w:rPr>
              <w:t>（演示内容1）</w:t>
            </w:r>
          </w:p>
          <w:p w14:paraId="4EAE66F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2.预警管理中心：具备预警数据驾驶舱功能，支持汇总展示校内各类防欺凌设备产生的预警，实现统一的预警接收、查看、处置和可视化的预警数据分析。</w:t>
            </w:r>
          </w:p>
          <w:p w14:paraId="7FFE6FEA">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（1）支持展示所有预警实时事件，支持按照处理状态（如已读、未读、已处理等）展示预警事件，支持按照预警等级展示预警事件；</w:t>
            </w:r>
          </w:p>
          <w:p w14:paraId="31BF41D8">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具备当日数据总览，支持对当日事件、当日推送、当日主动干预、当日预警点位等收集、处理和分析的数据进行的一个全面、概括性的浏览或总结。支持快速了解当天数据的整体状况、关键趋势和重要变化。</w:t>
            </w:r>
          </w:p>
          <w:p w14:paraId="3B69ECA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（3）支持针对当前发生的特定事件或风险所发出的警报或提示提供展示功能，支持针对此预警信息与前端设备（如语音</w:t>
            </w:r>
            <w:r>
              <w:rPr>
                <w:rFonts w:ascii="宋体" w:hAnsi="宋体" w:cs="宋体"/>
                <w:color w:val="auto"/>
                <w:kern w:val="0"/>
                <w:szCs w:val="21"/>
                <w:highlight w:val="none"/>
              </w:rPr>
              <w:t>AI预警终端</w:t>
            </w:r>
            <w:r>
              <w:rPr>
                <w:rFonts w:hint="eastAsia" w:ascii="宋体" w:hAnsi="宋体" w:cs="宋体"/>
                <w:color w:val="auto"/>
                <w:kern w:val="0"/>
                <w:szCs w:val="21"/>
                <w:highlight w:val="none"/>
              </w:rPr>
              <w:t>或智能</w:t>
            </w:r>
            <w:r>
              <w:rPr>
                <w:rFonts w:ascii="宋体" w:hAnsi="宋体" w:cs="宋体"/>
                <w:color w:val="auto"/>
                <w:kern w:val="0"/>
                <w:szCs w:val="21"/>
                <w:highlight w:val="none"/>
              </w:rPr>
              <w:t>AI感知终端</w:t>
            </w:r>
            <w:r>
              <w:rPr>
                <w:rFonts w:hint="eastAsia" w:ascii="宋体" w:hAnsi="宋体" w:cs="宋体"/>
                <w:color w:val="auto"/>
                <w:kern w:val="0"/>
                <w:szCs w:val="21"/>
                <w:highlight w:val="none"/>
              </w:rPr>
              <w:t>等）进行联动，如双向通话、一键喊话等。</w:t>
            </w:r>
          </w:p>
          <w:p w14:paraId="5952B006">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（4）具备预警数据分析功能，支持通过对预警信息来源的广泛收集、对数据指标的排名和次数等量化评估，形成对潜在风险、问题或异常趋势的监测。</w:t>
            </w:r>
          </w:p>
          <w:p w14:paraId="0B8D0BBC">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二、欺凌专项治理</w:t>
            </w:r>
          </w:p>
          <w:p w14:paraId="352E816F">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欺凌治理委员会：支持学校组建欺凌治理委员会，包括完善欺凌治理委员会组长信息、欺凌治理委员会副组长信息、成员信息、欺凌治理工作制度、欺凌治理公示电话等内容；支持学校对欺凌治理委员会信息的修改、导出、查询等；</w:t>
            </w:r>
          </w:p>
          <w:p w14:paraId="29C0EE15">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2.欺凌防范管理：支持学校制定日常的学生规范管理标准，支持通过学生就寝查铺台账、违禁物品管理台账、学生思想状况分析报告台账等信息对学校欺凌防范的建设情况进行管理；</w:t>
            </w:r>
          </w:p>
          <w:p w14:paraId="709CF688">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3.欺凌事件处置：支持记录学校欺凌事件基本信息、处置流程，能够记录事件描述、欺凌判定（一般欺凌、严重欺凌、涉嫌犯罪欺凌）、学校处理措施、处理状态等内容。</w:t>
            </w:r>
          </w:p>
          <w:p w14:paraId="2436F19D">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4.重点问题学生档案：支持建立并管理重点学生档案，记录学生基本信息、记录学生应关注的问题及应关注的程度等；</w:t>
            </w:r>
          </w:p>
          <w:p w14:paraId="2113FFE3">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5.欺凌举报：支持实名或匿名欺凌举报，举报信息可包括欺凌类型、欺凌事件描述、举报人员联系方式或班级等，支持欺凌举报信息的查看。</w:t>
            </w:r>
          </w:p>
          <w:p w14:paraId="58C5B57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6.欺凌预警：支持通过PC端、手机端查看防欺凌预警信息，包括预警内容、预警设备、预警日志等。</w:t>
            </w:r>
          </w:p>
          <w:p w14:paraId="3A61BEC0">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三、管理中心</w:t>
            </w:r>
          </w:p>
          <w:p w14:paraId="18CBD8EC">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支持填写学校的基础信息、组织架构等信息，为学校欺凌防控工作提供基础数据支撑。</w:t>
            </w:r>
          </w:p>
          <w:p w14:paraId="52462927">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1.学校管理</w:t>
            </w:r>
          </w:p>
          <w:p w14:paraId="6ED06B2A">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具备学校基础信息管理、角色职务的设置；具备创建班级、成员管理、设置班主任等班级管理功能，具备教职工管理功能，具备查看和管理本校学生信息等学生管理功能，具备对学生人脸信息管理功能。</w:t>
            </w:r>
          </w:p>
          <w:p w14:paraId="78D0A315">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（1）学校管理：具备学校基础信息的管理功能，包括学校性质（公办、民办、其他）、类别（小学、初中、高中等）、学校所属行政区、学校所属教育局等信息；</w:t>
            </w:r>
          </w:p>
          <w:p w14:paraId="0DA14D52">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（2）学校部门：具备学校所属部门信息的管理功能，包括部门名称、负责人、部门成员等，具备部门排序功能；</w:t>
            </w:r>
          </w:p>
          <w:p w14:paraId="0464859D">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（3）职务管理：具备角色职务和成员的绑定功能，支持职务成员的查询；</w:t>
            </w:r>
          </w:p>
          <w:p w14:paraId="40DD64A3">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（4）班级管理：具备创建班级、成员管理、设置班主任等功能，支持通过模板创建学生信息；支持新学期学生自动升年级、学生调班功能。支持邀请家长补全学生信息。具备按班级生成学生二维码信息。</w:t>
            </w:r>
          </w:p>
          <w:p w14:paraId="71F6CAA1">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教职工管理：具备查看和管理本校所有教职工人员信息功能。支持添加教职工信息，包括姓名、手机号、职务所属部门、分配权限等信息，可以查看该角色拥有的权限；支持批量导入和导出教职工信息；支持对教职工进行修改、删除、重置密码、调整部门、调整职务、调整权限等。支持教职工姓名、手机号脱敏显示。权限分配支持自定义分配权限、按角色分配权限和克隆权限等多类权限管理；</w:t>
            </w:r>
          </w:p>
          <w:p w14:paraId="7C29FA18">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（6）学生管理：具备查看和管理本校学生信息功能。支持根据年级查看学生信息；支持批量导入及导出学生信息；支持单个学生信息添加，对某个学生可以进行信息修改。</w:t>
            </w:r>
          </w:p>
          <w:p w14:paraId="3200869A">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（7）人脸审核：支持教职工、学生人脸信息的管理，包括删除、审核、上传头像、批量上传头像、人脸审核。</w:t>
            </w:r>
          </w:p>
          <w:p w14:paraId="49BEA208">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2.权限管理</w:t>
            </w:r>
          </w:p>
          <w:p w14:paraId="3F4963E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支持自定义角色权限的设置功能，可分配不同的权限。</w:t>
            </w:r>
          </w:p>
          <w:p w14:paraId="22817475">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3.微应用管理</w:t>
            </w:r>
          </w:p>
          <w:p w14:paraId="7349DF0C">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支持查询本校用户账号与微信、钉钉账号之间的绑定关系；</w:t>
            </w:r>
          </w:p>
          <w:p w14:paraId="5D04C9F3">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4.智能物联设备</w:t>
            </w:r>
          </w:p>
          <w:p w14:paraId="7D7C162F">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支持智能物联设备的添加；对单个物联网设备可以进行修改、删除等。</w:t>
            </w:r>
          </w:p>
          <w:p w14:paraId="4F633331">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5.预警联动</w:t>
            </w:r>
          </w:p>
          <w:p w14:paraId="69E91CEF">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ascii="宋体" w:hAnsi="宋体" w:cs="宋体"/>
                <w:color w:val="auto"/>
                <w:kern w:val="0"/>
                <w:szCs w:val="21"/>
                <w:highlight w:val="none"/>
              </w:rPr>
              <w:t>应急联动管理：根据预警信息不同类型及来源，支持平台与不同设备间的相互协调，提升应急的处置能力。支持不同场景下配置不同的联动触发条件，如预警类型、预警来源设备、预警来源类型、执行时段的选择、预警信息发送对象的选择等多类配置属性。</w:t>
            </w:r>
            <w:r>
              <w:rPr>
                <w:rFonts w:hint="eastAsia" w:ascii="宋体" w:hAnsi="宋体" w:cs="宋体"/>
                <w:b/>
                <w:color w:val="auto"/>
                <w:kern w:val="0"/>
                <w:szCs w:val="21"/>
                <w:highlight w:val="none"/>
              </w:rPr>
              <w:t>（演示内容2）</w:t>
            </w:r>
          </w:p>
          <w:p w14:paraId="2BF21A6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2</w:t>
            </w:r>
            <w:r>
              <w:rPr>
                <w:rFonts w:hint="eastAsia" w:ascii="宋体" w:hAnsi="宋体" w:cs="宋体"/>
                <w:color w:val="auto"/>
                <w:kern w:val="0"/>
                <w:szCs w:val="21"/>
                <w:highlight w:val="none"/>
              </w:rPr>
              <w:t>）</w:t>
            </w:r>
            <w:r>
              <w:rPr>
                <w:rFonts w:ascii="宋体" w:hAnsi="宋体" w:cs="宋体"/>
                <w:color w:val="auto"/>
                <w:kern w:val="0"/>
                <w:szCs w:val="21"/>
                <w:highlight w:val="none"/>
              </w:rPr>
              <w:t>组合联动：支持在指定时间段内配置多个预警条件的组合规则，触发应急联动机制；通过多个维度预警的交叉分析和智能判断，精准识别潜在事件发生的可能性，有效降低设备误报率，减少对用户的干扰。</w:t>
            </w:r>
          </w:p>
          <w:p w14:paraId="363BA1D5">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w:t>
            </w:r>
            <w:r>
              <w:rPr>
                <w:rFonts w:ascii="宋体" w:hAnsi="宋体" w:cs="宋体"/>
                <w:color w:val="auto"/>
                <w:kern w:val="0"/>
                <w:szCs w:val="21"/>
                <w:highlight w:val="none"/>
              </w:rPr>
              <w:t>3</w:t>
            </w:r>
            <w:r>
              <w:rPr>
                <w:rFonts w:hint="eastAsia" w:ascii="宋体" w:hAnsi="宋体" w:cs="宋体"/>
                <w:color w:val="auto"/>
                <w:kern w:val="0"/>
                <w:szCs w:val="21"/>
                <w:highlight w:val="none"/>
              </w:rPr>
              <w:t>）</w:t>
            </w:r>
            <w:r>
              <w:rPr>
                <w:rFonts w:ascii="宋体" w:hAnsi="宋体" w:cs="宋体"/>
                <w:color w:val="auto"/>
                <w:kern w:val="0"/>
                <w:szCs w:val="21"/>
                <w:highlight w:val="none"/>
              </w:rPr>
              <w:t>预警自动解除：支持自定义添加预警的解除规则和解除范围，满足条件的预警将自动变为已处理状态，如设置预警自动解除的时间、预警级别、预警类型等条件因素。</w:t>
            </w:r>
            <w:r>
              <w:rPr>
                <w:rFonts w:hint="eastAsia" w:ascii="宋体" w:hAnsi="宋体" w:cs="宋体"/>
                <w:b/>
                <w:color w:val="auto"/>
                <w:kern w:val="0"/>
                <w:szCs w:val="21"/>
                <w:highlight w:val="none"/>
              </w:rPr>
              <w:t>（演示内容3）</w:t>
            </w:r>
          </w:p>
          <w:p w14:paraId="1A12B288">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三、其他要求</w:t>
            </w:r>
          </w:p>
          <w:p w14:paraId="18F78053">
            <w:pPr>
              <w:widowControl/>
              <w:adjustRightInd/>
              <w:jc w:val="left"/>
              <w:rPr>
                <w:rFonts w:hint="eastAsia" w:ascii="宋体" w:hAnsi="宋体" w:cs="宋体"/>
                <w:color w:val="auto"/>
                <w:kern w:val="0"/>
                <w:szCs w:val="21"/>
                <w:highlight w:val="none"/>
              </w:rPr>
            </w:pPr>
            <w:r>
              <w:rPr>
                <w:rFonts w:hint="eastAsia" w:ascii="宋体" w:hAnsi="宋体" w:cs="宋体"/>
                <w:b/>
                <w:bCs/>
                <w:color w:val="auto"/>
                <w:kern w:val="0"/>
                <w:szCs w:val="21"/>
                <w:highlight w:val="none"/>
              </w:rPr>
              <w:t>▲要求主动将所有业务数据接入宁海县校园智能安全防范信息平台进行预警分析、汇总、展示等，确保数据实时更新。投标时提供承诺函并加盖公章。</w:t>
            </w:r>
          </w:p>
        </w:tc>
        <w:tc>
          <w:tcPr>
            <w:tcW w:w="671" w:type="dxa"/>
            <w:shd w:val="clear" w:color="000000" w:fill="FFFFFF"/>
            <w:vAlign w:val="center"/>
          </w:tcPr>
          <w:p w14:paraId="64F65618">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20" w:type="dxa"/>
            <w:shd w:val="clear" w:color="000000" w:fill="FFFFFF"/>
            <w:vAlign w:val="center"/>
          </w:tcPr>
          <w:p w14:paraId="49778D74">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728" w:type="dxa"/>
            <w:shd w:val="clear" w:color="000000" w:fill="FFFFFF"/>
            <w:vAlign w:val="center"/>
          </w:tcPr>
          <w:p w14:paraId="66398B52">
            <w:pPr>
              <w:widowControl/>
              <w:adjustRightInd/>
              <w:jc w:val="center"/>
              <w:rPr>
                <w:rFonts w:hint="eastAsia" w:ascii="宋体" w:hAnsi="宋体" w:cs="宋体"/>
                <w:color w:val="auto"/>
                <w:kern w:val="0"/>
                <w:szCs w:val="21"/>
                <w:highlight w:val="none"/>
              </w:rPr>
            </w:pPr>
          </w:p>
        </w:tc>
      </w:tr>
      <w:tr w14:paraId="02C9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0" w:type="dxa"/>
            <w:gridSpan w:val="6"/>
            <w:shd w:val="clear" w:color="000000" w:fill="FFFFFF"/>
            <w:vAlign w:val="center"/>
          </w:tcPr>
          <w:p w14:paraId="77501D85">
            <w:pPr>
              <w:widowControl/>
              <w:adjustRightInd/>
              <w:rPr>
                <w:rFonts w:hint="eastAsia" w:ascii="宋体" w:hAnsi="宋体" w:cs="宋体"/>
                <w:color w:val="auto"/>
                <w:kern w:val="0"/>
                <w:szCs w:val="21"/>
                <w:highlight w:val="none"/>
              </w:rPr>
            </w:pPr>
            <w:r>
              <w:rPr>
                <w:rFonts w:hint="eastAsia" w:ascii="宋体" w:hAnsi="宋体" w:cs="宋体"/>
                <w:color w:val="auto"/>
                <w:kern w:val="0"/>
                <w:szCs w:val="21"/>
                <w:highlight w:val="none"/>
              </w:rPr>
              <w:t>二、前端硬件</w:t>
            </w:r>
          </w:p>
        </w:tc>
      </w:tr>
      <w:tr w14:paraId="0546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6" w:type="dxa"/>
            <w:shd w:val="clear" w:color="000000" w:fill="FFFFFF"/>
            <w:vAlign w:val="center"/>
          </w:tcPr>
          <w:p w14:paraId="69E3139D">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763" w:type="dxa"/>
            <w:shd w:val="clear" w:color="000000" w:fill="FFFFFF"/>
            <w:vAlign w:val="center"/>
          </w:tcPr>
          <w:p w14:paraId="440A592B">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语音AI预警终端</w:t>
            </w:r>
          </w:p>
        </w:tc>
        <w:tc>
          <w:tcPr>
            <w:tcW w:w="5262" w:type="dxa"/>
            <w:shd w:val="clear" w:color="000000" w:fill="FFFFFF"/>
            <w:vAlign w:val="center"/>
          </w:tcPr>
          <w:p w14:paraId="70FBEAC0">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一、硬件要求</w:t>
            </w:r>
          </w:p>
          <w:p w14:paraId="19D61B5A">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1.安装方式：支持部署于学校内的各类室内场所，支持壁挂或吸顶安装；</w:t>
            </w:r>
          </w:p>
          <w:p w14:paraId="405BB9C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2.外部接口：≥1个USB接口（Type-C）；≥1个SIM卡插槽；≥1个音频输出接口，≥1个网络接口。</w:t>
            </w:r>
          </w:p>
          <w:p w14:paraId="3E1B81BA">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3.状态指示灯：支持通过指示灯的不同颜色监控设备的状态和运行。</w:t>
            </w:r>
          </w:p>
          <w:p w14:paraId="479D253A">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4.联网方式：支持4G全网通、有线网络；</w:t>
            </w:r>
          </w:p>
          <w:p w14:paraId="24C6B288">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5.扬声器：内置≥10W扬声器，支持外接有源音箱，适合在嘈杂环境下放大音量。</w:t>
            </w:r>
          </w:p>
          <w:p w14:paraId="758368D2">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6.其它：≥1个高灵敏度的麦克风阵列；≥1个高灵敏度人体存在检测雷达模块；含光感监测器。</w:t>
            </w:r>
          </w:p>
          <w:p w14:paraId="2F624A00">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二、软件功能要求</w:t>
            </w:r>
          </w:p>
          <w:p w14:paraId="33153F1C">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1.具备语音识别功能，内置深度学习算法；支持对欺凌、暴恐、紧急求助等不少于30个关键词进行实时分析，实现自动语音识别、自动干预；支持通过声光提示对现场进行震慑；</w:t>
            </w:r>
          </w:p>
          <w:p w14:paraId="6AF05B86">
            <w:pPr>
              <w:widowControl/>
              <w:adjustRightInd/>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2.具备快速求助功能，支持各种紧急情况下的语音报警求助，能够快速的进行预警信息的推送。</w:t>
            </w:r>
            <w:r>
              <w:rPr>
                <w:rFonts w:hint="eastAsia" w:ascii="宋体" w:hAnsi="宋体" w:cs="宋体"/>
                <w:b/>
                <w:bCs/>
                <w:color w:val="auto"/>
                <w:kern w:val="0"/>
                <w:szCs w:val="21"/>
                <w:highlight w:val="none"/>
              </w:rPr>
              <w:t>（投标时提供测试报告加盖公章）</w:t>
            </w:r>
          </w:p>
          <w:p w14:paraId="0E2BAC99">
            <w:pPr>
              <w:widowControl/>
              <w:adjustRightInd/>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3.具备双向对讲功能，支持微应用、手机APP与设备的双向对讲联动。</w:t>
            </w:r>
            <w:r>
              <w:rPr>
                <w:rFonts w:hint="eastAsia" w:ascii="宋体" w:hAnsi="宋体" w:cs="宋体"/>
                <w:b/>
                <w:bCs/>
                <w:color w:val="auto"/>
                <w:kern w:val="0"/>
                <w:szCs w:val="21"/>
                <w:highlight w:val="none"/>
              </w:rPr>
              <w:t>（投标时提供测试报告加盖公章）</w:t>
            </w:r>
          </w:p>
          <w:p w14:paraId="600028A5">
            <w:pPr>
              <w:widowControl/>
              <w:adjustRightInd/>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4.具备分贝监测功能，通过算法将音频数据实时进行分析，超出设定的阈值后进行报警。</w:t>
            </w:r>
            <w:r>
              <w:rPr>
                <w:rFonts w:hint="eastAsia" w:ascii="宋体" w:hAnsi="宋体" w:cs="宋体"/>
                <w:b/>
                <w:bCs/>
                <w:color w:val="auto"/>
                <w:kern w:val="0"/>
                <w:szCs w:val="21"/>
                <w:highlight w:val="none"/>
              </w:rPr>
              <w:t>（投标时提供测试报告加盖公章）</w:t>
            </w:r>
          </w:p>
          <w:p w14:paraId="2A372A6B">
            <w:pPr>
              <w:widowControl/>
              <w:adjustRightInd/>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5.具备人员滞留监测功能，通过实时读取毫米波雷达的数据，检测雷达范围内的人员滞留情况。</w:t>
            </w:r>
            <w:r>
              <w:rPr>
                <w:rFonts w:hint="eastAsia" w:ascii="宋体" w:hAnsi="宋体" w:cs="宋体"/>
                <w:b/>
                <w:bCs/>
                <w:color w:val="auto"/>
                <w:kern w:val="0"/>
                <w:szCs w:val="21"/>
                <w:highlight w:val="none"/>
              </w:rPr>
              <w:t>（投标时提供测试报告加盖公章）</w:t>
            </w:r>
          </w:p>
          <w:p w14:paraId="783F0A34">
            <w:pPr>
              <w:widowControl/>
              <w:adjustRightInd/>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6.具备光线检测功能，通过实时读取光线传感器的数据，判断光线强度是否超出设定阈值并进行预警。</w:t>
            </w:r>
            <w:r>
              <w:rPr>
                <w:rFonts w:hint="eastAsia" w:ascii="宋体" w:hAnsi="宋体" w:cs="宋体"/>
                <w:b/>
                <w:bCs/>
                <w:color w:val="auto"/>
                <w:kern w:val="0"/>
                <w:szCs w:val="21"/>
                <w:highlight w:val="none"/>
              </w:rPr>
              <w:t>（投标时提供测试报告加盖公章）</w:t>
            </w:r>
          </w:p>
          <w:p w14:paraId="5788768F">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7.具备免打扰设置功能，支持特殊环境或时段关闭声、光提示。</w:t>
            </w:r>
          </w:p>
          <w:p w14:paraId="43F2EDF9">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8.支持AI联合检测，支持通过语音AI分析和雷达技术联合现场环境检测，提供预警的准确度，降低误报率。</w:t>
            </w:r>
          </w:p>
          <w:p w14:paraId="0166D07D">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9.具备AI大模型检测功能，开启AI大模型对欺凌场景进行深入检测与识别，准确判断是否真正发生了危险，提供准确率，降低误报率。</w:t>
            </w:r>
          </w:p>
          <w:p w14:paraId="7312D71B">
            <w:pPr>
              <w:widowControl/>
              <w:adjustRightInd/>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10.软件功能应具备国家版权局颁发的计算机软件著作权证书，</w:t>
            </w:r>
            <w:r>
              <w:rPr>
                <w:rFonts w:hint="eastAsia" w:ascii="宋体" w:hAnsi="宋体" w:cs="宋体"/>
                <w:b/>
                <w:bCs/>
                <w:color w:val="auto"/>
                <w:kern w:val="0"/>
                <w:szCs w:val="21"/>
                <w:highlight w:val="none"/>
              </w:rPr>
              <w:t>投标时提供证书并加盖公章。</w:t>
            </w:r>
          </w:p>
        </w:tc>
        <w:tc>
          <w:tcPr>
            <w:tcW w:w="671" w:type="dxa"/>
            <w:shd w:val="clear" w:color="000000" w:fill="FFFFFF"/>
            <w:vAlign w:val="center"/>
          </w:tcPr>
          <w:p w14:paraId="50C0C85F">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195</w:t>
            </w:r>
          </w:p>
        </w:tc>
        <w:tc>
          <w:tcPr>
            <w:tcW w:w="620" w:type="dxa"/>
            <w:shd w:val="clear" w:color="000000" w:fill="FFFFFF"/>
            <w:vAlign w:val="center"/>
          </w:tcPr>
          <w:p w14:paraId="07C95BBD">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728" w:type="dxa"/>
            <w:shd w:val="clear" w:color="000000" w:fill="FFFFFF"/>
            <w:vAlign w:val="center"/>
          </w:tcPr>
          <w:p w14:paraId="104E947B">
            <w:pPr>
              <w:widowControl/>
              <w:adjustRightInd/>
              <w:jc w:val="center"/>
              <w:rPr>
                <w:rFonts w:hint="eastAsia" w:ascii="宋体" w:hAnsi="宋体" w:cs="宋体"/>
                <w:color w:val="auto"/>
                <w:kern w:val="0"/>
                <w:szCs w:val="21"/>
                <w:highlight w:val="none"/>
              </w:rPr>
            </w:pPr>
          </w:p>
        </w:tc>
      </w:tr>
      <w:tr w14:paraId="31E3E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6" w:type="dxa"/>
            <w:shd w:val="clear" w:color="000000" w:fill="FFFFFF"/>
            <w:vAlign w:val="center"/>
          </w:tcPr>
          <w:p w14:paraId="4CD55EE9">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763" w:type="dxa"/>
            <w:shd w:val="clear" w:color="000000" w:fill="FFFFFF"/>
            <w:vAlign w:val="center"/>
          </w:tcPr>
          <w:p w14:paraId="7280153C">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物联网卡</w:t>
            </w:r>
          </w:p>
        </w:tc>
        <w:tc>
          <w:tcPr>
            <w:tcW w:w="5262" w:type="dxa"/>
            <w:shd w:val="clear" w:color="000000" w:fill="FFFFFF"/>
            <w:vAlign w:val="center"/>
          </w:tcPr>
          <w:p w14:paraId="06E33C1D">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不低于一年2G/月流量，含3年流量。</w:t>
            </w:r>
          </w:p>
        </w:tc>
        <w:tc>
          <w:tcPr>
            <w:tcW w:w="671" w:type="dxa"/>
            <w:shd w:val="clear" w:color="000000" w:fill="FFFFFF"/>
            <w:vAlign w:val="center"/>
          </w:tcPr>
          <w:p w14:paraId="03716692">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195</w:t>
            </w:r>
          </w:p>
        </w:tc>
        <w:tc>
          <w:tcPr>
            <w:tcW w:w="620" w:type="dxa"/>
            <w:shd w:val="clear" w:color="000000" w:fill="FFFFFF"/>
            <w:vAlign w:val="center"/>
          </w:tcPr>
          <w:p w14:paraId="576656CD">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张</w:t>
            </w:r>
          </w:p>
        </w:tc>
        <w:tc>
          <w:tcPr>
            <w:tcW w:w="728" w:type="dxa"/>
            <w:shd w:val="clear" w:color="000000" w:fill="FFFFFF"/>
            <w:vAlign w:val="center"/>
          </w:tcPr>
          <w:p w14:paraId="2ACD7355">
            <w:pPr>
              <w:widowControl/>
              <w:adjustRightInd/>
              <w:jc w:val="center"/>
              <w:rPr>
                <w:rFonts w:hint="eastAsia" w:ascii="宋体" w:hAnsi="宋体" w:cs="宋体"/>
                <w:color w:val="auto"/>
                <w:kern w:val="0"/>
                <w:szCs w:val="21"/>
                <w:highlight w:val="none"/>
              </w:rPr>
            </w:pPr>
          </w:p>
        </w:tc>
      </w:tr>
      <w:tr w14:paraId="7AB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6" w:type="dxa"/>
            <w:shd w:val="clear" w:color="000000" w:fill="FFFFFF"/>
            <w:vAlign w:val="center"/>
          </w:tcPr>
          <w:p w14:paraId="6AAFEEDD">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763" w:type="dxa"/>
            <w:shd w:val="clear" w:color="000000" w:fill="FFFFFF"/>
            <w:vAlign w:val="center"/>
          </w:tcPr>
          <w:p w14:paraId="5C4A0AAB">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智能AI感知终端</w:t>
            </w:r>
          </w:p>
        </w:tc>
        <w:tc>
          <w:tcPr>
            <w:tcW w:w="5262" w:type="dxa"/>
            <w:shd w:val="clear" w:color="000000" w:fill="FFFFFF"/>
            <w:vAlign w:val="center"/>
          </w:tcPr>
          <w:p w14:paraId="32F51E23">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1.外部接口：≥1个10/100MB 以太网接口；≥1个SIM卡插槽；</w:t>
            </w:r>
          </w:p>
          <w:p w14:paraId="19C16AC9">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2.联网方式：支持4G全网通、有线网络；</w:t>
            </w:r>
          </w:p>
          <w:p w14:paraId="5BD3CC20">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3.状态指示灯：支持通过指示灯的不同颜色监控设备的运行状态，如设备故障、网络异常、触发告警、蓝牙连接等。</w:t>
            </w:r>
          </w:p>
          <w:p w14:paraId="04B896F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4.其他：≥1个高频毫米波雷达模块；≥4个高灵敏度麦克风；≥1个12瓦防水喇叭；≥1个告警输出端口，≥1个报警输入端口，支持对接声光报警器装置。</w:t>
            </w:r>
          </w:p>
          <w:p w14:paraId="246E3818">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5.产品具备IP65或以上防水等级。</w:t>
            </w:r>
          </w:p>
          <w:p w14:paraId="08EAF7CD">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6.内置4D高频毫米波雷达，工作频率应覆盖60~64GHz的范围；</w:t>
            </w:r>
          </w:p>
          <w:p w14:paraId="3835BB24">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（1）通过毫米波雷达能够准确识别目标方位、距离、速度及高度等，检测范围不低于8米；</w:t>
            </w:r>
          </w:p>
          <w:p w14:paraId="43144FA2">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（2）通过毫米波雷达能够识别人员异常聚集行为。</w:t>
            </w:r>
          </w:p>
          <w:p w14:paraId="16FBB092">
            <w:pPr>
              <w:widowControl/>
              <w:adjustRightInd/>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(3）具备雷达成像功能，支持本地web端实时浏览3D成像；</w:t>
            </w:r>
            <w:r>
              <w:rPr>
                <w:rFonts w:hint="eastAsia" w:ascii="宋体" w:hAnsi="宋体" w:cs="宋体"/>
                <w:b/>
                <w:bCs/>
                <w:color w:val="auto"/>
                <w:kern w:val="0"/>
                <w:szCs w:val="21"/>
                <w:highlight w:val="none"/>
              </w:rPr>
              <w:t>（投标时提供测试报告加盖公章）</w:t>
            </w:r>
          </w:p>
          <w:p w14:paraId="1161495C">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（4）支持预警事件发生时的雷达3D成像回放，回放时间不低于20秒。</w:t>
            </w:r>
          </w:p>
          <w:p w14:paraId="03DFED04">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（5）支持进入检测区域时，进行来人提醒警示，如自动播报“你已进入欺凌防范区域，如遇危险请大声呼救”。</w:t>
            </w:r>
          </w:p>
          <w:p w14:paraId="4BD82BBC">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7.内置深度学习算法、语音自动识别功能，关键词≥30个。</w:t>
            </w:r>
          </w:p>
          <w:p w14:paraId="593620C3">
            <w:pPr>
              <w:widowControl/>
              <w:adjustRightInd/>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8.支持对采集的关键词进行实时分析，实现自动语音识别，并实时上报预警。</w:t>
            </w:r>
            <w:r>
              <w:rPr>
                <w:rFonts w:hint="eastAsia" w:ascii="宋体" w:hAnsi="宋体" w:cs="宋体"/>
                <w:b/>
                <w:bCs/>
                <w:color w:val="auto"/>
                <w:kern w:val="0"/>
                <w:szCs w:val="21"/>
                <w:highlight w:val="none"/>
              </w:rPr>
              <w:t>（投标时提供测试报告加盖公章）</w:t>
            </w:r>
          </w:p>
          <w:p w14:paraId="0E3D09AC">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9.支持通过移动APP、智能护学接警终端等方式查看预警信息及进行双向通话；支持回声消除能力，提供高质量的双向通话。</w:t>
            </w:r>
          </w:p>
          <w:p w14:paraId="62F96854">
            <w:pPr>
              <w:widowControl/>
              <w:adjustRightInd/>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10.支持自动语音干预功能，内置多种语音干预方案；</w:t>
            </w:r>
            <w:r>
              <w:rPr>
                <w:rFonts w:hint="eastAsia" w:ascii="宋体" w:hAnsi="宋体" w:cs="宋体"/>
                <w:b/>
                <w:bCs/>
                <w:color w:val="auto"/>
                <w:kern w:val="0"/>
                <w:szCs w:val="21"/>
                <w:highlight w:val="none"/>
              </w:rPr>
              <w:t>（投标时提供测试报告加盖公章）</w:t>
            </w:r>
          </w:p>
          <w:p w14:paraId="4C89972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11.支持多种预警推送功能。支持APP通知、微信通知、短信通知、电话通知、钉钉以及web端等多种预警推送方式。</w:t>
            </w:r>
          </w:p>
          <w:p w14:paraId="0E20EF27">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12.支持双向语音通话功能，支持通过多类方式（如PC端、手机APP、微应用）和事发现场设备进行监听和喊话。</w:t>
            </w:r>
          </w:p>
          <w:p w14:paraId="50FE4685">
            <w:pPr>
              <w:widowControl/>
              <w:adjustRightInd/>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w:t>
            </w:r>
            <w:r>
              <w:rPr>
                <w:rFonts w:hint="eastAsia" w:ascii="宋体" w:hAnsi="宋体" w:cs="宋体"/>
                <w:color w:val="auto"/>
                <w:kern w:val="0"/>
                <w:szCs w:val="21"/>
                <w:highlight w:val="none"/>
              </w:rPr>
              <w:t>13.支持事发现场录音功能，支持自动录制触发预警时的音频；</w:t>
            </w:r>
            <w:r>
              <w:rPr>
                <w:rFonts w:hint="eastAsia" w:ascii="宋体" w:hAnsi="宋体" w:cs="宋体"/>
                <w:b/>
                <w:bCs/>
                <w:color w:val="auto"/>
                <w:kern w:val="0"/>
                <w:szCs w:val="21"/>
                <w:highlight w:val="none"/>
              </w:rPr>
              <w:t>（投标时提供测试报告加盖公章）</w:t>
            </w:r>
          </w:p>
          <w:p w14:paraId="58261F62">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14.支持通过状态灯的交替闪烁提示对现场进行震慑。</w:t>
            </w:r>
          </w:p>
          <w:p w14:paraId="6899621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15.支持免打扰设置功能，支持特殊环境或时段关闭声、光提示。</w:t>
            </w:r>
          </w:p>
          <w:p w14:paraId="0918EFD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16.支持AI联合检测，支持通过语音AI分析和雷达技术联合现场环境检测，提供预警的准确度，降低误报率。</w:t>
            </w:r>
          </w:p>
          <w:p w14:paraId="5B1BA09B">
            <w:pPr>
              <w:widowControl/>
              <w:adjustRightInd/>
              <w:jc w:val="left"/>
              <w:rPr>
                <w:rFonts w:hint="eastAsia" w:ascii="宋体" w:hAnsi="宋体" w:cs="宋体"/>
                <w:b/>
                <w:bCs/>
                <w:color w:val="auto"/>
                <w:kern w:val="0"/>
                <w:szCs w:val="21"/>
                <w:highlight w:val="none"/>
              </w:rPr>
            </w:pPr>
            <w:r>
              <w:rPr>
                <w:rFonts w:hint="eastAsia" w:ascii="宋体" w:hAnsi="宋体" w:cs="宋体"/>
                <w:color w:val="auto"/>
                <w:kern w:val="0"/>
                <w:szCs w:val="21"/>
                <w:highlight w:val="none"/>
              </w:rPr>
              <w:t>17.具备AI大模型检测功能，开启AI大模型对欺凌场景进行深入检测与识别，准确判断是否真正发生了危险，提供准确率，降低误报率。</w:t>
            </w:r>
            <w:r>
              <w:rPr>
                <w:rFonts w:hint="eastAsia" w:ascii="宋体" w:hAnsi="宋体" w:cs="宋体"/>
                <w:b/>
                <w:bCs/>
                <w:color w:val="auto"/>
                <w:kern w:val="0"/>
                <w:szCs w:val="21"/>
                <w:highlight w:val="none"/>
              </w:rPr>
              <w:t>（投标时提供功能截图或其他证明文件并加盖公章）</w:t>
            </w:r>
          </w:p>
          <w:p w14:paraId="067C9A67">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18.软件功能应具备国家版权局颁发的计算机软件著作权证书，</w:t>
            </w:r>
            <w:r>
              <w:rPr>
                <w:rFonts w:hint="eastAsia" w:ascii="宋体" w:hAnsi="宋体" w:cs="宋体"/>
                <w:b/>
                <w:bCs/>
                <w:color w:val="auto"/>
                <w:kern w:val="0"/>
                <w:szCs w:val="21"/>
                <w:highlight w:val="none"/>
              </w:rPr>
              <w:t>投标时提供证书复印件并加盖公章。</w:t>
            </w:r>
          </w:p>
        </w:tc>
        <w:tc>
          <w:tcPr>
            <w:tcW w:w="671" w:type="dxa"/>
            <w:shd w:val="clear" w:color="000000" w:fill="FFFFFF"/>
            <w:vAlign w:val="center"/>
          </w:tcPr>
          <w:p w14:paraId="22AEA0E4">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620" w:type="dxa"/>
            <w:shd w:val="clear" w:color="000000" w:fill="FFFFFF"/>
            <w:vAlign w:val="center"/>
          </w:tcPr>
          <w:p w14:paraId="62724D51">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台</w:t>
            </w:r>
          </w:p>
        </w:tc>
        <w:tc>
          <w:tcPr>
            <w:tcW w:w="728" w:type="dxa"/>
            <w:shd w:val="clear" w:color="000000" w:fill="FFFFFF"/>
            <w:vAlign w:val="center"/>
          </w:tcPr>
          <w:p w14:paraId="5462A9C3">
            <w:pPr>
              <w:widowControl/>
              <w:adjustRightInd/>
              <w:jc w:val="center"/>
              <w:rPr>
                <w:rFonts w:hint="eastAsia" w:ascii="宋体" w:hAnsi="宋体" w:cs="宋体"/>
                <w:color w:val="auto"/>
                <w:kern w:val="0"/>
                <w:szCs w:val="21"/>
                <w:highlight w:val="none"/>
              </w:rPr>
            </w:pPr>
          </w:p>
        </w:tc>
      </w:tr>
      <w:tr w14:paraId="0C272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6" w:type="dxa"/>
            <w:shd w:val="clear" w:color="000000" w:fill="FFFFFF"/>
            <w:vAlign w:val="center"/>
          </w:tcPr>
          <w:p w14:paraId="71F37822">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4</w:t>
            </w:r>
          </w:p>
        </w:tc>
        <w:tc>
          <w:tcPr>
            <w:tcW w:w="763" w:type="dxa"/>
            <w:shd w:val="clear" w:color="000000" w:fill="FFFFFF"/>
            <w:vAlign w:val="center"/>
          </w:tcPr>
          <w:p w14:paraId="7E1EF391">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物联网卡</w:t>
            </w:r>
          </w:p>
        </w:tc>
        <w:tc>
          <w:tcPr>
            <w:tcW w:w="5262" w:type="dxa"/>
            <w:shd w:val="clear" w:color="000000" w:fill="FFFFFF"/>
            <w:vAlign w:val="center"/>
          </w:tcPr>
          <w:p w14:paraId="69947F4B">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不低于一年6G/月流量，含3年流量。</w:t>
            </w:r>
          </w:p>
        </w:tc>
        <w:tc>
          <w:tcPr>
            <w:tcW w:w="671" w:type="dxa"/>
            <w:shd w:val="clear" w:color="000000" w:fill="FFFFFF"/>
            <w:vAlign w:val="center"/>
          </w:tcPr>
          <w:p w14:paraId="53B81AAA">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16</w:t>
            </w:r>
          </w:p>
        </w:tc>
        <w:tc>
          <w:tcPr>
            <w:tcW w:w="620" w:type="dxa"/>
            <w:shd w:val="clear" w:color="000000" w:fill="FFFFFF"/>
            <w:vAlign w:val="center"/>
          </w:tcPr>
          <w:p w14:paraId="454E2163">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张</w:t>
            </w:r>
          </w:p>
        </w:tc>
        <w:tc>
          <w:tcPr>
            <w:tcW w:w="728" w:type="dxa"/>
            <w:shd w:val="clear" w:color="000000" w:fill="FFFFFF"/>
            <w:vAlign w:val="center"/>
          </w:tcPr>
          <w:p w14:paraId="0DCBE15B">
            <w:pPr>
              <w:widowControl/>
              <w:adjustRightInd/>
              <w:jc w:val="center"/>
              <w:rPr>
                <w:rFonts w:hint="eastAsia" w:ascii="宋体" w:hAnsi="宋体" w:cs="宋体"/>
                <w:color w:val="auto"/>
                <w:kern w:val="0"/>
                <w:szCs w:val="21"/>
                <w:highlight w:val="none"/>
              </w:rPr>
            </w:pPr>
          </w:p>
        </w:tc>
      </w:tr>
      <w:tr w14:paraId="0A58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872" w:type="dxa"/>
            <w:gridSpan w:val="5"/>
            <w:shd w:val="clear" w:color="000000" w:fill="FFFFFF"/>
            <w:vAlign w:val="center"/>
          </w:tcPr>
          <w:p w14:paraId="35A84C26">
            <w:pPr>
              <w:widowControl/>
              <w:adjustRightInd/>
              <w:rPr>
                <w:rFonts w:hint="eastAsia" w:ascii="宋体" w:hAnsi="宋体" w:cs="宋体"/>
                <w:color w:val="auto"/>
                <w:kern w:val="0"/>
                <w:szCs w:val="21"/>
                <w:highlight w:val="none"/>
              </w:rPr>
            </w:pPr>
            <w:r>
              <w:rPr>
                <w:rFonts w:hint="eastAsia" w:ascii="宋体" w:hAnsi="宋体" w:cs="宋体"/>
                <w:color w:val="auto"/>
                <w:kern w:val="0"/>
                <w:szCs w:val="21"/>
                <w:highlight w:val="none"/>
              </w:rPr>
              <w:t>三、配套服务</w:t>
            </w:r>
          </w:p>
        </w:tc>
        <w:tc>
          <w:tcPr>
            <w:tcW w:w="728" w:type="dxa"/>
            <w:shd w:val="clear" w:color="000000" w:fill="FFFFFF"/>
            <w:vAlign w:val="center"/>
          </w:tcPr>
          <w:p w14:paraId="0482C527">
            <w:pPr>
              <w:widowControl/>
              <w:adjustRightInd/>
              <w:rPr>
                <w:rFonts w:hint="eastAsia" w:ascii="宋体" w:hAnsi="宋体" w:cs="宋体"/>
                <w:color w:val="auto"/>
                <w:kern w:val="0"/>
                <w:szCs w:val="21"/>
                <w:highlight w:val="none"/>
              </w:rPr>
            </w:pPr>
          </w:p>
        </w:tc>
      </w:tr>
      <w:tr w14:paraId="1E4DE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6" w:type="dxa"/>
            <w:shd w:val="clear" w:color="000000" w:fill="FFFFFF"/>
            <w:vAlign w:val="center"/>
          </w:tcPr>
          <w:p w14:paraId="6A190ADC">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763" w:type="dxa"/>
            <w:shd w:val="clear" w:color="000000" w:fill="FFFFFF"/>
            <w:vAlign w:val="center"/>
          </w:tcPr>
          <w:p w14:paraId="03D2F7C4">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系统集成服务</w:t>
            </w:r>
          </w:p>
        </w:tc>
        <w:tc>
          <w:tcPr>
            <w:tcW w:w="5262" w:type="dxa"/>
            <w:shd w:val="clear" w:color="000000" w:fill="FFFFFF"/>
            <w:vAlign w:val="center"/>
          </w:tcPr>
          <w:p w14:paraId="25A98652">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项目实施所需网线、电源线、PVC管、电缆线等辅材辅料；设备安装调试、培训及运维等配套集成服务。</w:t>
            </w:r>
          </w:p>
        </w:tc>
        <w:tc>
          <w:tcPr>
            <w:tcW w:w="671" w:type="dxa"/>
            <w:shd w:val="clear" w:color="000000" w:fill="FFFFFF"/>
            <w:vAlign w:val="center"/>
          </w:tcPr>
          <w:p w14:paraId="04FAB489">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20" w:type="dxa"/>
            <w:shd w:val="clear" w:color="000000" w:fill="FFFFFF"/>
            <w:vAlign w:val="center"/>
          </w:tcPr>
          <w:p w14:paraId="79B8CD17">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728" w:type="dxa"/>
            <w:shd w:val="clear" w:color="000000" w:fill="FFFFFF"/>
            <w:vAlign w:val="center"/>
          </w:tcPr>
          <w:p w14:paraId="4F742CF4">
            <w:pPr>
              <w:widowControl/>
              <w:adjustRightInd/>
              <w:jc w:val="center"/>
              <w:rPr>
                <w:rFonts w:hint="eastAsia" w:ascii="宋体" w:hAnsi="宋体" w:cs="宋体"/>
                <w:color w:val="auto"/>
                <w:kern w:val="0"/>
                <w:szCs w:val="21"/>
                <w:highlight w:val="none"/>
              </w:rPr>
            </w:pPr>
          </w:p>
        </w:tc>
      </w:tr>
      <w:tr w14:paraId="1F31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6" w:type="dxa"/>
            <w:shd w:val="clear" w:color="auto" w:fill="auto"/>
            <w:vAlign w:val="center"/>
          </w:tcPr>
          <w:p w14:paraId="701A3492">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763" w:type="dxa"/>
            <w:shd w:val="clear" w:color="auto" w:fill="auto"/>
            <w:vAlign w:val="center"/>
          </w:tcPr>
          <w:p w14:paraId="1D7E1C98">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国产数据库软件</w:t>
            </w:r>
          </w:p>
        </w:tc>
        <w:tc>
          <w:tcPr>
            <w:tcW w:w="5262" w:type="dxa"/>
            <w:shd w:val="clear" w:color="auto" w:fill="auto"/>
            <w:vAlign w:val="center"/>
          </w:tcPr>
          <w:p w14:paraId="0ADC8F75">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国产化数据库系统软件，需收录在中国信息安全测评中心安全可靠测评名单内。</w:t>
            </w:r>
          </w:p>
        </w:tc>
        <w:tc>
          <w:tcPr>
            <w:tcW w:w="671" w:type="dxa"/>
            <w:shd w:val="clear" w:color="auto" w:fill="auto"/>
            <w:vAlign w:val="center"/>
          </w:tcPr>
          <w:p w14:paraId="78CB8080">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20" w:type="dxa"/>
            <w:shd w:val="clear" w:color="auto" w:fill="auto"/>
            <w:vAlign w:val="center"/>
          </w:tcPr>
          <w:p w14:paraId="3744ED76">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728" w:type="dxa"/>
            <w:shd w:val="clear" w:color="000000" w:fill="FFFFFF"/>
            <w:vAlign w:val="center"/>
          </w:tcPr>
          <w:p w14:paraId="6E18BF3C">
            <w:pPr>
              <w:widowControl/>
              <w:adjustRightInd/>
              <w:jc w:val="center"/>
              <w:rPr>
                <w:rFonts w:hint="eastAsia" w:ascii="宋体" w:hAnsi="宋体" w:cs="宋体"/>
                <w:color w:val="auto"/>
                <w:kern w:val="0"/>
                <w:szCs w:val="21"/>
                <w:highlight w:val="none"/>
              </w:rPr>
            </w:pPr>
          </w:p>
        </w:tc>
      </w:tr>
      <w:tr w14:paraId="42D42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556" w:type="dxa"/>
            <w:shd w:val="clear" w:color="auto" w:fill="auto"/>
            <w:vAlign w:val="center"/>
          </w:tcPr>
          <w:p w14:paraId="315B3370">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763" w:type="dxa"/>
            <w:shd w:val="clear" w:color="auto" w:fill="auto"/>
            <w:vAlign w:val="center"/>
          </w:tcPr>
          <w:p w14:paraId="62CFB75D">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国产操作系统软件</w:t>
            </w:r>
          </w:p>
        </w:tc>
        <w:tc>
          <w:tcPr>
            <w:tcW w:w="5262" w:type="dxa"/>
            <w:shd w:val="clear" w:color="auto" w:fill="auto"/>
            <w:vAlign w:val="center"/>
          </w:tcPr>
          <w:p w14:paraId="2D1ABECF">
            <w:pPr>
              <w:widowControl/>
              <w:adjustRightInd/>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国产化操作系统软件，需收录在中国信息安全测评中心安全可靠测评名单内。</w:t>
            </w:r>
          </w:p>
        </w:tc>
        <w:tc>
          <w:tcPr>
            <w:tcW w:w="671" w:type="dxa"/>
            <w:shd w:val="clear" w:color="auto" w:fill="auto"/>
            <w:vAlign w:val="center"/>
          </w:tcPr>
          <w:p w14:paraId="2C85DF6A">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20" w:type="dxa"/>
            <w:shd w:val="clear" w:color="auto" w:fill="auto"/>
            <w:vAlign w:val="center"/>
          </w:tcPr>
          <w:p w14:paraId="707971F9">
            <w:pPr>
              <w:widowControl/>
              <w:adjustRightInd/>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套</w:t>
            </w:r>
          </w:p>
        </w:tc>
        <w:tc>
          <w:tcPr>
            <w:tcW w:w="728" w:type="dxa"/>
            <w:shd w:val="clear" w:color="000000" w:fill="FFFFFF"/>
            <w:vAlign w:val="center"/>
          </w:tcPr>
          <w:p w14:paraId="1280558A">
            <w:pPr>
              <w:widowControl/>
              <w:adjustRightInd/>
              <w:jc w:val="center"/>
              <w:rPr>
                <w:rFonts w:hint="eastAsia" w:ascii="宋体" w:hAnsi="宋体" w:cs="宋体"/>
                <w:color w:val="auto"/>
                <w:kern w:val="0"/>
                <w:szCs w:val="21"/>
                <w:highlight w:val="none"/>
              </w:rPr>
            </w:pPr>
          </w:p>
        </w:tc>
      </w:tr>
    </w:tbl>
    <w:p w14:paraId="7364D845">
      <w:pPr>
        <w:spacing w:line="360" w:lineRule="auto"/>
        <w:ind w:firstLine="480" w:firstLineChars="200"/>
        <w:jc w:val="left"/>
        <w:rPr>
          <w:rFonts w:hint="eastAsia" w:ascii="宋体" w:hAnsi="宋体" w:cs="宋体"/>
          <w:color w:val="auto"/>
          <w:sz w:val="24"/>
          <w:highlight w:val="none"/>
        </w:rPr>
      </w:pPr>
    </w:p>
    <w:p w14:paraId="3991428D">
      <w:pPr>
        <w:adjustRightInd/>
        <w:spacing w:line="360" w:lineRule="auto"/>
        <w:rPr>
          <w:rFonts w:hint="eastAsia" w:ascii="宋体" w:hAnsi="宋体" w:cs="宋体"/>
          <w:b/>
          <w:bCs/>
          <w:color w:val="auto"/>
          <w:sz w:val="24"/>
          <w:highlight w:val="none"/>
          <w:lang w:bidi="ar"/>
        </w:rPr>
      </w:pPr>
      <w:r>
        <w:rPr>
          <w:rFonts w:hint="eastAsia" w:ascii="宋体" w:hAnsi="宋体" w:cs="宋体"/>
          <w:b/>
          <w:bCs/>
          <w:color w:val="auto"/>
          <w:sz w:val="24"/>
          <w:highlight w:val="none"/>
          <w:lang w:bidi="ar"/>
        </w:rPr>
        <w:t>三、其他要求</w:t>
      </w:r>
    </w:p>
    <w:p w14:paraId="5ED509F2">
      <w:pPr>
        <w:adjustRightInd/>
        <w:spacing w:line="440" w:lineRule="exact"/>
        <w:ind w:firstLine="480" w:firstLineChars="200"/>
        <w:rPr>
          <w:rFonts w:hint="eastAsia" w:ascii="宋体" w:hAnsi="宋体" w:cs="宋体"/>
          <w:color w:val="auto"/>
          <w:sz w:val="24"/>
          <w:highlight w:val="none"/>
        </w:rPr>
        <w:sectPr>
          <w:pgSz w:w="11907" w:h="16840"/>
          <w:pgMar w:top="1474" w:right="1814" w:bottom="1474" w:left="1814" w:header="851" w:footer="851" w:gutter="0"/>
          <w:cols w:space="720" w:num="1"/>
        </w:sectPr>
      </w:pPr>
      <w:r>
        <w:rPr>
          <w:rFonts w:hint="eastAsia" w:ascii="宋体" w:hAnsi="宋体" w:cs="宋体"/>
          <w:color w:val="auto"/>
          <w:sz w:val="24"/>
          <w:highlight w:val="none"/>
        </w:rPr>
        <w:t>供应商需在投标文件中</w:t>
      </w:r>
      <w:r>
        <w:rPr>
          <w:rFonts w:hint="eastAsia" w:ascii="宋体" w:hAnsi="宋体" w:cs="宋体"/>
          <w:color w:val="auto"/>
          <w:sz w:val="24"/>
          <w:highlight w:val="none"/>
          <w:lang w:val="en-US" w:eastAsia="zh-CN"/>
        </w:rPr>
        <w:t>对技术参数要求进行响应，</w:t>
      </w:r>
      <w:r>
        <w:rPr>
          <w:rFonts w:hint="eastAsia" w:ascii="宋体" w:hAnsi="宋体" w:cs="宋体"/>
          <w:color w:val="auto"/>
          <w:sz w:val="24"/>
          <w:highlight w:val="none"/>
        </w:rPr>
        <w:t>针对本项目需求制定完善的项目供货方案、安装调试方案、培训计划</w:t>
      </w:r>
      <w:r>
        <w:rPr>
          <w:rFonts w:hint="eastAsia" w:ascii="宋体" w:hAnsi="宋体" w:cs="宋体"/>
          <w:color w:val="auto"/>
          <w:sz w:val="24"/>
          <w:highlight w:val="none"/>
          <w:lang w:eastAsia="zh-CN"/>
        </w:rPr>
        <w:t>、对接方案、质量保障方案、售后服务能力</w:t>
      </w:r>
      <w:r>
        <w:rPr>
          <w:rFonts w:hint="eastAsia" w:ascii="宋体" w:hAnsi="宋体" w:cs="宋体"/>
          <w:color w:val="auto"/>
          <w:sz w:val="24"/>
          <w:highlight w:val="none"/>
        </w:rPr>
        <w:t>，同时提供类似项目业绩的证明材料</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并进行功能演示</w:t>
      </w:r>
      <w:r>
        <w:rPr>
          <w:rFonts w:hint="eastAsia" w:ascii="宋体" w:hAnsi="宋体" w:cs="宋体"/>
          <w:color w:val="auto"/>
          <w:sz w:val="24"/>
          <w:highlight w:val="none"/>
        </w:rPr>
        <w:t>。</w:t>
      </w:r>
    </w:p>
    <w:p w14:paraId="534CC664">
      <w:pPr>
        <w:adjustRightInd/>
        <w:spacing w:line="360" w:lineRule="auto"/>
        <w:jc w:val="center"/>
        <w:rPr>
          <w:rFonts w:hint="eastAsia" w:ascii="宋体" w:hAnsi="宋体" w:cs="宋体"/>
          <w:b/>
          <w:color w:val="auto"/>
          <w:sz w:val="36"/>
          <w:szCs w:val="36"/>
          <w:highlight w:val="none"/>
        </w:rPr>
      </w:pPr>
      <w:bookmarkStart w:id="37" w:name="_Toc18651"/>
      <w:r>
        <w:rPr>
          <w:rFonts w:hint="eastAsia" w:ascii="宋体" w:hAnsi="宋体" w:cs="宋体"/>
          <w:b/>
          <w:color w:val="auto"/>
          <w:sz w:val="36"/>
          <w:szCs w:val="36"/>
          <w:highlight w:val="none"/>
        </w:rPr>
        <w:t xml:space="preserve">第四部分   </w:t>
      </w:r>
      <w:bookmarkStart w:id="38" w:name="_Toc184312068"/>
      <w:bookmarkEnd w:id="38"/>
      <w:bookmarkStart w:id="39" w:name="_Toc184310333"/>
      <w:bookmarkEnd w:id="39"/>
      <w:bookmarkStart w:id="40" w:name="_Toc184314448"/>
      <w:bookmarkEnd w:id="40"/>
      <w:bookmarkStart w:id="41" w:name="_Toc184313298"/>
      <w:bookmarkEnd w:id="41"/>
      <w:bookmarkStart w:id="42" w:name="_Toc184310300"/>
      <w:bookmarkEnd w:id="42"/>
      <w:bookmarkStart w:id="43" w:name="_Toc184308055"/>
      <w:bookmarkEnd w:id="43"/>
      <w:bookmarkStart w:id="44" w:name="_Toc184308073"/>
      <w:bookmarkEnd w:id="44"/>
      <w:bookmarkStart w:id="45" w:name="_Toc184314449"/>
      <w:bookmarkEnd w:id="45"/>
      <w:bookmarkStart w:id="46" w:name="_Toc184312083"/>
      <w:bookmarkEnd w:id="46"/>
      <w:bookmarkStart w:id="47" w:name="_Toc184314439"/>
      <w:bookmarkEnd w:id="47"/>
      <w:bookmarkStart w:id="48" w:name="_Toc184312131"/>
      <w:bookmarkEnd w:id="48"/>
      <w:bookmarkStart w:id="49" w:name="_Toc184314478"/>
      <w:bookmarkEnd w:id="49"/>
      <w:bookmarkStart w:id="50" w:name="_Toc184310321"/>
      <w:bookmarkEnd w:id="50"/>
      <w:bookmarkStart w:id="51" w:name="_Toc184314450"/>
      <w:bookmarkEnd w:id="51"/>
      <w:bookmarkStart w:id="52" w:name="_Toc184312078"/>
      <w:bookmarkEnd w:id="52"/>
      <w:bookmarkStart w:id="53" w:name="_Toc184310305"/>
      <w:bookmarkEnd w:id="53"/>
      <w:bookmarkStart w:id="54" w:name="_Toc184314416"/>
      <w:bookmarkEnd w:id="54"/>
      <w:bookmarkStart w:id="55" w:name="_Toc184310281"/>
      <w:bookmarkEnd w:id="55"/>
      <w:bookmarkStart w:id="56" w:name="_Toc184310335"/>
      <w:bookmarkEnd w:id="56"/>
      <w:bookmarkStart w:id="57" w:name="_Toc184314457"/>
      <w:bookmarkEnd w:id="57"/>
      <w:bookmarkStart w:id="58" w:name="_Toc184310295"/>
      <w:bookmarkEnd w:id="58"/>
      <w:bookmarkStart w:id="59" w:name="_Toc184308049"/>
      <w:bookmarkEnd w:id="59"/>
      <w:bookmarkStart w:id="60" w:name="_Toc184313283"/>
      <w:bookmarkEnd w:id="60"/>
      <w:bookmarkStart w:id="61" w:name="_Toc184310292"/>
      <w:bookmarkEnd w:id="61"/>
      <w:bookmarkStart w:id="62" w:name="_Toc184314413"/>
      <w:bookmarkEnd w:id="62"/>
      <w:bookmarkStart w:id="63" w:name="_Toc184310307"/>
      <w:bookmarkEnd w:id="63"/>
      <w:bookmarkStart w:id="64" w:name="_Toc184310276"/>
      <w:bookmarkEnd w:id="64"/>
      <w:bookmarkStart w:id="65" w:name="_Toc184313256"/>
      <w:bookmarkEnd w:id="65"/>
      <w:bookmarkStart w:id="66" w:name="_Toc184314446"/>
      <w:bookmarkEnd w:id="66"/>
      <w:bookmarkStart w:id="67" w:name="_Toc184308068"/>
      <w:bookmarkEnd w:id="67"/>
      <w:bookmarkStart w:id="68" w:name="_Toc184314481"/>
      <w:bookmarkEnd w:id="68"/>
      <w:bookmarkStart w:id="69" w:name="_Toc184314418"/>
      <w:bookmarkEnd w:id="69"/>
      <w:bookmarkStart w:id="70" w:name="_Toc184310323"/>
      <w:bookmarkEnd w:id="70"/>
      <w:bookmarkStart w:id="71" w:name="_Toc184314469"/>
      <w:bookmarkEnd w:id="71"/>
      <w:bookmarkStart w:id="72" w:name="_Toc184314480"/>
      <w:bookmarkEnd w:id="72"/>
      <w:bookmarkStart w:id="73" w:name="_Toc184312097"/>
      <w:bookmarkEnd w:id="73"/>
      <w:bookmarkStart w:id="74" w:name="_Toc184313296"/>
      <w:bookmarkEnd w:id="74"/>
      <w:bookmarkStart w:id="75" w:name="_Toc184308108"/>
      <w:bookmarkEnd w:id="75"/>
      <w:bookmarkStart w:id="76" w:name="_Toc184308039"/>
      <w:bookmarkEnd w:id="76"/>
      <w:bookmarkStart w:id="77" w:name="_Toc184308085"/>
      <w:bookmarkEnd w:id="77"/>
      <w:bookmarkStart w:id="78" w:name="_Toc184314417"/>
      <w:bookmarkEnd w:id="78"/>
      <w:bookmarkStart w:id="79" w:name="_Toc184308060"/>
      <w:bookmarkEnd w:id="79"/>
      <w:bookmarkStart w:id="80" w:name="_Toc184313260"/>
      <w:bookmarkEnd w:id="80"/>
      <w:bookmarkStart w:id="81" w:name="_Toc184310284"/>
      <w:bookmarkEnd w:id="81"/>
      <w:bookmarkStart w:id="82" w:name="_Toc184312096"/>
      <w:bookmarkEnd w:id="82"/>
      <w:bookmarkStart w:id="83" w:name="_Toc184314433"/>
      <w:bookmarkEnd w:id="83"/>
      <w:bookmarkStart w:id="84" w:name="_Toc184313304"/>
      <w:bookmarkEnd w:id="84"/>
      <w:bookmarkStart w:id="85" w:name="_Toc184312136"/>
      <w:bookmarkEnd w:id="85"/>
      <w:bookmarkStart w:id="86" w:name="_Toc184313242"/>
      <w:bookmarkEnd w:id="86"/>
      <w:bookmarkStart w:id="87" w:name="_Toc184313270"/>
      <w:bookmarkEnd w:id="87"/>
      <w:bookmarkStart w:id="88" w:name="_Toc184310303"/>
      <w:bookmarkEnd w:id="88"/>
      <w:bookmarkStart w:id="89" w:name="_Toc184312128"/>
      <w:bookmarkEnd w:id="89"/>
      <w:bookmarkStart w:id="90" w:name="_Toc184310312"/>
      <w:bookmarkEnd w:id="90"/>
      <w:bookmarkStart w:id="91" w:name="_Toc184314456"/>
      <w:bookmarkEnd w:id="91"/>
      <w:bookmarkStart w:id="92" w:name="_Toc184313246"/>
      <w:bookmarkEnd w:id="92"/>
      <w:bookmarkStart w:id="93" w:name="_Toc184314458"/>
      <w:bookmarkEnd w:id="93"/>
      <w:bookmarkStart w:id="94" w:name="_Toc184312084"/>
      <w:bookmarkEnd w:id="94"/>
      <w:bookmarkStart w:id="95" w:name="_Toc184313261"/>
      <w:bookmarkEnd w:id="95"/>
      <w:bookmarkStart w:id="96" w:name="_Toc184308081"/>
      <w:bookmarkEnd w:id="96"/>
      <w:bookmarkStart w:id="97" w:name="_Toc184310329"/>
      <w:bookmarkEnd w:id="97"/>
      <w:bookmarkStart w:id="98" w:name="_Toc184310332"/>
      <w:bookmarkEnd w:id="98"/>
      <w:bookmarkStart w:id="99" w:name="_Toc184308064"/>
      <w:bookmarkEnd w:id="99"/>
      <w:bookmarkStart w:id="100" w:name="_Toc184312113"/>
      <w:bookmarkEnd w:id="100"/>
      <w:bookmarkStart w:id="101" w:name="_Toc184308061"/>
      <w:bookmarkEnd w:id="101"/>
      <w:bookmarkStart w:id="102" w:name="_Toc184312109"/>
      <w:bookmarkEnd w:id="102"/>
      <w:bookmarkStart w:id="103" w:name="_Toc184308043"/>
      <w:bookmarkEnd w:id="103"/>
      <w:bookmarkStart w:id="104" w:name="_Toc184310282"/>
      <w:bookmarkEnd w:id="104"/>
      <w:bookmarkStart w:id="105" w:name="_Toc184314462"/>
      <w:bookmarkEnd w:id="105"/>
      <w:bookmarkStart w:id="106" w:name="_Toc184308059"/>
      <w:bookmarkEnd w:id="106"/>
      <w:bookmarkStart w:id="107" w:name="_Toc184308087"/>
      <w:bookmarkEnd w:id="107"/>
      <w:bookmarkStart w:id="108" w:name="_Toc184308078"/>
      <w:bookmarkEnd w:id="108"/>
      <w:bookmarkStart w:id="109" w:name="_Toc184314421"/>
      <w:bookmarkEnd w:id="109"/>
      <w:bookmarkStart w:id="110" w:name="_Toc184308102"/>
      <w:bookmarkEnd w:id="110"/>
      <w:bookmarkStart w:id="111" w:name="_Toc184308050"/>
      <w:bookmarkEnd w:id="111"/>
      <w:bookmarkStart w:id="112" w:name="_Toc184310285"/>
      <w:bookmarkEnd w:id="112"/>
      <w:bookmarkStart w:id="113" w:name="_Toc184314436"/>
      <w:bookmarkEnd w:id="113"/>
      <w:bookmarkStart w:id="114" w:name="_Toc184308104"/>
      <w:bookmarkEnd w:id="114"/>
      <w:bookmarkStart w:id="115" w:name="_Toc184313284"/>
      <w:bookmarkEnd w:id="115"/>
      <w:bookmarkStart w:id="116" w:name="_Toc184313290"/>
      <w:bookmarkEnd w:id="116"/>
      <w:bookmarkStart w:id="117" w:name="_Toc184308051"/>
      <w:bookmarkEnd w:id="117"/>
      <w:bookmarkStart w:id="118" w:name="_Toc184313303"/>
      <w:bookmarkEnd w:id="118"/>
      <w:bookmarkStart w:id="119" w:name="_Toc184313266"/>
      <w:bookmarkEnd w:id="119"/>
      <w:bookmarkStart w:id="120" w:name="_Toc184308090"/>
      <w:bookmarkEnd w:id="120"/>
      <w:bookmarkStart w:id="121" w:name="_Toc184310274"/>
      <w:bookmarkEnd w:id="121"/>
      <w:bookmarkStart w:id="122" w:name="_Toc184314464"/>
      <w:bookmarkEnd w:id="122"/>
      <w:bookmarkStart w:id="123" w:name="_Toc184313239"/>
      <w:bookmarkEnd w:id="123"/>
      <w:bookmarkStart w:id="124" w:name="_Toc184313291"/>
      <w:bookmarkEnd w:id="124"/>
      <w:bookmarkStart w:id="125" w:name="_Toc184310339"/>
      <w:bookmarkEnd w:id="125"/>
      <w:bookmarkStart w:id="126" w:name="_Toc184313281"/>
      <w:bookmarkEnd w:id="126"/>
      <w:bookmarkStart w:id="127" w:name="_Toc184313247"/>
      <w:bookmarkEnd w:id="127"/>
      <w:bookmarkStart w:id="128" w:name="_Toc184308057"/>
      <w:bookmarkEnd w:id="128"/>
      <w:bookmarkStart w:id="129" w:name="_Toc184314432"/>
      <w:bookmarkEnd w:id="129"/>
      <w:bookmarkStart w:id="130" w:name="_Toc184310314"/>
      <w:bookmarkEnd w:id="130"/>
      <w:bookmarkStart w:id="131" w:name="_Toc184313302"/>
      <w:bookmarkEnd w:id="131"/>
      <w:bookmarkStart w:id="132" w:name="_Toc184314420"/>
      <w:bookmarkEnd w:id="132"/>
      <w:bookmarkStart w:id="133" w:name="_Toc184313286"/>
      <w:bookmarkEnd w:id="133"/>
      <w:bookmarkStart w:id="134" w:name="_Toc184308077"/>
      <w:bookmarkEnd w:id="134"/>
      <w:bookmarkStart w:id="135" w:name="_Toc184312092"/>
      <w:bookmarkEnd w:id="135"/>
      <w:bookmarkStart w:id="136" w:name="_Toc184308066"/>
      <w:bookmarkEnd w:id="136"/>
      <w:bookmarkStart w:id="137" w:name="_Toc184312134"/>
      <w:bookmarkEnd w:id="137"/>
      <w:bookmarkStart w:id="138" w:name="_Toc184313263"/>
      <w:bookmarkEnd w:id="138"/>
      <w:bookmarkStart w:id="139" w:name="_Toc184313258"/>
      <w:bookmarkEnd w:id="139"/>
      <w:bookmarkStart w:id="140" w:name="_Toc184310340"/>
      <w:bookmarkEnd w:id="140"/>
      <w:bookmarkStart w:id="141" w:name="_Toc184312087"/>
      <w:bookmarkEnd w:id="141"/>
      <w:bookmarkStart w:id="142" w:name="_Toc184310293"/>
      <w:bookmarkEnd w:id="142"/>
      <w:bookmarkStart w:id="143" w:name="_Toc184312123"/>
      <w:bookmarkEnd w:id="143"/>
      <w:bookmarkStart w:id="144" w:name="_Toc184313267"/>
      <w:bookmarkEnd w:id="144"/>
      <w:bookmarkStart w:id="145" w:name="_Toc184308103"/>
      <w:bookmarkEnd w:id="145"/>
      <w:bookmarkStart w:id="146" w:name="_Toc184310327"/>
      <w:bookmarkEnd w:id="146"/>
      <w:bookmarkStart w:id="147" w:name="_Toc184310315"/>
      <w:bookmarkEnd w:id="147"/>
      <w:bookmarkStart w:id="148" w:name="_Toc184312072"/>
      <w:bookmarkEnd w:id="148"/>
      <w:bookmarkStart w:id="149" w:name="_Toc184312137"/>
      <w:bookmarkEnd w:id="149"/>
      <w:bookmarkStart w:id="150" w:name="_Toc184310326"/>
      <w:bookmarkEnd w:id="150"/>
      <w:bookmarkStart w:id="151" w:name="_Toc184310324"/>
      <w:bookmarkEnd w:id="151"/>
      <w:bookmarkStart w:id="152" w:name="_Toc184310289"/>
      <w:bookmarkEnd w:id="152"/>
      <w:bookmarkStart w:id="153" w:name="_Toc184313297"/>
      <w:bookmarkEnd w:id="153"/>
      <w:bookmarkStart w:id="154" w:name="_Toc184308075"/>
      <w:bookmarkEnd w:id="154"/>
      <w:bookmarkStart w:id="155" w:name="_Toc184308098"/>
      <w:bookmarkEnd w:id="155"/>
      <w:bookmarkStart w:id="156" w:name="_Toc184313244"/>
      <w:bookmarkEnd w:id="156"/>
      <w:bookmarkStart w:id="157" w:name="_Toc184310296"/>
      <w:bookmarkEnd w:id="157"/>
      <w:bookmarkStart w:id="158" w:name="_Toc184313249"/>
      <w:bookmarkEnd w:id="158"/>
      <w:bookmarkStart w:id="159" w:name="_Toc184313288"/>
      <w:bookmarkEnd w:id="159"/>
      <w:bookmarkStart w:id="160" w:name="_Toc184312088"/>
      <w:bookmarkEnd w:id="160"/>
      <w:bookmarkStart w:id="161" w:name="_Toc184314479"/>
      <w:bookmarkEnd w:id="161"/>
      <w:bookmarkStart w:id="162" w:name="_Toc184314474"/>
      <w:bookmarkEnd w:id="162"/>
      <w:bookmarkStart w:id="163" w:name="_Toc184308042"/>
      <w:bookmarkEnd w:id="163"/>
      <w:bookmarkStart w:id="164" w:name="_Toc184313265"/>
      <w:bookmarkEnd w:id="164"/>
      <w:bookmarkStart w:id="165" w:name="_Toc184308083"/>
      <w:bookmarkEnd w:id="165"/>
      <w:bookmarkStart w:id="166" w:name="_Toc184314473"/>
      <w:bookmarkEnd w:id="166"/>
      <w:bookmarkStart w:id="167" w:name="_Toc184312103"/>
      <w:bookmarkEnd w:id="167"/>
      <w:bookmarkStart w:id="168" w:name="_Toc184312107"/>
      <w:bookmarkEnd w:id="168"/>
      <w:bookmarkStart w:id="169" w:name="_Toc184313253"/>
      <w:bookmarkEnd w:id="169"/>
      <w:bookmarkStart w:id="170" w:name="_Toc184310272"/>
      <w:bookmarkEnd w:id="170"/>
      <w:bookmarkStart w:id="171" w:name="_Toc184308082"/>
      <w:bookmarkEnd w:id="171"/>
      <w:bookmarkStart w:id="172" w:name="_Toc184312099"/>
      <w:bookmarkEnd w:id="172"/>
      <w:bookmarkStart w:id="173" w:name="_Toc184308091"/>
      <w:bookmarkEnd w:id="173"/>
      <w:bookmarkStart w:id="174" w:name="_Toc184312100"/>
      <w:bookmarkEnd w:id="174"/>
      <w:bookmarkStart w:id="175" w:name="_Toc184314466"/>
      <w:bookmarkEnd w:id="175"/>
      <w:bookmarkStart w:id="176" w:name="_Toc184310294"/>
      <w:bookmarkEnd w:id="176"/>
      <w:bookmarkStart w:id="177" w:name="_Toc184308058"/>
      <w:bookmarkEnd w:id="177"/>
      <w:bookmarkStart w:id="178" w:name="_Toc184310341"/>
      <w:bookmarkEnd w:id="178"/>
      <w:bookmarkStart w:id="179" w:name="_Toc184308097"/>
      <w:bookmarkEnd w:id="179"/>
      <w:bookmarkStart w:id="180" w:name="_Toc184313307"/>
      <w:bookmarkEnd w:id="180"/>
      <w:bookmarkStart w:id="181" w:name="_Toc184313295"/>
      <w:bookmarkEnd w:id="181"/>
      <w:bookmarkStart w:id="182" w:name="_Toc184314453"/>
      <w:bookmarkEnd w:id="182"/>
      <w:bookmarkStart w:id="183" w:name="_Toc184308088"/>
      <w:bookmarkEnd w:id="183"/>
      <w:bookmarkStart w:id="184" w:name="_Toc184308044"/>
      <w:bookmarkEnd w:id="184"/>
      <w:bookmarkStart w:id="185" w:name="_Toc184310291"/>
      <w:bookmarkEnd w:id="185"/>
      <w:bookmarkStart w:id="186" w:name="_Toc184310316"/>
      <w:bookmarkEnd w:id="186"/>
      <w:bookmarkStart w:id="187" w:name="_Toc184308072"/>
      <w:bookmarkEnd w:id="187"/>
      <w:bookmarkStart w:id="188" w:name="_Toc184313269"/>
      <w:bookmarkEnd w:id="188"/>
      <w:bookmarkStart w:id="189" w:name="_Toc184312114"/>
      <w:bookmarkEnd w:id="189"/>
      <w:bookmarkStart w:id="190" w:name="_Toc184314445"/>
      <w:bookmarkEnd w:id="190"/>
      <w:bookmarkStart w:id="191" w:name="_Toc184310334"/>
      <w:bookmarkEnd w:id="191"/>
      <w:bookmarkStart w:id="192" w:name="_Toc184312135"/>
      <w:bookmarkEnd w:id="192"/>
      <w:bookmarkStart w:id="193" w:name="_Toc184310304"/>
      <w:bookmarkEnd w:id="193"/>
      <w:bookmarkStart w:id="194" w:name="_Toc184312086"/>
      <w:bookmarkEnd w:id="194"/>
      <w:bookmarkStart w:id="195" w:name="_Toc184312122"/>
      <w:bookmarkEnd w:id="195"/>
      <w:bookmarkStart w:id="196" w:name="_Toc184312125"/>
      <w:bookmarkEnd w:id="196"/>
      <w:bookmarkStart w:id="197" w:name="_Toc184312110"/>
      <w:bookmarkEnd w:id="197"/>
      <w:bookmarkStart w:id="198" w:name="_Toc184314461"/>
      <w:bookmarkEnd w:id="198"/>
      <w:bookmarkStart w:id="199" w:name="_Toc184312080"/>
      <w:bookmarkEnd w:id="199"/>
      <w:bookmarkStart w:id="200" w:name="_Toc184308093"/>
      <w:bookmarkEnd w:id="200"/>
      <w:bookmarkStart w:id="201" w:name="_Toc184313240"/>
      <w:bookmarkEnd w:id="201"/>
      <w:bookmarkStart w:id="202" w:name="_Toc184308092"/>
      <w:bookmarkEnd w:id="202"/>
      <w:bookmarkStart w:id="203" w:name="_Toc184313287"/>
      <w:bookmarkEnd w:id="203"/>
      <w:bookmarkStart w:id="204" w:name="_Toc184312082"/>
      <w:bookmarkEnd w:id="204"/>
      <w:bookmarkStart w:id="205" w:name="_Toc184314419"/>
      <w:bookmarkEnd w:id="205"/>
      <w:bookmarkStart w:id="206" w:name="_Toc184308040"/>
      <w:bookmarkEnd w:id="206"/>
      <w:bookmarkStart w:id="207" w:name="_Toc184308053"/>
      <w:bookmarkEnd w:id="207"/>
      <w:bookmarkStart w:id="208" w:name="_Toc184314422"/>
      <w:bookmarkEnd w:id="208"/>
      <w:bookmarkStart w:id="209" w:name="_Toc184312111"/>
      <w:bookmarkEnd w:id="209"/>
      <w:bookmarkStart w:id="210" w:name="_Toc184308037"/>
      <w:bookmarkEnd w:id="210"/>
      <w:bookmarkStart w:id="211" w:name="_Toc184308076"/>
      <w:bookmarkEnd w:id="211"/>
      <w:bookmarkStart w:id="212" w:name="_Toc184312093"/>
      <w:bookmarkEnd w:id="212"/>
      <w:bookmarkStart w:id="213" w:name="_Toc184312112"/>
      <w:bookmarkEnd w:id="213"/>
      <w:bookmarkStart w:id="214" w:name="_Toc184314415"/>
      <w:bookmarkEnd w:id="214"/>
      <w:bookmarkStart w:id="215" w:name="_Toc184310325"/>
      <w:bookmarkEnd w:id="215"/>
      <w:bookmarkStart w:id="216" w:name="_Toc184313294"/>
      <w:bookmarkEnd w:id="216"/>
      <w:bookmarkStart w:id="217" w:name="_Toc184313245"/>
      <w:bookmarkEnd w:id="217"/>
      <w:bookmarkStart w:id="218" w:name="_Toc184308041"/>
      <w:bookmarkEnd w:id="218"/>
      <w:bookmarkStart w:id="219" w:name="_Toc184308099"/>
      <w:bookmarkEnd w:id="219"/>
      <w:bookmarkStart w:id="220" w:name="_Toc184308048"/>
      <w:bookmarkEnd w:id="220"/>
      <w:bookmarkStart w:id="221" w:name="_Toc184314442"/>
      <w:bookmarkEnd w:id="221"/>
      <w:bookmarkStart w:id="222" w:name="_Toc184312074"/>
      <w:bookmarkEnd w:id="222"/>
      <w:bookmarkStart w:id="223" w:name="_Toc184312124"/>
      <w:bookmarkEnd w:id="223"/>
      <w:bookmarkStart w:id="224" w:name="_Toc184308054"/>
      <w:bookmarkEnd w:id="224"/>
      <w:bookmarkStart w:id="225" w:name="_Toc184310290"/>
      <w:bookmarkEnd w:id="225"/>
      <w:bookmarkStart w:id="226" w:name="_Toc184308067"/>
      <w:bookmarkEnd w:id="226"/>
      <w:bookmarkStart w:id="227" w:name="_Toc184313310"/>
      <w:bookmarkEnd w:id="227"/>
      <w:bookmarkStart w:id="228" w:name="_Toc184312108"/>
      <w:bookmarkEnd w:id="228"/>
      <w:bookmarkStart w:id="229" w:name="_Toc184314471"/>
      <w:bookmarkEnd w:id="229"/>
      <w:bookmarkStart w:id="230" w:name="_Toc184313268"/>
      <w:bookmarkEnd w:id="230"/>
      <w:bookmarkStart w:id="231" w:name="_Toc184310331"/>
      <w:bookmarkEnd w:id="231"/>
      <w:bookmarkStart w:id="232" w:name="_Toc184310302"/>
      <w:bookmarkEnd w:id="232"/>
      <w:bookmarkStart w:id="233" w:name="_Toc184312119"/>
      <w:bookmarkEnd w:id="233"/>
      <w:bookmarkStart w:id="234" w:name="_Toc184314435"/>
      <w:bookmarkEnd w:id="234"/>
      <w:bookmarkStart w:id="235" w:name="_Toc184314444"/>
      <w:bookmarkEnd w:id="235"/>
      <w:bookmarkStart w:id="236" w:name="_Toc184308038"/>
      <w:bookmarkEnd w:id="236"/>
      <w:bookmarkStart w:id="237" w:name="_Toc184310344"/>
      <w:bookmarkEnd w:id="237"/>
      <w:bookmarkStart w:id="238" w:name="_Toc184314414"/>
      <w:bookmarkEnd w:id="238"/>
      <w:bookmarkStart w:id="239" w:name="_Toc184313264"/>
      <w:bookmarkEnd w:id="239"/>
      <w:bookmarkStart w:id="240" w:name="_Toc184312069"/>
      <w:bookmarkEnd w:id="240"/>
      <w:bookmarkStart w:id="241" w:name="_Toc184313252"/>
      <w:bookmarkEnd w:id="241"/>
      <w:bookmarkStart w:id="242" w:name="_Toc184308063"/>
      <w:bookmarkEnd w:id="242"/>
      <w:bookmarkStart w:id="243" w:name="_Toc184308105"/>
      <w:bookmarkEnd w:id="243"/>
      <w:bookmarkStart w:id="244" w:name="_Toc184313309"/>
      <w:bookmarkEnd w:id="244"/>
      <w:bookmarkStart w:id="245" w:name="_Toc184313289"/>
      <w:bookmarkEnd w:id="245"/>
      <w:bookmarkStart w:id="246" w:name="_Toc184310286"/>
      <w:bookmarkEnd w:id="246"/>
      <w:bookmarkStart w:id="247" w:name="_Toc184308080"/>
      <w:bookmarkEnd w:id="247"/>
      <w:bookmarkStart w:id="248" w:name="_Toc184313285"/>
      <w:bookmarkEnd w:id="248"/>
      <w:bookmarkStart w:id="249" w:name="_Toc184308100"/>
      <w:bookmarkEnd w:id="249"/>
      <w:bookmarkStart w:id="250" w:name="_Toc184312116"/>
      <w:bookmarkEnd w:id="250"/>
      <w:bookmarkStart w:id="251" w:name="_Toc184313280"/>
      <w:bookmarkEnd w:id="251"/>
      <w:bookmarkStart w:id="252" w:name="_Toc184308056"/>
      <w:bookmarkEnd w:id="252"/>
      <w:bookmarkStart w:id="253" w:name="_Toc184312085"/>
      <w:bookmarkEnd w:id="253"/>
      <w:bookmarkStart w:id="254" w:name="_Toc184313248"/>
      <w:bookmarkEnd w:id="254"/>
      <w:bookmarkStart w:id="255" w:name="_Toc184310338"/>
      <w:bookmarkEnd w:id="255"/>
      <w:bookmarkStart w:id="256" w:name="_Toc184312102"/>
      <w:bookmarkEnd w:id="256"/>
      <w:bookmarkStart w:id="257" w:name="_Toc184314428"/>
      <w:bookmarkEnd w:id="257"/>
      <w:bookmarkStart w:id="258" w:name="_Toc184312098"/>
      <w:bookmarkEnd w:id="258"/>
      <w:bookmarkStart w:id="259" w:name="_Toc184313273"/>
      <w:bookmarkEnd w:id="259"/>
      <w:bookmarkStart w:id="260" w:name="_Toc184313251"/>
      <w:bookmarkEnd w:id="260"/>
      <w:bookmarkStart w:id="261" w:name="_Toc184310306"/>
      <w:bookmarkEnd w:id="261"/>
      <w:bookmarkStart w:id="262" w:name="_Toc184312120"/>
      <w:bookmarkEnd w:id="262"/>
      <w:bookmarkStart w:id="263" w:name="_Toc184308046"/>
      <w:bookmarkEnd w:id="263"/>
      <w:bookmarkStart w:id="264" w:name="_Toc184312105"/>
      <w:bookmarkEnd w:id="264"/>
      <w:bookmarkStart w:id="265" w:name="_Toc184313278"/>
      <w:bookmarkEnd w:id="265"/>
      <w:bookmarkStart w:id="266" w:name="_Toc184314443"/>
      <w:bookmarkEnd w:id="266"/>
      <w:bookmarkStart w:id="267" w:name="_Toc184314412"/>
      <w:bookmarkEnd w:id="267"/>
      <w:bookmarkStart w:id="268" w:name="_Toc184314465"/>
      <w:bookmarkEnd w:id="268"/>
      <w:bookmarkStart w:id="269" w:name="_Toc184310320"/>
      <w:bookmarkEnd w:id="269"/>
      <w:bookmarkStart w:id="270" w:name="_Toc184312139"/>
      <w:bookmarkEnd w:id="270"/>
      <w:bookmarkStart w:id="271" w:name="_Toc184313272"/>
      <w:bookmarkEnd w:id="271"/>
      <w:bookmarkStart w:id="272" w:name="_Toc184314459"/>
      <w:bookmarkEnd w:id="272"/>
      <w:bookmarkStart w:id="273" w:name="_Toc184312127"/>
      <w:bookmarkEnd w:id="273"/>
      <w:bookmarkStart w:id="274" w:name="_Toc184310328"/>
      <w:bookmarkEnd w:id="274"/>
      <w:bookmarkStart w:id="275" w:name="_Toc184310317"/>
      <w:bookmarkEnd w:id="275"/>
      <w:bookmarkStart w:id="276" w:name="_Toc184313275"/>
      <w:bookmarkEnd w:id="276"/>
      <w:bookmarkStart w:id="277" w:name="_Toc184308094"/>
      <w:bookmarkEnd w:id="277"/>
      <w:bookmarkStart w:id="278" w:name="_Toc184313305"/>
      <w:bookmarkEnd w:id="278"/>
      <w:bookmarkStart w:id="279" w:name="_Toc184312115"/>
      <w:bookmarkEnd w:id="279"/>
      <w:bookmarkStart w:id="280" w:name="_Toc184310297"/>
      <w:bookmarkEnd w:id="280"/>
      <w:bookmarkStart w:id="281" w:name="_Toc184314410"/>
      <w:bookmarkEnd w:id="281"/>
      <w:bookmarkStart w:id="282" w:name="_Toc184313277"/>
      <w:bookmarkEnd w:id="282"/>
      <w:bookmarkStart w:id="283" w:name="_Toc184313299"/>
      <w:bookmarkEnd w:id="283"/>
      <w:bookmarkStart w:id="284" w:name="_Toc184312133"/>
      <w:bookmarkEnd w:id="284"/>
      <w:bookmarkStart w:id="285" w:name="_Toc184314454"/>
      <w:bookmarkEnd w:id="285"/>
      <w:bookmarkStart w:id="286" w:name="_Toc184312129"/>
      <w:bookmarkEnd w:id="286"/>
      <w:bookmarkStart w:id="287" w:name="_Toc184312076"/>
      <w:bookmarkEnd w:id="287"/>
      <w:bookmarkStart w:id="288" w:name="_Toc184308069"/>
      <w:bookmarkEnd w:id="288"/>
      <w:bookmarkStart w:id="289" w:name="_Toc184310279"/>
      <w:bookmarkEnd w:id="289"/>
      <w:bookmarkStart w:id="290" w:name="_Toc184308107"/>
      <w:bookmarkEnd w:id="290"/>
      <w:bookmarkStart w:id="291" w:name="_Toc184312075"/>
      <w:bookmarkEnd w:id="291"/>
      <w:bookmarkStart w:id="292" w:name="_Toc184314451"/>
      <w:bookmarkEnd w:id="292"/>
      <w:bookmarkStart w:id="293" w:name="_Toc184308062"/>
      <w:bookmarkEnd w:id="293"/>
      <w:bookmarkStart w:id="294" w:name="_Toc184310298"/>
      <w:bookmarkEnd w:id="294"/>
      <w:bookmarkStart w:id="295" w:name="_Toc184310322"/>
      <w:bookmarkEnd w:id="295"/>
      <w:bookmarkStart w:id="296" w:name="_Toc184310301"/>
      <w:bookmarkEnd w:id="296"/>
      <w:bookmarkStart w:id="297" w:name="_Toc184310280"/>
      <w:bookmarkEnd w:id="297"/>
      <w:bookmarkStart w:id="298" w:name="_Toc184313276"/>
      <w:bookmarkEnd w:id="298"/>
      <w:bookmarkStart w:id="299" w:name="_Toc184314423"/>
      <w:bookmarkEnd w:id="299"/>
      <w:bookmarkStart w:id="300" w:name="_Toc184314472"/>
      <w:bookmarkEnd w:id="300"/>
      <w:bookmarkStart w:id="301" w:name="_Toc184308106"/>
      <w:bookmarkEnd w:id="301"/>
      <w:bookmarkStart w:id="302" w:name="_Toc184314452"/>
      <w:bookmarkEnd w:id="302"/>
      <w:bookmarkStart w:id="303" w:name="_Toc184310313"/>
      <w:bookmarkEnd w:id="303"/>
      <w:bookmarkStart w:id="304" w:name="_Toc184312138"/>
      <w:bookmarkEnd w:id="304"/>
      <w:bookmarkStart w:id="305" w:name="_Toc184313257"/>
      <w:bookmarkEnd w:id="305"/>
      <w:bookmarkStart w:id="306" w:name="_Toc184308096"/>
      <w:bookmarkEnd w:id="306"/>
      <w:bookmarkStart w:id="307" w:name="_Toc184313308"/>
      <w:bookmarkEnd w:id="307"/>
      <w:bookmarkStart w:id="308" w:name="_Toc184314426"/>
      <w:bookmarkEnd w:id="308"/>
      <w:bookmarkStart w:id="309" w:name="_Toc184310310"/>
      <w:bookmarkEnd w:id="309"/>
      <w:bookmarkStart w:id="310" w:name="_Toc184310275"/>
      <w:bookmarkEnd w:id="310"/>
      <w:bookmarkStart w:id="311" w:name="_Toc184312104"/>
      <w:bookmarkEnd w:id="311"/>
      <w:bookmarkStart w:id="312" w:name="_Toc184314460"/>
      <w:bookmarkEnd w:id="312"/>
      <w:bookmarkStart w:id="313" w:name="_Toc184314447"/>
      <w:bookmarkEnd w:id="313"/>
      <w:bookmarkStart w:id="314" w:name="_Toc184308095"/>
      <w:bookmarkEnd w:id="314"/>
      <w:bookmarkStart w:id="315" w:name="_Toc184312071"/>
      <w:bookmarkEnd w:id="315"/>
      <w:bookmarkStart w:id="316" w:name="_Toc184314470"/>
      <w:bookmarkEnd w:id="316"/>
      <w:bookmarkStart w:id="317" w:name="_Toc184312089"/>
      <w:bookmarkEnd w:id="317"/>
      <w:bookmarkStart w:id="318" w:name="_Toc184312091"/>
      <w:bookmarkEnd w:id="318"/>
      <w:bookmarkStart w:id="319" w:name="_Toc184310318"/>
      <w:bookmarkEnd w:id="319"/>
      <w:bookmarkStart w:id="320" w:name="_Toc184312073"/>
      <w:bookmarkEnd w:id="320"/>
      <w:bookmarkStart w:id="321" w:name="_Toc184314482"/>
      <w:bookmarkEnd w:id="321"/>
      <w:bookmarkStart w:id="322" w:name="_Toc184312106"/>
      <w:bookmarkEnd w:id="322"/>
      <w:bookmarkStart w:id="323" w:name="_Toc184312132"/>
      <w:bookmarkEnd w:id="323"/>
      <w:bookmarkStart w:id="324" w:name="_Toc184314425"/>
      <w:bookmarkEnd w:id="324"/>
      <w:bookmarkStart w:id="325" w:name="_Toc184310309"/>
      <w:bookmarkEnd w:id="325"/>
      <w:bookmarkStart w:id="326" w:name="_Toc184314475"/>
      <w:bookmarkEnd w:id="326"/>
      <w:bookmarkStart w:id="327" w:name="_Toc184313243"/>
      <w:bookmarkEnd w:id="327"/>
      <w:bookmarkStart w:id="328" w:name="_Toc184313250"/>
      <w:bookmarkEnd w:id="328"/>
      <w:bookmarkStart w:id="329" w:name="_Toc184310342"/>
      <w:bookmarkEnd w:id="329"/>
      <w:bookmarkStart w:id="330" w:name="_Toc184313301"/>
      <w:bookmarkEnd w:id="330"/>
      <w:bookmarkStart w:id="331" w:name="_Toc184310278"/>
      <w:bookmarkEnd w:id="331"/>
      <w:bookmarkStart w:id="332" w:name="_Toc184314431"/>
      <w:bookmarkEnd w:id="332"/>
      <w:bookmarkStart w:id="333" w:name="_Toc184310337"/>
      <w:bookmarkEnd w:id="333"/>
      <w:bookmarkStart w:id="334" w:name="_Toc184314429"/>
      <w:bookmarkEnd w:id="334"/>
      <w:bookmarkStart w:id="335" w:name="_Toc184312126"/>
      <w:bookmarkEnd w:id="335"/>
      <w:bookmarkStart w:id="336" w:name="_Toc184308047"/>
      <w:bookmarkEnd w:id="336"/>
      <w:bookmarkStart w:id="337" w:name="_Toc184310277"/>
      <w:bookmarkEnd w:id="337"/>
      <w:bookmarkStart w:id="338" w:name="_Toc184312095"/>
      <w:bookmarkEnd w:id="338"/>
      <w:bookmarkStart w:id="339" w:name="_Toc184314455"/>
      <w:bookmarkEnd w:id="339"/>
      <w:bookmarkStart w:id="340" w:name="_Toc184308084"/>
      <w:bookmarkEnd w:id="340"/>
      <w:bookmarkStart w:id="341" w:name="_Toc184312117"/>
      <w:bookmarkEnd w:id="341"/>
      <w:bookmarkStart w:id="342" w:name="_Toc184312121"/>
      <w:bookmarkEnd w:id="342"/>
      <w:bookmarkStart w:id="343" w:name="_Toc184312118"/>
      <w:bookmarkEnd w:id="343"/>
      <w:bookmarkStart w:id="344" w:name="_Toc184313262"/>
      <w:bookmarkEnd w:id="344"/>
      <w:bookmarkStart w:id="345" w:name="_Toc184313271"/>
      <w:bookmarkEnd w:id="345"/>
      <w:bookmarkStart w:id="346" w:name="_Toc184314427"/>
      <w:bookmarkEnd w:id="346"/>
      <w:bookmarkStart w:id="347" w:name="_Toc184310311"/>
      <w:bookmarkEnd w:id="347"/>
      <w:bookmarkStart w:id="348" w:name="_Toc184312101"/>
      <w:bookmarkEnd w:id="348"/>
      <w:bookmarkStart w:id="349" w:name="_Toc184308070"/>
      <w:bookmarkEnd w:id="349"/>
      <w:bookmarkStart w:id="350" w:name="_Toc184310273"/>
      <w:bookmarkEnd w:id="350"/>
      <w:bookmarkStart w:id="351" w:name="_Toc184308065"/>
      <w:bookmarkEnd w:id="351"/>
      <w:bookmarkStart w:id="352" w:name="_Toc184313293"/>
      <w:bookmarkEnd w:id="352"/>
      <w:bookmarkStart w:id="353" w:name="_Toc184313300"/>
      <w:bookmarkEnd w:id="353"/>
      <w:bookmarkStart w:id="354" w:name="_Toc184314477"/>
      <w:bookmarkEnd w:id="354"/>
      <w:bookmarkStart w:id="355" w:name="_Toc184313292"/>
      <w:bookmarkEnd w:id="355"/>
      <w:bookmarkStart w:id="356" w:name="_Toc184312067"/>
      <w:bookmarkEnd w:id="356"/>
      <w:bookmarkStart w:id="357" w:name="_Toc184314440"/>
      <w:bookmarkEnd w:id="357"/>
      <w:bookmarkStart w:id="358" w:name="_Toc184308036"/>
      <w:bookmarkEnd w:id="358"/>
      <w:bookmarkStart w:id="359" w:name="_Toc184314434"/>
      <w:bookmarkEnd w:id="359"/>
      <w:bookmarkStart w:id="360" w:name="_Toc184308079"/>
      <w:bookmarkEnd w:id="360"/>
      <w:bookmarkStart w:id="361" w:name="_Toc184314411"/>
      <w:bookmarkEnd w:id="361"/>
      <w:bookmarkStart w:id="362" w:name="_Toc184310330"/>
      <w:bookmarkEnd w:id="362"/>
      <w:bookmarkStart w:id="363" w:name="_Toc184314441"/>
      <w:bookmarkEnd w:id="363"/>
      <w:bookmarkStart w:id="364" w:name="_Toc184314437"/>
      <w:bookmarkEnd w:id="364"/>
      <w:bookmarkStart w:id="365" w:name="_Toc184314430"/>
      <w:bookmarkEnd w:id="365"/>
      <w:bookmarkStart w:id="366" w:name="_Toc184314476"/>
      <w:bookmarkEnd w:id="366"/>
      <w:bookmarkStart w:id="367" w:name="_Toc184308101"/>
      <w:bookmarkEnd w:id="367"/>
      <w:bookmarkStart w:id="368" w:name="_Toc184312070"/>
      <w:bookmarkEnd w:id="368"/>
      <w:bookmarkStart w:id="369" w:name="_Toc184312081"/>
      <w:bookmarkEnd w:id="369"/>
      <w:bookmarkStart w:id="370" w:name="_Toc184310308"/>
      <w:bookmarkEnd w:id="370"/>
      <w:bookmarkStart w:id="371" w:name="_Toc184312094"/>
      <w:bookmarkEnd w:id="371"/>
      <w:bookmarkStart w:id="372" w:name="_Toc184310336"/>
      <w:bookmarkEnd w:id="372"/>
      <w:bookmarkStart w:id="373" w:name="_Toc184313241"/>
      <w:bookmarkEnd w:id="373"/>
      <w:bookmarkStart w:id="374" w:name="_Toc184314467"/>
      <w:bookmarkEnd w:id="374"/>
      <w:bookmarkStart w:id="375" w:name="_Toc184314438"/>
      <w:bookmarkEnd w:id="375"/>
      <w:bookmarkStart w:id="376" w:name="_Toc184313279"/>
      <w:bookmarkEnd w:id="376"/>
      <w:bookmarkStart w:id="377" w:name="_Toc184308045"/>
      <w:bookmarkEnd w:id="377"/>
      <w:bookmarkStart w:id="378" w:name="_Toc184308089"/>
      <w:bookmarkEnd w:id="378"/>
      <w:bookmarkStart w:id="379" w:name="_Toc184313238"/>
      <w:bookmarkEnd w:id="379"/>
      <w:bookmarkStart w:id="380" w:name="_Toc184313282"/>
      <w:bookmarkEnd w:id="380"/>
      <w:bookmarkStart w:id="381" w:name="_Toc184308052"/>
      <w:bookmarkEnd w:id="381"/>
      <w:bookmarkStart w:id="382" w:name="_Toc184310319"/>
      <w:bookmarkEnd w:id="382"/>
      <w:bookmarkStart w:id="383" w:name="_Toc184313254"/>
      <w:bookmarkEnd w:id="383"/>
      <w:bookmarkStart w:id="384" w:name="_Toc184313259"/>
      <w:bookmarkEnd w:id="384"/>
      <w:bookmarkStart w:id="385" w:name="_Toc184310283"/>
      <w:bookmarkEnd w:id="385"/>
      <w:bookmarkStart w:id="386" w:name="_Toc184314424"/>
      <w:bookmarkEnd w:id="386"/>
      <w:bookmarkStart w:id="387" w:name="_Toc184313274"/>
      <w:bookmarkEnd w:id="387"/>
      <w:bookmarkStart w:id="388" w:name="_Toc184312090"/>
      <w:bookmarkEnd w:id="388"/>
      <w:bookmarkStart w:id="389" w:name="_Toc184310287"/>
      <w:bookmarkEnd w:id="389"/>
      <w:bookmarkStart w:id="390" w:name="_Toc184314463"/>
      <w:bookmarkEnd w:id="390"/>
      <w:bookmarkStart w:id="391" w:name="_Toc184313255"/>
      <w:bookmarkEnd w:id="391"/>
      <w:bookmarkStart w:id="392" w:name="_Toc184312079"/>
      <w:bookmarkEnd w:id="392"/>
      <w:bookmarkStart w:id="393" w:name="_Toc184313306"/>
      <w:bookmarkEnd w:id="393"/>
      <w:bookmarkStart w:id="394" w:name="_Toc184308086"/>
      <w:bookmarkEnd w:id="394"/>
      <w:bookmarkStart w:id="395" w:name="_Toc184314468"/>
      <w:bookmarkEnd w:id="395"/>
      <w:bookmarkStart w:id="396" w:name="_Toc184310343"/>
      <w:bookmarkEnd w:id="396"/>
      <w:bookmarkStart w:id="397" w:name="_Toc184308074"/>
      <w:bookmarkEnd w:id="397"/>
      <w:bookmarkStart w:id="398" w:name="_Toc184312130"/>
      <w:bookmarkEnd w:id="398"/>
      <w:bookmarkStart w:id="399" w:name="_Toc184308071"/>
      <w:bookmarkEnd w:id="399"/>
      <w:bookmarkStart w:id="400" w:name="_Toc184312077"/>
      <w:bookmarkEnd w:id="400"/>
      <w:bookmarkStart w:id="401" w:name="_Toc184310299"/>
      <w:bookmarkEnd w:id="401"/>
      <w:bookmarkStart w:id="402" w:name="_Toc184310288"/>
      <w:bookmarkEnd w:id="402"/>
      <w:r>
        <w:rPr>
          <w:rFonts w:hint="eastAsia" w:ascii="宋体" w:hAnsi="宋体" w:cs="宋体"/>
          <w:b/>
          <w:color w:val="auto"/>
          <w:sz w:val="36"/>
          <w:szCs w:val="36"/>
          <w:highlight w:val="none"/>
        </w:rPr>
        <w:t>评标办法</w:t>
      </w:r>
      <w:bookmarkEnd w:id="37"/>
    </w:p>
    <w:p w14:paraId="619A17AD">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p w14:paraId="42D9C71A">
      <w:pPr>
        <w:widowControl/>
        <w:adjustRightInd/>
        <w:spacing w:line="360" w:lineRule="exact"/>
        <w:jc w:val="center"/>
        <w:rPr>
          <w:rFonts w:hint="eastAsia" w:ascii="宋体" w:hAnsi="宋体" w:cs="宋体"/>
          <w:b/>
          <w:bCs/>
          <w:color w:val="auto"/>
          <w:kern w:val="0"/>
          <w:sz w:val="32"/>
          <w:szCs w:val="40"/>
          <w:highlight w:val="none"/>
        </w:rPr>
      </w:pPr>
      <w:r>
        <w:rPr>
          <w:rFonts w:hint="eastAsia" w:ascii="宋体" w:hAnsi="宋体" w:cs="宋体"/>
          <w:b/>
          <w:bCs/>
          <w:color w:val="auto"/>
          <w:kern w:val="0"/>
          <w:sz w:val="32"/>
          <w:szCs w:val="40"/>
          <w:highlight w:val="none"/>
        </w:rPr>
        <w:t>评分标准表</w:t>
      </w:r>
    </w:p>
    <w:tbl>
      <w:tblPr>
        <w:tblStyle w:val="63"/>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1103"/>
        <w:gridCol w:w="5910"/>
        <w:gridCol w:w="760"/>
        <w:gridCol w:w="920"/>
      </w:tblGrid>
      <w:tr w14:paraId="450D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122" w:type="pct"/>
            <w:gridSpan w:val="3"/>
            <w:vAlign w:val="center"/>
          </w:tcPr>
          <w:p w14:paraId="5A5A0171">
            <w:pPr>
              <w:adjustRightInd/>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评审内容</w:t>
            </w:r>
          </w:p>
        </w:tc>
        <w:tc>
          <w:tcPr>
            <w:tcW w:w="397" w:type="pct"/>
            <w:vAlign w:val="center"/>
          </w:tcPr>
          <w:p w14:paraId="2D96F37B">
            <w:pPr>
              <w:adjustRightInd/>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分值</w:t>
            </w:r>
          </w:p>
        </w:tc>
        <w:tc>
          <w:tcPr>
            <w:tcW w:w="480" w:type="pct"/>
            <w:vAlign w:val="center"/>
          </w:tcPr>
          <w:p w14:paraId="7F2C5572">
            <w:pPr>
              <w:adjustRightInd/>
              <w:spacing w:line="360" w:lineRule="exact"/>
              <w:jc w:val="center"/>
              <w:rPr>
                <w:rFonts w:hint="eastAsia" w:ascii="宋体" w:hAnsi="宋体" w:cs="宋体"/>
                <w:bCs/>
                <w:color w:val="auto"/>
                <w:sz w:val="24"/>
                <w:highlight w:val="none"/>
              </w:rPr>
            </w:pPr>
            <w:r>
              <w:rPr>
                <w:rFonts w:hint="eastAsia" w:ascii="宋体" w:hAnsi="宋体" w:cs="宋体"/>
                <w:bCs/>
                <w:color w:val="auto"/>
                <w:sz w:val="24"/>
                <w:highlight w:val="none"/>
              </w:rPr>
              <w:t>备注</w:t>
            </w:r>
          </w:p>
        </w:tc>
      </w:tr>
      <w:tr w14:paraId="1821E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61" w:type="pct"/>
            <w:vAlign w:val="center"/>
          </w:tcPr>
          <w:p w14:paraId="047445EF">
            <w:pPr>
              <w:adjustRightInd/>
              <w:spacing w:line="360" w:lineRule="exact"/>
              <w:jc w:val="center"/>
              <w:rPr>
                <w:rFonts w:hint="eastAsia" w:ascii="宋体" w:hAnsi="宋体" w:cs="宋体"/>
                <w:bCs/>
                <w:color w:val="auto"/>
                <w:sz w:val="24"/>
                <w:highlight w:val="none"/>
              </w:rPr>
            </w:pPr>
            <w:r>
              <w:rPr>
                <w:rFonts w:hint="eastAsia" w:ascii="宋体" w:hAnsi="宋体" w:cs="宋体"/>
                <w:color w:val="auto"/>
                <w:sz w:val="24"/>
                <w:highlight w:val="none"/>
              </w:rPr>
              <w:t>价格分（3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tc>
        <w:tc>
          <w:tcPr>
            <w:tcW w:w="3660" w:type="pct"/>
            <w:gridSpan w:val="2"/>
            <w:vAlign w:val="center"/>
          </w:tcPr>
          <w:p w14:paraId="1FE4176A">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评标基准价指的是满足招标文件要求且最低的参与评审的价格。</w:t>
            </w:r>
          </w:p>
          <w:p w14:paraId="7F6D60D1">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参与评审的价格=投标报价-小微企业价格扣除优惠值10%（如有）。</w:t>
            </w:r>
          </w:p>
          <w:p w14:paraId="179A2697">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参与评审的价格为评标基准价的其价格得分得满分3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分。</w:t>
            </w:r>
          </w:p>
          <w:p w14:paraId="7A862BFB">
            <w:pPr>
              <w:adjustRightInd/>
              <w:spacing w:line="360" w:lineRule="auto"/>
              <w:rPr>
                <w:rFonts w:hint="eastAsia" w:ascii="宋体" w:hAnsi="宋体" w:cs="宋体"/>
                <w:color w:val="auto"/>
                <w:sz w:val="24"/>
                <w:highlight w:val="none"/>
              </w:rPr>
            </w:pPr>
            <w:r>
              <w:rPr>
                <w:rFonts w:hint="eastAsia" w:ascii="宋体" w:hAnsi="宋体" w:cs="宋体"/>
                <w:color w:val="auto"/>
                <w:sz w:val="24"/>
                <w:highlight w:val="none"/>
              </w:rPr>
              <w:t>其他供应商价格得分按照下列公式计算：</w:t>
            </w:r>
          </w:p>
          <w:p w14:paraId="7CEA2D91">
            <w:pPr>
              <w:adjustRightInd/>
              <w:spacing w:line="360" w:lineRule="exact"/>
              <w:rPr>
                <w:rFonts w:hint="eastAsia" w:ascii="宋体" w:hAnsi="宋体" w:cs="宋体"/>
                <w:bCs/>
                <w:color w:val="auto"/>
                <w:sz w:val="24"/>
                <w:highlight w:val="none"/>
              </w:rPr>
            </w:pPr>
            <w:r>
              <w:rPr>
                <w:rFonts w:hint="eastAsia" w:ascii="宋体" w:hAnsi="宋体" w:cs="宋体"/>
                <w:color w:val="auto"/>
                <w:sz w:val="24"/>
                <w:highlight w:val="none"/>
              </w:rPr>
              <w:t>价格得分=（评标基准价/参与评审的价格）×3</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%×100。</w:t>
            </w:r>
          </w:p>
        </w:tc>
        <w:tc>
          <w:tcPr>
            <w:tcW w:w="397" w:type="pct"/>
            <w:vAlign w:val="center"/>
          </w:tcPr>
          <w:p w14:paraId="2CAE18B0">
            <w:pPr>
              <w:adjustRightInd/>
              <w:spacing w:line="360" w:lineRule="exact"/>
              <w:jc w:val="center"/>
              <w:rPr>
                <w:rFonts w:hint="eastAsia" w:ascii="宋体" w:hAnsi="宋体" w:eastAsia="宋体" w:cs="宋体"/>
                <w:bCs/>
                <w:color w:val="auto"/>
                <w:kern w:val="0"/>
                <w:sz w:val="24"/>
                <w:highlight w:val="none"/>
                <w:lang w:eastAsia="zh-CN"/>
              </w:rPr>
            </w:pPr>
            <w:r>
              <w:rPr>
                <w:rFonts w:hint="eastAsia" w:ascii="宋体" w:hAnsi="宋体" w:cs="宋体"/>
                <w:bCs/>
                <w:color w:val="auto"/>
                <w:kern w:val="0"/>
                <w:sz w:val="24"/>
                <w:highlight w:val="none"/>
              </w:rPr>
              <w:t>3</w:t>
            </w:r>
            <w:r>
              <w:rPr>
                <w:rFonts w:hint="eastAsia" w:ascii="宋体" w:hAnsi="宋体" w:cs="宋体"/>
                <w:bCs/>
                <w:color w:val="auto"/>
                <w:kern w:val="0"/>
                <w:sz w:val="24"/>
                <w:highlight w:val="none"/>
                <w:lang w:val="en-US" w:eastAsia="zh-CN"/>
              </w:rPr>
              <w:t>2</w:t>
            </w:r>
          </w:p>
        </w:tc>
        <w:tc>
          <w:tcPr>
            <w:tcW w:w="480" w:type="pct"/>
            <w:vAlign w:val="center"/>
          </w:tcPr>
          <w:p w14:paraId="21095DC1">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客观评审</w:t>
            </w:r>
          </w:p>
        </w:tc>
      </w:tr>
      <w:tr w14:paraId="3B80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jc w:val="center"/>
        </w:trPr>
        <w:tc>
          <w:tcPr>
            <w:tcW w:w="461" w:type="pct"/>
            <w:vMerge w:val="restart"/>
            <w:vAlign w:val="center"/>
          </w:tcPr>
          <w:p w14:paraId="595B7F43">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商务技术分（</w:t>
            </w:r>
            <w:r>
              <w:rPr>
                <w:rFonts w:hint="eastAsia" w:ascii="宋体" w:hAnsi="宋体" w:cs="宋体"/>
                <w:color w:val="auto"/>
                <w:sz w:val="24"/>
                <w:highlight w:val="none"/>
                <w:lang w:val="en-US" w:eastAsia="zh-CN"/>
              </w:rPr>
              <w:t>68</w:t>
            </w:r>
            <w:r>
              <w:rPr>
                <w:rFonts w:hint="eastAsia" w:ascii="宋体" w:hAnsi="宋体" w:cs="宋体"/>
                <w:color w:val="auto"/>
                <w:sz w:val="24"/>
                <w:highlight w:val="none"/>
              </w:rPr>
              <w:t>分）</w:t>
            </w:r>
          </w:p>
        </w:tc>
        <w:tc>
          <w:tcPr>
            <w:tcW w:w="576" w:type="pct"/>
            <w:vAlign w:val="center"/>
          </w:tcPr>
          <w:p w14:paraId="048FB4FD">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1、设备参数响应程度</w:t>
            </w:r>
          </w:p>
          <w:p w14:paraId="0073CB1F">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w:t>
            </w:r>
          </w:p>
        </w:tc>
        <w:tc>
          <w:tcPr>
            <w:tcW w:w="3084" w:type="pct"/>
            <w:vAlign w:val="center"/>
          </w:tcPr>
          <w:p w14:paraId="6ECF4005">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（1）完全响应招标文件“第三部分 采购需求 二、改造内容”中所有技术参数要求的得2</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分；</w:t>
            </w:r>
          </w:p>
          <w:p w14:paraId="679AE3DB">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（2）“第三部分 采购需求 二、改造内容”中未标“★”的参数，每负偏离一条扣1分。</w:t>
            </w:r>
          </w:p>
          <w:p w14:paraId="4D64E052">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（3）“第三部分 采购需求 二、改造内容”中标“★”的参数，每负偏离一条扣2分。</w:t>
            </w:r>
          </w:p>
          <w:p w14:paraId="22474EA6">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注：①当有供应商此项分值扣减至0分时，其投标响应文件作无效标处理，不再进行评审。②技术参数如要求提供证明材料作为响应佐证的，未提供或报告不能体现参数要求的视为负偏离。</w:t>
            </w:r>
          </w:p>
        </w:tc>
        <w:tc>
          <w:tcPr>
            <w:tcW w:w="397" w:type="pct"/>
            <w:vAlign w:val="center"/>
          </w:tcPr>
          <w:p w14:paraId="3DB3C0AE">
            <w:pPr>
              <w:adjustRightInd/>
              <w:spacing w:line="360" w:lineRule="exact"/>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0</w:t>
            </w:r>
          </w:p>
        </w:tc>
        <w:tc>
          <w:tcPr>
            <w:tcW w:w="480" w:type="pct"/>
            <w:vAlign w:val="center"/>
          </w:tcPr>
          <w:p w14:paraId="46823AE3">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客观评审</w:t>
            </w:r>
          </w:p>
        </w:tc>
      </w:tr>
      <w:tr w14:paraId="4E012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461" w:type="pct"/>
            <w:vMerge w:val="continue"/>
            <w:vAlign w:val="center"/>
          </w:tcPr>
          <w:p w14:paraId="26AC921F">
            <w:pPr>
              <w:adjustRightInd/>
              <w:spacing w:line="360" w:lineRule="exact"/>
              <w:jc w:val="center"/>
              <w:rPr>
                <w:rFonts w:hint="eastAsia" w:ascii="宋体" w:hAnsi="宋体" w:cs="宋体"/>
                <w:color w:val="auto"/>
                <w:sz w:val="24"/>
                <w:highlight w:val="none"/>
              </w:rPr>
            </w:pPr>
          </w:p>
        </w:tc>
        <w:tc>
          <w:tcPr>
            <w:tcW w:w="576" w:type="pct"/>
            <w:vAlign w:val="center"/>
          </w:tcPr>
          <w:p w14:paraId="2324516A">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2、供货方案</w:t>
            </w:r>
          </w:p>
          <w:p w14:paraId="7A688DEE">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（5分）</w:t>
            </w:r>
          </w:p>
        </w:tc>
        <w:tc>
          <w:tcPr>
            <w:tcW w:w="3084" w:type="pct"/>
            <w:vAlign w:val="center"/>
          </w:tcPr>
          <w:p w14:paraId="562FF130">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根据供应商提供的供货方案（包括但不限于供货期、交货方式、供货保障流程等）进行评议：</w:t>
            </w:r>
          </w:p>
          <w:p w14:paraId="08449B6E">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1）供货方案详细完善，合理可行，针对性强、具有可操作性的得5分；</w:t>
            </w:r>
          </w:p>
          <w:p w14:paraId="09F8857C">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2）供货方案较详细、安排较合理、有一定针对性、操作性一般的得4分；</w:t>
            </w:r>
          </w:p>
          <w:p w14:paraId="4B0B7F09">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3）供货方案内容简单、安排基本合理、基本满足项目要求的得3分；</w:t>
            </w:r>
          </w:p>
          <w:p w14:paraId="69D88405">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4）供货方案内容较少、缺乏针对性、操作性较差的得2分；</w:t>
            </w:r>
          </w:p>
          <w:p w14:paraId="13155F54">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5）供货方案内容空洞、不切实际、操作性差的得1分；</w:t>
            </w:r>
          </w:p>
          <w:p w14:paraId="1A81B354">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无相应内容的不得分。</w:t>
            </w:r>
          </w:p>
          <w:p w14:paraId="39DEF3A2">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6）未提供相关内容的不得分。</w:t>
            </w:r>
          </w:p>
        </w:tc>
        <w:tc>
          <w:tcPr>
            <w:tcW w:w="397" w:type="pct"/>
            <w:vAlign w:val="center"/>
          </w:tcPr>
          <w:p w14:paraId="33EF58C5">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0" w:type="pct"/>
            <w:vAlign w:val="center"/>
          </w:tcPr>
          <w:p w14:paraId="67D5A147">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主观评审</w:t>
            </w:r>
          </w:p>
        </w:tc>
      </w:tr>
      <w:tr w14:paraId="3765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61" w:type="pct"/>
            <w:vMerge w:val="continue"/>
            <w:vAlign w:val="center"/>
          </w:tcPr>
          <w:p w14:paraId="1C7E8423">
            <w:pPr>
              <w:adjustRightInd/>
              <w:spacing w:line="360" w:lineRule="exact"/>
              <w:jc w:val="center"/>
              <w:rPr>
                <w:rFonts w:hint="eastAsia" w:ascii="宋体" w:hAnsi="宋体" w:cs="宋体"/>
                <w:color w:val="auto"/>
                <w:sz w:val="24"/>
                <w:highlight w:val="none"/>
              </w:rPr>
            </w:pPr>
          </w:p>
        </w:tc>
        <w:tc>
          <w:tcPr>
            <w:tcW w:w="576" w:type="pct"/>
            <w:vAlign w:val="center"/>
          </w:tcPr>
          <w:p w14:paraId="61BF6498">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3、安装调试方案（5分）</w:t>
            </w:r>
          </w:p>
        </w:tc>
        <w:tc>
          <w:tcPr>
            <w:tcW w:w="3084" w:type="pct"/>
            <w:vAlign w:val="center"/>
          </w:tcPr>
          <w:p w14:paraId="41BA20B0">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评标委员会根据供应商针对本项目设备安装调试方案（包括对场地环境的了解、人员的安排、时间进度的规划，对设备的调试进度安排，调试的步骤、措施，问题的解决方案等）进行评议：</w:t>
            </w:r>
          </w:p>
          <w:p w14:paraId="73C3DAAF">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1）方案完全满足招标文件要求，实施规划和组织方案切合实际，流程合理且要点明确，测试计划、竣工验收方案步骤清晰，能提供有针对性的服务措施的得5分；</w:t>
            </w:r>
            <w:r>
              <w:rPr>
                <w:rFonts w:hint="eastAsia" w:ascii="宋体" w:hAnsi="宋体" w:cs="宋体"/>
                <w:color w:val="auto"/>
                <w:sz w:val="24"/>
                <w:highlight w:val="none"/>
              </w:rPr>
              <w:br w:type="textWrapping"/>
            </w:r>
            <w:r>
              <w:rPr>
                <w:rFonts w:hint="eastAsia" w:ascii="宋体" w:hAnsi="宋体" w:cs="宋体"/>
                <w:color w:val="auto"/>
                <w:sz w:val="24"/>
                <w:highlight w:val="none"/>
              </w:rPr>
              <w:t>2）方案满足招标文件要求，实施规划和组织方案较切合实际，保障流程合理且要点较明确，测试计划、竣工验收方案步骤较清晰，能提供比较有针对性的服务措施的得4分；</w:t>
            </w:r>
          </w:p>
          <w:p w14:paraId="7BB7D18A">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3）方案内容符合本项目的实施要求，实行上基本合理可行的得3分；</w:t>
            </w:r>
          </w:p>
          <w:p w14:paraId="7F6CE017">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4）方案内容基本符合本项目的实施要求，但是实行上有欠缺的得2分；</w:t>
            </w:r>
          </w:p>
          <w:p w14:paraId="77087C1D">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5）方案内容不完整，内容不充分，与本项目实施要求有差距的得1分；</w:t>
            </w:r>
          </w:p>
          <w:p w14:paraId="6CF6C167">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6）未提供相关内容的不得分。</w:t>
            </w:r>
          </w:p>
        </w:tc>
        <w:tc>
          <w:tcPr>
            <w:tcW w:w="397" w:type="pct"/>
            <w:vAlign w:val="center"/>
          </w:tcPr>
          <w:p w14:paraId="2C22A5B4">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0" w:type="pct"/>
            <w:vAlign w:val="center"/>
          </w:tcPr>
          <w:p w14:paraId="1A59929F">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主观评审</w:t>
            </w:r>
          </w:p>
        </w:tc>
      </w:tr>
      <w:tr w14:paraId="3F338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461" w:type="pct"/>
            <w:vMerge w:val="continue"/>
            <w:vAlign w:val="center"/>
          </w:tcPr>
          <w:p w14:paraId="1AEAC2E1">
            <w:pPr>
              <w:adjustRightInd/>
              <w:spacing w:line="360" w:lineRule="exact"/>
              <w:jc w:val="center"/>
              <w:rPr>
                <w:rFonts w:hint="eastAsia" w:ascii="宋体" w:hAnsi="宋体" w:cs="宋体"/>
                <w:color w:val="auto"/>
                <w:sz w:val="24"/>
                <w:highlight w:val="none"/>
              </w:rPr>
            </w:pPr>
          </w:p>
        </w:tc>
        <w:tc>
          <w:tcPr>
            <w:tcW w:w="576" w:type="pct"/>
            <w:vAlign w:val="center"/>
          </w:tcPr>
          <w:p w14:paraId="4E107DF1">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4、培训计划</w:t>
            </w:r>
          </w:p>
          <w:p w14:paraId="43566384">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（5分）</w:t>
            </w:r>
          </w:p>
        </w:tc>
        <w:tc>
          <w:tcPr>
            <w:tcW w:w="3084" w:type="pct"/>
            <w:vAlign w:val="center"/>
          </w:tcPr>
          <w:p w14:paraId="2432F9BB">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根据供应商提供的针对使用单位人员的培训方案、培训计划等进行评议。</w:t>
            </w:r>
          </w:p>
          <w:p w14:paraId="14CAF8C3">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1）人员培训方案与采购人实际相结合，培训时间安排合理，培训内容符合货物使用要求，培训次数能确保设备实际使用人灵活使用且场地安排合理的得5分；</w:t>
            </w:r>
          </w:p>
          <w:p w14:paraId="4F09FB20">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2）人员培训方案与采购人实际相结合，培训时间安排较合理，培训内容较符合货物使用要求，培训次数能确保设备实际使用人灵活使用且场地安排较合理的得4分；</w:t>
            </w:r>
          </w:p>
          <w:p w14:paraId="71BD6E5A">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3）人员培训方案时间安排基本合理，培训内容基本符合货物使用要求，培训次数基本能确保设备实际使用人操作的得3分；</w:t>
            </w:r>
          </w:p>
          <w:p w14:paraId="30FEB739">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4）人员培训方案不够符合采购需求，培训内容缺少针对性内容的得2分；</w:t>
            </w:r>
          </w:p>
          <w:p w14:paraId="702210BE">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5）人员培训方案没有结合采购需求，培训内容敷衍，没有相应培训场地且培训时间不合理的得1分；</w:t>
            </w:r>
          </w:p>
          <w:p w14:paraId="0F10FD01">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6）未提供相关内容的不得分。</w:t>
            </w:r>
          </w:p>
        </w:tc>
        <w:tc>
          <w:tcPr>
            <w:tcW w:w="397" w:type="pct"/>
            <w:vAlign w:val="center"/>
          </w:tcPr>
          <w:p w14:paraId="04F4987F">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0" w:type="pct"/>
            <w:vAlign w:val="center"/>
          </w:tcPr>
          <w:p w14:paraId="1ADBFE8D">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主观评审</w:t>
            </w:r>
          </w:p>
        </w:tc>
      </w:tr>
      <w:tr w14:paraId="767B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61" w:type="pct"/>
            <w:vMerge w:val="continue"/>
            <w:vAlign w:val="center"/>
          </w:tcPr>
          <w:p w14:paraId="2E2AE173">
            <w:pPr>
              <w:adjustRightInd/>
              <w:spacing w:line="360" w:lineRule="exact"/>
              <w:jc w:val="center"/>
              <w:rPr>
                <w:rFonts w:hint="eastAsia" w:ascii="宋体" w:hAnsi="宋体" w:cs="宋体"/>
                <w:color w:val="auto"/>
                <w:sz w:val="24"/>
                <w:highlight w:val="none"/>
              </w:rPr>
            </w:pPr>
          </w:p>
        </w:tc>
        <w:tc>
          <w:tcPr>
            <w:tcW w:w="576" w:type="pct"/>
            <w:vAlign w:val="center"/>
          </w:tcPr>
          <w:p w14:paraId="05E7347A">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5、对接方案（5分）</w:t>
            </w:r>
          </w:p>
        </w:tc>
        <w:tc>
          <w:tcPr>
            <w:tcW w:w="3084" w:type="pct"/>
            <w:vAlign w:val="center"/>
          </w:tcPr>
          <w:p w14:paraId="6E165E04">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根据供应商提供的与“宁海县校园智能安全防范信息平台”的数据对接方案进行评议。</w:t>
            </w:r>
          </w:p>
          <w:p w14:paraId="4BA7E4A5">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1）对接方案详细完善，合理可行，针对性强、具有可操作性的得5分；</w:t>
            </w:r>
          </w:p>
          <w:p w14:paraId="02FB6BFB">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2）对接方案较详细、安排较合理、有一定针对性、操作性一般的得4分；</w:t>
            </w:r>
          </w:p>
          <w:p w14:paraId="68755132">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3）对接方案一般、基本满足项目要求的得3分；</w:t>
            </w:r>
          </w:p>
          <w:p w14:paraId="378E8431">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4）对接方案内容简单、针对性较差、操作性较差的得2分；</w:t>
            </w:r>
          </w:p>
          <w:p w14:paraId="1235FDFE">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5）对接方案内容较少、针对性差、操作性差的得1分；</w:t>
            </w:r>
          </w:p>
          <w:p w14:paraId="5E2178E1">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6）未提供相关内容的不得分。</w:t>
            </w:r>
          </w:p>
        </w:tc>
        <w:tc>
          <w:tcPr>
            <w:tcW w:w="397" w:type="pct"/>
            <w:vAlign w:val="center"/>
          </w:tcPr>
          <w:p w14:paraId="304A7AF9">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0" w:type="pct"/>
            <w:vAlign w:val="center"/>
          </w:tcPr>
          <w:p w14:paraId="13310D20">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主观评审</w:t>
            </w:r>
          </w:p>
        </w:tc>
      </w:tr>
      <w:tr w14:paraId="6C55C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461" w:type="pct"/>
            <w:vMerge w:val="continue"/>
            <w:vAlign w:val="center"/>
          </w:tcPr>
          <w:p w14:paraId="1E22769C">
            <w:pPr>
              <w:adjustRightInd/>
              <w:spacing w:line="360" w:lineRule="exact"/>
              <w:jc w:val="center"/>
              <w:rPr>
                <w:rFonts w:hint="eastAsia" w:ascii="宋体" w:hAnsi="宋体" w:cs="宋体"/>
                <w:color w:val="auto"/>
                <w:sz w:val="24"/>
                <w:highlight w:val="none"/>
              </w:rPr>
            </w:pPr>
          </w:p>
        </w:tc>
        <w:tc>
          <w:tcPr>
            <w:tcW w:w="576" w:type="pct"/>
            <w:vAlign w:val="center"/>
          </w:tcPr>
          <w:p w14:paraId="4CD56D04">
            <w:pPr>
              <w:widowControl/>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6、质量保障方案（5分）</w:t>
            </w:r>
          </w:p>
        </w:tc>
        <w:tc>
          <w:tcPr>
            <w:tcW w:w="3084" w:type="pct"/>
            <w:vAlign w:val="center"/>
          </w:tcPr>
          <w:p w14:paraId="7B6FBD98">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根据供应商提供的质量保障方案进行评议，包括但不限于质量方针、质量目标、质量范围、质量保障组织和过程等内容：</w:t>
            </w:r>
          </w:p>
          <w:p w14:paraId="08C972D3">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1）质量保证措施完善、有力的得5分；</w:t>
            </w:r>
          </w:p>
          <w:p w14:paraId="66683DAA">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2）质量保证措施较完善、较有力的得4分；</w:t>
            </w:r>
          </w:p>
          <w:p w14:paraId="3346ACD8">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3）质量保证措施基本完整且有一定针对性的得3分；</w:t>
            </w:r>
          </w:p>
          <w:p w14:paraId="2437F08B">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4）质量保证措施有一定欠缺的得2分；</w:t>
            </w:r>
          </w:p>
          <w:p w14:paraId="3961AA0B">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5）质量保证措施较差，对项目质量保障性较差的得1分；</w:t>
            </w:r>
          </w:p>
          <w:p w14:paraId="062CB430">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6）未提供相关内容的不得分。</w:t>
            </w:r>
          </w:p>
        </w:tc>
        <w:tc>
          <w:tcPr>
            <w:tcW w:w="397" w:type="pct"/>
            <w:vAlign w:val="center"/>
          </w:tcPr>
          <w:p w14:paraId="782A64AA">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0" w:type="pct"/>
            <w:vAlign w:val="center"/>
          </w:tcPr>
          <w:p w14:paraId="497D5C61">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主观评审</w:t>
            </w:r>
          </w:p>
        </w:tc>
      </w:tr>
      <w:tr w14:paraId="407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1" w:type="pct"/>
            <w:vMerge w:val="continue"/>
            <w:vAlign w:val="center"/>
          </w:tcPr>
          <w:p w14:paraId="277672D2">
            <w:pPr>
              <w:adjustRightInd/>
              <w:spacing w:line="360" w:lineRule="exact"/>
              <w:jc w:val="center"/>
              <w:rPr>
                <w:rFonts w:hint="eastAsia" w:ascii="宋体" w:hAnsi="宋体" w:cs="宋体"/>
                <w:color w:val="auto"/>
                <w:sz w:val="24"/>
                <w:highlight w:val="none"/>
              </w:rPr>
            </w:pPr>
          </w:p>
        </w:tc>
        <w:tc>
          <w:tcPr>
            <w:tcW w:w="576" w:type="pct"/>
            <w:vMerge w:val="restart"/>
            <w:vAlign w:val="center"/>
          </w:tcPr>
          <w:p w14:paraId="2BEB2801">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7、售后服务能力（10分）</w:t>
            </w:r>
          </w:p>
        </w:tc>
        <w:tc>
          <w:tcPr>
            <w:tcW w:w="3084" w:type="pct"/>
            <w:vAlign w:val="center"/>
          </w:tcPr>
          <w:p w14:paraId="7BAE8FC8">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7.1根据供应商的售后方案，包含但不限于服务响应时间、故障解决方案</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质保期满后物联网卡使用方案</w:t>
            </w:r>
            <w:r>
              <w:rPr>
                <w:rFonts w:hint="eastAsia" w:ascii="宋体" w:hAnsi="宋体" w:cs="宋体"/>
                <w:color w:val="auto"/>
                <w:sz w:val="24"/>
                <w:highlight w:val="none"/>
              </w:rPr>
              <w:t>等方面进行评议：</w:t>
            </w:r>
          </w:p>
          <w:p w14:paraId="2BD0B4DB">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1）服务流程规范、售后服务体系健全、售后服务内容满足服务要求，方案完整、合理、可行性强的得5分。</w:t>
            </w:r>
          </w:p>
          <w:p w14:paraId="4EEE86BC">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2）服务流程较规范、售后服务体系较健全、售后服务内容满足服务要求，方案较完整、可行性较强的得4分。</w:t>
            </w:r>
          </w:p>
          <w:p w14:paraId="70FB0160">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3）服务流程规范性一般、有基本的售后服务体系、售后服务内容有欠缺，方案基本完整、有一定可行性的得3分。</w:t>
            </w:r>
          </w:p>
          <w:p w14:paraId="1964783D">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4）服务流程规范较差、售后服务体系有一定欠缺、售后服务内容与服务要求有一定差距，与项目需要有一定差距的得2分。</w:t>
            </w:r>
          </w:p>
          <w:p w14:paraId="2A2F3B05">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5）服务流程不规范、售后服务体系欠缺、售后服务内容与项目服务要求存在较大差距的得1分。</w:t>
            </w:r>
          </w:p>
          <w:p w14:paraId="2E2DDE53">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6）未提供相关内容的不得分。</w:t>
            </w:r>
          </w:p>
        </w:tc>
        <w:tc>
          <w:tcPr>
            <w:tcW w:w="397" w:type="pct"/>
            <w:vAlign w:val="center"/>
          </w:tcPr>
          <w:p w14:paraId="2929F144">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480" w:type="pct"/>
            <w:vAlign w:val="center"/>
          </w:tcPr>
          <w:p w14:paraId="71E06D3A">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主观评审</w:t>
            </w:r>
          </w:p>
        </w:tc>
      </w:tr>
      <w:tr w14:paraId="5D34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461" w:type="pct"/>
            <w:vMerge w:val="continue"/>
            <w:vAlign w:val="center"/>
          </w:tcPr>
          <w:p w14:paraId="554232CD">
            <w:pPr>
              <w:adjustRightInd/>
              <w:spacing w:line="360" w:lineRule="exact"/>
              <w:jc w:val="center"/>
              <w:rPr>
                <w:rFonts w:hint="eastAsia" w:ascii="宋体" w:hAnsi="宋体" w:cs="宋体"/>
                <w:color w:val="auto"/>
                <w:sz w:val="24"/>
                <w:highlight w:val="none"/>
              </w:rPr>
            </w:pPr>
          </w:p>
        </w:tc>
        <w:tc>
          <w:tcPr>
            <w:tcW w:w="576" w:type="pct"/>
            <w:vMerge w:val="continue"/>
            <w:vAlign w:val="center"/>
          </w:tcPr>
          <w:p w14:paraId="0AF51237">
            <w:pPr>
              <w:adjustRightInd/>
              <w:spacing w:line="360" w:lineRule="exact"/>
              <w:rPr>
                <w:rFonts w:hint="eastAsia" w:ascii="宋体" w:hAnsi="宋体" w:cs="宋体"/>
                <w:color w:val="auto"/>
                <w:sz w:val="24"/>
                <w:highlight w:val="none"/>
              </w:rPr>
            </w:pPr>
          </w:p>
        </w:tc>
        <w:tc>
          <w:tcPr>
            <w:tcW w:w="3084" w:type="pct"/>
            <w:shd w:val="clear" w:color="auto" w:fill="auto"/>
            <w:vAlign w:val="center"/>
          </w:tcPr>
          <w:p w14:paraId="6634EBCD">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7.2根据供应商的售后服务机构备品备件储备情况进行评议：</w:t>
            </w:r>
          </w:p>
          <w:p w14:paraId="4750286F">
            <w:pPr>
              <w:numPr>
                <w:ilvl w:val="0"/>
                <w:numId w:val="4"/>
              </w:num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储备充足能充分满足售后服务要求得2分；</w:t>
            </w:r>
          </w:p>
          <w:p w14:paraId="09BD143B">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2）储备一般基本能满足售后服务要求得1分；</w:t>
            </w:r>
          </w:p>
          <w:p w14:paraId="1410DCCF">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3）未提供相关内容的不得分。</w:t>
            </w:r>
          </w:p>
        </w:tc>
        <w:tc>
          <w:tcPr>
            <w:tcW w:w="397" w:type="pct"/>
            <w:shd w:val="clear" w:color="auto" w:fill="auto"/>
            <w:vAlign w:val="center"/>
          </w:tcPr>
          <w:p w14:paraId="5B78F979">
            <w:pPr>
              <w:adjustRightInd/>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80" w:type="pct"/>
            <w:shd w:val="clear" w:color="auto" w:fill="auto"/>
            <w:vAlign w:val="center"/>
          </w:tcPr>
          <w:p w14:paraId="6B5971A4">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主观评审</w:t>
            </w:r>
          </w:p>
        </w:tc>
      </w:tr>
      <w:tr w14:paraId="02B0D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461" w:type="pct"/>
            <w:vMerge w:val="continue"/>
            <w:vAlign w:val="center"/>
          </w:tcPr>
          <w:p w14:paraId="52F4B0ED">
            <w:pPr>
              <w:adjustRightInd/>
              <w:spacing w:line="360" w:lineRule="exact"/>
              <w:jc w:val="center"/>
              <w:rPr>
                <w:rFonts w:hint="eastAsia" w:ascii="宋体" w:hAnsi="宋体" w:cs="宋体"/>
                <w:color w:val="auto"/>
                <w:sz w:val="24"/>
                <w:highlight w:val="none"/>
              </w:rPr>
            </w:pPr>
          </w:p>
        </w:tc>
        <w:tc>
          <w:tcPr>
            <w:tcW w:w="576" w:type="pct"/>
            <w:vMerge w:val="continue"/>
            <w:vAlign w:val="center"/>
          </w:tcPr>
          <w:p w14:paraId="7454F63F">
            <w:pPr>
              <w:adjustRightInd/>
              <w:spacing w:line="360" w:lineRule="auto"/>
              <w:jc w:val="left"/>
              <w:rPr>
                <w:rFonts w:hint="eastAsia" w:ascii="宋体" w:hAnsi="宋体" w:cs="宋体"/>
                <w:color w:val="auto"/>
                <w:sz w:val="24"/>
                <w:highlight w:val="none"/>
              </w:rPr>
            </w:pPr>
          </w:p>
        </w:tc>
        <w:tc>
          <w:tcPr>
            <w:tcW w:w="3084" w:type="pct"/>
            <w:vAlign w:val="center"/>
          </w:tcPr>
          <w:p w14:paraId="48D80FD2">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7.3根据供应商提供的售后服务机构技术服务人员情况进行评议，需提供人员姓名、工作经验、资质证书等证明材料。</w:t>
            </w:r>
          </w:p>
          <w:p w14:paraId="7F99983A">
            <w:pPr>
              <w:numPr>
                <w:ilvl w:val="0"/>
                <w:numId w:val="5"/>
              </w:num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人员配备充足且资质及售后服务经验丰富的得3分；</w:t>
            </w:r>
          </w:p>
          <w:p w14:paraId="7B1E88CA">
            <w:pPr>
              <w:numPr>
                <w:ilvl w:val="0"/>
                <w:numId w:val="5"/>
              </w:num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人员配备和资质及售后服务经验较好的得2分；</w:t>
            </w:r>
          </w:p>
          <w:p w14:paraId="0E9D5742">
            <w:pPr>
              <w:numPr>
                <w:ilvl w:val="0"/>
                <w:numId w:val="5"/>
              </w:num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人员配备不足，或资质及售后服务经验较差的得1分；</w:t>
            </w:r>
          </w:p>
          <w:p w14:paraId="5F8376D9">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4）未提供相关内容的不得分。</w:t>
            </w:r>
          </w:p>
        </w:tc>
        <w:tc>
          <w:tcPr>
            <w:tcW w:w="397" w:type="pct"/>
            <w:vAlign w:val="center"/>
          </w:tcPr>
          <w:p w14:paraId="5F00CD4F">
            <w:pPr>
              <w:adjustRightInd/>
              <w:spacing w:after="12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0" w:type="pct"/>
            <w:vAlign w:val="center"/>
          </w:tcPr>
          <w:p w14:paraId="61404914">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主观评审</w:t>
            </w:r>
          </w:p>
        </w:tc>
      </w:tr>
      <w:tr w14:paraId="3BA8A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Merge w:val="continue"/>
            <w:vAlign w:val="center"/>
          </w:tcPr>
          <w:p w14:paraId="404EACE3">
            <w:pPr>
              <w:adjustRightInd/>
              <w:spacing w:line="360" w:lineRule="exact"/>
              <w:jc w:val="center"/>
              <w:rPr>
                <w:rFonts w:hint="eastAsia" w:ascii="宋体" w:hAnsi="宋体" w:cs="宋体"/>
                <w:color w:val="auto"/>
                <w:sz w:val="24"/>
                <w:highlight w:val="none"/>
              </w:rPr>
            </w:pPr>
          </w:p>
        </w:tc>
        <w:tc>
          <w:tcPr>
            <w:tcW w:w="576" w:type="pct"/>
            <w:vAlign w:val="center"/>
          </w:tcPr>
          <w:p w14:paraId="79E7D12F">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8、业绩（3分）</w:t>
            </w:r>
          </w:p>
        </w:tc>
        <w:tc>
          <w:tcPr>
            <w:tcW w:w="3084" w:type="pct"/>
            <w:vAlign w:val="center"/>
          </w:tcPr>
          <w:p w14:paraId="021D3E2E">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供应商自2021年1月1日（以合同签订时间为准）以来类似项目成功案例每提供一个得1分，最高3分（提供合同及中标通知书加盖公章编入投标文件，未提供或提供不全的不得分）。</w:t>
            </w:r>
          </w:p>
        </w:tc>
        <w:tc>
          <w:tcPr>
            <w:tcW w:w="397" w:type="pct"/>
            <w:vAlign w:val="center"/>
          </w:tcPr>
          <w:p w14:paraId="300C9D86">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0" w:type="pct"/>
            <w:vAlign w:val="center"/>
          </w:tcPr>
          <w:p w14:paraId="2DBCC345">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客观评审</w:t>
            </w:r>
          </w:p>
        </w:tc>
      </w:tr>
      <w:tr w14:paraId="17642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Merge w:val="continue"/>
            <w:vAlign w:val="center"/>
          </w:tcPr>
          <w:p w14:paraId="2071A496">
            <w:pPr>
              <w:adjustRightInd/>
              <w:spacing w:line="360" w:lineRule="exact"/>
              <w:jc w:val="center"/>
              <w:rPr>
                <w:rFonts w:hint="eastAsia" w:ascii="宋体" w:hAnsi="宋体" w:cs="宋体"/>
                <w:color w:val="auto"/>
                <w:sz w:val="24"/>
                <w:highlight w:val="none"/>
              </w:rPr>
            </w:pPr>
          </w:p>
        </w:tc>
        <w:tc>
          <w:tcPr>
            <w:tcW w:w="576" w:type="pct"/>
            <w:vMerge w:val="restart"/>
            <w:vAlign w:val="center"/>
          </w:tcPr>
          <w:p w14:paraId="4670AA76">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9、功能演示（9分）</w:t>
            </w:r>
          </w:p>
        </w:tc>
        <w:tc>
          <w:tcPr>
            <w:tcW w:w="3084" w:type="pct"/>
            <w:vAlign w:val="center"/>
          </w:tcPr>
          <w:p w14:paraId="77F7EF05">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7.1、具备学校欺凌防范的数据统计、分析展示功能；支持展示近30天的预警事件分析、学生异常行为分析（语音预警、旷课、异常逗留等）的数据趋势；支持展示学校欺凌委员会、安全教育等建设情况。</w:t>
            </w:r>
          </w:p>
        </w:tc>
        <w:tc>
          <w:tcPr>
            <w:tcW w:w="397" w:type="pct"/>
            <w:vAlign w:val="center"/>
          </w:tcPr>
          <w:p w14:paraId="6EACB13D">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0" w:type="pct"/>
            <w:vAlign w:val="center"/>
          </w:tcPr>
          <w:p w14:paraId="28378EE7">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客观评审</w:t>
            </w:r>
          </w:p>
        </w:tc>
      </w:tr>
      <w:tr w14:paraId="31DE5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Merge w:val="continue"/>
            <w:vAlign w:val="center"/>
          </w:tcPr>
          <w:p w14:paraId="2B67FB74">
            <w:pPr>
              <w:adjustRightInd/>
              <w:spacing w:line="360" w:lineRule="exact"/>
              <w:jc w:val="center"/>
              <w:rPr>
                <w:rFonts w:hint="eastAsia" w:ascii="宋体" w:hAnsi="宋体" w:cs="宋体"/>
                <w:color w:val="auto"/>
                <w:sz w:val="24"/>
                <w:highlight w:val="none"/>
              </w:rPr>
            </w:pPr>
          </w:p>
        </w:tc>
        <w:tc>
          <w:tcPr>
            <w:tcW w:w="576" w:type="pct"/>
            <w:vMerge w:val="continue"/>
            <w:vAlign w:val="center"/>
          </w:tcPr>
          <w:p w14:paraId="30594972">
            <w:pPr>
              <w:adjustRightInd/>
              <w:spacing w:line="360" w:lineRule="exact"/>
              <w:rPr>
                <w:rFonts w:hint="eastAsia" w:ascii="宋体" w:hAnsi="宋体" w:cs="宋体"/>
                <w:color w:val="auto"/>
                <w:sz w:val="24"/>
                <w:highlight w:val="none"/>
              </w:rPr>
            </w:pPr>
          </w:p>
        </w:tc>
        <w:tc>
          <w:tcPr>
            <w:tcW w:w="3084" w:type="pct"/>
            <w:vAlign w:val="center"/>
          </w:tcPr>
          <w:p w14:paraId="367EB61A">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7.2、根据预警信息不同类型及来源，支持平台与不同设备间的相互协调，提升应急的处置能力。支持不同场景下配置不同的联动触发条件，如预警类型、预警来源设备、预警来源类型、执行时段的选择、预警信息发送对象的选择等多类配置属性。</w:t>
            </w:r>
          </w:p>
        </w:tc>
        <w:tc>
          <w:tcPr>
            <w:tcW w:w="397" w:type="pct"/>
            <w:vAlign w:val="center"/>
          </w:tcPr>
          <w:p w14:paraId="5D34527C">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0" w:type="pct"/>
            <w:vAlign w:val="center"/>
          </w:tcPr>
          <w:p w14:paraId="3C2CB058">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客观评审</w:t>
            </w:r>
          </w:p>
        </w:tc>
      </w:tr>
      <w:tr w14:paraId="2BDB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Merge w:val="continue"/>
            <w:vAlign w:val="center"/>
          </w:tcPr>
          <w:p w14:paraId="69B0C6AE">
            <w:pPr>
              <w:adjustRightInd/>
              <w:spacing w:line="360" w:lineRule="exact"/>
              <w:jc w:val="center"/>
              <w:rPr>
                <w:rFonts w:hint="eastAsia" w:ascii="宋体" w:hAnsi="宋体" w:cs="宋体"/>
                <w:color w:val="auto"/>
                <w:sz w:val="24"/>
                <w:highlight w:val="none"/>
              </w:rPr>
            </w:pPr>
          </w:p>
        </w:tc>
        <w:tc>
          <w:tcPr>
            <w:tcW w:w="576" w:type="pct"/>
            <w:vMerge w:val="continue"/>
            <w:vAlign w:val="center"/>
          </w:tcPr>
          <w:p w14:paraId="56BC0FE1">
            <w:pPr>
              <w:adjustRightInd/>
              <w:spacing w:line="360" w:lineRule="exact"/>
              <w:rPr>
                <w:rFonts w:hint="eastAsia" w:ascii="宋体" w:hAnsi="宋体" w:cs="宋体"/>
                <w:color w:val="auto"/>
                <w:sz w:val="24"/>
                <w:highlight w:val="none"/>
              </w:rPr>
            </w:pPr>
          </w:p>
        </w:tc>
        <w:tc>
          <w:tcPr>
            <w:tcW w:w="3084" w:type="pct"/>
            <w:vAlign w:val="center"/>
          </w:tcPr>
          <w:p w14:paraId="22F5F8DB">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7.3、支持自定义添加预警的解除规则和解除范围，满足条件的预警将自动变为已处理状态，如设置预警自动解除的时间、预警级别、预警类型等条件因素。</w:t>
            </w:r>
          </w:p>
        </w:tc>
        <w:tc>
          <w:tcPr>
            <w:tcW w:w="397" w:type="pct"/>
            <w:vAlign w:val="center"/>
          </w:tcPr>
          <w:p w14:paraId="690F570A">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80" w:type="pct"/>
            <w:vAlign w:val="center"/>
          </w:tcPr>
          <w:p w14:paraId="74710AE7">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客观评审</w:t>
            </w:r>
          </w:p>
        </w:tc>
      </w:tr>
      <w:tr w14:paraId="29F67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Merge w:val="continue"/>
            <w:vAlign w:val="center"/>
          </w:tcPr>
          <w:p w14:paraId="4D58632E">
            <w:pPr>
              <w:adjustRightInd/>
              <w:spacing w:line="360" w:lineRule="exact"/>
              <w:jc w:val="center"/>
              <w:rPr>
                <w:rFonts w:hint="eastAsia" w:ascii="宋体" w:hAnsi="宋体" w:cs="宋体"/>
                <w:color w:val="auto"/>
                <w:sz w:val="24"/>
                <w:highlight w:val="none"/>
              </w:rPr>
            </w:pPr>
          </w:p>
        </w:tc>
        <w:tc>
          <w:tcPr>
            <w:tcW w:w="576" w:type="pct"/>
            <w:vMerge w:val="continue"/>
            <w:vAlign w:val="center"/>
          </w:tcPr>
          <w:p w14:paraId="458B6C81">
            <w:pPr>
              <w:adjustRightInd/>
              <w:spacing w:line="360" w:lineRule="exact"/>
              <w:rPr>
                <w:rFonts w:hint="eastAsia" w:ascii="宋体" w:hAnsi="宋体" w:cs="宋体"/>
                <w:color w:val="auto"/>
                <w:sz w:val="24"/>
                <w:highlight w:val="none"/>
              </w:rPr>
            </w:pPr>
          </w:p>
        </w:tc>
        <w:tc>
          <w:tcPr>
            <w:tcW w:w="3084" w:type="pct"/>
            <w:vAlign w:val="center"/>
          </w:tcPr>
          <w:p w14:paraId="11A3BB23">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注：供应商应对欺凌防范系统的相关功能进行演示，无法提供演示或演示无法达到技术要求的不得分。提供的文件无法演示或未提供的不得分。（演示的方式可用现场或U盘方式的系统演示或DEMO视频，演示时间建议不超过10分钟）</w:t>
            </w:r>
          </w:p>
        </w:tc>
        <w:tc>
          <w:tcPr>
            <w:tcW w:w="397" w:type="pct"/>
            <w:vAlign w:val="center"/>
          </w:tcPr>
          <w:p w14:paraId="4FFD9190">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480" w:type="pct"/>
            <w:vAlign w:val="center"/>
          </w:tcPr>
          <w:p w14:paraId="6419379F">
            <w:pPr>
              <w:adjustRightInd/>
              <w:spacing w:line="360" w:lineRule="exact"/>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r>
      <w:tr w14:paraId="4CEE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1" w:type="pct"/>
            <w:vMerge w:val="continue"/>
            <w:vAlign w:val="center"/>
          </w:tcPr>
          <w:p w14:paraId="72CB7B74">
            <w:pPr>
              <w:adjustRightInd/>
              <w:spacing w:line="360" w:lineRule="exact"/>
              <w:jc w:val="center"/>
              <w:rPr>
                <w:rFonts w:hint="eastAsia" w:ascii="宋体" w:hAnsi="宋体" w:cs="宋体"/>
                <w:color w:val="auto"/>
                <w:sz w:val="24"/>
                <w:highlight w:val="none"/>
              </w:rPr>
            </w:pPr>
          </w:p>
        </w:tc>
        <w:tc>
          <w:tcPr>
            <w:tcW w:w="576" w:type="pct"/>
            <w:vAlign w:val="center"/>
          </w:tcPr>
          <w:p w14:paraId="549D7381">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10、政策分（1分）</w:t>
            </w:r>
          </w:p>
        </w:tc>
        <w:tc>
          <w:tcPr>
            <w:tcW w:w="3084" w:type="pct"/>
            <w:shd w:val="clear" w:color="auto" w:fill="auto"/>
            <w:vAlign w:val="center"/>
          </w:tcPr>
          <w:p w14:paraId="2219A672">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投标产品全部属于《节能产品政府采购品目清单》范围的且具有国家确定的认证机构出具的、处于有效期之内的节能产品认证证书的得0.5分；</w:t>
            </w:r>
          </w:p>
          <w:p w14:paraId="14D00D1F">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投标产品全部属于《环境标志产品政府采购品目清单》范围的且具有国家确定的认证机构出具的、处于有效期之内的环境标志产品认证证书的得0.5分。</w:t>
            </w:r>
          </w:p>
          <w:p w14:paraId="7D53D154">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注：投标文件中必须同时提供以下资料：</w:t>
            </w:r>
          </w:p>
          <w:p w14:paraId="4915C909">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14:paraId="2B7D3E69">
            <w:pPr>
              <w:adjustRightInd/>
              <w:spacing w:line="360" w:lineRule="exact"/>
              <w:rPr>
                <w:rFonts w:hint="eastAsia" w:ascii="宋体" w:hAnsi="宋体" w:cs="宋体"/>
                <w:color w:val="auto"/>
                <w:sz w:val="24"/>
                <w:highlight w:val="none"/>
              </w:rPr>
            </w:pPr>
            <w:r>
              <w:rPr>
                <w:rFonts w:hint="eastAsia" w:ascii="宋体" w:hAnsi="宋体" w:cs="宋体"/>
                <w:color w:val="auto"/>
                <w:sz w:val="24"/>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397" w:type="pct"/>
            <w:shd w:val="clear" w:color="auto" w:fill="auto"/>
            <w:vAlign w:val="center"/>
          </w:tcPr>
          <w:p w14:paraId="52035E9A">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80" w:type="pct"/>
            <w:shd w:val="clear" w:color="auto" w:fill="auto"/>
            <w:vAlign w:val="center"/>
          </w:tcPr>
          <w:p w14:paraId="4AB99FC8">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客观评审</w:t>
            </w:r>
          </w:p>
        </w:tc>
      </w:tr>
      <w:tr w14:paraId="39EC9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22" w:type="pct"/>
            <w:gridSpan w:val="3"/>
            <w:vAlign w:val="center"/>
          </w:tcPr>
          <w:p w14:paraId="4A9A17F4">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总分</w:t>
            </w:r>
          </w:p>
        </w:tc>
        <w:tc>
          <w:tcPr>
            <w:tcW w:w="397" w:type="pct"/>
            <w:vAlign w:val="center"/>
          </w:tcPr>
          <w:p w14:paraId="0D874F2F">
            <w:pPr>
              <w:adjustRightInd/>
              <w:spacing w:line="360" w:lineRule="exact"/>
              <w:jc w:val="center"/>
              <w:rPr>
                <w:rFonts w:hint="eastAsia" w:ascii="宋体" w:hAnsi="宋体" w:cs="宋体"/>
                <w:color w:val="auto"/>
                <w:sz w:val="24"/>
                <w:highlight w:val="none"/>
              </w:rPr>
            </w:pPr>
            <w:r>
              <w:rPr>
                <w:rFonts w:hint="eastAsia" w:ascii="宋体" w:hAnsi="宋体" w:cs="宋体"/>
                <w:color w:val="auto"/>
                <w:sz w:val="24"/>
                <w:highlight w:val="none"/>
              </w:rPr>
              <w:t>100</w:t>
            </w:r>
          </w:p>
        </w:tc>
        <w:tc>
          <w:tcPr>
            <w:tcW w:w="480" w:type="pct"/>
            <w:vAlign w:val="center"/>
          </w:tcPr>
          <w:p w14:paraId="04DDC1CC">
            <w:pPr>
              <w:adjustRightInd/>
              <w:spacing w:line="360" w:lineRule="exact"/>
              <w:jc w:val="center"/>
              <w:rPr>
                <w:rFonts w:hint="eastAsia" w:ascii="宋体" w:hAnsi="宋体" w:cs="宋体"/>
                <w:bCs/>
                <w:color w:val="auto"/>
                <w:kern w:val="0"/>
                <w:sz w:val="24"/>
                <w:highlight w:val="none"/>
              </w:rPr>
            </w:pPr>
          </w:p>
        </w:tc>
      </w:tr>
    </w:tbl>
    <w:p w14:paraId="7B938063">
      <w:pPr>
        <w:widowControl/>
        <w:adjustRightInd/>
        <w:spacing w:line="320" w:lineRule="exact"/>
        <w:jc w:val="left"/>
        <w:rPr>
          <w:rFonts w:hint="eastAsia" w:ascii="宋体" w:hAnsi="宋体" w:cs="宋体"/>
          <w:bCs/>
          <w:color w:val="auto"/>
          <w:sz w:val="24"/>
          <w:highlight w:val="none"/>
        </w:rPr>
      </w:pPr>
      <w:r>
        <w:rPr>
          <w:rFonts w:hint="eastAsia" w:ascii="宋体" w:hAnsi="宋体" w:cs="宋体"/>
          <w:bCs/>
          <w:color w:val="auto"/>
          <w:sz w:val="24"/>
          <w:highlight w:val="none"/>
        </w:rPr>
        <w:t>备注：1、供应商编制投标文件（商务技术文件部分）时，建议按此目录（序号和内容）提供评标标准相应的商务技术资料。2、小数点后保留一位数。3、各评标委员会成员自行按以上参考分值评分。4、重大事件由评标委员会集体讨论，应当按照少数服从多数的原则作出结论。</w:t>
      </w:r>
    </w:p>
    <w:p w14:paraId="35B3A1FC">
      <w:pPr>
        <w:widowControl/>
        <w:adjustRightInd/>
        <w:spacing w:line="320" w:lineRule="exact"/>
        <w:jc w:val="left"/>
        <w:rPr>
          <w:rFonts w:hint="eastAsia" w:ascii="宋体" w:hAnsi="宋体" w:cs="宋体"/>
          <w:bCs/>
          <w:color w:val="auto"/>
          <w:sz w:val="24"/>
          <w:highlight w:val="none"/>
        </w:rPr>
      </w:pPr>
      <w:r>
        <w:rPr>
          <w:rFonts w:hint="eastAsia" w:ascii="宋体" w:hAnsi="宋体" w:cs="宋体"/>
          <w:b/>
          <w:bCs/>
          <w:color w:val="auto"/>
          <w:sz w:val="32"/>
          <w:szCs w:val="40"/>
          <w:highlight w:val="none"/>
        </w:rPr>
        <w:br w:type="page"/>
      </w:r>
      <w:bookmarkStart w:id="567" w:name="_GoBack"/>
      <w:bookmarkEnd w:id="567"/>
    </w:p>
    <w:p w14:paraId="3363D4CE">
      <w:pPr>
        <w:snapToGrid w:val="0"/>
        <w:spacing w:line="360" w:lineRule="auto"/>
        <w:rPr>
          <w:rFonts w:hint="eastAsia" w:ascii="宋体" w:hAnsi="宋体" w:cs="宋体"/>
          <w:b/>
          <w:color w:val="auto"/>
          <w:sz w:val="28"/>
          <w:szCs w:val="28"/>
          <w:highlight w:val="none"/>
        </w:rPr>
      </w:pPr>
      <w:r>
        <w:rPr>
          <w:rFonts w:hint="eastAsia" w:ascii="宋体" w:hAnsi="宋体" w:cs="宋体"/>
          <w:b/>
          <w:color w:val="auto"/>
          <w:sz w:val="32"/>
          <w:highlight w:val="none"/>
        </w:rPr>
        <w:t>一、评标方法</w:t>
      </w:r>
    </w:p>
    <w:p w14:paraId="5F2728F9">
      <w:pPr>
        <w:adjustRightInd/>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综合评分法，是指投标文件满足招标文件全部实质性要求，且按照评审因素的量化指标评审得分最高的供应商为中标候选人的评标方法。</w:t>
      </w:r>
    </w:p>
    <w:p w14:paraId="76FC88B3">
      <w:pPr>
        <w:adjustRightInd/>
        <w:spacing w:line="360" w:lineRule="auto"/>
        <w:rPr>
          <w:rFonts w:hint="eastAsia" w:ascii="宋体" w:hAnsi="宋体" w:cs="宋体"/>
          <w:color w:val="auto"/>
          <w:kern w:val="0"/>
          <w:sz w:val="24"/>
          <w:highlight w:val="none"/>
        </w:rPr>
      </w:pPr>
      <w:r>
        <w:rPr>
          <w:rFonts w:hint="eastAsia" w:ascii="宋体" w:hAnsi="宋体" w:cs="宋体"/>
          <w:b/>
          <w:color w:val="auto"/>
          <w:sz w:val="32"/>
          <w:highlight w:val="none"/>
        </w:rPr>
        <w:t>二、评标标准</w:t>
      </w:r>
    </w:p>
    <w:p w14:paraId="0B610F04">
      <w:pPr>
        <w:spacing w:line="360" w:lineRule="auto"/>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6E93E43B">
      <w:pPr>
        <w:spacing w:line="360" w:lineRule="auto"/>
        <w:rPr>
          <w:rFonts w:hint="eastAsia" w:ascii="宋体" w:hAnsi="宋体" w:cs="宋体"/>
          <w:b/>
          <w:color w:val="auto"/>
          <w:sz w:val="36"/>
          <w:szCs w:val="36"/>
          <w:highlight w:val="none"/>
        </w:rPr>
      </w:pPr>
      <w:r>
        <w:rPr>
          <w:rFonts w:hint="eastAsia" w:ascii="宋体" w:hAnsi="宋体" w:cs="宋体"/>
          <w:b/>
          <w:color w:val="auto"/>
          <w:sz w:val="32"/>
          <w:highlight w:val="none"/>
        </w:rPr>
        <w:t>三、评标程序</w:t>
      </w:r>
    </w:p>
    <w:p w14:paraId="7A7B862D">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评标委员会应当对符合资格的供应商的投标文件进行符合性审查，以确定其是否满足招标文件的实质性要求。不满足招标文件的实质性要求的，投标无效。</w:t>
      </w:r>
    </w:p>
    <w:p w14:paraId="405675EF">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1B54B90">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评标委员会各成员应当独立对每个供应商的商务和技术文件进行评价，并汇总商务技术得分情况。</w:t>
      </w:r>
    </w:p>
    <w:p w14:paraId="57BB1404">
      <w:pPr>
        <w:spacing w:line="360" w:lineRule="auto"/>
        <w:ind w:firstLine="472" w:firstLineChars="196"/>
        <w:rPr>
          <w:rFonts w:hint="eastAsia" w:ascii="宋体" w:hAnsi="宋体" w:cs="宋体"/>
          <w:b/>
          <w:color w:val="auto"/>
          <w:kern w:val="0"/>
          <w:sz w:val="24"/>
          <w:highlight w:val="none"/>
        </w:rPr>
      </w:pPr>
      <w:r>
        <w:rPr>
          <w:rFonts w:hint="eastAsia" w:ascii="宋体" w:hAnsi="宋体" w:cs="宋体"/>
          <w:b/>
          <w:color w:val="auto"/>
          <w:kern w:val="0"/>
          <w:sz w:val="24"/>
          <w:highlight w:val="none"/>
        </w:rPr>
        <w:t>3.4报价评审。</w:t>
      </w:r>
    </w:p>
    <w:p w14:paraId="412826E7">
      <w:pPr>
        <w:pStyle w:val="132"/>
        <w:spacing w:before="0"/>
        <w:ind w:firstLine="508" w:firstLineChars="212"/>
        <w:rPr>
          <w:rFonts w:hint="eastAsia"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00D22338">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7DCB1D87">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150B2A00">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6D93426E">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027F7D7D">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3.4.1.5同时出现两种以上不一致的，按照3.4.1规定的顺序修正。修正后的报价按照财政部第87号令《政府采购货物和服务招标投标管理办法》第五十一条第二款的规定经供应商确认后产生约束力。</w:t>
      </w:r>
    </w:p>
    <w:p w14:paraId="1C241EAA">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23AC7009">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72F78D42">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3.4.4评标委员会认为供应商的报价明显低于其他通过符合性审查供应商的报价（如供应商报价低于项目预算 50%的，应当提交本文档，详细阐述不影响产品质量或者诚信履约的具体原因），有可能影响产品质量或者不能诚信履约的，应当要求其在合理的时间内提供书面说明，必要时提交相关证明材料；供应商不能证明其报价合理性的，评标委员会应当将其作为无效投标处理。</w:t>
      </w:r>
    </w:p>
    <w:p w14:paraId="7FE904EB">
      <w:pPr>
        <w:pStyle w:val="132"/>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2BEF7650">
      <w:pPr>
        <w:spacing w:line="360" w:lineRule="auto"/>
        <w:ind w:firstLine="482" w:firstLineChars="200"/>
        <w:rPr>
          <w:rFonts w:hint="eastAsia"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r>
        <w:rPr>
          <w:rFonts w:hint="eastAsia" w:ascii="宋体" w:hAnsi="宋体" w:cs="宋体"/>
          <w:b/>
          <w:bCs/>
          <w:color w:val="auto"/>
          <w:kern w:val="0"/>
          <w:sz w:val="24"/>
          <w:highlight w:val="none"/>
        </w:rPr>
        <w:t>有效投标供应商数量等于3家时，中标候选人数量为1家；有效投标供应商数量等于4家时，中标候选人数量为2家；有效投标供应商数量大于等于5家时，中标候选人数量为3家。</w:t>
      </w:r>
    </w:p>
    <w:p w14:paraId="65C9B39A">
      <w:pPr>
        <w:spacing w:line="360" w:lineRule="auto"/>
        <w:ind w:firstLine="480" w:firstLineChars="200"/>
        <w:rPr>
          <w:rFonts w:hint="eastAsia" w:ascii="宋体" w:hAnsi="宋体" w:cs="宋体"/>
          <w:b/>
          <w:color w:val="auto"/>
          <w:kern w:val="0"/>
          <w:sz w:val="24"/>
          <w:highlight w:val="none"/>
        </w:rPr>
      </w:pPr>
      <w:r>
        <w:rPr>
          <w:rFonts w:hint="eastAsia" w:ascii="宋体" w:hAnsi="宋体" w:cs="宋体"/>
          <w:color w:val="auto"/>
          <w:kern w:val="0"/>
          <w:sz w:val="24"/>
          <w:highlight w:val="none"/>
        </w:rPr>
        <w:t>多家供应商提供相同品牌产品（单一产品采购项目中的该产品或者非单一产品采购项目的核心产品）且通过资格审查、符合性审查的不同供应商参加同一合同项下投标的，按一家供应商计算，评审后得分最高的同品牌供应商获得中标人推荐资格；评审得分相同的，采取随机抽取方式确定，其他同品牌供应商不作为中标候选人。</w:t>
      </w:r>
    </w:p>
    <w:p w14:paraId="3FF72234">
      <w:pPr>
        <w:spacing w:line="360" w:lineRule="auto"/>
        <w:ind w:firstLine="472" w:firstLineChars="196"/>
        <w:rPr>
          <w:rFonts w:hint="eastAsia"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2C74D40">
      <w:pPr>
        <w:widowControl/>
        <w:adjustRightInd/>
        <w:spacing w:after="225" w:line="315" w:lineRule="atLeast"/>
        <w:jc w:val="left"/>
        <w:rPr>
          <w:rFonts w:hint="eastAsia" w:ascii="宋体" w:hAnsi="宋体" w:cs="宋体"/>
          <w:b/>
          <w:color w:val="auto"/>
          <w:sz w:val="32"/>
          <w:highlight w:val="none"/>
        </w:rPr>
      </w:pPr>
      <w:r>
        <w:rPr>
          <w:rFonts w:hint="eastAsia" w:ascii="宋体" w:hAnsi="宋体" w:cs="宋体"/>
          <w:b/>
          <w:color w:val="auto"/>
          <w:sz w:val="32"/>
          <w:highlight w:val="none"/>
        </w:rPr>
        <w:t>四、评标中的其他事项</w:t>
      </w:r>
    </w:p>
    <w:p w14:paraId="3B4C1F79">
      <w:pPr>
        <w:pStyle w:val="132"/>
        <w:spacing w:before="0"/>
        <w:ind w:firstLine="472" w:firstLineChars="196"/>
        <w:rPr>
          <w:rFonts w:hint="eastAsia"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投标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投标文件的范围或者改变投标文件的实质性内容。</w:t>
      </w:r>
    </w:p>
    <w:p w14:paraId="501F6BE6">
      <w:pPr>
        <w:pStyle w:val="25"/>
        <w:spacing w:line="360" w:lineRule="auto"/>
        <w:ind w:left="954" w:leftChars="226" w:hanging="479" w:firstLineChars="0"/>
        <w:rPr>
          <w:rFonts w:hint="eastAsia"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88E93D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4.2.1供应商不具备招标文件中规定的资格要求的（供应商未提供有效的资格文件的，视为供应商不具备招标文件中规定的资格要求）；</w:t>
      </w:r>
    </w:p>
    <w:p w14:paraId="3030AD7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25931AD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4.2.3采购人拟采购的产品属于政府强制采购的节能产品品目清单范围的，供应商相应的投标产品未获得国家确定的认证机构出具的、处于有效期之内的节能产品认证证书的；</w:t>
      </w:r>
    </w:p>
    <w:p w14:paraId="1E46D8D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6AFF0C0C">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0E8FE4C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4.2.6投标文件出现不是唯一的、有选择性投标报价的；</w:t>
      </w:r>
    </w:p>
    <w:p w14:paraId="5DB3AD3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46854B1E">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2F4A3689">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4.2.9供应商对根据修正原则修正后的报价不确认的；</w:t>
      </w:r>
    </w:p>
    <w:p w14:paraId="688F059A">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4.2.10供应商提供虚假材料投标的；</w:t>
      </w:r>
    </w:p>
    <w:p w14:paraId="3B648FB0">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4.2.11供应商有恶意串通、妨碍其他供应商的竞争行为、损害采购人或者其他供应商的合法权益情形的；</w:t>
      </w:r>
    </w:p>
    <w:p w14:paraId="00AD51F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4.2.12供应商仅提交备份投标文件，未在电子交易平台传输递交投标文件的，投标无效；</w:t>
      </w:r>
    </w:p>
    <w:p w14:paraId="5EAE58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4.2.13 投标文件不满足招标文件的其他实质性要求的；</w:t>
      </w:r>
    </w:p>
    <w:p w14:paraId="3875AE66">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4.2.14法律法规、规章（适用本市的）及省级以上规范性文件（适用本市的）规定的其他无效情形。</w:t>
      </w:r>
    </w:p>
    <w:p w14:paraId="4BB43E8D">
      <w:pPr>
        <w:pStyle w:val="25"/>
        <w:snapToGrid w:val="0"/>
        <w:spacing w:line="360" w:lineRule="auto"/>
        <w:ind w:firstLine="472" w:firstLineChars="196"/>
        <w:rPr>
          <w:rFonts w:hint="eastAsia"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669D84F0">
      <w:pPr>
        <w:pStyle w:val="25"/>
        <w:snapToGrid w:val="0"/>
        <w:spacing w:line="360" w:lineRule="auto"/>
        <w:rPr>
          <w:rFonts w:hint="eastAsia" w:cs="宋体"/>
          <w:color w:val="auto"/>
          <w:highlight w:val="none"/>
        </w:rPr>
      </w:pPr>
      <w:r>
        <w:rPr>
          <w:rFonts w:hint="eastAsia" w:cs="宋体"/>
          <w:color w:val="auto"/>
          <w:highlight w:val="none"/>
        </w:rPr>
        <w:t>5.1符合专业条件的供应商或者对招标文件作实质响应的供应商不足3家的；</w:t>
      </w:r>
    </w:p>
    <w:p w14:paraId="7B09B2E6">
      <w:pPr>
        <w:pStyle w:val="25"/>
        <w:snapToGrid w:val="0"/>
        <w:spacing w:line="360" w:lineRule="auto"/>
        <w:rPr>
          <w:rFonts w:hint="eastAsia" w:cs="宋体"/>
          <w:color w:val="auto"/>
          <w:highlight w:val="none"/>
        </w:rPr>
      </w:pPr>
      <w:r>
        <w:rPr>
          <w:rFonts w:hint="eastAsia" w:cs="宋体"/>
          <w:color w:val="auto"/>
          <w:highlight w:val="none"/>
        </w:rPr>
        <w:t>5.2出现影响采购公正的违法、违规行为的；</w:t>
      </w:r>
    </w:p>
    <w:p w14:paraId="413ECAC3">
      <w:pPr>
        <w:pStyle w:val="25"/>
        <w:snapToGrid w:val="0"/>
        <w:spacing w:line="360" w:lineRule="auto"/>
        <w:rPr>
          <w:rFonts w:hint="eastAsia" w:cs="宋体"/>
          <w:color w:val="auto"/>
          <w:highlight w:val="none"/>
        </w:rPr>
      </w:pPr>
      <w:r>
        <w:rPr>
          <w:rFonts w:hint="eastAsia" w:cs="宋体"/>
          <w:color w:val="auto"/>
          <w:highlight w:val="none"/>
        </w:rPr>
        <w:t>5.3供应商的报价均超过了采购预算，采购人不能支付的；</w:t>
      </w:r>
    </w:p>
    <w:p w14:paraId="1C2746F4">
      <w:pPr>
        <w:pStyle w:val="25"/>
        <w:snapToGrid w:val="0"/>
        <w:spacing w:line="360" w:lineRule="auto"/>
        <w:rPr>
          <w:rFonts w:hint="eastAsia" w:cs="宋体"/>
          <w:color w:val="auto"/>
          <w:highlight w:val="none"/>
        </w:rPr>
      </w:pPr>
      <w:r>
        <w:rPr>
          <w:rFonts w:hint="eastAsia" w:cs="宋体"/>
          <w:color w:val="auto"/>
          <w:highlight w:val="none"/>
        </w:rPr>
        <w:t>5.4因重大变故，采购任务取消的。</w:t>
      </w:r>
    </w:p>
    <w:p w14:paraId="14F486B9">
      <w:pPr>
        <w:pStyle w:val="25"/>
        <w:snapToGrid w:val="0"/>
        <w:spacing w:line="360" w:lineRule="auto"/>
        <w:rPr>
          <w:rFonts w:hint="eastAsia" w:cs="宋体"/>
          <w:color w:val="auto"/>
          <w:highlight w:val="none"/>
        </w:rPr>
      </w:pPr>
      <w:r>
        <w:rPr>
          <w:rFonts w:hint="eastAsia" w:cs="宋体"/>
          <w:color w:val="auto"/>
          <w:highlight w:val="none"/>
        </w:rPr>
        <w:t>废标后，采购代理机构应当将废标理由通知所有供应商。</w:t>
      </w:r>
    </w:p>
    <w:p w14:paraId="323AEA29">
      <w:pPr>
        <w:pStyle w:val="25"/>
        <w:snapToGrid w:val="0"/>
        <w:spacing w:line="360" w:lineRule="auto"/>
        <w:ind w:firstLine="590" w:firstLineChars="245"/>
        <w:rPr>
          <w:rFonts w:hint="eastAsia"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43355FD8">
      <w:pPr>
        <w:pStyle w:val="25"/>
        <w:snapToGrid w:val="0"/>
        <w:spacing w:line="360" w:lineRule="auto"/>
        <w:ind w:firstLine="482"/>
        <w:rPr>
          <w:rFonts w:hint="eastAsia"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0311C0F4">
      <w:pPr>
        <w:pStyle w:val="25"/>
        <w:snapToGrid w:val="0"/>
        <w:spacing w:line="360" w:lineRule="auto"/>
        <w:rPr>
          <w:rFonts w:hint="eastAsia" w:cs="宋体"/>
          <w:color w:val="auto"/>
          <w:highlight w:val="none"/>
        </w:rPr>
      </w:pPr>
      <w:r>
        <w:rPr>
          <w:rFonts w:hint="eastAsia" w:cs="宋体"/>
          <w:color w:val="auto"/>
          <w:highlight w:val="none"/>
        </w:rPr>
        <w:t>7.1未确定中标供应商的，终止本次政府采购活动，重新开展政府采购活动。</w:t>
      </w:r>
    </w:p>
    <w:p w14:paraId="1C08DE73">
      <w:pPr>
        <w:pStyle w:val="25"/>
        <w:snapToGrid w:val="0"/>
        <w:spacing w:line="360" w:lineRule="auto"/>
        <w:rPr>
          <w:rFonts w:hint="eastAsia"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44217DA7">
      <w:pPr>
        <w:pStyle w:val="25"/>
        <w:snapToGrid w:val="0"/>
        <w:spacing w:line="360" w:lineRule="auto"/>
        <w:rPr>
          <w:rFonts w:hint="eastAsia"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1C3BDCC">
      <w:pPr>
        <w:pStyle w:val="25"/>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5A6E981D">
      <w:pPr>
        <w:pStyle w:val="25"/>
        <w:snapToGrid w:val="0"/>
        <w:spacing w:line="360" w:lineRule="auto"/>
        <w:rPr>
          <w:rFonts w:hint="eastAsia"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342526C8">
      <w:pPr>
        <w:pStyle w:val="25"/>
        <w:snapToGrid w:val="0"/>
        <w:spacing w:line="360" w:lineRule="auto"/>
        <w:ind w:firstLine="0" w:firstLineChars="0"/>
        <w:rPr>
          <w:rFonts w:hint="eastAsia" w:cs="宋体"/>
          <w:color w:val="auto"/>
          <w:highlight w:val="none"/>
        </w:rPr>
      </w:pPr>
    </w:p>
    <w:bookmarkEnd w:id="33"/>
    <w:p w14:paraId="1C4F0E8C">
      <w:pPr>
        <w:spacing w:line="360" w:lineRule="auto"/>
        <w:ind w:left="720" w:leftChars="343" w:firstLine="1084" w:firstLineChars="300"/>
        <w:rPr>
          <w:rFonts w:hint="eastAsia" w:ascii="宋体" w:hAnsi="宋体" w:cs="宋体"/>
          <w:b/>
          <w:color w:val="auto"/>
          <w:sz w:val="36"/>
          <w:szCs w:val="36"/>
          <w:highlight w:val="none"/>
        </w:rPr>
      </w:pPr>
      <w:bookmarkStart w:id="403" w:name="第五部分"/>
      <w:bookmarkStart w:id="404" w:name="_Toc86217003"/>
    </w:p>
    <w:p w14:paraId="0EB1794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BCF848C">
      <w:pPr>
        <w:spacing w:line="360" w:lineRule="auto"/>
        <w:ind w:left="720" w:leftChars="343" w:firstLine="1084" w:firstLineChars="300"/>
        <w:outlineLvl w:val="0"/>
        <w:rPr>
          <w:rFonts w:hint="eastAsia" w:ascii="宋体" w:hAnsi="宋体" w:cs="宋体"/>
          <w:b/>
          <w:color w:val="auto"/>
          <w:sz w:val="36"/>
          <w:szCs w:val="36"/>
          <w:highlight w:val="none"/>
        </w:rPr>
      </w:pPr>
      <w:bookmarkStart w:id="405" w:name="_Toc8264"/>
      <w:r>
        <w:rPr>
          <w:rFonts w:hint="eastAsia" w:ascii="宋体" w:hAnsi="宋体" w:cs="宋体"/>
          <w:b/>
          <w:color w:val="auto"/>
          <w:sz w:val="36"/>
          <w:szCs w:val="36"/>
          <w:highlight w:val="none"/>
        </w:rPr>
        <w:t>第五部分 拟签订的合同文本</w:t>
      </w:r>
      <w:bookmarkEnd w:id="405"/>
    </w:p>
    <w:p w14:paraId="69F554DE">
      <w:pPr>
        <w:rPr>
          <w:rFonts w:hint="eastAsia"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39CDC608">
      <w:pPr>
        <w:spacing w:line="480" w:lineRule="auto"/>
        <w:jc w:val="center"/>
        <w:rPr>
          <w:rFonts w:hint="eastAsia" w:ascii="宋体" w:hAnsi="宋体" w:cs="宋体"/>
          <w:b/>
          <w:color w:val="auto"/>
          <w:sz w:val="28"/>
          <w:szCs w:val="28"/>
          <w:highlight w:val="none"/>
        </w:rPr>
      </w:pPr>
    </w:p>
    <w:p w14:paraId="73273D18">
      <w:pPr>
        <w:spacing w:line="480" w:lineRule="auto"/>
        <w:jc w:val="center"/>
        <w:rPr>
          <w:rFonts w:hint="eastAsia" w:ascii="宋体" w:hAnsi="宋体" w:cs="宋体"/>
          <w:b/>
          <w:color w:val="auto"/>
          <w:sz w:val="24"/>
          <w:highlight w:val="none"/>
        </w:rPr>
      </w:pPr>
    </w:p>
    <w:p w14:paraId="62D0F02A">
      <w:pPr>
        <w:spacing w:line="480" w:lineRule="auto"/>
        <w:jc w:val="center"/>
        <w:rPr>
          <w:rFonts w:hint="eastAsia" w:ascii="宋体" w:hAnsi="宋体" w:cs="宋体"/>
          <w:b/>
          <w:color w:val="auto"/>
          <w:sz w:val="24"/>
          <w:highlight w:val="none"/>
        </w:rPr>
      </w:pPr>
    </w:p>
    <w:p w14:paraId="13D14CD7">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24CD44F5">
      <w:pPr>
        <w:spacing w:line="48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（货物类）</w:t>
      </w:r>
    </w:p>
    <w:p w14:paraId="0F4D67B3">
      <w:pPr>
        <w:pStyle w:val="700"/>
        <w:rPr>
          <w:rFonts w:hint="eastAsia" w:ascii="宋体" w:hAnsi="宋体" w:cs="宋体"/>
          <w:color w:val="auto"/>
          <w:szCs w:val="24"/>
          <w:highlight w:val="none"/>
        </w:rPr>
      </w:pPr>
    </w:p>
    <w:p w14:paraId="004F37F2">
      <w:pPr>
        <w:pStyle w:val="700"/>
        <w:rPr>
          <w:rFonts w:hint="eastAsia" w:ascii="宋体" w:hAnsi="宋体" w:cs="宋体"/>
          <w:color w:val="auto"/>
          <w:szCs w:val="24"/>
          <w:highlight w:val="none"/>
        </w:rPr>
      </w:pPr>
    </w:p>
    <w:p w14:paraId="02C53AFA">
      <w:pPr>
        <w:pStyle w:val="700"/>
        <w:jc w:val="center"/>
        <w:rPr>
          <w:rFonts w:hint="eastAsia" w:ascii="宋体" w:hAnsi="宋体" w:cs="宋体"/>
          <w:color w:val="auto"/>
          <w:szCs w:val="24"/>
          <w:highlight w:val="none"/>
        </w:rPr>
      </w:pPr>
    </w:p>
    <w:p w14:paraId="30DE09B2">
      <w:pPr>
        <w:pStyle w:val="700"/>
        <w:ind w:firstLine="2843" w:firstLineChars="1180"/>
        <w:rPr>
          <w:rFonts w:hint="eastAsia" w:ascii="宋体" w:hAnsi="宋体" w:cs="宋体"/>
          <w:b/>
          <w:color w:val="auto"/>
          <w:szCs w:val="24"/>
          <w:highlight w:val="none"/>
        </w:rPr>
      </w:pPr>
      <w:r>
        <w:rPr>
          <w:rFonts w:hint="eastAsia" w:ascii="宋体" w:hAnsi="宋体" w:cs="宋体"/>
          <w:b/>
          <w:color w:val="auto"/>
          <w:szCs w:val="24"/>
          <w:highlight w:val="none"/>
        </w:rPr>
        <w:t>第一部分 合同书</w:t>
      </w:r>
    </w:p>
    <w:p w14:paraId="5888C125">
      <w:pPr>
        <w:pStyle w:val="700"/>
        <w:rPr>
          <w:rFonts w:hint="eastAsia" w:ascii="宋体" w:hAnsi="宋体" w:cs="宋体"/>
          <w:color w:val="auto"/>
          <w:szCs w:val="24"/>
          <w:highlight w:val="none"/>
        </w:rPr>
      </w:pPr>
    </w:p>
    <w:p w14:paraId="3CCC30DE">
      <w:pPr>
        <w:pStyle w:val="700"/>
        <w:rPr>
          <w:rFonts w:hint="eastAsia" w:ascii="宋体" w:hAnsi="宋体" w:cs="宋体"/>
          <w:color w:val="auto"/>
          <w:szCs w:val="24"/>
          <w:highlight w:val="none"/>
        </w:rPr>
      </w:pPr>
    </w:p>
    <w:p w14:paraId="1194A961">
      <w:pPr>
        <w:spacing w:before="120" w:line="22" w:lineRule="atLeast"/>
        <w:rPr>
          <w:rFonts w:hint="eastAsia" w:ascii="宋体" w:hAnsi="宋体" w:cs="宋体"/>
          <w:color w:val="auto"/>
          <w:sz w:val="24"/>
          <w:highlight w:val="none"/>
        </w:rPr>
      </w:pPr>
    </w:p>
    <w:p w14:paraId="05F4B0BE">
      <w:pPr>
        <w:spacing w:before="120" w:line="22" w:lineRule="atLeast"/>
        <w:ind w:left="960"/>
        <w:rPr>
          <w:rFonts w:hint="eastAsia"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宁海县教育局智能护学一期项目          </w:t>
      </w:r>
    </w:p>
    <w:p w14:paraId="3FF2BCC2">
      <w:pPr>
        <w:rPr>
          <w:rFonts w:hint="eastAsia" w:ascii="宋体" w:hAnsi="宋体" w:cs="宋体"/>
          <w:color w:val="auto"/>
          <w:sz w:val="24"/>
          <w:highlight w:val="none"/>
        </w:rPr>
      </w:pPr>
    </w:p>
    <w:p w14:paraId="67CFC8AA">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 xml:space="preserve">甲方： </w:t>
      </w:r>
      <w:r>
        <w:rPr>
          <w:rFonts w:hint="eastAsia" w:ascii="宋体" w:hAnsi="宋体" w:cs="宋体"/>
          <w:color w:val="auto"/>
          <w:sz w:val="24"/>
          <w:highlight w:val="none"/>
          <w:u w:val="single"/>
        </w:rPr>
        <w:t xml:space="preserve">      宁海县教育局装备与信息管理中心                                                  </w:t>
      </w:r>
    </w:p>
    <w:p w14:paraId="5E1C1F0E">
      <w:pPr>
        <w:spacing w:before="120" w:line="22" w:lineRule="atLeast"/>
        <w:rPr>
          <w:rFonts w:hint="eastAsia" w:ascii="宋体" w:hAnsi="宋体" w:cs="宋体"/>
          <w:color w:val="auto"/>
          <w:sz w:val="24"/>
          <w:highlight w:val="none"/>
        </w:rPr>
      </w:pPr>
    </w:p>
    <w:p w14:paraId="548C497F">
      <w:pPr>
        <w:spacing w:before="120" w:line="22" w:lineRule="atLeast"/>
        <w:ind w:left="960"/>
        <w:rPr>
          <w:rFonts w:hint="eastAsia"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ADCF930">
      <w:pPr>
        <w:spacing w:before="120" w:line="22" w:lineRule="atLeast"/>
        <w:rPr>
          <w:rFonts w:hint="eastAsia" w:ascii="宋体" w:hAnsi="宋体" w:cs="宋体"/>
          <w:color w:val="auto"/>
          <w:sz w:val="24"/>
          <w:highlight w:val="none"/>
        </w:rPr>
      </w:pPr>
    </w:p>
    <w:p w14:paraId="063B05BE">
      <w:pPr>
        <w:spacing w:before="120" w:line="22" w:lineRule="atLeast"/>
        <w:ind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宁海县                                                  </w:t>
      </w:r>
    </w:p>
    <w:p w14:paraId="568C723C">
      <w:pPr>
        <w:pStyle w:val="82"/>
        <w:ind w:firstLine="0" w:firstLineChars="0"/>
        <w:rPr>
          <w:color w:val="auto"/>
          <w:highlight w:val="none"/>
        </w:rPr>
      </w:pPr>
    </w:p>
    <w:p w14:paraId="6C8D876D">
      <w:pPr>
        <w:spacing w:before="120" w:line="22" w:lineRule="atLeast"/>
        <w:ind w:firstLine="960" w:firstLineChars="400"/>
        <w:rPr>
          <w:rFonts w:hint="eastAsia" w:ascii="宋体" w:hAnsi="宋体" w:cs="宋体"/>
          <w:color w:val="auto"/>
          <w:sz w:val="24"/>
          <w:highlight w:val="none"/>
        </w:rPr>
        <w:sectPr>
          <w:pgSz w:w="11907" w:h="16840"/>
          <w:pgMar w:top="1474" w:right="1814" w:bottom="1474" w:left="1814" w:header="851" w:footer="851" w:gutter="0"/>
          <w:cols w:space="720" w:num="1"/>
        </w:sectPr>
      </w:pPr>
      <w:r>
        <w:rPr>
          <w:rFonts w:hint="eastAsia" w:ascii="宋体" w:hAnsi="宋体" w:cs="宋体"/>
          <w:color w:val="auto"/>
          <w:sz w:val="24"/>
          <w:highlight w:val="none"/>
        </w:rPr>
        <w:t>见证方：</w:t>
      </w:r>
      <w:r>
        <w:rPr>
          <w:rFonts w:hint="eastAsia" w:ascii="宋体" w:hAnsi="宋体" w:cs="宋体"/>
          <w:color w:val="auto"/>
          <w:sz w:val="24"/>
          <w:highlight w:val="none"/>
          <w:u w:val="single"/>
        </w:rPr>
        <w:t xml:space="preserve">          浙江中基正采管理咨询有限公司                           </w:t>
      </w:r>
    </w:p>
    <w:p w14:paraId="2E4B774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宁海县教育局装备与信息管理中心</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公开招标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宁海县教育局智能护学一期项目（项目编号CBZJ-20256048G）</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评标委员会</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为该项目中标或者成交供应商。现于中标通知书发出之日起30日内，按照招标文件等确定的事项签订本合同。</w:t>
      </w:r>
    </w:p>
    <w:p w14:paraId="2C6F22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highlight w:val="none"/>
          <w:u w:val="single"/>
        </w:rPr>
        <w:t xml:space="preserve"> 宁海县教育局装备与信息管理中心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（中标供应商名称）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1C1E4D82">
      <w:pPr>
        <w:spacing w:line="360" w:lineRule="auto"/>
        <w:ind w:firstLine="482" w:firstLineChars="200"/>
        <w:rPr>
          <w:rFonts w:hint="eastAsia" w:ascii="宋体" w:hAnsi="宋体" w:cs="宋体"/>
          <w:b/>
          <w:color w:val="auto"/>
          <w:sz w:val="24"/>
          <w:highlight w:val="none"/>
        </w:rPr>
      </w:pPr>
      <w:bookmarkStart w:id="406" w:name="_Toc2232"/>
      <w:bookmarkStart w:id="407" w:name="_Toc24059"/>
      <w:bookmarkStart w:id="408" w:name="_Toc3029"/>
      <w:r>
        <w:rPr>
          <w:rFonts w:hint="eastAsia" w:ascii="宋体" w:hAnsi="宋体" w:cs="宋体"/>
          <w:b/>
          <w:color w:val="auto"/>
          <w:sz w:val="24"/>
          <w:highlight w:val="none"/>
        </w:rPr>
        <w:t>1.1 合同组成部分</w:t>
      </w:r>
      <w:bookmarkEnd w:id="406"/>
      <w:bookmarkEnd w:id="407"/>
      <w:bookmarkEnd w:id="408"/>
    </w:p>
    <w:p w14:paraId="0BA7AC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下列文件为本合同的组成部分，并构成一个整体，需综合解释、相互补充。如果下列文件内容出现不一致的情形，那么在保证按照招标文件确定的事项的前提下，组成本合同的多个文件的优先适用顺序如下：</w:t>
      </w:r>
    </w:p>
    <w:p w14:paraId="264F4B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382BF93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中标或者成交通知书；</w:t>
      </w:r>
    </w:p>
    <w:p w14:paraId="60DA10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投标或者响应文件（含澄清或者说明文件）；</w:t>
      </w:r>
    </w:p>
    <w:p w14:paraId="7B09D23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招标文件（含澄清或者修改文件）；</w:t>
      </w:r>
    </w:p>
    <w:p w14:paraId="522680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其他相关招标文件。</w:t>
      </w:r>
    </w:p>
    <w:p w14:paraId="58A1A525">
      <w:pPr>
        <w:spacing w:line="360" w:lineRule="auto"/>
        <w:ind w:firstLine="482" w:firstLineChars="200"/>
        <w:rPr>
          <w:rFonts w:hint="eastAsia" w:ascii="宋体" w:hAnsi="宋体" w:cs="宋体"/>
          <w:b/>
          <w:color w:val="auto"/>
          <w:sz w:val="24"/>
          <w:highlight w:val="none"/>
        </w:rPr>
      </w:pPr>
      <w:bookmarkStart w:id="409" w:name="_Toc24300"/>
      <w:bookmarkStart w:id="410" w:name="_Toc27126"/>
      <w:bookmarkStart w:id="411" w:name="_Toc21295"/>
      <w:r>
        <w:rPr>
          <w:rFonts w:hint="eastAsia" w:ascii="宋体" w:hAnsi="宋体" w:cs="宋体"/>
          <w:b/>
          <w:color w:val="auto"/>
          <w:sz w:val="24"/>
          <w:highlight w:val="none"/>
        </w:rPr>
        <w:t>1.2 货物</w:t>
      </w:r>
      <w:bookmarkEnd w:id="409"/>
      <w:bookmarkEnd w:id="410"/>
      <w:bookmarkEnd w:id="411"/>
    </w:p>
    <w:p w14:paraId="69920FF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 货物名称、品牌、规格型号：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6F44CEC">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1FAFCF">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1.2.3 货物质量：</w:t>
      </w:r>
      <w:r>
        <w:rPr>
          <w:rFonts w:hint="eastAsia" w:ascii="宋体" w:hAnsi="宋体" w:cs="宋体"/>
          <w:color w:val="auto"/>
          <w:sz w:val="24"/>
          <w:highlight w:val="none"/>
          <w:u w:val="single"/>
        </w:rPr>
        <w:t>　　　　　　　　　                      　      ；</w:t>
      </w:r>
    </w:p>
    <w:p w14:paraId="1D471C5B">
      <w:pPr>
        <w:spacing w:line="360" w:lineRule="auto"/>
        <w:ind w:firstLine="482" w:firstLineChars="200"/>
        <w:rPr>
          <w:rFonts w:hint="eastAsia" w:ascii="宋体" w:hAnsi="宋体" w:cs="宋体"/>
          <w:b/>
          <w:color w:val="auto"/>
          <w:sz w:val="24"/>
          <w:highlight w:val="none"/>
        </w:rPr>
      </w:pPr>
      <w:bookmarkStart w:id="412" w:name="_Toc21631"/>
      <w:bookmarkStart w:id="413" w:name="_Toc23292"/>
      <w:bookmarkStart w:id="414" w:name="_Toc21551"/>
      <w:r>
        <w:rPr>
          <w:rFonts w:hint="eastAsia" w:ascii="宋体" w:hAnsi="宋体" w:cs="宋体"/>
          <w:b/>
          <w:color w:val="auto"/>
          <w:sz w:val="24"/>
          <w:highlight w:val="none"/>
        </w:rPr>
        <w:t>1.3 价款</w:t>
      </w:r>
      <w:bookmarkEnd w:id="412"/>
      <w:bookmarkEnd w:id="413"/>
      <w:bookmarkEnd w:id="414"/>
    </w:p>
    <w:p w14:paraId="47E43A6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本合同单价（含税）为：￥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w:t>
      </w:r>
      <w:bookmarkStart w:id="415" w:name="_Toc1814"/>
      <w:bookmarkStart w:id="416" w:name="_Toc10340"/>
      <w:bookmarkStart w:id="417" w:name="_Toc22618"/>
      <w:r>
        <w:rPr>
          <w:rFonts w:hint="eastAsia" w:ascii="宋体" w:hAnsi="宋体" w:cs="宋体"/>
          <w:color w:val="auto"/>
          <w:sz w:val="24"/>
          <w:highlight w:val="none"/>
        </w:rPr>
        <w:t>（含公路运输）。</w:t>
      </w:r>
    </w:p>
    <w:p w14:paraId="75B98145">
      <w:pPr>
        <w:pStyle w:val="958"/>
        <w:spacing w:before="0" w:beforeAutospacing="0" w:after="0" w:afterAutospacing="0" w:line="360" w:lineRule="auto"/>
        <w:ind w:firstLine="480"/>
        <w:rPr>
          <w:rFonts w:hint="eastAsia"/>
          <w:b/>
          <w:color w:val="auto"/>
          <w:highlight w:val="none"/>
        </w:rPr>
      </w:pPr>
      <w:r>
        <w:rPr>
          <w:rFonts w:hint="eastAsia"/>
          <w:b/>
          <w:color w:val="auto"/>
          <w:highlight w:val="none"/>
        </w:rPr>
        <w:t>1.4履约保证金</w:t>
      </w:r>
    </w:p>
    <w:p w14:paraId="515AC1CE">
      <w:pPr>
        <w:pStyle w:val="958"/>
        <w:spacing w:before="0" w:beforeAutospacing="0" w:after="0" w:afterAutospacing="0" w:line="360" w:lineRule="auto"/>
        <w:ind w:firstLine="480"/>
        <w:rPr>
          <w:rFonts w:hint="eastAsia"/>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3CC6AFF7">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293D78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Cs/>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778AC2E">
      <w:pPr>
        <w:tabs>
          <w:tab w:val="left" w:pos="0"/>
        </w:tabs>
        <w:spacing w:line="360" w:lineRule="auto"/>
        <w:ind w:firstLine="480" w:firstLineChars="200"/>
        <w:rPr>
          <w:color w:val="auto"/>
          <w:highlight w:val="none"/>
        </w:rPr>
      </w:pPr>
      <w:r>
        <w:rPr>
          <w:rFonts w:hint="eastAsia" w:ascii="宋体" w:hAnsi="宋体" w:cs="宋体"/>
          <w:color w:val="auto"/>
          <w:kern w:val="0"/>
          <w:sz w:val="24"/>
          <w:highlight w:val="none"/>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4118C8C0">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1AC39D9A">
      <w:pPr>
        <w:pStyle w:val="958"/>
        <w:spacing w:before="0" w:beforeAutospacing="0" w:after="0" w:afterAutospacing="0" w:line="360" w:lineRule="auto"/>
        <w:ind w:firstLine="480"/>
        <w:rPr>
          <w:rFonts w:hint="eastAsia"/>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0D087203">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410BB6F1">
      <w:pPr>
        <w:pStyle w:val="958"/>
        <w:spacing w:before="0" w:beforeAutospacing="0" w:after="0" w:afterAutospacing="0" w:line="360" w:lineRule="auto"/>
        <w:ind w:firstLine="480"/>
        <w:rPr>
          <w:rFonts w:hint="eastAsia"/>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0871164">
      <w:pPr>
        <w:pStyle w:val="958"/>
        <w:spacing w:before="0" w:beforeAutospacing="0" w:after="0" w:afterAutospacing="0" w:line="360" w:lineRule="auto"/>
        <w:ind w:firstLine="480"/>
        <w:rPr>
          <w:rFonts w:hint="eastAsia"/>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4BAC9CCA">
      <w:pPr>
        <w:pStyle w:val="958"/>
        <w:spacing w:before="0" w:beforeAutospacing="0" w:after="0" w:afterAutospacing="0" w:line="360" w:lineRule="auto"/>
        <w:ind w:firstLine="480"/>
        <w:rPr>
          <w:rFonts w:hint="eastAsia"/>
          <w:b/>
          <w:bCs/>
          <w:color w:val="auto"/>
          <w:highlight w:val="none"/>
        </w:rPr>
      </w:pPr>
      <w:r>
        <w:rPr>
          <w:rFonts w:hint="eastAsia"/>
          <w:b/>
          <w:bCs/>
          <w:color w:val="auto"/>
          <w:highlight w:val="none"/>
        </w:rPr>
        <w:t>1.6资金支付</w:t>
      </w:r>
    </w:p>
    <w:p w14:paraId="7C2F7016">
      <w:pPr>
        <w:pStyle w:val="958"/>
        <w:spacing w:before="0" w:beforeAutospacing="0" w:after="0" w:afterAutospacing="0" w:line="360" w:lineRule="auto"/>
        <w:ind w:firstLine="480"/>
        <w:rPr>
          <w:rFonts w:hint="eastAsia"/>
          <w:color w:val="auto"/>
          <w:highlight w:val="none"/>
        </w:rPr>
      </w:pPr>
      <w:r>
        <w:rPr>
          <w:rFonts w:hint="eastAsia"/>
          <w:color w:val="auto"/>
          <w:highlight w:val="none"/>
        </w:rPr>
        <w:t>1.6.1甲方应严格履行合同，及时组织验收。</w:t>
      </w:r>
    </w:p>
    <w:p w14:paraId="1739CA0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0C8B8460">
      <w:pPr>
        <w:spacing w:line="360" w:lineRule="auto"/>
        <w:ind w:firstLine="482" w:firstLineChars="200"/>
        <w:rPr>
          <w:rFonts w:hint="eastAsia" w:ascii="宋体" w:hAnsi="宋体" w:cs="宋体"/>
          <w:b/>
          <w:color w:val="auto"/>
          <w:sz w:val="24"/>
          <w:highlight w:val="none"/>
        </w:rPr>
      </w:pPr>
      <w:bookmarkStart w:id="418" w:name="_Toc2846"/>
      <w:bookmarkStart w:id="419" w:name="_Toc32071"/>
      <w:bookmarkStart w:id="420" w:name="_Toc19304"/>
      <w:r>
        <w:rPr>
          <w:rFonts w:hint="eastAsia" w:ascii="宋体" w:hAnsi="宋体" w:cs="宋体"/>
          <w:b/>
          <w:color w:val="auto"/>
          <w:sz w:val="24"/>
          <w:highlight w:val="none"/>
        </w:rPr>
        <w:t>1.7货物交付期限、地点和方式</w:t>
      </w:r>
      <w:bookmarkEnd w:id="418"/>
      <w:bookmarkEnd w:id="419"/>
      <w:bookmarkEnd w:id="420"/>
    </w:p>
    <w:p w14:paraId="0698E92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1.7.1 交付期限：详见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A5DBC5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交付地点：</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7D077F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1.7.3 交付方式：</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3618F009">
      <w:pPr>
        <w:spacing w:line="360" w:lineRule="auto"/>
        <w:ind w:firstLine="482" w:firstLineChars="200"/>
        <w:rPr>
          <w:rFonts w:hint="eastAsia" w:ascii="宋体" w:hAnsi="宋体" w:cs="宋体"/>
          <w:b/>
          <w:color w:val="auto"/>
          <w:sz w:val="24"/>
          <w:highlight w:val="none"/>
        </w:rPr>
      </w:pPr>
      <w:bookmarkStart w:id="421" w:name="_Toc19554"/>
      <w:bookmarkStart w:id="422" w:name="_Toc27250"/>
      <w:bookmarkStart w:id="423" w:name="_Toc21423"/>
      <w:r>
        <w:rPr>
          <w:rFonts w:hint="eastAsia" w:ascii="宋体" w:hAnsi="宋体" w:cs="宋体"/>
          <w:b/>
          <w:color w:val="auto"/>
          <w:sz w:val="24"/>
          <w:highlight w:val="none"/>
        </w:rPr>
        <w:t>1.8违约责任</w:t>
      </w:r>
      <w:bookmarkEnd w:id="421"/>
      <w:bookmarkEnd w:id="422"/>
      <w:bookmarkEnd w:id="423"/>
    </w:p>
    <w:p w14:paraId="417BEBD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highlight w:val="none"/>
          <w:u w:val="single"/>
        </w:rPr>
        <w:t xml:space="preserve">  0.05</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   </w:t>
      </w:r>
      <w:r>
        <w:rPr>
          <w:rFonts w:hint="eastAsia" w:ascii="宋体" w:hAnsi="宋体" w:cs="宋体"/>
          <w:color w:val="auto"/>
          <w:sz w:val="24"/>
          <w:highlight w:val="none"/>
        </w:rPr>
        <w:t>%；迟延交付货物的违约金计算数额达到前述最高限额之日起，甲方有权在要求乙方支付违约金的同时，书面通知乙方解除本合同；</w:t>
      </w:r>
    </w:p>
    <w:p w14:paraId="50DABF1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1.8.2 本合同有效期内，甲、乙双方任何一方均不能擅自解除或终止本合同，一方确有客观原因需要解除或终止本合同的，应提前三个月以书面形式向另一方进行说明解除或终止合同的原因，并应向另一方支付壹万元违约金，方能解除或终止合同，如果通过诉讼或仲裁追究违约方的违约责任，则违约方应承担守约方为此而支出的诉讼或仲裁费、保全费、保全担保费、律师费、审计评估费、鉴定费和公证费等全部费用。</w:t>
      </w:r>
    </w:p>
    <w:p w14:paraId="7F6B5733">
      <w:pPr>
        <w:spacing w:line="360" w:lineRule="auto"/>
        <w:ind w:left="-420" w:leftChars="-200" w:right="-420" w:rightChars="-200" w:firstLine="960" w:firstLineChars="400"/>
        <w:rPr>
          <w:rFonts w:hint="eastAsia" w:ascii="宋体" w:hAnsi="宋体" w:cs="宋体"/>
          <w:color w:val="auto"/>
          <w:highlight w:val="none"/>
        </w:rPr>
      </w:pPr>
      <w:r>
        <w:rPr>
          <w:rFonts w:hint="eastAsia" w:ascii="宋体" w:hAnsi="宋体" w:cs="宋体"/>
          <w:color w:val="auto"/>
          <w:sz w:val="24"/>
          <w:highlight w:val="none"/>
        </w:rPr>
        <w:t>1.8.3违约责任</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另有约定的，从其约定。</w:t>
      </w:r>
    </w:p>
    <w:p w14:paraId="215FFDA1">
      <w:pPr>
        <w:spacing w:line="360" w:lineRule="auto"/>
        <w:ind w:firstLine="482" w:firstLineChars="200"/>
        <w:rPr>
          <w:rFonts w:hint="eastAsia" w:ascii="宋体" w:hAnsi="宋体" w:cs="宋体"/>
          <w:b/>
          <w:color w:val="auto"/>
          <w:sz w:val="24"/>
          <w:highlight w:val="none"/>
        </w:rPr>
      </w:pPr>
      <w:bookmarkStart w:id="424" w:name="_Toc28375"/>
      <w:bookmarkStart w:id="425" w:name="_Toc16021"/>
      <w:bookmarkStart w:id="426" w:name="_Toc15583"/>
      <w:r>
        <w:rPr>
          <w:rFonts w:hint="eastAsia" w:ascii="宋体" w:hAnsi="宋体" w:cs="宋体"/>
          <w:b/>
          <w:color w:val="auto"/>
          <w:sz w:val="24"/>
          <w:highlight w:val="none"/>
        </w:rPr>
        <w:t>1.9合同争议的解决</w:t>
      </w:r>
      <w:bookmarkEnd w:id="424"/>
      <w:bookmarkEnd w:id="425"/>
      <w:bookmarkEnd w:id="426"/>
    </w:p>
    <w:p w14:paraId="2A245E34">
      <w:pPr>
        <w:spacing w:line="360" w:lineRule="auto"/>
        <w:ind w:left="-61" w:leftChars="-29" w:right="-420" w:rightChars="-200" w:firstLine="240" w:firstLineChars="100"/>
        <w:rPr>
          <w:rFonts w:hint="eastAsia"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color w:val="auto"/>
          <w:sz w:val="24"/>
          <w:highlight w:val="none"/>
          <w:u w:val="single"/>
        </w:rPr>
        <w:t xml:space="preserve">      </w:t>
      </w:r>
      <w:r>
        <w:rPr>
          <w:rFonts w:hint="eastAsia" w:ascii="宋体" w:hAnsi="宋体" w:cs="宋体"/>
          <w:color w:val="auto"/>
          <w:sz w:val="24"/>
          <w:highlight w:val="none"/>
        </w:rPr>
        <w:t>条款规定的方式解决：</w:t>
      </w:r>
    </w:p>
    <w:p w14:paraId="76688688">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425F0CC">
      <w:pPr>
        <w:spacing w:line="360" w:lineRule="auto"/>
        <w:ind w:left="-420" w:leftChars="-200" w:right="-420" w:rightChars="-200" w:firstLine="840" w:firstLineChars="350"/>
        <w:rPr>
          <w:rFonts w:hint="eastAsia"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人民法院起诉。</w:t>
      </w:r>
    </w:p>
    <w:p w14:paraId="591D1382">
      <w:pPr>
        <w:spacing w:line="360" w:lineRule="auto"/>
        <w:ind w:firstLine="482" w:firstLineChars="200"/>
        <w:rPr>
          <w:rFonts w:hint="eastAsia" w:ascii="宋体" w:hAnsi="宋体" w:cs="宋体"/>
          <w:b/>
          <w:color w:val="auto"/>
          <w:sz w:val="24"/>
          <w:highlight w:val="none"/>
        </w:rPr>
      </w:pPr>
      <w:bookmarkStart w:id="427" w:name="_Toc11173"/>
      <w:bookmarkStart w:id="428" w:name="_Toc15322"/>
      <w:bookmarkStart w:id="429" w:name="_Toc7245"/>
    </w:p>
    <w:p w14:paraId="77D7302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2.0 合同生效</w:t>
      </w:r>
      <w:bookmarkEnd w:id="427"/>
      <w:bookmarkEnd w:id="428"/>
      <w:bookmarkEnd w:id="429"/>
    </w:p>
    <w:p w14:paraId="312B36A2">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04BB05A3">
      <w:pPr>
        <w:autoSpaceDE w:val="0"/>
        <w:autoSpaceDN w:val="0"/>
        <w:spacing w:line="360" w:lineRule="auto"/>
        <w:rPr>
          <w:rFonts w:hint="eastAsia" w:ascii="宋体" w:hAnsi="宋体" w:cs="宋体"/>
          <w:b/>
          <w:color w:val="auto"/>
          <w:sz w:val="24"/>
          <w:highlight w:val="none"/>
          <w:lang w:val="zh-CN"/>
        </w:rPr>
      </w:pPr>
    </w:p>
    <w:p w14:paraId="2BC821E8">
      <w:pPr>
        <w:autoSpaceDE w:val="0"/>
        <w:autoSpaceDN w:val="0"/>
        <w:spacing w:line="360" w:lineRule="auto"/>
        <w:rPr>
          <w:rFonts w:hint="eastAsia" w:ascii="宋体" w:hAnsi="宋体" w:cs="宋体"/>
          <w:color w:val="auto"/>
          <w:sz w:val="24"/>
          <w:highlight w:val="none"/>
          <w:lang w:val="zh-CN"/>
        </w:rPr>
      </w:pPr>
      <w:r>
        <w:rPr>
          <w:rFonts w:hint="eastAsia" w:ascii="宋体" w:hAnsi="宋体" w:cs="宋体"/>
          <w:b/>
          <w:color w:val="auto"/>
          <w:sz w:val="24"/>
          <w:highlight w:val="none"/>
          <w:lang w:val="zh-CN"/>
        </w:rPr>
        <w:t>甲方</w:t>
      </w:r>
      <w:r>
        <w:rPr>
          <w:rFonts w:hint="eastAsia" w:ascii="宋体" w:hAnsi="宋体" w:cs="宋体"/>
          <w:color w:val="auto"/>
          <w:sz w:val="24"/>
          <w:highlight w:val="none"/>
          <w:lang w:val="zh-CN"/>
        </w:rPr>
        <w:t xml:space="preserve">：                             </w:t>
      </w:r>
      <w:r>
        <w:rPr>
          <w:rFonts w:hint="eastAsia" w:ascii="宋体" w:hAnsi="宋体" w:cs="宋体"/>
          <w:b/>
          <w:color w:val="auto"/>
          <w:sz w:val="24"/>
          <w:highlight w:val="none"/>
          <w:lang w:val="zh-CN"/>
        </w:rPr>
        <w:t xml:space="preserve">      乙方</w:t>
      </w:r>
      <w:r>
        <w:rPr>
          <w:rFonts w:hint="eastAsia" w:ascii="宋体" w:hAnsi="宋体" w:cs="宋体"/>
          <w:color w:val="auto"/>
          <w:sz w:val="24"/>
          <w:highlight w:val="none"/>
          <w:lang w:val="zh-CN"/>
        </w:rPr>
        <w:t>：</w:t>
      </w:r>
    </w:p>
    <w:p w14:paraId="61ACDA6C">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7818FE2D">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2BE20E2F">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54DC259">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                       或授权代表（签字）： </w:t>
      </w:r>
    </w:p>
    <w:p w14:paraId="18D738BE">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4595ECC0">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6145AFB1">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2D71A2E6">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5079B275">
      <w:pPr>
        <w:autoSpaceDE w:val="0"/>
        <w:autoSpaceDN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45F8EA28">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53826F51">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265D2A5">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18BEAE50">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00A61202">
      <w:pPr>
        <w:autoSpaceDE w:val="0"/>
        <w:autoSpaceDN w:val="0"/>
        <w:spacing w:line="360" w:lineRule="auto"/>
        <w:rPr>
          <w:rFonts w:hint="eastAsia" w:ascii="宋体" w:hAnsi="宋体" w:cs="宋体"/>
          <w:color w:val="auto"/>
          <w:sz w:val="24"/>
          <w:highlight w:val="none"/>
        </w:rPr>
      </w:pPr>
    </w:p>
    <w:p w14:paraId="41682C29">
      <w:pPr>
        <w:autoSpaceDE w:val="0"/>
        <w:autoSpaceDN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见证方：浙江中基正采管理咨询有限公司</w:t>
      </w:r>
    </w:p>
    <w:p w14:paraId="648C9F49">
      <w:pPr>
        <w:tabs>
          <w:tab w:val="left" w:pos="432"/>
        </w:tabs>
        <w:rPr>
          <w:rFonts w:hint="eastAsia" w:ascii="宋体" w:hAnsi="宋体" w:cs="宋体"/>
          <w:color w:val="auto"/>
          <w:sz w:val="24"/>
          <w:highlight w:val="none"/>
        </w:rPr>
      </w:pPr>
    </w:p>
    <w:p w14:paraId="1998FFD7">
      <w:pPr>
        <w:rPr>
          <w:rFonts w:hint="eastAsia" w:ascii="宋体" w:hAnsi="宋体" w:cs="宋体"/>
          <w:color w:val="auto"/>
          <w:sz w:val="24"/>
          <w:highlight w:val="none"/>
        </w:rPr>
      </w:pPr>
    </w:p>
    <w:p w14:paraId="77A1A7D1">
      <w:pPr>
        <w:tabs>
          <w:tab w:val="left" w:pos="432"/>
        </w:tabs>
        <w:rPr>
          <w:rFonts w:hint="eastAsia" w:ascii="宋体" w:hAnsi="宋体" w:cs="宋体"/>
          <w:color w:val="auto"/>
          <w:sz w:val="24"/>
          <w:highlight w:val="none"/>
        </w:rPr>
      </w:pPr>
    </w:p>
    <w:p w14:paraId="682301A7">
      <w:pPr>
        <w:rPr>
          <w:rFonts w:hint="eastAsia" w:ascii="宋体" w:hAnsi="宋体" w:cs="宋体"/>
          <w:color w:val="auto"/>
          <w:sz w:val="24"/>
          <w:highlight w:val="none"/>
        </w:rPr>
      </w:pPr>
    </w:p>
    <w:p w14:paraId="6CB0BB92">
      <w:pPr>
        <w:tabs>
          <w:tab w:val="left" w:pos="432"/>
        </w:tabs>
        <w:rPr>
          <w:rFonts w:hint="eastAsia" w:ascii="宋体" w:hAnsi="宋体" w:cs="宋体"/>
          <w:color w:val="auto"/>
          <w:sz w:val="24"/>
          <w:highlight w:val="none"/>
        </w:rPr>
      </w:pPr>
    </w:p>
    <w:p w14:paraId="687BA457">
      <w:pPr>
        <w:rPr>
          <w:rFonts w:hint="eastAsia" w:ascii="宋体" w:hAnsi="宋体" w:cs="宋体"/>
          <w:color w:val="auto"/>
          <w:sz w:val="24"/>
          <w:highlight w:val="none"/>
        </w:rPr>
      </w:pPr>
    </w:p>
    <w:p w14:paraId="7A0FAD65">
      <w:pPr>
        <w:rPr>
          <w:rFonts w:hint="eastAsia" w:ascii="宋体" w:hAnsi="宋体" w:cs="宋体"/>
          <w:b/>
          <w:color w:val="auto"/>
          <w:highlight w:val="none"/>
        </w:rPr>
      </w:pPr>
      <w:r>
        <w:rPr>
          <w:rFonts w:hint="eastAsia" w:ascii="宋体" w:hAnsi="宋体" w:cs="宋体"/>
          <w:b/>
          <w:color w:val="auto"/>
          <w:highlight w:val="none"/>
        </w:rPr>
        <w:br w:type="page"/>
      </w:r>
    </w:p>
    <w:p w14:paraId="334875AC">
      <w:pPr>
        <w:pStyle w:val="700"/>
        <w:spacing w:line="560" w:lineRule="exact"/>
        <w:ind w:firstLine="482"/>
        <w:jc w:val="center"/>
        <w:rPr>
          <w:rFonts w:hint="eastAsia" w:ascii="宋体" w:hAnsi="宋体" w:cs="宋体"/>
          <w:b/>
          <w:color w:val="auto"/>
          <w:szCs w:val="24"/>
          <w:highlight w:val="none"/>
        </w:rPr>
      </w:pPr>
      <w:r>
        <w:rPr>
          <w:rFonts w:hint="eastAsia" w:ascii="宋体" w:hAnsi="宋体" w:cs="宋体"/>
          <w:b/>
          <w:color w:val="auto"/>
          <w:szCs w:val="24"/>
          <w:highlight w:val="none"/>
        </w:rPr>
        <w:t>第二部分 合同一般条款</w:t>
      </w:r>
    </w:p>
    <w:p w14:paraId="75D7657C">
      <w:pPr>
        <w:spacing w:line="560" w:lineRule="exact"/>
        <w:ind w:firstLine="482" w:firstLineChars="200"/>
        <w:rPr>
          <w:rFonts w:hint="eastAsia" w:ascii="宋体" w:hAnsi="宋体" w:cs="宋体"/>
          <w:b/>
          <w:color w:val="auto"/>
          <w:sz w:val="24"/>
          <w:highlight w:val="none"/>
        </w:rPr>
      </w:pPr>
      <w:bookmarkStart w:id="430" w:name="_Ref467378499"/>
      <w:bookmarkStart w:id="431" w:name="_Ref467379094"/>
      <w:bookmarkStart w:id="432" w:name="_Toc279701240"/>
      <w:bookmarkStart w:id="433" w:name="_Ref467379101"/>
      <w:bookmarkStart w:id="434" w:name="_Toc28763"/>
      <w:bookmarkStart w:id="435" w:name="_Ref467378404"/>
      <w:bookmarkStart w:id="436" w:name="_Ref467379109"/>
      <w:bookmarkStart w:id="437" w:name="_Toc16917"/>
      <w:bookmarkStart w:id="438" w:name="_Toc487900349"/>
      <w:bookmarkStart w:id="439" w:name="_Toc259093669"/>
      <w:bookmarkStart w:id="440" w:name="_Ref467379214"/>
      <w:bookmarkStart w:id="441" w:name="_Ref467379225"/>
      <w:bookmarkStart w:id="442" w:name="_Ref467379205"/>
      <w:bookmarkStart w:id="443" w:name="_Ref467379195"/>
      <w:bookmarkStart w:id="444" w:name="_Toc19614"/>
      <w:bookmarkStart w:id="445" w:name="_Ref467378463"/>
      <w:r>
        <w:rPr>
          <w:rFonts w:hint="eastAsia" w:ascii="宋体" w:hAnsi="宋体" w:cs="宋体"/>
          <w:b/>
          <w:color w:val="auto"/>
          <w:sz w:val="24"/>
          <w:highlight w:val="none"/>
        </w:rPr>
        <w:t>2.1 定义</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0F9A6ADF">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0335AD9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“合同”系指采购人和中标或成交供应商签订的载明双方当事人所达成的协议，并包括所有的附件、附录和构成合同的其他文件。</w:t>
      </w:r>
    </w:p>
    <w:p w14:paraId="5D6AAEA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“合同价”系指根据合同约定，中标或成交供应商在完全履行合同义务后，采购人应支付给中标或成交供应商的价格。</w:t>
      </w:r>
    </w:p>
    <w:p w14:paraId="4A8E0BD5">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4609F89B">
      <w:pPr>
        <w:spacing w:line="560" w:lineRule="exact"/>
        <w:ind w:firstLine="480" w:firstLineChars="200"/>
        <w:rPr>
          <w:rFonts w:hint="eastAsia" w:ascii="宋体" w:hAnsi="宋体" w:cs="宋体"/>
          <w:color w:val="auto"/>
          <w:sz w:val="24"/>
          <w:highlight w:val="none"/>
        </w:rPr>
      </w:pPr>
      <w:bookmarkStart w:id="446" w:name="_Ref467378840"/>
      <w:r>
        <w:rPr>
          <w:rFonts w:hint="eastAsia" w:ascii="宋体" w:hAnsi="宋体" w:cs="宋体"/>
          <w:color w:val="auto"/>
          <w:sz w:val="24"/>
          <w:highlight w:val="none"/>
        </w:rPr>
        <w:t>2.1.4 “甲方”系指与中标或成交供应商签署合同的采购人</w:t>
      </w:r>
      <w:bookmarkEnd w:id="446"/>
      <w:r>
        <w:rPr>
          <w:rFonts w:hint="eastAsia" w:ascii="宋体" w:hAnsi="宋体" w:cs="宋体"/>
          <w:color w:val="auto"/>
          <w:sz w:val="24"/>
          <w:highlight w:val="none"/>
        </w:rPr>
        <w:t>；采购人委托采购代理机构代表其与乙方签订合同的，采购人的授权委托书作为合同附件。</w:t>
      </w:r>
    </w:p>
    <w:p w14:paraId="3BA45850">
      <w:pPr>
        <w:spacing w:line="560" w:lineRule="exact"/>
        <w:ind w:firstLine="480" w:firstLineChars="200"/>
        <w:rPr>
          <w:rFonts w:hint="eastAsia" w:ascii="宋体" w:hAnsi="宋体" w:cs="宋体"/>
          <w:color w:val="auto"/>
          <w:sz w:val="24"/>
          <w:highlight w:val="none"/>
        </w:rPr>
      </w:pPr>
      <w:bookmarkStart w:id="447" w:name="_Ref467379400"/>
      <w:r>
        <w:rPr>
          <w:rFonts w:hint="eastAsia" w:ascii="宋体" w:hAnsi="宋体" w:cs="宋体"/>
          <w:color w:val="auto"/>
          <w:sz w:val="24"/>
          <w:highlight w:val="none"/>
        </w:rPr>
        <w:t>2.1.5 “乙方”系指根据合同约定交付货物的中标或成交供应商</w:t>
      </w:r>
      <w:bookmarkEnd w:id="447"/>
      <w:r>
        <w:rPr>
          <w:rFonts w:hint="eastAsia" w:ascii="宋体" w:hAnsi="宋体" w:cs="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C3D8B49">
      <w:pPr>
        <w:spacing w:line="560" w:lineRule="exact"/>
        <w:ind w:firstLine="480" w:firstLineChars="200"/>
        <w:rPr>
          <w:rFonts w:hint="eastAsia" w:ascii="宋体" w:hAnsi="宋体" w:cs="宋体"/>
          <w:color w:val="auto"/>
          <w:sz w:val="24"/>
          <w:highlight w:val="none"/>
        </w:rPr>
      </w:pPr>
      <w:bookmarkStart w:id="448" w:name="_Ref467379436"/>
      <w:r>
        <w:rPr>
          <w:rFonts w:hint="eastAsia" w:ascii="宋体" w:hAnsi="宋体" w:cs="宋体"/>
          <w:color w:val="auto"/>
          <w:sz w:val="24"/>
          <w:highlight w:val="none"/>
        </w:rPr>
        <w:t>2.1.6 “现场”系指合同约定货物将要运至或者安装的地点。</w:t>
      </w:r>
      <w:bookmarkEnd w:id="448"/>
    </w:p>
    <w:p w14:paraId="67A0194C">
      <w:pPr>
        <w:spacing w:line="560" w:lineRule="exact"/>
        <w:ind w:firstLine="482" w:firstLineChars="200"/>
        <w:rPr>
          <w:rFonts w:hint="eastAsia" w:ascii="宋体" w:hAnsi="宋体" w:cs="宋体"/>
          <w:b/>
          <w:color w:val="auto"/>
          <w:sz w:val="24"/>
          <w:highlight w:val="none"/>
        </w:rPr>
      </w:pPr>
      <w:bookmarkStart w:id="449" w:name="_Toc279701241"/>
      <w:bookmarkStart w:id="450" w:name="_Toc32504"/>
      <w:bookmarkStart w:id="451" w:name="_Toc259093670"/>
      <w:bookmarkStart w:id="452" w:name="_Toc13336"/>
      <w:bookmarkStart w:id="453" w:name="_Toc487900350"/>
      <w:bookmarkStart w:id="454" w:name="_Toc27635"/>
      <w:r>
        <w:rPr>
          <w:rFonts w:hint="eastAsia" w:ascii="宋体" w:hAnsi="宋体" w:cs="宋体"/>
          <w:b/>
          <w:color w:val="auto"/>
          <w:sz w:val="24"/>
          <w:highlight w:val="none"/>
        </w:rPr>
        <w:t>2.2 技术规范</w:t>
      </w:r>
      <w:bookmarkEnd w:id="449"/>
      <w:bookmarkEnd w:id="450"/>
      <w:bookmarkEnd w:id="451"/>
      <w:bookmarkEnd w:id="452"/>
      <w:bookmarkEnd w:id="453"/>
      <w:bookmarkEnd w:id="454"/>
    </w:p>
    <w:p w14:paraId="71907A5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货物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14:paraId="0313B30A">
      <w:pPr>
        <w:spacing w:line="560" w:lineRule="exact"/>
        <w:ind w:firstLine="482" w:firstLineChars="200"/>
        <w:rPr>
          <w:rFonts w:hint="eastAsia" w:ascii="宋体" w:hAnsi="宋体" w:cs="宋体"/>
          <w:b/>
          <w:color w:val="auto"/>
          <w:sz w:val="24"/>
          <w:highlight w:val="none"/>
        </w:rPr>
      </w:pPr>
      <w:bookmarkStart w:id="455" w:name="_Toc9829"/>
      <w:bookmarkStart w:id="456" w:name="_Toc487900351"/>
      <w:bookmarkStart w:id="457" w:name="_Toc27853"/>
      <w:bookmarkStart w:id="458" w:name="_Toc279701242"/>
      <w:bookmarkStart w:id="459" w:name="_Toc259093671"/>
      <w:bookmarkStart w:id="460" w:name="_Toc31634"/>
      <w:r>
        <w:rPr>
          <w:rFonts w:hint="eastAsia" w:ascii="宋体" w:hAnsi="宋体" w:cs="宋体"/>
          <w:b/>
          <w:color w:val="auto"/>
          <w:sz w:val="24"/>
          <w:highlight w:val="none"/>
        </w:rPr>
        <w:t>2.3 知识产权</w:t>
      </w:r>
      <w:bookmarkEnd w:id="455"/>
      <w:bookmarkEnd w:id="456"/>
      <w:bookmarkEnd w:id="457"/>
      <w:bookmarkEnd w:id="458"/>
      <w:bookmarkEnd w:id="459"/>
      <w:bookmarkEnd w:id="460"/>
    </w:p>
    <w:p w14:paraId="3A1FD54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18515FF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2.3.2具有知识产权的计算机软件等货物的知识产权归属，详见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7F6E7D02">
      <w:pPr>
        <w:spacing w:line="560" w:lineRule="exact"/>
        <w:ind w:firstLine="482" w:firstLineChars="200"/>
        <w:rPr>
          <w:rFonts w:hint="eastAsia" w:ascii="宋体" w:hAnsi="宋体" w:cs="宋体"/>
          <w:b/>
          <w:color w:val="auto"/>
          <w:sz w:val="24"/>
          <w:highlight w:val="none"/>
        </w:rPr>
      </w:pPr>
      <w:bookmarkStart w:id="461" w:name="_Toc11932"/>
      <w:bookmarkStart w:id="462" w:name="_Toc29149"/>
      <w:bookmarkStart w:id="463" w:name="_Toc4194"/>
      <w:r>
        <w:rPr>
          <w:rFonts w:hint="eastAsia" w:ascii="宋体" w:hAnsi="宋体" w:cs="宋体"/>
          <w:b/>
          <w:color w:val="auto"/>
          <w:sz w:val="24"/>
          <w:highlight w:val="none"/>
        </w:rPr>
        <w:t>2.4 包装和装运</w:t>
      </w:r>
      <w:bookmarkEnd w:id="461"/>
      <w:bookmarkEnd w:id="462"/>
      <w:bookmarkEnd w:id="463"/>
    </w:p>
    <w:p w14:paraId="72C552A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06D9E41">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03A964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2.4.3 装运货物的要求和通知，详见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1A0AF7AE">
      <w:pPr>
        <w:spacing w:line="560" w:lineRule="exact"/>
        <w:ind w:firstLine="482" w:firstLineChars="200"/>
        <w:rPr>
          <w:rFonts w:hint="eastAsia" w:ascii="宋体" w:hAnsi="宋体" w:cs="宋体"/>
          <w:b/>
          <w:color w:val="auto"/>
          <w:sz w:val="24"/>
          <w:highlight w:val="none"/>
        </w:rPr>
      </w:pPr>
      <w:bookmarkStart w:id="464" w:name="_Toc259093674"/>
      <w:bookmarkStart w:id="465" w:name="_Ref467379536"/>
      <w:bookmarkStart w:id="466" w:name="_Ref467379527"/>
      <w:bookmarkStart w:id="467" w:name="_Ref467378541"/>
      <w:bookmarkStart w:id="468" w:name="_Ref467379542"/>
      <w:bookmarkStart w:id="469" w:name="_Toc487900354"/>
      <w:bookmarkStart w:id="470" w:name="_Toc279701245"/>
      <w:bookmarkStart w:id="471" w:name="_Ref467378591"/>
      <w:bookmarkStart w:id="472" w:name="_Toc26182"/>
      <w:bookmarkStart w:id="473" w:name="_Toc19074"/>
      <w:bookmarkStart w:id="474" w:name="_Toc30272"/>
      <w:r>
        <w:rPr>
          <w:rFonts w:hint="eastAsia" w:ascii="宋体" w:hAnsi="宋体" w:cs="宋体"/>
          <w:b/>
          <w:color w:val="auto"/>
          <w:sz w:val="24"/>
          <w:highlight w:val="none"/>
        </w:rPr>
        <w:t>2.</w:t>
      </w:r>
      <w:bookmarkEnd w:id="464"/>
      <w:bookmarkEnd w:id="465"/>
      <w:bookmarkEnd w:id="466"/>
      <w:bookmarkEnd w:id="467"/>
      <w:bookmarkEnd w:id="468"/>
      <w:bookmarkEnd w:id="469"/>
      <w:bookmarkEnd w:id="470"/>
      <w:bookmarkEnd w:id="471"/>
      <w:r>
        <w:rPr>
          <w:rFonts w:hint="eastAsia" w:ascii="宋体" w:hAnsi="宋体" w:cs="宋体"/>
          <w:b/>
          <w:color w:val="auto"/>
          <w:sz w:val="24"/>
          <w:highlight w:val="none"/>
        </w:rPr>
        <w:t>5 履约检查和问题反馈</w:t>
      </w:r>
      <w:bookmarkEnd w:id="472"/>
      <w:bookmarkEnd w:id="473"/>
      <w:bookmarkEnd w:id="474"/>
    </w:p>
    <w:p w14:paraId="74D63A37">
      <w:pPr>
        <w:spacing w:line="560" w:lineRule="exact"/>
        <w:ind w:firstLine="480" w:firstLineChars="200"/>
        <w:rPr>
          <w:rFonts w:hint="eastAsia" w:ascii="宋体" w:hAnsi="宋体" w:cs="宋体"/>
          <w:color w:val="auto"/>
          <w:sz w:val="24"/>
          <w:highlight w:val="none"/>
        </w:rPr>
      </w:pPr>
      <w:bookmarkStart w:id="475" w:name="_Ref467379657"/>
      <w:r>
        <w:rPr>
          <w:rFonts w:hint="eastAsia" w:ascii="宋体" w:hAnsi="宋体" w:cs="宋体"/>
          <w:color w:val="auto"/>
          <w:sz w:val="24"/>
          <w:highlight w:val="none"/>
        </w:rPr>
        <w:t>2.5.1</w:t>
      </w:r>
      <w:bookmarkEnd w:id="475"/>
      <w:bookmarkStart w:id="476" w:name="_Toc186431854"/>
      <w:bookmarkStart w:id="477" w:name="_Toc279701247"/>
      <w:bookmarkStart w:id="478" w:name="_Toc259093676"/>
      <w:bookmarkStart w:id="479" w:name="_Ref467379793"/>
      <w:bookmarkStart w:id="480" w:name="_Ref467379807"/>
      <w:bookmarkStart w:id="481" w:name="_Toc487900357"/>
      <w:r>
        <w:rPr>
          <w:rFonts w:hint="eastAsia" w:ascii="宋体" w:hAnsi="宋体" w:cs="宋体"/>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26D768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476"/>
      <w:bookmarkStart w:id="482" w:name="_Toc186431855"/>
      <w:r>
        <w:rPr>
          <w:rFonts w:hint="eastAsia" w:ascii="宋体" w:hAnsi="宋体" w:cs="宋体"/>
          <w:color w:val="auto"/>
          <w:sz w:val="24"/>
          <w:highlight w:val="none"/>
        </w:rPr>
        <w:t>。</w:t>
      </w:r>
    </w:p>
    <w:bookmarkEnd w:id="477"/>
    <w:bookmarkEnd w:id="478"/>
    <w:bookmarkEnd w:id="479"/>
    <w:bookmarkEnd w:id="480"/>
    <w:bookmarkEnd w:id="481"/>
    <w:bookmarkEnd w:id="482"/>
    <w:p w14:paraId="77966F3D">
      <w:pPr>
        <w:spacing w:line="560" w:lineRule="exact"/>
        <w:ind w:firstLine="482" w:firstLineChars="200"/>
        <w:rPr>
          <w:rFonts w:hint="eastAsia" w:ascii="宋体" w:hAnsi="宋体" w:cs="宋体"/>
          <w:b/>
          <w:color w:val="auto"/>
          <w:sz w:val="24"/>
          <w:highlight w:val="none"/>
        </w:rPr>
      </w:pPr>
      <w:bookmarkStart w:id="483" w:name="_Toc487900358"/>
      <w:bookmarkStart w:id="484" w:name="_Ref467379923"/>
      <w:bookmarkStart w:id="485" w:name="_Ref467379852"/>
      <w:bookmarkStart w:id="486" w:name="_Ref467379863"/>
      <w:bookmarkStart w:id="487" w:name="_Toc259093677"/>
      <w:bookmarkStart w:id="488" w:name="_Toc279701248"/>
      <w:bookmarkStart w:id="489" w:name="_Toc16110"/>
      <w:bookmarkStart w:id="490" w:name="_Toc774"/>
      <w:bookmarkStart w:id="491" w:name="_Toc3225"/>
      <w:r>
        <w:rPr>
          <w:rFonts w:hint="eastAsia" w:ascii="宋体" w:hAnsi="宋体" w:cs="宋体"/>
          <w:b/>
          <w:color w:val="auto"/>
          <w:sz w:val="24"/>
          <w:highlight w:val="none"/>
        </w:rPr>
        <w:t>2.6 技术资料</w:t>
      </w:r>
      <w:bookmarkEnd w:id="483"/>
      <w:bookmarkEnd w:id="484"/>
      <w:bookmarkEnd w:id="485"/>
      <w:bookmarkEnd w:id="486"/>
      <w:bookmarkEnd w:id="487"/>
      <w:bookmarkEnd w:id="488"/>
      <w:r>
        <w:rPr>
          <w:rFonts w:hint="eastAsia" w:ascii="宋体" w:hAnsi="宋体" w:cs="宋体"/>
          <w:b/>
          <w:color w:val="auto"/>
          <w:sz w:val="24"/>
          <w:highlight w:val="none"/>
        </w:rPr>
        <w:t>和保密义务</w:t>
      </w:r>
      <w:bookmarkEnd w:id="489"/>
      <w:bookmarkEnd w:id="490"/>
      <w:bookmarkEnd w:id="491"/>
    </w:p>
    <w:p w14:paraId="1FE49084">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2.6.1 乙方有权依据合同约定和项目需要，向甲方了解有关情况，调阅有关资料等，甲方应予积极配合；</w:t>
      </w:r>
    </w:p>
    <w:p w14:paraId="67DC020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2.6.2 乙方有义务妥善保管和保护由甲方提供的前款信息和资料等；</w:t>
      </w:r>
    </w:p>
    <w:p w14:paraId="68B3217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414F75E9">
      <w:pPr>
        <w:spacing w:line="560" w:lineRule="exact"/>
        <w:ind w:firstLine="482" w:firstLineChars="200"/>
        <w:rPr>
          <w:rFonts w:hint="eastAsia" w:ascii="宋体" w:hAnsi="宋体" w:cs="宋体"/>
          <w:b/>
          <w:color w:val="auto"/>
          <w:sz w:val="24"/>
          <w:highlight w:val="none"/>
        </w:rPr>
      </w:pPr>
      <w:bookmarkStart w:id="492" w:name="_Toc7860"/>
      <w:r>
        <w:rPr>
          <w:rFonts w:hint="eastAsia" w:ascii="宋体" w:hAnsi="宋体" w:cs="宋体"/>
          <w:b/>
          <w:color w:val="auto"/>
          <w:sz w:val="24"/>
          <w:highlight w:val="none"/>
        </w:rPr>
        <w:t>2.7 质量保证</w:t>
      </w:r>
      <w:bookmarkEnd w:id="492"/>
    </w:p>
    <w:p w14:paraId="567659C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乙方应建立和完善履行合同的内部质量保证体系，并提供相关内部规章制度给甲方，以便甲方进行监督检查；</w:t>
      </w:r>
    </w:p>
    <w:p w14:paraId="04FF754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乙方应保证履行合同的人员数量和素质、软件和硬件设备的配置、场地、环境和设施等满足全面履行合同的要求，并应接受甲方的监督检查。</w:t>
      </w:r>
    </w:p>
    <w:p w14:paraId="3242C442">
      <w:pPr>
        <w:spacing w:line="560" w:lineRule="exact"/>
        <w:ind w:firstLine="482" w:firstLineChars="200"/>
        <w:rPr>
          <w:rFonts w:hint="eastAsia" w:ascii="宋体" w:hAnsi="宋体" w:cs="宋体"/>
          <w:b/>
          <w:color w:val="auto"/>
          <w:sz w:val="24"/>
          <w:highlight w:val="none"/>
        </w:rPr>
      </w:pPr>
      <w:bookmarkStart w:id="493" w:name="_Toc17244"/>
      <w:bookmarkStart w:id="494" w:name="_Toc259093681"/>
      <w:bookmarkStart w:id="495" w:name="_Toc279701252"/>
      <w:bookmarkStart w:id="496" w:name="_Toc487900362"/>
      <w:r>
        <w:rPr>
          <w:rFonts w:hint="eastAsia" w:ascii="宋体" w:hAnsi="宋体" w:cs="宋体"/>
          <w:b/>
          <w:color w:val="auto"/>
          <w:sz w:val="24"/>
          <w:highlight w:val="none"/>
        </w:rPr>
        <w:t>2.8 货物的风险负担</w:t>
      </w:r>
      <w:bookmarkEnd w:id="493"/>
    </w:p>
    <w:p w14:paraId="2ED74AA7">
      <w:pPr>
        <w:spacing w:line="560" w:lineRule="exact"/>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货物或者在途货物或者交付给第一承运人后的货物毁损、灭失的风险负担详见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p w14:paraId="286C710E">
      <w:pPr>
        <w:spacing w:line="560" w:lineRule="exact"/>
        <w:ind w:firstLine="482" w:firstLineChars="200"/>
        <w:rPr>
          <w:rFonts w:hint="eastAsia" w:ascii="宋体" w:hAnsi="宋体" w:cs="宋体"/>
          <w:b/>
          <w:color w:val="auto"/>
          <w:sz w:val="24"/>
          <w:highlight w:val="none"/>
        </w:rPr>
      </w:pPr>
      <w:bookmarkStart w:id="497" w:name="_Toc14055"/>
      <w:r>
        <w:rPr>
          <w:rFonts w:hint="eastAsia" w:ascii="宋体" w:hAnsi="宋体" w:cs="宋体"/>
          <w:b/>
          <w:color w:val="auto"/>
          <w:sz w:val="24"/>
          <w:highlight w:val="none"/>
        </w:rPr>
        <w:t>2.9 延迟交货</w:t>
      </w:r>
      <w:bookmarkEnd w:id="494"/>
      <w:bookmarkEnd w:id="495"/>
      <w:bookmarkEnd w:id="496"/>
      <w:bookmarkEnd w:id="497"/>
    </w:p>
    <w:p w14:paraId="225CDA80">
      <w:pPr>
        <w:spacing w:line="560" w:lineRule="exact"/>
        <w:ind w:firstLine="480" w:firstLineChars="200"/>
        <w:rPr>
          <w:rFonts w:hint="eastAsia" w:ascii="宋体" w:hAnsi="宋体" w:cs="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甲乙双方签订合同后，乙方应按照合同约定履行合同义务，除不可抗力外，乙方不得延迟交货。</w:t>
      </w:r>
      <w:r>
        <w:rPr>
          <w:rFonts w:hint="eastAsia" w:ascii="宋体" w:hAnsi="宋体" w:cs="宋体"/>
          <w:color w:val="auto"/>
          <w:sz w:val="24"/>
          <w:highlight w:val="none"/>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3F4D2F33">
      <w:pPr>
        <w:spacing w:line="560" w:lineRule="exact"/>
        <w:ind w:firstLine="482" w:firstLineChars="200"/>
        <w:rPr>
          <w:rFonts w:hint="eastAsia" w:ascii="宋体" w:hAnsi="宋体" w:cs="宋体"/>
          <w:b/>
          <w:color w:val="auto"/>
          <w:sz w:val="24"/>
          <w:highlight w:val="none"/>
        </w:rPr>
      </w:pPr>
      <w:bookmarkStart w:id="498" w:name="_Toc7502"/>
      <w:bookmarkStart w:id="499" w:name="_Ref467378121"/>
      <w:bookmarkStart w:id="500" w:name="_Toc487900364"/>
      <w:bookmarkStart w:id="501" w:name="_Toc279701254"/>
      <w:bookmarkStart w:id="502" w:name="_Toc259093683"/>
      <w:r>
        <w:rPr>
          <w:rFonts w:hint="eastAsia" w:ascii="宋体" w:hAnsi="宋体" w:cs="宋体"/>
          <w:b/>
          <w:color w:val="auto"/>
          <w:sz w:val="24"/>
          <w:highlight w:val="none"/>
        </w:rPr>
        <w:t>2.10 合同变更</w:t>
      </w:r>
      <w:bookmarkEnd w:id="498"/>
    </w:p>
    <w:p w14:paraId="3D35970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503" w:name="_Toc259093688"/>
      <w:bookmarkStart w:id="504" w:name="_Toc487900369"/>
      <w:bookmarkStart w:id="505" w:name="_Toc279701259"/>
    </w:p>
    <w:p w14:paraId="24948CC5">
      <w:pPr>
        <w:spacing w:line="560" w:lineRule="exact"/>
        <w:ind w:firstLine="482" w:firstLineChars="200"/>
        <w:rPr>
          <w:rFonts w:hint="eastAsia" w:ascii="宋体" w:hAnsi="宋体" w:cs="宋体"/>
          <w:b/>
          <w:color w:val="auto"/>
          <w:sz w:val="24"/>
          <w:highlight w:val="none"/>
        </w:rPr>
      </w:pPr>
      <w:bookmarkStart w:id="506" w:name="_Toc10366"/>
      <w:bookmarkStart w:id="507" w:name="_Toc15237"/>
      <w:bookmarkStart w:id="508" w:name="_Toc22955"/>
      <w:r>
        <w:rPr>
          <w:rFonts w:hint="eastAsia" w:ascii="宋体" w:hAnsi="宋体" w:cs="宋体"/>
          <w:b/>
          <w:color w:val="auto"/>
          <w:sz w:val="24"/>
          <w:highlight w:val="none"/>
        </w:rPr>
        <w:t>2.11 合同转让</w:t>
      </w:r>
      <w:bookmarkEnd w:id="503"/>
      <w:bookmarkEnd w:id="504"/>
      <w:bookmarkEnd w:id="505"/>
      <w:r>
        <w:rPr>
          <w:rFonts w:hint="eastAsia" w:ascii="宋体" w:hAnsi="宋体" w:cs="宋体"/>
          <w:b/>
          <w:color w:val="auto"/>
          <w:sz w:val="24"/>
          <w:highlight w:val="none"/>
        </w:rPr>
        <w:t>和分包</w:t>
      </w:r>
      <w:bookmarkEnd w:id="506"/>
      <w:bookmarkEnd w:id="507"/>
      <w:bookmarkEnd w:id="508"/>
    </w:p>
    <w:p w14:paraId="49A1CBDC">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1072719E">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2.11.2乙方采取分包方式履行合同的，甲方可直接向分包供应商支付款项。</w:t>
      </w:r>
    </w:p>
    <w:p w14:paraId="70BA7B79">
      <w:pPr>
        <w:spacing w:line="560" w:lineRule="exact"/>
        <w:ind w:firstLine="482" w:firstLineChars="200"/>
        <w:rPr>
          <w:rFonts w:hint="eastAsia" w:ascii="宋体" w:hAnsi="宋体" w:cs="宋体"/>
          <w:b/>
          <w:color w:val="auto"/>
          <w:sz w:val="24"/>
          <w:highlight w:val="none"/>
        </w:rPr>
      </w:pPr>
      <w:bookmarkStart w:id="509" w:name="_Toc14066"/>
      <w:bookmarkStart w:id="510" w:name="_Toc16508"/>
      <w:bookmarkStart w:id="511" w:name="_Toc13566"/>
      <w:r>
        <w:rPr>
          <w:rFonts w:hint="eastAsia" w:ascii="宋体" w:hAnsi="宋体" w:cs="宋体"/>
          <w:b/>
          <w:color w:val="auto"/>
          <w:sz w:val="24"/>
          <w:highlight w:val="none"/>
        </w:rPr>
        <w:t>2.12 不可抗力</w:t>
      </w:r>
      <w:bookmarkEnd w:id="509"/>
      <w:bookmarkEnd w:id="510"/>
      <w:bookmarkEnd w:id="511"/>
    </w:p>
    <w:p w14:paraId="03F25F9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2.12.1如果任何一方遭遇法律规定的不可抗力，致使合同履行受阻时，履行合同的期限应予延长，延长的期限应相当于不可抗力所影响的时间；</w:t>
      </w:r>
    </w:p>
    <w:p w14:paraId="02DC739B">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2.12.2 因不可抗力致使不能实现合同目的的，当事人可以解除合同；</w:t>
      </w:r>
    </w:p>
    <w:p w14:paraId="2FD3997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2.12.3 因不可抗力致使合同有变更必要的，双方当事人应在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约定时间内以书面形式变更合同；</w:t>
      </w:r>
    </w:p>
    <w:p w14:paraId="57FEA89A">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2.12.4受不可抗力影响的一方在不可抗力发生后，应在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5F47D481">
      <w:pPr>
        <w:spacing w:line="560" w:lineRule="exact"/>
        <w:ind w:firstLine="482" w:firstLineChars="200"/>
        <w:rPr>
          <w:rFonts w:hint="eastAsia" w:ascii="宋体" w:hAnsi="宋体" w:cs="宋体"/>
          <w:b/>
          <w:color w:val="auto"/>
          <w:sz w:val="24"/>
          <w:highlight w:val="none"/>
        </w:rPr>
      </w:pPr>
      <w:bookmarkStart w:id="512" w:name="_Toc30676"/>
      <w:bookmarkStart w:id="513" w:name="_Toc279701255"/>
      <w:bookmarkStart w:id="514" w:name="_Toc6969"/>
      <w:bookmarkStart w:id="515" w:name="_Toc487900365"/>
      <w:bookmarkStart w:id="516" w:name="_Toc689"/>
      <w:bookmarkStart w:id="517" w:name="_Toc259093684"/>
      <w:r>
        <w:rPr>
          <w:rFonts w:hint="eastAsia" w:ascii="宋体" w:hAnsi="宋体" w:cs="宋体"/>
          <w:b/>
          <w:color w:val="auto"/>
          <w:sz w:val="24"/>
          <w:highlight w:val="none"/>
        </w:rPr>
        <w:t>2.13 税费</w:t>
      </w:r>
      <w:bookmarkEnd w:id="512"/>
      <w:bookmarkEnd w:id="513"/>
      <w:bookmarkEnd w:id="514"/>
      <w:bookmarkEnd w:id="515"/>
      <w:bookmarkEnd w:id="516"/>
      <w:bookmarkEnd w:id="517"/>
    </w:p>
    <w:p w14:paraId="6C3321A2">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w:t>
      </w:r>
    </w:p>
    <w:p w14:paraId="1C7156FF">
      <w:pPr>
        <w:spacing w:line="560" w:lineRule="exact"/>
        <w:ind w:firstLine="482" w:firstLineChars="200"/>
        <w:rPr>
          <w:rFonts w:hint="eastAsia" w:ascii="宋体" w:hAnsi="宋体" w:cs="宋体"/>
          <w:b/>
          <w:color w:val="auto"/>
          <w:sz w:val="24"/>
          <w:highlight w:val="none"/>
        </w:rPr>
      </w:pPr>
      <w:bookmarkStart w:id="518" w:name="_Toc8298"/>
      <w:bookmarkStart w:id="519" w:name="_Toc16959"/>
      <w:bookmarkStart w:id="520" w:name="_Toc7102"/>
      <w:bookmarkStart w:id="521" w:name="_Toc259093687"/>
      <w:bookmarkStart w:id="522" w:name="_Toc487900368"/>
      <w:bookmarkStart w:id="523" w:name="_Toc279701258"/>
      <w:r>
        <w:rPr>
          <w:rFonts w:hint="eastAsia" w:ascii="宋体" w:hAnsi="宋体" w:cs="宋体"/>
          <w:b/>
          <w:color w:val="auto"/>
          <w:sz w:val="24"/>
          <w:highlight w:val="none"/>
        </w:rPr>
        <w:t>2.14乙方破产</w:t>
      </w:r>
      <w:bookmarkEnd w:id="518"/>
      <w:bookmarkEnd w:id="519"/>
      <w:bookmarkEnd w:id="520"/>
      <w:bookmarkEnd w:id="521"/>
      <w:bookmarkEnd w:id="522"/>
      <w:bookmarkEnd w:id="523"/>
    </w:p>
    <w:p w14:paraId="3165671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0B78534">
      <w:pPr>
        <w:spacing w:line="560" w:lineRule="exact"/>
        <w:ind w:firstLine="482" w:firstLineChars="200"/>
        <w:rPr>
          <w:rFonts w:hint="eastAsia" w:ascii="宋体" w:hAnsi="宋体" w:cs="宋体"/>
          <w:b/>
          <w:color w:val="auto"/>
          <w:sz w:val="24"/>
          <w:highlight w:val="none"/>
        </w:rPr>
      </w:pPr>
      <w:bookmarkStart w:id="524" w:name="_Toc15387"/>
      <w:bookmarkStart w:id="525" w:name="_Toc29333"/>
      <w:bookmarkStart w:id="526" w:name="_Toc6134"/>
      <w:r>
        <w:rPr>
          <w:rFonts w:hint="eastAsia" w:ascii="宋体" w:hAnsi="宋体" w:cs="宋体"/>
          <w:b/>
          <w:color w:val="auto"/>
          <w:sz w:val="24"/>
          <w:highlight w:val="none"/>
        </w:rPr>
        <w:t>2.15 合同中止、终止</w:t>
      </w:r>
      <w:bookmarkEnd w:id="524"/>
      <w:bookmarkEnd w:id="525"/>
      <w:bookmarkEnd w:id="526"/>
    </w:p>
    <w:p w14:paraId="07E1A58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2.15.1 双方当事人不得擅自中止或者终止合同；</w:t>
      </w:r>
    </w:p>
    <w:p w14:paraId="4769560D">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5794C3DF">
      <w:pPr>
        <w:spacing w:line="560" w:lineRule="exact"/>
        <w:ind w:firstLine="482" w:firstLineChars="200"/>
        <w:rPr>
          <w:rFonts w:hint="eastAsia" w:ascii="宋体" w:hAnsi="宋体" w:cs="宋体"/>
          <w:b/>
          <w:color w:val="auto"/>
          <w:sz w:val="24"/>
          <w:highlight w:val="none"/>
        </w:rPr>
      </w:pPr>
      <w:bookmarkStart w:id="527" w:name="_Toc1125"/>
      <w:bookmarkStart w:id="528" w:name="_Toc6596"/>
      <w:bookmarkStart w:id="529" w:name="_Toc14563"/>
      <w:r>
        <w:rPr>
          <w:rFonts w:hint="eastAsia" w:ascii="宋体" w:hAnsi="宋体" w:cs="宋体"/>
          <w:b/>
          <w:color w:val="auto"/>
          <w:sz w:val="24"/>
          <w:highlight w:val="none"/>
        </w:rPr>
        <w:t>2.16检验和验收</w:t>
      </w:r>
      <w:bookmarkEnd w:id="527"/>
      <w:bookmarkEnd w:id="528"/>
      <w:bookmarkEnd w:id="529"/>
    </w:p>
    <w:p w14:paraId="3A0B12FD">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2.16.1货物交付前，乙方应对货物的质量、数量等方面进行详细、全面的检验，并向甲方出具证明货物符合合同约定的文件；货物交付时，甲方在</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2251E520">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B648AD4">
      <w:pPr>
        <w:tabs>
          <w:tab w:val="left" w:pos="360"/>
          <w:tab w:val="left" w:pos="540"/>
          <w:tab w:val="left" w:pos="1080"/>
        </w:tabs>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2.16.3 检验和验收标准、程序等具体内容以及前述验收书的效力详见</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w:t>
      </w:r>
    </w:p>
    <w:bookmarkEnd w:id="499"/>
    <w:bookmarkEnd w:id="500"/>
    <w:bookmarkEnd w:id="501"/>
    <w:bookmarkEnd w:id="502"/>
    <w:p w14:paraId="300BEDD6">
      <w:pPr>
        <w:spacing w:line="560" w:lineRule="exact"/>
        <w:ind w:firstLine="482" w:firstLineChars="200"/>
        <w:rPr>
          <w:rFonts w:hint="eastAsia" w:ascii="宋体" w:hAnsi="宋体" w:cs="宋体"/>
          <w:b/>
          <w:color w:val="auto"/>
          <w:sz w:val="24"/>
          <w:highlight w:val="none"/>
        </w:rPr>
      </w:pPr>
      <w:bookmarkStart w:id="530" w:name="_Toc487900371"/>
      <w:bookmarkStart w:id="531" w:name="_Toc279701261"/>
      <w:bookmarkStart w:id="532" w:name="_Toc259093690"/>
      <w:bookmarkStart w:id="533" w:name="_Toc11284"/>
      <w:bookmarkStart w:id="534" w:name="_Toc19604"/>
      <w:bookmarkStart w:id="535" w:name="_Toc25182"/>
      <w:r>
        <w:rPr>
          <w:rFonts w:hint="eastAsia" w:ascii="宋体" w:hAnsi="宋体" w:cs="宋体"/>
          <w:b/>
          <w:color w:val="auto"/>
          <w:sz w:val="24"/>
          <w:highlight w:val="none"/>
        </w:rPr>
        <w:t>2.17 通知</w:t>
      </w:r>
      <w:bookmarkEnd w:id="530"/>
      <w:bookmarkEnd w:id="531"/>
      <w:bookmarkEnd w:id="532"/>
      <w:r>
        <w:rPr>
          <w:rFonts w:hint="eastAsia" w:ascii="宋体" w:hAnsi="宋体" w:cs="宋体"/>
          <w:b/>
          <w:color w:val="auto"/>
          <w:sz w:val="24"/>
          <w:highlight w:val="none"/>
        </w:rPr>
        <w:t>和送达</w:t>
      </w:r>
      <w:bookmarkEnd w:id="533"/>
      <w:bookmarkEnd w:id="534"/>
      <w:bookmarkEnd w:id="535"/>
    </w:p>
    <w:p w14:paraId="625EEB68">
      <w:pPr>
        <w:spacing w:line="560" w:lineRule="exact"/>
        <w:ind w:firstLine="480" w:firstLineChars="200"/>
        <w:rPr>
          <w:rFonts w:hint="eastAsia" w:ascii="宋体" w:hAnsi="宋体" w:cs="宋体"/>
          <w:color w:val="auto"/>
          <w:sz w:val="24"/>
          <w:highlight w:val="none"/>
        </w:rPr>
      </w:pPr>
      <w:bookmarkStart w:id="536" w:name="_Toc3135"/>
      <w:bookmarkStart w:id="537" w:name="_Toc6698"/>
      <w:bookmarkStart w:id="538" w:name="_Toc259093691"/>
      <w:bookmarkStart w:id="539" w:name="_Toc279701262"/>
      <w:bookmarkStart w:id="540" w:name="_Toc487900372"/>
      <w:r>
        <w:rPr>
          <w:rFonts w:hint="eastAsia" w:ascii="宋体" w:hAnsi="宋体" w:cs="宋体"/>
          <w:color w:val="auto"/>
          <w:sz w:val="24"/>
          <w:highlight w:val="none"/>
        </w:rPr>
        <w:t>2.17.1任何一方因履行合同而以合同第一部分尾部所列明的传真或电子邮件发出的所有通知、文件、材料，均视为已向对方当事人送达；任何一方变更上述送达方式或者地址的，应于</w:t>
      </w:r>
      <w:r>
        <w:rPr>
          <w:rFonts w:hint="eastAsia" w:ascii="宋体" w:hAnsi="宋体" w:cs="宋体"/>
          <w:color w:val="auto"/>
          <w:sz w:val="24"/>
          <w:highlight w:val="none"/>
          <w:u w:val="single"/>
        </w:rPr>
        <w:t>3</w:t>
      </w:r>
      <w:r>
        <w:rPr>
          <w:rFonts w:hint="eastAsia" w:ascii="宋体" w:hAnsi="宋体" w:cs="宋体"/>
          <w:color w:val="auto"/>
          <w:sz w:val="24"/>
          <w:highlight w:val="none"/>
        </w:rPr>
        <w:t>个工作日内书面通知对方当事人，在对方当事人收到有关变更通知之前，变更前的约定送达方式或者地址仍视为有效。</w:t>
      </w:r>
      <w:bookmarkEnd w:id="536"/>
      <w:bookmarkEnd w:id="537"/>
    </w:p>
    <w:p w14:paraId="7A88E6BB">
      <w:pPr>
        <w:spacing w:line="560" w:lineRule="exact"/>
        <w:ind w:firstLine="480" w:firstLineChars="200"/>
        <w:rPr>
          <w:rFonts w:hint="eastAsia" w:ascii="宋体" w:hAnsi="宋体" w:cs="宋体"/>
          <w:color w:val="auto"/>
          <w:sz w:val="24"/>
          <w:highlight w:val="none"/>
        </w:rPr>
      </w:pPr>
      <w:bookmarkStart w:id="541" w:name="_Toc23128"/>
      <w:bookmarkStart w:id="542" w:name="_Toc23294"/>
      <w:r>
        <w:rPr>
          <w:rFonts w:hint="eastAsia" w:ascii="宋体" w:hAnsi="宋体" w:cs="宋体"/>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41"/>
      <w:bookmarkEnd w:id="542"/>
    </w:p>
    <w:p w14:paraId="376A894C">
      <w:pPr>
        <w:spacing w:line="560" w:lineRule="exact"/>
        <w:ind w:firstLine="482" w:firstLineChars="200"/>
        <w:rPr>
          <w:rFonts w:hint="eastAsia" w:ascii="宋体" w:hAnsi="宋体" w:cs="宋体"/>
          <w:b/>
          <w:color w:val="auto"/>
          <w:sz w:val="24"/>
          <w:highlight w:val="none"/>
        </w:rPr>
      </w:pPr>
      <w:bookmarkStart w:id="543" w:name="_Toc30599"/>
      <w:bookmarkStart w:id="544" w:name="_Toc4355"/>
      <w:bookmarkStart w:id="545" w:name="_Toc18540"/>
      <w:r>
        <w:rPr>
          <w:rFonts w:hint="eastAsia" w:ascii="宋体" w:hAnsi="宋体" w:cs="宋体"/>
          <w:b/>
          <w:color w:val="auto"/>
          <w:sz w:val="24"/>
          <w:highlight w:val="none"/>
        </w:rPr>
        <w:t>2.18 计量单位</w:t>
      </w:r>
      <w:bookmarkEnd w:id="538"/>
      <w:bookmarkEnd w:id="539"/>
      <w:bookmarkEnd w:id="540"/>
      <w:bookmarkEnd w:id="543"/>
      <w:bookmarkEnd w:id="544"/>
      <w:bookmarkEnd w:id="545"/>
    </w:p>
    <w:p w14:paraId="168DA7E0">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564B3AA">
      <w:pPr>
        <w:spacing w:line="560" w:lineRule="exact"/>
        <w:ind w:firstLine="482" w:firstLineChars="200"/>
        <w:rPr>
          <w:rFonts w:hint="eastAsia" w:ascii="宋体" w:hAnsi="宋体" w:cs="宋体"/>
          <w:b/>
          <w:color w:val="auto"/>
          <w:sz w:val="24"/>
          <w:highlight w:val="none"/>
        </w:rPr>
      </w:pPr>
      <w:bookmarkStart w:id="546" w:name="_Toc487900373"/>
      <w:bookmarkStart w:id="547" w:name="_Toc18567"/>
      <w:bookmarkStart w:id="548" w:name="_Toc279701263"/>
      <w:bookmarkStart w:id="549" w:name="_Toc12773"/>
      <w:bookmarkStart w:id="550" w:name="_Toc10330"/>
      <w:bookmarkStart w:id="551" w:name="_Toc259093692"/>
      <w:r>
        <w:rPr>
          <w:rFonts w:hint="eastAsia" w:ascii="宋体" w:hAnsi="宋体" w:cs="宋体"/>
          <w:b/>
          <w:color w:val="auto"/>
          <w:sz w:val="24"/>
          <w:highlight w:val="none"/>
        </w:rPr>
        <w:t>2.19 合同使用的文字和适用的法律</w:t>
      </w:r>
      <w:bookmarkEnd w:id="546"/>
      <w:bookmarkEnd w:id="547"/>
      <w:bookmarkEnd w:id="548"/>
      <w:bookmarkEnd w:id="549"/>
      <w:bookmarkEnd w:id="550"/>
      <w:bookmarkEnd w:id="551"/>
    </w:p>
    <w:p w14:paraId="50F0BAA6">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2.19.1 合同使用汉语书就、变更和解释；</w:t>
      </w:r>
    </w:p>
    <w:p w14:paraId="76045359">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2.19.2 合同适用中华人民共和国法律。</w:t>
      </w:r>
    </w:p>
    <w:p w14:paraId="14D0EABB">
      <w:pPr>
        <w:spacing w:line="560" w:lineRule="exact"/>
        <w:ind w:firstLine="482" w:firstLineChars="200"/>
        <w:rPr>
          <w:rFonts w:hint="eastAsia" w:ascii="宋体" w:hAnsi="宋体" w:cs="宋体"/>
          <w:b/>
          <w:color w:val="auto"/>
          <w:sz w:val="24"/>
          <w:highlight w:val="none"/>
        </w:rPr>
      </w:pPr>
      <w:bookmarkStart w:id="552" w:name="_Toc6885"/>
      <w:bookmarkStart w:id="553" w:name="_Toc19890"/>
      <w:bookmarkStart w:id="554" w:name="_Toc14001"/>
      <w:r>
        <w:rPr>
          <w:rFonts w:hint="eastAsia" w:ascii="宋体" w:hAnsi="宋体" w:cs="宋体"/>
          <w:b/>
          <w:color w:val="auto"/>
          <w:sz w:val="24"/>
          <w:highlight w:val="none"/>
        </w:rPr>
        <w:t>2.20 合同份数</w:t>
      </w:r>
      <w:bookmarkEnd w:id="552"/>
      <w:bookmarkEnd w:id="553"/>
      <w:bookmarkEnd w:id="554"/>
    </w:p>
    <w:p w14:paraId="3361AC47">
      <w:pPr>
        <w:spacing w:line="5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合同份数按</w:t>
      </w:r>
      <w:r>
        <w:rPr>
          <w:rFonts w:hint="eastAsia" w:ascii="宋体" w:hAnsi="宋体" w:cs="宋体"/>
          <w:b/>
          <w:color w:val="auto"/>
          <w:sz w:val="24"/>
          <w:highlight w:val="none"/>
          <w:u w:val="single"/>
        </w:rPr>
        <w:t>合同专用条款</w:t>
      </w:r>
      <w:r>
        <w:rPr>
          <w:rFonts w:hint="eastAsia" w:ascii="宋体" w:hAnsi="宋体" w:cs="宋体"/>
          <w:color w:val="auto"/>
          <w:sz w:val="24"/>
          <w:highlight w:val="none"/>
        </w:rPr>
        <w:t>规定，每份均具有同等法律效力。</w:t>
      </w:r>
    </w:p>
    <w:p w14:paraId="2EEF8841">
      <w:pPr>
        <w:adjustRightInd/>
        <w:spacing w:line="360" w:lineRule="auto"/>
        <w:ind w:firstLine="2513" w:firstLineChars="1197"/>
        <w:rPr>
          <w:rFonts w:hint="eastAsia" w:ascii="宋体" w:hAnsi="宋体" w:cs="宋体"/>
          <w:b/>
          <w:color w:val="auto"/>
          <w:highlight w:val="none"/>
        </w:rPr>
      </w:pPr>
      <w:r>
        <w:rPr>
          <w:rFonts w:hint="eastAsia" w:ascii="宋体" w:hAnsi="宋体" w:cs="宋体"/>
          <w:color w:val="auto"/>
          <w:kern w:val="0"/>
          <w:highlight w:val="none"/>
        </w:rPr>
        <w:br w:type="page"/>
      </w:r>
      <w:r>
        <w:rPr>
          <w:rFonts w:hint="eastAsia" w:ascii="宋体" w:hAnsi="宋体" w:cs="宋体"/>
          <w:b/>
          <w:color w:val="auto"/>
          <w:sz w:val="32"/>
          <w:szCs w:val="20"/>
          <w:highlight w:val="none"/>
        </w:rPr>
        <w:t xml:space="preserve"> 第三部分  合同专用条款</w:t>
      </w:r>
    </w:p>
    <w:p w14:paraId="475F0BF9">
      <w:pPr>
        <w:ind w:left="-420" w:leftChars="-200" w:right="-420" w:rightChars="-200" w:firstLine="480" w:firstLineChars="200"/>
        <w:rPr>
          <w:rFonts w:hint="eastAsia"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47EC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90" w:hRule="atLeast"/>
        </w:trPr>
        <w:tc>
          <w:tcPr>
            <w:tcW w:w="465" w:type="pct"/>
            <w:tcBorders>
              <w:left w:val="single" w:color="auto" w:sz="4" w:space="0"/>
            </w:tcBorders>
            <w:vAlign w:val="center"/>
          </w:tcPr>
          <w:p w14:paraId="122B7C5B">
            <w:pPr>
              <w:jc w:val="center"/>
              <w:rPr>
                <w:rFonts w:hint="eastAsia" w:ascii="宋体" w:hAnsi="宋体" w:cs="宋体"/>
                <w:b/>
                <w:color w:val="auto"/>
                <w:sz w:val="24"/>
                <w:highlight w:val="none"/>
              </w:rPr>
            </w:pPr>
            <w:r>
              <w:rPr>
                <w:rFonts w:hint="eastAsia" w:ascii="宋体" w:hAnsi="宋体" w:cs="宋体"/>
                <w:b/>
                <w:color w:val="auto"/>
                <w:sz w:val="24"/>
                <w:highlight w:val="none"/>
              </w:rPr>
              <w:t>条款号</w:t>
            </w:r>
          </w:p>
        </w:tc>
        <w:tc>
          <w:tcPr>
            <w:tcW w:w="4534" w:type="pct"/>
            <w:vAlign w:val="center"/>
          </w:tcPr>
          <w:p w14:paraId="40F4300E">
            <w:pPr>
              <w:jc w:val="center"/>
              <w:rPr>
                <w:rFonts w:hint="eastAsia" w:ascii="宋体" w:hAnsi="宋体" w:cs="宋体"/>
                <w:b/>
                <w:color w:val="auto"/>
                <w:sz w:val="24"/>
                <w:highlight w:val="none"/>
              </w:rPr>
            </w:pPr>
            <w:r>
              <w:rPr>
                <w:rFonts w:hint="eastAsia" w:ascii="宋体" w:hAnsi="宋体" w:cs="宋体"/>
                <w:b/>
                <w:color w:val="auto"/>
                <w:sz w:val="24"/>
                <w:highlight w:val="none"/>
              </w:rPr>
              <w:t>约定内容</w:t>
            </w:r>
          </w:p>
        </w:tc>
      </w:tr>
      <w:tr w14:paraId="7875E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C843AC">
            <w:pPr>
              <w:rPr>
                <w:rFonts w:hint="eastAsia" w:ascii="宋体" w:hAnsi="宋体" w:cs="宋体"/>
                <w:color w:val="auto"/>
                <w:sz w:val="24"/>
                <w:highlight w:val="none"/>
              </w:rPr>
            </w:pPr>
            <w:r>
              <w:rPr>
                <w:rFonts w:hint="eastAsia" w:ascii="宋体" w:hAnsi="宋体" w:cs="宋体"/>
                <w:color w:val="auto"/>
                <w:sz w:val="24"/>
                <w:highlight w:val="none"/>
              </w:rPr>
              <w:t>1.4.2</w:t>
            </w:r>
          </w:p>
        </w:tc>
        <w:tc>
          <w:tcPr>
            <w:tcW w:w="4534" w:type="pct"/>
            <w:vAlign w:val="center"/>
          </w:tcPr>
          <w:p w14:paraId="77F4F50D">
            <w:pPr>
              <w:rPr>
                <w:rFonts w:hint="eastAsia" w:ascii="宋体" w:hAnsi="宋体" w:cs="宋体"/>
                <w:color w:val="auto"/>
                <w:sz w:val="24"/>
                <w:highlight w:val="none"/>
              </w:rPr>
            </w:pPr>
            <w:r>
              <w:rPr>
                <w:rFonts w:hint="eastAsia" w:ascii="宋体" w:hAnsi="宋体" w:cs="宋体"/>
                <w:color w:val="auto"/>
                <w:sz w:val="24"/>
                <w:highlight w:val="none"/>
              </w:rPr>
              <w:t>/</w:t>
            </w:r>
          </w:p>
        </w:tc>
      </w:tr>
      <w:tr w14:paraId="143C6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EDD752B">
            <w:pPr>
              <w:rPr>
                <w:rFonts w:hint="eastAsia" w:ascii="宋体" w:hAnsi="宋体" w:cs="宋体"/>
                <w:color w:val="auto"/>
                <w:sz w:val="24"/>
                <w:highlight w:val="none"/>
              </w:rPr>
            </w:pPr>
            <w:r>
              <w:rPr>
                <w:rFonts w:hint="eastAsia" w:ascii="宋体" w:hAnsi="宋体" w:cs="宋体"/>
                <w:color w:val="auto"/>
                <w:sz w:val="24"/>
                <w:highlight w:val="none"/>
              </w:rPr>
              <w:t>1.5.1</w:t>
            </w:r>
          </w:p>
        </w:tc>
        <w:tc>
          <w:tcPr>
            <w:tcW w:w="4534" w:type="pct"/>
            <w:vAlign w:val="center"/>
          </w:tcPr>
          <w:p w14:paraId="2607FC5A">
            <w:pPr>
              <w:rPr>
                <w:rFonts w:hint="eastAsia" w:ascii="宋体" w:hAnsi="宋体" w:cs="宋体"/>
                <w:color w:val="auto"/>
                <w:sz w:val="24"/>
                <w:highlight w:val="none"/>
              </w:rPr>
            </w:pPr>
            <w:r>
              <w:rPr>
                <w:rFonts w:hint="eastAsia" w:ascii="宋体" w:hAnsi="宋体" w:cs="宋体"/>
                <w:color w:val="auto"/>
                <w:sz w:val="24"/>
                <w:highlight w:val="none"/>
              </w:rPr>
              <w:t>合同生效且具备实施条件后，七个工作日内支付合同总额的40%作为预付款；（合同签订时乙方主动要求不需要预付款的甲方可以不支付）；</w:t>
            </w:r>
          </w:p>
        </w:tc>
      </w:tr>
      <w:tr w14:paraId="0BC162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E420DB2">
            <w:pPr>
              <w:rPr>
                <w:rFonts w:hint="eastAsia" w:ascii="宋体" w:hAnsi="宋体" w:cs="宋体"/>
                <w:color w:val="auto"/>
                <w:sz w:val="24"/>
                <w:highlight w:val="none"/>
              </w:rPr>
            </w:pPr>
            <w:r>
              <w:rPr>
                <w:rFonts w:hint="eastAsia" w:ascii="宋体" w:hAnsi="宋体" w:cs="宋体"/>
                <w:color w:val="auto"/>
                <w:sz w:val="24"/>
                <w:highlight w:val="none"/>
              </w:rPr>
              <w:t xml:space="preserve">1.5.2 </w:t>
            </w:r>
          </w:p>
        </w:tc>
        <w:tc>
          <w:tcPr>
            <w:tcW w:w="4534" w:type="pct"/>
            <w:vAlign w:val="center"/>
          </w:tcPr>
          <w:p w14:paraId="2273520A">
            <w:pPr>
              <w:rPr>
                <w:rFonts w:hint="eastAsia" w:ascii="宋体" w:hAnsi="宋体" w:cs="宋体"/>
                <w:color w:val="auto"/>
                <w:sz w:val="24"/>
                <w:highlight w:val="none"/>
              </w:rPr>
            </w:pPr>
            <w:r>
              <w:rPr>
                <w:rFonts w:hint="eastAsia" w:ascii="宋体" w:hAnsi="宋体" w:cs="宋体"/>
                <w:color w:val="auto"/>
                <w:sz w:val="24"/>
                <w:highlight w:val="none"/>
              </w:rPr>
              <w:t>/</w:t>
            </w:r>
          </w:p>
        </w:tc>
      </w:tr>
      <w:tr w14:paraId="52B8F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8F6D853">
            <w:pPr>
              <w:rPr>
                <w:rFonts w:hint="eastAsia" w:ascii="宋体" w:hAnsi="宋体" w:cs="宋体"/>
                <w:color w:val="auto"/>
                <w:sz w:val="24"/>
                <w:highlight w:val="none"/>
              </w:rPr>
            </w:pPr>
            <w:r>
              <w:rPr>
                <w:rFonts w:hint="eastAsia" w:ascii="宋体" w:hAnsi="宋体" w:cs="宋体"/>
                <w:color w:val="auto"/>
                <w:sz w:val="24"/>
                <w:highlight w:val="none"/>
              </w:rPr>
              <w:t>1.5.3</w:t>
            </w:r>
          </w:p>
        </w:tc>
        <w:tc>
          <w:tcPr>
            <w:tcW w:w="4534" w:type="pct"/>
            <w:vAlign w:val="center"/>
          </w:tcPr>
          <w:p w14:paraId="48CBD34D">
            <w:pPr>
              <w:rPr>
                <w:rFonts w:hint="eastAsia" w:ascii="宋体" w:hAnsi="宋体" w:cs="宋体"/>
                <w:color w:val="auto"/>
                <w:sz w:val="24"/>
                <w:highlight w:val="none"/>
              </w:rPr>
            </w:pPr>
            <w:r>
              <w:rPr>
                <w:rFonts w:hint="eastAsia" w:ascii="宋体" w:hAnsi="宋体" w:cs="宋体"/>
                <w:color w:val="auto"/>
                <w:sz w:val="24"/>
                <w:highlight w:val="none"/>
              </w:rPr>
              <w:t>/</w:t>
            </w:r>
          </w:p>
        </w:tc>
      </w:tr>
      <w:tr w14:paraId="4D2E6F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1575A90">
            <w:pPr>
              <w:rPr>
                <w:rFonts w:hint="eastAsia" w:ascii="宋体" w:hAnsi="宋体" w:cs="宋体"/>
                <w:color w:val="auto"/>
                <w:sz w:val="24"/>
                <w:highlight w:val="none"/>
              </w:rPr>
            </w:pPr>
            <w:r>
              <w:rPr>
                <w:rFonts w:hint="eastAsia" w:ascii="宋体" w:hAnsi="宋体" w:cs="宋体"/>
                <w:color w:val="auto"/>
                <w:sz w:val="24"/>
                <w:highlight w:val="none"/>
              </w:rPr>
              <w:t>1.6.2</w:t>
            </w:r>
          </w:p>
        </w:tc>
        <w:tc>
          <w:tcPr>
            <w:tcW w:w="4534" w:type="pct"/>
            <w:vAlign w:val="center"/>
          </w:tcPr>
          <w:p w14:paraId="1DC0C4D5">
            <w:pPr>
              <w:rPr>
                <w:rFonts w:hint="eastAsia" w:ascii="宋体" w:hAnsi="宋体" w:cs="宋体"/>
                <w:color w:val="auto"/>
                <w:sz w:val="24"/>
                <w:highlight w:val="none"/>
              </w:rPr>
            </w:pPr>
            <w:r>
              <w:rPr>
                <w:rFonts w:hint="eastAsia" w:ascii="宋体" w:hAnsi="宋体" w:cs="宋体"/>
                <w:color w:val="auto"/>
                <w:sz w:val="24"/>
                <w:highlight w:val="none"/>
              </w:rPr>
              <w:t>适用于中小微企业：</w:t>
            </w:r>
          </w:p>
          <w:p w14:paraId="22782F1D">
            <w:pPr>
              <w:rPr>
                <w:rFonts w:hint="eastAsia" w:ascii="宋体" w:hAnsi="宋体" w:cs="宋体"/>
                <w:color w:val="auto"/>
                <w:sz w:val="24"/>
                <w:highlight w:val="none"/>
              </w:rPr>
            </w:pPr>
            <w:r>
              <w:rPr>
                <w:rFonts w:hint="eastAsia" w:ascii="宋体" w:hAnsi="宋体" w:cs="宋体"/>
                <w:color w:val="auto"/>
                <w:sz w:val="24"/>
                <w:highlight w:val="none"/>
              </w:rPr>
              <w:t>①合同生效且具备实施条件后，七个工作日内支付合同总额的40%作为预付款；（合同签订时乙方主动要求不需要预付款的甲方可以不支付）；</w:t>
            </w:r>
          </w:p>
          <w:p w14:paraId="21882979">
            <w:pPr>
              <w:rPr>
                <w:rFonts w:hint="eastAsia" w:ascii="宋体" w:hAnsi="宋体" w:cs="宋体"/>
                <w:color w:val="auto"/>
                <w:sz w:val="24"/>
                <w:highlight w:val="none"/>
              </w:rPr>
            </w:pPr>
            <w:r>
              <w:rPr>
                <w:rFonts w:hint="eastAsia" w:ascii="宋体" w:hAnsi="宋体" w:cs="宋体"/>
                <w:color w:val="auto"/>
                <w:sz w:val="24"/>
                <w:highlight w:val="none"/>
              </w:rPr>
              <w:t>②设备安装调试、系统对接完毕并验收合格后，采购人在七个工作日内向中标人付清余款。</w:t>
            </w:r>
          </w:p>
          <w:p w14:paraId="5BCD3872">
            <w:pPr>
              <w:rPr>
                <w:rFonts w:hint="eastAsia" w:ascii="宋体" w:hAnsi="宋体" w:cs="宋体"/>
                <w:color w:val="auto"/>
                <w:sz w:val="24"/>
                <w:highlight w:val="none"/>
              </w:rPr>
            </w:pPr>
            <w:r>
              <w:rPr>
                <w:rFonts w:hint="eastAsia" w:ascii="宋体" w:hAnsi="宋体" w:cs="宋体"/>
                <w:color w:val="auto"/>
                <w:sz w:val="24"/>
                <w:highlight w:val="none"/>
              </w:rPr>
              <w:t>适用于大型企业：</w:t>
            </w:r>
          </w:p>
          <w:p w14:paraId="79F8AA7F">
            <w:pPr>
              <w:rPr>
                <w:rFonts w:hint="eastAsia" w:ascii="宋体" w:hAnsi="宋体" w:cs="宋体"/>
                <w:color w:val="auto"/>
                <w:sz w:val="24"/>
                <w:highlight w:val="none"/>
              </w:rPr>
            </w:pPr>
            <w:r>
              <w:rPr>
                <w:rFonts w:hint="eastAsia" w:ascii="宋体" w:hAnsi="宋体" w:cs="宋体"/>
                <w:color w:val="auto"/>
                <w:sz w:val="24"/>
                <w:highlight w:val="none"/>
              </w:rPr>
              <w:t>①货到验收合格且采购人收到合法有效的发票后七个工作日内付清全款。</w:t>
            </w:r>
          </w:p>
        </w:tc>
      </w:tr>
      <w:tr w14:paraId="0E1C3C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0C7297E">
            <w:pPr>
              <w:rPr>
                <w:rFonts w:hint="eastAsia" w:ascii="宋体" w:hAnsi="宋体" w:cs="宋体"/>
                <w:color w:val="auto"/>
                <w:sz w:val="24"/>
                <w:highlight w:val="none"/>
              </w:rPr>
            </w:pPr>
            <w:r>
              <w:rPr>
                <w:rFonts w:hint="eastAsia" w:ascii="宋体" w:hAnsi="宋体" w:cs="宋体"/>
                <w:color w:val="auto"/>
                <w:sz w:val="24"/>
                <w:highlight w:val="none"/>
              </w:rPr>
              <w:t>1.7.1</w:t>
            </w:r>
          </w:p>
        </w:tc>
        <w:tc>
          <w:tcPr>
            <w:tcW w:w="4534" w:type="pct"/>
            <w:vAlign w:val="center"/>
          </w:tcPr>
          <w:p w14:paraId="67744309">
            <w:pPr>
              <w:rPr>
                <w:rFonts w:hint="eastAsia" w:ascii="宋体" w:hAnsi="宋体" w:cs="宋体"/>
                <w:color w:val="auto"/>
                <w:sz w:val="24"/>
                <w:highlight w:val="none"/>
              </w:rPr>
            </w:pPr>
            <w:r>
              <w:rPr>
                <w:rFonts w:hint="eastAsia" w:ascii="宋体" w:hAnsi="宋体" w:cs="宋体"/>
                <w:color w:val="auto"/>
                <w:kern w:val="0"/>
                <w:sz w:val="24"/>
                <w:highlight w:val="none"/>
              </w:rPr>
              <w:t>合同签订后，接甲方通知后90个工作日内完成项目供货、安装、调试，进行试运行测试，试运行期一个月后，由甲方进行统一验收。</w:t>
            </w:r>
          </w:p>
        </w:tc>
      </w:tr>
      <w:tr w14:paraId="6C89C1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FF47A9">
            <w:pPr>
              <w:rPr>
                <w:rFonts w:hint="eastAsia" w:ascii="宋体" w:hAnsi="宋体" w:cs="宋体"/>
                <w:color w:val="auto"/>
                <w:sz w:val="24"/>
                <w:highlight w:val="none"/>
              </w:rPr>
            </w:pPr>
            <w:r>
              <w:rPr>
                <w:rFonts w:hint="eastAsia" w:ascii="宋体" w:hAnsi="宋体" w:cs="宋体"/>
                <w:color w:val="auto"/>
                <w:sz w:val="24"/>
                <w:highlight w:val="none"/>
              </w:rPr>
              <w:t>1.7.2</w:t>
            </w:r>
          </w:p>
        </w:tc>
        <w:tc>
          <w:tcPr>
            <w:tcW w:w="4534" w:type="pct"/>
            <w:vAlign w:val="center"/>
          </w:tcPr>
          <w:p w14:paraId="74D3ED00">
            <w:pPr>
              <w:rPr>
                <w:rFonts w:hint="eastAsia" w:ascii="宋体" w:hAnsi="宋体" w:cs="宋体"/>
                <w:color w:val="auto"/>
                <w:sz w:val="24"/>
                <w:highlight w:val="none"/>
              </w:rPr>
            </w:pPr>
            <w:r>
              <w:rPr>
                <w:rFonts w:hint="eastAsia" w:ascii="宋体" w:hAnsi="宋体" w:cs="宋体"/>
                <w:color w:val="auto"/>
                <w:sz w:val="24"/>
                <w:highlight w:val="none"/>
              </w:rPr>
              <w:t>宁海县甲方指定地点。</w:t>
            </w:r>
          </w:p>
        </w:tc>
      </w:tr>
      <w:tr w14:paraId="56B1F2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82938C">
            <w:pPr>
              <w:rPr>
                <w:rFonts w:hint="eastAsia" w:ascii="宋体" w:hAnsi="宋体" w:cs="宋体"/>
                <w:color w:val="auto"/>
                <w:sz w:val="24"/>
                <w:highlight w:val="none"/>
              </w:rPr>
            </w:pPr>
            <w:r>
              <w:rPr>
                <w:rFonts w:hint="eastAsia" w:ascii="宋体" w:hAnsi="宋体" w:cs="宋体"/>
                <w:color w:val="auto"/>
                <w:sz w:val="24"/>
                <w:highlight w:val="none"/>
              </w:rPr>
              <w:t>1.7.3</w:t>
            </w:r>
          </w:p>
        </w:tc>
        <w:tc>
          <w:tcPr>
            <w:tcW w:w="4534" w:type="pct"/>
            <w:vAlign w:val="center"/>
          </w:tcPr>
          <w:p w14:paraId="52ECCEE5">
            <w:pPr>
              <w:rPr>
                <w:rFonts w:hint="eastAsia" w:ascii="宋体" w:hAnsi="宋体" w:cs="宋体"/>
                <w:color w:val="auto"/>
                <w:sz w:val="24"/>
                <w:highlight w:val="none"/>
              </w:rPr>
            </w:pPr>
            <w:r>
              <w:rPr>
                <w:rFonts w:hint="eastAsia" w:ascii="宋体" w:hAnsi="宋体" w:cs="宋体"/>
                <w:color w:val="auto"/>
                <w:sz w:val="24"/>
                <w:highlight w:val="none"/>
              </w:rPr>
              <w:t>满足甲方要求，现场交货。</w:t>
            </w:r>
          </w:p>
        </w:tc>
      </w:tr>
      <w:tr w14:paraId="08BA8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D0E3AD4">
            <w:pPr>
              <w:rPr>
                <w:rFonts w:hint="eastAsia" w:ascii="宋体" w:hAnsi="宋体" w:cs="宋体"/>
                <w:color w:val="auto"/>
                <w:sz w:val="24"/>
                <w:highlight w:val="none"/>
              </w:rPr>
            </w:pPr>
            <w:r>
              <w:rPr>
                <w:rFonts w:hint="eastAsia" w:ascii="宋体" w:hAnsi="宋体" w:cs="宋体"/>
                <w:color w:val="auto"/>
                <w:sz w:val="24"/>
                <w:highlight w:val="none"/>
              </w:rPr>
              <w:t>1.8.3</w:t>
            </w:r>
          </w:p>
        </w:tc>
        <w:tc>
          <w:tcPr>
            <w:tcW w:w="4534" w:type="pct"/>
            <w:vAlign w:val="center"/>
          </w:tcPr>
          <w:p w14:paraId="7075CFCB">
            <w:pPr>
              <w:rPr>
                <w:rFonts w:hint="eastAsia" w:ascii="宋体" w:hAnsi="宋体" w:cs="宋体"/>
                <w:color w:val="auto"/>
                <w:sz w:val="24"/>
                <w:highlight w:val="none"/>
              </w:rPr>
            </w:pPr>
            <w:r>
              <w:rPr>
                <w:rFonts w:hint="eastAsia" w:ascii="宋体" w:hAnsi="宋体" w:cs="宋体"/>
                <w:color w:val="auto"/>
                <w:sz w:val="24"/>
                <w:highlight w:val="none"/>
              </w:rPr>
              <w:t>/</w:t>
            </w:r>
          </w:p>
        </w:tc>
      </w:tr>
      <w:tr w14:paraId="0E6C8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90E1449">
            <w:pPr>
              <w:rPr>
                <w:rFonts w:hint="eastAsia" w:ascii="宋体" w:hAnsi="宋体" w:cs="宋体"/>
                <w:color w:val="auto"/>
                <w:sz w:val="24"/>
                <w:highlight w:val="none"/>
              </w:rPr>
            </w:pPr>
            <w:r>
              <w:rPr>
                <w:rFonts w:hint="eastAsia" w:ascii="宋体" w:hAnsi="宋体" w:cs="宋体"/>
                <w:color w:val="auto"/>
                <w:sz w:val="24"/>
                <w:highlight w:val="none"/>
              </w:rPr>
              <w:t>1.9</w:t>
            </w:r>
          </w:p>
        </w:tc>
        <w:tc>
          <w:tcPr>
            <w:tcW w:w="4534" w:type="pct"/>
            <w:vAlign w:val="center"/>
          </w:tcPr>
          <w:p w14:paraId="373D1AD0">
            <w:pPr>
              <w:rPr>
                <w:rFonts w:hint="eastAsia" w:ascii="宋体" w:hAnsi="宋体" w:cs="宋体"/>
                <w:color w:val="auto"/>
                <w:sz w:val="24"/>
                <w:highlight w:val="none"/>
              </w:rPr>
            </w:pPr>
            <w:r>
              <w:rPr>
                <w:rFonts w:hint="eastAsia" w:ascii="宋体" w:hAnsi="宋体" w:cs="宋体"/>
                <w:color w:val="auto"/>
                <w:sz w:val="24"/>
                <w:highlight w:val="none"/>
              </w:rPr>
              <w:t>宁波市宁海县。</w:t>
            </w:r>
          </w:p>
        </w:tc>
      </w:tr>
      <w:tr w14:paraId="0AB28E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5137604">
            <w:pPr>
              <w:rPr>
                <w:rFonts w:hint="eastAsia" w:ascii="宋体" w:hAnsi="宋体" w:cs="宋体"/>
                <w:color w:val="auto"/>
                <w:sz w:val="24"/>
                <w:highlight w:val="none"/>
              </w:rPr>
            </w:pPr>
            <w:r>
              <w:rPr>
                <w:rFonts w:hint="eastAsia" w:ascii="宋体" w:hAnsi="宋体" w:cs="宋体"/>
                <w:color w:val="auto"/>
                <w:sz w:val="24"/>
                <w:highlight w:val="none"/>
              </w:rPr>
              <w:t>2.3.2</w:t>
            </w:r>
          </w:p>
        </w:tc>
        <w:tc>
          <w:tcPr>
            <w:tcW w:w="4534" w:type="pct"/>
            <w:vAlign w:val="center"/>
          </w:tcPr>
          <w:p w14:paraId="5475DC22">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归甲方所有。</w:t>
            </w:r>
          </w:p>
        </w:tc>
      </w:tr>
      <w:tr w14:paraId="4BEFB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80ADEE">
            <w:pPr>
              <w:rPr>
                <w:rFonts w:hint="eastAsia" w:ascii="宋体" w:hAnsi="宋体" w:cs="宋体"/>
                <w:color w:val="auto"/>
                <w:sz w:val="24"/>
                <w:highlight w:val="none"/>
              </w:rPr>
            </w:pPr>
            <w:r>
              <w:rPr>
                <w:rFonts w:hint="eastAsia" w:ascii="宋体" w:hAnsi="宋体" w:cs="宋体"/>
                <w:color w:val="auto"/>
                <w:sz w:val="24"/>
                <w:highlight w:val="none"/>
              </w:rPr>
              <w:t>2.4.1</w:t>
            </w:r>
          </w:p>
        </w:tc>
        <w:tc>
          <w:tcPr>
            <w:tcW w:w="4534" w:type="pct"/>
            <w:vAlign w:val="center"/>
          </w:tcPr>
          <w:p w14:paraId="7AB92F11">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tc>
      </w:tr>
      <w:tr w14:paraId="0D338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5CB33CB">
            <w:pPr>
              <w:rPr>
                <w:rFonts w:hint="eastAsia" w:ascii="宋体" w:hAnsi="宋体" w:cs="宋体"/>
                <w:color w:val="auto"/>
                <w:sz w:val="24"/>
                <w:highlight w:val="none"/>
              </w:rPr>
            </w:pPr>
            <w:r>
              <w:rPr>
                <w:rFonts w:hint="eastAsia" w:ascii="宋体" w:hAnsi="宋体" w:cs="宋体"/>
                <w:color w:val="auto"/>
                <w:sz w:val="24"/>
                <w:highlight w:val="none"/>
              </w:rPr>
              <w:t>2.4.3</w:t>
            </w:r>
          </w:p>
        </w:tc>
        <w:tc>
          <w:tcPr>
            <w:tcW w:w="4534" w:type="pct"/>
            <w:vAlign w:val="center"/>
          </w:tcPr>
          <w:p w14:paraId="642D64AC">
            <w:pPr>
              <w:rPr>
                <w:rFonts w:hint="eastAsia" w:ascii="宋体" w:hAnsi="宋体" w:cs="宋体"/>
                <w:color w:val="auto"/>
                <w:sz w:val="24"/>
                <w:highlight w:val="none"/>
              </w:rPr>
            </w:pPr>
            <w:r>
              <w:rPr>
                <w:rFonts w:hint="eastAsia" w:ascii="宋体" w:hAnsi="宋体" w:cs="宋体"/>
                <w:color w:val="auto"/>
                <w:sz w:val="24"/>
                <w:highlight w:val="none"/>
              </w:rPr>
              <w:t>满足甲方要求。</w:t>
            </w:r>
          </w:p>
        </w:tc>
      </w:tr>
      <w:tr w14:paraId="70BAB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7A04982">
            <w:pPr>
              <w:rPr>
                <w:rFonts w:hint="eastAsia" w:ascii="宋体" w:hAnsi="宋体" w:cs="宋体"/>
                <w:color w:val="auto"/>
                <w:sz w:val="24"/>
                <w:highlight w:val="none"/>
              </w:rPr>
            </w:pPr>
            <w:r>
              <w:rPr>
                <w:rFonts w:hint="eastAsia" w:ascii="宋体" w:hAnsi="宋体" w:cs="宋体"/>
                <w:color w:val="auto"/>
                <w:sz w:val="24"/>
                <w:highlight w:val="none"/>
              </w:rPr>
              <w:t xml:space="preserve">2.8 </w:t>
            </w:r>
          </w:p>
        </w:tc>
        <w:tc>
          <w:tcPr>
            <w:tcW w:w="4534" w:type="pct"/>
          </w:tcPr>
          <w:p w14:paraId="56572207">
            <w:pPr>
              <w:rPr>
                <w:rFonts w:hint="eastAsia" w:ascii="宋体" w:hAnsi="宋体" w:cs="宋体"/>
                <w:color w:val="auto"/>
                <w:sz w:val="24"/>
                <w:highlight w:val="none"/>
              </w:rPr>
            </w:pPr>
            <w:r>
              <w:rPr>
                <w:rFonts w:hint="eastAsia" w:ascii="宋体" w:hAnsi="宋体" w:cs="宋体"/>
                <w:color w:val="auto"/>
                <w:sz w:val="24"/>
                <w:highlight w:val="none"/>
              </w:rPr>
              <w:t>责任方承担。</w:t>
            </w:r>
          </w:p>
        </w:tc>
      </w:tr>
      <w:tr w14:paraId="168B9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88" w:hRule="atLeast"/>
        </w:trPr>
        <w:tc>
          <w:tcPr>
            <w:tcW w:w="465" w:type="pct"/>
            <w:tcBorders>
              <w:left w:val="single" w:color="auto" w:sz="4" w:space="0"/>
            </w:tcBorders>
            <w:vAlign w:val="center"/>
          </w:tcPr>
          <w:p w14:paraId="155C935B">
            <w:pPr>
              <w:rPr>
                <w:rFonts w:hint="eastAsia" w:ascii="宋体" w:hAnsi="宋体" w:cs="宋体"/>
                <w:color w:val="auto"/>
                <w:sz w:val="24"/>
                <w:highlight w:val="none"/>
              </w:rPr>
            </w:pPr>
            <w:r>
              <w:rPr>
                <w:rFonts w:hint="eastAsia" w:ascii="宋体" w:hAnsi="宋体" w:cs="宋体"/>
                <w:color w:val="auto"/>
                <w:sz w:val="24"/>
                <w:highlight w:val="none"/>
              </w:rPr>
              <w:t>2.12.3</w:t>
            </w:r>
          </w:p>
        </w:tc>
        <w:tc>
          <w:tcPr>
            <w:tcW w:w="4534" w:type="pct"/>
            <w:vAlign w:val="center"/>
          </w:tcPr>
          <w:p w14:paraId="0B8E2444">
            <w:pPr>
              <w:rPr>
                <w:rFonts w:hint="eastAsia" w:ascii="宋体" w:hAnsi="宋体" w:cs="宋体"/>
                <w:color w:val="auto"/>
                <w:sz w:val="24"/>
                <w:highlight w:val="none"/>
              </w:rPr>
            </w:pPr>
            <w:r>
              <w:rPr>
                <w:rFonts w:hint="eastAsia" w:ascii="宋体" w:hAnsi="宋体" w:cs="宋体"/>
                <w:color w:val="auto"/>
                <w:sz w:val="24"/>
                <w:highlight w:val="none"/>
              </w:rPr>
              <w:t>不可抗力时间发生后7天。</w:t>
            </w:r>
          </w:p>
        </w:tc>
      </w:tr>
      <w:tr w14:paraId="057E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CEC087">
            <w:pPr>
              <w:rPr>
                <w:rFonts w:hint="eastAsia" w:ascii="宋体" w:hAnsi="宋体" w:cs="宋体"/>
                <w:color w:val="auto"/>
                <w:sz w:val="24"/>
                <w:highlight w:val="none"/>
              </w:rPr>
            </w:pPr>
            <w:r>
              <w:rPr>
                <w:rFonts w:hint="eastAsia" w:ascii="宋体" w:hAnsi="宋体" w:cs="宋体"/>
                <w:color w:val="auto"/>
                <w:sz w:val="24"/>
                <w:highlight w:val="none"/>
              </w:rPr>
              <w:t>2.12.4</w:t>
            </w:r>
          </w:p>
        </w:tc>
        <w:tc>
          <w:tcPr>
            <w:tcW w:w="4534" w:type="pct"/>
          </w:tcPr>
          <w:p w14:paraId="0F8BCDF9">
            <w:pPr>
              <w:rPr>
                <w:rFonts w:hint="eastAsia" w:ascii="宋体" w:hAnsi="宋体" w:cs="宋体"/>
                <w:color w:val="auto"/>
                <w:sz w:val="24"/>
                <w:highlight w:val="none"/>
              </w:rPr>
            </w:pPr>
            <w:r>
              <w:rPr>
                <w:rFonts w:hint="eastAsia" w:ascii="宋体" w:hAnsi="宋体" w:cs="宋体"/>
                <w:color w:val="auto"/>
                <w:sz w:val="24"/>
                <w:highlight w:val="none"/>
              </w:rPr>
              <w:t>不可抗力时间发生后7天。</w:t>
            </w:r>
          </w:p>
        </w:tc>
      </w:tr>
      <w:tr w14:paraId="4B07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5729006">
            <w:pPr>
              <w:rPr>
                <w:rFonts w:hint="eastAsia" w:ascii="宋体" w:hAnsi="宋体" w:cs="宋体"/>
                <w:color w:val="auto"/>
                <w:sz w:val="24"/>
                <w:highlight w:val="none"/>
              </w:rPr>
            </w:pPr>
            <w:r>
              <w:rPr>
                <w:rFonts w:hint="eastAsia" w:ascii="宋体" w:hAnsi="宋体" w:cs="宋体"/>
                <w:color w:val="auto"/>
                <w:sz w:val="24"/>
                <w:highlight w:val="none"/>
              </w:rPr>
              <w:t>2.16.1</w:t>
            </w:r>
          </w:p>
        </w:tc>
        <w:tc>
          <w:tcPr>
            <w:tcW w:w="4534" w:type="pct"/>
            <w:vAlign w:val="center"/>
          </w:tcPr>
          <w:p w14:paraId="3AB1F698">
            <w:pPr>
              <w:rPr>
                <w:rFonts w:hint="eastAsia" w:ascii="宋体" w:hAnsi="宋体" w:cs="宋体"/>
                <w:color w:val="auto"/>
                <w:sz w:val="24"/>
                <w:highlight w:val="none"/>
              </w:rPr>
            </w:pPr>
            <w:r>
              <w:rPr>
                <w:rFonts w:hint="eastAsia" w:ascii="宋体" w:hAnsi="宋体" w:cs="宋体"/>
                <w:color w:val="auto"/>
                <w:sz w:val="24"/>
                <w:highlight w:val="none"/>
              </w:rPr>
              <w:t>以甲方约定为准。</w:t>
            </w:r>
          </w:p>
        </w:tc>
      </w:tr>
      <w:tr w14:paraId="34483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165AB328">
            <w:pPr>
              <w:rPr>
                <w:rFonts w:hint="eastAsia" w:ascii="宋体" w:hAnsi="宋体" w:cs="宋体"/>
                <w:color w:val="auto"/>
                <w:sz w:val="24"/>
                <w:highlight w:val="none"/>
              </w:rPr>
            </w:pPr>
            <w:r>
              <w:rPr>
                <w:rFonts w:hint="eastAsia" w:ascii="宋体" w:hAnsi="宋体" w:cs="宋体"/>
                <w:color w:val="auto"/>
                <w:sz w:val="24"/>
                <w:highlight w:val="none"/>
              </w:rPr>
              <w:t>2.16.3</w:t>
            </w:r>
          </w:p>
        </w:tc>
        <w:tc>
          <w:tcPr>
            <w:tcW w:w="4534" w:type="pct"/>
            <w:vAlign w:val="center"/>
          </w:tcPr>
          <w:p w14:paraId="24B9FAF3">
            <w:pPr>
              <w:rPr>
                <w:rFonts w:hint="eastAsia" w:ascii="宋体" w:hAnsi="宋体" w:cs="宋体"/>
                <w:color w:val="auto"/>
                <w:sz w:val="24"/>
                <w:highlight w:val="none"/>
              </w:rPr>
            </w:pPr>
            <w:r>
              <w:rPr>
                <w:rFonts w:hint="eastAsia" w:ascii="宋体" w:hAnsi="宋体" w:cs="宋体"/>
                <w:color w:val="auto"/>
                <w:sz w:val="24"/>
                <w:highlight w:val="none"/>
              </w:rPr>
              <w:t>1）验收标准：与产品技术数据及标书技术文件一致，符合国家有关技术规范和技术标准。</w:t>
            </w:r>
          </w:p>
          <w:p w14:paraId="23FAF7DA">
            <w:pPr>
              <w:rPr>
                <w:rFonts w:hint="eastAsia" w:ascii="宋体" w:hAnsi="宋体" w:cs="宋体"/>
                <w:color w:val="auto"/>
                <w:sz w:val="24"/>
                <w:highlight w:val="none"/>
              </w:rPr>
            </w:pPr>
            <w:r>
              <w:rPr>
                <w:rFonts w:hint="eastAsia" w:ascii="宋体" w:hAnsi="宋体" w:cs="宋体"/>
                <w:color w:val="auto"/>
                <w:sz w:val="24"/>
                <w:highlight w:val="none"/>
              </w:rPr>
              <w:t>2）安装、验收所产生的一切费用（包括卸货、搬运费等）由乙方负责。</w:t>
            </w:r>
          </w:p>
        </w:tc>
      </w:tr>
      <w:tr w14:paraId="344A51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40F21010">
            <w:pPr>
              <w:ind w:left="-420" w:leftChars="-200" w:right="-420" w:righ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2.20 </w:t>
            </w:r>
          </w:p>
        </w:tc>
        <w:tc>
          <w:tcPr>
            <w:tcW w:w="4534" w:type="pct"/>
          </w:tcPr>
          <w:p w14:paraId="4C00FACA">
            <w:pPr>
              <w:rPr>
                <w:rFonts w:hint="eastAsia" w:ascii="宋体" w:hAnsi="宋体" w:cs="宋体"/>
                <w:color w:val="auto"/>
                <w:sz w:val="24"/>
                <w:highlight w:val="none"/>
              </w:rPr>
            </w:pPr>
            <w:r>
              <w:rPr>
                <w:rFonts w:hint="eastAsia" w:ascii="宋体" w:hAnsi="宋体" w:cs="宋体"/>
                <w:color w:val="auto"/>
                <w:sz w:val="24"/>
                <w:highlight w:val="none"/>
              </w:rPr>
              <w:t>本合同一式   份，甲方执   份，乙方执   份，采购办存档一份。每份均具有同等法律效力。</w:t>
            </w:r>
          </w:p>
        </w:tc>
      </w:tr>
    </w:tbl>
    <w:p w14:paraId="06BAC144">
      <w:pPr>
        <w:rPr>
          <w:color w:val="auto"/>
          <w:highlight w:val="none"/>
        </w:rPr>
      </w:pPr>
    </w:p>
    <w:p w14:paraId="0E25D7FE">
      <w:pPr>
        <w:rPr>
          <w:rFonts w:hint="eastAsia" w:ascii="宋体" w:hAnsi="宋体" w:cs="宋体"/>
          <w:b/>
          <w:color w:val="auto"/>
          <w:sz w:val="36"/>
          <w:szCs w:val="20"/>
          <w:highlight w:val="none"/>
        </w:rPr>
      </w:pPr>
      <w:bookmarkStart w:id="555" w:name="_Toc22993"/>
      <w:r>
        <w:rPr>
          <w:rFonts w:hint="eastAsia" w:ascii="宋体" w:hAnsi="宋体" w:cs="宋体"/>
          <w:b/>
          <w:color w:val="auto"/>
          <w:sz w:val="36"/>
          <w:szCs w:val="20"/>
          <w:highlight w:val="none"/>
        </w:rPr>
        <w:br w:type="page"/>
      </w:r>
    </w:p>
    <w:p w14:paraId="58DC4B6D">
      <w:pPr>
        <w:spacing w:line="360" w:lineRule="auto"/>
        <w:jc w:val="center"/>
        <w:outlineLvl w:val="0"/>
        <w:rPr>
          <w:rFonts w:hint="eastAsia"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403"/>
      <w:r>
        <w:rPr>
          <w:rFonts w:hint="eastAsia" w:ascii="宋体" w:hAnsi="宋体" w:cs="宋体"/>
          <w:b/>
          <w:color w:val="auto"/>
          <w:sz w:val="36"/>
          <w:szCs w:val="20"/>
          <w:highlight w:val="none"/>
        </w:rPr>
        <w:t xml:space="preserve"> </w:t>
      </w:r>
      <w:bookmarkEnd w:id="404"/>
      <w:r>
        <w:rPr>
          <w:rFonts w:hint="eastAsia" w:ascii="宋体" w:hAnsi="宋体" w:cs="宋体"/>
          <w:b/>
          <w:color w:val="auto"/>
          <w:sz w:val="36"/>
          <w:szCs w:val="20"/>
          <w:highlight w:val="none"/>
        </w:rPr>
        <w:t>应提交的有关格式范例</w:t>
      </w:r>
      <w:bookmarkEnd w:id="555"/>
    </w:p>
    <w:p w14:paraId="57F084B5">
      <w:pPr>
        <w:spacing w:line="360" w:lineRule="auto"/>
        <w:jc w:val="center"/>
        <w:rPr>
          <w:rFonts w:hint="eastAsia" w:ascii="宋体" w:hAnsi="宋体" w:cs="宋体"/>
          <w:b/>
          <w:color w:val="auto"/>
          <w:kern w:val="0"/>
          <w:sz w:val="36"/>
          <w:szCs w:val="36"/>
          <w:highlight w:val="none"/>
        </w:rPr>
      </w:pPr>
    </w:p>
    <w:p w14:paraId="5E460173">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3278FD6">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84DFB55">
      <w:pPr>
        <w:spacing w:line="360" w:lineRule="auto"/>
        <w:jc w:val="center"/>
        <w:rPr>
          <w:rFonts w:hint="eastAsia" w:ascii="宋体" w:hAnsi="宋体" w:cs="宋体"/>
          <w:b/>
          <w:color w:val="auto"/>
          <w:kern w:val="0"/>
          <w:sz w:val="36"/>
          <w:szCs w:val="36"/>
          <w:highlight w:val="none"/>
        </w:rPr>
      </w:pPr>
    </w:p>
    <w:p w14:paraId="16C665A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F4E5907">
      <w:pPr>
        <w:snapToGrid w:val="0"/>
        <w:spacing w:line="360" w:lineRule="auto"/>
        <w:rPr>
          <w:rFonts w:hint="eastAsia"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D6619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D800D8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1D25B21F">
      <w:pPr>
        <w:snapToGrid w:val="0"/>
        <w:spacing w:line="360" w:lineRule="auto"/>
        <w:ind w:firstLine="480" w:firstLineChars="200"/>
        <w:rPr>
          <w:rFonts w:hint="eastAsia" w:ascii="宋体" w:hAnsi="宋体" w:cs="宋体"/>
          <w:color w:val="auto"/>
          <w:sz w:val="24"/>
          <w:highlight w:val="none"/>
        </w:rPr>
      </w:pPr>
    </w:p>
    <w:p w14:paraId="7429A5FE">
      <w:pPr>
        <w:spacing w:line="360" w:lineRule="auto"/>
        <w:ind w:firstLine="480" w:firstLineChars="200"/>
        <w:rPr>
          <w:rFonts w:hint="eastAsia" w:ascii="宋体" w:hAnsi="宋体" w:cs="宋体"/>
          <w:color w:val="auto"/>
          <w:sz w:val="24"/>
          <w:highlight w:val="none"/>
        </w:rPr>
      </w:pPr>
    </w:p>
    <w:p w14:paraId="2CB71197">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一、符合参加政府采购活动应当具备的一般条件的承诺函</w:t>
      </w:r>
    </w:p>
    <w:p w14:paraId="5823C4A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5A072C2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56856BFA">
      <w:pPr>
        <w:snapToGrid w:val="0"/>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EA3829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1、具有独立承担民事责任的能力；</w:t>
      </w:r>
    </w:p>
    <w:p w14:paraId="1714ECBC">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0F706A3A">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8CC6BF6">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0ADC591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7BF5500D">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1992FB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（二）未被信用中国（www.creditchina.gov.cn）、中国政府采购网（www.ccgp.gov.cn）列入失信被执行人、重大税收违法案件当事人名单、政府采购严重违法失信行为记录名单。未在中国裁判文书网有行贿犯罪相关记录。</w:t>
      </w:r>
    </w:p>
    <w:p w14:paraId="353F8B90">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（三）不存在以下情况：</w:t>
      </w:r>
    </w:p>
    <w:p w14:paraId="7FB24DF9">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04EBF8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DFA5FB0">
      <w:pPr>
        <w:snapToGrid w:val="0"/>
        <w:spacing w:line="360" w:lineRule="auto"/>
        <w:ind w:firstLine="480" w:firstLineChars="200"/>
        <w:rPr>
          <w:rFonts w:hint="eastAsia" w:ascii="宋体" w:hAnsi="宋体" w:cs="宋体"/>
          <w:color w:val="auto"/>
          <w:sz w:val="24"/>
          <w:highlight w:val="none"/>
        </w:rPr>
      </w:pPr>
    </w:p>
    <w:p w14:paraId="265EBB43">
      <w:pPr>
        <w:snapToGrid w:val="0"/>
        <w:spacing w:line="360" w:lineRule="auto"/>
        <w:ind w:firstLine="5520" w:firstLineChars="2300"/>
        <w:rPr>
          <w:rFonts w:hint="eastAsia" w:ascii="宋体" w:hAnsi="宋体" w:cs="宋体"/>
          <w:color w:val="auto"/>
          <w:kern w:val="0"/>
          <w:sz w:val="24"/>
          <w:highlight w:val="none"/>
          <w:lang w:val="zh-CN"/>
        </w:rPr>
      </w:pPr>
    </w:p>
    <w:p w14:paraId="5617B19B">
      <w:pPr>
        <w:snapToGrid w:val="0"/>
        <w:spacing w:line="360" w:lineRule="auto"/>
        <w:ind w:firstLine="5520" w:firstLineChars="23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6E65D0F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6614FDC">
      <w:pPr>
        <w:snapToGrid w:val="0"/>
        <w:spacing w:line="360" w:lineRule="auto"/>
        <w:ind w:right="480"/>
        <w:jc w:val="center"/>
        <w:rPr>
          <w:rFonts w:hint="eastAsia" w:ascii="宋体" w:hAnsi="宋体" w:cs="宋体"/>
          <w:b/>
          <w:color w:val="auto"/>
          <w:kern w:val="0"/>
          <w:sz w:val="32"/>
          <w:szCs w:val="32"/>
          <w:highlight w:val="none"/>
        </w:rPr>
      </w:pPr>
    </w:p>
    <w:p w14:paraId="5DFE85E6">
      <w:pPr>
        <w:snapToGrid w:val="0"/>
        <w:spacing w:line="360" w:lineRule="auto"/>
        <w:ind w:right="480"/>
        <w:jc w:val="center"/>
        <w:rPr>
          <w:rFonts w:hint="eastAsia" w:ascii="宋体" w:hAnsi="宋体" w:cs="宋体"/>
          <w:b/>
          <w:color w:val="auto"/>
          <w:kern w:val="0"/>
          <w:sz w:val="32"/>
          <w:szCs w:val="32"/>
          <w:highlight w:val="none"/>
        </w:rPr>
      </w:pPr>
    </w:p>
    <w:p w14:paraId="341955E2">
      <w:pPr>
        <w:snapToGrid w:val="0"/>
        <w:spacing w:line="360" w:lineRule="auto"/>
        <w:ind w:right="480"/>
        <w:jc w:val="center"/>
        <w:rPr>
          <w:rFonts w:hint="eastAsia" w:ascii="宋体" w:hAnsi="宋体" w:cs="宋体"/>
          <w:b/>
          <w:color w:val="auto"/>
          <w:kern w:val="0"/>
          <w:sz w:val="32"/>
          <w:szCs w:val="32"/>
          <w:highlight w:val="none"/>
        </w:rPr>
      </w:pPr>
    </w:p>
    <w:p w14:paraId="72A4BCF1">
      <w:pPr>
        <w:rPr>
          <w:rFonts w:hint="eastAsia" w:ascii="宋体" w:hAnsi="宋体" w:cs="宋体"/>
          <w:color w:val="auto"/>
          <w:highlight w:val="none"/>
        </w:rPr>
      </w:pPr>
    </w:p>
    <w:p w14:paraId="17AB9600">
      <w:pPr>
        <w:snapToGrid w:val="0"/>
        <w:spacing w:line="360" w:lineRule="auto"/>
        <w:ind w:right="480"/>
        <w:jc w:val="center"/>
        <w:rPr>
          <w:rFonts w:hint="eastAsia" w:ascii="宋体" w:hAnsi="宋体" w:cs="宋体"/>
          <w:b/>
          <w:color w:val="auto"/>
          <w:kern w:val="0"/>
          <w:sz w:val="32"/>
          <w:szCs w:val="32"/>
          <w:highlight w:val="none"/>
        </w:rPr>
      </w:pPr>
    </w:p>
    <w:p w14:paraId="6E59098F">
      <w:pPr>
        <w:widowControl/>
        <w:spacing w:line="360" w:lineRule="auto"/>
        <w:ind w:firstLine="643" w:firstLineChars="200"/>
        <w:jc w:val="center"/>
        <w:rPr>
          <w:rFonts w:hint="eastAsia" w:ascii="宋体" w:hAnsi="宋体" w:cs="宋体"/>
          <w:b/>
          <w:color w:val="auto"/>
          <w:kern w:val="0"/>
          <w:sz w:val="32"/>
          <w:szCs w:val="32"/>
          <w:highlight w:val="none"/>
        </w:rPr>
      </w:pPr>
    </w:p>
    <w:p w14:paraId="6C654424">
      <w:pPr>
        <w:widowControl/>
        <w:spacing w:line="360" w:lineRule="auto"/>
        <w:ind w:firstLine="643" w:firstLineChars="200"/>
        <w:jc w:val="center"/>
        <w:rPr>
          <w:rFonts w:hint="eastAsia" w:ascii="宋体" w:hAnsi="宋体" w:cs="宋体"/>
          <w:b/>
          <w:color w:val="auto"/>
          <w:kern w:val="0"/>
          <w:sz w:val="32"/>
          <w:szCs w:val="32"/>
          <w:highlight w:val="none"/>
        </w:rPr>
      </w:pPr>
    </w:p>
    <w:p w14:paraId="23518DBF">
      <w:pPr>
        <w:widowControl/>
        <w:spacing w:line="360" w:lineRule="auto"/>
        <w:ind w:firstLine="643" w:firstLineChars="20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83CBE6A">
      <w:pPr>
        <w:widowControl/>
        <w:spacing w:line="360"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[以联合体形式投标的，提供联合协议（附件5）；本项目不接受联合体投标或者供应商不以联合体形式投标的，则不需要提供]</w:t>
      </w:r>
    </w:p>
    <w:p w14:paraId="38B33745">
      <w:pPr>
        <w:snapToGrid w:val="0"/>
        <w:spacing w:line="360" w:lineRule="auto"/>
        <w:ind w:right="480"/>
        <w:jc w:val="center"/>
        <w:rPr>
          <w:rFonts w:hint="eastAsia" w:ascii="宋体" w:hAnsi="宋体" w:cs="宋体"/>
          <w:b/>
          <w:color w:val="auto"/>
          <w:kern w:val="0"/>
          <w:sz w:val="32"/>
          <w:szCs w:val="32"/>
          <w:highlight w:val="none"/>
        </w:rPr>
      </w:pPr>
    </w:p>
    <w:p w14:paraId="5E021D91">
      <w:pPr>
        <w:snapToGrid w:val="0"/>
        <w:spacing w:line="360" w:lineRule="auto"/>
        <w:ind w:right="480"/>
        <w:jc w:val="center"/>
        <w:rPr>
          <w:rFonts w:hint="eastAsia" w:ascii="宋体" w:hAnsi="宋体" w:cs="宋体"/>
          <w:b/>
          <w:color w:val="auto"/>
          <w:kern w:val="0"/>
          <w:sz w:val="32"/>
          <w:szCs w:val="32"/>
          <w:highlight w:val="none"/>
        </w:rPr>
      </w:pPr>
    </w:p>
    <w:p w14:paraId="5DE6C34A">
      <w:pPr>
        <w:snapToGrid w:val="0"/>
        <w:spacing w:line="360" w:lineRule="auto"/>
        <w:ind w:right="48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5560D7C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5B9A4D5D">
      <w:pPr>
        <w:snapToGrid w:val="0"/>
        <w:spacing w:before="50" w:after="50"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.专门面向中小企业，货物全部由符合政策要求的中小企业（或小微企业）制造的，提供相应的中小企业声明函（附件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742B5753">
      <w:pPr>
        <w:widowControl/>
        <w:spacing w:line="360" w:lineRule="auto"/>
        <w:ind w:firstLine="480"/>
        <w:jc w:val="left"/>
        <w:rPr>
          <w:rFonts w:hint="eastAsia" w:ascii="宋体" w:hAnsi="宋体" w:cs="宋体"/>
          <w:color w:val="auto"/>
          <w:sz w:val="24"/>
          <w:highlight w:val="none"/>
        </w:rPr>
      </w:pPr>
    </w:p>
    <w:p w14:paraId="53382274">
      <w:pPr>
        <w:widowControl/>
        <w:spacing w:line="360" w:lineRule="auto"/>
        <w:ind w:firstLine="472" w:firstLineChars="196"/>
        <w:jc w:val="left"/>
        <w:rPr>
          <w:rFonts w:hint="eastAsia"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6AE34DF7">
      <w:pPr>
        <w:snapToGrid w:val="0"/>
        <w:spacing w:before="50" w:after="50" w:line="360" w:lineRule="auto"/>
        <w:jc w:val="center"/>
        <w:rPr>
          <w:rFonts w:hint="eastAsia" w:ascii="宋体" w:hAnsi="宋体" w:cs="宋体"/>
          <w:color w:val="auto"/>
          <w:sz w:val="24"/>
          <w:highlight w:val="none"/>
        </w:rPr>
      </w:pPr>
      <w:r>
        <w:rPr>
          <w:rFonts w:hint="eastAsia" w:ascii="宋体" w:hAnsi="宋体" w:cs="宋体"/>
          <w:b/>
          <w:color w:val="auto"/>
          <w:sz w:val="24"/>
          <w:highlight w:val="none"/>
        </w:rPr>
        <w:t xml:space="preserve">    </w:t>
      </w:r>
    </w:p>
    <w:p w14:paraId="67FA2886">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B130E22">
      <w:pPr>
        <w:widowControl/>
        <w:spacing w:line="360" w:lineRule="auto"/>
        <w:ind w:left="150"/>
        <w:jc w:val="center"/>
        <w:rPr>
          <w:rFonts w:hint="eastAsia" w:ascii="宋体" w:hAnsi="宋体" w:cs="宋体"/>
          <w:b/>
          <w:color w:val="auto"/>
          <w:kern w:val="0"/>
          <w:sz w:val="32"/>
          <w:szCs w:val="32"/>
          <w:highlight w:val="none"/>
        </w:rPr>
      </w:pPr>
    </w:p>
    <w:p w14:paraId="07403257">
      <w:pPr>
        <w:widowControl/>
        <w:spacing w:line="360" w:lineRule="auto"/>
        <w:ind w:left="150"/>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334F7A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03CF5D2">
      <w:pPr>
        <w:rPr>
          <w:rFonts w:hint="eastAsia" w:ascii="宋体" w:hAnsi="宋体" w:cs="宋体"/>
          <w:color w:val="auto"/>
          <w:highlight w:val="none"/>
        </w:rPr>
      </w:pPr>
    </w:p>
    <w:p w14:paraId="59A672EC">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EF6D848">
      <w:pPr>
        <w:spacing w:line="360" w:lineRule="auto"/>
        <w:ind w:right="420" w:firstLine="3614" w:firstLineChars="1000"/>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166B50B">
      <w:pPr>
        <w:spacing w:line="360" w:lineRule="auto"/>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6CC517">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21355DB6">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135E4DE6">
      <w:pPr>
        <w:snapToGrid w:val="0"/>
        <w:spacing w:line="360" w:lineRule="auto"/>
        <w:ind w:firstLine="480" w:firstLineChars="200"/>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07E1E2D">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（6）商务技术偏离表</w:t>
      </w:r>
      <w:r>
        <w:rPr>
          <w:rFonts w:hint="eastAsia" w:ascii="宋体" w:hAnsi="宋体" w:cs="宋体"/>
          <w:color w:val="auto"/>
          <w:highlight w:val="none"/>
        </w:rPr>
        <w:t>………………………………………………………………………（页码）</w:t>
      </w:r>
    </w:p>
    <w:p w14:paraId="5AB1DFD0">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712C1608">
      <w:pPr>
        <w:snapToGrid w:val="0"/>
        <w:spacing w:line="360" w:lineRule="auto"/>
        <w:jc w:val="center"/>
        <w:rPr>
          <w:rFonts w:hint="eastAsia" w:ascii="宋体" w:hAnsi="宋体" w:cs="宋体"/>
          <w:b/>
          <w:color w:val="auto"/>
          <w:kern w:val="0"/>
          <w:sz w:val="32"/>
          <w:szCs w:val="32"/>
          <w:highlight w:val="none"/>
          <w:lang w:val="zh-CN"/>
        </w:rPr>
      </w:pPr>
    </w:p>
    <w:p w14:paraId="5B236260">
      <w:pPr>
        <w:snapToGrid w:val="0"/>
        <w:spacing w:line="360" w:lineRule="auto"/>
        <w:jc w:val="center"/>
        <w:rPr>
          <w:rFonts w:hint="eastAsia" w:ascii="宋体" w:hAnsi="宋体" w:cs="宋体"/>
          <w:b/>
          <w:color w:val="auto"/>
          <w:kern w:val="0"/>
          <w:sz w:val="32"/>
          <w:szCs w:val="32"/>
          <w:highlight w:val="none"/>
          <w:lang w:val="zh-CN"/>
        </w:rPr>
      </w:pPr>
    </w:p>
    <w:p w14:paraId="0DC15EFE">
      <w:pPr>
        <w:snapToGrid w:val="0"/>
        <w:spacing w:line="360" w:lineRule="auto"/>
        <w:jc w:val="center"/>
        <w:rPr>
          <w:rFonts w:hint="eastAsia" w:ascii="宋体" w:hAnsi="宋体" w:cs="宋体"/>
          <w:b/>
          <w:color w:val="auto"/>
          <w:kern w:val="0"/>
          <w:sz w:val="32"/>
          <w:szCs w:val="32"/>
          <w:highlight w:val="none"/>
          <w:lang w:val="zh-CN"/>
        </w:rPr>
      </w:pPr>
    </w:p>
    <w:p w14:paraId="72750622">
      <w:pPr>
        <w:snapToGrid w:val="0"/>
        <w:spacing w:line="360" w:lineRule="auto"/>
        <w:jc w:val="center"/>
        <w:rPr>
          <w:rFonts w:hint="eastAsia" w:ascii="宋体" w:hAnsi="宋体" w:cs="宋体"/>
          <w:b/>
          <w:color w:val="auto"/>
          <w:kern w:val="0"/>
          <w:sz w:val="32"/>
          <w:szCs w:val="32"/>
          <w:highlight w:val="none"/>
          <w:lang w:val="zh-CN"/>
        </w:rPr>
      </w:pPr>
    </w:p>
    <w:p w14:paraId="7F51B771">
      <w:pPr>
        <w:snapToGrid w:val="0"/>
        <w:spacing w:line="360" w:lineRule="auto"/>
        <w:jc w:val="center"/>
        <w:rPr>
          <w:rFonts w:hint="eastAsia" w:ascii="宋体" w:hAnsi="宋体" w:cs="宋体"/>
          <w:b/>
          <w:color w:val="auto"/>
          <w:kern w:val="0"/>
          <w:sz w:val="32"/>
          <w:szCs w:val="32"/>
          <w:highlight w:val="none"/>
          <w:lang w:val="zh-CN"/>
        </w:rPr>
      </w:pPr>
    </w:p>
    <w:p w14:paraId="2B1A9CB5">
      <w:pPr>
        <w:snapToGrid w:val="0"/>
        <w:spacing w:line="360" w:lineRule="auto"/>
        <w:jc w:val="center"/>
        <w:rPr>
          <w:rFonts w:hint="eastAsia" w:ascii="宋体" w:hAnsi="宋体" w:cs="宋体"/>
          <w:b/>
          <w:color w:val="auto"/>
          <w:kern w:val="0"/>
          <w:sz w:val="32"/>
          <w:szCs w:val="32"/>
          <w:highlight w:val="none"/>
        </w:rPr>
      </w:pPr>
    </w:p>
    <w:p w14:paraId="6DC518D6">
      <w:pPr>
        <w:snapToGrid w:val="0"/>
        <w:spacing w:line="360" w:lineRule="auto"/>
        <w:jc w:val="center"/>
        <w:rPr>
          <w:rFonts w:hint="eastAsia" w:ascii="宋体" w:hAnsi="宋体" w:cs="宋体"/>
          <w:b/>
          <w:color w:val="auto"/>
          <w:kern w:val="0"/>
          <w:sz w:val="32"/>
          <w:szCs w:val="32"/>
          <w:highlight w:val="none"/>
        </w:rPr>
      </w:pPr>
    </w:p>
    <w:p w14:paraId="7D89D2CA">
      <w:pPr>
        <w:rPr>
          <w:rFonts w:hint="eastAsia" w:ascii="宋体" w:hAnsi="宋体" w:cs="宋体"/>
          <w:color w:val="auto"/>
          <w:highlight w:val="none"/>
        </w:rPr>
      </w:pPr>
    </w:p>
    <w:p w14:paraId="2C1C2000">
      <w:pPr>
        <w:snapToGrid w:val="0"/>
        <w:spacing w:line="360" w:lineRule="auto"/>
        <w:jc w:val="center"/>
        <w:rPr>
          <w:rFonts w:hint="eastAsia" w:ascii="宋体" w:hAnsi="宋体" w:cs="宋体"/>
          <w:b/>
          <w:color w:val="auto"/>
          <w:kern w:val="0"/>
          <w:sz w:val="32"/>
          <w:szCs w:val="32"/>
          <w:highlight w:val="none"/>
        </w:rPr>
      </w:pPr>
    </w:p>
    <w:p w14:paraId="24566029">
      <w:pPr>
        <w:snapToGrid w:val="0"/>
        <w:spacing w:line="360" w:lineRule="auto"/>
        <w:jc w:val="center"/>
        <w:rPr>
          <w:rFonts w:hint="eastAsia" w:ascii="宋体" w:hAnsi="宋体" w:cs="宋体"/>
          <w:b/>
          <w:color w:val="auto"/>
          <w:kern w:val="0"/>
          <w:sz w:val="32"/>
          <w:szCs w:val="32"/>
          <w:highlight w:val="none"/>
        </w:rPr>
      </w:pPr>
    </w:p>
    <w:p w14:paraId="004B5A54">
      <w:pPr>
        <w:tabs>
          <w:tab w:val="left" w:pos="432"/>
        </w:tabs>
        <w:rPr>
          <w:color w:val="auto"/>
          <w:highlight w:val="none"/>
        </w:rPr>
      </w:pPr>
    </w:p>
    <w:p w14:paraId="3C676AA1">
      <w:pPr>
        <w:rPr>
          <w:color w:val="auto"/>
          <w:highlight w:val="none"/>
        </w:rPr>
      </w:pPr>
    </w:p>
    <w:p w14:paraId="37770013">
      <w:pPr>
        <w:snapToGrid w:val="0"/>
        <w:spacing w:line="360" w:lineRule="auto"/>
        <w:ind w:firstLine="3855" w:firstLineChars="1200"/>
        <w:rPr>
          <w:rFonts w:hint="eastAsia" w:ascii="宋体" w:hAnsi="宋体" w:cs="宋体"/>
          <w:b/>
          <w:color w:val="auto"/>
          <w:kern w:val="0"/>
          <w:sz w:val="32"/>
          <w:szCs w:val="32"/>
          <w:highlight w:val="none"/>
        </w:rPr>
      </w:pPr>
    </w:p>
    <w:p w14:paraId="4375387E">
      <w:pPr>
        <w:snapToGrid w:val="0"/>
        <w:spacing w:line="360" w:lineRule="auto"/>
        <w:ind w:firstLine="3855" w:firstLineChars="1200"/>
        <w:rPr>
          <w:rFonts w:hint="eastAsia" w:ascii="宋体" w:hAnsi="宋体" w:cs="宋体"/>
          <w:b/>
          <w:color w:val="auto"/>
          <w:kern w:val="0"/>
          <w:sz w:val="32"/>
          <w:szCs w:val="32"/>
          <w:highlight w:val="none"/>
        </w:rPr>
      </w:pPr>
    </w:p>
    <w:p w14:paraId="43D167DB">
      <w:pPr>
        <w:snapToGrid w:val="0"/>
        <w:spacing w:line="360" w:lineRule="auto"/>
        <w:ind w:firstLine="3855" w:firstLineChars="1200"/>
        <w:rPr>
          <w:rFonts w:hint="eastAsia" w:ascii="宋体" w:hAnsi="宋体" w:cs="宋体"/>
          <w:b/>
          <w:color w:val="auto"/>
          <w:kern w:val="0"/>
          <w:sz w:val="32"/>
          <w:szCs w:val="32"/>
          <w:highlight w:val="none"/>
        </w:rPr>
      </w:pPr>
    </w:p>
    <w:p w14:paraId="5C720A17">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7EB14B14">
      <w:pPr>
        <w:snapToGrid w:val="0"/>
        <w:spacing w:line="360" w:lineRule="auto"/>
        <w:ind w:firstLine="3855" w:firstLineChars="1200"/>
        <w:rPr>
          <w:rFonts w:hint="eastAsia"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1EE2DCC2">
      <w:pPr>
        <w:snapToGrid w:val="0"/>
        <w:spacing w:line="312" w:lineRule="auto"/>
        <w:rPr>
          <w:rFonts w:hint="eastAsia" w:ascii="宋体" w:hAnsi="宋体" w:cs="宋体"/>
          <w:color w:val="auto"/>
          <w:sz w:val="24"/>
          <w:highlight w:val="none"/>
        </w:rPr>
      </w:pPr>
      <w:r>
        <w:rPr>
          <w:rFonts w:hint="eastAsia" w:ascii="宋体" w:hAnsi="宋体" w:cs="宋体"/>
          <w:color w:val="auto"/>
          <w:sz w:val="24"/>
          <w:highlight w:val="none"/>
        </w:rPr>
        <w:t>（采购人）、（采购代理机构）：</w:t>
      </w:r>
    </w:p>
    <w:p w14:paraId="2EC19ED0">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162373CB">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62EBE77B">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2、我方的投标文件包括以下内容：</w:t>
      </w:r>
    </w:p>
    <w:p w14:paraId="13D08BF0">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2.1资格文件：</w:t>
      </w:r>
    </w:p>
    <w:p w14:paraId="7FC23D0C">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2.1.1承诺函；</w:t>
      </w:r>
    </w:p>
    <w:p w14:paraId="61E48DA0">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402B2708">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8C14392">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101F31D">
      <w:pPr>
        <w:snapToGrid w:val="0"/>
        <w:spacing w:line="312" w:lineRule="auto"/>
        <w:ind w:left="210" w:leftChars="1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2F0E410">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5A42214">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1178165D">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4A30E1D">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244DCB71">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4BCADBAC">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2.2.6商务技术偏离表；</w:t>
      </w:r>
    </w:p>
    <w:p w14:paraId="430198E3">
      <w:pPr>
        <w:snapToGrid w:val="0"/>
        <w:spacing w:line="312" w:lineRule="auto"/>
        <w:ind w:left="420" w:leftChars="200" w:firstLine="480" w:firstLineChars="200"/>
        <w:rPr>
          <w:rFonts w:hint="eastAsia"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7EB5E671">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12A4CB53">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2.3.1开标一览表（报价表）、投标分项报价表；</w:t>
      </w:r>
    </w:p>
    <w:p w14:paraId="4A80B2AA">
      <w:pPr>
        <w:snapToGrid w:val="0"/>
        <w:spacing w:line="312"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2.3.2中小企业声明函（如果有）。</w:t>
      </w:r>
    </w:p>
    <w:p w14:paraId="7E179B24">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3、我方承诺除商务技术偏离表列出的偏离外，我方响应招标文件的全部要求。对投标文件中材料的真实性、合法性负责，积极配合采购人、采购代理机构复核投标文件中的资料。</w:t>
      </w:r>
    </w:p>
    <w:p w14:paraId="23ABD4A8">
      <w:pPr>
        <w:snapToGrid w:val="0"/>
        <w:spacing w:line="312"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4、如我方中标，我方承诺：</w:t>
      </w:r>
    </w:p>
    <w:p w14:paraId="6D2CF1FB">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647A4FA6">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2D2C1659">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687DC7FE">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4.4在合同约定的期限内完成合同规定的全部义务。</w:t>
      </w:r>
    </w:p>
    <w:p w14:paraId="7E8261EF">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4.5</w:t>
      </w:r>
      <w:r>
        <w:rPr>
          <w:rFonts w:hint="eastAsia" w:cs="宋体" w:asciiTheme="minorEastAsia" w:hAnsiTheme="minorEastAsia" w:eastAsiaTheme="minorEastAsia"/>
          <w:color w:val="auto"/>
          <w:sz w:val="24"/>
          <w:highlight w:val="none"/>
        </w:rPr>
        <w:t>按照招标文件的规定，在中标后向采购代理机构一次性支付招标代理服务费。</w:t>
      </w:r>
      <w:r>
        <w:rPr>
          <w:rFonts w:hint="eastAsia" w:ascii="宋体" w:hAnsi="宋体" w:cs="宋体"/>
          <w:color w:val="auto"/>
          <w:sz w:val="24"/>
          <w:highlight w:val="none"/>
        </w:rPr>
        <w:t xml:space="preserve"> </w:t>
      </w:r>
    </w:p>
    <w:p w14:paraId="3D1240DB">
      <w:pPr>
        <w:snapToGrid w:val="0"/>
        <w:spacing w:line="312"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CB6A161">
      <w:pPr>
        <w:spacing w:line="312" w:lineRule="auto"/>
        <w:ind w:firstLine="3600" w:firstLineChars="1500"/>
        <w:rPr>
          <w:rFonts w:hint="eastAsia"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16BCBF27">
      <w:pPr>
        <w:spacing w:line="312" w:lineRule="auto"/>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180BAC2D">
      <w:pPr>
        <w:widowControl/>
        <w:adjustRightInd/>
        <w:jc w:val="left"/>
        <w:rPr>
          <w:rFonts w:hint="eastAsia" w:ascii="宋体" w:hAnsi="宋体" w:cs="宋体"/>
          <w:b/>
          <w:color w:val="auto"/>
          <w:kern w:val="0"/>
          <w:sz w:val="32"/>
          <w:szCs w:val="32"/>
          <w:highlight w:val="none"/>
        </w:rPr>
      </w:pPr>
      <w:r>
        <w:rPr>
          <w:rFonts w:hint="eastAsia" w:ascii="宋体" w:hAnsi="宋体" w:cs="宋体"/>
          <w:color w:val="auto"/>
          <w:sz w:val="24"/>
          <w:highlight w:val="none"/>
        </w:rPr>
        <w:t>注：按本格式和要求提供。</w:t>
      </w:r>
      <w:r>
        <w:rPr>
          <w:rFonts w:ascii="宋体" w:hAnsi="宋体" w:cs="宋体"/>
          <w:b/>
          <w:color w:val="auto"/>
          <w:kern w:val="0"/>
          <w:sz w:val="32"/>
          <w:szCs w:val="32"/>
          <w:highlight w:val="none"/>
        </w:rPr>
        <w:br w:type="page"/>
      </w:r>
    </w:p>
    <w:p w14:paraId="53712231">
      <w:pPr>
        <w:jc w:val="cente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57085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8A22C7B">
      <w:pPr>
        <w:snapToGrid w:val="0"/>
        <w:spacing w:line="360" w:lineRule="auto"/>
        <w:ind w:firstLine="2872" w:firstLineChars="894"/>
        <w:rPr>
          <w:rFonts w:hint="eastAsia"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07A13C9B">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889DB76">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0935BC1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5157930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5C208E3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3789E638">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07B06791">
      <w:pPr>
        <w:snapToGrid w:val="0"/>
        <w:spacing w:line="360" w:lineRule="auto"/>
        <w:rPr>
          <w:rFonts w:hint="eastAsia" w:ascii="宋体" w:hAnsi="宋体" w:cs="宋体"/>
          <w:color w:val="auto"/>
          <w:sz w:val="24"/>
          <w:highlight w:val="none"/>
        </w:rPr>
      </w:pPr>
    </w:p>
    <w:p w14:paraId="5577F376">
      <w:pPr>
        <w:snapToGrid w:val="0"/>
        <w:spacing w:line="360" w:lineRule="auto"/>
        <w:rPr>
          <w:rFonts w:hint="eastAsia" w:ascii="宋体" w:hAnsi="宋体" w:cs="宋体"/>
          <w:color w:val="auto"/>
          <w:sz w:val="24"/>
          <w:highlight w:val="none"/>
        </w:rPr>
      </w:pPr>
    </w:p>
    <w:p w14:paraId="3AD7522F">
      <w:pPr>
        <w:snapToGrid w:val="0"/>
        <w:spacing w:line="360" w:lineRule="auto"/>
        <w:rPr>
          <w:rFonts w:hint="eastAsia" w:ascii="宋体" w:hAnsi="宋体" w:cs="宋体"/>
          <w:color w:val="auto"/>
          <w:sz w:val="24"/>
          <w:highlight w:val="none"/>
        </w:rPr>
      </w:pPr>
    </w:p>
    <w:p w14:paraId="7C1A65E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55D2CA50">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ADE7F63">
      <w:pPr>
        <w:snapToGrid w:val="0"/>
        <w:spacing w:line="360" w:lineRule="auto"/>
        <w:ind w:firstLine="576"/>
        <w:rPr>
          <w:rFonts w:hint="eastAsia"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654D8E82">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32E57A1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10E9D8F1">
      <w:pPr>
        <w:jc w:val="center"/>
        <w:rPr>
          <w:rFonts w:hint="eastAsia" w:ascii="宋体" w:hAnsi="宋体" w:cs="宋体"/>
          <w:b/>
          <w:color w:val="auto"/>
          <w:kern w:val="0"/>
          <w:sz w:val="32"/>
          <w:szCs w:val="32"/>
          <w:highlight w:val="none"/>
        </w:rPr>
      </w:pPr>
    </w:p>
    <w:p w14:paraId="3D58BC3A">
      <w:pPr>
        <w:jc w:val="center"/>
        <w:rPr>
          <w:rFonts w:hint="eastAsia" w:ascii="宋体" w:hAnsi="宋体" w:cs="宋体"/>
          <w:b/>
          <w:color w:val="auto"/>
          <w:kern w:val="0"/>
          <w:sz w:val="32"/>
          <w:szCs w:val="32"/>
          <w:highlight w:val="none"/>
        </w:rPr>
      </w:pPr>
    </w:p>
    <w:p w14:paraId="7CE8CF58">
      <w:pPr>
        <w:jc w:val="center"/>
        <w:rPr>
          <w:rFonts w:hint="eastAsia" w:ascii="宋体" w:hAnsi="宋体" w:cs="宋体"/>
          <w:b/>
          <w:color w:val="auto"/>
          <w:kern w:val="0"/>
          <w:sz w:val="32"/>
          <w:szCs w:val="32"/>
          <w:highlight w:val="none"/>
        </w:rPr>
      </w:pPr>
    </w:p>
    <w:p w14:paraId="5AAA3969">
      <w:pPr>
        <w:rPr>
          <w:rFonts w:hint="eastAsia" w:ascii="宋体" w:hAnsi="宋体" w:cs="宋体"/>
          <w:color w:val="auto"/>
          <w:highlight w:val="none"/>
        </w:rPr>
      </w:pPr>
    </w:p>
    <w:p w14:paraId="4D19A655">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CF6F9CD">
      <w:pPr>
        <w:snapToGrid w:val="0"/>
        <w:spacing w:line="360"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D6B32F5">
      <w:pPr>
        <w:snapToGrid w:val="0"/>
        <w:spacing w:line="360"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57DA61EA">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3191E7B">
      <w:pPr>
        <w:autoSpaceDE w:val="0"/>
        <w:autoSpaceDN w:val="0"/>
        <w:spacing w:line="360" w:lineRule="auto"/>
        <w:jc w:val="center"/>
        <w:rPr>
          <w:rFonts w:hint="eastAsia" w:ascii="宋体" w:hAnsi="宋体" w:cs="宋体"/>
          <w:b/>
          <w:color w:val="auto"/>
          <w:kern w:val="0"/>
          <w:sz w:val="32"/>
          <w:szCs w:val="32"/>
          <w:highlight w:val="none"/>
          <w:lang w:val="zh-CN"/>
        </w:rPr>
      </w:pPr>
    </w:p>
    <w:p w14:paraId="5233B882">
      <w:pPr>
        <w:autoSpaceDE w:val="0"/>
        <w:autoSpaceDN w:val="0"/>
        <w:spacing w:line="360" w:lineRule="auto"/>
        <w:jc w:val="center"/>
        <w:rPr>
          <w:rFonts w:hint="eastAsia"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的身份证明（适用于法定代表人、单位负责人或者自然人本人代表供应商参加投标）</w:t>
      </w:r>
    </w:p>
    <w:p w14:paraId="67B06CC5">
      <w:pPr>
        <w:pStyle w:val="150"/>
        <w:spacing w:line="360" w:lineRule="auto"/>
        <w:rPr>
          <w:rFonts w:hint="eastAsia"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5612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101F6F0">
            <w:pPr>
              <w:pStyle w:val="150"/>
              <w:adjustRightInd w:val="0"/>
              <w:spacing w:line="360" w:lineRule="auto"/>
              <w:rPr>
                <w:rFonts w:hint="eastAsia" w:hAnsi="宋体" w:cs="宋体"/>
                <w:bCs/>
                <w:color w:val="auto"/>
                <w:sz w:val="24"/>
                <w:highlight w:val="none"/>
              </w:rPr>
            </w:pPr>
            <w:r>
              <w:rPr>
                <w:rFonts w:hint="eastAsia" w:hAnsi="宋体" w:cs="宋体"/>
                <w:bCs/>
                <w:color w:val="auto"/>
                <w:sz w:val="24"/>
                <w:highlight w:val="none"/>
              </w:rPr>
              <w:t>正面：                                 反面：</w:t>
            </w:r>
          </w:p>
          <w:p w14:paraId="0986857D">
            <w:pPr>
              <w:pStyle w:val="150"/>
              <w:adjustRightInd w:val="0"/>
              <w:spacing w:line="360" w:lineRule="auto"/>
              <w:rPr>
                <w:rFonts w:hint="eastAsia" w:hAnsi="宋体" w:cs="宋体"/>
                <w:bCs/>
                <w:color w:val="auto"/>
                <w:sz w:val="24"/>
                <w:highlight w:val="none"/>
              </w:rPr>
            </w:pPr>
          </w:p>
        </w:tc>
      </w:tr>
    </w:tbl>
    <w:p w14:paraId="3FD9C953">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4C11EB">
      <w:pPr>
        <w:snapToGrid w:val="0"/>
        <w:spacing w:line="360" w:lineRule="auto"/>
        <w:ind w:firstLine="576"/>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CE2152A">
      <w:pPr>
        <w:spacing w:line="360"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17487B3">
      <w:pPr>
        <w:jc w:val="center"/>
        <w:rPr>
          <w:rFonts w:hint="eastAsia" w:ascii="宋体" w:hAnsi="宋体" w:cs="宋体"/>
          <w:b/>
          <w:color w:val="auto"/>
          <w:kern w:val="0"/>
          <w:sz w:val="32"/>
          <w:szCs w:val="32"/>
          <w:highlight w:val="none"/>
        </w:rPr>
      </w:pPr>
    </w:p>
    <w:p w14:paraId="76122CFD">
      <w:pPr>
        <w:jc w:val="center"/>
        <w:rPr>
          <w:rFonts w:hint="eastAsia" w:ascii="宋体" w:hAnsi="宋体" w:cs="宋体"/>
          <w:b/>
          <w:color w:val="auto"/>
          <w:kern w:val="0"/>
          <w:sz w:val="32"/>
          <w:szCs w:val="32"/>
          <w:highlight w:val="none"/>
        </w:rPr>
      </w:pPr>
    </w:p>
    <w:p w14:paraId="48731625">
      <w:pPr>
        <w:jc w:val="center"/>
        <w:rPr>
          <w:rFonts w:hint="eastAsia" w:ascii="宋体" w:hAnsi="宋体" w:cs="宋体"/>
          <w:b/>
          <w:color w:val="auto"/>
          <w:kern w:val="0"/>
          <w:sz w:val="32"/>
          <w:szCs w:val="32"/>
          <w:highlight w:val="none"/>
        </w:rPr>
      </w:pPr>
    </w:p>
    <w:p w14:paraId="2FC21954">
      <w:pPr>
        <w:jc w:val="center"/>
        <w:rPr>
          <w:rFonts w:hint="eastAsia" w:ascii="宋体" w:hAnsi="宋体" w:cs="宋体"/>
          <w:b/>
          <w:color w:val="auto"/>
          <w:kern w:val="0"/>
          <w:sz w:val="32"/>
          <w:szCs w:val="32"/>
          <w:highlight w:val="none"/>
        </w:rPr>
      </w:pPr>
    </w:p>
    <w:p w14:paraId="34BB919D">
      <w:pPr>
        <w:jc w:val="center"/>
        <w:rPr>
          <w:rFonts w:hint="eastAsia" w:ascii="宋体" w:hAnsi="宋体" w:cs="宋体"/>
          <w:b/>
          <w:color w:val="auto"/>
          <w:kern w:val="0"/>
          <w:sz w:val="32"/>
          <w:szCs w:val="32"/>
          <w:highlight w:val="none"/>
        </w:rPr>
      </w:pPr>
    </w:p>
    <w:p w14:paraId="3BDA6883">
      <w:pPr>
        <w:jc w:val="center"/>
        <w:rPr>
          <w:rFonts w:hint="eastAsia" w:ascii="宋体" w:hAnsi="宋体" w:cs="宋体"/>
          <w:b/>
          <w:color w:val="auto"/>
          <w:kern w:val="0"/>
          <w:sz w:val="32"/>
          <w:szCs w:val="32"/>
          <w:highlight w:val="none"/>
        </w:rPr>
      </w:pPr>
    </w:p>
    <w:p w14:paraId="620E97FB">
      <w:pPr>
        <w:jc w:val="center"/>
        <w:rPr>
          <w:rFonts w:hint="eastAsia" w:ascii="宋体" w:hAnsi="宋体" w:cs="宋体"/>
          <w:b/>
          <w:color w:val="auto"/>
          <w:kern w:val="0"/>
          <w:sz w:val="32"/>
          <w:szCs w:val="32"/>
          <w:highlight w:val="none"/>
        </w:rPr>
      </w:pPr>
    </w:p>
    <w:p w14:paraId="1510934A">
      <w:pPr>
        <w:jc w:val="center"/>
        <w:rPr>
          <w:rFonts w:hint="eastAsia" w:ascii="宋体" w:hAnsi="宋体" w:cs="宋体"/>
          <w:b/>
          <w:color w:val="auto"/>
          <w:kern w:val="0"/>
          <w:sz w:val="32"/>
          <w:szCs w:val="32"/>
          <w:highlight w:val="none"/>
        </w:rPr>
      </w:pPr>
    </w:p>
    <w:p w14:paraId="6BBF6A2C">
      <w:pPr>
        <w:jc w:val="center"/>
        <w:rPr>
          <w:rFonts w:hint="eastAsia" w:ascii="宋体" w:hAnsi="宋体" w:cs="宋体"/>
          <w:b/>
          <w:color w:val="auto"/>
          <w:kern w:val="0"/>
          <w:sz w:val="32"/>
          <w:szCs w:val="32"/>
          <w:highlight w:val="none"/>
        </w:rPr>
      </w:pPr>
    </w:p>
    <w:p w14:paraId="3973FD73">
      <w:pPr>
        <w:jc w:val="center"/>
        <w:rPr>
          <w:rFonts w:hint="eastAsia" w:ascii="宋体" w:hAnsi="宋体" w:cs="宋体"/>
          <w:b/>
          <w:color w:val="auto"/>
          <w:kern w:val="0"/>
          <w:sz w:val="32"/>
          <w:szCs w:val="32"/>
          <w:highlight w:val="none"/>
        </w:rPr>
      </w:pPr>
    </w:p>
    <w:p w14:paraId="4814EB4C">
      <w:pPr>
        <w:snapToGrid w:val="0"/>
        <w:spacing w:line="360" w:lineRule="auto"/>
        <w:ind w:right="480"/>
        <w:rPr>
          <w:rFonts w:hint="eastAsia"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32F9B016">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3FF0C9EA">
      <w:pPr>
        <w:widowControl/>
        <w:spacing w:line="360" w:lineRule="auto"/>
        <w:ind w:firstLine="120" w:firstLineChars="50"/>
        <w:jc w:val="left"/>
        <w:rPr>
          <w:rFonts w:hint="eastAsia" w:ascii="宋体" w:hAnsi="宋体" w:cs="宋体"/>
          <w:color w:val="auto"/>
          <w:sz w:val="24"/>
          <w:highlight w:val="none"/>
        </w:rPr>
      </w:pPr>
      <w:bookmarkStart w:id="556" w:name="_Hlk101169080"/>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中标后以分包方式履行合同的，提供分包意向协议（附件6）；采购人不同意分包或者供应商中标后不以分包方式履行合同的，则不需要提供。</w:t>
      </w:r>
      <w:r>
        <w:rPr>
          <w:rFonts w:hint="eastAsia" w:ascii="宋体" w:hAnsi="宋体" w:cs="宋体"/>
          <w:color w:val="auto"/>
          <w:sz w:val="24"/>
          <w:highlight w:val="none"/>
        </w:rPr>
        <w:t>]</w:t>
      </w:r>
    </w:p>
    <w:bookmarkEnd w:id="556"/>
    <w:p w14:paraId="12B839FF">
      <w:pPr>
        <w:snapToGrid w:val="0"/>
        <w:spacing w:line="360" w:lineRule="auto"/>
        <w:rPr>
          <w:rFonts w:hint="eastAsia" w:ascii="宋体" w:hAnsi="宋体" w:cs="宋体"/>
          <w:color w:val="auto"/>
          <w:kern w:val="0"/>
          <w:sz w:val="24"/>
          <w:highlight w:val="none"/>
        </w:rPr>
      </w:pPr>
    </w:p>
    <w:p w14:paraId="1EFD0584">
      <w:pPr>
        <w:jc w:val="center"/>
        <w:rPr>
          <w:rFonts w:hint="eastAsia" w:ascii="宋体" w:hAnsi="宋体" w:cs="宋体"/>
          <w:b/>
          <w:color w:val="auto"/>
          <w:kern w:val="0"/>
          <w:sz w:val="32"/>
          <w:szCs w:val="32"/>
          <w:highlight w:val="none"/>
        </w:rPr>
      </w:pPr>
    </w:p>
    <w:p w14:paraId="486105BA">
      <w:pPr>
        <w:tabs>
          <w:tab w:val="left" w:pos="432"/>
        </w:tabs>
        <w:rPr>
          <w:color w:val="auto"/>
          <w:highlight w:val="none"/>
        </w:rPr>
      </w:pPr>
    </w:p>
    <w:p w14:paraId="1E12CABE">
      <w:pPr>
        <w:rPr>
          <w:color w:val="auto"/>
          <w:highlight w:val="none"/>
        </w:rPr>
      </w:pPr>
    </w:p>
    <w:p w14:paraId="087E28E3">
      <w:pPr>
        <w:tabs>
          <w:tab w:val="left" w:pos="432"/>
        </w:tabs>
        <w:rPr>
          <w:color w:val="auto"/>
          <w:highlight w:val="none"/>
        </w:rPr>
      </w:pPr>
    </w:p>
    <w:p w14:paraId="02A3708E">
      <w:pPr>
        <w:jc w:val="center"/>
        <w:rPr>
          <w:rFonts w:hint="eastAsia" w:ascii="宋体" w:hAnsi="宋体" w:cs="宋体"/>
          <w:b/>
          <w:color w:val="auto"/>
          <w:kern w:val="0"/>
          <w:sz w:val="32"/>
          <w:szCs w:val="32"/>
          <w:highlight w:val="none"/>
        </w:rPr>
      </w:pPr>
    </w:p>
    <w:p w14:paraId="46A59EB8">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7F4BFFEE">
      <w:pPr>
        <w:jc w:val="center"/>
        <w:rPr>
          <w:rFonts w:hint="eastAsia"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441"/>
        <w:gridCol w:w="3101"/>
        <w:gridCol w:w="1418"/>
      </w:tblGrid>
      <w:tr w14:paraId="0AD0B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DA5400F">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序号</w:t>
            </w:r>
          </w:p>
        </w:tc>
        <w:tc>
          <w:tcPr>
            <w:tcW w:w="4441" w:type="dxa"/>
            <w:vAlign w:val="center"/>
          </w:tcPr>
          <w:p w14:paraId="2F296721">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实质性要求</w:t>
            </w:r>
          </w:p>
        </w:tc>
        <w:tc>
          <w:tcPr>
            <w:tcW w:w="3101" w:type="dxa"/>
            <w:vAlign w:val="center"/>
          </w:tcPr>
          <w:p w14:paraId="0A6D60C0">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1D793A8">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投标文件中的</w:t>
            </w:r>
          </w:p>
          <w:p w14:paraId="6106B68B">
            <w:pPr>
              <w:snapToGrid w:val="0"/>
              <w:spacing w:line="240" w:lineRule="atLeast"/>
              <w:jc w:val="center"/>
              <w:rPr>
                <w:rFonts w:hint="eastAsia" w:ascii="宋体" w:hAnsi="宋体" w:cs="宋体"/>
                <w:b/>
                <w:color w:val="auto"/>
                <w:sz w:val="24"/>
                <w:highlight w:val="none"/>
              </w:rPr>
            </w:pPr>
            <w:r>
              <w:rPr>
                <w:rFonts w:hint="eastAsia" w:ascii="宋体" w:hAnsi="宋体" w:cs="宋体"/>
                <w:b/>
                <w:color w:val="auto"/>
                <w:sz w:val="24"/>
                <w:highlight w:val="none"/>
              </w:rPr>
              <w:t>页码位置</w:t>
            </w:r>
          </w:p>
        </w:tc>
      </w:tr>
      <w:tr w14:paraId="091EA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8BE049C">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4441" w:type="dxa"/>
            <w:vAlign w:val="center"/>
          </w:tcPr>
          <w:p w14:paraId="715E9F5A">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3101" w:type="dxa"/>
            <w:vAlign w:val="center"/>
          </w:tcPr>
          <w:p w14:paraId="4AAA0D66">
            <w:pPr>
              <w:rPr>
                <w:rFonts w:hint="eastAsia"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center"/>
          </w:tcPr>
          <w:p w14:paraId="2848F52B">
            <w:pPr>
              <w:rPr>
                <w:rFonts w:hint="eastAsia" w:ascii="宋体" w:hAnsi="宋体" w:cs="宋体"/>
                <w:color w:val="auto"/>
                <w:sz w:val="24"/>
                <w:highlight w:val="none"/>
              </w:rPr>
            </w:pPr>
            <w:r>
              <w:rPr>
                <w:rFonts w:hint="eastAsia" w:ascii="宋体" w:hAnsi="宋体" w:cs="宋体"/>
                <w:color w:val="auto"/>
                <w:sz w:val="24"/>
                <w:highlight w:val="none"/>
              </w:rPr>
              <w:t>见投标文件</w:t>
            </w:r>
          </w:p>
          <w:p w14:paraId="585902CE">
            <w:pPr>
              <w:rPr>
                <w:rFonts w:hint="eastAsia"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06C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5948087">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4441" w:type="dxa"/>
            <w:vAlign w:val="center"/>
          </w:tcPr>
          <w:p w14:paraId="7B8D066B">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3101" w:type="dxa"/>
            <w:vAlign w:val="center"/>
          </w:tcPr>
          <w:p w14:paraId="22DD3814">
            <w:pPr>
              <w:rPr>
                <w:rFonts w:hint="eastAsia" w:ascii="宋体" w:hAnsi="宋体" w:cs="宋体"/>
                <w:color w:val="auto"/>
                <w:sz w:val="24"/>
                <w:highlight w:val="none"/>
              </w:rPr>
            </w:pPr>
            <w:r>
              <w:rPr>
                <w:rFonts w:hint="eastAsia" w:ascii="宋体" w:hAnsi="宋体" w:cs="宋体"/>
                <w:color w:val="auto"/>
                <w:sz w:val="24"/>
                <w:highlight w:val="none"/>
              </w:rPr>
              <w:t>投标函</w:t>
            </w:r>
          </w:p>
        </w:tc>
        <w:tc>
          <w:tcPr>
            <w:tcW w:w="1418" w:type="dxa"/>
            <w:vAlign w:val="center"/>
          </w:tcPr>
          <w:p w14:paraId="4C52695B">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261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4F2731">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4441" w:type="dxa"/>
            <w:vAlign w:val="center"/>
          </w:tcPr>
          <w:p w14:paraId="18D48F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投标文件满足招标文件的其他实质性要求。</w:t>
            </w:r>
          </w:p>
        </w:tc>
        <w:tc>
          <w:tcPr>
            <w:tcW w:w="3101" w:type="dxa"/>
            <w:vAlign w:val="center"/>
          </w:tcPr>
          <w:p w14:paraId="1BEA1F16">
            <w:pPr>
              <w:rPr>
                <w:rFonts w:hint="eastAsia" w:ascii="宋体" w:hAnsi="宋体" w:cs="宋体"/>
                <w:color w:val="auto"/>
                <w:sz w:val="24"/>
                <w:highlight w:val="none"/>
              </w:rPr>
            </w:pPr>
            <w:r>
              <w:rPr>
                <w:rFonts w:hint="eastAsia" w:ascii="宋体" w:hAnsi="宋体" w:cs="宋体"/>
                <w:color w:val="auto"/>
                <w:kern w:val="0"/>
                <w:sz w:val="24"/>
                <w:highlight w:val="none"/>
              </w:rPr>
              <w:t>招标文件其他实质性要求相应的材料（“▲” 系指实质性要求条款，招标文件无其他实质性要求的，无需提供）</w:t>
            </w:r>
          </w:p>
        </w:tc>
        <w:tc>
          <w:tcPr>
            <w:tcW w:w="1418" w:type="dxa"/>
            <w:vAlign w:val="center"/>
          </w:tcPr>
          <w:p w14:paraId="1551BBC9">
            <w:pPr>
              <w:rPr>
                <w:rFonts w:hint="eastAsia"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64FFEEA7">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3B100C93">
      <w:pPr>
        <w:jc w:val="center"/>
        <w:rPr>
          <w:rFonts w:hint="eastAsia" w:ascii="宋体" w:hAnsi="宋体" w:cs="宋体"/>
          <w:b/>
          <w:color w:val="auto"/>
          <w:kern w:val="0"/>
          <w:sz w:val="32"/>
          <w:szCs w:val="32"/>
          <w:highlight w:val="none"/>
        </w:rPr>
      </w:pPr>
    </w:p>
    <w:p w14:paraId="38431723">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42FEAB3B">
      <w:pPr>
        <w:jc w:val="center"/>
        <w:rPr>
          <w:rFonts w:hint="eastAsia" w:ascii="宋体" w:hAnsi="宋体" w:cs="宋体"/>
          <w:b/>
          <w:color w:val="auto"/>
          <w:kern w:val="0"/>
          <w:sz w:val="32"/>
          <w:szCs w:val="32"/>
          <w:highlight w:val="none"/>
        </w:rPr>
      </w:pPr>
    </w:p>
    <w:p w14:paraId="3A92D8E2">
      <w:pPr>
        <w:jc w:val="center"/>
        <w:rPr>
          <w:rFonts w:hint="eastAsia" w:ascii="宋体" w:hAnsi="宋体" w:cs="宋体"/>
          <w:b/>
          <w:color w:val="auto"/>
          <w:kern w:val="0"/>
          <w:sz w:val="32"/>
          <w:szCs w:val="32"/>
          <w:highlight w:val="none"/>
        </w:rPr>
      </w:pPr>
    </w:p>
    <w:p w14:paraId="59606766">
      <w:pPr>
        <w:jc w:val="center"/>
        <w:rPr>
          <w:rFonts w:hint="eastAsia" w:ascii="宋体" w:hAnsi="宋体" w:cs="宋体"/>
          <w:b/>
          <w:color w:val="auto"/>
          <w:kern w:val="0"/>
          <w:sz w:val="32"/>
          <w:szCs w:val="32"/>
          <w:highlight w:val="none"/>
        </w:rPr>
      </w:pPr>
    </w:p>
    <w:p w14:paraId="04918E00">
      <w:pPr>
        <w:jc w:val="center"/>
        <w:rPr>
          <w:rFonts w:hint="eastAsia" w:ascii="宋体" w:hAnsi="宋体" w:cs="宋体"/>
          <w:b/>
          <w:color w:val="auto"/>
          <w:kern w:val="0"/>
          <w:sz w:val="32"/>
          <w:szCs w:val="32"/>
          <w:highlight w:val="none"/>
        </w:rPr>
      </w:pPr>
    </w:p>
    <w:p w14:paraId="7FA97E88">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DB357CC">
      <w:pPr>
        <w:jc w:val="center"/>
        <w:rPr>
          <w:rFonts w:hint="eastAsia"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DDC7D7D">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68DFA921">
      <w:pPr>
        <w:jc w:val="center"/>
        <w:rPr>
          <w:rFonts w:hint="eastAsia" w:ascii="宋体" w:hAnsi="宋体" w:cs="宋体"/>
          <w:b/>
          <w:color w:val="auto"/>
          <w:kern w:val="0"/>
          <w:sz w:val="32"/>
          <w:szCs w:val="32"/>
          <w:highlight w:val="none"/>
        </w:rPr>
      </w:pPr>
    </w:p>
    <w:p w14:paraId="7BF24B62">
      <w:pPr>
        <w:jc w:val="center"/>
        <w:rPr>
          <w:rFonts w:hint="eastAsia" w:ascii="宋体" w:hAnsi="宋体" w:cs="宋体"/>
          <w:b/>
          <w:color w:val="auto"/>
          <w:kern w:val="0"/>
          <w:sz w:val="32"/>
          <w:szCs w:val="32"/>
          <w:highlight w:val="none"/>
        </w:rPr>
      </w:pPr>
    </w:p>
    <w:p w14:paraId="71060946">
      <w:pPr>
        <w:jc w:val="center"/>
        <w:rPr>
          <w:rFonts w:hint="eastAsia" w:ascii="宋体" w:hAnsi="宋体" w:cs="宋体"/>
          <w:b/>
          <w:color w:val="auto"/>
          <w:kern w:val="0"/>
          <w:sz w:val="32"/>
          <w:szCs w:val="32"/>
          <w:highlight w:val="none"/>
        </w:rPr>
      </w:pPr>
    </w:p>
    <w:p w14:paraId="6E33DE61">
      <w:pPr>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六、商务技术偏离表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105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493C8A">
            <w:pPr>
              <w:jc w:val="center"/>
              <w:rPr>
                <w:rFonts w:hint="eastAsia"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55A309D">
            <w:pPr>
              <w:jc w:val="center"/>
              <w:rPr>
                <w:rFonts w:hint="eastAsia"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tcPr>
          <w:p w14:paraId="07152119">
            <w:pPr>
              <w:jc w:val="center"/>
              <w:rPr>
                <w:rFonts w:hint="eastAsia"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tcPr>
          <w:p w14:paraId="3C298CDC">
            <w:pPr>
              <w:jc w:val="center"/>
              <w:rPr>
                <w:rFonts w:hint="eastAsia" w:ascii="宋体" w:hAnsi="宋体" w:cs="宋体"/>
                <w:b/>
                <w:bCs/>
                <w:color w:val="auto"/>
                <w:sz w:val="24"/>
                <w:highlight w:val="none"/>
              </w:rPr>
            </w:pPr>
            <w:r>
              <w:rPr>
                <w:rFonts w:hint="eastAsia" w:ascii="宋体" w:hAnsi="宋体" w:cs="宋体"/>
                <w:b/>
                <w:bCs/>
                <w:color w:val="auto"/>
                <w:sz w:val="24"/>
                <w:highlight w:val="none"/>
              </w:rPr>
              <w:t>偏离说明</w:t>
            </w:r>
          </w:p>
        </w:tc>
      </w:tr>
      <w:tr w14:paraId="5E5E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4614D9C">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2B9CD2AD">
            <w:pPr>
              <w:jc w:val="center"/>
              <w:rPr>
                <w:rFonts w:hint="eastAsia" w:ascii="宋体" w:hAnsi="宋体" w:cs="宋体"/>
                <w:b/>
                <w:color w:val="auto"/>
                <w:kern w:val="0"/>
                <w:sz w:val="32"/>
                <w:szCs w:val="32"/>
                <w:highlight w:val="none"/>
              </w:rPr>
            </w:pPr>
          </w:p>
        </w:tc>
        <w:tc>
          <w:tcPr>
            <w:tcW w:w="3546" w:type="dxa"/>
          </w:tcPr>
          <w:p w14:paraId="515D3D95">
            <w:pPr>
              <w:jc w:val="center"/>
              <w:rPr>
                <w:rFonts w:hint="eastAsia" w:ascii="宋体" w:hAnsi="宋体" w:cs="宋体"/>
                <w:b/>
                <w:color w:val="auto"/>
                <w:kern w:val="0"/>
                <w:sz w:val="32"/>
                <w:szCs w:val="32"/>
                <w:highlight w:val="none"/>
              </w:rPr>
            </w:pPr>
          </w:p>
        </w:tc>
        <w:tc>
          <w:tcPr>
            <w:tcW w:w="1276" w:type="dxa"/>
          </w:tcPr>
          <w:p w14:paraId="228336B3">
            <w:pPr>
              <w:jc w:val="center"/>
              <w:rPr>
                <w:rFonts w:hint="eastAsia" w:ascii="宋体" w:hAnsi="宋体" w:cs="宋体"/>
                <w:b/>
                <w:color w:val="auto"/>
                <w:kern w:val="0"/>
                <w:sz w:val="32"/>
                <w:szCs w:val="32"/>
                <w:highlight w:val="none"/>
              </w:rPr>
            </w:pPr>
          </w:p>
        </w:tc>
      </w:tr>
      <w:tr w14:paraId="5EDF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D1502CB">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43D0801D">
            <w:pPr>
              <w:jc w:val="center"/>
              <w:rPr>
                <w:rFonts w:hint="eastAsia" w:ascii="宋体" w:hAnsi="宋体" w:cs="宋体"/>
                <w:b/>
                <w:color w:val="auto"/>
                <w:kern w:val="0"/>
                <w:sz w:val="32"/>
                <w:szCs w:val="32"/>
                <w:highlight w:val="none"/>
              </w:rPr>
            </w:pPr>
          </w:p>
        </w:tc>
        <w:tc>
          <w:tcPr>
            <w:tcW w:w="3546" w:type="dxa"/>
          </w:tcPr>
          <w:p w14:paraId="2B867AF3">
            <w:pPr>
              <w:jc w:val="center"/>
              <w:rPr>
                <w:rFonts w:hint="eastAsia" w:ascii="宋体" w:hAnsi="宋体" w:cs="宋体"/>
                <w:b/>
                <w:color w:val="auto"/>
                <w:kern w:val="0"/>
                <w:sz w:val="32"/>
                <w:szCs w:val="32"/>
                <w:highlight w:val="none"/>
              </w:rPr>
            </w:pPr>
          </w:p>
        </w:tc>
        <w:tc>
          <w:tcPr>
            <w:tcW w:w="1276" w:type="dxa"/>
          </w:tcPr>
          <w:p w14:paraId="48BFAE7D">
            <w:pPr>
              <w:jc w:val="center"/>
              <w:rPr>
                <w:rFonts w:hint="eastAsia" w:ascii="宋体" w:hAnsi="宋体" w:cs="宋体"/>
                <w:b/>
                <w:color w:val="auto"/>
                <w:kern w:val="0"/>
                <w:sz w:val="32"/>
                <w:szCs w:val="32"/>
                <w:highlight w:val="none"/>
              </w:rPr>
            </w:pPr>
          </w:p>
        </w:tc>
      </w:tr>
      <w:tr w14:paraId="730C8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2D71BF0">
            <w:pPr>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62192B59">
            <w:pPr>
              <w:jc w:val="center"/>
              <w:rPr>
                <w:rFonts w:hint="eastAsia" w:ascii="宋体" w:hAnsi="宋体" w:cs="宋体"/>
                <w:b/>
                <w:color w:val="auto"/>
                <w:kern w:val="0"/>
                <w:sz w:val="32"/>
                <w:szCs w:val="32"/>
                <w:highlight w:val="none"/>
              </w:rPr>
            </w:pPr>
          </w:p>
        </w:tc>
        <w:tc>
          <w:tcPr>
            <w:tcW w:w="3546" w:type="dxa"/>
          </w:tcPr>
          <w:p w14:paraId="1B73F681">
            <w:pPr>
              <w:jc w:val="center"/>
              <w:rPr>
                <w:rFonts w:hint="eastAsia" w:ascii="宋体" w:hAnsi="宋体" w:cs="宋体"/>
                <w:b/>
                <w:color w:val="auto"/>
                <w:kern w:val="0"/>
                <w:sz w:val="32"/>
                <w:szCs w:val="32"/>
                <w:highlight w:val="none"/>
              </w:rPr>
            </w:pPr>
          </w:p>
        </w:tc>
        <w:tc>
          <w:tcPr>
            <w:tcW w:w="1276" w:type="dxa"/>
          </w:tcPr>
          <w:p w14:paraId="01E0B638">
            <w:pPr>
              <w:jc w:val="center"/>
              <w:rPr>
                <w:rFonts w:hint="eastAsia" w:ascii="宋体" w:hAnsi="宋体" w:cs="宋体"/>
                <w:b/>
                <w:color w:val="auto"/>
                <w:kern w:val="0"/>
                <w:sz w:val="32"/>
                <w:szCs w:val="32"/>
                <w:highlight w:val="none"/>
              </w:rPr>
            </w:pPr>
          </w:p>
        </w:tc>
      </w:tr>
    </w:tbl>
    <w:p w14:paraId="3A2098F2">
      <w:pPr>
        <w:jc w:val="left"/>
        <w:rPr>
          <w:rFonts w:hint="eastAsia"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供应商保证：除商务技术偏离表列出的偏离外，供应商响应招标文件的全部要求</w:t>
      </w:r>
    </w:p>
    <w:p w14:paraId="1BACA666">
      <w:pPr>
        <w:jc w:val="center"/>
        <w:rPr>
          <w:rFonts w:hint="eastAsia" w:ascii="宋体" w:hAnsi="宋体" w:cs="宋体"/>
          <w:b/>
          <w:color w:val="auto"/>
          <w:kern w:val="0"/>
          <w:sz w:val="32"/>
          <w:szCs w:val="32"/>
          <w:highlight w:val="none"/>
        </w:rPr>
      </w:pPr>
    </w:p>
    <w:p w14:paraId="180F397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BBA474B">
      <w:pPr>
        <w:ind w:firstLine="1911" w:firstLineChars="595"/>
        <w:rPr>
          <w:rFonts w:hint="eastAsia" w:ascii="宋体" w:hAnsi="宋体" w:cs="宋体"/>
          <w:b/>
          <w:bCs/>
          <w:color w:val="auto"/>
          <w:sz w:val="32"/>
          <w:szCs w:val="32"/>
          <w:highlight w:val="none"/>
        </w:rPr>
      </w:pPr>
    </w:p>
    <w:p w14:paraId="6B9B83C3">
      <w:pPr>
        <w:ind w:firstLine="1911" w:firstLineChars="595"/>
        <w:rPr>
          <w:rFonts w:hint="eastAsia" w:ascii="宋体" w:hAnsi="宋体" w:cs="宋体"/>
          <w:b/>
          <w:bCs/>
          <w:color w:val="auto"/>
          <w:sz w:val="32"/>
          <w:szCs w:val="32"/>
          <w:highlight w:val="none"/>
        </w:rPr>
      </w:pPr>
    </w:p>
    <w:p w14:paraId="11B89512">
      <w:pPr>
        <w:ind w:firstLine="1911" w:firstLineChars="595"/>
        <w:rPr>
          <w:rFonts w:hint="eastAsia" w:ascii="宋体" w:hAnsi="宋体" w:cs="宋体"/>
          <w:b/>
          <w:bCs/>
          <w:color w:val="auto"/>
          <w:sz w:val="32"/>
          <w:szCs w:val="32"/>
          <w:highlight w:val="none"/>
        </w:rPr>
      </w:pPr>
    </w:p>
    <w:p w14:paraId="655FA5FC">
      <w:pPr>
        <w:ind w:firstLine="1911" w:firstLineChars="595"/>
        <w:rPr>
          <w:rFonts w:hint="eastAsia" w:ascii="宋体" w:hAnsi="宋体" w:cs="宋体"/>
          <w:b/>
          <w:bCs/>
          <w:color w:val="auto"/>
          <w:sz w:val="32"/>
          <w:szCs w:val="32"/>
          <w:highlight w:val="none"/>
        </w:rPr>
      </w:pPr>
    </w:p>
    <w:p w14:paraId="0A70718B">
      <w:pPr>
        <w:ind w:firstLine="1911" w:firstLineChars="595"/>
        <w:rPr>
          <w:rFonts w:hint="eastAsia" w:ascii="宋体" w:hAnsi="宋体" w:cs="宋体"/>
          <w:b/>
          <w:bCs/>
          <w:color w:val="auto"/>
          <w:sz w:val="32"/>
          <w:szCs w:val="32"/>
          <w:highlight w:val="none"/>
        </w:rPr>
      </w:pPr>
    </w:p>
    <w:p w14:paraId="3A81406B">
      <w:pPr>
        <w:widowControl/>
        <w:adjustRightInd/>
        <w:jc w:val="left"/>
        <w:rPr>
          <w:rFonts w:hint="eastAsia" w:ascii="宋体" w:hAnsi="宋体" w:cs="宋体"/>
          <w:b/>
          <w:bCs/>
          <w:color w:val="auto"/>
          <w:sz w:val="32"/>
          <w:szCs w:val="32"/>
          <w:highlight w:val="none"/>
        </w:rPr>
      </w:pPr>
      <w:r>
        <w:rPr>
          <w:rFonts w:ascii="宋体" w:hAnsi="宋体" w:cs="宋体"/>
          <w:b/>
          <w:bCs/>
          <w:color w:val="auto"/>
          <w:sz w:val="32"/>
          <w:szCs w:val="32"/>
          <w:highlight w:val="none"/>
        </w:rPr>
        <w:br w:type="page"/>
      </w:r>
    </w:p>
    <w:p w14:paraId="70F1BD5C">
      <w:pPr>
        <w:ind w:firstLine="1911" w:firstLineChars="595"/>
        <w:rPr>
          <w:rFonts w:hint="eastAsia"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E9C0307">
      <w:pPr>
        <w:snapToGrid w:val="0"/>
        <w:spacing w:line="360" w:lineRule="auto"/>
        <w:rPr>
          <w:rFonts w:hint="eastAsia" w:ascii="宋体" w:hAnsi="宋体" w:cs="宋体"/>
          <w:color w:val="auto"/>
          <w:sz w:val="24"/>
          <w:highlight w:val="none"/>
        </w:rPr>
      </w:pPr>
    </w:p>
    <w:p w14:paraId="3A14591D">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1AE3B4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2B017693">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353633AE">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3E25E0D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5D1AC557">
      <w:pPr>
        <w:autoSpaceDE w:val="0"/>
        <w:autoSpaceDN w:val="0"/>
        <w:spacing w:line="360" w:lineRule="auto"/>
        <w:ind w:left="2" w:leftChars="1"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2B133F56">
      <w:pPr>
        <w:autoSpaceDE w:val="0"/>
        <w:autoSpaceDN w:val="0"/>
        <w:spacing w:line="360" w:lineRule="auto"/>
        <w:ind w:left="481" w:leftChars="229"/>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2BFB8FF1">
      <w:pPr>
        <w:autoSpaceDE w:val="0"/>
        <w:autoSpaceDN w:val="0"/>
        <w:spacing w:line="360" w:lineRule="auto"/>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0C36627B">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70890DA3">
      <w:pPr>
        <w:autoSpaceDE w:val="0"/>
        <w:autoSpaceDN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EDB39EA">
      <w:pPr>
        <w:autoSpaceDE w:val="0"/>
        <w:autoSpaceDN w:val="0"/>
        <w:spacing w:line="360" w:lineRule="auto"/>
        <w:ind w:left="2"/>
        <w:jc w:val="left"/>
        <w:rPr>
          <w:rFonts w:hint="eastAsia" w:ascii="宋体" w:hAnsi="宋体" w:cs="宋体"/>
          <w:color w:val="auto"/>
          <w:kern w:val="0"/>
          <w:sz w:val="24"/>
          <w:highlight w:val="none"/>
          <w:lang w:val="zh-CN"/>
        </w:rPr>
      </w:pPr>
    </w:p>
    <w:p w14:paraId="061477AE">
      <w:pPr>
        <w:autoSpaceDE w:val="0"/>
        <w:autoSpaceDN w:val="0"/>
        <w:spacing w:line="360" w:lineRule="auto"/>
        <w:ind w:left="2"/>
        <w:jc w:val="left"/>
        <w:rPr>
          <w:rFonts w:hint="eastAsia" w:ascii="宋体" w:hAnsi="宋体" w:cs="宋体"/>
          <w:color w:val="auto"/>
          <w:kern w:val="0"/>
          <w:sz w:val="24"/>
          <w:highlight w:val="none"/>
          <w:lang w:val="zh-CN"/>
        </w:rPr>
      </w:pPr>
    </w:p>
    <w:p w14:paraId="5FB11AC7">
      <w:pPr>
        <w:autoSpaceDE w:val="0"/>
        <w:autoSpaceDN w:val="0"/>
        <w:spacing w:line="360" w:lineRule="auto"/>
        <w:ind w:left="2"/>
        <w:jc w:val="left"/>
        <w:rPr>
          <w:rFonts w:hint="eastAsia" w:ascii="宋体" w:hAnsi="宋体" w:cs="宋体"/>
          <w:color w:val="auto"/>
          <w:kern w:val="0"/>
          <w:sz w:val="24"/>
          <w:highlight w:val="none"/>
          <w:lang w:val="zh-CN"/>
        </w:rPr>
      </w:pPr>
    </w:p>
    <w:p w14:paraId="2DA0F49C">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31C1117">
      <w:pPr>
        <w:spacing w:line="360" w:lineRule="auto"/>
        <w:ind w:left="4620" w:leftChars="2200"/>
        <w:rPr>
          <w:rFonts w:hint="eastAsia"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6EB9A6C1">
      <w:pPr>
        <w:spacing w:line="360" w:lineRule="auto"/>
        <w:jc w:val="center"/>
        <w:rPr>
          <w:rFonts w:hint="eastAsia" w:ascii="宋体" w:hAnsi="宋体" w:cs="宋体"/>
          <w:b/>
          <w:bCs/>
          <w:color w:val="auto"/>
          <w:sz w:val="24"/>
          <w:highlight w:val="none"/>
        </w:rPr>
      </w:pPr>
    </w:p>
    <w:p w14:paraId="62358D0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2A255B86">
      <w:pPr>
        <w:spacing w:line="360" w:lineRule="auto"/>
        <w:jc w:val="center"/>
        <w:rPr>
          <w:rFonts w:hint="eastAsia"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172AFED9">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74EBC20">
      <w:pPr>
        <w:spacing w:line="360" w:lineRule="auto"/>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72225B3D">
      <w:pPr>
        <w:spacing w:line="360" w:lineRule="auto"/>
        <w:jc w:val="center"/>
        <w:rPr>
          <w:rFonts w:hint="eastAsia" w:ascii="宋体" w:hAnsi="宋体" w:cs="宋体"/>
          <w:b/>
          <w:color w:val="auto"/>
          <w:kern w:val="0"/>
          <w:sz w:val="36"/>
          <w:szCs w:val="36"/>
          <w:highlight w:val="none"/>
        </w:rPr>
      </w:pPr>
    </w:p>
    <w:p w14:paraId="1BED1A21">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（1）开标一览表（报价表）、投标分项报价表…………………………………（页码）</w:t>
      </w:r>
    </w:p>
    <w:p w14:paraId="7D5F7162">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（2）中小企业声明函………………………………………………………………（页码）</w:t>
      </w:r>
    </w:p>
    <w:p w14:paraId="4E637AE6">
      <w:pPr>
        <w:snapToGrid w:val="0"/>
        <w:spacing w:line="360" w:lineRule="auto"/>
        <w:ind w:right="480"/>
        <w:jc w:val="center"/>
        <w:rPr>
          <w:rFonts w:hint="eastAsia" w:ascii="宋体" w:hAnsi="宋体" w:cs="宋体"/>
          <w:b/>
          <w:color w:val="auto"/>
          <w:kern w:val="0"/>
          <w:sz w:val="32"/>
          <w:szCs w:val="32"/>
          <w:highlight w:val="none"/>
        </w:rPr>
      </w:pPr>
    </w:p>
    <w:p w14:paraId="751B77F0">
      <w:pPr>
        <w:snapToGrid w:val="0"/>
        <w:spacing w:line="360" w:lineRule="auto"/>
        <w:ind w:right="480"/>
        <w:jc w:val="center"/>
        <w:rPr>
          <w:rFonts w:hint="eastAsia" w:ascii="宋体" w:hAnsi="宋体" w:cs="宋体"/>
          <w:b/>
          <w:color w:val="auto"/>
          <w:kern w:val="0"/>
          <w:sz w:val="32"/>
          <w:szCs w:val="32"/>
          <w:highlight w:val="none"/>
        </w:rPr>
      </w:pPr>
    </w:p>
    <w:p w14:paraId="5516467E">
      <w:pPr>
        <w:snapToGrid w:val="0"/>
        <w:spacing w:line="360" w:lineRule="auto"/>
        <w:ind w:right="480"/>
        <w:jc w:val="center"/>
        <w:rPr>
          <w:rFonts w:hint="eastAsia" w:ascii="宋体" w:hAnsi="宋体" w:cs="宋体"/>
          <w:b/>
          <w:color w:val="auto"/>
          <w:kern w:val="0"/>
          <w:sz w:val="32"/>
          <w:szCs w:val="32"/>
          <w:highlight w:val="none"/>
        </w:rPr>
      </w:pPr>
    </w:p>
    <w:p w14:paraId="77D730E0">
      <w:pPr>
        <w:snapToGrid w:val="0"/>
        <w:spacing w:line="360" w:lineRule="auto"/>
        <w:ind w:right="480"/>
        <w:jc w:val="center"/>
        <w:rPr>
          <w:rFonts w:hint="eastAsia" w:ascii="宋体" w:hAnsi="宋体" w:cs="宋体"/>
          <w:b/>
          <w:color w:val="auto"/>
          <w:kern w:val="0"/>
          <w:sz w:val="32"/>
          <w:szCs w:val="32"/>
          <w:highlight w:val="none"/>
        </w:rPr>
      </w:pPr>
    </w:p>
    <w:p w14:paraId="00BB98FD">
      <w:pPr>
        <w:snapToGrid w:val="0"/>
        <w:spacing w:line="360" w:lineRule="auto"/>
        <w:ind w:right="480"/>
        <w:jc w:val="center"/>
        <w:rPr>
          <w:rFonts w:hint="eastAsia" w:ascii="宋体" w:hAnsi="宋体" w:cs="宋体"/>
          <w:b/>
          <w:color w:val="auto"/>
          <w:kern w:val="0"/>
          <w:sz w:val="32"/>
          <w:szCs w:val="32"/>
          <w:highlight w:val="none"/>
        </w:rPr>
      </w:pPr>
    </w:p>
    <w:p w14:paraId="56037C4D">
      <w:pPr>
        <w:snapToGrid w:val="0"/>
        <w:spacing w:line="360" w:lineRule="auto"/>
        <w:ind w:right="480"/>
        <w:jc w:val="center"/>
        <w:rPr>
          <w:rFonts w:hint="eastAsia" w:ascii="宋体" w:hAnsi="宋体" w:cs="宋体"/>
          <w:b/>
          <w:color w:val="auto"/>
          <w:kern w:val="0"/>
          <w:sz w:val="32"/>
          <w:szCs w:val="32"/>
          <w:highlight w:val="none"/>
        </w:rPr>
      </w:pPr>
    </w:p>
    <w:p w14:paraId="7E20D624">
      <w:pPr>
        <w:snapToGrid w:val="0"/>
        <w:spacing w:line="360" w:lineRule="auto"/>
        <w:ind w:right="480"/>
        <w:jc w:val="center"/>
        <w:rPr>
          <w:rFonts w:hint="eastAsia" w:ascii="宋体" w:hAnsi="宋体" w:cs="宋体"/>
          <w:b/>
          <w:color w:val="auto"/>
          <w:kern w:val="0"/>
          <w:sz w:val="32"/>
          <w:szCs w:val="32"/>
          <w:highlight w:val="none"/>
        </w:rPr>
      </w:pPr>
    </w:p>
    <w:p w14:paraId="5A937635">
      <w:pPr>
        <w:snapToGrid w:val="0"/>
        <w:spacing w:line="360" w:lineRule="auto"/>
        <w:ind w:right="480"/>
        <w:jc w:val="center"/>
        <w:rPr>
          <w:rFonts w:hint="eastAsia" w:ascii="宋体" w:hAnsi="宋体" w:cs="宋体"/>
          <w:b/>
          <w:color w:val="auto"/>
          <w:kern w:val="0"/>
          <w:sz w:val="32"/>
          <w:szCs w:val="32"/>
          <w:highlight w:val="none"/>
        </w:rPr>
      </w:pPr>
    </w:p>
    <w:p w14:paraId="2D7812FD">
      <w:pPr>
        <w:snapToGrid w:val="0"/>
        <w:spacing w:line="360" w:lineRule="auto"/>
        <w:ind w:right="480"/>
        <w:jc w:val="center"/>
        <w:rPr>
          <w:rFonts w:hint="eastAsia" w:ascii="宋体" w:hAnsi="宋体" w:cs="宋体"/>
          <w:b/>
          <w:color w:val="auto"/>
          <w:kern w:val="0"/>
          <w:sz w:val="32"/>
          <w:szCs w:val="32"/>
          <w:highlight w:val="none"/>
        </w:rPr>
      </w:pPr>
    </w:p>
    <w:p w14:paraId="3CD1A2D4">
      <w:pPr>
        <w:snapToGrid w:val="0"/>
        <w:spacing w:line="360" w:lineRule="auto"/>
        <w:ind w:right="480"/>
        <w:jc w:val="center"/>
        <w:rPr>
          <w:rFonts w:hint="eastAsia" w:ascii="宋体" w:hAnsi="宋体" w:cs="宋体"/>
          <w:b/>
          <w:color w:val="auto"/>
          <w:kern w:val="0"/>
          <w:sz w:val="32"/>
          <w:szCs w:val="32"/>
          <w:highlight w:val="none"/>
        </w:rPr>
      </w:pPr>
    </w:p>
    <w:p w14:paraId="17D2DE59">
      <w:pPr>
        <w:snapToGrid w:val="0"/>
        <w:spacing w:line="360" w:lineRule="auto"/>
        <w:ind w:right="480"/>
        <w:jc w:val="center"/>
        <w:rPr>
          <w:rFonts w:hint="eastAsia" w:ascii="宋体" w:hAnsi="宋体" w:cs="宋体"/>
          <w:b/>
          <w:color w:val="auto"/>
          <w:kern w:val="0"/>
          <w:sz w:val="32"/>
          <w:szCs w:val="32"/>
          <w:highlight w:val="none"/>
        </w:rPr>
      </w:pPr>
    </w:p>
    <w:p w14:paraId="342B5356">
      <w:pPr>
        <w:snapToGrid w:val="0"/>
        <w:spacing w:line="360" w:lineRule="auto"/>
        <w:ind w:right="480"/>
        <w:jc w:val="center"/>
        <w:rPr>
          <w:rFonts w:hint="eastAsia" w:ascii="宋体" w:hAnsi="宋体" w:cs="宋体"/>
          <w:b/>
          <w:color w:val="auto"/>
          <w:kern w:val="0"/>
          <w:sz w:val="32"/>
          <w:szCs w:val="32"/>
          <w:highlight w:val="none"/>
        </w:rPr>
      </w:pPr>
    </w:p>
    <w:p w14:paraId="65F22104">
      <w:pPr>
        <w:snapToGrid w:val="0"/>
        <w:spacing w:line="360" w:lineRule="auto"/>
        <w:ind w:right="480"/>
        <w:jc w:val="center"/>
        <w:rPr>
          <w:rFonts w:hint="eastAsia" w:ascii="宋体" w:hAnsi="宋体" w:cs="宋体"/>
          <w:b/>
          <w:color w:val="auto"/>
          <w:kern w:val="0"/>
          <w:sz w:val="32"/>
          <w:szCs w:val="32"/>
          <w:highlight w:val="none"/>
        </w:rPr>
      </w:pPr>
    </w:p>
    <w:p w14:paraId="6E019D0D">
      <w:pPr>
        <w:snapToGrid w:val="0"/>
        <w:spacing w:line="360" w:lineRule="auto"/>
        <w:ind w:right="480"/>
        <w:jc w:val="center"/>
        <w:rPr>
          <w:rFonts w:hint="eastAsia" w:ascii="宋体" w:hAnsi="宋体" w:cs="宋体"/>
          <w:b/>
          <w:color w:val="auto"/>
          <w:kern w:val="0"/>
          <w:sz w:val="32"/>
          <w:szCs w:val="32"/>
          <w:highlight w:val="none"/>
        </w:rPr>
      </w:pPr>
    </w:p>
    <w:p w14:paraId="721BBD59">
      <w:pPr>
        <w:snapToGrid w:val="0"/>
        <w:spacing w:line="360" w:lineRule="auto"/>
        <w:ind w:right="480"/>
        <w:jc w:val="center"/>
        <w:rPr>
          <w:rFonts w:hint="eastAsia" w:ascii="宋体" w:hAnsi="宋体" w:cs="宋体"/>
          <w:b/>
          <w:color w:val="auto"/>
          <w:kern w:val="0"/>
          <w:sz w:val="32"/>
          <w:szCs w:val="32"/>
          <w:highlight w:val="none"/>
        </w:rPr>
      </w:pPr>
    </w:p>
    <w:p w14:paraId="1A1CC083">
      <w:pPr>
        <w:pStyle w:val="691"/>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3EDFBBE3">
      <w:pPr>
        <w:snapToGrid w:val="0"/>
        <w:spacing w:before="120" w:after="120" w:line="360" w:lineRule="auto"/>
        <w:ind w:firstLine="643"/>
        <w:jc w:val="center"/>
        <w:rPr>
          <w:rFonts w:hint="eastAsia" w:ascii="宋体" w:hAnsi="宋体" w:cs="宋体"/>
          <w:b/>
          <w:color w:val="auto"/>
          <w:sz w:val="32"/>
          <w:szCs w:val="32"/>
          <w:highlight w:val="none"/>
        </w:rPr>
      </w:pPr>
      <w:bookmarkStart w:id="557" w:name="_Toc26425"/>
      <w:bookmarkStart w:id="558" w:name="_Toc18859"/>
      <w:r>
        <w:rPr>
          <w:rFonts w:hint="eastAsia" w:ascii="宋体" w:hAnsi="宋体" w:cs="宋体"/>
          <w:b/>
          <w:color w:val="auto"/>
          <w:sz w:val="32"/>
          <w:szCs w:val="32"/>
          <w:highlight w:val="none"/>
        </w:rPr>
        <w:t>一、开标一览表（报价表）</w:t>
      </w:r>
    </w:p>
    <w:p w14:paraId="214A5A11">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1BD0FA8D">
      <w:pPr>
        <w:snapToGrid w:val="0"/>
        <w:spacing w:line="360" w:lineRule="auto"/>
        <w:ind w:firstLine="482"/>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609C4888">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2266"/>
        <w:gridCol w:w="5776"/>
      </w:tblGrid>
      <w:tr w14:paraId="36DC0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11895046">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标项号</w:t>
            </w:r>
          </w:p>
        </w:tc>
        <w:tc>
          <w:tcPr>
            <w:tcW w:w="2266" w:type="dxa"/>
            <w:tcBorders>
              <w:top w:val="single" w:color="auto" w:sz="4" w:space="0"/>
              <w:left w:val="single" w:color="auto" w:sz="4" w:space="0"/>
              <w:bottom w:val="single" w:color="auto" w:sz="4" w:space="0"/>
              <w:right w:val="single" w:color="auto" w:sz="4" w:space="0"/>
            </w:tcBorders>
            <w:vAlign w:val="center"/>
          </w:tcPr>
          <w:p w14:paraId="5127AB07">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标项名称</w:t>
            </w:r>
          </w:p>
        </w:tc>
        <w:tc>
          <w:tcPr>
            <w:tcW w:w="5776" w:type="dxa"/>
            <w:tcBorders>
              <w:top w:val="single" w:color="auto" w:sz="4" w:space="0"/>
              <w:left w:val="single" w:color="auto" w:sz="4" w:space="0"/>
              <w:bottom w:val="single" w:color="auto" w:sz="4" w:space="0"/>
              <w:right w:val="single" w:color="auto" w:sz="4" w:space="0"/>
            </w:tcBorders>
            <w:vAlign w:val="center"/>
          </w:tcPr>
          <w:p w14:paraId="42FEC153">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合同履约期限</w:t>
            </w:r>
          </w:p>
        </w:tc>
      </w:tr>
      <w:tr w14:paraId="62049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77" w:type="dxa"/>
            <w:tcBorders>
              <w:top w:val="single" w:color="auto" w:sz="4" w:space="0"/>
              <w:left w:val="single" w:color="auto" w:sz="4" w:space="0"/>
              <w:bottom w:val="single" w:color="auto" w:sz="4" w:space="0"/>
              <w:right w:val="single" w:color="auto" w:sz="4" w:space="0"/>
            </w:tcBorders>
            <w:vAlign w:val="center"/>
          </w:tcPr>
          <w:p w14:paraId="47BFC3AF">
            <w:pPr>
              <w:widowControl/>
              <w:adjustRightInd/>
              <w:spacing w:line="360" w:lineRule="auto"/>
              <w:jc w:val="center"/>
              <w:rPr>
                <w:rFonts w:hint="eastAsia" w:ascii="宋体" w:hAnsi="宋体" w:cs="宋体"/>
                <w:color w:val="auto"/>
                <w:kern w:val="0"/>
                <w:sz w:val="24"/>
                <w:highlight w:val="none"/>
              </w:rPr>
            </w:pPr>
          </w:p>
        </w:tc>
        <w:tc>
          <w:tcPr>
            <w:tcW w:w="2266" w:type="dxa"/>
            <w:tcBorders>
              <w:top w:val="single" w:color="auto" w:sz="4" w:space="0"/>
              <w:left w:val="single" w:color="auto" w:sz="4" w:space="0"/>
              <w:bottom w:val="single" w:color="auto" w:sz="4" w:space="0"/>
              <w:right w:val="single" w:color="auto" w:sz="4" w:space="0"/>
            </w:tcBorders>
            <w:vAlign w:val="center"/>
          </w:tcPr>
          <w:p w14:paraId="3923F1EF">
            <w:pPr>
              <w:widowControl/>
              <w:adjustRightInd/>
              <w:spacing w:line="360" w:lineRule="auto"/>
              <w:jc w:val="center"/>
              <w:rPr>
                <w:rFonts w:hint="eastAsia" w:ascii="宋体" w:hAnsi="宋体" w:cs="宋体"/>
                <w:color w:val="auto"/>
                <w:kern w:val="0"/>
                <w:sz w:val="24"/>
                <w:highlight w:val="none"/>
              </w:rPr>
            </w:pPr>
          </w:p>
        </w:tc>
        <w:tc>
          <w:tcPr>
            <w:tcW w:w="5776" w:type="dxa"/>
            <w:tcBorders>
              <w:top w:val="single" w:color="auto" w:sz="4" w:space="0"/>
              <w:left w:val="single" w:color="auto" w:sz="4" w:space="0"/>
              <w:bottom w:val="single" w:color="auto" w:sz="4" w:space="0"/>
              <w:right w:val="single" w:color="auto" w:sz="4" w:space="0"/>
            </w:tcBorders>
            <w:vAlign w:val="center"/>
          </w:tcPr>
          <w:p w14:paraId="230A3C5E">
            <w:pPr>
              <w:widowControl/>
              <w:adjustRightInd/>
              <w:spacing w:line="360" w:lineRule="auto"/>
              <w:rPr>
                <w:rFonts w:hint="eastAsia" w:ascii="宋体" w:hAnsi="宋体" w:cs="宋体"/>
                <w:bCs/>
                <w:color w:val="auto"/>
                <w:kern w:val="0"/>
                <w:sz w:val="24"/>
                <w:highlight w:val="none"/>
              </w:rPr>
            </w:pPr>
          </w:p>
        </w:tc>
      </w:tr>
      <w:tr w14:paraId="2057B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0E42E5F0">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投标报价</w:t>
            </w:r>
          </w:p>
        </w:tc>
        <w:tc>
          <w:tcPr>
            <w:tcW w:w="5776" w:type="dxa"/>
            <w:tcBorders>
              <w:top w:val="single" w:color="auto" w:sz="4" w:space="0"/>
              <w:left w:val="single" w:color="auto" w:sz="4" w:space="0"/>
              <w:bottom w:val="single" w:color="auto" w:sz="4" w:space="0"/>
              <w:right w:val="single" w:color="auto" w:sz="4" w:space="0"/>
            </w:tcBorders>
            <w:vAlign w:val="center"/>
          </w:tcPr>
          <w:p w14:paraId="097006FE">
            <w:pPr>
              <w:widowControl/>
              <w:adjustRightInd/>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小写：</w:t>
            </w:r>
          </w:p>
          <w:p w14:paraId="7D95409E">
            <w:pPr>
              <w:widowControl/>
              <w:adjustRightInd/>
              <w:spacing w:line="360" w:lineRule="auto"/>
              <w:rPr>
                <w:rFonts w:hint="eastAsia" w:ascii="宋体" w:hAnsi="宋体" w:cs="宋体"/>
                <w:bCs/>
                <w:color w:val="auto"/>
                <w:kern w:val="0"/>
                <w:sz w:val="24"/>
                <w:highlight w:val="none"/>
              </w:rPr>
            </w:pPr>
            <w:r>
              <w:rPr>
                <w:rFonts w:hint="eastAsia" w:ascii="宋体" w:hAnsi="宋体" w:cs="宋体"/>
                <w:bCs/>
                <w:color w:val="auto"/>
                <w:kern w:val="0"/>
                <w:sz w:val="24"/>
                <w:highlight w:val="none"/>
              </w:rPr>
              <w:t>大写：</w:t>
            </w:r>
          </w:p>
        </w:tc>
      </w:tr>
      <w:tr w14:paraId="2B54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4" w:hRule="atLeast"/>
          <w:jc w:val="center"/>
        </w:trPr>
        <w:tc>
          <w:tcPr>
            <w:tcW w:w="3343" w:type="dxa"/>
            <w:gridSpan w:val="2"/>
            <w:tcBorders>
              <w:top w:val="single" w:color="auto" w:sz="4" w:space="0"/>
              <w:left w:val="single" w:color="auto" w:sz="4" w:space="0"/>
              <w:bottom w:val="single" w:color="auto" w:sz="4" w:space="0"/>
              <w:right w:val="single" w:color="auto" w:sz="4" w:space="0"/>
            </w:tcBorders>
            <w:vAlign w:val="center"/>
          </w:tcPr>
          <w:p w14:paraId="320C7203">
            <w:pPr>
              <w:widowControl/>
              <w:adjustRightInd/>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投标声明</w:t>
            </w:r>
          </w:p>
        </w:tc>
        <w:tc>
          <w:tcPr>
            <w:tcW w:w="5776" w:type="dxa"/>
            <w:tcBorders>
              <w:top w:val="single" w:color="auto" w:sz="4" w:space="0"/>
              <w:left w:val="single" w:color="auto" w:sz="4" w:space="0"/>
              <w:bottom w:val="single" w:color="auto" w:sz="4" w:space="0"/>
            </w:tcBorders>
            <w:vAlign w:val="center"/>
          </w:tcPr>
          <w:p w14:paraId="632656FC">
            <w:pPr>
              <w:widowControl/>
              <w:adjustRightInd/>
              <w:spacing w:before="240" w:line="360" w:lineRule="auto"/>
              <w:jc w:val="center"/>
              <w:rPr>
                <w:rFonts w:hint="eastAsia" w:ascii="宋体" w:hAnsi="宋体" w:cs="宋体"/>
                <w:color w:val="auto"/>
                <w:kern w:val="0"/>
                <w:sz w:val="24"/>
                <w:highlight w:val="none"/>
              </w:rPr>
            </w:pPr>
          </w:p>
        </w:tc>
      </w:tr>
    </w:tbl>
    <w:p w14:paraId="1A7E72E5">
      <w:pPr>
        <w:snapToGrid w:val="0"/>
        <w:spacing w:line="360" w:lineRule="auto"/>
        <w:ind w:left="480"/>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762A28D5">
      <w:pPr>
        <w:spacing w:line="360" w:lineRule="auto"/>
        <w:ind w:left="-2" w:leftChars="-1"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43B3B2B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6C163055">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19A58CA5">
      <w:pPr>
        <w:snapToGrid w:val="0"/>
        <w:spacing w:line="360" w:lineRule="auto"/>
        <w:ind w:firstLine="480" w:firstLineChars="200"/>
        <w:jc w:val="left"/>
        <w:rPr>
          <w:rFonts w:hint="eastAsia"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7034952">
      <w:pPr>
        <w:rPr>
          <w:rFonts w:hint="eastAsia" w:ascii="宋体" w:hAnsi="宋体" w:cs="宋体"/>
          <w:color w:val="auto"/>
          <w:sz w:val="32"/>
          <w:szCs w:val="32"/>
          <w:highlight w:val="none"/>
        </w:rPr>
      </w:pPr>
      <w:r>
        <w:rPr>
          <w:rFonts w:ascii="宋体" w:hAnsi="宋体" w:cs="宋体"/>
          <w:color w:val="auto"/>
          <w:sz w:val="32"/>
          <w:szCs w:val="32"/>
          <w:highlight w:val="none"/>
        </w:rPr>
        <w:br w:type="page"/>
      </w:r>
    </w:p>
    <w:p w14:paraId="6206B14A">
      <w:pPr>
        <w:spacing w:line="360" w:lineRule="auto"/>
        <w:jc w:val="center"/>
        <w:rPr>
          <w:rFonts w:hint="eastAsia"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投标分项报价表（单位均为人民币元）</w:t>
      </w:r>
    </w:p>
    <w:tbl>
      <w:tblPr>
        <w:tblStyle w:val="63"/>
        <w:tblW w:w="8947" w:type="dxa"/>
        <w:jc w:val="center"/>
        <w:tblLayout w:type="fixed"/>
        <w:tblCellMar>
          <w:top w:w="0" w:type="dxa"/>
          <w:left w:w="108" w:type="dxa"/>
          <w:bottom w:w="0" w:type="dxa"/>
          <w:right w:w="108" w:type="dxa"/>
        </w:tblCellMar>
      </w:tblPr>
      <w:tblGrid>
        <w:gridCol w:w="817"/>
        <w:gridCol w:w="1600"/>
        <w:gridCol w:w="973"/>
        <w:gridCol w:w="1371"/>
        <w:gridCol w:w="1501"/>
        <w:gridCol w:w="1253"/>
        <w:gridCol w:w="1432"/>
      </w:tblGrid>
      <w:tr w14:paraId="32B836B3">
        <w:tblPrEx>
          <w:tblCellMar>
            <w:top w:w="0" w:type="dxa"/>
            <w:left w:w="108" w:type="dxa"/>
            <w:bottom w:w="0" w:type="dxa"/>
            <w:right w:w="108" w:type="dxa"/>
          </w:tblCellMar>
        </w:tblPrEx>
        <w:trPr>
          <w:trHeight w:val="673"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E49AF5A">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z w:val="24"/>
                <w:highlight w:val="none"/>
                <w:lang w:bidi="ar"/>
              </w:rPr>
              <w:t>序号</w:t>
            </w:r>
          </w:p>
        </w:tc>
        <w:tc>
          <w:tcPr>
            <w:tcW w:w="1600" w:type="dxa"/>
            <w:tcBorders>
              <w:top w:val="single" w:color="auto" w:sz="4" w:space="0"/>
              <w:left w:val="nil"/>
              <w:bottom w:val="single" w:color="auto" w:sz="4" w:space="0"/>
              <w:right w:val="single" w:color="auto" w:sz="4" w:space="0"/>
            </w:tcBorders>
            <w:vAlign w:val="center"/>
          </w:tcPr>
          <w:p w14:paraId="34B75ED3">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pacing w:val="20"/>
                <w:sz w:val="24"/>
                <w:highlight w:val="none"/>
                <w:lang w:bidi="ar"/>
              </w:rPr>
              <w:t>项目内容</w:t>
            </w:r>
          </w:p>
        </w:tc>
        <w:tc>
          <w:tcPr>
            <w:tcW w:w="973" w:type="dxa"/>
            <w:tcBorders>
              <w:top w:val="single" w:color="auto" w:sz="4" w:space="0"/>
              <w:left w:val="single" w:color="auto" w:sz="4" w:space="0"/>
              <w:bottom w:val="single" w:color="auto" w:sz="4" w:space="0"/>
              <w:right w:val="single" w:color="auto" w:sz="4" w:space="0"/>
            </w:tcBorders>
            <w:vAlign w:val="center"/>
          </w:tcPr>
          <w:p w14:paraId="59521C49">
            <w:pPr>
              <w:adjustRightInd/>
              <w:spacing w:before="50" w:after="50" w:line="360" w:lineRule="auto"/>
              <w:jc w:val="center"/>
              <w:rPr>
                <w:rFonts w:hint="eastAsia" w:ascii="宋体" w:hAnsi="宋体" w:cs="宋体"/>
                <w:b/>
                <w:bCs/>
                <w:color w:val="auto"/>
                <w:spacing w:val="20"/>
                <w:sz w:val="24"/>
                <w:highlight w:val="none"/>
                <w:lang w:bidi="ar"/>
              </w:rPr>
            </w:pPr>
            <w:r>
              <w:rPr>
                <w:rFonts w:hint="eastAsia" w:ascii="宋体" w:hAnsi="宋体" w:cs="宋体"/>
                <w:b/>
                <w:bCs/>
                <w:color w:val="auto"/>
                <w:spacing w:val="20"/>
                <w:sz w:val="24"/>
                <w:highlight w:val="none"/>
                <w:lang w:bidi="ar"/>
              </w:rPr>
              <w:t>产地品牌</w:t>
            </w:r>
          </w:p>
        </w:tc>
        <w:tc>
          <w:tcPr>
            <w:tcW w:w="1371" w:type="dxa"/>
            <w:tcBorders>
              <w:top w:val="single" w:color="auto" w:sz="4" w:space="0"/>
              <w:left w:val="single" w:color="auto" w:sz="4" w:space="0"/>
              <w:bottom w:val="single" w:color="auto" w:sz="4" w:space="0"/>
              <w:right w:val="single" w:color="auto" w:sz="4" w:space="0"/>
            </w:tcBorders>
            <w:vAlign w:val="center"/>
          </w:tcPr>
          <w:p w14:paraId="1C4C1E6D">
            <w:pPr>
              <w:adjustRightInd/>
              <w:spacing w:before="50" w:after="50" w:line="360" w:lineRule="auto"/>
              <w:jc w:val="center"/>
              <w:rPr>
                <w:rFonts w:hint="eastAsia" w:ascii="宋体" w:hAnsi="宋体" w:cs="宋体"/>
                <w:b/>
                <w:bCs/>
                <w:color w:val="auto"/>
                <w:spacing w:val="20"/>
                <w:sz w:val="24"/>
                <w:highlight w:val="none"/>
                <w:lang w:bidi="ar"/>
              </w:rPr>
            </w:pPr>
            <w:r>
              <w:rPr>
                <w:rFonts w:hint="eastAsia" w:ascii="宋体" w:hAnsi="宋体" w:cs="宋体"/>
                <w:b/>
                <w:bCs/>
                <w:color w:val="auto"/>
                <w:spacing w:val="20"/>
                <w:sz w:val="24"/>
                <w:highlight w:val="none"/>
                <w:lang w:bidi="ar"/>
              </w:rPr>
              <w:t>规格型号</w:t>
            </w:r>
          </w:p>
        </w:tc>
        <w:tc>
          <w:tcPr>
            <w:tcW w:w="1501" w:type="dxa"/>
            <w:tcBorders>
              <w:top w:val="single" w:color="auto" w:sz="4" w:space="0"/>
              <w:left w:val="nil"/>
              <w:bottom w:val="single" w:color="auto" w:sz="4" w:space="0"/>
              <w:right w:val="single" w:color="auto" w:sz="4" w:space="0"/>
            </w:tcBorders>
            <w:vAlign w:val="center"/>
          </w:tcPr>
          <w:p w14:paraId="32B551C6">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z w:val="24"/>
                <w:highlight w:val="none"/>
                <w:lang w:bidi="ar"/>
              </w:rPr>
              <w:t>单位及数量</w:t>
            </w:r>
          </w:p>
        </w:tc>
        <w:tc>
          <w:tcPr>
            <w:tcW w:w="1253" w:type="dxa"/>
            <w:tcBorders>
              <w:top w:val="single" w:color="auto" w:sz="4" w:space="0"/>
              <w:left w:val="nil"/>
              <w:bottom w:val="single" w:color="auto" w:sz="4" w:space="0"/>
              <w:right w:val="single" w:color="auto" w:sz="4" w:space="0"/>
            </w:tcBorders>
            <w:vAlign w:val="center"/>
          </w:tcPr>
          <w:p w14:paraId="24BAE1AC">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z w:val="24"/>
                <w:highlight w:val="none"/>
                <w:lang w:bidi="ar"/>
              </w:rPr>
              <w:t>单价（元）</w:t>
            </w:r>
          </w:p>
        </w:tc>
        <w:tc>
          <w:tcPr>
            <w:tcW w:w="1432" w:type="dxa"/>
            <w:tcBorders>
              <w:top w:val="single" w:color="auto" w:sz="4" w:space="0"/>
              <w:left w:val="nil"/>
              <w:bottom w:val="single" w:color="auto" w:sz="4" w:space="0"/>
              <w:right w:val="single" w:color="auto" w:sz="4" w:space="0"/>
            </w:tcBorders>
            <w:vAlign w:val="center"/>
          </w:tcPr>
          <w:p w14:paraId="0BA3454A">
            <w:pPr>
              <w:adjustRightInd/>
              <w:spacing w:before="50" w:after="50" w:line="360" w:lineRule="auto"/>
              <w:jc w:val="center"/>
              <w:rPr>
                <w:rFonts w:hint="eastAsia" w:ascii="宋体" w:hAnsi="宋体" w:cs="宋体"/>
                <w:b/>
                <w:bCs/>
                <w:color w:val="auto"/>
                <w:spacing w:val="20"/>
                <w:sz w:val="24"/>
                <w:highlight w:val="none"/>
              </w:rPr>
            </w:pPr>
            <w:r>
              <w:rPr>
                <w:rFonts w:hint="eastAsia" w:ascii="宋体" w:hAnsi="宋体" w:cs="宋体"/>
                <w:b/>
                <w:bCs/>
                <w:color w:val="auto"/>
                <w:sz w:val="24"/>
                <w:highlight w:val="none"/>
                <w:lang w:bidi="ar"/>
              </w:rPr>
              <w:t>金额（元）</w:t>
            </w:r>
          </w:p>
        </w:tc>
      </w:tr>
      <w:tr w14:paraId="0574C18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2C4B8396">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3C82A78D">
            <w:pPr>
              <w:adjustRightInd/>
              <w:spacing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27B6B7B1">
            <w:pPr>
              <w:adjustRightInd/>
              <w:spacing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2D364F9A">
            <w:pPr>
              <w:adjustRightInd/>
              <w:spacing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4FDD929F">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32377BD8">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1A1BF5F8">
            <w:pPr>
              <w:adjustRightInd/>
              <w:spacing w:before="50" w:after="50" w:line="360" w:lineRule="auto"/>
              <w:jc w:val="center"/>
              <w:rPr>
                <w:rFonts w:hint="eastAsia" w:ascii="宋体" w:hAnsi="宋体" w:cs="宋体"/>
                <w:color w:val="auto"/>
                <w:spacing w:val="20"/>
                <w:sz w:val="24"/>
                <w:highlight w:val="none"/>
              </w:rPr>
            </w:pPr>
          </w:p>
        </w:tc>
      </w:tr>
      <w:tr w14:paraId="1DB48FA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B2DB59C">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4737FD56">
            <w:pPr>
              <w:adjustRightInd/>
              <w:spacing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400B939C">
            <w:pPr>
              <w:adjustRightInd/>
              <w:spacing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3AE423B7">
            <w:pPr>
              <w:adjustRightInd/>
              <w:spacing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102CF759">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218156D">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57EF299A">
            <w:pPr>
              <w:adjustRightInd/>
              <w:spacing w:before="50" w:after="50" w:line="360" w:lineRule="auto"/>
              <w:jc w:val="center"/>
              <w:rPr>
                <w:rFonts w:hint="eastAsia" w:ascii="宋体" w:hAnsi="宋体" w:cs="宋体"/>
                <w:color w:val="auto"/>
                <w:spacing w:val="20"/>
                <w:sz w:val="24"/>
                <w:highlight w:val="none"/>
              </w:rPr>
            </w:pPr>
          </w:p>
        </w:tc>
      </w:tr>
      <w:tr w14:paraId="57408BE7">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F92B3AE">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71D2932D">
            <w:pPr>
              <w:adjustRightInd/>
              <w:spacing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6760C829">
            <w:pPr>
              <w:adjustRightInd/>
              <w:spacing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79CE7ADE">
            <w:pPr>
              <w:adjustRightInd/>
              <w:spacing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683A70F5">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9D3807C">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283D1FB3">
            <w:pPr>
              <w:adjustRightInd/>
              <w:spacing w:before="50" w:after="50" w:line="360" w:lineRule="auto"/>
              <w:jc w:val="center"/>
              <w:rPr>
                <w:rFonts w:hint="eastAsia" w:ascii="宋体" w:hAnsi="宋体" w:cs="宋体"/>
                <w:color w:val="auto"/>
                <w:spacing w:val="20"/>
                <w:sz w:val="24"/>
                <w:highlight w:val="none"/>
              </w:rPr>
            </w:pPr>
          </w:p>
        </w:tc>
      </w:tr>
      <w:tr w14:paraId="2E01E9F8">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5346CAAA">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3A0C35DC">
            <w:pPr>
              <w:adjustRightInd/>
              <w:spacing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53A7DA9B">
            <w:pPr>
              <w:adjustRightInd/>
              <w:spacing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0C6FDFE3">
            <w:pPr>
              <w:adjustRightInd/>
              <w:spacing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6DED6893">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D520F7D">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0DD159C3">
            <w:pPr>
              <w:adjustRightInd/>
              <w:spacing w:before="50" w:after="50" w:line="360" w:lineRule="auto"/>
              <w:jc w:val="center"/>
              <w:rPr>
                <w:rFonts w:hint="eastAsia" w:ascii="宋体" w:hAnsi="宋体" w:cs="宋体"/>
                <w:color w:val="auto"/>
                <w:spacing w:val="20"/>
                <w:sz w:val="24"/>
                <w:highlight w:val="none"/>
              </w:rPr>
            </w:pPr>
          </w:p>
        </w:tc>
      </w:tr>
      <w:tr w14:paraId="2ECAE94A">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ECA8C9B">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57580FBC">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56787BBA">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522ECF3">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0168A71">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6CFD5D07">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0922A642">
            <w:pPr>
              <w:adjustRightInd/>
              <w:spacing w:before="50" w:after="50" w:line="360" w:lineRule="auto"/>
              <w:jc w:val="center"/>
              <w:rPr>
                <w:rFonts w:hint="eastAsia" w:ascii="宋体" w:hAnsi="宋体" w:cs="宋体"/>
                <w:color w:val="auto"/>
                <w:spacing w:val="20"/>
                <w:sz w:val="24"/>
                <w:highlight w:val="none"/>
              </w:rPr>
            </w:pPr>
          </w:p>
        </w:tc>
      </w:tr>
      <w:tr w14:paraId="3B461BEF">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4D9C63EC">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37CF7620">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37E27CF4">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542500D">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23052082">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0A616A73">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15A0BDA4">
            <w:pPr>
              <w:adjustRightInd/>
              <w:spacing w:before="50" w:after="50" w:line="360" w:lineRule="auto"/>
              <w:jc w:val="center"/>
              <w:rPr>
                <w:rFonts w:hint="eastAsia" w:ascii="宋体" w:hAnsi="宋体" w:cs="宋体"/>
                <w:color w:val="auto"/>
                <w:spacing w:val="20"/>
                <w:sz w:val="24"/>
                <w:highlight w:val="none"/>
              </w:rPr>
            </w:pPr>
          </w:p>
        </w:tc>
      </w:tr>
      <w:tr w14:paraId="3502EB8D">
        <w:tblPrEx>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vAlign w:val="center"/>
          </w:tcPr>
          <w:p w14:paraId="0FE49F1B">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1B6E212F">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6BFF1F4D">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7F104A9E">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E107565">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6BD3C16A">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2732E035">
            <w:pPr>
              <w:adjustRightInd/>
              <w:spacing w:before="50" w:after="50" w:line="360" w:lineRule="auto"/>
              <w:jc w:val="center"/>
              <w:rPr>
                <w:rFonts w:hint="eastAsia" w:ascii="宋体" w:hAnsi="宋体" w:cs="宋体"/>
                <w:color w:val="auto"/>
                <w:spacing w:val="20"/>
                <w:sz w:val="24"/>
                <w:highlight w:val="none"/>
              </w:rPr>
            </w:pPr>
          </w:p>
        </w:tc>
      </w:tr>
      <w:tr w14:paraId="74BAED07">
        <w:tblPrEx>
          <w:tblCellMar>
            <w:top w:w="0" w:type="dxa"/>
            <w:left w:w="108" w:type="dxa"/>
            <w:bottom w:w="0" w:type="dxa"/>
            <w:right w:w="108" w:type="dxa"/>
          </w:tblCellMar>
        </w:tblPrEx>
        <w:trPr>
          <w:trHeight w:val="369"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09AE6B13">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7F6B4805">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36B9B43F">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219C7401">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6DC0AB97">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3D37BEBC">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6050DBFF">
            <w:pPr>
              <w:adjustRightInd/>
              <w:spacing w:before="50" w:after="50" w:line="360" w:lineRule="auto"/>
              <w:jc w:val="center"/>
              <w:rPr>
                <w:rFonts w:hint="eastAsia" w:ascii="宋体" w:hAnsi="宋体" w:cs="宋体"/>
                <w:color w:val="auto"/>
                <w:spacing w:val="20"/>
                <w:sz w:val="24"/>
                <w:highlight w:val="none"/>
              </w:rPr>
            </w:pPr>
          </w:p>
        </w:tc>
      </w:tr>
      <w:tr w14:paraId="69294C29">
        <w:tblPrEx>
          <w:tblCellMar>
            <w:top w:w="0" w:type="dxa"/>
            <w:left w:w="108" w:type="dxa"/>
            <w:bottom w:w="0" w:type="dxa"/>
            <w:right w:w="108" w:type="dxa"/>
          </w:tblCellMar>
        </w:tblPrEx>
        <w:trPr>
          <w:trHeight w:val="351"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49E9B40F">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01CC4F6E">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7AD201F9">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4A8EE57B">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206B6921">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56F6CF96">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54F530F8">
            <w:pPr>
              <w:adjustRightInd/>
              <w:spacing w:before="50" w:after="50" w:line="360" w:lineRule="auto"/>
              <w:jc w:val="center"/>
              <w:rPr>
                <w:rFonts w:hint="eastAsia" w:ascii="宋体" w:hAnsi="宋体" w:cs="宋体"/>
                <w:color w:val="auto"/>
                <w:spacing w:val="20"/>
                <w:sz w:val="24"/>
                <w:highlight w:val="none"/>
              </w:rPr>
            </w:pPr>
          </w:p>
        </w:tc>
      </w:tr>
      <w:tr w14:paraId="4C4DB7BC">
        <w:tblPrEx>
          <w:tblCellMar>
            <w:top w:w="0" w:type="dxa"/>
            <w:left w:w="108" w:type="dxa"/>
            <w:bottom w:w="0" w:type="dxa"/>
            <w:right w:w="108" w:type="dxa"/>
          </w:tblCellMar>
        </w:tblPrEx>
        <w:trPr>
          <w:trHeight w:val="452"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18CAE8B4">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59FEC50C">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6097B91B">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6AF6005B">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567B34EA">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CBB73DC">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77CDB1CF">
            <w:pPr>
              <w:adjustRightInd/>
              <w:spacing w:before="50" w:after="50" w:line="360" w:lineRule="auto"/>
              <w:jc w:val="center"/>
              <w:rPr>
                <w:rFonts w:hint="eastAsia" w:ascii="宋体" w:hAnsi="宋体" w:cs="宋体"/>
                <w:color w:val="auto"/>
                <w:spacing w:val="20"/>
                <w:sz w:val="24"/>
                <w:highlight w:val="none"/>
              </w:rPr>
            </w:pPr>
          </w:p>
        </w:tc>
      </w:tr>
      <w:tr w14:paraId="1E64A4F5">
        <w:tblPrEx>
          <w:tblCellMar>
            <w:top w:w="0" w:type="dxa"/>
            <w:left w:w="108" w:type="dxa"/>
            <w:bottom w:w="0" w:type="dxa"/>
            <w:right w:w="108" w:type="dxa"/>
          </w:tblCellMar>
        </w:tblPrEx>
        <w:trPr>
          <w:trHeight w:val="520" w:hRule="atLeast"/>
          <w:jc w:val="center"/>
        </w:trPr>
        <w:tc>
          <w:tcPr>
            <w:tcW w:w="817" w:type="dxa"/>
            <w:tcBorders>
              <w:top w:val="single" w:color="auto" w:sz="4" w:space="0"/>
              <w:left w:val="single" w:color="auto" w:sz="4" w:space="0"/>
              <w:bottom w:val="single" w:color="auto" w:sz="4" w:space="0"/>
              <w:right w:val="single" w:color="auto" w:sz="4" w:space="0"/>
            </w:tcBorders>
            <w:vAlign w:val="center"/>
          </w:tcPr>
          <w:p w14:paraId="5F599688">
            <w:pPr>
              <w:adjustRightInd/>
              <w:spacing w:before="50" w:after="50" w:line="360" w:lineRule="auto"/>
              <w:jc w:val="center"/>
              <w:rPr>
                <w:rFonts w:hint="eastAsia" w:ascii="宋体" w:hAnsi="宋体" w:cs="宋体"/>
                <w:color w:val="auto"/>
                <w:spacing w:val="20"/>
                <w:sz w:val="24"/>
                <w:highlight w:val="none"/>
              </w:rPr>
            </w:pPr>
          </w:p>
        </w:tc>
        <w:tc>
          <w:tcPr>
            <w:tcW w:w="1600" w:type="dxa"/>
            <w:tcBorders>
              <w:top w:val="single" w:color="auto" w:sz="4" w:space="0"/>
              <w:left w:val="nil"/>
              <w:bottom w:val="single" w:color="auto" w:sz="4" w:space="0"/>
              <w:right w:val="single" w:color="auto" w:sz="4" w:space="0"/>
            </w:tcBorders>
            <w:vAlign w:val="center"/>
          </w:tcPr>
          <w:p w14:paraId="1EC1B2DF">
            <w:pPr>
              <w:adjustRightInd/>
              <w:spacing w:before="50" w:after="50" w:line="360" w:lineRule="auto"/>
              <w:jc w:val="center"/>
              <w:rPr>
                <w:rFonts w:hint="eastAsia" w:ascii="宋体" w:hAnsi="宋体" w:cs="宋体"/>
                <w:color w:val="auto"/>
                <w:spacing w:val="20"/>
                <w:sz w:val="24"/>
                <w:highlight w:val="none"/>
              </w:rPr>
            </w:pPr>
          </w:p>
        </w:tc>
        <w:tc>
          <w:tcPr>
            <w:tcW w:w="973" w:type="dxa"/>
            <w:tcBorders>
              <w:top w:val="single" w:color="auto" w:sz="4" w:space="0"/>
              <w:left w:val="single" w:color="auto" w:sz="4" w:space="0"/>
              <w:bottom w:val="single" w:color="auto" w:sz="4" w:space="0"/>
              <w:right w:val="single" w:color="auto" w:sz="4" w:space="0"/>
            </w:tcBorders>
            <w:vAlign w:val="center"/>
          </w:tcPr>
          <w:p w14:paraId="25EC6245">
            <w:pPr>
              <w:adjustRightInd/>
              <w:spacing w:before="50" w:after="50" w:line="360" w:lineRule="auto"/>
              <w:jc w:val="center"/>
              <w:rPr>
                <w:rFonts w:hint="eastAsia" w:ascii="宋体" w:hAnsi="宋体" w:cs="宋体"/>
                <w:color w:val="auto"/>
                <w:spacing w:val="20"/>
                <w:sz w:val="24"/>
                <w:highlight w:val="none"/>
              </w:rPr>
            </w:pPr>
          </w:p>
        </w:tc>
        <w:tc>
          <w:tcPr>
            <w:tcW w:w="1371" w:type="dxa"/>
            <w:tcBorders>
              <w:top w:val="single" w:color="auto" w:sz="4" w:space="0"/>
              <w:left w:val="single" w:color="auto" w:sz="4" w:space="0"/>
              <w:bottom w:val="single" w:color="auto" w:sz="4" w:space="0"/>
              <w:right w:val="single" w:color="auto" w:sz="4" w:space="0"/>
            </w:tcBorders>
            <w:vAlign w:val="center"/>
          </w:tcPr>
          <w:p w14:paraId="6469EE4E">
            <w:pPr>
              <w:adjustRightInd/>
              <w:spacing w:before="50" w:after="50" w:line="360" w:lineRule="auto"/>
              <w:jc w:val="center"/>
              <w:rPr>
                <w:rFonts w:hint="eastAsia" w:ascii="宋体" w:hAnsi="宋体" w:cs="宋体"/>
                <w:color w:val="auto"/>
                <w:spacing w:val="20"/>
                <w:sz w:val="24"/>
                <w:highlight w:val="none"/>
              </w:rPr>
            </w:pPr>
          </w:p>
        </w:tc>
        <w:tc>
          <w:tcPr>
            <w:tcW w:w="1501" w:type="dxa"/>
            <w:tcBorders>
              <w:top w:val="single" w:color="auto" w:sz="4" w:space="0"/>
              <w:left w:val="nil"/>
              <w:bottom w:val="single" w:color="auto" w:sz="4" w:space="0"/>
              <w:right w:val="single" w:color="auto" w:sz="4" w:space="0"/>
            </w:tcBorders>
            <w:vAlign w:val="center"/>
          </w:tcPr>
          <w:p w14:paraId="00374281">
            <w:pPr>
              <w:adjustRightInd/>
              <w:spacing w:before="50" w:after="50" w:line="360" w:lineRule="auto"/>
              <w:jc w:val="center"/>
              <w:rPr>
                <w:rFonts w:hint="eastAsia" w:ascii="宋体" w:hAnsi="宋体" w:cs="宋体"/>
                <w:color w:val="auto"/>
                <w:spacing w:val="20"/>
                <w:sz w:val="24"/>
                <w:highlight w:val="none"/>
              </w:rPr>
            </w:pPr>
          </w:p>
        </w:tc>
        <w:tc>
          <w:tcPr>
            <w:tcW w:w="1253" w:type="dxa"/>
            <w:tcBorders>
              <w:top w:val="single" w:color="auto" w:sz="4" w:space="0"/>
              <w:left w:val="nil"/>
              <w:bottom w:val="single" w:color="auto" w:sz="4" w:space="0"/>
              <w:right w:val="single" w:color="auto" w:sz="4" w:space="0"/>
            </w:tcBorders>
            <w:vAlign w:val="center"/>
          </w:tcPr>
          <w:p w14:paraId="223B12F3">
            <w:pPr>
              <w:adjustRightInd/>
              <w:spacing w:before="50" w:after="50" w:line="360" w:lineRule="auto"/>
              <w:jc w:val="center"/>
              <w:rPr>
                <w:rFonts w:hint="eastAsia" w:ascii="宋体" w:hAnsi="宋体" w:cs="宋体"/>
                <w:color w:val="auto"/>
                <w:spacing w:val="20"/>
                <w:sz w:val="24"/>
                <w:highlight w:val="none"/>
              </w:rPr>
            </w:pPr>
          </w:p>
        </w:tc>
        <w:tc>
          <w:tcPr>
            <w:tcW w:w="1432" w:type="dxa"/>
            <w:tcBorders>
              <w:top w:val="single" w:color="auto" w:sz="4" w:space="0"/>
              <w:left w:val="nil"/>
              <w:bottom w:val="single" w:color="auto" w:sz="4" w:space="0"/>
              <w:right w:val="single" w:color="auto" w:sz="4" w:space="0"/>
            </w:tcBorders>
            <w:vAlign w:val="center"/>
          </w:tcPr>
          <w:p w14:paraId="55499803">
            <w:pPr>
              <w:adjustRightInd/>
              <w:spacing w:before="50" w:after="50" w:line="360" w:lineRule="auto"/>
              <w:jc w:val="center"/>
              <w:rPr>
                <w:rFonts w:hint="eastAsia" w:ascii="宋体" w:hAnsi="宋体" w:cs="宋体"/>
                <w:color w:val="auto"/>
                <w:spacing w:val="20"/>
                <w:sz w:val="24"/>
                <w:highlight w:val="none"/>
              </w:rPr>
            </w:pPr>
          </w:p>
        </w:tc>
      </w:tr>
      <w:tr w14:paraId="003C2513">
        <w:tblPrEx>
          <w:tblCellMar>
            <w:top w:w="0" w:type="dxa"/>
            <w:left w:w="108" w:type="dxa"/>
            <w:bottom w:w="0" w:type="dxa"/>
            <w:right w:w="108" w:type="dxa"/>
          </w:tblCellMar>
        </w:tblPrEx>
        <w:trPr>
          <w:jc w:val="center"/>
        </w:trPr>
        <w:tc>
          <w:tcPr>
            <w:tcW w:w="7515" w:type="dxa"/>
            <w:gridSpan w:val="6"/>
            <w:tcBorders>
              <w:top w:val="single" w:color="auto" w:sz="4" w:space="0"/>
              <w:left w:val="single" w:color="auto" w:sz="4" w:space="0"/>
              <w:bottom w:val="single" w:color="auto" w:sz="4" w:space="0"/>
              <w:right w:val="single" w:color="auto" w:sz="4" w:space="0"/>
            </w:tcBorders>
            <w:vAlign w:val="center"/>
          </w:tcPr>
          <w:p w14:paraId="5C60CC2E">
            <w:pPr>
              <w:adjustRightInd/>
              <w:spacing w:before="50" w:after="50" w:line="360" w:lineRule="auto"/>
              <w:jc w:val="center"/>
              <w:rPr>
                <w:rFonts w:hint="eastAsia" w:ascii="宋体" w:hAnsi="宋体" w:cs="宋体"/>
                <w:color w:val="auto"/>
                <w:spacing w:val="20"/>
                <w:sz w:val="24"/>
                <w:highlight w:val="none"/>
              </w:rPr>
            </w:pPr>
            <w:r>
              <w:rPr>
                <w:rFonts w:hint="eastAsia" w:ascii="宋体" w:hAnsi="宋体" w:cs="宋体"/>
                <w:color w:val="auto"/>
                <w:spacing w:val="20"/>
                <w:sz w:val="24"/>
                <w:highlight w:val="none"/>
              </w:rPr>
              <w:t>投标报价</w:t>
            </w:r>
          </w:p>
        </w:tc>
        <w:tc>
          <w:tcPr>
            <w:tcW w:w="1432" w:type="dxa"/>
            <w:tcBorders>
              <w:top w:val="single" w:color="auto" w:sz="4" w:space="0"/>
              <w:left w:val="nil"/>
              <w:bottom w:val="single" w:color="auto" w:sz="4" w:space="0"/>
              <w:right w:val="single" w:color="auto" w:sz="4" w:space="0"/>
            </w:tcBorders>
            <w:vAlign w:val="center"/>
          </w:tcPr>
          <w:p w14:paraId="68B99EF0">
            <w:pPr>
              <w:adjustRightInd/>
              <w:spacing w:before="50" w:after="50" w:line="360" w:lineRule="auto"/>
              <w:jc w:val="center"/>
              <w:rPr>
                <w:rFonts w:hint="eastAsia" w:ascii="宋体" w:hAnsi="宋体" w:cs="宋体"/>
                <w:color w:val="auto"/>
                <w:spacing w:val="20"/>
                <w:sz w:val="24"/>
                <w:highlight w:val="none"/>
              </w:rPr>
            </w:pPr>
          </w:p>
        </w:tc>
      </w:tr>
    </w:tbl>
    <w:p w14:paraId="14A5A3C6">
      <w:pPr>
        <w:widowControl/>
        <w:adjustRightInd/>
        <w:ind w:left="420" w:leftChars="200"/>
        <w:jc w:val="left"/>
        <w:rPr>
          <w:rFonts w:hint="eastAsia" w:hAnsi="宋体" w:cs="宋体"/>
          <w:color w:val="auto"/>
          <w:kern w:val="0"/>
          <w:sz w:val="24"/>
          <w:highlight w:val="none"/>
        </w:rPr>
      </w:pPr>
      <w:r>
        <w:rPr>
          <w:rFonts w:hint="eastAsia" w:hAnsi="宋体" w:cs="宋体"/>
          <w:color w:val="auto"/>
          <w:kern w:val="0"/>
          <w:sz w:val="24"/>
          <w:highlight w:val="none"/>
        </w:rPr>
        <w:t>备注：本表格供参考，供应商可根据项目实际情况自拟表格。</w:t>
      </w:r>
    </w:p>
    <w:p w14:paraId="1AAA8AAD">
      <w:pPr>
        <w:spacing w:after="120"/>
        <w:ind w:left="1140" w:leftChars="200" w:hanging="720" w:hangingChars="343"/>
        <w:rPr>
          <w:rFonts w:hint="eastAsia" w:hAnsi="宋体" w:cs="宋体"/>
          <w:color w:val="auto"/>
          <w:highlight w:val="none"/>
        </w:rPr>
      </w:pPr>
    </w:p>
    <w:p w14:paraId="5A8EF626">
      <w:pPr>
        <w:spacing w:after="120"/>
        <w:ind w:left="1140" w:leftChars="200" w:hanging="720" w:hangingChars="343"/>
        <w:rPr>
          <w:color w:val="auto"/>
          <w:kern w:val="0"/>
          <w:szCs w:val="20"/>
          <w:highlight w:val="none"/>
        </w:rPr>
      </w:pPr>
    </w:p>
    <w:p w14:paraId="5144A1F3">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1860A00B">
      <w:pPr>
        <w:autoSpaceDE w:val="0"/>
        <w:autoSpaceDN w:val="0"/>
        <w:spacing w:line="360" w:lineRule="auto"/>
        <w:ind w:left="2" w:leftChars="1" w:right="1120" w:firstLine="4560" w:firstLineChars="19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4CD8518">
      <w:pPr>
        <w:snapToGrid w:val="0"/>
        <w:spacing w:before="120" w:after="120" w:line="360" w:lineRule="auto"/>
        <w:rPr>
          <w:rFonts w:hint="eastAsia" w:ascii="宋体" w:hAnsi="宋体" w:cs="宋体"/>
          <w:b/>
          <w:color w:val="auto"/>
          <w:sz w:val="32"/>
          <w:szCs w:val="32"/>
          <w:highlight w:val="none"/>
        </w:rPr>
      </w:pPr>
    </w:p>
    <w:p w14:paraId="674F1C73">
      <w:pPr>
        <w:snapToGrid w:val="0"/>
        <w:spacing w:before="120" w:after="120"/>
        <w:ind w:firstLine="643"/>
        <w:rPr>
          <w:rFonts w:hint="eastAsia" w:ascii="宋体" w:hAnsi="宋体" w:cs="宋体"/>
          <w:color w:val="auto"/>
          <w:sz w:val="32"/>
          <w:szCs w:val="32"/>
          <w:highlight w:val="none"/>
        </w:rPr>
        <w:sectPr>
          <w:pgSz w:w="11906" w:h="16838"/>
          <w:pgMar w:top="1247" w:right="1418" w:bottom="1276" w:left="1418" w:header="851" w:footer="992" w:gutter="0"/>
          <w:cols w:space="720" w:num="1"/>
          <w:titlePg/>
          <w:docGrid w:linePitch="312" w:charSpace="0"/>
        </w:sectPr>
      </w:pPr>
    </w:p>
    <w:bookmarkEnd w:id="557"/>
    <w:bookmarkEnd w:id="558"/>
    <w:p w14:paraId="20D71796">
      <w:pPr>
        <w:pStyle w:val="691"/>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bookmarkStart w:id="559" w:name="_Toc25773"/>
      <w:bookmarkStart w:id="560" w:name="_Toc30621"/>
      <w:r>
        <w:rPr>
          <w:rFonts w:hint="eastAsia" w:ascii="宋体" w:hAnsi="宋体" w:eastAsia="宋体" w:cs="宋体"/>
          <w:color w:val="auto"/>
          <w:kern w:val="2"/>
          <w:sz w:val="32"/>
          <w:szCs w:val="32"/>
          <w:highlight w:val="none"/>
        </w:rPr>
        <w:t>二、</w:t>
      </w:r>
      <w:r>
        <w:rPr>
          <w:rFonts w:hint="eastAsia" w:ascii="宋体" w:hAnsi="宋体" w:eastAsia="宋体" w:cs="宋体"/>
          <w:color w:val="auto"/>
          <w:sz w:val="32"/>
          <w:szCs w:val="32"/>
          <w:highlight w:val="none"/>
        </w:rPr>
        <w:t>中小企业声明函</w:t>
      </w:r>
      <w:bookmarkStart w:id="561" w:name="_Hlk101259491"/>
      <w:r>
        <w:rPr>
          <w:rFonts w:hint="eastAsia" w:ascii="宋体" w:hAnsi="宋体" w:eastAsia="宋体" w:cs="宋体"/>
          <w:color w:val="auto"/>
          <w:sz w:val="32"/>
          <w:szCs w:val="32"/>
          <w:highlight w:val="none"/>
        </w:rPr>
        <w:t>（如果有）</w:t>
      </w:r>
      <w:bookmarkEnd w:id="559"/>
      <w:bookmarkEnd w:id="560"/>
      <w:bookmarkEnd w:id="561"/>
    </w:p>
    <w:p w14:paraId="2EBD4BA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5652E593">
      <w:pPr>
        <w:pStyle w:val="691"/>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55AE0E91">
      <w:pPr>
        <w:spacing w:line="360" w:lineRule="auto"/>
        <w:ind w:right="420" w:firstLine="3614" w:firstLineChars="1000"/>
        <w:rPr>
          <w:rFonts w:hint="eastAsia" w:ascii="宋体" w:hAnsi="宋体" w:cs="宋体"/>
          <w:b/>
          <w:color w:val="auto"/>
          <w:kern w:val="0"/>
          <w:sz w:val="36"/>
          <w:szCs w:val="36"/>
          <w:highlight w:val="none"/>
        </w:rPr>
      </w:pPr>
    </w:p>
    <w:p w14:paraId="555B082D">
      <w:pPr>
        <w:spacing w:line="360" w:lineRule="auto"/>
        <w:ind w:right="420" w:firstLine="3614" w:firstLineChars="1000"/>
        <w:rPr>
          <w:rFonts w:hint="eastAsia" w:ascii="宋体" w:hAnsi="宋体" w:cs="宋体"/>
          <w:b/>
          <w:color w:val="auto"/>
          <w:kern w:val="0"/>
          <w:sz w:val="36"/>
          <w:szCs w:val="36"/>
          <w:highlight w:val="none"/>
        </w:rPr>
      </w:pPr>
    </w:p>
    <w:p w14:paraId="1A20B5F0">
      <w:pPr>
        <w:spacing w:line="360" w:lineRule="auto"/>
        <w:ind w:right="420" w:firstLine="3614" w:firstLineChars="1000"/>
        <w:rPr>
          <w:rFonts w:hint="eastAsia" w:ascii="宋体" w:hAnsi="宋体" w:cs="宋体"/>
          <w:b/>
          <w:color w:val="auto"/>
          <w:kern w:val="0"/>
          <w:sz w:val="36"/>
          <w:szCs w:val="36"/>
          <w:highlight w:val="none"/>
        </w:rPr>
      </w:pPr>
    </w:p>
    <w:p w14:paraId="744CC5D2">
      <w:pPr>
        <w:spacing w:line="360" w:lineRule="auto"/>
        <w:ind w:right="420" w:firstLine="3614" w:firstLineChars="1000"/>
        <w:rPr>
          <w:rFonts w:hint="eastAsia" w:ascii="宋体" w:hAnsi="宋体" w:cs="宋体"/>
          <w:b/>
          <w:color w:val="auto"/>
          <w:kern w:val="0"/>
          <w:sz w:val="36"/>
          <w:szCs w:val="36"/>
          <w:highlight w:val="none"/>
        </w:rPr>
      </w:pPr>
    </w:p>
    <w:p w14:paraId="1ECC144E">
      <w:pPr>
        <w:spacing w:line="360" w:lineRule="auto"/>
        <w:ind w:right="420" w:firstLine="3614" w:firstLineChars="1000"/>
        <w:rPr>
          <w:rFonts w:hint="eastAsia" w:ascii="宋体" w:hAnsi="宋体" w:cs="宋体"/>
          <w:b/>
          <w:color w:val="auto"/>
          <w:kern w:val="0"/>
          <w:sz w:val="36"/>
          <w:szCs w:val="36"/>
          <w:highlight w:val="none"/>
        </w:rPr>
      </w:pPr>
    </w:p>
    <w:p w14:paraId="3ABA2CC5">
      <w:pPr>
        <w:spacing w:line="360" w:lineRule="auto"/>
        <w:ind w:right="420" w:firstLine="3614" w:firstLineChars="1000"/>
        <w:rPr>
          <w:rFonts w:hint="eastAsia" w:ascii="宋体" w:hAnsi="宋体" w:cs="宋体"/>
          <w:b/>
          <w:color w:val="auto"/>
          <w:kern w:val="0"/>
          <w:sz w:val="36"/>
          <w:szCs w:val="36"/>
          <w:highlight w:val="none"/>
        </w:rPr>
      </w:pPr>
    </w:p>
    <w:p w14:paraId="6B86FAC8">
      <w:pPr>
        <w:spacing w:line="360" w:lineRule="auto"/>
        <w:ind w:right="420" w:firstLine="3614" w:firstLineChars="1000"/>
        <w:rPr>
          <w:rFonts w:hint="eastAsia" w:ascii="宋体" w:hAnsi="宋体" w:cs="宋体"/>
          <w:b/>
          <w:color w:val="auto"/>
          <w:kern w:val="0"/>
          <w:sz w:val="36"/>
          <w:szCs w:val="36"/>
          <w:highlight w:val="none"/>
        </w:rPr>
      </w:pPr>
    </w:p>
    <w:p w14:paraId="0C3EC6EB">
      <w:pPr>
        <w:spacing w:line="360" w:lineRule="auto"/>
        <w:ind w:right="420" w:firstLine="3614" w:firstLineChars="1000"/>
        <w:rPr>
          <w:rFonts w:hint="eastAsia" w:ascii="宋体" w:hAnsi="宋体" w:cs="宋体"/>
          <w:b/>
          <w:color w:val="auto"/>
          <w:kern w:val="0"/>
          <w:sz w:val="36"/>
          <w:szCs w:val="36"/>
          <w:highlight w:val="none"/>
        </w:rPr>
      </w:pPr>
    </w:p>
    <w:p w14:paraId="56F54DFB">
      <w:pPr>
        <w:spacing w:line="360" w:lineRule="auto"/>
        <w:ind w:right="420" w:firstLine="3614" w:firstLineChars="1000"/>
        <w:rPr>
          <w:rFonts w:hint="eastAsia" w:ascii="宋体" w:hAnsi="宋体" w:cs="宋体"/>
          <w:b/>
          <w:color w:val="auto"/>
          <w:kern w:val="0"/>
          <w:sz w:val="36"/>
          <w:szCs w:val="36"/>
          <w:highlight w:val="none"/>
        </w:rPr>
      </w:pPr>
    </w:p>
    <w:p w14:paraId="68BE74FF">
      <w:pPr>
        <w:spacing w:line="360" w:lineRule="auto"/>
        <w:ind w:right="420" w:firstLine="3614" w:firstLineChars="1000"/>
        <w:rPr>
          <w:rFonts w:hint="eastAsia" w:ascii="宋体" w:hAnsi="宋体" w:cs="宋体"/>
          <w:b/>
          <w:color w:val="auto"/>
          <w:kern w:val="0"/>
          <w:sz w:val="36"/>
          <w:szCs w:val="36"/>
          <w:highlight w:val="none"/>
        </w:rPr>
      </w:pPr>
    </w:p>
    <w:p w14:paraId="073A351B">
      <w:pPr>
        <w:spacing w:line="360" w:lineRule="auto"/>
        <w:ind w:right="420" w:firstLine="3614" w:firstLineChars="1000"/>
        <w:rPr>
          <w:rFonts w:hint="eastAsia" w:ascii="宋体" w:hAnsi="宋体" w:cs="宋体"/>
          <w:b/>
          <w:color w:val="auto"/>
          <w:kern w:val="0"/>
          <w:sz w:val="36"/>
          <w:szCs w:val="36"/>
          <w:highlight w:val="none"/>
        </w:rPr>
      </w:pPr>
    </w:p>
    <w:p w14:paraId="726411A4">
      <w:pPr>
        <w:spacing w:line="360" w:lineRule="auto"/>
        <w:ind w:right="420" w:firstLine="3614" w:firstLineChars="1000"/>
        <w:rPr>
          <w:rFonts w:hint="eastAsia" w:ascii="宋体" w:hAnsi="宋体" w:cs="宋体"/>
          <w:b/>
          <w:color w:val="auto"/>
          <w:kern w:val="0"/>
          <w:sz w:val="36"/>
          <w:szCs w:val="36"/>
          <w:highlight w:val="none"/>
        </w:rPr>
      </w:pPr>
    </w:p>
    <w:p w14:paraId="63061046">
      <w:pPr>
        <w:spacing w:line="360" w:lineRule="auto"/>
        <w:ind w:right="420" w:firstLine="3614" w:firstLineChars="1000"/>
        <w:rPr>
          <w:rFonts w:hint="eastAsia" w:ascii="宋体" w:hAnsi="宋体" w:cs="宋体"/>
          <w:b/>
          <w:color w:val="auto"/>
          <w:kern w:val="0"/>
          <w:sz w:val="36"/>
          <w:szCs w:val="36"/>
          <w:highlight w:val="none"/>
        </w:rPr>
      </w:pPr>
    </w:p>
    <w:p w14:paraId="2F17E98E">
      <w:pPr>
        <w:spacing w:line="360" w:lineRule="auto"/>
        <w:ind w:right="420" w:firstLine="3614" w:firstLineChars="1000"/>
        <w:rPr>
          <w:rFonts w:hint="eastAsia" w:ascii="宋体" w:hAnsi="宋体" w:cs="宋体"/>
          <w:b/>
          <w:color w:val="auto"/>
          <w:kern w:val="0"/>
          <w:sz w:val="36"/>
          <w:szCs w:val="36"/>
          <w:highlight w:val="none"/>
        </w:rPr>
      </w:pPr>
    </w:p>
    <w:p w14:paraId="0DBAC19B">
      <w:pPr>
        <w:spacing w:line="360" w:lineRule="auto"/>
        <w:ind w:right="420" w:firstLine="3614" w:firstLineChars="1000"/>
        <w:rPr>
          <w:rFonts w:hint="eastAsia" w:ascii="宋体" w:hAnsi="宋体" w:cs="宋体"/>
          <w:b/>
          <w:color w:val="auto"/>
          <w:kern w:val="0"/>
          <w:sz w:val="36"/>
          <w:szCs w:val="36"/>
          <w:highlight w:val="none"/>
        </w:rPr>
      </w:pPr>
    </w:p>
    <w:p w14:paraId="60972970">
      <w:pPr>
        <w:spacing w:line="360" w:lineRule="auto"/>
        <w:ind w:right="420" w:firstLine="3614" w:firstLineChars="1000"/>
        <w:rPr>
          <w:rFonts w:hint="eastAsia" w:ascii="宋体" w:hAnsi="宋体" w:cs="宋体"/>
          <w:b/>
          <w:color w:val="auto"/>
          <w:kern w:val="0"/>
          <w:sz w:val="36"/>
          <w:szCs w:val="36"/>
          <w:highlight w:val="none"/>
        </w:rPr>
      </w:pPr>
    </w:p>
    <w:p w14:paraId="45180344">
      <w:pPr>
        <w:pageBreakBefore/>
        <w:widowControl/>
        <w:tabs>
          <w:tab w:val="left" w:pos="432"/>
        </w:tabs>
        <w:spacing w:before="100" w:beforeAutospacing="1" w:after="100" w:afterAutospacing="1" w:line="360" w:lineRule="auto"/>
        <w:jc w:val="center"/>
        <w:rPr>
          <w:rFonts w:hint="eastAsia" w:ascii="宋体" w:hAnsi="宋体" w:cs="宋体"/>
          <w:b/>
          <w:bCs/>
          <w:color w:val="auto"/>
          <w:highlight w:val="none"/>
        </w:rPr>
      </w:pPr>
      <w:bookmarkStart w:id="562" w:name="_Toc465665161"/>
      <w:r>
        <w:rPr>
          <w:rFonts w:hint="eastAsia" w:ascii="宋体" w:hAnsi="宋体" w:cs="宋体"/>
          <w:b/>
          <w:bCs/>
          <w:color w:val="auto"/>
          <w:highlight w:val="none"/>
        </w:rPr>
        <w:t>附件</w:t>
      </w:r>
      <w:bookmarkEnd w:id="562"/>
    </w:p>
    <w:p w14:paraId="36BC7C7D">
      <w:pPr>
        <w:spacing w:line="360" w:lineRule="auto"/>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16E77F3">
      <w:pPr>
        <w:spacing w:line="360" w:lineRule="auto"/>
        <w:jc w:val="center"/>
        <w:rPr>
          <w:rFonts w:hint="eastAsia" w:ascii="宋体" w:hAnsi="宋体" w:cs="宋体"/>
          <w:b/>
          <w:color w:val="auto"/>
          <w:spacing w:val="6"/>
          <w:sz w:val="32"/>
          <w:szCs w:val="32"/>
          <w:highlight w:val="none"/>
        </w:rPr>
      </w:pPr>
      <w:bookmarkStart w:id="563" w:name="OLE_LINK13"/>
      <w:bookmarkStart w:id="564" w:name="OLE_LINK14"/>
      <w:r>
        <w:rPr>
          <w:rFonts w:hint="eastAsia" w:ascii="宋体" w:hAnsi="宋体" w:cs="宋体"/>
          <w:b/>
          <w:color w:val="auto"/>
          <w:spacing w:val="6"/>
          <w:sz w:val="32"/>
          <w:szCs w:val="32"/>
          <w:highlight w:val="none"/>
        </w:rPr>
        <w:t>残疾人福利性单位声明函</w:t>
      </w:r>
    </w:p>
    <w:bookmarkEnd w:id="563"/>
    <w:bookmarkEnd w:id="564"/>
    <w:p w14:paraId="4EF53AD5">
      <w:pPr>
        <w:spacing w:line="360" w:lineRule="auto"/>
        <w:rPr>
          <w:rFonts w:hint="eastAsia" w:ascii="宋体" w:hAnsi="宋体" w:cs="宋体"/>
          <w:b/>
          <w:color w:val="auto"/>
          <w:spacing w:val="6"/>
          <w:sz w:val="30"/>
          <w:szCs w:val="30"/>
          <w:highlight w:val="none"/>
        </w:rPr>
      </w:pPr>
    </w:p>
    <w:p w14:paraId="1CE234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单位的</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023313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A8B5F82">
      <w:pPr>
        <w:spacing w:line="360" w:lineRule="auto"/>
        <w:ind w:firstLine="480" w:firstLineChars="200"/>
        <w:rPr>
          <w:rFonts w:hint="eastAsia" w:ascii="宋体" w:hAnsi="宋体" w:cs="宋体"/>
          <w:color w:val="auto"/>
          <w:sz w:val="24"/>
          <w:highlight w:val="none"/>
        </w:rPr>
      </w:pPr>
    </w:p>
    <w:p w14:paraId="592F0C30">
      <w:pPr>
        <w:spacing w:line="360" w:lineRule="auto"/>
        <w:ind w:firstLine="480" w:firstLineChars="200"/>
        <w:rPr>
          <w:rFonts w:hint="eastAsia" w:ascii="宋体" w:hAnsi="宋体" w:cs="宋体"/>
          <w:color w:val="auto"/>
          <w:sz w:val="24"/>
          <w:highlight w:val="none"/>
        </w:rPr>
      </w:pPr>
    </w:p>
    <w:p w14:paraId="4D0C46F8">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10E8FCDA">
      <w:pPr>
        <w:tabs>
          <w:tab w:val="left" w:pos="4860"/>
        </w:tabs>
        <w:spacing w:line="360" w:lineRule="auto"/>
        <w:ind w:right="1560" w:firstLine="480" w:firstLineChars="200"/>
        <w:jc w:val="center"/>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DA97DEC">
      <w:pPr>
        <w:spacing w:line="360" w:lineRule="auto"/>
        <w:ind w:firstLine="480" w:firstLineChars="200"/>
        <w:rPr>
          <w:rFonts w:hint="eastAsia" w:ascii="宋体" w:hAnsi="宋体" w:cs="宋体"/>
          <w:color w:val="auto"/>
          <w:sz w:val="24"/>
          <w:highlight w:val="none"/>
        </w:rPr>
      </w:pPr>
    </w:p>
    <w:p w14:paraId="72025CB4">
      <w:pPr>
        <w:spacing w:line="360" w:lineRule="auto"/>
        <w:ind w:firstLine="420" w:firstLineChars="200"/>
        <w:rPr>
          <w:rFonts w:hint="eastAsia" w:ascii="宋体" w:hAnsi="宋体" w:cs="宋体"/>
          <w:color w:val="auto"/>
          <w:highlight w:val="none"/>
        </w:rPr>
      </w:pPr>
    </w:p>
    <w:p w14:paraId="7D9EDAC2">
      <w:pPr>
        <w:spacing w:line="360" w:lineRule="auto"/>
        <w:ind w:firstLine="420" w:firstLineChars="200"/>
        <w:rPr>
          <w:rFonts w:hint="eastAsia" w:ascii="宋体" w:hAnsi="宋体" w:cs="宋体"/>
          <w:color w:val="auto"/>
          <w:highlight w:val="none"/>
        </w:rPr>
      </w:pPr>
    </w:p>
    <w:p w14:paraId="07A73CE5">
      <w:pPr>
        <w:spacing w:line="360" w:lineRule="auto"/>
        <w:ind w:firstLine="420" w:firstLineChars="200"/>
        <w:rPr>
          <w:rFonts w:hint="eastAsia" w:ascii="宋体" w:hAnsi="宋体" w:cs="宋体"/>
          <w:color w:val="auto"/>
          <w:highlight w:val="none"/>
        </w:rPr>
      </w:pPr>
    </w:p>
    <w:p w14:paraId="2E052032">
      <w:pPr>
        <w:spacing w:line="360" w:lineRule="auto"/>
        <w:ind w:firstLine="420" w:firstLineChars="200"/>
        <w:rPr>
          <w:rFonts w:hint="eastAsia" w:ascii="宋体" w:hAnsi="宋体" w:cs="宋体"/>
          <w:color w:val="auto"/>
          <w:highlight w:val="none"/>
        </w:rPr>
      </w:pPr>
    </w:p>
    <w:p w14:paraId="4C7D16B7">
      <w:pPr>
        <w:spacing w:line="360" w:lineRule="auto"/>
        <w:rPr>
          <w:rFonts w:hint="eastAsia" w:ascii="宋体" w:hAnsi="宋体" w:cs="宋体"/>
          <w:b/>
          <w:color w:val="auto"/>
          <w:sz w:val="24"/>
          <w:highlight w:val="none"/>
        </w:rPr>
      </w:pPr>
    </w:p>
    <w:p w14:paraId="3EA7553D">
      <w:pPr>
        <w:spacing w:line="360" w:lineRule="auto"/>
        <w:rPr>
          <w:rFonts w:hint="eastAsia" w:ascii="宋体" w:hAnsi="宋体" w:cs="宋体"/>
          <w:b/>
          <w:color w:val="auto"/>
          <w:sz w:val="24"/>
          <w:highlight w:val="none"/>
        </w:rPr>
      </w:pPr>
    </w:p>
    <w:p w14:paraId="11BC0C62">
      <w:pPr>
        <w:spacing w:line="360" w:lineRule="auto"/>
        <w:rPr>
          <w:rFonts w:hint="eastAsia" w:ascii="宋体" w:hAnsi="宋体" w:cs="宋体"/>
          <w:b/>
          <w:color w:val="auto"/>
          <w:sz w:val="24"/>
          <w:highlight w:val="none"/>
        </w:rPr>
      </w:pPr>
    </w:p>
    <w:p w14:paraId="29104DBD">
      <w:pPr>
        <w:spacing w:line="360" w:lineRule="auto"/>
        <w:rPr>
          <w:rFonts w:hint="eastAsia" w:ascii="宋体" w:hAnsi="宋体" w:cs="宋体"/>
          <w:b/>
          <w:color w:val="auto"/>
          <w:sz w:val="24"/>
          <w:highlight w:val="none"/>
        </w:rPr>
      </w:pPr>
    </w:p>
    <w:p w14:paraId="05DF4287">
      <w:pPr>
        <w:spacing w:line="360" w:lineRule="auto"/>
        <w:rPr>
          <w:rFonts w:hint="eastAsia" w:ascii="宋体" w:hAnsi="宋体" w:cs="宋体"/>
          <w:b/>
          <w:color w:val="auto"/>
          <w:sz w:val="24"/>
          <w:highlight w:val="none"/>
        </w:rPr>
      </w:pPr>
    </w:p>
    <w:p w14:paraId="3B3C06A1">
      <w:pPr>
        <w:spacing w:line="360" w:lineRule="auto"/>
        <w:rPr>
          <w:rFonts w:hint="eastAsia" w:ascii="宋体" w:hAnsi="宋体" w:cs="宋体"/>
          <w:b/>
          <w:color w:val="auto"/>
          <w:sz w:val="24"/>
          <w:highlight w:val="none"/>
        </w:rPr>
      </w:pPr>
    </w:p>
    <w:p w14:paraId="61B3ABE8">
      <w:pPr>
        <w:spacing w:line="360" w:lineRule="auto"/>
        <w:rPr>
          <w:rFonts w:hint="eastAsia" w:ascii="宋体" w:hAnsi="宋体" w:cs="宋体"/>
          <w:b/>
          <w:color w:val="auto"/>
          <w:sz w:val="24"/>
          <w:highlight w:val="none"/>
        </w:rPr>
      </w:pPr>
    </w:p>
    <w:p w14:paraId="67D4C996">
      <w:pPr>
        <w:spacing w:line="360" w:lineRule="auto"/>
        <w:rPr>
          <w:rFonts w:hint="eastAsia" w:ascii="宋体" w:hAnsi="宋体" w:cs="宋体"/>
          <w:b/>
          <w:color w:val="auto"/>
          <w:sz w:val="24"/>
          <w:highlight w:val="none"/>
        </w:rPr>
      </w:pPr>
    </w:p>
    <w:p w14:paraId="01D78DA8">
      <w:pPr>
        <w:spacing w:line="360" w:lineRule="auto"/>
        <w:rPr>
          <w:rFonts w:hint="eastAsia" w:ascii="宋体" w:hAnsi="宋体" w:cs="宋体"/>
          <w:b/>
          <w:color w:val="auto"/>
          <w:sz w:val="24"/>
          <w:highlight w:val="none"/>
        </w:rPr>
      </w:pPr>
    </w:p>
    <w:p w14:paraId="54B7FE84">
      <w:pPr>
        <w:spacing w:line="360" w:lineRule="auto"/>
        <w:jc w:val="left"/>
        <w:rPr>
          <w:rFonts w:hint="eastAsia" w:ascii="宋体" w:hAnsi="宋体" w:cs="宋体"/>
          <w:b/>
          <w:color w:val="auto"/>
          <w:spacing w:val="6"/>
          <w:sz w:val="32"/>
          <w:szCs w:val="32"/>
          <w:highlight w:val="none"/>
        </w:rPr>
      </w:pPr>
    </w:p>
    <w:p w14:paraId="6E8C2338">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53F30A3A">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ECEE0C3">
      <w:pPr>
        <w:snapToGrid w:val="0"/>
        <w:spacing w:before="240" w:beforeLines="100" w:line="360" w:lineRule="auto"/>
        <w:rPr>
          <w:rFonts w:hint="eastAsia" w:ascii="宋体" w:hAnsi="宋体" w:cs="宋体"/>
          <w:bCs/>
          <w:color w:val="auto"/>
          <w:sz w:val="24"/>
          <w:highlight w:val="none"/>
        </w:rPr>
      </w:pPr>
      <w:r>
        <w:rPr>
          <w:rFonts w:hint="eastAsia" w:ascii="宋体" w:hAnsi="宋体" w:cs="宋体"/>
          <w:bCs/>
          <w:color w:val="auto"/>
          <w:sz w:val="24"/>
          <w:highlight w:val="none"/>
        </w:rPr>
        <w:t>一、质疑供应商基本信息</w:t>
      </w:r>
    </w:p>
    <w:p w14:paraId="5F72FC3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111B08C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44DA33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CB1CC4">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0900F0C7">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19EE00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E159CBB">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二、质疑项目基本情况</w:t>
      </w:r>
    </w:p>
    <w:p w14:paraId="0B6D7904">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B088E3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E666661">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2AD165FD">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招标文件获取日期：</w:t>
      </w:r>
      <w:r>
        <w:rPr>
          <w:rFonts w:hint="eastAsia" w:ascii="宋体" w:hAnsi="宋体" w:cs="宋体"/>
          <w:color w:val="auto"/>
          <w:sz w:val="24"/>
          <w:highlight w:val="none"/>
          <w:u w:val="dotted"/>
        </w:rPr>
        <w:t xml:space="preserve">                                           </w:t>
      </w:r>
    </w:p>
    <w:p w14:paraId="29873156">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三、质疑事项具体内容</w:t>
      </w:r>
    </w:p>
    <w:p w14:paraId="1FB32C8C">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6AD9B7DE">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18CE2B0">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u w:val="dotted"/>
        </w:rPr>
        <w:t xml:space="preserve">                                                       </w:t>
      </w:r>
    </w:p>
    <w:p w14:paraId="73DBD58F">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DE6336B">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53BDDE5">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质疑事项2</w:t>
      </w:r>
    </w:p>
    <w:p w14:paraId="4EF989FE">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p>
    <w:p w14:paraId="3B7B745A">
      <w:pPr>
        <w:snapToGrid w:val="0"/>
        <w:spacing w:line="360" w:lineRule="auto"/>
        <w:rPr>
          <w:rFonts w:hint="eastAsia"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AD3AC10">
      <w:pPr>
        <w:snapToGrid w:val="0"/>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57F0875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58AF96F5">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032A5A4F">
      <w:pPr>
        <w:spacing w:line="360" w:lineRule="auto"/>
        <w:jc w:val="center"/>
        <w:rPr>
          <w:rFonts w:hint="eastAsia" w:ascii="宋体" w:hAnsi="宋体" w:cs="宋体"/>
          <w:b/>
          <w:bCs/>
          <w:color w:val="auto"/>
          <w:sz w:val="24"/>
          <w:highlight w:val="none"/>
        </w:rPr>
      </w:pPr>
    </w:p>
    <w:p w14:paraId="71A6AC84">
      <w:pPr>
        <w:spacing w:line="360" w:lineRule="auto"/>
        <w:rPr>
          <w:rFonts w:hint="eastAsia" w:ascii="宋体" w:hAnsi="宋体" w:cs="宋体"/>
          <w:b/>
          <w:color w:val="auto"/>
          <w:sz w:val="24"/>
          <w:highlight w:val="none"/>
        </w:rPr>
      </w:pPr>
    </w:p>
    <w:p w14:paraId="2745ADDB">
      <w:pPr>
        <w:spacing w:line="360" w:lineRule="auto"/>
        <w:rPr>
          <w:rFonts w:hint="eastAsia" w:ascii="宋体" w:hAnsi="宋体" w:cs="宋体"/>
          <w:b/>
          <w:color w:val="auto"/>
          <w:sz w:val="24"/>
          <w:highlight w:val="none"/>
        </w:rPr>
      </w:pPr>
    </w:p>
    <w:p w14:paraId="55813350">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质疑函制作说明：</w:t>
      </w:r>
    </w:p>
    <w:p w14:paraId="165CE35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5B72658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B34C7CE">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3142DB6A">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023DA84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A74AA99">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76C2C83">
      <w:pPr>
        <w:widowControl/>
        <w:spacing w:line="360" w:lineRule="auto"/>
        <w:ind w:firstLine="600" w:firstLineChars="200"/>
        <w:jc w:val="left"/>
        <w:rPr>
          <w:rFonts w:hint="eastAsia" w:ascii="宋体" w:hAnsi="宋体" w:cs="宋体"/>
          <w:color w:val="auto"/>
          <w:sz w:val="30"/>
          <w:szCs w:val="30"/>
          <w:highlight w:val="none"/>
        </w:rPr>
      </w:pPr>
    </w:p>
    <w:p w14:paraId="0E40C856">
      <w:pPr>
        <w:spacing w:line="360" w:lineRule="auto"/>
        <w:jc w:val="center"/>
        <w:rPr>
          <w:rFonts w:hint="eastAsia" w:ascii="宋体" w:hAnsi="宋体" w:cs="宋体"/>
          <w:b/>
          <w:color w:val="auto"/>
          <w:spacing w:val="6"/>
          <w:sz w:val="32"/>
          <w:szCs w:val="32"/>
          <w:highlight w:val="none"/>
        </w:rPr>
      </w:pPr>
    </w:p>
    <w:p w14:paraId="22808664">
      <w:pPr>
        <w:spacing w:line="360" w:lineRule="auto"/>
        <w:jc w:val="center"/>
        <w:rPr>
          <w:rFonts w:hint="eastAsia" w:ascii="宋体" w:hAnsi="宋体" w:cs="宋体"/>
          <w:b/>
          <w:color w:val="auto"/>
          <w:spacing w:val="6"/>
          <w:sz w:val="32"/>
          <w:szCs w:val="32"/>
          <w:highlight w:val="none"/>
        </w:rPr>
      </w:pPr>
    </w:p>
    <w:p w14:paraId="446A1F21">
      <w:pPr>
        <w:spacing w:line="360" w:lineRule="auto"/>
        <w:jc w:val="center"/>
        <w:rPr>
          <w:rFonts w:hint="eastAsia" w:ascii="宋体" w:hAnsi="宋体" w:cs="宋体"/>
          <w:b/>
          <w:color w:val="auto"/>
          <w:spacing w:val="6"/>
          <w:sz w:val="32"/>
          <w:szCs w:val="32"/>
          <w:highlight w:val="none"/>
        </w:rPr>
      </w:pPr>
    </w:p>
    <w:p w14:paraId="55B7155D">
      <w:pPr>
        <w:spacing w:line="360" w:lineRule="auto"/>
        <w:jc w:val="center"/>
        <w:rPr>
          <w:rFonts w:hint="eastAsia" w:ascii="宋体" w:hAnsi="宋体" w:cs="宋体"/>
          <w:b/>
          <w:color w:val="auto"/>
          <w:spacing w:val="6"/>
          <w:sz w:val="32"/>
          <w:szCs w:val="32"/>
          <w:highlight w:val="none"/>
        </w:rPr>
      </w:pPr>
    </w:p>
    <w:p w14:paraId="725D2DEA">
      <w:pPr>
        <w:spacing w:line="360" w:lineRule="auto"/>
        <w:jc w:val="center"/>
        <w:rPr>
          <w:rFonts w:hint="eastAsia" w:ascii="宋体" w:hAnsi="宋体" w:cs="宋体"/>
          <w:b/>
          <w:color w:val="auto"/>
          <w:spacing w:val="6"/>
          <w:sz w:val="32"/>
          <w:szCs w:val="32"/>
          <w:highlight w:val="none"/>
        </w:rPr>
      </w:pPr>
    </w:p>
    <w:p w14:paraId="65EB3730">
      <w:pPr>
        <w:spacing w:line="360" w:lineRule="auto"/>
        <w:jc w:val="center"/>
        <w:rPr>
          <w:rFonts w:hint="eastAsia" w:ascii="宋体" w:hAnsi="宋体" w:cs="宋体"/>
          <w:b/>
          <w:color w:val="auto"/>
          <w:spacing w:val="6"/>
          <w:sz w:val="32"/>
          <w:szCs w:val="32"/>
          <w:highlight w:val="none"/>
        </w:rPr>
      </w:pPr>
    </w:p>
    <w:p w14:paraId="15CABD50">
      <w:pPr>
        <w:spacing w:line="360" w:lineRule="auto"/>
        <w:jc w:val="center"/>
        <w:rPr>
          <w:rFonts w:hint="eastAsia" w:ascii="宋体" w:hAnsi="宋体" w:cs="宋体"/>
          <w:b/>
          <w:color w:val="auto"/>
          <w:spacing w:val="6"/>
          <w:sz w:val="32"/>
          <w:szCs w:val="32"/>
          <w:highlight w:val="none"/>
        </w:rPr>
      </w:pPr>
    </w:p>
    <w:p w14:paraId="05F33367">
      <w:pPr>
        <w:spacing w:line="360" w:lineRule="auto"/>
        <w:jc w:val="center"/>
        <w:rPr>
          <w:rFonts w:hint="eastAsia" w:ascii="宋体" w:hAnsi="宋体" w:cs="宋体"/>
          <w:b/>
          <w:color w:val="auto"/>
          <w:spacing w:val="6"/>
          <w:sz w:val="32"/>
          <w:szCs w:val="32"/>
          <w:highlight w:val="none"/>
        </w:rPr>
      </w:pPr>
    </w:p>
    <w:p w14:paraId="54B29D9A">
      <w:pPr>
        <w:spacing w:line="360" w:lineRule="auto"/>
        <w:jc w:val="center"/>
        <w:rPr>
          <w:rFonts w:hint="eastAsia" w:ascii="宋体" w:hAnsi="宋体" w:cs="宋体"/>
          <w:b/>
          <w:color w:val="auto"/>
          <w:spacing w:val="6"/>
          <w:sz w:val="32"/>
          <w:szCs w:val="32"/>
          <w:highlight w:val="none"/>
        </w:rPr>
      </w:pPr>
    </w:p>
    <w:p w14:paraId="46A8AAE6">
      <w:pPr>
        <w:spacing w:line="360" w:lineRule="auto"/>
        <w:jc w:val="center"/>
        <w:rPr>
          <w:rFonts w:hint="eastAsia" w:ascii="宋体" w:hAnsi="宋体" w:cs="宋体"/>
          <w:b/>
          <w:color w:val="auto"/>
          <w:spacing w:val="6"/>
          <w:sz w:val="32"/>
          <w:szCs w:val="32"/>
          <w:highlight w:val="none"/>
        </w:rPr>
      </w:pPr>
    </w:p>
    <w:p w14:paraId="48F41F19">
      <w:pPr>
        <w:spacing w:line="360" w:lineRule="auto"/>
        <w:jc w:val="center"/>
        <w:rPr>
          <w:rFonts w:hint="eastAsia" w:ascii="宋体" w:hAnsi="宋体" w:cs="宋体"/>
          <w:b/>
          <w:color w:val="auto"/>
          <w:spacing w:val="6"/>
          <w:sz w:val="32"/>
          <w:szCs w:val="32"/>
          <w:highlight w:val="none"/>
        </w:rPr>
      </w:pPr>
    </w:p>
    <w:p w14:paraId="2DAB9572">
      <w:pPr>
        <w:spacing w:line="360" w:lineRule="auto"/>
        <w:jc w:val="center"/>
        <w:rPr>
          <w:rFonts w:hint="eastAsia" w:ascii="宋体" w:hAnsi="宋体" w:cs="宋体"/>
          <w:b/>
          <w:color w:val="auto"/>
          <w:spacing w:val="6"/>
          <w:sz w:val="32"/>
          <w:szCs w:val="32"/>
          <w:highlight w:val="none"/>
        </w:rPr>
      </w:pPr>
    </w:p>
    <w:p w14:paraId="504F3D7A">
      <w:pPr>
        <w:spacing w:line="360" w:lineRule="auto"/>
        <w:jc w:val="left"/>
        <w:rPr>
          <w:rFonts w:hint="eastAsia" w:ascii="宋体" w:hAnsi="宋体" w:cs="宋体"/>
          <w:b/>
          <w:color w:val="auto"/>
          <w:spacing w:val="6"/>
          <w:sz w:val="32"/>
          <w:szCs w:val="32"/>
          <w:highlight w:val="none"/>
        </w:rPr>
      </w:pPr>
    </w:p>
    <w:p w14:paraId="0C625B58">
      <w:pPr>
        <w:spacing w:line="360" w:lineRule="auto"/>
        <w:jc w:val="left"/>
        <w:rPr>
          <w:rFonts w:hint="eastAsia" w:ascii="宋体" w:hAnsi="宋体" w:cs="宋体"/>
          <w:b/>
          <w:color w:val="auto"/>
          <w:spacing w:val="6"/>
          <w:sz w:val="32"/>
          <w:szCs w:val="32"/>
          <w:highlight w:val="none"/>
        </w:rPr>
      </w:pPr>
    </w:p>
    <w:p w14:paraId="086F894C">
      <w:pPr>
        <w:spacing w:line="360" w:lineRule="auto"/>
        <w:jc w:val="left"/>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B657EE6">
      <w:pPr>
        <w:spacing w:line="360" w:lineRule="auto"/>
        <w:jc w:val="center"/>
        <w:rPr>
          <w:rFonts w:hint="eastAsia" w:ascii="宋体" w:hAnsi="宋体" w:cs="宋体"/>
          <w:b/>
          <w:color w:val="auto"/>
          <w:sz w:val="24"/>
          <w:highlight w:val="none"/>
        </w:rPr>
      </w:pPr>
    </w:p>
    <w:p w14:paraId="5D0D454B">
      <w:pPr>
        <w:spacing w:line="360" w:lineRule="auto"/>
        <w:jc w:val="cente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4424B426">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一、投诉相关主体基本情况</w:t>
      </w:r>
    </w:p>
    <w:p w14:paraId="62F2868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045E7AC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EB30B54">
      <w:pPr>
        <w:tabs>
          <w:tab w:val="left" w:pos="6510"/>
        </w:tabs>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E359887">
      <w:pPr>
        <w:tabs>
          <w:tab w:val="left" w:pos="6510"/>
        </w:tabs>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452A19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752229D">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1DE815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5CEB9B">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843533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984B3B">
      <w:pPr>
        <w:spacing w:line="360" w:lineRule="auto"/>
        <w:rPr>
          <w:rFonts w:hint="eastAsia" w:ascii="宋体" w:hAnsi="宋体" w:cs="宋体"/>
          <w:color w:val="auto"/>
          <w:sz w:val="24"/>
          <w:highlight w:val="none"/>
        </w:rPr>
      </w:pPr>
      <w:r>
        <w:rPr>
          <w:rFonts w:hint="eastAsia" w:ascii="宋体" w:hAnsi="宋体" w:cs="宋体"/>
          <w:color w:val="auto"/>
          <w:sz w:val="24"/>
          <w:highlight w:val="none"/>
        </w:rPr>
        <w:t>被投诉人2</w:t>
      </w:r>
    </w:p>
    <w:p w14:paraId="5C3838B1">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52740590">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463686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DFADBF">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8180EA8">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二、投诉项目基本情况</w:t>
      </w:r>
    </w:p>
    <w:p w14:paraId="6B86796E">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5DA3DA31">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D7FE214">
      <w:pPr>
        <w:spacing w:line="360" w:lineRule="auto"/>
        <w:rPr>
          <w:rFonts w:hint="eastAsia"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5C06BB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3EE252C6">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招标文件公告：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20A9C73">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4E6F7007">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三、质疑基本情况</w:t>
      </w:r>
    </w:p>
    <w:p w14:paraId="7D7C97D6">
      <w:pPr>
        <w:spacing w:line="360" w:lineRule="auto"/>
        <w:ind w:firstLine="480" w:firstLineChars="200"/>
        <w:rPr>
          <w:rFonts w:hint="eastAsia"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3984CC0">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99DD08C">
      <w:pPr>
        <w:spacing w:line="360" w:lineRule="auto"/>
        <w:ind w:firstLine="360" w:firstLineChars="150"/>
        <w:rPr>
          <w:rFonts w:hint="eastAsia"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7D08D411">
      <w:pPr>
        <w:spacing w:line="360" w:lineRule="auto"/>
        <w:rPr>
          <w:rFonts w:hint="eastAsia" w:ascii="宋体" w:hAnsi="宋体" w:cs="宋体"/>
          <w:color w:val="auto"/>
          <w:sz w:val="24"/>
          <w:highlight w:val="none"/>
        </w:rPr>
      </w:pPr>
      <w:r>
        <w:rPr>
          <w:rFonts w:hint="eastAsia" w:ascii="宋体" w:hAnsi="宋体" w:cs="宋体"/>
          <w:color w:val="auto"/>
          <w:sz w:val="24"/>
          <w:highlight w:val="none"/>
        </w:rPr>
        <w:t>四、投诉事项具体内容</w:t>
      </w:r>
    </w:p>
    <w:p w14:paraId="3FED21B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2342A7EB">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F5D4BEC">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4EA6FA7">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57BF928">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0EED3D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投诉事项2</w:t>
      </w:r>
    </w:p>
    <w:p w14:paraId="330F6467">
      <w:pPr>
        <w:spacing w:line="360" w:lineRule="auto"/>
        <w:rPr>
          <w:rFonts w:hint="eastAsia" w:ascii="宋体" w:hAnsi="宋体" w:cs="宋体"/>
          <w:color w:val="auto"/>
          <w:sz w:val="24"/>
          <w:highlight w:val="none"/>
          <w:u w:val="dotted"/>
        </w:rPr>
      </w:pPr>
      <w:r>
        <w:rPr>
          <w:rFonts w:hint="eastAsia" w:ascii="宋体" w:hAnsi="宋体" w:cs="宋体"/>
          <w:color w:val="auto"/>
          <w:sz w:val="24"/>
          <w:highlight w:val="none"/>
        </w:rPr>
        <w:t>……</w:t>
      </w:r>
    </w:p>
    <w:p w14:paraId="227195B9">
      <w:pPr>
        <w:spacing w:line="360" w:lineRule="auto"/>
        <w:rPr>
          <w:rFonts w:hint="eastAsia" w:ascii="宋体" w:hAnsi="宋体" w:cs="宋体"/>
          <w:color w:val="auto"/>
          <w:sz w:val="24"/>
          <w:highlight w:val="none"/>
        </w:rPr>
      </w:pPr>
      <w:r>
        <w:rPr>
          <w:rFonts w:hint="eastAsia" w:ascii="宋体" w:hAnsi="宋体" w:cs="宋体"/>
          <w:color w:val="auto"/>
          <w:sz w:val="24"/>
          <w:highlight w:val="none"/>
        </w:rPr>
        <w:t>五、与投诉事项相关的投诉请求</w:t>
      </w:r>
    </w:p>
    <w:p w14:paraId="6438E6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C0B3ECC">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 xml:space="preserve">                                                                                                    </w:t>
      </w:r>
    </w:p>
    <w:p w14:paraId="35BBC721">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签字（签章）：                   公章：                      </w:t>
      </w:r>
    </w:p>
    <w:p w14:paraId="6E0325BD">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日期：    </w:t>
      </w:r>
    </w:p>
    <w:p w14:paraId="3D24EC1D">
      <w:pPr>
        <w:spacing w:line="360" w:lineRule="auto"/>
        <w:rPr>
          <w:rFonts w:hint="eastAsia" w:ascii="宋体" w:hAnsi="宋体" w:cs="宋体"/>
          <w:b/>
          <w:color w:val="auto"/>
          <w:sz w:val="24"/>
          <w:highlight w:val="none"/>
        </w:rPr>
      </w:pPr>
    </w:p>
    <w:p w14:paraId="794FED43">
      <w:pPr>
        <w:spacing w:line="360" w:lineRule="auto"/>
        <w:rPr>
          <w:rFonts w:hint="eastAsia" w:ascii="宋体" w:hAnsi="宋体" w:cs="宋体"/>
          <w:b/>
          <w:color w:val="auto"/>
          <w:sz w:val="24"/>
          <w:highlight w:val="none"/>
        </w:rPr>
      </w:pPr>
    </w:p>
    <w:p w14:paraId="1FF94F52">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投诉书制作说明：</w:t>
      </w:r>
    </w:p>
    <w:p w14:paraId="57D820A2">
      <w:pPr>
        <w:widowControl/>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57381A6">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9A5A3BB">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C7F139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0A0E0F6F">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3E8FCA0">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1754F615">
      <w:pPr>
        <w:widowControl/>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17ACE0E">
      <w:pPr>
        <w:spacing w:line="360" w:lineRule="auto"/>
        <w:rPr>
          <w:rFonts w:hint="eastAsia" w:ascii="宋体" w:hAnsi="宋体" w:cs="宋体"/>
          <w:b/>
          <w:color w:val="auto"/>
          <w:sz w:val="24"/>
          <w:highlight w:val="none"/>
        </w:rPr>
      </w:pPr>
    </w:p>
    <w:p w14:paraId="3B097FF0">
      <w:pPr>
        <w:autoSpaceDE w:val="0"/>
        <w:autoSpaceDN w:val="0"/>
        <w:jc w:val="center"/>
        <w:rPr>
          <w:rFonts w:hint="eastAsia" w:ascii="宋体" w:hAnsi="宋体" w:cs="宋体"/>
          <w:b/>
          <w:color w:val="auto"/>
          <w:spacing w:val="6"/>
          <w:sz w:val="32"/>
          <w:szCs w:val="32"/>
          <w:highlight w:val="none"/>
        </w:rPr>
      </w:pPr>
    </w:p>
    <w:p w14:paraId="09536279">
      <w:pPr>
        <w:autoSpaceDE w:val="0"/>
        <w:autoSpaceDN w:val="0"/>
        <w:jc w:val="center"/>
        <w:rPr>
          <w:rFonts w:hint="eastAsia" w:ascii="宋体" w:hAnsi="宋体" w:cs="宋体"/>
          <w:b/>
          <w:color w:val="auto"/>
          <w:spacing w:val="6"/>
          <w:sz w:val="32"/>
          <w:szCs w:val="32"/>
          <w:highlight w:val="none"/>
        </w:rPr>
      </w:pPr>
    </w:p>
    <w:p w14:paraId="1F6600E3">
      <w:pPr>
        <w:autoSpaceDE w:val="0"/>
        <w:autoSpaceDN w:val="0"/>
        <w:jc w:val="center"/>
        <w:rPr>
          <w:rFonts w:hint="eastAsia"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184CB9C2">
      <w:pPr>
        <w:spacing w:line="360" w:lineRule="auto"/>
        <w:rPr>
          <w:rFonts w:hint="eastAsia" w:ascii="宋体" w:hAnsi="宋体" w:cs="宋体"/>
          <w:color w:val="auto"/>
          <w:sz w:val="24"/>
          <w:highlight w:val="none"/>
          <w:u w:val="single"/>
        </w:rPr>
      </w:pPr>
    </w:p>
    <w:p w14:paraId="2E205B18">
      <w:pPr>
        <w:spacing w:line="360" w:lineRule="auto"/>
        <w:rPr>
          <w:rFonts w:hint="eastAsia" w:ascii="宋体" w:hAnsi="宋体" w:cs="宋体"/>
          <w:color w:val="auto"/>
          <w:sz w:val="24"/>
          <w:highlight w:val="none"/>
        </w:rPr>
      </w:pPr>
      <w:r>
        <w:rPr>
          <w:rFonts w:hint="eastAsia" w:ascii="宋体" w:hAnsi="宋体" w:cs="宋体"/>
          <w:color w:val="auto"/>
          <w:sz w:val="24"/>
          <w:highlight w:val="none"/>
          <w:u w:val="single"/>
        </w:rPr>
        <w:t>（采购人）、（采购代理机构）：</w:t>
      </w:r>
    </w:p>
    <w:p w14:paraId="4E1D472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F3E50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特此说明。</w:t>
      </w:r>
    </w:p>
    <w:p w14:paraId="737AAD2A">
      <w:pPr>
        <w:spacing w:line="360" w:lineRule="auto"/>
        <w:ind w:firstLine="494"/>
        <w:rPr>
          <w:rFonts w:hint="eastAsia" w:ascii="宋体" w:hAnsi="宋体" w:cs="宋体"/>
          <w:color w:val="auto"/>
          <w:sz w:val="24"/>
          <w:highlight w:val="none"/>
        </w:rPr>
      </w:pPr>
    </w:p>
    <w:p w14:paraId="18BE1B98">
      <w:pPr>
        <w:spacing w:line="360" w:lineRule="auto"/>
        <w:ind w:firstLine="494"/>
        <w:rPr>
          <w:rFonts w:hint="eastAsia" w:ascii="宋体" w:hAnsi="宋体" w:cs="宋体"/>
          <w:color w:val="auto"/>
          <w:sz w:val="24"/>
          <w:highlight w:val="none"/>
        </w:rPr>
      </w:pPr>
    </w:p>
    <w:p w14:paraId="085D209A">
      <w:pPr>
        <w:spacing w:line="360" w:lineRule="auto"/>
        <w:ind w:firstLine="494"/>
        <w:rPr>
          <w:rFonts w:hint="eastAsia" w:ascii="宋体" w:hAnsi="宋体" w:cs="宋体"/>
          <w:color w:val="auto"/>
          <w:sz w:val="24"/>
          <w:highlight w:val="none"/>
        </w:rPr>
      </w:pPr>
    </w:p>
    <w:p w14:paraId="7A39D5B4">
      <w:pPr>
        <w:spacing w:line="360" w:lineRule="auto"/>
        <w:ind w:right="480" w:firstLine="4080" w:firstLineChars="1700"/>
        <w:rPr>
          <w:rFonts w:hint="eastAsia" w:ascii="宋体" w:hAnsi="宋体" w:cs="宋体"/>
          <w:color w:val="auto"/>
          <w:sz w:val="24"/>
          <w:highlight w:val="none"/>
        </w:rPr>
      </w:pPr>
      <w:r>
        <w:rPr>
          <w:rFonts w:hint="eastAsia" w:ascii="宋体" w:hAnsi="宋体" w:cs="宋体"/>
          <w:color w:val="auto"/>
          <w:sz w:val="24"/>
          <w:highlight w:val="none"/>
        </w:rPr>
        <w:t>投标单位（法定名称章）：</w:t>
      </w:r>
    </w:p>
    <w:p w14:paraId="19BFBE17">
      <w:pPr>
        <w:ind w:right="1440" w:firstLine="494"/>
        <w:jc w:val="center"/>
        <w:rPr>
          <w:rFonts w:hint="eastAsia" w:ascii="宋体" w:hAnsi="宋体" w:cs="宋体"/>
          <w:color w:val="auto"/>
          <w:sz w:val="24"/>
          <w:highlight w:val="none"/>
        </w:rPr>
      </w:pPr>
      <w:r>
        <w:rPr>
          <w:rFonts w:hint="eastAsia" w:ascii="宋体" w:hAnsi="宋体" w:cs="宋体"/>
          <w:color w:val="auto"/>
          <w:sz w:val="24"/>
          <w:highlight w:val="none"/>
        </w:rPr>
        <w:t xml:space="preserve">                              日期：       年     月     日</w:t>
      </w:r>
    </w:p>
    <w:p w14:paraId="6E27BF6F">
      <w:pPr>
        <w:rPr>
          <w:rFonts w:hint="eastAsia" w:ascii="宋体" w:hAnsi="宋体" w:cs="宋体"/>
          <w:color w:val="auto"/>
          <w:sz w:val="24"/>
          <w:highlight w:val="none"/>
        </w:rPr>
      </w:pPr>
      <w:r>
        <w:rPr>
          <w:rFonts w:hint="eastAsia" w:ascii="宋体" w:hAnsi="宋体" w:cs="宋体"/>
          <w:b/>
          <w:bCs/>
          <w:color w:val="auto"/>
          <w:sz w:val="24"/>
          <w:highlight w:val="none"/>
        </w:rPr>
        <w:t>附：</w:t>
      </w:r>
    </w:p>
    <w:p w14:paraId="5265694C">
      <w:pPr>
        <w:spacing w:line="360" w:lineRule="auto"/>
        <w:rPr>
          <w:rFonts w:hint="eastAsia"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txbx>
                        <w:txbxContent>
                          <w:p w14:paraId="74D6DE55">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ILD+2LwIAAH8EAAAOAAAAAAAAAAEAIAAAACcBAABkcnMvZTJvRG9jLnht&#10;bFBLBQYAAAAABgAGAFkBAADIBQAAAAA=&#10;">
                <v:fill on="t" focussize="0,0"/>
                <v:stroke color="#000000" miterlimit="2" joinstyle="miter"/>
                <v:imagedata o:title=""/>
                <o:lock v:ext="edit" aspectratio="f"/>
                <v:textbox>
                  <w:txbxContent>
                    <w:p w14:paraId="74D6DE55">
                      <w:pPr>
                        <w:jc w:val="center"/>
                      </w:pPr>
                    </w:p>
                  </w:txbxContent>
                </v:textbox>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txbx>
                        <w:txbxContent>
                          <w:p w14:paraId="0583C60D">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KL3uDLwIAAH8EAAAOAAAAAAAAAAEAIAAAACcBAABkcnMvZTJvRG9jLnht&#10;bFBLBQYAAAAABgAGAFkBAADIBQAAAAA=&#10;">
                <v:fill on="t" focussize="0,0"/>
                <v:stroke color="#000000" miterlimit="2" joinstyle="miter"/>
                <v:imagedata o:title=""/>
                <o:lock v:ext="edit" aspectratio="f"/>
                <v:textbox>
                  <w:txbxContent>
                    <w:p w14:paraId="0583C60D">
                      <w:pPr>
                        <w:jc w:val="center"/>
                      </w:pPr>
                    </w:p>
                  </w:txbxContent>
                </v:textbox>
              </v:rect>
            </w:pict>
          </mc:Fallback>
        </mc:AlternateContent>
      </w:r>
      <w:r>
        <w:rPr>
          <w:rFonts w:hint="eastAsia" w:ascii="宋体" w:hAnsi="宋体" w:cs="宋体"/>
          <w:color w:val="auto"/>
          <w:sz w:val="24"/>
          <w:highlight w:val="none"/>
        </w:rPr>
        <w:t>投标单位法定名称章（印模）                投标单位“XX专用章”（印模）</w:t>
      </w:r>
    </w:p>
    <w:p w14:paraId="719C1B77">
      <w:pPr>
        <w:autoSpaceDE w:val="0"/>
        <w:autoSpaceDN w:val="0"/>
        <w:jc w:val="center"/>
        <w:rPr>
          <w:rFonts w:hint="eastAsia" w:ascii="宋体" w:hAnsi="宋体" w:cs="宋体"/>
          <w:b/>
          <w:color w:val="auto"/>
          <w:spacing w:val="6"/>
          <w:sz w:val="32"/>
          <w:szCs w:val="32"/>
          <w:highlight w:val="none"/>
        </w:rPr>
      </w:pPr>
    </w:p>
    <w:p w14:paraId="3D8CA383">
      <w:pPr>
        <w:autoSpaceDE w:val="0"/>
        <w:autoSpaceDN w:val="0"/>
        <w:jc w:val="center"/>
        <w:rPr>
          <w:rFonts w:hint="eastAsia" w:ascii="宋体" w:hAnsi="宋体" w:cs="宋体"/>
          <w:b/>
          <w:color w:val="auto"/>
          <w:spacing w:val="6"/>
          <w:sz w:val="32"/>
          <w:szCs w:val="32"/>
          <w:highlight w:val="none"/>
        </w:rPr>
      </w:pPr>
    </w:p>
    <w:p w14:paraId="1888C472">
      <w:pPr>
        <w:autoSpaceDE w:val="0"/>
        <w:autoSpaceDN w:val="0"/>
        <w:jc w:val="center"/>
        <w:rPr>
          <w:rFonts w:hint="eastAsia" w:ascii="宋体" w:hAnsi="宋体" w:cs="宋体"/>
          <w:b/>
          <w:color w:val="auto"/>
          <w:spacing w:val="6"/>
          <w:sz w:val="32"/>
          <w:szCs w:val="32"/>
          <w:highlight w:val="none"/>
        </w:rPr>
      </w:pPr>
    </w:p>
    <w:p w14:paraId="690FFE70">
      <w:pPr>
        <w:autoSpaceDE w:val="0"/>
        <w:autoSpaceDN w:val="0"/>
        <w:jc w:val="center"/>
        <w:rPr>
          <w:rFonts w:hint="eastAsia" w:ascii="宋体" w:hAnsi="宋体" w:cs="宋体"/>
          <w:b/>
          <w:color w:val="auto"/>
          <w:spacing w:val="6"/>
          <w:sz w:val="32"/>
          <w:szCs w:val="32"/>
          <w:highlight w:val="none"/>
        </w:rPr>
      </w:pPr>
    </w:p>
    <w:p w14:paraId="3C943377">
      <w:pPr>
        <w:autoSpaceDE w:val="0"/>
        <w:autoSpaceDN w:val="0"/>
        <w:jc w:val="center"/>
        <w:rPr>
          <w:rFonts w:hint="eastAsia" w:ascii="宋体" w:hAnsi="宋体" w:cs="宋体"/>
          <w:b/>
          <w:color w:val="auto"/>
          <w:spacing w:val="6"/>
          <w:sz w:val="32"/>
          <w:szCs w:val="32"/>
          <w:highlight w:val="none"/>
        </w:rPr>
      </w:pPr>
    </w:p>
    <w:p w14:paraId="0A75FB72">
      <w:pPr>
        <w:autoSpaceDE w:val="0"/>
        <w:autoSpaceDN w:val="0"/>
        <w:jc w:val="center"/>
        <w:rPr>
          <w:rFonts w:hint="eastAsia" w:ascii="宋体" w:hAnsi="宋体" w:cs="宋体"/>
          <w:b/>
          <w:color w:val="auto"/>
          <w:spacing w:val="6"/>
          <w:sz w:val="32"/>
          <w:szCs w:val="32"/>
          <w:highlight w:val="none"/>
        </w:rPr>
      </w:pPr>
    </w:p>
    <w:p w14:paraId="53B1C15A">
      <w:pPr>
        <w:autoSpaceDE w:val="0"/>
        <w:autoSpaceDN w:val="0"/>
        <w:jc w:val="center"/>
        <w:rPr>
          <w:rFonts w:hint="eastAsia" w:ascii="宋体" w:hAnsi="宋体" w:cs="宋体"/>
          <w:b/>
          <w:color w:val="auto"/>
          <w:spacing w:val="6"/>
          <w:sz w:val="32"/>
          <w:szCs w:val="32"/>
          <w:highlight w:val="none"/>
        </w:rPr>
      </w:pPr>
    </w:p>
    <w:p w14:paraId="2CC82C21">
      <w:pPr>
        <w:autoSpaceDE w:val="0"/>
        <w:autoSpaceDN w:val="0"/>
        <w:jc w:val="center"/>
        <w:rPr>
          <w:rFonts w:hint="eastAsia" w:ascii="宋体" w:hAnsi="宋体" w:cs="宋体"/>
          <w:b/>
          <w:color w:val="auto"/>
          <w:spacing w:val="6"/>
          <w:sz w:val="32"/>
          <w:szCs w:val="32"/>
          <w:highlight w:val="none"/>
        </w:rPr>
      </w:pPr>
    </w:p>
    <w:p w14:paraId="572959BE">
      <w:pPr>
        <w:autoSpaceDE w:val="0"/>
        <w:autoSpaceDN w:val="0"/>
        <w:jc w:val="center"/>
        <w:rPr>
          <w:rFonts w:hint="eastAsia" w:ascii="宋体" w:hAnsi="宋体" w:cs="宋体"/>
          <w:b/>
          <w:color w:val="auto"/>
          <w:spacing w:val="6"/>
          <w:sz w:val="32"/>
          <w:szCs w:val="32"/>
          <w:highlight w:val="none"/>
        </w:rPr>
      </w:pPr>
    </w:p>
    <w:p w14:paraId="0F663FB0">
      <w:pPr>
        <w:autoSpaceDE w:val="0"/>
        <w:autoSpaceDN w:val="0"/>
        <w:jc w:val="center"/>
        <w:rPr>
          <w:rFonts w:hint="eastAsia" w:ascii="宋体" w:hAnsi="宋体" w:cs="宋体"/>
          <w:b/>
          <w:color w:val="auto"/>
          <w:spacing w:val="6"/>
          <w:sz w:val="32"/>
          <w:szCs w:val="32"/>
          <w:highlight w:val="none"/>
        </w:rPr>
      </w:pPr>
    </w:p>
    <w:p w14:paraId="5112307F">
      <w:pPr>
        <w:autoSpaceDE w:val="0"/>
        <w:autoSpaceDN w:val="0"/>
        <w:jc w:val="center"/>
        <w:rPr>
          <w:rFonts w:hint="eastAsia" w:ascii="宋体" w:hAnsi="宋体" w:cs="宋体"/>
          <w:b/>
          <w:color w:val="auto"/>
          <w:spacing w:val="6"/>
          <w:sz w:val="32"/>
          <w:szCs w:val="32"/>
          <w:highlight w:val="none"/>
        </w:rPr>
      </w:pPr>
    </w:p>
    <w:p w14:paraId="1F242B96">
      <w:pPr>
        <w:autoSpaceDE w:val="0"/>
        <w:autoSpaceDN w:val="0"/>
        <w:jc w:val="center"/>
        <w:rPr>
          <w:rFonts w:hint="eastAsia" w:ascii="宋体" w:hAnsi="宋体" w:cs="宋体"/>
          <w:b/>
          <w:color w:val="auto"/>
          <w:spacing w:val="6"/>
          <w:sz w:val="32"/>
          <w:szCs w:val="32"/>
          <w:highlight w:val="none"/>
        </w:rPr>
      </w:pPr>
    </w:p>
    <w:p w14:paraId="335048BC">
      <w:pPr>
        <w:autoSpaceDE w:val="0"/>
        <w:autoSpaceDN w:val="0"/>
        <w:jc w:val="center"/>
        <w:rPr>
          <w:rFonts w:hint="eastAsia" w:ascii="宋体" w:hAnsi="宋体" w:cs="宋体"/>
          <w:b/>
          <w:color w:val="auto"/>
          <w:spacing w:val="6"/>
          <w:sz w:val="32"/>
          <w:szCs w:val="32"/>
          <w:highlight w:val="none"/>
        </w:rPr>
      </w:pPr>
    </w:p>
    <w:p w14:paraId="405723D4">
      <w:pPr>
        <w:autoSpaceDE w:val="0"/>
        <w:autoSpaceDN w:val="0"/>
        <w:jc w:val="center"/>
        <w:rPr>
          <w:rFonts w:hint="eastAsia" w:ascii="宋体" w:hAnsi="宋体" w:cs="宋体"/>
          <w:b/>
          <w:color w:val="auto"/>
          <w:spacing w:val="6"/>
          <w:sz w:val="32"/>
          <w:szCs w:val="32"/>
          <w:highlight w:val="none"/>
        </w:rPr>
      </w:pPr>
    </w:p>
    <w:p w14:paraId="29D07AA0">
      <w:pPr>
        <w:autoSpaceDE w:val="0"/>
        <w:autoSpaceDN w:val="0"/>
        <w:jc w:val="center"/>
        <w:rPr>
          <w:rFonts w:hint="eastAsia" w:ascii="宋体" w:hAnsi="宋体" w:cs="宋体"/>
          <w:b/>
          <w:color w:val="auto"/>
          <w:spacing w:val="6"/>
          <w:sz w:val="32"/>
          <w:szCs w:val="32"/>
          <w:highlight w:val="none"/>
        </w:rPr>
      </w:pPr>
    </w:p>
    <w:p w14:paraId="51C1EDD2">
      <w:pPr>
        <w:autoSpaceDE w:val="0"/>
        <w:autoSpaceDN w:val="0"/>
        <w:jc w:val="center"/>
        <w:rPr>
          <w:rFonts w:hint="eastAsia" w:ascii="宋体" w:hAnsi="宋体" w:cs="宋体"/>
          <w:b/>
          <w:color w:val="auto"/>
          <w:spacing w:val="6"/>
          <w:sz w:val="32"/>
          <w:szCs w:val="32"/>
          <w:highlight w:val="none"/>
        </w:rPr>
      </w:pPr>
    </w:p>
    <w:p w14:paraId="0927E39C">
      <w:pPr>
        <w:snapToGrid w:val="0"/>
        <w:spacing w:line="360" w:lineRule="auto"/>
        <w:jc w:val="center"/>
        <w:rPr>
          <w:rFonts w:hint="eastAsia" w:ascii="宋体" w:hAnsi="宋体" w:cs="宋体"/>
          <w:b/>
          <w:color w:val="auto"/>
          <w:kern w:val="0"/>
          <w:sz w:val="32"/>
          <w:szCs w:val="32"/>
          <w:highlight w:val="none"/>
        </w:rPr>
      </w:pPr>
    </w:p>
    <w:p w14:paraId="550D56F3">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5</w:t>
      </w:r>
      <w:r>
        <w:rPr>
          <w:rFonts w:hint="eastAsia" w:ascii="宋体" w:hAnsi="宋体" w:cs="宋体"/>
          <w:b/>
          <w:color w:val="auto"/>
          <w:kern w:val="0"/>
          <w:sz w:val="32"/>
          <w:szCs w:val="32"/>
          <w:highlight w:val="none"/>
        </w:rPr>
        <w:t>：联合协议</w:t>
      </w:r>
    </w:p>
    <w:p w14:paraId="3E4FE90A">
      <w:pPr>
        <w:widowControl/>
        <w:spacing w:line="288" w:lineRule="auto"/>
        <w:ind w:firstLine="482" w:firstLineChars="200"/>
        <w:jc w:val="left"/>
        <w:rPr>
          <w:rFonts w:hint="eastAsia"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（以联合体形式投标的，提供联合协议；本项目不接受联合体投标或者供应商不以联合体形式投标的，则不需要提供）</w:t>
      </w:r>
    </w:p>
    <w:p w14:paraId="4925319D">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6E7C7E10">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5D08F1E3">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791A85F4">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113B9D52">
      <w:pPr>
        <w:snapToGrid w:val="0"/>
        <w:spacing w:line="288" w:lineRule="auto"/>
        <w:ind w:firstLine="576"/>
        <w:rPr>
          <w:rFonts w:hint="eastAsia" w:ascii="宋体" w:hAnsi="宋体" w:cs="宋体"/>
          <w:color w:val="auto"/>
          <w:kern w:val="0"/>
          <w:sz w:val="24"/>
          <w:highlight w:val="none"/>
          <w:lang w:val="zh-CN"/>
        </w:rPr>
      </w:pPr>
      <w:bookmarkStart w:id="565"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EA8D098">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DE927CA">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565"/>
    <w:p w14:paraId="742B93DE">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4B18279E">
      <w:pPr>
        <w:snapToGrid w:val="0"/>
        <w:spacing w:line="288" w:lineRule="auto"/>
        <w:ind w:firstLine="576"/>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提供的全部货物由小微企业制造，其合同份额占到合同总金额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2CB24DB8">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589AD28D">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37ACE8C2">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0E1D9277">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325326F">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ED7B384">
      <w:pPr>
        <w:snapToGrid w:val="0"/>
        <w:spacing w:line="288"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70FEFF68">
      <w:pPr>
        <w:snapToGrid w:val="0"/>
        <w:spacing w:line="288"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7FC3A16">
      <w:pPr>
        <w:snapToGrid w:val="0"/>
        <w:spacing w:line="288" w:lineRule="auto"/>
        <w:ind w:firstLine="5040" w:firstLine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343C9A">
      <w:pPr>
        <w:snapToGrid w:val="0"/>
        <w:spacing w:line="288" w:lineRule="auto"/>
        <w:ind w:right="960"/>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8B76D64">
      <w:pPr>
        <w:snapToGrid w:val="0"/>
        <w:spacing w:line="288"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73C2C75F">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50D2A960">
      <w:pPr>
        <w:rPr>
          <w:rFonts w:hint="eastAsia" w:ascii="宋体" w:hAnsi="宋体" w:cs="宋体"/>
          <w:color w:val="auto"/>
          <w:sz w:val="24"/>
          <w:highlight w:val="none"/>
        </w:rPr>
      </w:pPr>
      <w:r>
        <w:rPr>
          <w:rFonts w:hint="eastAsia" w:ascii="宋体" w:hAnsi="宋体" w:cs="宋体"/>
          <w:color w:val="auto"/>
          <w:sz w:val="24"/>
          <w:highlight w:val="none"/>
        </w:rPr>
        <w:br w:type="page"/>
      </w:r>
    </w:p>
    <w:p w14:paraId="1B4F761E">
      <w:pPr>
        <w:snapToGrid w:val="0"/>
        <w:spacing w:line="312" w:lineRule="auto"/>
        <w:jc w:val="cente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w:t>
      </w:r>
      <w:r>
        <w:rPr>
          <w:rFonts w:ascii="宋体" w:hAnsi="宋体" w:cs="宋体"/>
          <w:b/>
          <w:color w:val="auto"/>
          <w:kern w:val="0"/>
          <w:sz w:val="32"/>
          <w:szCs w:val="32"/>
          <w:highlight w:val="none"/>
        </w:rPr>
        <w:t>6</w:t>
      </w:r>
      <w:r>
        <w:rPr>
          <w:rFonts w:hint="eastAsia" w:ascii="宋体" w:hAnsi="宋体" w:cs="宋体"/>
          <w:b/>
          <w:color w:val="auto"/>
          <w:kern w:val="0"/>
          <w:sz w:val="32"/>
          <w:szCs w:val="32"/>
          <w:highlight w:val="none"/>
        </w:rPr>
        <w:t>：分包意向协议</w:t>
      </w:r>
    </w:p>
    <w:p w14:paraId="3B69F988">
      <w:pPr>
        <w:widowControl/>
        <w:spacing w:line="312" w:lineRule="auto"/>
        <w:ind w:firstLine="120" w:firstLineChars="50"/>
        <w:jc w:val="left"/>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中标后以分包方式履行合同的，提供分包意向协议；采购人不同意分包或者供应商中标后不以分包方式履行合同的，则不需要提供。</w:t>
      </w:r>
      <w:r>
        <w:rPr>
          <w:rFonts w:hint="eastAsia" w:ascii="宋体" w:hAnsi="宋体" w:cs="宋体"/>
          <w:color w:val="auto"/>
          <w:sz w:val="24"/>
          <w:highlight w:val="none"/>
        </w:rPr>
        <w:t>）</w:t>
      </w:r>
    </w:p>
    <w:p w14:paraId="0499D2D1">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11860E3C">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7776BF60">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39A8E590">
      <w:pPr>
        <w:tabs>
          <w:tab w:val="left" w:pos="432"/>
        </w:tabs>
        <w:spacing w:line="312" w:lineRule="auto"/>
        <w:ind w:left="664" w:leftChars="316" w:firstLine="228" w:firstLineChars="95"/>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2803817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284B1A">
      <w:pPr>
        <w:snapToGrid w:val="0"/>
        <w:spacing w:line="312" w:lineRule="auto"/>
        <w:ind w:firstLine="576"/>
        <w:rPr>
          <w:rFonts w:hint="eastAsia"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……）提供的货物全部由小微企业制造，</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32F9EDB">
      <w:pPr>
        <w:spacing w:line="312" w:lineRule="auto"/>
        <w:ind w:firstLine="480" w:firstLineChars="200"/>
        <w:rPr>
          <w:rFonts w:hint="eastAsia" w:ascii="宋体" w:hAnsi="宋体" w:cs="宋体"/>
          <w:b/>
          <w:bCs/>
          <w:color w:val="auto"/>
          <w:kern w:val="0"/>
          <w:sz w:val="24"/>
          <w:highlight w:val="none"/>
          <w:lang w:val="zh-CN"/>
        </w:rPr>
      </w:pPr>
      <w:r>
        <w:rPr>
          <w:rFonts w:hint="eastAsia" w:ascii="宋体" w:hAnsi="宋体" w:cs="宋体"/>
          <w:color w:val="auto"/>
          <w:sz w:val="24"/>
          <w:highlight w:val="none"/>
        </w:rPr>
        <w:t>2、</w:t>
      </w:r>
      <w:bookmarkStart w:id="566"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566"/>
    </w:p>
    <w:p w14:paraId="716DFE8F">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9FCF1E1">
      <w:pPr>
        <w:snapToGrid w:val="0"/>
        <w:spacing w:line="312" w:lineRule="auto"/>
        <w:ind w:firstLine="576"/>
        <w:rPr>
          <w:rFonts w:hint="eastAsia" w:ascii="宋体" w:hAnsi="宋体" w:cs="宋体"/>
          <w:color w:val="auto"/>
          <w:highlight w:val="none"/>
          <w:u w:val="single"/>
        </w:rPr>
      </w:pPr>
      <w:r>
        <w:rPr>
          <w:rFonts w:hint="eastAsia" w:ascii="宋体" w:hAnsi="宋体" w:cs="宋体"/>
          <w:color w:val="auto"/>
          <w:highlight w:val="none"/>
          <w:u w:val="single"/>
        </w:rPr>
        <w:t xml:space="preserve">                                                                                  </w:t>
      </w:r>
    </w:p>
    <w:p w14:paraId="6D5E117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3FEAED50">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87D7EF8">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3F18C56D">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A256DBA">
      <w:pPr>
        <w:snapToGrid w:val="0"/>
        <w:spacing w:line="312" w:lineRule="auto"/>
        <w:ind w:left="573" w:leftChars="273"/>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474D781">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E4B3A15">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6A9ACEBB">
      <w:pPr>
        <w:snapToGrid w:val="0"/>
        <w:spacing w:line="312" w:lineRule="auto"/>
        <w:ind w:firstLine="576"/>
        <w:rPr>
          <w:rFonts w:hint="eastAsia"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3B234ADB">
      <w:pPr>
        <w:snapToGrid w:val="0"/>
        <w:spacing w:line="312" w:lineRule="auto"/>
        <w:ind w:left="5758" w:leftChars="342" w:hanging="5040" w:hangingChars="21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A9FCAA9">
      <w:pPr>
        <w:snapToGrid w:val="0"/>
        <w:spacing w:line="312" w:lineRule="auto"/>
        <w:jc w:val="righ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539FF133">
      <w:pPr>
        <w:snapToGrid w:val="0"/>
        <w:spacing w:line="312" w:lineRule="auto"/>
        <w:ind w:firstLine="5760" w:firstLineChars="2400"/>
        <w:rPr>
          <w:rFonts w:hint="eastAsia" w:ascii="宋体" w:hAnsi="宋体" w:cs="宋体"/>
          <w:color w:val="auto"/>
          <w:highlight w:val="none"/>
        </w:rPr>
      </w:pPr>
      <w:r>
        <w:rPr>
          <w:rFonts w:hint="eastAsia" w:ascii="宋体" w:hAnsi="宋体" w:cs="宋体"/>
          <w:color w:val="auto"/>
          <w:kern w:val="0"/>
          <w:sz w:val="24"/>
          <w:highlight w:val="none"/>
          <w:lang w:val="zh-CN"/>
        </w:rPr>
        <w:t>……</w:t>
      </w:r>
    </w:p>
    <w:p w14:paraId="1EA8DA43">
      <w:pPr>
        <w:spacing w:line="312" w:lineRule="auto"/>
        <w:jc w:val="center"/>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50999A0A">
      <w:pPr>
        <w:widowControl/>
        <w:adjustRightInd/>
        <w:jc w:val="left"/>
        <w:rPr>
          <w:rFonts w:hint="eastAsia" w:ascii="宋体" w:hAnsi="宋体" w:cs="宋体"/>
          <w:color w:val="auto"/>
          <w:sz w:val="24"/>
          <w:highlight w:val="none"/>
        </w:rPr>
      </w:pPr>
      <w:r>
        <w:rPr>
          <w:rFonts w:hint="eastAsia" w:ascii="宋体" w:hAnsi="宋体" w:cs="宋体"/>
          <w:color w:val="auto"/>
          <w:sz w:val="24"/>
          <w:highlight w:val="none"/>
        </w:rPr>
        <w:t>注：按本格式和要求提供。</w:t>
      </w:r>
    </w:p>
    <w:p w14:paraId="7E0DB47F">
      <w:pPr>
        <w:widowControl/>
        <w:adjustRightInd/>
        <w:jc w:val="left"/>
        <w:rPr>
          <w:rFonts w:hint="eastAsia"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29AE07E4">
      <w:pPr>
        <w:snapToGrid w:val="0"/>
        <w:spacing w:line="312" w:lineRule="auto"/>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t>附件7：中小企业声明函</w:t>
      </w:r>
    </w:p>
    <w:p w14:paraId="5BE072B2">
      <w:pPr>
        <w:spacing w:line="288"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中小企业声明函（货物）</w:t>
      </w:r>
    </w:p>
    <w:p w14:paraId="53A8574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 xml:space="preserve">的 </w:t>
      </w:r>
      <w:r>
        <w:rPr>
          <w:rFonts w:hint="eastAsia" w:ascii="宋体" w:hAnsi="宋体" w:cs="宋体"/>
          <w:color w:val="auto"/>
          <w:sz w:val="24"/>
          <w:highlight w:val="none"/>
          <w:u w:val="single"/>
        </w:rPr>
        <w:t>（项目名称）</w:t>
      </w:r>
      <w:r>
        <w:rPr>
          <w:rFonts w:hint="eastAsia" w:ascii="宋体" w:hAnsi="宋体" w:cs="宋体"/>
          <w:color w:val="auto"/>
          <w:sz w:val="24"/>
          <w:highlight w:val="none"/>
        </w:rPr>
        <w:t xml:space="preserve"> 采购活动，提供的货物全部由符合政策要求的中小企业制造。相关企业（含联合体中的中小企业、签订分包意向协议的中小企业）的具体情况如下：</w:t>
      </w:r>
    </w:p>
    <w:p w14:paraId="2772DB72">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（欺凌防范系统）</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r>
        <w:rPr>
          <w:rFonts w:hint="eastAsia" w:ascii="宋体" w:hAnsi="宋体" w:cs="宋体"/>
          <w:color w:val="auto"/>
          <w:sz w:val="24"/>
          <w:highlight w:val="none"/>
        </w:rPr>
        <w:br w:type="textWrapping"/>
      </w:r>
      <w:r>
        <w:rPr>
          <w:rFonts w:hint="eastAsia" w:ascii="宋体" w:hAnsi="宋体" w:cs="宋体"/>
          <w:color w:val="auto"/>
          <w:sz w:val="24"/>
          <w:highlight w:val="none"/>
        </w:rPr>
        <w:t xml:space="preserve">    2.</w:t>
      </w:r>
      <w:r>
        <w:rPr>
          <w:rFonts w:hint="eastAsia" w:ascii="宋体" w:hAnsi="宋体" w:cs="宋体"/>
          <w:color w:val="auto"/>
          <w:highlight w:val="none"/>
        </w:rPr>
        <w:t xml:space="preserve"> </w:t>
      </w:r>
      <w:r>
        <w:rPr>
          <w:rFonts w:hint="eastAsia" w:ascii="宋体" w:hAnsi="宋体" w:cs="宋体"/>
          <w:color w:val="auto"/>
          <w:sz w:val="24"/>
          <w:highlight w:val="none"/>
          <w:u w:val="single"/>
        </w:rPr>
        <w:t>（语音AI预警终端）</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09B9D46D">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highlight w:val="none"/>
        </w:rPr>
        <w:t xml:space="preserve"> </w:t>
      </w:r>
      <w:r>
        <w:rPr>
          <w:rFonts w:hint="eastAsia" w:ascii="宋体" w:hAnsi="宋体" w:cs="宋体"/>
          <w:color w:val="auto"/>
          <w:sz w:val="24"/>
          <w:highlight w:val="none"/>
          <w:u w:val="single"/>
        </w:rPr>
        <w:t>（智能AI感知终端）</w:t>
      </w:r>
      <w:r>
        <w:rPr>
          <w:rFonts w:hint="eastAsia" w:ascii="宋体" w:hAnsi="宋体" w:cs="宋体"/>
          <w:color w:val="auto"/>
          <w:sz w:val="24"/>
          <w:highlight w:val="none"/>
        </w:rPr>
        <w:t xml:space="preserve"> ，属于 </w:t>
      </w:r>
      <w:r>
        <w:rPr>
          <w:rFonts w:hint="eastAsia" w:ascii="宋体" w:hAnsi="宋体" w:cs="宋体"/>
          <w:color w:val="auto"/>
          <w:sz w:val="24"/>
          <w:highlight w:val="none"/>
          <w:u w:val="single"/>
        </w:rPr>
        <w:t>（工业）</w:t>
      </w:r>
      <w:r>
        <w:rPr>
          <w:rFonts w:hint="eastAsia" w:ascii="宋体" w:hAnsi="宋体" w:cs="宋体"/>
          <w:color w:val="auto"/>
          <w:sz w:val="24"/>
          <w:highlight w:val="none"/>
        </w:rPr>
        <w:t>行业 ；制造商为</w:t>
      </w:r>
      <w:r>
        <w:rPr>
          <w:rFonts w:hint="eastAsia" w:ascii="宋体" w:hAnsi="宋体" w:cs="宋体"/>
          <w:color w:val="auto"/>
          <w:sz w:val="24"/>
          <w:highlight w:val="none"/>
          <w:u w:val="single"/>
        </w:rPr>
        <w:t xml:space="preserve"> （企业名称）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w:t>
      </w:r>
      <w:r>
        <w:rPr>
          <w:rFonts w:hint="eastAsia" w:ascii="宋体" w:hAnsi="宋体" w:cs="宋体"/>
          <w:color w:val="auto"/>
          <w:sz w:val="24"/>
          <w:highlight w:val="none"/>
        </w:rPr>
        <w:t xml:space="preserve"> 。……</w:t>
      </w:r>
    </w:p>
    <w:p w14:paraId="5BA59E1F">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132B60AE">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B77B281">
      <w:pPr>
        <w:snapToGrid w:val="0"/>
        <w:spacing w:line="288" w:lineRule="auto"/>
        <w:ind w:firstLine="5160" w:firstLineChars="215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FAE3D14">
      <w:pPr>
        <w:snapToGrid w:val="0"/>
        <w:spacing w:line="288"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CF25D62">
      <w:pPr>
        <w:spacing w:line="288"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56FF812C">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注：</w:t>
      </w:r>
    </w:p>
    <w:p w14:paraId="7526A900">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1、填写要求：①“标的名称”“招标文件中明确的所属行业”依据招标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3A7F6532">
      <w:pPr>
        <w:spacing w:line="288" w:lineRule="auto"/>
        <w:ind w:right="420" w:firstLine="480" w:firstLineChars="200"/>
        <w:rPr>
          <w:rFonts w:hint="eastAsia" w:ascii="宋体" w:hAnsi="宋体" w:cs="宋体"/>
          <w:color w:val="auto"/>
          <w:sz w:val="24"/>
          <w:highlight w:val="none"/>
        </w:rPr>
      </w:pPr>
      <w:r>
        <w:rPr>
          <w:rFonts w:hint="eastAsia" w:ascii="宋体" w:hAnsi="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343FB95C">
      <w:pPr>
        <w:spacing w:line="288" w:lineRule="auto"/>
        <w:ind w:right="420" w:firstLine="480" w:firstLineChars="200"/>
        <w:rPr>
          <w:rFonts w:hint="eastAsia" w:ascii="宋体" w:hAnsi="宋体" w:cs="宋体"/>
          <w:bCs/>
          <w:color w:val="auto"/>
          <w:sz w:val="24"/>
          <w:highlight w:val="none"/>
        </w:rPr>
      </w:pPr>
      <w:r>
        <w:rPr>
          <w:rFonts w:hint="eastAsia" w:ascii="宋体" w:hAnsi="宋体" w:cs="宋体"/>
          <w:color w:val="auto"/>
          <w:sz w:val="24"/>
          <w:highlight w:val="none"/>
        </w:rPr>
        <w:t>3、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ucida Sans">
    <w:panose1 w:val="020B0602030504020204"/>
    <w:charset w:val="00"/>
    <w:family w:val="swiss"/>
    <w:pitch w:val="default"/>
    <w:sig w:usb0="00000003" w:usb1="00000000" w:usb2="00000000" w:usb3="00000000" w:csb0="2000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0000000000000000000"/>
    <w:charset w:val="00"/>
    <w:family w:val="swiss"/>
    <w:pitch w:val="default"/>
    <w:sig w:usb0="00000000" w:usb1="00000000" w:usb2="00000000" w:usb3="00000000" w:csb0="00000001" w:csb1="00000000"/>
  </w:font>
  <w:font w:name="Sitka Text">
    <w:panose1 w:val="00000000000000000000"/>
    <w:charset w:val="00"/>
    <w:family w:val="auto"/>
    <w:pitch w:val="default"/>
    <w:sig w:usb0="A00002EF" w:usb1="4000204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FF59C">
    <w:pPr>
      <w:pStyle w:val="39"/>
      <w:framePr w:wrap="around" w:vAnchor="text" w:hAnchor="margin" w:xAlign="right" w:y="1"/>
      <w:rPr>
        <w:rStyle w:val="73"/>
      </w:rPr>
    </w:pPr>
    <w:r>
      <w:fldChar w:fldCharType="begin"/>
    </w:r>
    <w:r>
      <w:rPr>
        <w:rStyle w:val="73"/>
      </w:rPr>
      <w:instrText xml:space="preserve">PAGE  </w:instrText>
    </w:r>
    <w:r>
      <w:fldChar w:fldCharType="end"/>
    </w:r>
  </w:p>
  <w:p w14:paraId="1A03B543">
    <w:pPr>
      <w:pStyle w:val="39"/>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1F88">
    <w:pPr>
      <w:pStyle w:val="39"/>
      <w:rPr>
        <w:rFonts w:ascii="仿宋_GB2312" w:eastAsia="仿宋_GB2312"/>
        <w:szCs w:val="24"/>
      </w:rP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B77B3F">
                          <w:pPr>
                            <w:pStyle w:val="39"/>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3FB77B3F">
                    <w:pPr>
                      <w:pStyle w:val="39"/>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86FEE">
    <w:pPr>
      <w:pStyle w:val="39"/>
      <w:framePr w:wrap="around" w:vAnchor="text" w:hAnchor="margin" w:xAlign="right" w:y="1"/>
      <w:rPr>
        <w:rStyle w:val="73"/>
      </w:rPr>
    </w:pPr>
    <w:r>
      <w:fldChar w:fldCharType="begin"/>
    </w:r>
    <w:r>
      <w:rPr>
        <w:rStyle w:val="73"/>
      </w:rPr>
      <w:instrText xml:space="preserve">PAGE  </w:instrText>
    </w:r>
    <w:r>
      <w:fldChar w:fldCharType="end"/>
    </w:r>
  </w:p>
  <w:p w14:paraId="7547334B">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6862A">
    <w:pPr>
      <w:pStyle w:val="39"/>
      <w:rPr>
        <w:rFonts w:ascii="仿宋_GB2312" w:eastAsia="仿宋_GB2312"/>
      </w:rP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63668">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49663668">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73F0B">
    <w:pPr>
      <w:pStyle w:val="39"/>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2DFF29">
                          <w:pPr>
                            <w:pStyle w:val="3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22DFF29">
                    <w:pPr>
                      <w:pStyle w:val="3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A6056">
    <w:pPr>
      <w:pStyle w:val="39"/>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F47D3">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50F47D3">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17F8E">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AE5DC2">
                          <w:pPr>
                            <w:pStyle w:val="3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AAE5DC2">
                    <w:pPr>
                      <w:pStyle w:val="3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A44AF">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F58671">
                          <w:pPr>
                            <w:pStyle w:val="3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6FF58671">
                    <w:pPr>
                      <w:pStyle w:val="3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629E9">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EB2B60">
                          <w:pPr>
                            <w:pStyle w:val="39"/>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0EB2B60">
                    <w:pPr>
                      <w:pStyle w:val="39"/>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63AAC">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A177E">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37DA177E">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CB42C">
    <w:pPr>
      <w:rPr>
        <w:rFonts w:ascii="仿宋_GB2312" w:eastAsia="仿宋_GB231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AF14C">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D3AF14C">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5113">
    <w:pPr>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AF109D">
                          <w:pPr>
                            <w:pStyle w:val="39"/>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43AF109D">
                    <w:pPr>
                      <w:pStyle w:val="39"/>
                    </w:pPr>
                    <w:r>
                      <w:fldChar w:fldCharType="begin"/>
                    </w:r>
                    <w:r>
                      <w:instrText xml:space="preserve"> PAGE  \* MERGEFORMAT </w:instrText>
                    </w:r>
                    <w:r>
                      <w:fldChar w:fldCharType="separate"/>
                    </w:r>
                    <w:r>
                      <w:t>62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EC8B6">
    <w:pPr>
      <w:pStyle w:val="40"/>
      <w:pBdr>
        <w:bottom w:val="single" w:color="auto" w:sz="6" w:space="4"/>
      </w:pBdr>
      <w:jc w:val="right"/>
    </w:pPr>
    <w:r>
      <w:t></w:t>
    </w:r>
    <w:r>
      <w:rPr>
        <w:rFonts w:hint="eastAsia"/>
      </w:rPr>
      <w:t xml:space="preserve">           </w:t>
    </w:r>
  </w:p>
  <w:p w14:paraId="5EA792EF">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59C02">
    <w:pPr>
      <w:pStyle w:val="40"/>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7AF6C">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C2FA5">
    <w:pPr>
      <w:pStyle w:val="40"/>
      <w:jc w:val="right"/>
      <w:rPr>
        <w:rFonts w:ascii="仿宋_GB2312" w:eastAsia="仿宋_GB2312"/>
        <w:b/>
        <w:i/>
        <w:u w:val="single"/>
      </w:rPr>
    </w:pPr>
    <w:r>
      <w:t></w:t>
    </w: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DE3E7">
    <w:pPr>
      <w:pStyle w:val="40"/>
      <w:jc w:val="both"/>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9BD2">
    <w:pPr>
      <w:pStyle w:val="40"/>
      <w:rPr>
        <w:rFonts w:ascii="仿宋_GB2312" w:eastAsia="仿宋_GB2312"/>
        <w:b/>
        <w:i/>
        <w:u w:val="single"/>
      </w:rPr>
    </w:pPr>
    <w:r>
      <w:t></w:t>
    </w:r>
    <w:r>
      <w:rPr>
        <w:rFonts w:hint="eastAsia"/>
      </w:rPr>
      <w:t xml:space="preserve">                                                </w:t>
    </w:r>
    <w:r>
      <w:t xml:space="preserve"> </w:t>
    </w:r>
  </w:p>
  <w:p w14:paraId="4F619E1B">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5531F6">
    <w:pPr>
      <w:pStyle w:val="40"/>
      <w:jc w:val="right"/>
    </w:pPr>
    <w:r>
      <w:t></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B0398">
    <w:pPr>
      <w:pStyle w:val="40"/>
      <w:jc w:val="right"/>
      <w:rPr>
        <w:rFonts w:ascii="仿宋_GB2312" w:eastAsia="仿宋_GB2312"/>
        <w:b/>
        <w:i/>
        <w:u w:val="single"/>
      </w:rPr>
    </w:pPr>
  </w:p>
  <w:p w14:paraId="698479FC">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C60B4">
    <w:pPr>
      <w:pStyle w:val="4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CEB4">
    <w:pPr>
      <w:pStyle w:val="40"/>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387D7"/>
    <w:multiLevelType w:val="singleLevel"/>
    <w:tmpl w:val="1B9387D7"/>
    <w:lvl w:ilvl="0" w:tentative="0">
      <w:start w:val="1"/>
      <w:numFmt w:val="decimal"/>
      <w:suff w:val="nothing"/>
      <w:lvlText w:val="%1）"/>
      <w:lvlJc w:val="left"/>
    </w:lvl>
  </w:abstractNum>
  <w:abstractNum w:abstractNumId="1">
    <w:nsid w:val="4595B406"/>
    <w:multiLevelType w:val="singleLevel"/>
    <w:tmpl w:val="4595B406"/>
    <w:lvl w:ilvl="0" w:tentative="0">
      <w:start w:val="1"/>
      <w:numFmt w:val="decimal"/>
      <w:suff w:val="nothing"/>
      <w:lvlText w:val="%1、"/>
      <w:lvlJc w:val="left"/>
    </w:lvl>
  </w:abstractNum>
  <w:abstractNum w:abstractNumId="2">
    <w:nsid w:val="5C3647FD"/>
    <w:multiLevelType w:val="singleLevel"/>
    <w:tmpl w:val="5C3647FD"/>
    <w:lvl w:ilvl="0" w:tentative="0">
      <w:start w:val="1"/>
      <w:numFmt w:val="decimal"/>
      <w:suff w:val="nothing"/>
      <w:lvlText w:val="（%1）"/>
      <w:lvlJc w:val="left"/>
    </w:lvl>
  </w:abstractNum>
  <w:abstractNum w:abstractNumId="3">
    <w:nsid w:val="6A90DB4D"/>
    <w:multiLevelType w:val="singleLevel"/>
    <w:tmpl w:val="6A90DB4D"/>
    <w:lvl w:ilvl="0" w:tentative="0">
      <w:start w:val="4"/>
      <w:numFmt w:val="decimal"/>
      <w:lvlText w:val="%1."/>
      <w:lvlJc w:val="left"/>
      <w:pPr>
        <w:tabs>
          <w:tab w:val="left" w:pos="312"/>
        </w:tabs>
      </w:pPr>
    </w:lvl>
  </w:abstractNum>
  <w:abstractNum w:abstractNumId="4">
    <w:nsid w:val="6FF71A67"/>
    <w:multiLevelType w:val="singleLevel"/>
    <w:tmpl w:val="6FF71A67"/>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c1NDI0OTFhZGFlZDc0OTlhZjI2NTdiOTJhMDU4ZW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1F1"/>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65F"/>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3BB"/>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29"/>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1D6D"/>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465"/>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1D6E"/>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1AF"/>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4E07"/>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AEC"/>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2453C2"/>
    <w:rsid w:val="013E5467"/>
    <w:rsid w:val="01565C22"/>
    <w:rsid w:val="018A1427"/>
    <w:rsid w:val="019F7441"/>
    <w:rsid w:val="01B37585"/>
    <w:rsid w:val="01C0753F"/>
    <w:rsid w:val="01C47407"/>
    <w:rsid w:val="01D55165"/>
    <w:rsid w:val="01DF6BF8"/>
    <w:rsid w:val="01EC2C57"/>
    <w:rsid w:val="020A1642"/>
    <w:rsid w:val="0229382C"/>
    <w:rsid w:val="025431CD"/>
    <w:rsid w:val="02590923"/>
    <w:rsid w:val="025F0711"/>
    <w:rsid w:val="026B2E25"/>
    <w:rsid w:val="02824D4D"/>
    <w:rsid w:val="02914086"/>
    <w:rsid w:val="029B75CA"/>
    <w:rsid w:val="02DC4B10"/>
    <w:rsid w:val="02DD76CE"/>
    <w:rsid w:val="02F36323"/>
    <w:rsid w:val="02F5619C"/>
    <w:rsid w:val="02FC45A7"/>
    <w:rsid w:val="0326446A"/>
    <w:rsid w:val="032D5555"/>
    <w:rsid w:val="036634D2"/>
    <w:rsid w:val="03DD35E4"/>
    <w:rsid w:val="04076900"/>
    <w:rsid w:val="041A5A3B"/>
    <w:rsid w:val="042311BA"/>
    <w:rsid w:val="042B157A"/>
    <w:rsid w:val="048605CC"/>
    <w:rsid w:val="048F763B"/>
    <w:rsid w:val="04956A61"/>
    <w:rsid w:val="049F330E"/>
    <w:rsid w:val="04AA775C"/>
    <w:rsid w:val="04AF1889"/>
    <w:rsid w:val="04BC33D8"/>
    <w:rsid w:val="04F66F48"/>
    <w:rsid w:val="05251E14"/>
    <w:rsid w:val="0542404E"/>
    <w:rsid w:val="058B39C0"/>
    <w:rsid w:val="05A16594"/>
    <w:rsid w:val="05A7762D"/>
    <w:rsid w:val="060E5941"/>
    <w:rsid w:val="06110FAF"/>
    <w:rsid w:val="06436049"/>
    <w:rsid w:val="06493CA7"/>
    <w:rsid w:val="065A6178"/>
    <w:rsid w:val="065C3F39"/>
    <w:rsid w:val="06605C46"/>
    <w:rsid w:val="066F1CF3"/>
    <w:rsid w:val="067A7832"/>
    <w:rsid w:val="06930BB8"/>
    <w:rsid w:val="06C50397"/>
    <w:rsid w:val="070059CA"/>
    <w:rsid w:val="070E62E0"/>
    <w:rsid w:val="0717375D"/>
    <w:rsid w:val="07245D42"/>
    <w:rsid w:val="07261BF2"/>
    <w:rsid w:val="07264C62"/>
    <w:rsid w:val="07686CD0"/>
    <w:rsid w:val="0779354C"/>
    <w:rsid w:val="07E1191C"/>
    <w:rsid w:val="08061376"/>
    <w:rsid w:val="080A0D72"/>
    <w:rsid w:val="081927FC"/>
    <w:rsid w:val="08452D77"/>
    <w:rsid w:val="086401F8"/>
    <w:rsid w:val="08751CAA"/>
    <w:rsid w:val="0878647D"/>
    <w:rsid w:val="087B3CF2"/>
    <w:rsid w:val="087E4C40"/>
    <w:rsid w:val="088C1544"/>
    <w:rsid w:val="08A871D0"/>
    <w:rsid w:val="08D66AD6"/>
    <w:rsid w:val="08DA33A3"/>
    <w:rsid w:val="08E80F13"/>
    <w:rsid w:val="091048DD"/>
    <w:rsid w:val="09335624"/>
    <w:rsid w:val="0944690F"/>
    <w:rsid w:val="09535675"/>
    <w:rsid w:val="095F057D"/>
    <w:rsid w:val="09642282"/>
    <w:rsid w:val="09673F90"/>
    <w:rsid w:val="09733572"/>
    <w:rsid w:val="09772C16"/>
    <w:rsid w:val="098353B5"/>
    <w:rsid w:val="098F7F12"/>
    <w:rsid w:val="099861CA"/>
    <w:rsid w:val="09A92330"/>
    <w:rsid w:val="09B06B87"/>
    <w:rsid w:val="09B3464E"/>
    <w:rsid w:val="09C13146"/>
    <w:rsid w:val="09D709B0"/>
    <w:rsid w:val="09E04166"/>
    <w:rsid w:val="0A195A3E"/>
    <w:rsid w:val="0A1C0718"/>
    <w:rsid w:val="0A1E12A6"/>
    <w:rsid w:val="0A2A40B5"/>
    <w:rsid w:val="0A3E7710"/>
    <w:rsid w:val="0A5B7E63"/>
    <w:rsid w:val="0A791D33"/>
    <w:rsid w:val="0AA374A5"/>
    <w:rsid w:val="0AA74B5F"/>
    <w:rsid w:val="0AAB7649"/>
    <w:rsid w:val="0ABC5606"/>
    <w:rsid w:val="0B280C46"/>
    <w:rsid w:val="0B30404E"/>
    <w:rsid w:val="0B4C6C14"/>
    <w:rsid w:val="0B547599"/>
    <w:rsid w:val="0B631A88"/>
    <w:rsid w:val="0B683D45"/>
    <w:rsid w:val="0B7F3F11"/>
    <w:rsid w:val="0B884417"/>
    <w:rsid w:val="0BF6188C"/>
    <w:rsid w:val="0BF73C91"/>
    <w:rsid w:val="0C061354"/>
    <w:rsid w:val="0C170175"/>
    <w:rsid w:val="0C2E1EF2"/>
    <w:rsid w:val="0C571A41"/>
    <w:rsid w:val="0C5C1171"/>
    <w:rsid w:val="0C5E1CBC"/>
    <w:rsid w:val="0C615B50"/>
    <w:rsid w:val="0C8445DA"/>
    <w:rsid w:val="0C87121B"/>
    <w:rsid w:val="0CBC19AB"/>
    <w:rsid w:val="0CC007F7"/>
    <w:rsid w:val="0CC617AC"/>
    <w:rsid w:val="0CE618DF"/>
    <w:rsid w:val="0CFE707A"/>
    <w:rsid w:val="0D063BDA"/>
    <w:rsid w:val="0D08375F"/>
    <w:rsid w:val="0D184CFB"/>
    <w:rsid w:val="0D2546FA"/>
    <w:rsid w:val="0D4A7419"/>
    <w:rsid w:val="0D5F5E5E"/>
    <w:rsid w:val="0D67257C"/>
    <w:rsid w:val="0D787B4E"/>
    <w:rsid w:val="0D827401"/>
    <w:rsid w:val="0D84094E"/>
    <w:rsid w:val="0D8A00E9"/>
    <w:rsid w:val="0D8D589E"/>
    <w:rsid w:val="0D920070"/>
    <w:rsid w:val="0DA01C73"/>
    <w:rsid w:val="0DD63300"/>
    <w:rsid w:val="0DDC55E4"/>
    <w:rsid w:val="0DF50604"/>
    <w:rsid w:val="0DF702FE"/>
    <w:rsid w:val="0E060E51"/>
    <w:rsid w:val="0E1409F6"/>
    <w:rsid w:val="0E5604B2"/>
    <w:rsid w:val="0E6D5D79"/>
    <w:rsid w:val="0E9A03FC"/>
    <w:rsid w:val="0E9D0089"/>
    <w:rsid w:val="0EB4779A"/>
    <w:rsid w:val="0EB803EE"/>
    <w:rsid w:val="0ECC7523"/>
    <w:rsid w:val="0ED55496"/>
    <w:rsid w:val="0EF94D4B"/>
    <w:rsid w:val="0F110A9B"/>
    <w:rsid w:val="0F4958DC"/>
    <w:rsid w:val="0F515DF7"/>
    <w:rsid w:val="0F596BA8"/>
    <w:rsid w:val="0F6248D2"/>
    <w:rsid w:val="0F693536"/>
    <w:rsid w:val="0F7B0511"/>
    <w:rsid w:val="0F7B76D9"/>
    <w:rsid w:val="0F816ACD"/>
    <w:rsid w:val="0F8B4F2A"/>
    <w:rsid w:val="0F9832DB"/>
    <w:rsid w:val="0FBF3FD2"/>
    <w:rsid w:val="0FBF7FF3"/>
    <w:rsid w:val="104447E9"/>
    <w:rsid w:val="10521CAA"/>
    <w:rsid w:val="10646583"/>
    <w:rsid w:val="107D4B15"/>
    <w:rsid w:val="108A3C80"/>
    <w:rsid w:val="10C02B10"/>
    <w:rsid w:val="10C26171"/>
    <w:rsid w:val="10F33360"/>
    <w:rsid w:val="10FC16EA"/>
    <w:rsid w:val="110F1D40"/>
    <w:rsid w:val="111451B1"/>
    <w:rsid w:val="11266F33"/>
    <w:rsid w:val="11362358"/>
    <w:rsid w:val="114F5196"/>
    <w:rsid w:val="118963A1"/>
    <w:rsid w:val="119D5A3B"/>
    <w:rsid w:val="11A15B95"/>
    <w:rsid w:val="11C6522A"/>
    <w:rsid w:val="11D015CA"/>
    <w:rsid w:val="11D067E4"/>
    <w:rsid w:val="11E104CC"/>
    <w:rsid w:val="11E20309"/>
    <w:rsid w:val="11FA43A7"/>
    <w:rsid w:val="1201785C"/>
    <w:rsid w:val="120A6276"/>
    <w:rsid w:val="12255233"/>
    <w:rsid w:val="12530213"/>
    <w:rsid w:val="125C296C"/>
    <w:rsid w:val="127723A9"/>
    <w:rsid w:val="12862074"/>
    <w:rsid w:val="12883966"/>
    <w:rsid w:val="129E45B4"/>
    <w:rsid w:val="12A90552"/>
    <w:rsid w:val="12D81596"/>
    <w:rsid w:val="12E60488"/>
    <w:rsid w:val="13072A44"/>
    <w:rsid w:val="1346119F"/>
    <w:rsid w:val="135F4BE2"/>
    <w:rsid w:val="13815EDF"/>
    <w:rsid w:val="139B1A0A"/>
    <w:rsid w:val="139D25C7"/>
    <w:rsid w:val="13BF3CE4"/>
    <w:rsid w:val="13CA16CE"/>
    <w:rsid w:val="141008D8"/>
    <w:rsid w:val="14125FE6"/>
    <w:rsid w:val="142E20E6"/>
    <w:rsid w:val="146D271E"/>
    <w:rsid w:val="147B31CB"/>
    <w:rsid w:val="14982588"/>
    <w:rsid w:val="149A5AD9"/>
    <w:rsid w:val="14A7619D"/>
    <w:rsid w:val="14ED5D0A"/>
    <w:rsid w:val="150536C3"/>
    <w:rsid w:val="150C1963"/>
    <w:rsid w:val="151447A0"/>
    <w:rsid w:val="152D1B5C"/>
    <w:rsid w:val="1534302D"/>
    <w:rsid w:val="15431BC1"/>
    <w:rsid w:val="154A6454"/>
    <w:rsid w:val="157306F8"/>
    <w:rsid w:val="15762120"/>
    <w:rsid w:val="157E577E"/>
    <w:rsid w:val="15B9031B"/>
    <w:rsid w:val="15D157AE"/>
    <w:rsid w:val="15F80BFE"/>
    <w:rsid w:val="162163A6"/>
    <w:rsid w:val="16384EDA"/>
    <w:rsid w:val="16A8729C"/>
    <w:rsid w:val="16B33777"/>
    <w:rsid w:val="16BC70A7"/>
    <w:rsid w:val="16C6339E"/>
    <w:rsid w:val="16E34270"/>
    <w:rsid w:val="17200358"/>
    <w:rsid w:val="172F2D79"/>
    <w:rsid w:val="17394A28"/>
    <w:rsid w:val="17557BEF"/>
    <w:rsid w:val="175B488E"/>
    <w:rsid w:val="17BB323B"/>
    <w:rsid w:val="17D349C1"/>
    <w:rsid w:val="17FF5951"/>
    <w:rsid w:val="18244F26"/>
    <w:rsid w:val="1830729E"/>
    <w:rsid w:val="186453D5"/>
    <w:rsid w:val="1870062C"/>
    <w:rsid w:val="18817102"/>
    <w:rsid w:val="18830A15"/>
    <w:rsid w:val="18852B28"/>
    <w:rsid w:val="188B5321"/>
    <w:rsid w:val="189967BF"/>
    <w:rsid w:val="18CD45C3"/>
    <w:rsid w:val="18D36267"/>
    <w:rsid w:val="18E84F59"/>
    <w:rsid w:val="18EA3E18"/>
    <w:rsid w:val="191A0E8B"/>
    <w:rsid w:val="192F2C4C"/>
    <w:rsid w:val="19932372"/>
    <w:rsid w:val="19A20DD5"/>
    <w:rsid w:val="19AE03F1"/>
    <w:rsid w:val="19C6669B"/>
    <w:rsid w:val="19E52AA1"/>
    <w:rsid w:val="1A071A03"/>
    <w:rsid w:val="1A1F16AE"/>
    <w:rsid w:val="1A3B5C77"/>
    <w:rsid w:val="1A984BAD"/>
    <w:rsid w:val="1AB8220E"/>
    <w:rsid w:val="1ABC5F3F"/>
    <w:rsid w:val="1AE4166C"/>
    <w:rsid w:val="1AF06CFB"/>
    <w:rsid w:val="1AF11B8D"/>
    <w:rsid w:val="1B11359C"/>
    <w:rsid w:val="1B2A271F"/>
    <w:rsid w:val="1B530544"/>
    <w:rsid w:val="1B713184"/>
    <w:rsid w:val="1BA209CF"/>
    <w:rsid w:val="1BAA6C8C"/>
    <w:rsid w:val="1BB4777D"/>
    <w:rsid w:val="1BD75AB8"/>
    <w:rsid w:val="1C0459C2"/>
    <w:rsid w:val="1C1B3B4A"/>
    <w:rsid w:val="1C88086E"/>
    <w:rsid w:val="1C9A47BD"/>
    <w:rsid w:val="1CC1038E"/>
    <w:rsid w:val="1D012130"/>
    <w:rsid w:val="1D1E62D0"/>
    <w:rsid w:val="1D266CE1"/>
    <w:rsid w:val="1D3963AF"/>
    <w:rsid w:val="1D6A673C"/>
    <w:rsid w:val="1D9247AE"/>
    <w:rsid w:val="1DAC5E21"/>
    <w:rsid w:val="1DB567EC"/>
    <w:rsid w:val="1DD27F86"/>
    <w:rsid w:val="1DF339D8"/>
    <w:rsid w:val="1DF51A98"/>
    <w:rsid w:val="1E051CD9"/>
    <w:rsid w:val="1E3D060F"/>
    <w:rsid w:val="1E3F7D2E"/>
    <w:rsid w:val="1E4134E4"/>
    <w:rsid w:val="1E5062B3"/>
    <w:rsid w:val="1E523514"/>
    <w:rsid w:val="1E714A66"/>
    <w:rsid w:val="1E802593"/>
    <w:rsid w:val="1E8B6156"/>
    <w:rsid w:val="1EA703CC"/>
    <w:rsid w:val="1EB631C5"/>
    <w:rsid w:val="1EB7330C"/>
    <w:rsid w:val="1F0A0FF3"/>
    <w:rsid w:val="1F47684D"/>
    <w:rsid w:val="1F5771FF"/>
    <w:rsid w:val="1FD52574"/>
    <w:rsid w:val="1FE868A9"/>
    <w:rsid w:val="20034907"/>
    <w:rsid w:val="20173E4B"/>
    <w:rsid w:val="204213F3"/>
    <w:rsid w:val="204E48BC"/>
    <w:rsid w:val="208921B3"/>
    <w:rsid w:val="20973DEB"/>
    <w:rsid w:val="20B26522"/>
    <w:rsid w:val="20B44310"/>
    <w:rsid w:val="21035A46"/>
    <w:rsid w:val="211116EB"/>
    <w:rsid w:val="21354AB4"/>
    <w:rsid w:val="216133FC"/>
    <w:rsid w:val="21786F46"/>
    <w:rsid w:val="219D6918"/>
    <w:rsid w:val="21D56769"/>
    <w:rsid w:val="21E52EF3"/>
    <w:rsid w:val="21F42677"/>
    <w:rsid w:val="21FB5D7B"/>
    <w:rsid w:val="22015E94"/>
    <w:rsid w:val="220B1C3D"/>
    <w:rsid w:val="221D1D20"/>
    <w:rsid w:val="222D7E81"/>
    <w:rsid w:val="22334A87"/>
    <w:rsid w:val="223F4A8D"/>
    <w:rsid w:val="22B365D8"/>
    <w:rsid w:val="22BE6801"/>
    <w:rsid w:val="233500BF"/>
    <w:rsid w:val="23377FF7"/>
    <w:rsid w:val="235002CB"/>
    <w:rsid w:val="236B425F"/>
    <w:rsid w:val="23836192"/>
    <w:rsid w:val="23901F29"/>
    <w:rsid w:val="239C0061"/>
    <w:rsid w:val="23B908A4"/>
    <w:rsid w:val="23E95BEF"/>
    <w:rsid w:val="23FD0064"/>
    <w:rsid w:val="244514B2"/>
    <w:rsid w:val="245375B0"/>
    <w:rsid w:val="245B6DB7"/>
    <w:rsid w:val="24642C0A"/>
    <w:rsid w:val="2466767A"/>
    <w:rsid w:val="24B22173"/>
    <w:rsid w:val="24B95AD9"/>
    <w:rsid w:val="24BE24DA"/>
    <w:rsid w:val="24CF5825"/>
    <w:rsid w:val="24D171E9"/>
    <w:rsid w:val="24D663E6"/>
    <w:rsid w:val="24D757B6"/>
    <w:rsid w:val="24D77F2B"/>
    <w:rsid w:val="24DA6E2F"/>
    <w:rsid w:val="24EC4023"/>
    <w:rsid w:val="251D2E07"/>
    <w:rsid w:val="258B00E2"/>
    <w:rsid w:val="25A4045A"/>
    <w:rsid w:val="25A917A6"/>
    <w:rsid w:val="25BE27CC"/>
    <w:rsid w:val="25CD79B1"/>
    <w:rsid w:val="25F74A5C"/>
    <w:rsid w:val="2600779A"/>
    <w:rsid w:val="26233510"/>
    <w:rsid w:val="2628662C"/>
    <w:rsid w:val="262D45DE"/>
    <w:rsid w:val="267D594A"/>
    <w:rsid w:val="26871DC8"/>
    <w:rsid w:val="26A53EF9"/>
    <w:rsid w:val="26A94201"/>
    <w:rsid w:val="26AC274F"/>
    <w:rsid w:val="26B80C9A"/>
    <w:rsid w:val="26D22DA5"/>
    <w:rsid w:val="26DB434F"/>
    <w:rsid w:val="26FB0042"/>
    <w:rsid w:val="27044A29"/>
    <w:rsid w:val="271B34F6"/>
    <w:rsid w:val="271D34C8"/>
    <w:rsid w:val="276142BF"/>
    <w:rsid w:val="27783712"/>
    <w:rsid w:val="278E13C2"/>
    <w:rsid w:val="27907362"/>
    <w:rsid w:val="279F537D"/>
    <w:rsid w:val="27B0758A"/>
    <w:rsid w:val="28333E1D"/>
    <w:rsid w:val="283B3793"/>
    <w:rsid w:val="28454BD6"/>
    <w:rsid w:val="28455253"/>
    <w:rsid w:val="28551971"/>
    <w:rsid w:val="285B1C53"/>
    <w:rsid w:val="289F7086"/>
    <w:rsid w:val="28C32028"/>
    <w:rsid w:val="28C55834"/>
    <w:rsid w:val="28CC490F"/>
    <w:rsid w:val="28DE40AA"/>
    <w:rsid w:val="29345E77"/>
    <w:rsid w:val="294C65AD"/>
    <w:rsid w:val="295B52D4"/>
    <w:rsid w:val="2965010A"/>
    <w:rsid w:val="29713AED"/>
    <w:rsid w:val="29806583"/>
    <w:rsid w:val="298B3C4C"/>
    <w:rsid w:val="298F27C5"/>
    <w:rsid w:val="29930F11"/>
    <w:rsid w:val="299A1A87"/>
    <w:rsid w:val="29AC483C"/>
    <w:rsid w:val="29E452C9"/>
    <w:rsid w:val="29F26D24"/>
    <w:rsid w:val="2A15033F"/>
    <w:rsid w:val="2A1662C1"/>
    <w:rsid w:val="2A1C7367"/>
    <w:rsid w:val="2A2815FA"/>
    <w:rsid w:val="2A6D6092"/>
    <w:rsid w:val="2A7D76B4"/>
    <w:rsid w:val="2B07396C"/>
    <w:rsid w:val="2B09293F"/>
    <w:rsid w:val="2B326787"/>
    <w:rsid w:val="2B437463"/>
    <w:rsid w:val="2B7807EE"/>
    <w:rsid w:val="2B7B1C0B"/>
    <w:rsid w:val="2BA50BF7"/>
    <w:rsid w:val="2BAB6961"/>
    <w:rsid w:val="2BBF00EC"/>
    <w:rsid w:val="2BC37CFD"/>
    <w:rsid w:val="2BC422CF"/>
    <w:rsid w:val="2BD5237F"/>
    <w:rsid w:val="2BD70597"/>
    <w:rsid w:val="2BE536CE"/>
    <w:rsid w:val="2BE758D9"/>
    <w:rsid w:val="2BE90CC2"/>
    <w:rsid w:val="2BF346BB"/>
    <w:rsid w:val="2BFA11C0"/>
    <w:rsid w:val="2C043A01"/>
    <w:rsid w:val="2C09049E"/>
    <w:rsid w:val="2C0A653C"/>
    <w:rsid w:val="2C191F85"/>
    <w:rsid w:val="2C202DF2"/>
    <w:rsid w:val="2C751549"/>
    <w:rsid w:val="2C92725E"/>
    <w:rsid w:val="2CBE4367"/>
    <w:rsid w:val="2CE35D0C"/>
    <w:rsid w:val="2CE82D6F"/>
    <w:rsid w:val="2D0B5263"/>
    <w:rsid w:val="2D137721"/>
    <w:rsid w:val="2D18662B"/>
    <w:rsid w:val="2D244788"/>
    <w:rsid w:val="2D343236"/>
    <w:rsid w:val="2D575011"/>
    <w:rsid w:val="2D657E96"/>
    <w:rsid w:val="2D872B3B"/>
    <w:rsid w:val="2D8A43D9"/>
    <w:rsid w:val="2DAC5EA2"/>
    <w:rsid w:val="2DD15014"/>
    <w:rsid w:val="2DDD45F4"/>
    <w:rsid w:val="2DEC04BA"/>
    <w:rsid w:val="2DF72DE4"/>
    <w:rsid w:val="2E0220AF"/>
    <w:rsid w:val="2E262354"/>
    <w:rsid w:val="2E4B082A"/>
    <w:rsid w:val="2E5D4E86"/>
    <w:rsid w:val="2E5D790B"/>
    <w:rsid w:val="2E9A3C18"/>
    <w:rsid w:val="2EBB0FEE"/>
    <w:rsid w:val="2EC63002"/>
    <w:rsid w:val="2EE55AE5"/>
    <w:rsid w:val="2F0A6B38"/>
    <w:rsid w:val="2F594063"/>
    <w:rsid w:val="2F7760A6"/>
    <w:rsid w:val="2F827A5E"/>
    <w:rsid w:val="2F946CCB"/>
    <w:rsid w:val="2F9C2DF8"/>
    <w:rsid w:val="2FC63E6A"/>
    <w:rsid w:val="2FD25781"/>
    <w:rsid w:val="2FDC745C"/>
    <w:rsid w:val="2FFD7934"/>
    <w:rsid w:val="30733ACD"/>
    <w:rsid w:val="3080081B"/>
    <w:rsid w:val="308C3862"/>
    <w:rsid w:val="309379D8"/>
    <w:rsid w:val="30A270F7"/>
    <w:rsid w:val="30B654E5"/>
    <w:rsid w:val="30DF1478"/>
    <w:rsid w:val="30EC586F"/>
    <w:rsid w:val="319C6071"/>
    <w:rsid w:val="31AC537E"/>
    <w:rsid w:val="31AE2A82"/>
    <w:rsid w:val="31E3679B"/>
    <w:rsid w:val="31E732FD"/>
    <w:rsid w:val="32517576"/>
    <w:rsid w:val="32BE5C2C"/>
    <w:rsid w:val="32D03654"/>
    <w:rsid w:val="32E71A40"/>
    <w:rsid w:val="32FB6478"/>
    <w:rsid w:val="33263B3F"/>
    <w:rsid w:val="336963EB"/>
    <w:rsid w:val="337C3B78"/>
    <w:rsid w:val="33816EEB"/>
    <w:rsid w:val="33A930DF"/>
    <w:rsid w:val="33EB55CD"/>
    <w:rsid w:val="33EC4C02"/>
    <w:rsid w:val="340D2360"/>
    <w:rsid w:val="3410665D"/>
    <w:rsid w:val="34211214"/>
    <w:rsid w:val="34297BBD"/>
    <w:rsid w:val="342E63AB"/>
    <w:rsid w:val="34321327"/>
    <w:rsid w:val="34945B3E"/>
    <w:rsid w:val="34950E68"/>
    <w:rsid w:val="34986E94"/>
    <w:rsid w:val="34AF62C9"/>
    <w:rsid w:val="34C71A6F"/>
    <w:rsid w:val="34CB4388"/>
    <w:rsid w:val="34DB551B"/>
    <w:rsid w:val="34F67558"/>
    <w:rsid w:val="34FA6E12"/>
    <w:rsid w:val="35045912"/>
    <w:rsid w:val="354D7158"/>
    <w:rsid w:val="357B2720"/>
    <w:rsid w:val="35803E13"/>
    <w:rsid w:val="358D5588"/>
    <w:rsid w:val="359009FB"/>
    <w:rsid w:val="363A3B40"/>
    <w:rsid w:val="363B0967"/>
    <w:rsid w:val="36413AA3"/>
    <w:rsid w:val="3643455C"/>
    <w:rsid w:val="365302AE"/>
    <w:rsid w:val="36607A0A"/>
    <w:rsid w:val="366E227C"/>
    <w:rsid w:val="366F2E0D"/>
    <w:rsid w:val="367B6A5C"/>
    <w:rsid w:val="368A2320"/>
    <w:rsid w:val="36A74ADA"/>
    <w:rsid w:val="36AD60D5"/>
    <w:rsid w:val="36B224F9"/>
    <w:rsid w:val="36EC0CC9"/>
    <w:rsid w:val="36FB5E78"/>
    <w:rsid w:val="373F410B"/>
    <w:rsid w:val="378665E9"/>
    <w:rsid w:val="37AD7642"/>
    <w:rsid w:val="37EE7094"/>
    <w:rsid w:val="38296C89"/>
    <w:rsid w:val="382F62A9"/>
    <w:rsid w:val="383002EB"/>
    <w:rsid w:val="384855BD"/>
    <w:rsid w:val="38586797"/>
    <w:rsid w:val="385D15DF"/>
    <w:rsid w:val="386D241A"/>
    <w:rsid w:val="38BC0149"/>
    <w:rsid w:val="38D87D1C"/>
    <w:rsid w:val="394A3E0E"/>
    <w:rsid w:val="39636459"/>
    <w:rsid w:val="396B7F6C"/>
    <w:rsid w:val="39AD58C4"/>
    <w:rsid w:val="39B137C2"/>
    <w:rsid w:val="39B34CB8"/>
    <w:rsid w:val="39B417A9"/>
    <w:rsid w:val="39C600D4"/>
    <w:rsid w:val="39FC5695"/>
    <w:rsid w:val="3A006D8E"/>
    <w:rsid w:val="3A3651E5"/>
    <w:rsid w:val="3A5C70FE"/>
    <w:rsid w:val="3A744481"/>
    <w:rsid w:val="3A854C95"/>
    <w:rsid w:val="3A8C7BEF"/>
    <w:rsid w:val="3A906246"/>
    <w:rsid w:val="3B131EB2"/>
    <w:rsid w:val="3B1D4650"/>
    <w:rsid w:val="3B2349B7"/>
    <w:rsid w:val="3B616CFF"/>
    <w:rsid w:val="3B6259F6"/>
    <w:rsid w:val="3B976654"/>
    <w:rsid w:val="3BAC751F"/>
    <w:rsid w:val="3BC01EFC"/>
    <w:rsid w:val="3BC84AB3"/>
    <w:rsid w:val="3BCA786A"/>
    <w:rsid w:val="3BD31E2F"/>
    <w:rsid w:val="3BF15831"/>
    <w:rsid w:val="3C105946"/>
    <w:rsid w:val="3C471448"/>
    <w:rsid w:val="3C536A3E"/>
    <w:rsid w:val="3C5F759A"/>
    <w:rsid w:val="3C6C525A"/>
    <w:rsid w:val="3C762E6D"/>
    <w:rsid w:val="3C881F8E"/>
    <w:rsid w:val="3CCE23CB"/>
    <w:rsid w:val="3CD17D17"/>
    <w:rsid w:val="3CE6175C"/>
    <w:rsid w:val="3D2D6B2F"/>
    <w:rsid w:val="3D3C7F39"/>
    <w:rsid w:val="3D440F09"/>
    <w:rsid w:val="3D4504A0"/>
    <w:rsid w:val="3D600CB3"/>
    <w:rsid w:val="3D6066C5"/>
    <w:rsid w:val="3D751FBE"/>
    <w:rsid w:val="3D8734BB"/>
    <w:rsid w:val="3D977A9D"/>
    <w:rsid w:val="3D9A11D4"/>
    <w:rsid w:val="3D9C3AD8"/>
    <w:rsid w:val="3DA16D89"/>
    <w:rsid w:val="3DA364BE"/>
    <w:rsid w:val="3DE041CB"/>
    <w:rsid w:val="3E0D48F6"/>
    <w:rsid w:val="3E1868B4"/>
    <w:rsid w:val="3E2F6B34"/>
    <w:rsid w:val="3E377251"/>
    <w:rsid w:val="3E3F72C8"/>
    <w:rsid w:val="3E42664B"/>
    <w:rsid w:val="3E5A7334"/>
    <w:rsid w:val="3E7B5D6B"/>
    <w:rsid w:val="3E817133"/>
    <w:rsid w:val="3E843E66"/>
    <w:rsid w:val="3E8F51FE"/>
    <w:rsid w:val="3E926F87"/>
    <w:rsid w:val="3E9A59DE"/>
    <w:rsid w:val="3EAF4836"/>
    <w:rsid w:val="3EC33DFA"/>
    <w:rsid w:val="3EF9316D"/>
    <w:rsid w:val="3EFB0D9E"/>
    <w:rsid w:val="3F060E16"/>
    <w:rsid w:val="3F067638"/>
    <w:rsid w:val="3F087854"/>
    <w:rsid w:val="3F1D1096"/>
    <w:rsid w:val="3F203316"/>
    <w:rsid w:val="3F2F0234"/>
    <w:rsid w:val="3F6363FE"/>
    <w:rsid w:val="3F756B8F"/>
    <w:rsid w:val="3F850EA5"/>
    <w:rsid w:val="3F95482B"/>
    <w:rsid w:val="3F9D1D4A"/>
    <w:rsid w:val="3FB86B84"/>
    <w:rsid w:val="3FFF45F6"/>
    <w:rsid w:val="40183027"/>
    <w:rsid w:val="4019356B"/>
    <w:rsid w:val="40526FD9"/>
    <w:rsid w:val="40592157"/>
    <w:rsid w:val="406E1CAE"/>
    <w:rsid w:val="407F3FF1"/>
    <w:rsid w:val="40A0133A"/>
    <w:rsid w:val="40C31A53"/>
    <w:rsid w:val="40FF545D"/>
    <w:rsid w:val="410067C8"/>
    <w:rsid w:val="410323DD"/>
    <w:rsid w:val="41285739"/>
    <w:rsid w:val="41863C89"/>
    <w:rsid w:val="418F0D2A"/>
    <w:rsid w:val="41D01505"/>
    <w:rsid w:val="41FF75F5"/>
    <w:rsid w:val="422C1AAB"/>
    <w:rsid w:val="42474939"/>
    <w:rsid w:val="424C3C57"/>
    <w:rsid w:val="42613FF3"/>
    <w:rsid w:val="42660D96"/>
    <w:rsid w:val="428667D2"/>
    <w:rsid w:val="42CD1CE0"/>
    <w:rsid w:val="42D208FA"/>
    <w:rsid w:val="42E1381E"/>
    <w:rsid w:val="42ED6459"/>
    <w:rsid w:val="42FE58DD"/>
    <w:rsid w:val="43174B3D"/>
    <w:rsid w:val="431A7FD2"/>
    <w:rsid w:val="433F0CA0"/>
    <w:rsid w:val="434B790E"/>
    <w:rsid w:val="43601A0D"/>
    <w:rsid w:val="4360274F"/>
    <w:rsid w:val="43977AB6"/>
    <w:rsid w:val="43994596"/>
    <w:rsid w:val="43A3342B"/>
    <w:rsid w:val="43C77C27"/>
    <w:rsid w:val="43DE09EE"/>
    <w:rsid w:val="44002FAD"/>
    <w:rsid w:val="449007B6"/>
    <w:rsid w:val="449101DD"/>
    <w:rsid w:val="4497145E"/>
    <w:rsid w:val="44C95366"/>
    <w:rsid w:val="44DE1391"/>
    <w:rsid w:val="44E548AE"/>
    <w:rsid w:val="451B225C"/>
    <w:rsid w:val="452151CC"/>
    <w:rsid w:val="452410C9"/>
    <w:rsid w:val="45317DFB"/>
    <w:rsid w:val="456D3CE4"/>
    <w:rsid w:val="4579042C"/>
    <w:rsid w:val="457F0571"/>
    <w:rsid w:val="45851176"/>
    <w:rsid w:val="45A86918"/>
    <w:rsid w:val="45C63B94"/>
    <w:rsid w:val="45E858D0"/>
    <w:rsid w:val="4609638B"/>
    <w:rsid w:val="460E7DA5"/>
    <w:rsid w:val="46422483"/>
    <w:rsid w:val="4647199E"/>
    <w:rsid w:val="4659254A"/>
    <w:rsid w:val="465B0637"/>
    <w:rsid w:val="465E3F0D"/>
    <w:rsid w:val="466A16E6"/>
    <w:rsid w:val="46893F2B"/>
    <w:rsid w:val="469D0882"/>
    <w:rsid w:val="46C4686E"/>
    <w:rsid w:val="46E2098A"/>
    <w:rsid w:val="46E6681C"/>
    <w:rsid w:val="46EE10DD"/>
    <w:rsid w:val="47397975"/>
    <w:rsid w:val="477B778F"/>
    <w:rsid w:val="478203EC"/>
    <w:rsid w:val="478A1A03"/>
    <w:rsid w:val="47B025FA"/>
    <w:rsid w:val="480159E9"/>
    <w:rsid w:val="4809698F"/>
    <w:rsid w:val="480C3F11"/>
    <w:rsid w:val="4811697D"/>
    <w:rsid w:val="4812283E"/>
    <w:rsid w:val="48535EE5"/>
    <w:rsid w:val="486677BF"/>
    <w:rsid w:val="487A3E25"/>
    <w:rsid w:val="488B5503"/>
    <w:rsid w:val="48937E21"/>
    <w:rsid w:val="489A0361"/>
    <w:rsid w:val="48B94FF3"/>
    <w:rsid w:val="48E37AAB"/>
    <w:rsid w:val="48FD4B4C"/>
    <w:rsid w:val="490A68E0"/>
    <w:rsid w:val="491055FE"/>
    <w:rsid w:val="49267254"/>
    <w:rsid w:val="495F5B3E"/>
    <w:rsid w:val="496F77D7"/>
    <w:rsid w:val="497654FD"/>
    <w:rsid w:val="49B64211"/>
    <w:rsid w:val="49F6167F"/>
    <w:rsid w:val="4A064FA0"/>
    <w:rsid w:val="4A16615C"/>
    <w:rsid w:val="4A4424D7"/>
    <w:rsid w:val="4A5B5E8E"/>
    <w:rsid w:val="4AB82D0F"/>
    <w:rsid w:val="4AEB7664"/>
    <w:rsid w:val="4AFD7C19"/>
    <w:rsid w:val="4B0567D1"/>
    <w:rsid w:val="4B236AAE"/>
    <w:rsid w:val="4B412124"/>
    <w:rsid w:val="4B707271"/>
    <w:rsid w:val="4B9739F7"/>
    <w:rsid w:val="4BAD1567"/>
    <w:rsid w:val="4BBF5506"/>
    <w:rsid w:val="4BC31A99"/>
    <w:rsid w:val="4BC44A01"/>
    <w:rsid w:val="4BE86A43"/>
    <w:rsid w:val="4BEE2503"/>
    <w:rsid w:val="4BF06BB2"/>
    <w:rsid w:val="4BF90C50"/>
    <w:rsid w:val="4C245A30"/>
    <w:rsid w:val="4C352698"/>
    <w:rsid w:val="4C847C9F"/>
    <w:rsid w:val="4C974B11"/>
    <w:rsid w:val="4C983FC5"/>
    <w:rsid w:val="4CB6685F"/>
    <w:rsid w:val="4CC367FE"/>
    <w:rsid w:val="4CC76658"/>
    <w:rsid w:val="4CDF41F0"/>
    <w:rsid w:val="4D077F3C"/>
    <w:rsid w:val="4D0C4366"/>
    <w:rsid w:val="4D123355"/>
    <w:rsid w:val="4D203FBB"/>
    <w:rsid w:val="4D21213D"/>
    <w:rsid w:val="4D2A3B31"/>
    <w:rsid w:val="4D312C52"/>
    <w:rsid w:val="4D7C3C4A"/>
    <w:rsid w:val="4D822DD2"/>
    <w:rsid w:val="4D905305"/>
    <w:rsid w:val="4D964A72"/>
    <w:rsid w:val="4D9C1254"/>
    <w:rsid w:val="4DC46E97"/>
    <w:rsid w:val="4DC80709"/>
    <w:rsid w:val="4DCB4CA4"/>
    <w:rsid w:val="4DD21759"/>
    <w:rsid w:val="4E121FED"/>
    <w:rsid w:val="4E21448E"/>
    <w:rsid w:val="4E5926A7"/>
    <w:rsid w:val="4E793892"/>
    <w:rsid w:val="4E800872"/>
    <w:rsid w:val="4E930FA3"/>
    <w:rsid w:val="4E936C9C"/>
    <w:rsid w:val="4EC569ED"/>
    <w:rsid w:val="4ED50EA1"/>
    <w:rsid w:val="4EEC050C"/>
    <w:rsid w:val="4F104EC3"/>
    <w:rsid w:val="4F22401A"/>
    <w:rsid w:val="4F47354A"/>
    <w:rsid w:val="4F911C54"/>
    <w:rsid w:val="4FC5018F"/>
    <w:rsid w:val="4FE625E0"/>
    <w:rsid w:val="5021480F"/>
    <w:rsid w:val="50253C24"/>
    <w:rsid w:val="50962ECB"/>
    <w:rsid w:val="50A42E38"/>
    <w:rsid w:val="50A4577F"/>
    <w:rsid w:val="50B73D1F"/>
    <w:rsid w:val="50BD5BC9"/>
    <w:rsid w:val="50C11EEE"/>
    <w:rsid w:val="50E97CFC"/>
    <w:rsid w:val="50FA4028"/>
    <w:rsid w:val="510D65B7"/>
    <w:rsid w:val="511157AB"/>
    <w:rsid w:val="511B6F73"/>
    <w:rsid w:val="5142540C"/>
    <w:rsid w:val="51510BE7"/>
    <w:rsid w:val="518832C8"/>
    <w:rsid w:val="519D3C50"/>
    <w:rsid w:val="51A0432A"/>
    <w:rsid w:val="51A86090"/>
    <w:rsid w:val="51B568D7"/>
    <w:rsid w:val="51B7396D"/>
    <w:rsid w:val="51BB20EF"/>
    <w:rsid w:val="51C045ED"/>
    <w:rsid w:val="51E32D2F"/>
    <w:rsid w:val="52263AC6"/>
    <w:rsid w:val="52295D9F"/>
    <w:rsid w:val="522E4CC3"/>
    <w:rsid w:val="5244713B"/>
    <w:rsid w:val="52615633"/>
    <w:rsid w:val="526E5242"/>
    <w:rsid w:val="526F4DE4"/>
    <w:rsid w:val="52721B97"/>
    <w:rsid w:val="52977FD4"/>
    <w:rsid w:val="52A25790"/>
    <w:rsid w:val="52A96B6F"/>
    <w:rsid w:val="52B45975"/>
    <w:rsid w:val="52D94AA4"/>
    <w:rsid w:val="52E023E7"/>
    <w:rsid w:val="52EA3A62"/>
    <w:rsid w:val="52ED34E5"/>
    <w:rsid w:val="52F50BB8"/>
    <w:rsid w:val="5305542D"/>
    <w:rsid w:val="53097272"/>
    <w:rsid w:val="532D11DF"/>
    <w:rsid w:val="53544462"/>
    <w:rsid w:val="5397158E"/>
    <w:rsid w:val="53A575D3"/>
    <w:rsid w:val="53AA0A2F"/>
    <w:rsid w:val="53EA44B8"/>
    <w:rsid w:val="54013861"/>
    <w:rsid w:val="54487265"/>
    <w:rsid w:val="544D6070"/>
    <w:rsid w:val="54605E1E"/>
    <w:rsid w:val="549A4A45"/>
    <w:rsid w:val="54B3506A"/>
    <w:rsid w:val="54C97AC2"/>
    <w:rsid w:val="54CA0D16"/>
    <w:rsid w:val="54DD4057"/>
    <w:rsid w:val="54E7490F"/>
    <w:rsid w:val="550764A4"/>
    <w:rsid w:val="550B2BF6"/>
    <w:rsid w:val="551B39E5"/>
    <w:rsid w:val="55214EB5"/>
    <w:rsid w:val="55364EFD"/>
    <w:rsid w:val="555D4828"/>
    <w:rsid w:val="556C45C4"/>
    <w:rsid w:val="557A4C8B"/>
    <w:rsid w:val="558931E1"/>
    <w:rsid w:val="55923347"/>
    <w:rsid w:val="55925180"/>
    <w:rsid w:val="55983B1B"/>
    <w:rsid w:val="55A8376B"/>
    <w:rsid w:val="55B611EB"/>
    <w:rsid w:val="55DC29B6"/>
    <w:rsid w:val="55DD4241"/>
    <w:rsid w:val="55F169BF"/>
    <w:rsid w:val="562C4789"/>
    <w:rsid w:val="566B6D1E"/>
    <w:rsid w:val="567758B6"/>
    <w:rsid w:val="568D1D06"/>
    <w:rsid w:val="57032A2C"/>
    <w:rsid w:val="570F5219"/>
    <w:rsid w:val="57574A7D"/>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0E7831"/>
    <w:rsid w:val="58490869"/>
    <w:rsid w:val="585E4F1E"/>
    <w:rsid w:val="58917D2F"/>
    <w:rsid w:val="5894085C"/>
    <w:rsid w:val="58AE4F0C"/>
    <w:rsid w:val="58B85899"/>
    <w:rsid w:val="58CC55CF"/>
    <w:rsid w:val="58E363A9"/>
    <w:rsid w:val="590B1FC3"/>
    <w:rsid w:val="59166304"/>
    <w:rsid w:val="595E1678"/>
    <w:rsid w:val="596A1D3C"/>
    <w:rsid w:val="596D5BD4"/>
    <w:rsid w:val="597E3DD8"/>
    <w:rsid w:val="59AC5554"/>
    <w:rsid w:val="59B352CD"/>
    <w:rsid w:val="59EF245F"/>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9D14DA"/>
    <w:rsid w:val="5BF9099D"/>
    <w:rsid w:val="5C02690E"/>
    <w:rsid w:val="5C196DA7"/>
    <w:rsid w:val="5C2A013C"/>
    <w:rsid w:val="5C2A048C"/>
    <w:rsid w:val="5C460490"/>
    <w:rsid w:val="5C80234E"/>
    <w:rsid w:val="5C8A680C"/>
    <w:rsid w:val="5CAB62A2"/>
    <w:rsid w:val="5CDD6B6F"/>
    <w:rsid w:val="5CFA1A85"/>
    <w:rsid w:val="5D0C4701"/>
    <w:rsid w:val="5D0F0395"/>
    <w:rsid w:val="5D1F24EF"/>
    <w:rsid w:val="5D221076"/>
    <w:rsid w:val="5D397964"/>
    <w:rsid w:val="5D5A391C"/>
    <w:rsid w:val="5D5F10C0"/>
    <w:rsid w:val="5D79574D"/>
    <w:rsid w:val="5D891B7B"/>
    <w:rsid w:val="5D902A97"/>
    <w:rsid w:val="5DAD38EE"/>
    <w:rsid w:val="5DE43148"/>
    <w:rsid w:val="5E006862"/>
    <w:rsid w:val="5E0207B9"/>
    <w:rsid w:val="5E1834A1"/>
    <w:rsid w:val="5E261785"/>
    <w:rsid w:val="5E285F9C"/>
    <w:rsid w:val="5E4A7017"/>
    <w:rsid w:val="5E552BBA"/>
    <w:rsid w:val="5E5646F0"/>
    <w:rsid w:val="5E611C10"/>
    <w:rsid w:val="5E762B94"/>
    <w:rsid w:val="5E7A0F3F"/>
    <w:rsid w:val="5E9A1E1F"/>
    <w:rsid w:val="5EB24909"/>
    <w:rsid w:val="5EB332BF"/>
    <w:rsid w:val="5ED27BE1"/>
    <w:rsid w:val="5EFC7377"/>
    <w:rsid w:val="5F0454EA"/>
    <w:rsid w:val="5F06174D"/>
    <w:rsid w:val="5F0C439F"/>
    <w:rsid w:val="5F3A3602"/>
    <w:rsid w:val="5F45733B"/>
    <w:rsid w:val="5F553F98"/>
    <w:rsid w:val="5F6277C6"/>
    <w:rsid w:val="5F6D0B1D"/>
    <w:rsid w:val="5F7A39FE"/>
    <w:rsid w:val="5F8D0B82"/>
    <w:rsid w:val="5FC067D0"/>
    <w:rsid w:val="5FCC5339"/>
    <w:rsid w:val="5FCE540F"/>
    <w:rsid w:val="5FE34A5B"/>
    <w:rsid w:val="5FFE1E36"/>
    <w:rsid w:val="60232584"/>
    <w:rsid w:val="607330CE"/>
    <w:rsid w:val="60825176"/>
    <w:rsid w:val="608A5EC3"/>
    <w:rsid w:val="609F2AC4"/>
    <w:rsid w:val="60FA2EE8"/>
    <w:rsid w:val="61054A27"/>
    <w:rsid w:val="610A52BC"/>
    <w:rsid w:val="611B6CD6"/>
    <w:rsid w:val="611D2366"/>
    <w:rsid w:val="61421856"/>
    <w:rsid w:val="6146029C"/>
    <w:rsid w:val="615227C4"/>
    <w:rsid w:val="61551709"/>
    <w:rsid w:val="61654E3F"/>
    <w:rsid w:val="61671D60"/>
    <w:rsid w:val="616E7593"/>
    <w:rsid w:val="61730B8F"/>
    <w:rsid w:val="61744FF9"/>
    <w:rsid w:val="6182292A"/>
    <w:rsid w:val="619C2CA1"/>
    <w:rsid w:val="619F7F92"/>
    <w:rsid w:val="61C3343B"/>
    <w:rsid w:val="61C807BC"/>
    <w:rsid w:val="61E81EE3"/>
    <w:rsid w:val="61F94C26"/>
    <w:rsid w:val="62000E56"/>
    <w:rsid w:val="62487121"/>
    <w:rsid w:val="624F3E49"/>
    <w:rsid w:val="62632286"/>
    <w:rsid w:val="62656D70"/>
    <w:rsid w:val="62885958"/>
    <w:rsid w:val="62C7476E"/>
    <w:rsid w:val="62DA1D5D"/>
    <w:rsid w:val="62F12229"/>
    <w:rsid w:val="62F17359"/>
    <w:rsid w:val="62F31C3F"/>
    <w:rsid w:val="62F40B65"/>
    <w:rsid w:val="62FC2CFE"/>
    <w:rsid w:val="63024505"/>
    <w:rsid w:val="633B16F7"/>
    <w:rsid w:val="635600A5"/>
    <w:rsid w:val="635B1DB5"/>
    <w:rsid w:val="635C3B47"/>
    <w:rsid w:val="63711FED"/>
    <w:rsid w:val="63880DDC"/>
    <w:rsid w:val="638D750D"/>
    <w:rsid w:val="63AC6CC0"/>
    <w:rsid w:val="63FE69AC"/>
    <w:rsid w:val="64055776"/>
    <w:rsid w:val="64240056"/>
    <w:rsid w:val="643E143A"/>
    <w:rsid w:val="64460353"/>
    <w:rsid w:val="64491666"/>
    <w:rsid w:val="645816F0"/>
    <w:rsid w:val="648B6EEF"/>
    <w:rsid w:val="64921AB7"/>
    <w:rsid w:val="64C158BF"/>
    <w:rsid w:val="64CE2EAA"/>
    <w:rsid w:val="651971E4"/>
    <w:rsid w:val="65294F03"/>
    <w:rsid w:val="653C3090"/>
    <w:rsid w:val="65854376"/>
    <w:rsid w:val="658767BE"/>
    <w:rsid w:val="65892531"/>
    <w:rsid w:val="65CD0069"/>
    <w:rsid w:val="65E30320"/>
    <w:rsid w:val="66195831"/>
    <w:rsid w:val="661B0E4D"/>
    <w:rsid w:val="662E75B1"/>
    <w:rsid w:val="66342C2E"/>
    <w:rsid w:val="663E784C"/>
    <w:rsid w:val="664A36FF"/>
    <w:rsid w:val="66811B16"/>
    <w:rsid w:val="668B6A45"/>
    <w:rsid w:val="66BA34A1"/>
    <w:rsid w:val="66D165FA"/>
    <w:rsid w:val="670A285C"/>
    <w:rsid w:val="672F3F24"/>
    <w:rsid w:val="673E055F"/>
    <w:rsid w:val="6751439C"/>
    <w:rsid w:val="67551CE3"/>
    <w:rsid w:val="676A4358"/>
    <w:rsid w:val="67A22552"/>
    <w:rsid w:val="67B22DCC"/>
    <w:rsid w:val="67BE71AA"/>
    <w:rsid w:val="67D90273"/>
    <w:rsid w:val="67DC5685"/>
    <w:rsid w:val="67DE5875"/>
    <w:rsid w:val="67E55852"/>
    <w:rsid w:val="67EB1AB4"/>
    <w:rsid w:val="67EF6A97"/>
    <w:rsid w:val="67FA1285"/>
    <w:rsid w:val="681F15E7"/>
    <w:rsid w:val="68270D00"/>
    <w:rsid w:val="68551F4F"/>
    <w:rsid w:val="687C10C9"/>
    <w:rsid w:val="68840C16"/>
    <w:rsid w:val="68876EFB"/>
    <w:rsid w:val="68884654"/>
    <w:rsid w:val="689F444F"/>
    <w:rsid w:val="68B96DBB"/>
    <w:rsid w:val="68CA2805"/>
    <w:rsid w:val="68E937A3"/>
    <w:rsid w:val="68F933EA"/>
    <w:rsid w:val="69303AFB"/>
    <w:rsid w:val="693E15D3"/>
    <w:rsid w:val="69627681"/>
    <w:rsid w:val="6977531D"/>
    <w:rsid w:val="69797303"/>
    <w:rsid w:val="69851F0A"/>
    <w:rsid w:val="69CC2BFF"/>
    <w:rsid w:val="69FD55B8"/>
    <w:rsid w:val="6A0B1C62"/>
    <w:rsid w:val="6A2406C8"/>
    <w:rsid w:val="6A7F65C7"/>
    <w:rsid w:val="6A987242"/>
    <w:rsid w:val="6ADD735F"/>
    <w:rsid w:val="6ADE0BD1"/>
    <w:rsid w:val="6AE96859"/>
    <w:rsid w:val="6B147746"/>
    <w:rsid w:val="6B24787C"/>
    <w:rsid w:val="6B573233"/>
    <w:rsid w:val="6B58630B"/>
    <w:rsid w:val="6B5B6274"/>
    <w:rsid w:val="6B615D5C"/>
    <w:rsid w:val="6B847F5E"/>
    <w:rsid w:val="6B935D53"/>
    <w:rsid w:val="6BC02799"/>
    <w:rsid w:val="6BD149A6"/>
    <w:rsid w:val="6C196F71"/>
    <w:rsid w:val="6C226FCB"/>
    <w:rsid w:val="6C31226F"/>
    <w:rsid w:val="6C312AEA"/>
    <w:rsid w:val="6C552F0B"/>
    <w:rsid w:val="6C8C67B7"/>
    <w:rsid w:val="6C9D744C"/>
    <w:rsid w:val="6D167928"/>
    <w:rsid w:val="6D260D22"/>
    <w:rsid w:val="6D26299B"/>
    <w:rsid w:val="6D32233D"/>
    <w:rsid w:val="6D4772EC"/>
    <w:rsid w:val="6D516379"/>
    <w:rsid w:val="6D5C224E"/>
    <w:rsid w:val="6D9078AF"/>
    <w:rsid w:val="6DAA3FEF"/>
    <w:rsid w:val="6DB8406F"/>
    <w:rsid w:val="6DC0172B"/>
    <w:rsid w:val="6DCB690C"/>
    <w:rsid w:val="6DD41A5B"/>
    <w:rsid w:val="6DDF4FB0"/>
    <w:rsid w:val="6DF43C2E"/>
    <w:rsid w:val="6DF51CA3"/>
    <w:rsid w:val="6E101FDB"/>
    <w:rsid w:val="6E681920"/>
    <w:rsid w:val="6E781728"/>
    <w:rsid w:val="6E8335BD"/>
    <w:rsid w:val="6E8E12EF"/>
    <w:rsid w:val="6E972936"/>
    <w:rsid w:val="6EB40202"/>
    <w:rsid w:val="6ED30A35"/>
    <w:rsid w:val="6ED446C5"/>
    <w:rsid w:val="6F130D38"/>
    <w:rsid w:val="6F250095"/>
    <w:rsid w:val="6F2A7D94"/>
    <w:rsid w:val="6F377216"/>
    <w:rsid w:val="6F55769C"/>
    <w:rsid w:val="6F5B208E"/>
    <w:rsid w:val="6F8331F1"/>
    <w:rsid w:val="6FA31ECE"/>
    <w:rsid w:val="6FAE1A09"/>
    <w:rsid w:val="6FD75BF8"/>
    <w:rsid w:val="6FF922DA"/>
    <w:rsid w:val="700D583A"/>
    <w:rsid w:val="703E5095"/>
    <w:rsid w:val="7060279C"/>
    <w:rsid w:val="707723D0"/>
    <w:rsid w:val="70985552"/>
    <w:rsid w:val="709D12FB"/>
    <w:rsid w:val="70AE62DA"/>
    <w:rsid w:val="70B4699F"/>
    <w:rsid w:val="70F4178D"/>
    <w:rsid w:val="70F5661B"/>
    <w:rsid w:val="71360107"/>
    <w:rsid w:val="713A2FED"/>
    <w:rsid w:val="713B688E"/>
    <w:rsid w:val="71461992"/>
    <w:rsid w:val="71A6677C"/>
    <w:rsid w:val="71A8324B"/>
    <w:rsid w:val="71D43752"/>
    <w:rsid w:val="71DE1BCB"/>
    <w:rsid w:val="71F1796A"/>
    <w:rsid w:val="72154626"/>
    <w:rsid w:val="72262B5D"/>
    <w:rsid w:val="72283FF7"/>
    <w:rsid w:val="722E7212"/>
    <w:rsid w:val="723A0474"/>
    <w:rsid w:val="725923E4"/>
    <w:rsid w:val="725F5415"/>
    <w:rsid w:val="72766AE8"/>
    <w:rsid w:val="72864BF7"/>
    <w:rsid w:val="729023FC"/>
    <w:rsid w:val="729C3F60"/>
    <w:rsid w:val="72E04B6D"/>
    <w:rsid w:val="732301DD"/>
    <w:rsid w:val="732A727E"/>
    <w:rsid w:val="733454E7"/>
    <w:rsid w:val="73C0646E"/>
    <w:rsid w:val="742222F5"/>
    <w:rsid w:val="74391E01"/>
    <w:rsid w:val="74476126"/>
    <w:rsid w:val="74706664"/>
    <w:rsid w:val="747F3682"/>
    <w:rsid w:val="749018A2"/>
    <w:rsid w:val="74930F19"/>
    <w:rsid w:val="749C4185"/>
    <w:rsid w:val="75067759"/>
    <w:rsid w:val="750E27C7"/>
    <w:rsid w:val="751F199D"/>
    <w:rsid w:val="752E6DCD"/>
    <w:rsid w:val="7551380D"/>
    <w:rsid w:val="75600BE5"/>
    <w:rsid w:val="7564475C"/>
    <w:rsid w:val="7583797F"/>
    <w:rsid w:val="75917B29"/>
    <w:rsid w:val="75A679D1"/>
    <w:rsid w:val="75CF09D8"/>
    <w:rsid w:val="75D20F1D"/>
    <w:rsid w:val="75DA2C18"/>
    <w:rsid w:val="75F54412"/>
    <w:rsid w:val="761D08E0"/>
    <w:rsid w:val="761E6A3A"/>
    <w:rsid w:val="765D347C"/>
    <w:rsid w:val="76826699"/>
    <w:rsid w:val="76A10A5E"/>
    <w:rsid w:val="76A870A5"/>
    <w:rsid w:val="76C87133"/>
    <w:rsid w:val="76CD08D5"/>
    <w:rsid w:val="76DB4B92"/>
    <w:rsid w:val="76FE0619"/>
    <w:rsid w:val="77052AA4"/>
    <w:rsid w:val="77136511"/>
    <w:rsid w:val="77340A39"/>
    <w:rsid w:val="77351FD0"/>
    <w:rsid w:val="77472422"/>
    <w:rsid w:val="777F31F2"/>
    <w:rsid w:val="77AB3955"/>
    <w:rsid w:val="77D1700D"/>
    <w:rsid w:val="77EC04CC"/>
    <w:rsid w:val="782D0D9A"/>
    <w:rsid w:val="78520C1D"/>
    <w:rsid w:val="78775729"/>
    <w:rsid w:val="78A42DB0"/>
    <w:rsid w:val="78A656AB"/>
    <w:rsid w:val="78B2245C"/>
    <w:rsid w:val="78B81351"/>
    <w:rsid w:val="78D24798"/>
    <w:rsid w:val="78E172CC"/>
    <w:rsid w:val="78EA1D1F"/>
    <w:rsid w:val="78F527D1"/>
    <w:rsid w:val="7904172F"/>
    <w:rsid w:val="790F7E27"/>
    <w:rsid w:val="792A231A"/>
    <w:rsid w:val="792C76C0"/>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B43DA"/>
    <w:rsid w:val="7AC9522D"/>
    <w:rsid w:val="7AD05746"/>
    <w:rsid w:val="7AEB64F5"/>
    <w:rsid w:val="7B220D7A"/>
    <w:rsid w:val="7B257FFD"/>
    <w:rsid w:val="7B343476"/>
    <w:rsid w:val="7B5A2978"/>
    <w:rsid w:val="7B5A7E4C"/>
    <w:rsid w:val="7B66335D"/>
    <w:rsid w:val="7B667AF9"/>
    <w:rsid w:val="7B7468F8"/>
    <w:rsid w:val="7BA75723"/>
    <w:rsid w:val="7BDE77D6"/>
    <w:rsid w:val="7BEE0103"/>
    <w:rsid w:val="7C0A0FE4"/>
    <w:rsid w:val="7C254906"/>
    <w:rsid w:val="7C395948"/>
    <w:rsid w:val="7C590818"/>
    <w:rsid w:val="7C7C10F6"/>
    <w:rsid w:val="7C814A8D"/>
    <w:rsid w:val="7C853BEA"/>
    <w:rsid w:val="7C881368"/>
    <w:rsid w:val="7C8820A3"/>
    <w:rsid w:val="7C916173"/>
    <w:rsid w:val="7C944A9A"/>
    <w:rsid w:val="7CB31CF4"/>
    <w:rsid w:val="7CE27788"/>
    <w:rsid w:val="7D0C32F1"/>
    <w:rsid w:val="7D0F408D"/>
    <w:rsid w:val="7D28392F"/>
    <w:rsid w:val="7D491C6C"/>
    <w:rsid w:val="7D5429C0"/>
    <w:rsid w:val="7D6E6D43"/>
    <w:rsid w:val="7D747887"/>
    <w:rsid w:val="7DB57A34"/>
    <w:rsid w:val="7DBA7990"/>
    <w:rsid w:val="7DBD2FDC"/>
    <w:rsid w:val="7DE60973"/>
    <w:rsid w:val="7DEF0916"/>
    <w:rsid w:val="7E0E3838"/>
    <w:rsid w:val="7E1E5218"/>
    <w:rsid w:val="7E9A4E1F"/>
    <w:rsid w:val="7EA7723A"/>
    <w:rsid w:val="7EE527EB"/>
    <w:rsid w:val="7EF56FBB"/>
    <w:rsid w:val="7F01514B"/>
    <w:rsid w:val="7F0768EB"/>
    <w:rsid w:val="7F143BEC"/>
    <w:rsid w:val="7F56725F"/>
    <w:rsid w:val="7F6477A9"/>
    <w:rsid w:val="7F715AF2"/>
    <w:rsid w:val="7F7D2300"/>
    <w:rsid w:val="7F814DD6"/>
    <w:rsid w:val="7F841183"/>
    <w:rsid w:val="7F886E69"/>
    <w:rsid w:val="7FFF5B2E"/>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8"/>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3"/>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194"/>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3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3"/>
    <w:autoRedefine/>
    <w:qFormat/>
    <w:uiPriority w:val="0"/>
    <w:pPr>
      <w:shd w:val="clear" w:color="auto" w:fill="000080"/>
    </w:pPr>
  </w:style>
  <w:style w:type="paragraph" w:styleId="19">
    <w:name w:val="annotation text"/>
    <w:basedOn w:val="1"/>
    <w:link w:val="344"/>
    <w:autoRedefine/>
    <w:qFormat/>
    <w:uiPriority w:val="99"/>
    <w:pPr>
      <w:jc w:val="left"/>
    </w:pPr>
  </w:style>
  <w:style w:type="paragraph" w:styleId="20">
    <w:name w:val="Salutation"/>
    <w:basedOn w:val="1"/>
    <w:next w:val="1"/>
    <w:link w:val="298"/>
    <w:autoRedefine/>
    <w:qFormat/>
    <w:uiPriority w:val="0"/>
    <w:rPr>
      <w:rFonts w:ascii="仿宋_GB2312" w:eastAsia="仿宋_GB2312"/>
      <w:sz w:val="28"/>
      <w:szCs w:val="20"/>
    </w:rPr>
  </w:style>
  <w:style w:type="paragraph" w:styleId="21">
    <w:name w:val="Body Text 3"/>
    <w:basedOn w:val="1"/>
    <w:link w:val="330"/>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toc 5"/>
    <w:basedOn w:val="1"/>
    <w:next w:val="1"/>
    <w:autoRedefine/>
    <w:qFormat/>
    <w:uiPriority w:val="0"/>
    <w:pPr>
      <w:ind w:left="1680" w:leftChars="800"/>
    </w:pPr>
  </w:style>
  <w:style w:type="paragraph" w:styleId="25">
    <w:name w:val="Body Text Indent"/>
    <w:basedOn w:val="1"/>
    <w:next w:val="1"/>
    <w:link w:val="265"/>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autoRedefine/>
    <w:qFormat/>
    <w:uiPriority w:val="0"/>
    <w:pPr>
      <w:widowControl/>
      <w:adjustRightInd/>
      <w:ind w:firstLine="200" w:firstLineChars="200"/>
      <w:jc w:val="left"/>
    </w:pPr>
    <w:rPr>
      <w:rFonts w:ascii="宋体" w:hAnsi="宋体"/>
      <w:i/>
      <w:iCs/>
      <w:kern w:val="0"/>
      <w:sz w:val="24"/>
    </w:rPr>
  </w:style>
  <w:style w:type="paragraph" w:styleId="31">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6"/>
    <w:autoRedefine/>
    <w:qFormat/>
    <w:uiPriority w:val="0"/>
    <w:rPr>
      <w:rFonts w:ascii="宋体" w:hAnsi="Courier New" w:cs="Arial"/>
      <w:snapToGrid w:val="0"/>
      <w:szCs w:val="21"/>
    </w:rPr>
  </w:style>
  <w:style w:type="paragraph" w:styleId="33">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autoRedefine/>
    <w:qFormat/>
    <w:uiPriority w:val="0"/>
    <w:pPr>
      <w:ind w:left="2940" w:leftChars="1400"/>
    </w:pPr>
  </w:style>
  <w:style w:type="paragraph" w:styleId="35">
    <w:name w:val="Date"/>
    <w:basedOn w:val="1"/>
    <w:next w:val="1"/>
    <w:link w:val="182"/>
    <w:autoRedefine/>
    <w:qFormat/>
    <w:uiPriority w:val="0"/>
    <w:pPr>
      <w:ind w:left="100" w:leftChars="2500"/>
    </w:pPr>
    <w:rPr>
      <w:rFonts w:ascii="宋体"/>
      <w:sz w:val="24"/>
      <w:szCs w:val="21"/>
      <w:lang w:val="zh-CN"/>
    </w:rPr>
  </w:style>
  <w:style w:type="paragraph" w:styleId="36">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7">
    <w:name w:val="endnote text"/>
    <w:basedOn w:val="1"/>
    <w:link w:val="930"/>
    <w:autoRedefine/>
    <w:qFormat/>
    <w:uiPriority w:val="0"/>
    <w:rPr>
      <w:lang w:val="zh-CN"/>
    </w:rPr>
  </w:style>
  <w:style w:type="paragraph" w:styleId="38">
    <w:name w:val="Balloon Text"/>
    <w:basedOn w:val="1"/>
    <w:link w:val="189"/>
    <w:autoRedefine/>
    <w:qFormat/>
    <w:uiPriority w:val="0"/>
    <w:rPr>
      <w:sz w:val="18"/>
      <w:szCs w:val="18"/>
    </w:rPr>
  </w:style>
  <w:style w:type="paragraph" w:styleId="39">
    <w:name w:val="footer"/>
    <w:basedOn w:val="1"/>
    <w:link w:val="383"/>
    <w:autoRedefine/>
    <w:qFormat/>
    <w:uiPriority w:val="99"/>
    <w:pPr>
      <w:tabs>
        <w:tab w:val="center" w:pos="4153"/>
        <w:tab w:val="right" w:pos="8306"/>
      </w:tabs>
      <w:snapToGrid w:val="0"/>
      <w:jc w:val="left"/>
    </w:pPr>
    <w:rPr>
      <w:sz w:val="18"/>
      <w:szCs w:val="18"/>
    </w:rPr>
  </w:style>
  <w:style w:type="paragraph" w:styleId="40">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13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375"/>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link w:val="302"/>
    <w:autoRedefine/>
    <w:qFormat/>
    <w:uiPriority w:val="0"/>
    <w:pPr>
      <w:spacing w:after="120" w:line="480" w:lineRule="auto"/>
    </w:pPr>
  </w:style>
  <w:style w:type="paragraph" w:styleId="56">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7"/>
    <w:autoRedefine/>
    <w:qFormat/>
    <w:uiPriority w:val="0"/>
    <w:rPr>
      <w:b/>
      <w:bCs/>
    </w:rPr>
  </w:style>
  <w:style w:type="paragraph" w:styleId="60">
    <w:name w:val="Body Text First Indent"/>
    <w:basedOn w:val="23"/>
    <w:next w:val="50"/>
    <w:link w:val="321"/>
    <w:autoRedefine/>
    <w:qFormat/>
    <w:uiPriority w:val="0"/>
    <w:pPr>
      <w:ind w:firstLine="420"/>
    </w:pPr>
    <w:rPr>
      <w:rFonts w:hAnsi="Calibri" w:cs="Times New Roman"/>
      <w:snapToGrid/>
      <w:szCs w:val="20"/>
    </w:rPr>
  </w:style>
  <w:style w:type="paragraph" w:styleId="61">
    <w:name w:val="Body Text First Indent 2"/>
    <w:basedOn w:val="25"/>
    <w:next w:val="62"/>
    <w:link w:val="122"/>
    <w:autoRedefine/>
    <w:qFormat/>
    <w:uiPriority w:val="0"/>
    <w:pPr>
      <w:adjustRightInd/>
      <w:spacing w:after="120" w:line="240" w:lineRule="auto"/>
      <w:ind w:left="420" w:leftChars="200" w:firstLine="210"/>
    </w:pPr>
    <w:rPr>
      <w:sz w:val="21"/>
    </w:rPr>
  </w:style>
  <w:style w:type="paragraph" w:customStyle="1" w:styleId="6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3"/>
    <w:basedOn w:val="81"/>
    <w:next w:val="1"/>
    <w:autoRedefine/>
    <w:qFormat/>
    <w:uiPriority w:val="0"/>
    <w:pPr>
      <w:tabs>
        <w:tab w:val="left" w:pos="2790"/>
        <w:tab w:val="left" w:pos="4230"/>
      </w:tabs>
      <w:spacing w:before="312" w:beforeLines="100"/>
      <w:jc w:val="left"/>
    </w:pPr>
  </w:style>
  <w:style w:type="paragraph" w:customStyle="1" w:styleId="8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styleId="82">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83">
    <w:name w:val="表格非标题文字 Char"/>
    <w:link w:val="84"/>
    <w:autoRedefine/>
    <w:qFormat/>
    <w:uiPriority w:val="0"/>
    <w:rPr>
      <w:rFonts w:ascii="Futura Bk" w:hAnsi="Futura Bk"/>
      <w:kern w:val="2"/>
      <w:sz w:val="18"/>
      <w:szCs w:val="21"/>
      <w:lang w:val="en-US" w:eastAsia="zh-CN" w:bidi="ar-SA"/>
    </w:rPr>
  </w:style>
  <w:style w:type="paragraph" w:customStyle="1" w:styleId="84">
    <w:name w:val="表格非标题文字"/>
    <w:link w:val="83"/>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autoRedefine/>
    <w:qFormat/>
    <w:locked/>
    <w:uiPriority w:val="0"/>
    <w:rPr>
      <w:rFonts w:ascii="宋体" w:hAnsi="宋体"/>
      <w:sz w:val="24"/>
    </w:rPr>
  </w:style>
  <w:style w:type="paragraph" w:customStyle="1" w:styleId="86">
    <w:name w:val="*正文"/>
    <w:basedOn w:val="1"/>
    <w:link w:val="85"/>
    <w:autoRedefine/>
    <w:qFormat/>
    <w:uiPriority w:val="0"/>
    <w:pPr>
      <w:snapToGrid w:val="0"/>
      <w:spacing w:line="360" w:lineRule="auto"/>
      <w:ind w:firstLine="482"/>
      <w:jc w:val="left"/>
    </w:pPr>
    <w:rPr>
      <w:rFonts w:ascii="宋体" w:hAnsi="宋体"/>
      <w:kern w:val="0"/>
      <w:sz w:val="24"/>
      <w:szCs w:val="20"/>
    </w:rPr>
  </w:style>
  <w:style w:type="character" w:customStyle="1" w:styleId="87">
    <w:name w:val="Char Char71"/>
    <w:autoRedefine/>
    <w:semiHidden/>
    <w:qFormat/>
    <w:uiPriority w:val="0"/>
    <w:rPr>
      <w:rFonts w:eastAsia="宋体"/>
      <w:kern w:val="2"/>
      <w:sz w:val="21"/>
      <w:szCs w:val="24"/>
      <w:lang w:val="en-US" w:eastAsia="zh-CN" w:bidi="ar-SA"/>
    </w:rPr>
  </w:style>
  <w:style w:type="character" w:customStyle="1" w:styleId="88">
    <w:name w:val="Char Char6"/>
    <w:autoRedefine/>
    <w:qFormat/>
    <w:uiPriority w:val="0"/>
    <w:rPr>
      <w:rFonts w:eastAsia="宋体"/>
      <w:kern w:val="2"/>
      <w:sz w:val="21"/>
      <w:szCs w:val="24"/>
      <w:lang w:val="en-US" w:eastAsia="zh-CN" w:bidi="ar-SA"/>
    </w:rPr>
  </w:style>
  <w:style w:type="character" w:customStyle="1" w:styleId="89">
    <w:name w:val="正文缩进 Char"/>
    <w:autoRedefine/>
    <w:qFormat/>
    <w:uiPriority w:val="0"/>
    <w:rPr>
      <w:rFonts w:eastAsia="宋体"/>
      <w:kern w:val="2"/>
      <w:sz w:val="21"/>
      <w:lang w:val="en-US" w:eastAsia="zh-CN"/>
    </w:rPr>
  </w:style>
  <w:style w:type="character" w:customStyle="1" w:styleId="90">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1">
    <w:name w:val="Char Char28"/>
    <w:autoRedefine/>
    <w:qFormat/>
    <w:uiPriority w:val="6"/>
    <w:rPr>
      <w:rFonts w:ascii="仿宋_GB2312" w:hAnsi="仿宋_GB2312" w:eastAsia="仿宋_GB2312"/>
      <w:kern w:val="1"/>
      <w:sz w:val="28"/>
    </w:rPr>
  </w:style>
  <w:style w:type="character" w:customStyle="1" w:styleId="92">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autoRedefine/>
    <w:qFormat/>
    <w:uiPriority w:val="6"/>
    <w:rPr>
      <w:rFonts w:ascii="Times New Roman" w:hAnsi="Times New Roman" w:eastAsia="黑体" w:cs="Times New Roman"/>
      <w:b/>
      <w:kern w:val="0"/>
      <w:sz w:val="24"/>
      <w:szCs w:val="24"/>
    </w:rPr>
  </w:style>
  <w:style w:type="character" w:customStyle="1" w:styleId="94">
    <w:name w:val="U_正文 Char"/>
    <w:link w:val="95"/>
    <w:autoRedefine/>
    <w:qFormat/>
    <w:uiPriority w:val="0"/>
    <w:rPr>
      <w:sz w:val="24"/>
      <w:szCs w:val="24"/>
    </w:rPr>
  </w:style>
  <w:style w:type="paragraph" w:customStyle="1" w:styleId="95">
    <w:name w:val="U_正文"/>
    <w:basedOn w:val="1"/>
    <w:link w:val="94"/>
    <w:autoRedefine/>
    <w:qFormat/>
    <w:uiPriority w:val="0"/>
    <w:pPr>
      <w:adjustRightInd/>
      <w:spacing w:beforeLines="20" w:afterLines="20" w:line="300" w:lineRule="auto"/>
      <w:ind w:firstLine="200" w:firstLineChars="200"/>
    </w:pPr>
    <w:rPr>
      <w:kern w:val="0"/>
      <w:sz w:val="24"/>
    </w:rPr>
  </w:style>
  <w:style w:type="character" w:customStyle="1" w:styleId="96">
    <w:name w:val="HTML 地址 Char1"/>
    <w:autoRedefine/>
    <w:qFormat/>
    <w:uiPriority w:val="0"/>
    <w:rPr>
      <w:rFonts w:ascii="Times New Roman" w:hAnsi="Times New Roman" w:eastAsia="宋体" w:cs="Times New Roman"/>
      <w:i/>
      <w:iCs/>
      <w:szCs w:val="24"/>
    </w:rPr>
  </w:style>
  <w:style w:type="character" w:customStyle="1" w:styleId="97">
    <w:name w:val="批注主题 字符"/>
    <w:link w:val="59"/>
    <w:autoRedefine/>
    <w:qFormat/>
    <w:uiPriority w:val="0"/>
    <w:rPr>
      <w:b/>
      <w:bCs/>
      <w:kern w:val="2"/>
      <w:sz w:val="21"/>
      <w:szCs w:val="24"/>
    </w:rPr>
  </w:style>
  <w:style w:type="character" w:customStyle="1" w:styleId="98">
    <w:name w:val="Char Char51"/>
    <w:autoRedefine/>
    <w:qFormat/>
    <w:uiPriority w:val="0"/>
    <w:rPr>
      <w:rFonts w:ascii="宋体" w:hAnsi="Courier New" w:eastAsia="宋体"/>
      <w:kern w:val="2"/>
      <w:sz w:val="21"/>
      <w:lang w:val="en-US" w:eastAsia="zh-CN"/>
    </w:rPr>
  </w:style>
  <w:style w:type="character" w:customStyle="1" w:styleId="99">
    <w:name w:val="表正文 Char"/>
    <w:autoRedefine/>
    <w:qFormat/>
    <w:uiPriority w:val="0"/>
    <w:rPr>
      <w:rFonts w:ascii="宋体" w:eastAsia="宋体"/>
      <w:snapToGrid w:val="0"/>
      <w:color w:val="000000"/>
      <w:kern w:val="28"/>
      <w:sz w:val="28"/>
      <w:lang w:val="en-US" w:eastAsia="zh-CN" w:bidi="ar-SA"/>
    </w:rPr>
  </w:style>
  <w:style w:type="character" w:customStyle="1" w:styleId="100">
    <w:name w:val="Char Char34"/>
    <w:autoRedefine/>
    <w:qFormat/>
    <w:uiPriority w:val="6"/>
    <w:rPr>
      <w:b/>
      <w:kern w:val="1"/>
      <w:sz w:val="28"/>
      <w:szCs w:val="28"/>
    </w:rPr>
  </w:style>
  <w:style w:type="character" w:customStyle="1" w:styleId="101">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autoRedefine/>
    <w:qFormat/>
    <w:uiPriority w:val="0"/>
    <w:rPr>
      <w:rFonts w:ascii="宋体" w:hAnsi="宋体" w:eastAsia="宋体"/>
      <w:kern w:val="2"/>
      <w:sz w:val="24"/>
      <w:lang w:bidi="ar-SA"/>
    </w:rPr>
  </w:style>
  <w:style w:type="paragraph" w:customStyle="1" w:styleId="103">
    <w:name w:val="哈哈正文"/>
    <w:basedOn w:val="1"/>
    <w:link w:val="102"/>
    <w:autoRedefine/>
    <w:qFormat/>
    <w:uiPriority w:val="0"/>
    <w:pPr>
      <w:adjustRightInd/>
      <w:spacing w:line="360" w:lineRule="auto"/>
      <w:ind w:firstLine="200" w:firstLineChars="200"/>
    </w:pPr>
    <w:rPr>
      <w:rFonts w:ascii="宋体" w:hAnsi="宋体"/>
      <w:sz w:val="24"/>
      <w:szCs w:val="20"/>
    </w:rPr>
  </w:style>
  <w:style w:type="character" w:customStyle="1" w:styleId="104">
    <w:name w:val="未处理的提及1"/>
    <w:autoRedefine/>
    <w:qFormat/>
    <w:uiPriority w:val="0"/>
    <w:rPr>
      <w:color w:val="808080"/>
      <w:shd w:val="clear" w:color="auto" w:fill="E6E6E6"/>
    </w:rPr>
  </w:style>
  <w:style w:type="character" w:customStyle="1" w:styleId="105">
    <w:name w:val="txt"/>
    <w:autoRedefine/>
    <w:qFormat/>
    <w:uiPriority w:val="0"/>
    <w:rPr>
      <w:rFonts w:ascii="仿宋_GB2312" w:eastAsia="微软雅黑"/>
      <w:b/>
      <w:kern w:val="2"/>
      <w:sz w:val="32"/>
      <w:szCs w:val="32"/>
      <w:lang w:val="en-US" w:eastAsia="zh-CN" w:bidi="ar-SA"/>
    </w:rPr>
  </w:style>
  <w:style w:type="character" w:customStyle="1" w:styleId="106">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7">
    <w:name w:val="Char Char32"/>
    <w:autoRedefine/>
    <w:qFormat/>
    <w:uiPriority w:val="6"/>
    <w:rPr>
      <w:b/>
      <w:kern w:val="1"/>
      <w:sz w:val="24"/>
      <w:szCs w:val="24"/>
    </w:rPr>
  </w:style>
  <w:style w:type="character" w:customStyle="1" w:styleId="108">
    <w:name w:val="PI Char1"/>
    <w:autoRedefine/>
    <w:qFormat/>
    <w:uiPriority w:val="0"/>
    <w:rPr>
      <w:rFonts w:ascii="宋体" w:hAnsi="宋体"/>
      <w:kern w:val="2"/>
      <w:sz w:val="24"/>
      <w:szCs w:val="24"/>
    </w:rPr>
  </w:style>
  <w:style w:type="character" w:customStyle="1" w:styleId="109">
    <w:name w:val="tw4winTerm"/>
    <w:autoRedefine/>
    <w:qFormat/>
    <w:uiPriority w:val="0"/>
    <w:rPr>
      <w:color w:val="0000FF"/>
    </w:rPr>
  </w:style>
  <w:style w:type="character" w:customStyle="1" w:styleId="110">
    <w:name w:val="Footer Char"/>
    <w:autoRedefine/>
    <w:qFormat/>
    <w:locked/>
    <w:uiPriority w:val="0"/>
    <w:rPr>
      <w:rFonts w:eastAsia="宋体"/>
      <w:kern w:val="2"/>
      <w:sz w:val="18"/>
      <w:lang w:val="en-US" w:eastAsia="zh-CN" w:bidi="ar-SA"/>
    </w:rPr>
  </w:style>
  <w:style w:type="character" w:customStyle="1" w:styleId="111">
    <w:name w:val="普通文字 Char Char1"/>
    <w:autoRedefine/>
    <w:qFormat/>
    <w:uiPriority w:val="0"/>
    <w:rPr>
      <w:rFonts w:ascii="宋体" w:hAnsi="Courier New"/>
      <w:kern w:val="2"/>
      <w:sz w:val="21"/>
    </w:rPr>
  </w:style>
  <w:style w:type="character" w:customStyle="1" w:styleId="112">
    <w:name w:val="Char Char101"/>
    <w:autoRedefine/>
    <w:qFormat/>
    <w:uiPriority w:val="6"/>
    <w:rPr>
      <w:rFonts w:ascii="宋体" w:hAnsi="宋体"/>
      <w:kern w:val="2"/>
      <w:sz w:val="21"/>
      <w:szCs w:val="24"/>
      <w:lang w:val="en-US" w:eastAsia="zh-CN"/>
    </w:rPr>
  </w:style>
  <w:style w:type="character" w:customStyle="1" w:styleId="113">
    <w:name w:val="标题 4 Char"/>
    <w:autoRedefine/>
    <w:qFormat/>
    <w:uiPriority w:val="0"/>
    <w:rPr>
      <w:rFonts w:ascii="Arial" w:hAnsi="Arial" w:eastAsia="黑体"/>
      <w:b/>
      <w:kern w:val="2"/>
      <w:sz w:val="28"/>
    </w:rPr>
  </w:style>
  <w:style w:type="character" w:customStyle="1" w:styleId="114">
    <w:name w:val="链接"/>
    <w:autoRedefine/>
    <w:qFormat/>
    <w:uiPriority w:val="0"/>
    <w:rPr>
      <w:color w:val="0000FF"/>
      <w:sz w:val="21"/>
      <w:szCs w:val="21"/>
      <w:u w:val="single"/>
    </w:rPr>
  </w:style>
  <w:style w:type="character" w:customStyle="1" w:styleId="115">
    <w:name w:val="h4 Char"/>
    <w:autoRedefine/>
    <w:qFormat/>
    <w:uiPriority w:val="0"/>
    <w:rPr>
      <w:rFonts w:ascii="Arial" w:hAnsi="Arial" w:eastAsia="黑体"/>
      <w:b/>
      <w:bCs/>
      <w:kern w:val="2"/>
      <w:sz w:val="28"/>
      <w:szCs w:val="28"/>
      <w:lang w:val="zh-CN" w:eastAsia="zh-CN" w:bidi="ar-SA"/>
    </w:rPr>
  </w:style>
  <w:style w:type="character" w:customStyle="1" w:styleId="116">
    <w:name w:val="5正文 Char"/>
    <w:link w:val="117"/>
    <w:autoRedefine/>
    <w:qFormat/>
    <w:uiPriority w:val="0"/>
    <w:rPr>
      <w:rFonts w:ascii="仿宋_GB2312" w:hAnsi="微软雅黑" w:eastAsia="仿宋_GB2312"/>
      <w:sz w:val="28"/>
      <w:szCs w:val="21"/>
    </w:rPr>
  </w:style>
  <w:style w:type="paragraph" w:customStyle="1" w:styleId="117">
    <w:name w:val="5正文"/>
    <w:basedOn w:val="1"/>
    <w:link w:val="116"/>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autoRedefine/>
    <w:qFormat/>
    <w:uiPriority w:val="9"/>
    <w:rPr>
      <w:b/>
      <w:bCs/>
      <w:kern w:val="2"/>
      <w:sz w:val="32"/>
      <w:szCs w:val="32"/>
    </w:rPr>
  </w:style>
  <w:style w:type="character" w:customStyle="1" w:styleId="119">
    <w:name w:val="样式6 Char"/>
    <w:autoRedefine/>
    <w:qFormat/>
    <w:uiPriority w:val="0"/>
    <w:rPr>
      <w:rFonts w:ascii="仿宋_GB2312" w:hAnsi="宋体" w:eastAsia="仿宋_GB2312"/>
      <w:b/>
      <w:bCs/>
      <w:kern w:val="2"/>
      <w:sz w:val="24"/>
      <w:szCs w:val="24"/>
      <w:lang w:val="en-US" w:eastAsia="zh-CN" w:bidi="ar-SA"/>
    </w:rPr>
  </w:style>
  <w:style w:type="character" w:customStyle="1" w:styleId="120">
    <w:name w:val="Char Char14"/>
    <w:autoRedefine/>
    <w:qFormat/>
    <w:uiPriority w:val="6"/>
    <w:rPr>
      <w:rFonts w:ascii="黑体" w:hAnsi="黑体" w:eastAsia="黑体"/>
    </w:rPr>
  </w:style>
  <w:style w:type="character" w:customStyle="1" w:styleId="121">
    <w:name w:val="Heading 2 Hidden Char"/>
    <w:autoRedefine/>
    <w:qFormat/>
    <w:uiPriority w:val="0"/>
    <w:rPr>
      <w:rFonts w:ascii="仿宋_GB2312" w:eastAsia="仿宋_GB2312"/>
      <w:b/>
      <w:bCs/>
      <w:kern w:val="2"/>
      <w:sz w:val="24"/>
      <w:szCs w:val="24"/>
      <w:lang w:val="zh-CN" w:eastAsia="zh-CN" w:bidi="ar-SA"/>
    </w:rPr>
  </w:style>
  <w:style w:type="character" w:customStyle="1" w:styleId="122">
    <w:name w:val="正文文本首行缩进 2 字符"/>
    <w:link w:val="61"/>
    <w:autoRedefine/>
    <w:qFormat/>
    <w:uiPriority w:val="0"/>
    <w:rPr>
      <w:rFonts w:ascii="宋体" w:hAnsi="宋体"/>
      <w:kern w:val="2"/>
      <w:sz w:val="21"/>
      <w:szCs w:val="24"/>
    </w:rPr>
  </w:style>
  <w:style w:type="character" w:customStyle="1" w:styleId="123">
    <w:name w:val="font11"/>
    <w:autoRedefine/>
    <w:qFormat/>
    <w:uiPriority w:val="0"/>
    <w:rPr>
      <w:rFonts w:hint="default" w:ascii="Times New Roman" w:hAnsi="Times New Roman" w:cs="Times New Roman"/>
      <w:color w:val="000000"/>
      <w:sz w:val="22"/>
      <w:szCs w:val="22"/>
      <w:u w:val="none"/>
    </w:rPr>
  </w:style>
  <w:style w:type="character" w:customStyle="1" w:styleId="124">
    <w:name w:val="表正文 Char1"/>
    <w:autoRedefine/>
    <w:qFormat/>
    <w:uiPriority w:val="0"/>
    <w:rPr>
      <w:rFonts w:ascii="宋体" w:eastAsia="宋体"/>
      <w:snapToGrid w:val="0"/>
      <w:color w:val="000000"/>
      <w:kern w:val="28"/>
      <w:sz w:val="28"/>
    </w:rPr>
  </w:style>
  <w:style w:type="character" w:customStyle="1" w:styleId="125">
    <w:name w:val="blue1"/>
    <w:basedOn w:val="70"/>
    <w:autoRedefine/>
    <w:qFormat/>
    <w:uiPriority w:val="0"/>
    <w:rPr>
      <w:rFonts w:ascii="Arial" w:hAnsi="Arial" w:eastAsia="黑体" w:cs="Arial"/>
      <w:snapToGrid w:val="0"/>
      <w:kern w:val="0"/>
      <w:szCs w:val="21"/>
    </w:rPr>
  </w:style>
  <w:style w:type="character" w:customStyle="1" w:styleId="126">
    <w:name w:val="纯文本 字符1"/>
    <w:link w:val="32"/>
    <w:autoRedefine/>
    <w:qFormat/>
    <w:uiPriority w:val="0"/>
    <w:rPr>
      <w:rFonts w:ascii="宋体" w:hAnsi="Courier New" w:eastAsia="宋体" w:cs="Arial"/>
      <w:snapToGrid w:val="0"/>
      <w:kern w:val="2"/>
      <w:sz w:val="21"/>
      <w:szCs w:val="21"/>
      <w:lang w:val="en-US" w:eastAsia="zh-CN" w:bidi="ar-SA"/>
    </w:rPr>
  </w:style>
  <w:style w:type="character" w:customStyle="1" w:styleId="127">
    <w:name w:val="标书1 Char"/>
    <w:autoRedefine/>
    <w:qFormat/>
    <w:uiPriority w:val="0"/>
    <w:rPr>
      <w:rFonts w:eastAsia="宋体"/>
      <w:b/>
      <w:bCs/>
      <w:kern w:val="44"/>
      <w:sz w:val="44"/>
      <w:szCs w:val="44"/>
      <w:lang w:val="en-US" w:eastAsia="zh-CN" w:bidi="ar-SA"/>
    </w:rPr>
  </w:style>
  <w:style w:type="character" w:customStyle="1" w:styleId="128">
    <w:name w:val="样式5 Char"/>
    <w:autoRedefine/>
    <w:qFormat/>
    <w:uiPriority w:val="0"/>
    <w:rPr>
      <w:rFonts w:ascii="仿宋_GB2312" w:hAnsi="仿宋" w:eastAsia="仿宋_GB2312"/>
      <w:kern w:val="2"/>
      <w:sz w:val="24"/>
      <w:szCs w:val="24"/>
    </w:rPr>
  </w:style>
  <w:style w:type="character" w:customStyle="1" w:styleId="129">
    <w:name w:val="样式4 Char"/>
    <w:autoRedefine/>
    <w:qFormat/>
    <w:uiPriority w:val="0"/>
    <w:rPr>
      <w:rFonts w:ascii="仿宋_GB2312" w:hAnsi="仿宋" w:eastAsia="仿宋_GB2312"/>
      <w:b/>
      <w:kern w:val="2"/>
      <w:sz w:val="32"/>
      <w:szCs w:val="32"/>
      <w:lang w:bidi="ar-SA"/>
    </w:rPr>
  </w:style>
  <w:style w:type="character" w:customStyle="1" w:styleId="130">
    <w:name w:val="插图说明 Char"/>
    <w:autoRedefine/>
    <w:qFormat/>
    <w:uiPriority w:val="0"/>
    <w:rPr>
      <w:rFonts w:eastAsia="黑体"/>
      <w:sz w:val="24"/>
      <w:lang w:val="en-US" w:eastAsia="zh-CN"/>
    </w:rPr>
  </w:style>
  <w:style w:type="character" w:customStyle="1" w:styleId="131">
    <w:name w:val="正文2 Char Char"/>
    <w:link w:val="132"/>
    <w:autoRedefine/>
    <w:qFormat/>
    <w:uiPriority w:val="0"/>
    <w:rPr>
      <w:rFonts w:eastAsia="宋体"/>
      <w:kern w:val="2"/>
      <w:sz w:val="24"/>
      <w:lang w:val="en-US" w:eastAsia="zh-CN" w:bidi="ar-SA"/>
    </w:rPr>
  </w:style>
  <w:style w:type="paragraph" w:customStyle="1" w:styleId="132">
    <w:name w:val="正文2"/>
    <w:basedOn w:val="1"/>
    <w:link w:val="131"/>
    <w:autoRedefine/>
    <w:qFormat/>
    <w:uiPriority w:val="0"/>
    <w:pPr>
      <w:spacing w:before="156" w:line="360" w:lineRule="auto"/>
      <w:ind w:firstLine="510" w:firstLineChars="200"/>
    </w:pPr>
    <w:rPr>
      <w:sz w:val="24"/>
      <w:szCs w:val="20"/>
    </w:rPr>
  </w:style>
  <w:style w:type="character" w:customStyle="1" w:styleId="133">
    <w:name w:val="Char Char24"/>
    <w:autoRedefine/>
    <w:qFormat/>
    <w:uiPriority w:val="6"/>
    <w:rPr>
      <w:kern w:val="1"/>
      <w:sz w:val="21"/>
    </w:rPr>
  </w:style>
  <w:style w:type="character" w:customStyle="1" w:styleId="134">
    <w:name w:val="副标题 字符"/>
    <w:link w:val="46"/>
    <w:autoRedefine/>
    <w:qFormat/>
    <w:uiPriority w:val="0"/>
    <w:rPr>
      <w:rFonts w:ascii="Arial" w:hAnsi="Arial" w:eastAsia="隶书"/>
      <w:b/>
      <w:bCs/>
      <w:kern w:val="28"/>
      <w:sz w:val="44"/>
      <w:szCs w:val="32"/>
      <w:lang w:val="en-US" w:eastAsia="zh-CN" w:bidi="ar-SA"/>
    </w:rPr>
  </w:style>
  <w:style w:type="character" w:customStyle="1" w:styleId="135">
    <w:name w:val="普通文字 Char1 Char"/>
    <w:autoRedefine/>
    <w:qFormat/>
    <w:uiPriority w:val="0"/>
    <w:rPr>
      <w:rFonts w:ascii="宋体" w:hAnsi="Courier New" w:eastAsia="宋体"/>
      <w:kern w:val="2"/>
      <w:sz w:val="21"/>
      <w:szCs w:val="24"/>
      <w:lang w:val="en-US" w:eastAsia="zh-CN" w:bidi="ar-SA"/>
    </w:rPr>
  </w:style>
  <w:style w:type="character" w:customStyle="1" w:styleId="136">
    <w:name w:val="h3 Char1"/>
    <w:autoRedefine/>
    <w:qFormat/>
    <w:uiPriority w:val="0"/>
    <w:rPr>
      <w:rFonts w:eastAsia="宋体"/>
      <w:b/>
      <w:bCs/>
      <w:kern w:val="2"/>
      <w:sz w:val="32"/>
      <w:szCs w:val="32"/>
      <w:lang w:bidi="ar-SA"/>
    </w:rPr>
  </w:style>
  <w:style w:type="character" w:customStyle="1" w:styleId="137">
    <w:name w:val="标题 Char1"/>
    <w:autoRedefine/>
    <w:qFormat/>
    <w:uiPriority w:val="0"/>
    <w:rPr>
      <w:rFonts w:ascii="Cambria" w:hAnsi="Cambria" w:eastAsia="宋体" w:cs="Times New Roman"/>
      <w:b/>
      <w:bCs/>
      <w:sz w:val="32"/>
      <w:szCs w:val="32"/>
      <w:lang w:bidi="ar-SA"/>
    </w:rPr>
  </w:style>
  <w:style w:type="character" w:customStyle="1" w:styleId="138">
    <w:name w:val="gf正文1 Char"/>
    <w:autoRedefine/>
    <w:qFormat/>
    <w:uiPriority w:val="0"/>
    <w:rPr>
      <w:rFonts w:ascii="宋体" w:hAnsi="宋体" w:eastAsia="宋体" w:cs="宋体"/>
      <w:kern w:val="2"/>
      <w:sz w:val="24"/>
      <w:szCs w:val="24"/>
      <w:lang w:val="en-US" w:eastAsia="zh-CN" w:bidi="ar-SA"/>
    </w:rPr>
  </w:style>
  <w:style w:type="character" w:customStyle="1" w:styleId="139">
    <w:name w:val="正文文本缩进 Char1"/>
    <w:autoRedefine/>
    <w:qFormat/>
    <w:uiPriority w:val="0"/>
    <w:rPr>
      <w:rFonts w:ascii="Calibri" w:hAnsi="Calibri"/>
      <w:sz w:val="28"/>
    </w:rPr>
  </w:style>
  <w:style w:type="character" w:customStyle="1" w:styleId="140">
    <w:name w:val="No Spacing Char"/>
    <w:link w:val="141"/>
    <w:autoRedefine/>
    <w:qFormat/>
    <w:uiPriority w:val="1"/>
    <w:rPr>
      <w:sz w:val="22"/>
      <w:szCs w:val="22"/>
      <w:lang w:val="en-US" w:eastAsia="zh-CN" w:bidi="ar-SA"/>
    </w:rPr>
  </w:style>
  <w:style w:type="paragraph" w:customStyle="1" w:styleId="141">
    <w:name w:val="无间隔1"/>
    <w:link w:val="140"/>
    <w:autoRedefine/>
    <w:qFormat/>
    <w:uiPriority w:val="1"/>
    <w:rPr>
      <w:rFonts w:ascii="Times New Roman" w:hAnsi="Times New Roman" w:eastAsia="宋体" w:cs="Times New Roman"/>
      <w:sz w:val="22"/>
      <w:szCs w:val="22"/>
      <w:lang w:val="en-US" w:eastAsia="zh-CN" w:bidi="ar-SA"/>
    </w:rPr>
  </w:style>
  <w:style w:type="character" w:customStyle="1" w:styleId="142">
    <w:name w:val="样式7 Char"/>
    <w:autoRedefine/>
    <w:qFormat/>
    <w:uiPriority w:val="0"/>
    <w:rPr>
      <w:rFonts w:ascii="仿宋_GB2312" w:hAnsi="仿宋" w:eastAsia="仿宋_GB2312"/>
      <w:b/>
      <w:kern w:val="2"/>
      <w:sz w:val="24"/>
      <w:szCs w:val="24"/>
    </w:rPr>
  </w:style>
  <w:style w:type="character" w:customStyle="1" w:styleId="143">
    <w:name w:val="font12gray1"/>
    <w:autoRedefine/>
    <w:qFormat/>
    <w:uiPriority w:val="0"/>
    <w:rPr>
      <w:rFonts w:ascii="仿宋_GB2312" w:eastAsia="微软雅黑"/>
      <w:b/>
      <w:spacing w:val="300"/>
      <w:kern w:val="2"/>
      <w:sz w:val="18"/>
      <w:szCs w:val="18"/>
      <w:lang w:val="en-US" w:eastAsia="zh-CN" w:bidi="ar-SA"/>
    </w:rPr>
  </w:style>
  <w:style w:type="character" w:customStyle="1" w:styleId="144">
    <w:name w:val="Char Char7"/>
    <w:autoRedefine/>
    <w:semiHidden/>
    <w:qFormat/>
    <w:uiPriority w:val="0"/>
    <w:rPr>
      <w:rFonts w:eastAsia="宋体"/>
      <w:kern w:val="2"/>
      <w:sz w:val="21"/>
      <w:szCs w:val="24"/>
      <w:lang w:val="en-US" w:eastAsia="zh-CN" w:bidi="ar-SA"/>
    </w:rPr>
  </w:style>
  <w:style w:type="character" w:customStyle="1" w:styleId="145">
    <w:name w:val="表名 Char"/>
    <w:autoRedefine/>
    <w:qFormat/>
    <w:uiPriority w:val="0"/>
    <w:rPr>
      <w:rFonts w:eastAsia="宋体"/>
      <w:b/>
      <w:bCs/>
      <w:kern w:val="2"/>
      <w:sz w:val="24"/>
      <w:szCs w:val="24"/>
      <w:lang w:val="en-US" w:eastAsia="zh-CN" w:bidi="ar-SA"/>
    </w:rPr>
  </w:style>
  <w:style w:type="character" w:customStyle="1" w:styleId="146">
    <w:name w:val="Document Map Char"/>
    <w:autoRedefine/>
    <w:qFormat/>
    <w:locked/>
    <w:uiPriority w:val="0"/>
    <w:rPr>
      <w:rFonts w:eastAsia="宋体"/>
      <w:kern w:val="2"/>
      <w:sz w:val="21"/>
      <w:szCs w:val="24"/>
      <w:lang w:val="en-US" w:eastAsia="zh-CN" w:bidi="ar-SA"/>
    </w:rPr>
  </w:style>
  <w:style w:type="character" w:customStyle="1" w:styleId="147">
    <w:name w:val="font41"/>
    <w:autoRedefine/>
    <w:qFormat/>
    <w:uiPriority w:val="0"/>
    <w:rPr>
      <w:rFonts w:hint="eastAsia" w:ascii="仿宋_GB2312" w:eastAsia="仿宋_GB2312" w:cs="仿宋_GB2312"/>
      <w:color w:val="000000"/>
      <w:sz w:val="22"/>
      <w:szCs w:val="22"/>
      <w:u w:val="none"/>
    </w:rPr>
  </w:style>
  <w:style w:type="character" w:customStyle="1" w:styleId="148">
    <w:name w:val="标题 6 字符"/>
    <w:link w:val="8"/>
    <w:autoRedefine/>
    <w:qFormat/>
    <w:uiPriority w:val="0"/>
    <w:rPr>
      <w:rFonts w:ascii="Arial" w:hAnsi="Arial" w:eastAsia="黑体"/>
      <w:b/>
      <w:bCs/>
      <w:kern w:val="2"/>
      <w:sz w:val="24"/>
      <w:szCs w:val="24"/>
    </w:rPr>
  </w:style>
  <w:style w:type="character" w:customStyle="1" w:styleId="149">
    <w:name w:val="纯文本 Char_0"/>
    <w:link w:val="150"/>
    <w:autoRedefine/>
    <w:qFormat/>
    <w:uiPriority w:val="0"/>
    <w:rPr>
      <w:rFonts w:ascii="宋体" w:hAnsi="Courier New"/>
      <w:kern w:val="2"/>
      <w:sz w:val="21"/>
      <w:szCs w:val="21"/>
      <w:lang w:val="en-US" w:eastAsia="zh-CN"/>
    </w:rPr>
  </w:style>
  <w:style w:type="paragraph" w:customStyle="1" w:styleId="150">
    <w:name w:val="纯文本_0_0"/>
    <w:basedOn w:val="151"/>
    <w:link w:val="149"/>
    <w:autoRedefine/>
    <w:qFormat/>
    <w:uiPriority w:val="0"/>
    <w:rPr>
      <w:rFonts w:ascii="宋体" w:hAnsi="Courier New"/>
      <w:szCs w:val="21"/>
    </w:rPr>
  </w:style>
  <w:style w:type="paragraph" w:customStyle="1" w:styleId="151">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autoRedefine/>
    <w:qFormat/>
    <w:locked/>
    <w:uiPriority w:val="0"/>
    <w:rPr>
      <w:rFonts w:eastAsia="宋体"/>
      <w:kern w:val="2"/>
      <w:sz w:val="18"/>
      <w:szCs w:val="18"/>
      <w:lang w:val="en-US" w:eastAsia="zh-CN" w:bidi="ar-SA"/>
    </w:rPr>
  </w:style>
  <w:style w:type="character" w:customStyle="1" w:styleId="153">
    <w:name w:val="正文 项目2 Char"/>
    <w:basedOn w:val="154"/>
    <w:autoRedefine/>
    <w:qFormat/>
    <w:uiPriority w:val="0"/>
    <w:rPr>
      <w:rFonts w:ascii="仿宋_GB2312" w:hAnsi="仿宋_GB2312" w:eastAsia="仿宋_GB2312"/>
      <w:kern w:val="2"/>
      <w:sz w:val="24"/>
      <w:lang w:bidi="ar-SA"/>
    </w:rPr>
  </w:style>
  <w:style w:type="character" w:customStyle="1" w:styleId="154">
    <w:name w:val="正文 项目 Char"/>
    <w:autoRedefine/>
    <w:qFormat/>
    <w:uiPriority w:val="0"/>
    <w:rPr>
      <w:rFonts w:ascii="仿宋_GB2312" w:hAnsi="仿宋_GB2312" w:eastAsia="仿宋_GB2312"/>
      <w:kern w:val="2"/>
      <w:sz w:val="24"/>
      <w:lang w:bidi="ar-SA"/>
    </w:rPr>
  </w:style>
  <w:style w:type="character" w:customStyle="1" w:styleId="155">
    <w:name w:val="h Char Char1"/>
    <w:autoRedefine/>
    <w:qFormat/>
    <w:uiPriority w:val="0"/>
    <w:rPr>
      <w:rFonts w:eastAsia="宋体"/>
      <w:kern w:val="2"/>
      <w:sz w:val="18"/>
      <w:szCs w:val="18"/>
      <w:lang w:val="en-US" w:eastAsia="zh-CN" w:bidi="ar-SA"/>
    </w:rPr>
  </w:style>
  <w:style w:type="character" w:customStyle="1" w:styleId="156">
    <w:name w:val="Char Char27"/>
    <w:autoRedefine/>
    <w:qFormat/>
    <w:uiPriority w:val="6"/>
    <w:rPr>
      <w:rFonts w:ascii="宋体" w:hAnsi="宋体" w:eastAsia="宋体"/>
      <w:color w:val="000000"/>
      <w:kern w:val="1"/>
      <w:sz w:val="28"/>
      <w:lang w:val="en-US" w:eastAsia="zh-CN" w:bidi="ar-SA"/>
    </w:rPr>
  </w:style>
  <w:style w:type="character" w:customStyle="1" w:styleId="157">
    <w:name w:val="px14"/>
    <w:autoRedefine/>
    <w:qFormat/>
    <w:uiPriority w:val="0"/>
    <w:rPr>
      <w:rFonts w:ascii="仿宋_GB2312" w:eastAsia="微软雅黑" w:cs="Times New Roman"/>
      <w:b/>
      <w:kern w:val="2"/>
      <w:sz w:val="32"/>
      <w:szCs w:val="32"/>
      <w:lang w:val="en-US" w:eastAsia="zh-CN" w:bidi="ar-SA"/>
    </w:rPr>
  </w:style>
  <w:style w:type="character" w:customStyle="1" w:styleId="158">
    <w:name w:val="HTML 预设格式 Char1"/>
    <w:autoRedefine/>
    <w:qFormat/>
    <w:uiPriority w:val="0"/>
    <w:rPr>
      <w:rFonts w:ascii="Courier New" w:hAnsi="Courier New" w:eastAsia="宋体" w:cs="Courier New"/>
      <w:sz w:val="20"/>
      <w:szCs w:val="20"/>
    </w:rPr>
  </w:style>
  <w:style w:type="character" w:customStyle="1" w:styleId="159">
    <w:name w:val="普通文字 Char1"/>
    <w:autoRedefine/>
    <w:qFormat/>
    <w:uiPriority w:val="0"/>
    <w:rPr>
      <w:rFonts w:ascii="宋体" w:hAnsi="Courier New" w:eastAsia="宋体"/>
      <w:kern w:val="2"/>
      <w:sz w:val="21"/>
      <w:lang w:val="en-US" w:eastAsia="zh-CN"/>
    </w:rPr>
  </w:style>
  <w:style w:type="character" w:customStyle="1" w:styleId="160">
    <w:name w:val="hei16b1"/>
    <w:autoRedefine/>
    <w:qFormat/>
    <w:uiPriority w:val="0"/>
    <w:rPr>
      <w:rFonts w:hint="default" w:ascii="Arial" w:hAnsi="Arial" w:cs="Arial"/>
      <w:b/>
      <w:bCs/>
      <w:color w:val="000000"/>
      <w:sz w:val="24"/>
      <w:szCs w:val="24"/>
    </w:rPr>
  </w:style>
  <w:style w:type="character" w:customStyle="1" w:styleId="161">
    <w:name w:val="正文（绿盟科技） Char"/>
    <w:link w:val="162"/>
    <w:autoRedefine/>
    <w:qFormat/>
    <w:uiPriority w:val="0"/>
    <w:rPr>
      <w:rFonts w:ascii="Arial" w:hAnsi="Arial"/>
      <w:sz w:val="21"/>
      <w:szCs w:val="21"/>
    </w:rPr>
  </w:style>
  <w:style w:type="paragraph" w:customStyle="1" w:styleId="162">
    <w:name w:val="正文（绿盟科技）"/>
    <w:link w:val="161"/>
    <w:autoRedefine/>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autoRedefine/>
    <w:qFormat/>
    <w:uiPriority w:val="6"/>
    <w:rPr>
      <w:rFonts w:ascii="宋体" w:hAnsi="宋体"/>
      <w:i/>
      <w:sz w:val="24"/>
      <w:szCs w:val="24"/>
    </w:rPr>
  </w:style>
  <w:style w:type="character" w:customStyle="1" w:styleId="164">
    <w:name w:val="页脚 Char"/>
    <w:autoRedefine/>
    <w:qFormat/>
    <w:uiPriority w:val="0"/>
    <w:rPr>
      <w:rFonts w:eastAsia="仿宋_GB2312"/>
      <w:kern w:val="2"/>
      <w:sz w:val="18"/>
      <w:lang w:val="en-US" w:eastAsia="zh-CN"/>
    </w:rPr>
  </w:style>
  <w:style w:type="character" w:customStyle="1" w:styleId="165">
    <w:name w:val="批注主题 Char"/>
    <w:autoRedefine/>
    <w:qFormat/>
    <w:uiPriority w:val="0"/>
    <w:rPr>
      <w:rFonts w:eastAsia="宋体"/>
      <w:b/>
      <w:bCs/>
      <w:kern w:val="2"/>
      <w:sz w:val="21"/>
      <w:szCs w:val="24"/>
      <w:lang w:val="en-US" w:eastAsia="zh-CN" w:bidi="ar-SA"/>
    </w:rPr>
  </w:style>
  <w:style w:type="character" w:customStyle="1" w:styleId="166">
    <w:name w:val="Comment Text Char"/>
    <w:autoRedefine/>
    <w:qFormat/>
    <w:locked/>
    <w:uiPriority w:val="0"/>
    <w:rPr>
      <w:rFonts w:ascii="宋体" w:hAnsi="宋体" w:eastAsia="宋体"/>
      <w:kern w:val="2"/>
      <w:sz w:val="24"/>
      <w:lang w:val="en-US" w:eastAsia="zh-CN" w:bidi="ar-SA"/>
    </w:rPr>
  </w:style>
  <w:style w:type="character" w:customStyle="1" w:styleId="167">
    <w:name w:val="标题 2 字符"/>
    <w:autoRedefine/>
    <w:qFormat/>
    <w:uiPriority w:val="1"/>
    <w:rPr>
      <w:rFonts w:ascii="仿宋_GB2312" w:hAnsi="Times New Roman" w:eastAsia="仿宋_GB2312" w:cs="Times New Roman"/>
      <w:b/>
      <w:kern w:val="2"/>
      <w:sz w:val="24"/>
      <w:lang w:val="zh-CN"/>
    </w:rPr>
  </w:style>
  <w:style w:type="character" w:customStyle="1" w:styleId="168">
    <w:name w:val="Char Char72"/>
    <w:autoRedefine/>
    <w:qFormat/>
    <w:uiPriority w:val="0"/>
    <w:rPr>
      <w:rFonts w:eastAsia="宋体"/>
      <w:kern w:val="2"/>
      <w:sz w:val="21"/>
      <w:szCs w:val="24"/>
      <w:lang w:val="en-US" w:eastAsia="zh-CN" w:bidi="ar-SA"/>
    </w:rPr>
  </w:style>
  <w:style w:type="character" w:customStyle="1" w:styleId="169">
    <w:name w:val="正文文本缩进 Char2"/>
    <w:autoRedefine/>
    <w:qFormat/>
    <w:uiPriority w:val="0"/>
    <w:rPr>
      <w:rFonts w:ascii="Times New Roman" w:hAnsi="Times New Roman" w:eastAsia="宋体" w:cs="Times New Roman"/>
      <w:snapToGrid w:val="0"/>
      <w:kern w:val="0"/>
      <w:szCs w:val="24"/>
    </w:rPr>
  </w:style>
  <w:style w:type="character" w:customStyle="1" w:styleId="170">
    <w:name w:val="样式2 Char"/>
    <w:autoRedefine/>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autoRedefine/>
    <w:qFormat/>
    <w:uiPriority w:val="0"/>
    <w:rPr>
      <w:sz w:val="32"/>
    </w:rPr>
  </w:style>
  <w:style w:type="paragraph" w:customStyle="1" w:styleId="172">
    <w:name w:val="表格名称"/>
    <w:basedOn w:val="3"/>
    <w:link w:val="171"/>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autoRedefine/>
    <w:qFormat/>
    <w:uiPriority w:val="0"/>
    <w:rPr>
      <w:rFonts w:eastAsia="宋体"/>
      <w:b/>
      <w:sz w:val="24"/>
      <w:lang w:val="en-GB" w:eastAsia="zh-CN" w:bidi="ar-SA"/>
    </w:rPr>
  </w:style>
  <w:style w:type="character" w:customStyle="1" w:styleId="174">
    <w:name w:val="c7 style3"/>
    <w:autoRedefine/>
    <w:qFormat/>
    <w:uiPriority w:val="0"/>
  </w:style>
  <w:style w:type="character" w:customStyle="1" w:styleId="175">
    <w:name w:val="正文文本 3 Char1"/>
    <w:autoRedefine/>
    <w:semiHidden/>
    <w:qFormat/>
    <w:uiPriority w:val="99"/>
    <w:rPr>
      <w:rFonts w:ascii="Times New Roman" w:hAnsi="Times New Roman" w:eastAsia="宋体" w:cs="Times New Roman"/>
      <w:sz w:val="16"/>
      <w:szCs w:val="16"/>
    </w:rPr>
  </w:style>
  <w:style w:type="character" w:customStyle="1" w:styleId="176">
    <w:name w:val="tw4winInternal"/>
    <w:autoRedefine/>
    <w:qFormat/>
    <w:uiPriority w:val="0"/>
    <w:rPr>
      <w:rFonts w:ascii="Courier New" w:hAnsi="Courier New" w:cs="Courier New"/>
      <w:color w:val="FF0000"/>
      <w:lang w:val="en-US" w:eastAsia="zh-CN"/>
    </w:rPr>
  </w:style>
  <w:style w:type="character" w:customStyle="1" w:styleId="177">
    <w:name w:val="Char Char10"/>
    <w:autoRedefine/>
    <w:semiHidden/>
    <w:qFormat/>
    <w:uiPriority w:val="0"/>
    <w:rPr>
      <w:rFonts w:ascii="宋体" w:hAnsi="宋体"/>
      <w:kern w:val="2"/>
      <w:sz w:val="21"/>
      <w:szCs w:val="24"/>
      <w:lang w:val="en-US" w:eastAsia="zh-CN"/>
    </w:rPr>
  </w:style>
  <w:style w:type="character" w:customStyle="1" w:styleId="178">
    <w:name w:val="shadow11"/>
    <w:autoRedefine/>
    <w:qFormat/>
    <w:uiPriority w:val="0"/>
    <w:rPr>
      <w:color w:val="000000"/>
      <w:sz w:val="21"/>
    </w:rPr>
  </w:style>
  <w:style w:type="character" w:customStyle="1" w:styleId="179">
    <w:name w:val="正文非缩进 Char3"/>
    <w:autoRedefine/>
    <w:qFormat/>
    <w:uiPriority w:val="0"/>
    <w:rPr>
      <w:rFonts w:ascii="宋体" w:eastAsia="宋体"/>
      <w:snapToGrid w:val="0"/>
      <w:color w:val="000000"/>
      <w:kern w:val="28"/>
      <w:sz w:val="28"/>
      <w:lang w:val="en-US" w:eastAsia="zh-CN" w:bidi="ar-SA"/>
    </w:rPr>
  </w:style>
  <w:style w:type="character" w:customStyle="1" w:styleId="180">
    <w:name w:val="Char Char"/>
    <w:autoRedefine/>
    <w:qFormat/>
    <w:uiPriority w:val="0"/>
    <w:rPr>
      <w:rFonts w:ascii="宋体" w:hAnsi="Courier New" w:eastAsia="宋体"/>
      <w:kern w:val="2"/>
      <w:sz w:val="21"/>
      <w:lang w:val="en-US" w:eastAsia="zh-CN" w:bidi="ar-SA"/>
    </w:rPr>
  </w:style>
  <w:style w:type="character" w:customStyle="1" w:styleId="181">
    <w:name w:val="签名 Char1"/>
    <w:autoRedefine/>
    <w:qFormat/>
    <w:uiPriority w:val="0"/>
    <w:rPr>
      <w:rFonts w:ascii="Times New Roman" w:hAnsi="Times New Roman" w:eastAsia="宋体" w:cs="Times New Roman"/>
      <w:szCs w:val="24"/>
    </w:rPr>
  </w:style>
  <w:style w:type="character" w:customStyle="1" w:styleId="182">
    <w:name w:val="日期 字符"/>
    <w:link w:val="35"/>
    <w:autoRedefine/>
    <w:qFormat/>
    <w:uiPriority w:val="0"/>
    <w:rPr>
      <w:rFonts w:ascii="宋体"/>
      <w:kern w:val="2"/>
      <w:sz w:val="24"/>
      <w:szCs w:val="21"/>
      <w:lang w:val="zh-CN"/>
    </w:rPr>
  </w:style>
  <w:style w:type="character" w:customStyle="1" w:styleId="183">
    <w:name w:val="标题 9 字符"/>
    <w:link w:val="11"/>
    <w:autoRedefine/>
    <w:qFormat/>
    <w:uiPriority w:val="0"/>
    <w:rPr>
      <w:rFonts w:ascii="Arial" w:hAnsi="Arial" w:eastAsia="黑体"/>
      <w:kern w:val="2"/>
      <w:sz w:val="21"/>
      <w:szCs w:val="21"/>
    </w:rPr>
  </w:style>
  <w:style w:type="character" w:customStyle="1" w:styleId="184">
    <w:name w:val="Char Char18"/>
    <w:autoRedefine/>
    <w:qFormat/>
    <w:uiPriority w:val="6"/>
    <w:rPr>
      <w:rFonts w:ascii="宋体" w:hAnsi="宋体"/>
      <w:sz w:val="28"/>
    </w:rPr>
  </w:style>
  <w:style w:type="character" w:customStyle="1" w:styleId="185">
    <w:name w:val="批注文字 Char"/>
    <w:autoRedefine/>
    <w:qFormat/>
    <w:uiPriority w:val="0"/>
    <w:rPr>
      <w:kern w:val="2"/>
      <w:sz w:val="21"/>
      <w:szCs w:val="24"/>
    </w:rPr>
  </w:style>
  <w:style w:type="character" w:customStyle="1" w:styleId="186">
    <w:name w:val="Char Char22"/>
    <w:autoRedefine/>
    <w:qFormat/>
    <w:uiPriority w:val="6"/>
    <w:rPr>
      <w:rFonts w:ascii="宋体" w:hAnsi="宋体"/>
      <w:kern w:val="1"/>
      <w:sz w:val="24"/>
      <w:szCs w:val="24"/>
    </w:rPr>
  </w:style>
  <w:style w:type="character" w:customStyle="1" w:styleId="187">
    <w:name w:val="pt141"/>
    <w:autoRedefine/>
    <w:qFormat/>
    <w:uiPriority w:val="0"/>
    <w:rPr>
      <w:color w:val="330066"/>
      <w:sz w:val="22"/>
      <w:szCs w:val="22"/>
    </w:rPr>
  </w:style>
  <w:style w:type="character" w:customStyle="1" w:styleId="188">
    <w:name w:val="正文文本缩进 2 Char1"/>
    <w:autoRedefine/>
    <w:semiHidden/>
    <w:qFormat/>
    <w:uiPriority w:val="99"/>
    <w:rPr>
      <w:rFonts w:ascii="Times New Roman" w:hAnsi="Times New Roman" w:eastAsia="宋体" w:cs="Times New Roman"/>
      <w:szCs w:val="24"/>
    </w:rPr>
  </w:style>
  <w:style w:type="character" w:customStyle="1" w:styleId="189">
    <w:name w:val="批注框文本 字符1"/>
    <w:link w:val="38"/>
    <w:autoRedefine/>
    <w:qFormat/>
    <w:uiPriority w:val="0"/>
    <w:rPr>
      <w:kern w:val="2"/>
      <w:sz w:val="18"/>
      <w:szCs w:val="18"/>
    </w:rPr>
  </w:style>
  <w:style w:type="character" w:customStyle="1" w:styleId="190">
    <w:name w:val="Char Char611"/>
    <w:autoRedefine/>
    <w:qFormat/>
    <w:uiPriority w:val="0"/>
    <w:rPr>
      <w:rFonts w:eastAsia="宋体"/>
      <w:kern w:val="2"/>
      <w:sz w:val="21"/>
      <w:szCs w:val="24"/>
      <w:lang w:val="en-US" w:eastAsia="zh-CN" w:bidi="ar-SA"/>
    </w:rPr>
  </w:style>
  <w:style w:type="character" w:customStyle="1" w:styleId="191">
    <w:name w:val="highlight1"/>
    <w:autoRedefine/>
    <w:qFormat/>
    <w:uiPriority w:val="0"/>
    <w:rPr>
      <w:rFonts w:ascii="仿宋_GB2312" w:eastAsia="微软雅黑"/>
      <w:b/>
      <w:kern w:val="2"/>
      <w:sz w:val="23"/>
      <w:szCs w:val="23"/>
      <w:lang w:val="en-US" w:eastAsia="zh-CN" w:bidi="ar-SA"/>
    </w:rPr>
  </w:style>
  <w:style w:type="character" w:customStyle="1" w:styleId="192">
    <w:name w:val="my正文 Char"/>
    <w:link w:val="193"/>
    <w:autoRedefine/>
    <w:qFormat/>
    <w:locked/>
    <w:uiPriority w:val="0"/>
    <w:rPr>
      <w:rFonts w:ascii="Tahoma" w:hAnsi="Tahoma"/>
      <w:sz w:val="24"/>
      <w:szCs w:val="24"/>
    </w:rPr>
  </w:style>
  <w:style w:type="paragraph" w:customStyle="1" w:styleId="193">
    <w:name w:val="my正文"/>
    <w:basedOn w:val="1"/>
    <w:link w:val="192"/>
    <w:autoRedefine/>
    <w:qFormat/>
    <w:uiPriority w:val="0"/>
    <w:pPr>
      <w:adjustRightInd/>
      <w:spacing w:line="360" w:lineRule="auto"/>
      <w:ind w:firstLine="480" w:firstLineChars="200"/>
    </w:pPr>
    <w:rPr>
      <w:rFonts w:ascii="Tahoma" w:hAnsi="Tahoma"/>
      <w:kern w:val="0"/>
      <w:sz w:val="24"/>
    </w:rPr>
  </w:style>
  <w:style w:type="character" w:customStyle="1" w:styleId="194">
    <w:name w:val="正文缩进 字符2"/>
    <w:link w:val="5"/>
    <w:autoRedefine/>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autoRedefine/>
    <w:qFormat/>
    <w:uiPriority w:val="0"/>
    <w:rPr>
      <w:color w:val="0000FF"/>
      <w:sz w:val="21"/>
    </w:rPr>
  </w:style>
  <w:style w:type="character" w:customStyle="1" w:styleId="196">
    <w:name w:val="页眉 Char"/>
    <w:autoRedefine/>
    <w:qFormat/>
    <w:uiPriority w:val="0"/>
    <w:rPr>
      <w:rFonts w:eastAsia="仿宋_GB2312"/>
      <w:kern w:val="2"/>
      <w:sz w:val="18"/>
      <w:lang w:val="en-US" w:eastAsia="zh-CN"/>
    </w:rPr>
  </w:style>
  <w:style w:type="character" w:customStyle="1" w:styleId="197">
    <w:name w:val="FA正文 Char Char"/>
    <w:autoRedefine/>
    <w:qFormat/>
    <w:uiPriority w:val="0"/>
    <w:rPr>
      <w:rFonts w:hAnsi="宋体"/>
      <w:kern w:val="2"/>
      <w:sz w:val="24"/>
      <w:lang w:bidi="ar-SA"/>
    </w:rPr>
  </w:style>
  <w:style w:type="character" w:customStyle="1" w:styleId="198">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autoRedefine/>
    <w:qFormat/>
    <w:uiPriority w:val="0"/>
    <w:rPr>
      <w:rFonts w:ascii="宋体" w:hAnsi="宋体"/>
      <w:b/>
      <w:bCs/>
      <w:snapToGrid/>
      <w:sz w:val="28"/>
    </w:rPr>
  </w:style>
  <w:style w:type="paragraph" w:customStyle="1" w:styleId="200">
    <w:name w:val="3级"/>
    <w:basedOn w:val="201"/>
    <w:link w:val="199"/>
    <w:autoRedefine/>
    <w:qFormat/>
    <w:uiPriority w:val="0"/>
    <w:pPr>
      <w:ind w:left="0" w:right="466" w:firstLine="288"/>
    </w:pPr>
    <w:rPr>
      <w:rFonts w:hAnsi="宋体"/>
      <w:snapToGrid/>
    </w:rPr>
  </w:style>
  <w:style w:type="paragraph" w:customStyle="1" w:styleId="201">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autoRedefine/>
    <w:qFormat/>
    <w:uiPriority w:val="0"/>
    <w:rPr>
      <w:rFonts w:ascii="仿宋_GB2312" w:eastAsia="微软雅黑"/>
      <w:b/>
      <w:kern w:val="2"/>
      <w:sz w:val="32"/>
      <w:szCs w:val="32"/>
      <w:lang w:val="en-US" w:eastAsia="zh-CN" w:bidi="ar-SA"/>
    </w:rPr>
  </w:style>
  <w:style w:type="character" w:customStyle="1" w:styleId="203">
    <w:name w:val="文档结构图 字符"/>
    <w:link w:val="18"/>
    <w:autoRedefine/>
    <w:qFormat/>
    <w:uiPriority w:val="0"/>
    <w:rPr>
      <w:kern w:val="2"/>
      <w:sz w:val="21"/>
      <w:szCs w:val="24"/>
      <w:shd w:val="clear" w:color="auto" w:fill="000080"/>
    </w:rPr>
  </w:style>
  <w:style w:type="character" w:customStyle="1" w:styleId="204">
    <w:name w:val="H6 Char"/>
    <w:autoRedefine/>
    <w:qFormat/>
    <w:uiPriority w:val="0"/>
    <w:rPr>
      <w:rFonts w:ascii="Arial" w:hAnsi="Arial" w:eastAsia="黑体"/>
      <w:b/>
      <w:bCs/>
      <w:kern w:val="2"/>
      <w:sz w:val="24"/>
      <w:szCs w:val="24"/>
    </w:rPr>
  </w:style>
  <w:style w:type="character" w:customStyle="1" w:styleId="205">
    <w:name w:val="Char Char91"/>
    <w:autoRedefine/>
    <w:qFormat/>
    <w:uiPriority w:val="0"/>
    <w:rPr>
      <w:rFonts w:eastAsia="宋体"/>
      <w:kern w:val="2"/>
      <w:sz w:val="18"/>
      <w:szCs w:val="18"/>
      <w:lang w:val="en-US" w:eastAsia="zh-CN" w:bidi="ar-SA"/>
    </w:rPr>
  </w:style>
  <w:style w:type="character" w:customStyle="1" w:styleId="206">
    <w:name w:val="副标题 Char1"/>
    <w:autoRedefine/>
    <w:qFormat/>
    <w:uiPriority w:val="0"/>
    <w:rPr>
      <w:rFonts w:ascii="Cambria" w:hAnsi="Cambria" w:eastAsia="宋体" w:cs="Times New Roman"/>
      <w:b/>
      <w:bCs/>
      <w:snapToGrid w:val="0"/>
      <w:kern w:val="28"/>
      <w:sz w:val="32"/>
      <w:szCs w:val="32"/>
    </w:rPr>
  </w:style>
  <w:style w:type="character" w:customStyle="1" w:styleId="207">
    <w:name w:val="font61"/>
    <w:autoRedefine/>
    <w:qFormat/>
    <w:uiPriority w:val="0"/>
    <w:rPr>
      <w:rFonts w:hint="eastAsia" w:ascii="仿宋" w:hAnsi="仿宋" w:eastAsia="仿宋" w:cs="仿宋"/>
      <w:color w:val="000000"/>
      <w:sz w:val="20"/>
      <w:szCs w:val="20"/>
      <w:u w:val="none"/>
    </w:rPr>
  </w:style>
  <w:style w:type="character" w:customStyle="1" w:styleId="208">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autoRedefine/>
    <w:qFormat/>
    <w:uiPriority w:val="0"/>
    <w:rPr>
      <w:rFonts w:eastAsia="宋体"/>
      <w:b/>
      <w:bCs/>
      <w:kern w:val="2"/>
      <w:sz w:val="21"/>
      <w:szCs w:val="24"/>
      <w:lang w:val="en-US" w:eastAsia="zh-CN" w:bidi="ar-SA"/>
    </w:rPr>
  </w:style>
  <w:style w:type="character" w:customStyle="1" w:styleId="210">
    <w:name w:val="标题 2 Char"/>
    <w:autoRedefine/>
    <w:qFormat/>
    <w:uiPriority w:val="0"/>
    <w:rPr>
      <w:rFonts w:ascii="Arial" w:hAnsi="Arial" w:eastAsia="黑体"/>
      <w:b/>
      <w:kern w:val="2"/>
      <w:sz w:val="32"/>
      <w:lang w:val="en-US" w:eastAsia="zh-CN"/>
    </w:rPr>
  </w:style>
  <w:style w:type="character" w:customStyle="1" w:styleId="211">
    <w:name w:val="maywed421"/>
    <w:autoRedefine/>
    <w:qFormat/>
    <w:uiPriority w:val="0"/>
    <w:rPr>
      <w:color w:val="366FB6"/>
      <w:u w:val="none"/>
    </w:rPr>
  </w:style>
  <w:style w:type="character" w:customStyle="1" w:styleId="212">
    <w:name w:val="正文文本缩进 Char"/>
    <w:autoRedefine/>
    <w:qFormat/>
    <w:uiPriority w:val="0"/>
    <w:rPr>
      <w:rFonts w:ascii="宋体" w:hAnsi="宋体"/>
      <w:kern w:val="2"/>
      <w:sz w:val="24"/>
      <w:szCs w:val="24"/>
    </w:rPr>
  </w:style>
  <w:style w:type="character" w:customStyle="1" w:styleId="213">
    <w:name w:val="Char Char102"/>
    <w:autoRedefine/>
    <w:semiHidden/>
    <w:qFormat/>
    <w:uiPriority w:val="0"/>
    <w:rPr>
      <w:rFonts w:ascii="宋体" w:hAnsi="宋体"/>
      <w:kern w:val="2"/>
      <w:sz w:val="21"/>
      <w:szCs w:val="24"/>
      <w:lang w:val="en-US" w:eastAsia="zh-CN"/>
    </w:rPr>
  </w:style>
  <w:style w:type="character" w:customStyle="1" w:styleId="214">
    <w:name w:val="页眉 Char1"/>
    <w:autoRedefine/>
    <w:qFormat/>
    <w:uiPriority w:val="0"/>
    <w:rPr>
      <w:rFonts w:eastAsia="宋体"/>
      <w:kern w:val="2"/>
      <w:sz w:val="18"/>
      <w:szCs w:val="18"/>
      <w:lang w:val="en-US" w:eastAsia="zh-CN" w:bidi="ar-SA"/>
    </w:rPr>
  </w:style>
  <w:style w:type="character" w:customStyle="1" w:styleId="215">
    <w:name w:val="md"/>
    <w:basedOn w:val="70"/>
    <w:autoRedefine/>
    <w:qFormat/>
    <w:uiPriority w:val="0"/>
    <w:rPr>
      <w:rFonts w:ascii="Arial" w:hAnsi="Arial" w:eastAsia="黑体" w:cs="Arial"/>
      <w:snapToGrid w:val="0"/>
      <w:kern w:val="0"/>
      <w:szCs w:val="21"/>
    </w:rPr>
  </w:style>
  <w:style w:type="character" w:customStyle="1" w:styleId="216">
    <w:name w:val="big1"/>
    <w:autoRedefine/>
    <w:qFormat/>
    <w:uiPriority w:val="0"/>
    <w:rPr>
      <w:rFonts w:hint="eastAsia" w:ascii="宋体" w:hAnsi="宋体" w:eastAsia="宋体"/>
      <w:color w:val="333333"/>
      <w:sz w:val="22"/>
      <w:szCs w:val="22"/>
    </w:rPr>
  </w:style>
  <w:style w:type="character" w:customStyle="1" w:styleId="217">
    <w:name w:val="Char Char311"/>
    <w:autoRedefine/>
    <w:qFormat/>
    <w:uiPriority w:val="0"/>
    <w:rPr>
      <w:rFonts w:eastAsia="宋体"/>
      <w:kern w:val="2"/>
      <w:sz w:val="21"/>
      <w:szCs w:val="24"/>
      <w:lang w:val="en-US" w:eastAsia="zh-CN" w:bidi="ar-SA"/>
    </w:rPr>
  </w:style>
  <w:style w:type="character" w:customStyle="1" w:styleId="218">
    <w:name w:val="Char Char81"/>
    <w:autoRedefine/>
    <w:qFormat/>
    <w:uiPriority w:val="6"/>
    <w:rPr>
      <w:rFonts w:eastAsia="宋体"/>
      <w:b/>
      <w:sz w:val="24"/>
      <w:lang w:val="en-GB" w:eastAsia="zh-CN"/>
    </w:rPr>
  </w:style>
  <w:style w:type="character" w:customStyle="1" w:styleId="219">
    <w:name w:val="样式3 Char"/>
    <w:basedOn w:val="170"/>
    <w:autoRedefine/>
    <w:qFormat/>
    <w:uiPriority w:val="0"/>
    <w:rPr>
      <w:rFonts w:ascii="仿宋_GB2312" w:hAnsi="仿宋" w:eastAsia="仿宋_GB2312" w:cs="仿宋_GB2312"/>
      <w:sz w:val="32"/>
      <w:szCs w:val="30"/>
      <w:lang w:val="zh-CN"/>
    </w:rPr>
  </w:style>
  <w:style w:type="character" w:customStyle="1" w:styleId="220">
    <w:name w:val="HTML 地址 字符"/>
    <w:link w:val="30"/>
    <w:autoRedefine/>
    <w:qFormat/>
    <w:uiPriority w:val="0"/>
    <w:rPr>
      <w:rFonts w:ascii="宋体" w:hAnsi="宋体"/>
      <w:i/>
      <w:iCs/>
      <w:sz w:val="24"/>
      <w:szCs w:val="24"/>
    </w:rPr>
  </w:style>
  <w:style w:type="character" w:customStyle="1" w:styleId="221">
    <w:name w:val="正文首行缩进 2 Char1"/>
    <w:autoRedefine/>
    <w:qFormat/>
    <w:uiPriority w:val="0"/>
    <w:rPr>
      <w:rFonts w:ascii="Times New Roman" w:hAnsi="Times New Roman" w:eastAsia="宋体" w:cs="Times New Roman"/>
      <w:kern w:val="2"/>
      <w:sz w:val="24"/>
      <w:szCs w:val="24"/>
    </w:rPr>
  </w:style>
  <w:style w:type="character" w:customStyle="1" w:styleId="222">
    <w:name w:val="副标题 Char2"/>
    <w:autoRedefine/>
    <w:qFormat/>
    <w:uiPriority w:val="0"/>
    <w:rPr>
      <w:rFonts w:ascii="Cambria" w:hAnsi="Cambria" w:eastAsia="宋体" w:cs="Times New Roman"/>
      <w:b/>
      <w:bCs/>
      <w:snapToGrid w:val="0"/>
      <w:kern w:val="28"/>
      <w:sz w:val="32"/>
      <w:szCs w:val="32"/>
    </w:rPr>
  </w:style>
  <w:style w:type="character" w:customStyle="1" w:styleId="223">
    <w:name w:val="标题4-dyf Char"/>
    <w:link w:val="224"/>
    <w:autoRedefine/>
    <w:qFormat/>
    <w:uiPriority w:val="0"/>
    <w:rPr>
      <w:rFonts w:ascii="Cambria" w:hAnsi="Cambria"/>
      <w:b/>
      <w:bCs/>
      <w:color w:val="000000"/>
      <w:kern w:val="2"/>
      <w:sz w:val="21"/>
      <w:szCs w:val="21"/>
    </w:rPr>
  </w:style>
  <w:style w:type="paragraph" w:customStyle="1" w:styleId="224">
    <w:name w:val="标题4-dyf"/>
    <w:basedOn w:val="6"/>
    <w:link w:val="223"/>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autoRedefine/>
    <w:qFormat/>
    <w:uiPriority w:val="0"/>
    <w:rPr>
      <w:rFonts w:ascii="宋体" w:hAnsi="宋体" w:eastAsia="宋体"/>
      <w:color w:val="333333"/>
      <w:sz w:val="21"/>
      <w:szCs w:val="21"/>
      <w:u w:val="none"/>
    </w:rPr>
  </w:style>
  <w:style w:type="character" w:customStyle="1" w:styleId="226">
    <w:name w:val="冯 Char"/>
    <w:link w:val="227"/>
    <w:autoRedefine/>
    <w:qFormat/>
    <w:uiPriority w:val="0"/>
    <w:rPr>
      <w:rFonts w:ascii="宋体" w:hAnsi="宋体"/>
      <w:color w:val="000000"/>
      <w:sz w:val="24"/>
      <w:szCs w:val="24"/>
    </w:rPr>
  </w:style>
  <w:style w:type="paragraph" w:customStyle="1" w:styleId="227">
    <w:name w:val="冯"/>
    <w:basedOn w:val="1"/>
    <w:link w:val="226"/>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autoRedefine/>
    <w:qFormat/>
    <w:locked/>
    <w:uiPriority w:val="0"/>
    <w:rPr>
      <w:rFonts w:eastAsia="宋体"/>
      <w:kern w:val="2"/>
      <w:sz w:val="18"/>
      <w:szCs w:val="18"/>
      <w:lang w:val="en-US" w:eastAsia="zh-CN" w:bidi="ar-SA"/>
    </w:rPr>
  </w:style>
  <w:style w:type="character" w:customStyle="1" w:styleId="229">
    <w:name w:val="Char Char12"/>
    <w:autoRedefine/>
    <w:qFormat/>
    <w:uiPriority w:val="0"/>
    <w:rPr>
      <w:rFonts w:ascii="仿宋_GB2312" w:eastAsia="仿宋_GB2312"/>
      <w:b/>
      <w:bCs/>
      <w:kern w:val="2"/>
      <w:sz w:val="24"/>
      <w:szCs w:val="24"/>
      <w:lang w:val="zh-CN" w:eastAsia="zh-CN" w:bidi="ar-SA"/>
    </w:rPr>
  </w:style>
  <w:style w:type="character" w:customStyle="1" w:styleId="230">
    <w:name w:val="题注 字符"/>
    <w:link w:val="16"/>
    <w:autoRedefine/>
    <w:qFormat/>
    <w:uiPriority w:val="0"/>
    <w:rPr>
      <w:b/>
      <w:kern w:val="2"/>
      <w:sz w:val="28"/>
    </w:rPr>
  </w:style>
  <w:style w:type="character" w:customStyle="1" w:styleId="231">
    <w:name w:val="普通文字 Char3"/>
    <w:autoRedefine/>
    <w:qFormat/>
    <w:uiPriority w:val="0"/>
    <w:rPr>
      <w:rFonts w:ascii="宋体" w:hAnsi="Courier New" w:eastAsia="宋体"/>
      <w:kern w:val="2"/>
      <w:sz w:val="21"/>
      <w:lang w:val="en-US" w:eastAsia="zh-CN" w:bidi="ar-SA"/>
    </w:rPr>
  </w:style>
  <w:style w:type="character" w:customStyle="1" w:styleId="232">
    <w:name w:val="公文正文 Char"/>
    <w:autoRedefine/>
    <w:qFormat/>
    <w:uiPriority w:val="0"/>
    <w:rPr>
      <w:rFonts w:ascii="仿宋_GB2312" w:eastAsia="仿宋_GB2312"/>
      <w:kern w:val="2"/>
      <w:sz w:val="24"/>
      <w:szCs w:val="24"/>
      <w:lang w:val="en-US" w:eastAsia="zh-CN" w:bidi="ar-SA"/>
    </w:rPr>
  </w:style>
  <w:style w:type="character" w:customStyle="1" w:styleId="233">
    <w:name w:val="正文首行缩进 Char Char Char Char Char"/>
    <w:autoRedefine/>
    <w:qFormat/>
    <w:uiPriority w:val="0"/>
    <w:rPr>
      <w:rFonts w:ascii="宋体"/>
      <w:kern w:val="2"/>
      <w:sz w:val="24"/>
      <w:lang w:val="zh-CN"/>
    </w:rPr>
  </w:style>
  <w:style w:type="character" w:customStyle="1" w:styleId="234">
    <w:name w:val="PI Char"/>
    <w:autoRedefine/>
    <w:qFormat/>
    <w:uiPriority w:val="0"/>
    <w:rPr>
      <w:rFonts w:ascii="宋体" w:hAnsi="宋体" w:eastAsia="宋体"/>
      <w:kern w:val="2"/>
      <w:sz w:val="24"/>
      <w:szCs w:val="24"/>
      <w:lang w:val="en-US" w:eastAsia="zh-CN" w:bidi="ar-SA"/>
    </w:rPr>
  </w:style>
  <w:style w:type="character" w:customStyle="1" w:styleId="235">
    <w:name w:val="Default Char"/>
    <w:link w:val="236"/>
    <w:autoRedefine/>
    <w:qFormat/>
    <w:uiPriority w:val="0"/>
    <w:rPr>
      <w:rFonts w:ascii="仿宋_GB2312" w:eastAsia="仿宋_GB2312" w:cs="仿宋_GB2312"/>
      <w:color w:val="000000"/>
      <w:sz w:val="24"/>
      <w:szCs w:val="24"/>
      <w:lang w:val="en-US" w:eastAsia="zh-CN" w:bidi="ar-SA"/>
    </w:rPr>
  </w:style>
  <w:style w:type="paragraph" w:customStyle="1" w:styleId="236">
    <w:name w:val="Default"/>
    <w:link w:val="23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82"/>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25"/>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58"/>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7"/>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0"/>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6"/>
    <w:autoRedefine/>
    <w:qFormat/>
    <w:uiPriority w:val="0"/>
    <w:rPr>
      <w:rFonts w:ascii="黑体" w:hAnsi="Courier New" w:eastAsia="黑体"/>
    </w:rPr>
  </w:style>
  <w:style w:type="character" w:customStyle="1" w:styleId="302">
    <w:name w:val="正文文本 2 字符1"/>
    <w:link w:val="55"/>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6"/>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9"/>
    <w:autoRedefine/>
    <w:qFormat/>
    <w:uiPriority w:val="0"/>
    <w:rPr>
      <w:b/>
      <w:bCs/>
      <w:kern w:val="2"/>
      <w:sz w:val="24"/>
      <w:szCs w:val="24"/>
    </w:rPr>
  </w:style>
  <w:style w:type="character" w:customStyle="1" w:styleId="308">
    <w:name w:val="正文文本缩进 2 字符"/>
    <w:link w:val="36"/>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49"/>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0"/>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6"/>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1"/>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19"/>
    <w:autoRedefine/>
    <w:qFormat/>
    <w:uiPriority w:val="0"/>
    <w:rPr>
      <w:kern w:val="2"/>
      <w:sz w:val="21"/>
      <w:szCs w:val="24"/>
    </w:rPr>
  </w:style>
  <w:style w:type="character" w:customStyle="1" w:styleId="345">
    <w:name w:val="签名 字符"/>
    <w:link w:val="41"/>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10"/>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2"/>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39"/>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0"/>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82"/>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1"/>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3"/>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autoRedefine/>
    <w:qFormat/>
    <w:uiPriority w:val="0"/>
    <w:rPr>
      <w:rFonts w:ascii="仿宋_GB2312" w:eastAsia="仿宋_GB2312"/>
      <w:b/>
      <w:sz w:val="32"/>
      <w:szCs w:val="32"/>
    </w:rPr>
  </w:style>
  <w:style w:type="paragraph" w:customStyle="1" w:styleId="490">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autoRedefine/>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autoRedefine/>
    <w:qFormat/>
    <w:uiPriority w:val="0"/>
    <w:rPr>
      <w:rFonts w:ascii="仿宋_GB2312" w:eastAsia="仿宋_GB2312"/>
      <w:b/>
      <w:sz w:val="32"/>
      <w:szCs w:val="32"/>
    </w:rPr>
  </w:style>
  <w:style w:type="paragraph" w:customStyle="1" w:styleId="494">
    <w:name w:val="数字标题3"/>
    <w:basedOn w:val="4"/>
    <w:next w:val="1"/>
    <w:autoRedefine/>
    <w:qFormat/>
    <w:uiPriority w:val="0"/>
    <w:pPr>
      <w:spacing w:line="240" w:lineRule="auto"/>
    </w:pPr>
    <w:rPr>
      <w:sz w:val="28"/>
      <w:szCs w:val="28"/>
    </w:rPr>
  </w:style>
  <w:style w:type="paragraph" w:customStyle="1" w:styleId="495">
    <w:name w:val="FA正文"/>
    <w:basedOn w:val="1"/>
    <w:autoRedefine/>
    <w:qFormat/>
    <w:uiPriority w:val="0"/>
    <w:pPr>
      <w:spacing w:line="360" w:lineRule="auto"/>
      <w:ind w:firstLine="480" w:firstLineChars="200"/>
    </w:pPr>
    <w:rPr>
      <w:rFonts w:hAnsi="宋体"/>
      <w:sz w:val="24"/>
      <w:szCs w:val="20"/>
    </w:rPr>
  </w:style>
  <w:style w:type="paragraph" w:customStyle="1" w:styleId="496">
    <w:name w:val="MM Topic 5"/>
    <w:basedOn w:val="7"/>
    <w:autoRedefine/>
    <w:qFormat/>
    <w:uiPriority w:val="0"/>
    <w:pPr>
      <w:tabs>
        <w:tab w:val="left" w:pos="2520"/>
      </w:tabs>
      <w:adjustRightInd/>
      <w:ind w:left="2520" w:hanging="420"/>
    </w:pPr>
  </w:style>
  <w:style w:type="paragraph" w:customStyle="1" w:styleId="497">
    <w:name w:val="Char Char Char Char Char Char Char Char Char Char1"/>
    <w:basedOn w:val="1"/>
    <w:autoRedefine/>
    <w:qFormat/>
    <w:uiPriority w:val="0"/>
    <w:rPr>
      <w:rFonts w:ascii="仿宋_GB2312" w:eastAsia="仿宋_GB2312"/>
      <w:b/>
      <w:sz w:val="32"/>
      <w:szCs w:val="32"/>
    </w:rPr>
  </w:style>
  <w:style w:type="paragraph" w:customStyle="1" w:styleId="498">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autoRedefine/>
    <w:qFormat/>
    <w:uiPriority w:val="0"/>
    <w:rPr>
      <w:rFonts w:ascii="仿宋_GB2312" w:eastAsia="仿宋_GB2312"/>
      <w:b/>
      <w:sz w:val="32"/>
      <w:szCs w:val="32"/>
    </w:rPr>
  </w:style>
  <w:style w:type="paragraph" w:customStyle="1" w:styleId="501">
    <w:name w:val="Char2 Char Char Char1"/>
    <w:basedOn w:val="1"/>
    <w:autoRedefine/>
    <w:qFormat/>
    <w:uiPriority w:val="6"/>
    <w:rPr>
      <w:rFonts w:ascii="仿宋_GB2312" w:eastAsia="仿宋_GB2312"/>
      <w:b/>
      <w:sz w:val="32"/>
      <w:szCs w:val="32"/>
    </w:rPr>
  </w:style>
  <w:style w:type="paragraph" w:customStyle="1" w:styleId="502">
    <w:name w:val="默认段落样式"/>
    <w:basedOn w:val="132"/>
    <w:autoRedefine/>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4">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autoRedefine/>
    <w:qFormat/>
    <w:uiPriority w:val="0"/>
    <w:pPr>
      <w:tabs>
        <w:tab w:val="left" w:pos="1680"/>
      </w:tabs>
      <w:adjustRightInd/>
      <w:ind w:left="1680" w:hanging="420"/>
    </w:pPr>
  </w:style>
  <w:style w:type="paragraph" w:customStyle="1" w:styleId="506">
    <w:name w:val="标准小四"/>
    <w:basedOn w:val="1"/>
    <w:autoRedefine/>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autoRedefine/>
    <w:qFormat/>
    <w:uiPriority w:val="0"/>
    <w:pPr>
      <w:adjustRightInd/>
      <w:snapToGrid w:val="0"/>
      <w:spacing w:line="300" w:lineRule="auto"/>
    </w:pPr>
    <w:rPr>
      <w:rFonts w:eastAsia="仿宋"/>
      <w:szCs w:val="21"/>
    </w:rPr>
  </w:style>
  <w:style w:type="paragraph" w:customStyle="1" w:styleId="50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autoRedefine/>
    <w:qFormat/>
    <w:uiPriority w:val="6"/>
    <w:pPr>
      <w:adjustRightInd/>
    </w:pPr>
    <w:rPr>
      <w:rFonts w:ascii="Tahoma" w:hAnsi="Tahoma"/>
      <w:sz w:val="24"/>
      <w:szCs w:val="20"/>
    </w:rPr>
  </w:style>
  <w:style w:type="paragraph" w:customStyle="1" w:styleId="511">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2">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8">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6"/>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6"/>
    <w:next w:val="236"/>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6"/>
    <w:next w:val="236"/>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2"/>
    <w:qFormat/>
    <w:uiPriority w:val="0"/>
    <w:pPr>
      <w:tabs>
        <w:tab w:val="left" w:pos="840"/>
      </w:tabs>
      <w:adjustRightInd/>
      <w:ind w:left="840" w:hanging="420"/>
    </w:pPr>
  </w:style>
  <w:style w:type="paragraph" w:customStyle="1" w:styleId="624">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8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6"/>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2">
    <w:name w:val="Char3 Char Char Char11"/>
    <w:basedOn w:val="1"/>
    <w:qFormat/>
    <w:uiPriority w:val="0"/>
    <w:pPr>
      <w:widowControl/>
      <w:adjustRightInd/>
      <w:spacing w:after="160" w:line="240" w:lineRule="exact"/>
      <w:jc w:val="left"/>
    </w:pPr>
    <w:rPr>
      <w:szCs w:val="20"/>
    </w:rPr>
  </w:style>
  <w:style w:type="paragraph" w:customStyle="1" w:styleId="703">
    <w:name w:val="Char Char1121"/>
    <w:basedOn w:val="1"/>
    <w:qFormat/>
    <w:uiPriority w:val="0"/>
    <w:pPr>
      <w:spacing w:line="360" w:lineRule="auto"/>
    </w:pPr>
    <w:rPr>
      <w:szCs w:val="20"/>
    </w:rPr>
  </w:style>
  <w:style w:type="paragraph" w:customStyle="1" w:styleId="70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6">
    <w:name w:val="Normal0"/>
    <w:qFormat/>
    <w:uiPriority w:val="0"/>
    <w:rPr>
      <w:rFonts w:ascii="Times New Roman" w:hAnsi="Times New Roman" w:eastAsia="宋体" w:cs="Times New Roman"/>
      <w:lang w:val="en-US" w:eastAsia="en-US" w:bidi="ar-SA"/>
    </w:rPr>
  </w:style>
  <w:style w:type="paragraph" w:customStyle="1" w:styleId="707">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0">
    <w:name w:val="封面"/>
    <w:basedOn w:val="1"/>
    <w:qFormat/>
    <w:uiPriority w:val="0"/>
    <w:pPr>
      <w:spacing w:line="360" w:lineRule="atLeast"/>
      <w:jc w:val="right"/>
      <w:textAlignment w:val="baseline"/>
    </w:pPr>
    <w:rPr>
      <w:rFonts w:ascii="Symbol" w:hAnsi="Symbol"/>
      <w:kern w:val="0"/>
      <w:szCs w:val="20"/>
    </w:rPr>
  </w:style>
  <w:style w:type="paragraph" w:customStyle="1" w:styleId="7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3">
    <w:name w:val="默认段落字体 Para Char Char Char1 Char"/>
    <w:basedOn w:val="1"/>
    <w:qFormat/>
    <w:uiPriority w:val="0"/>
    <w:pPr>
      <w:spacing w:line="240" w:lineRule="atLeast"/>
      <w:ind w:left="420" w:firstLine="420"/>
    </w:pPr>
    <w:rPr>
      <w:sz w:val="24"/>
    </w:rPr>
  </w:style>
  <w:style w:type="paragraph" w:customStyle="1" w:styleId="714">
    <w:name w:val="WW-正文文字缩进 2"/>
    <w:basedOn w:val="1"/>
    <w:qFormat/>
    <w:uiPriority w:val="0"/>
    <w:pPr>
      <w:suppressAutoHyphens/>
      <w:adjustRightInd/>
      <w:ind w:firstLine="420"/>
    </w:pPr>
    <w:rPr>
      <w:kern w:val="1"/>
      <w:szCs w:val="20"/>
    </w:rPr>
  </w:style>
  <w:style w:type="paragraph" w:customStyle="1" w:styleId="71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6">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7">
    <w:name w:val="有符号正文"/>
    <w:basedOn w:val="1"/>
    <w:autoRedefine/>
    <w:qFormat/>
    <w:uiPriority w:val="0"/>
    <w:pPr>
      <w:adjustRightInd/>
      <w:spacing w:line="400" w:lineRule="exact"/>
      <w:ind w:firstLine="200" w:firstLineChars="200"/>
    </w:pPr>
    <w:rPr>
      <w:rFonts w:ascii="Arial" w:hAnsi="Arial"/>
    </w:rPr>
  </w:style>
  <w:style w:type="paragraph" w:customStyle="1" w:styleId="71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0">
    <w:name w:val="4"/>
    <w:basedOn w:val="1"/>
    <w:next w:val="36"/>
    <w:qFormat/>
    <w:uiPriority w:val="0"/>
    <w:pPr>
      <w:spacing w:after="120" w:line="480" w:lineRule="auto"/>
      <w:ind w:left="420" w:leftChars="200"/>
    </w:pPr>
    <w:rPr>
      <w:sz w:val="24"/>
      <w:szCs w:val="20"/>
    </w:rPr>
  </w:style>
  <w:style w:type="paragraph" w:customStyle="1" w:styleId="72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3">
    <w:name w:val="样式 标题 3H3 + 两端对齐"/>
    <w:basedOn w:val="4"/>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qFormat/>
    <w:uiPriority w:val="0"/>
    <w:rPr>
      <w:rFonts w:ascii="仿宋_GB2312" w:eastAsia="仿宋_GB2312"/>
      <w:b/>
      <w:sz w:val="32"/>
      <w:szCs w:val="20"/>
    </w:rPr>
  </w:style>
  <w:style w:type="paragraph" w:customStyle="1" w:styleId="73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qFormat/>
    <w:uiPriority w:val="0"/>
    <w:rPr>
      <w:rFonts w:ascii="仿宋_GB2312" w:eastAsia="仿宋_GB2312"/>
      <w:b/>
      <w:sz w:val="32"/>
      <w:szCs w:val="32"/>
    </w:rPr>
  </w:style>
  <w:style w:type="paragraph" w:customStyle="1" w:styleId="734">
    <w:name w:val="Char3 Char Char Char1"/>
    <w:basedOn w:val="1"/>
    <w:qFormat/>
    <w:uiPriority w:val="6"/>
    <w:pPr>
      <w:widowControl/>
      <w:adjustRightInd/>
      <w:spacing w:after="160" w:line="240" w:lineRule="exact"/>
      <w:jc w:val="left"/>
    </w:pPr>
    <w:rPr>
      <w:szCs w:val="20"/>
    </w:rPr>
  </w:style>
  <w:style w:type="paragraph" w:customStyle="1" w:styleId="735">
    <w:name w:val="Char1 Char Char Char21"/>
    <w:basedOn w:val="1"/>
    <w:qFormat/>
    <w:uiPriority w:val="0"/>
    <w:rPr>
      <w:rFonts w:ascii="Tahoma" w:hAnsi="Tahoma"/>
      <w:sz w:val="24"/>
      <w:szCs w:val="20"/>
    </w:rPr>
  </w:style>
  <w:style w:type="paragraph" w:customStyle="1" w:styleId="73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qFormat/>
    <w:uiPriority w:val="0"/>
    <w:pPr>
      <w:spacing w:line="360" w:lineRule="auto"/>
      <w:ind w:firstLine="200" w:firstLineChars="200"/>
    </w:pPr>
    <w:rPr>
      <w:sz w:val="24"/>
    </w:rPr>
  </w:style>
  <w:style w:type="paragraph" w:customStyle="1" w:styleId="73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qFormat/>
    <w:uiPriority w:val="0"/>
    <w:pPr>
      <w:adjustRightInd/>
      <w:ind w:firstLine="200" w:firstLineChars="200"/>
    </w:pPr>
    <w:rPr>
      <w:rFonts w:ascii="Tahoma" w:hAnsi="Tahoma"/>
      <w:sz w:val="24"/>
      <w:szCs w:val="20"/>
    </w:rPr>
  </w:style>
  <w:style w:type="paragraph" w:customStyle="1" w:styleId="744">
    <w:name w:val="_标题2"/>
    <w:basedOn w:val="711"/>
    <w:next w:val="71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72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qFormat/>
    <w:uiPriority w:val="0"/>
    <w:pPr>
      <w:adjustRightInd/>
      <w:spacing w:line="360" w:lineRule="auto"/>
    </w:pPr>
    <w:rPr>
      <w:rFonts w:ascii="宋体" w:hAnsi="宋体"/>
      <w:szCs w:val="20"/>
    </w:rPr>
  </w:style>
  <w:style w:type="paragraph" w:customStyle="1" w:styleId="75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qFormat/>
    <w:uiPriority w:val="0"/>
    <w:pPr>
      <w:adjustRightInd/>
    </w:pPr>
    <w:rPr>
      <w:rFonts w:ascii="Tahoma" w:hAnsi="Tahoma"/>
      <w:sz w:val="24"/>
    </w:rPr>
  </w:style>
  <w:style w:type="paragraph" w:customStyle="1" w:styleId="752">
    <w:name w:val="Char Char Char Char11"/>
    <w:basedOn w:val="1"/>
    <w:qFormat/>
    <w:uiPriority w:val="0"/>
    <w:rPr>
      <w:rFonts w:ascii="Tahoma" w:hAnsi="Tahoma"/>
      <w:sz w:val="24"/>
      <w:szCs w:val="20"/>
    </w:rPr>
  </w:style>
  <w:style w:type="paragraph" w:customStyle="1" w:styleId="75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qFormat/>
    <w:uiPriority w:val="0"/>
    <w:rPr>
      <w:rFonts w:ascii="Tahoma" w:hAnsi="Tahoma"/>
      <w:sz w:val="24"/>
      <w:szCs w:val="20"/>
    </w:rPr>
  </w:style>
  <w:style w:type="paragraph" w:customStyle="1" w:styleId="75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qFormat/>
    <w:uiPriority w:val="0"/>
    <w:pPr>
      <w:adjustRightInd/>
    </w:pPr>
    <w:rPr>
      <w:szCs w:val="20"/>
    </w:rPr>
  </w:style>
  <w:style w:type="paragraph" w:customStyle="1" w:styleId="75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qFormat/>
    <w:uiPriority w:val="34"/>
    <w:pPr>
      <w:adjustRightInd/>
      <w:ind w:firstLine="420" w:firstLineChars="200"/>
    </w:pPr>
    <w:rPr>
      <w:rFonts w:eastAsia="仿宋_GB2312"/>
      <w:sz w:val="28"/>
    </w:rPr>
  </w:style>
  <w:style w:type="paragraph" w:customStyle="1" w:styleId="76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qFormat/>
    <w:uiPriority w:val="0"/>
    <w:rPr>
      <w:rFonts w:ascii="宋体" w:hAnsi="Times New Roman" w:eastAsia="宋体" w:cs="Times New Roman"/>
      <w:kern w:val="2"/>
      <w:lang w:val="en-US" w:eastAsia="zh-CN" w:bidi="ar-SA"/>
    </w:rPr>
  </w:style>
  <w:style w:type="paragraph" w:customStyle="1" w:styleId="770">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2"/>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8"/>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3"/>
    <w:next w:val="638"/>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2"/>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6"/>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1"/>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25"/>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18"/>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82"/>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0"/>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6"/>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7"/>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0"/>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7"/>
    <w:autoRedefine/>
    <w:qFormat/>
    <w:uiPriority w:val="0"/>
    <w:rPr>
      <w:kern w:val="2"/>
      <w:sz w:val="21"/>
      <w:szCs w:val="24"/>
      <w:lang w:val="zh-CN"/>
    </w:rPr>
  </w:style>
  <w:style w:type="character" w:customStyle="1" w:styleId="931">
    <w:name w:val="无间隔 字符"/>
    <w:link w:val="481"/>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82"/>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963">
    <w:name w:val="正文7"/>
    <w:basedOn w:val="1"/>
    <w:autoRedefine/>
    <w:qFormat/>
    <w:uiPriority w:val="0"/>
    <w:pPr>
      <w:spacing w:line="318" w:lineRule="atLeast"/>
      <w:ind w:left="369" w:firstLine="369"/>
      <w:textAlignment w:val="baseline"/>
    </w:pPr>
    <w:rPr>
      <w:rFonts w:ascii="宋体"/>
      <w:szCs w:val="20"/>
    </w:rPr>
  </w:style>
  <w:style w:type="paragraph" w:customStyle="1" w:styleId="964">
    <w:name w:val="自动更正"/>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5">
    <w:name w:val="WPSOffice手动目录 1"/>
    <w:autoRedefine/>
    <w:qFormat/>
    <w:uiPriority w:val="0"/>
    <w:rPr>
      <w:rFonts w:ascii="Times New Roman" w:hAnsi="Times New Roman" w:eastAsia="宋体" w:cs="Times New Roman"/>
      <w:lang w:val="en-US" w:eastAsia="zh-CN" w:bidi="ar-SA"/>
    </w:rPr>
  </w:style>
  <w:style w:type="character" w:customStyle="1" w:styleId="966">
    <w:name w:val="标题 1 Char1"/>
    <w:autoRedefine/>
    <w:qFormat/>
    <w:uiPriority w:val="0"/>
    <w:rPr>
      <w:rFonts w:ascii="Times New Roman" w:hAnsi="Times New Roman" w:eastAsia="宋体" w:cs="Times New Roman"/>
      <w:b/>
      <w:bCs/>
      <w:kern w:val="44"/>
      <w:sz w:val="32"/>
      <w:szCs w:val="44"/>
    </w:rPr>
  </w:style>
  <w:style w:type="paragraph" w:customStyle="1" w:styleId="96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76</Pages>
  <Words>17299</Words>
  <Characters>18523</Characters>
  <Lines>360</Lines>
  <Paragraphs>101</Paragraphs>
  <TotalTime>47</TotalTime>
  <ScaleCrop>false</ScaleCrop>
  <LinksUpToDate>false</LinksUpToDate>
  <CharactersWithSpaces>18884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2025-03-26T06:04:00Z</dcterms:created>
  <dc:creator>玥</dc:creator>
  <cp:lastModifiedBy>ssessu</cp:lastModifiedBy>
  <cp:lastPrinted>2023-03-28T06:19:00Z</cp:lastPrinted>
  <dcterms:modified xsi:type="dcterms:W3CDTF">2025-04-03T05:03:56Z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D314A38627F7402AA541D85B5C4E48BA_13</vt:lpwstr>
  </property>
  <property fmtid="{D5CDD505-2E9C-101B-9397-08002B2CF9AE}" pid="5" name="KSOTemplateDocerSaveRecord">
    <vt:lpwstr>eyJoZGlkIjoiZDQ3MTgzNzA2NzdiZWM1Yjg1YzAxNmU3NWNmODFjMmMiLCJ1c2VySWQiOiIxMDMwNTc3NTcyIn0=</vt:lpwstr>
  </property>
</Properties>
</file>