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497DB">
      <w:pPr>
        <w:kinsoku/>
        <w:wordWrap/>
        <w:overflowPunct/>
        <w:topLinePunct w:val="0"/>
        <w:bidi w:val="0"/>
        <w:spacing w:line="360" w:lineRule="auto"/>
        <w:jc w:val="center"/>
        <w:outlineLvl w:val="9"/>
        <w:rPr>
          <w:rFonts w:ascii="宋体" w:hAnsi="宋体" w:cs="宋体"/>
          <w:b/>
          <w:color w:val="auto"/>
          <w:sz w:val="24"/>
          <w:highlight w:val="none"/>
        </w:rPr>
      </w:pPr>
    </w:p>
    <w:p w14:paraId="5F8753F2">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12A8BBEB">
      <w:pPr>
        <w:kinsoku/>
        <w:wordWrap/>
        <w:overflowPunct/>
        <w:topLinePunct w:val="0"/>
        <w:bidi w:val="0"/>
        <w:outlineLvl w:val="9"/>
        <w:rPr>
          <w:color w:val="auto"/>
          <w:highlight w:val="none"/>
        </w:rPr>
      </w:pPr>
    </w:p>
    <w:p w14:paraId="027DD2D6">
      <w:pPr>
        <w:kinsoku/>
        <w:wordWrap/>
        <w:overflowPunct/>
        <w:topLinePunct w:val="0"/>
        <w:bidi w:val="0"/>
        <w:adjustRightInd/>
        <w:spacing w:line="360" w:lineRule="auto"/>
        <w:jc w:val="center"/>
        <w:outlineLvl w:val="9"/>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CFA2658">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07B4EE0">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694DCD73">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7C5BB34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 xml:space="preserve">：CBZJ-20256027G </w:t>
      </w:r>
      <w:r>
        <w:rPr>
          <w:rFonts w:hint="eastAsia" w:ascii="宋体" w:hAnsi="宋体" w:cs="宋体"/>
          <w:color w:val="auto"/>
          <w:sz w:val="30"/>
          <w:szCs w:val="30"/>
          <w:highlight w:val="none"/>
        </w:rPr>
        <w:t xml:space="preserve">  </w:t>
      </w:r>
    </w:p>
    <w:p w14:paraId="7930E9B0">
      <w:pPr>
        <w:kinsoku/>
        <w:wordWrap/>
        <w:overflowPunct/>
        <w:topLinePunct w:val="0"/>
        <w:bidi w:val="0"/>
        <w:snapToGrid w:val="0"/>
        <w:spacing w:line="360" w:lineRule="auto"/>
        <w:jc w:val="left"/>
        <w:outlineLvl w:val="9"/>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2025-2027年宁海县中医医院保障性后勤服务项目</w:t>
      </w:r>
    </w:p>
    <w:p w14:paraId="4C86DE4F">
      <w:pPr>
        <w:kinsoku/>
        <w:wordWrap/>
        <w:overflowPunct/>
        <w:topLinePunct w:val="0"/>
        <w:bidi w:val="0"/>
        <w:adjustRightInd/>
        <w:spacing w:line="360" w:lineRule="auto"/>
        <w:outlineLvl w:val="9"/>
        <w:rPr>
          <w:rFonts w:ascii="宋体" w:hAnsi="宋体" w:cs="宋体"/>
          <w:color w:val="auto"/>
          <w:sz w:val="28"/>
          <w:szCs w:val="20"/>
          <w:highlight w:val="none"/>
        </w:rPr>
      </w:pPr>
    </w:p>
    <w:p w14:paraId="5A6105A6">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9926B3">
      <w:pPr>
        <w:tabs>
          <w:tab w:val="left" w:pos="2503"/>
        </w:tabs>
        <w:kinsoku/>
        <w:wordWrap/>
        <w:overflowPunct/>
        <w:topLinePunct w:val="0"/>
        <w:bidi w:val="0"/>
        <w:spacing w:line="360" w:lineRule="auto"/>
        <w:jc w:val="left"/>
        <w:outlineLvl w:val="9"/>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ab/>
      </w:r>
    </w:p>
    <w:p w14:paraId="569A9E6E">
      <w:pPr>
        <w:kinsoku/>
        <w:wordWrap/>
        <w:overflowPunct/>
        <w:topLinePunct w:val="0"/>
        <w:bidi w:val="0"/>
        <w:spacing w:line="360" w:lineRule="auto"/>
        <w:jc w:val="center"/>
        <w:outlineLvl w:val="9"/>
        <w:rPr>
          <w:rFonts w:ascii="宋体" w:hAnsi="宋体" w:cs="宋体"/>
          <w:color w:val="auto"/>
          <w:sz w:val="24"/>
          <w:highlight w:val="none"/>
        </w:rPr>
      </w:pPr>
    </w:p>
    <w:p w14:paraId="064D4A82">
      <w:pPr>
        <w:kinsoku/>
        <w:wordWrap/>
        <w:overflowPunct/>
        <w:topLinePunct w:val="0"/>
        <w:bidi w:val="0"/>
        <w:spacing w:line="360" w:lineRule="auto"/>
        <w:outlineLvl w:val="9"/>
        <w:rPr>
          <w:rFonts w:ascii="宋体" w:hAnsi="宋体" w:cs="宋体"/>
          <w:color w:val="auto"/>
          <w:sz w:val="32"/>
          <w:szCs w:val="32"/>
          <w:highlight w:val="none"/>
        </w:rPr>
      </w:pPr>
    </w:p>
    <w:p w14:paraId="6812927E">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宁海县中医医院</w:t>
      </w:r>
    </w:p>
    <w:p w14:paraId="6DA8CE51">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浙江中基正采管理咨询有限公司</w:t>
      </w:r>
    </w:p>
    <w:p w14:paraId="458E3F83">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2DD6F885">
      <w:pPr>
        <w:pStyle w:val="81"/>
        <w:rPr>
          <w:rFonts w:hint="eastAsia" w:ascii="宋体" w:hAnsi="宋体" w:cs="宋体"/>
          <w:bCs/>
          <w:color w:val="auto"/>
          <w:sz w:val="32"/>
          <w:szCs w:val="32"/>
          <w:highlight w:val="none"/>
        </w:rPr>
      </w:pPr>
    </w:p>
    <w:p w14:paraId="1CCD0A49">
      <w:pPr>
        <w:rPr>
          <w:rFonts w:hint="eastAsia" w:ascii="宋体" w:hAnsi="宋体" w:cs="宋体"/>
          <w:bCs/>
          <w:color w:val="auto"/>
          <w:sz w:val="32"/>
          <w:szCs w:val="32"/>
          <w:highlight w:val="none"/>
        </w:rPr>
      </w:pPr>
    </w:p>
    <w:p w14:paraId="3C7F081A">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14:paraId="2CE1AFAE">
      <w:pPr>
        <w:rPr>
          <w:rFonts w:hint="eastAsia" w:ascii="宋体" w:hAnsi="宋体" w:cs="宋体"/>
          <w:color w:val="auto"/>
          <w:sz w:val="24"/>
          <w:highlight w:val="none"/>
        </w:rPr>
      </w:pPr>
      <w:r>
        <w:rPr>
          <w:rFonts w:hint="eastAsia" w:ascii="宋体" w:hAnsi="宋体" w:cs="宋体"/>
          <w:color w:val="auto"/>
          <w:sz w:val="24"/>
          <w:highlight w:val="none"/>
        </w:rPr>
        <w:br w:type="page"/>
      </w:r>
    </w:p>
    <w:p w14:paraId="5FD4315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EB1700D">
      <w:pPr>
        <w:kinsoku/>
        <w:wordWrap/>
        <w:overflowPunct/>
        <w:topLinePunct w:val="0"/>
        <w:bidi w:val="0"/>
        <w:spacing w:line="360" w:lineRule="auto"/>
        <w:jc w:val="center"/>
        <w:outlineLvl w:val="9"/>
        <w:rPr>
          <w:rFonts w:ascii="宋体" w:hAnsi="宋体" w:cs="宋体"/>
          <w:color w:val="auto"/>
          <w:sz w:val="24"/>
          <w:highlight w:val="none"/>
        </w:rPr>
      </w:pPr>
    </w:p>
    <w:p w14:paraId="4F41A843">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5E358291">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746A616F">
          <w:pPr>
            <w:spacing w:before="0" w:beforeLines="0" w:after="0" w:afterLines="0" w:line="240" w:lineRule="auto"/>
            <w:ind w:left="0" w:leftChars="0" w:right="0" w:rightChars="0" w:firstLine="0" w:firstLineChars="0"/>
            <w:jc w:val="center"/>
            <w:rPr>
              <w:color w:val="auto"/>
              <w:highlight w:val="none"/>
            </w:rPr>
          </w:pPr>
        </w:p>
        <w:p w14:paraId="3DBDA005">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3620EE5">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BB663C2">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F6AF56C">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58FA485">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C7C8F7A">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6FEAA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7EF85801">
      <w:pPr>
        <w:kinsoku/>
        <w:wordWrap/>
        <w:overflowPunct/>
        <w:topLinePunct w:val="0"/>
        <w:bidi w:val="0"/>
        <w:spacing w:line="360" w:lineRule="auto"/>
        <w:outlineLvl w:val="9"/>
        <w:rPr>
          <w:rFonts w:ascii="宋体" w:hAnsi="宋体" w:cs="宋体"/>
          <w:color w:val="auto"/>
          <w:sz w:val="32"/>
          <w:szCs w:val="32"/>
          <w:highlight w:val="none"/>
        </w:rPr>
      </w:pPr>
    </w:p>
    <w:p w14:paraId="1BFAB114">
      <w:pPr>
        <w:kinsoku/>
        <w:wordWrap/>
        <w:overflowPunct/>
        <w:topLinePunct w:val="0"/>
        <w:bidi w:val="0"/>
        <w:spacing w:line="360" w:lineRule="auto"/>
        <w:outlineLvl w:val="9"/>
        <w:rPr>
          <w:rFonts w:ascii="宋体" w:hAnsi="宋体" w:cs="宋体"/>
          <w:color w:val="auto"/>
          <w:sz w:val="32"/>
          <w:szCs w:val="32"/>
          <w:highlight w:val="none"/>
        </w:rPr>
      </w:pPr>
    </w:p>
    <w:p w14:paraId="7BC071F4">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53A9EEB7">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2B11E16">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8F5C11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929CAC7">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984B93C">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3CDBD1E">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9AB82F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150CB1C">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414506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2816EB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5F539F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EB4532C">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B4EA3F6">
      <w:pPr>
        <w:kinsoku/>
        <w:wordWrap/>
        <w:overflowPunct/>
        <w:topLinePunct w:val="0"/>
        <w:bidi w:val="0"/>
        <w:spacing w:line="360" w:lineRule="auto"/>
        <w:outlineLvl w:val="9"/>
        <w:rPr>
          <w:rFonts w:ascii="宋体" w:hAnsi="宋体" w:cs="宋体"/>
          <w:color w:val="auto"/>
          <w:sz w:val="24"/>
          <w:highlight w:val="none"/>
        </w:rPr>
      </w:pPr>
    </w:p>
    <w:bookmarkEnd w:id="2"/>
    <w:p w14:paraId="0CEE439B">
      <w:pPr>
        <w:rPr>
          <w:rFonts w:hint="eastAsia" w:ascii="宋体" w:hAnsi="宋体" w:cs="宋体"/>
          <w:b/>
          <w:color w:val="auto"/>
          <w:sz w:val="36"/>
          <w:szCs w:val="20"/>
          <w:highlight w:val="none"/>
        </w:rPr>
      </w:pPr>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78A285B1">
      <w:pPr>
        <w:rPr>
          <w:rFonts w:hint="eastAsia"/>
          <w:color w:val="auto"/>
          <w:highlight w:val="none"/>
        </w:rPr>
      </w:pPr>
      <w:r>
        <w:rPr>
          <w:rFonts w:hint="eastAsia"/>
          <w:color w:val="auto"/>
          <w:highlight w:val="none"/>
        </w:rPr>
        <w:br w:type="page"/>
      </w:r>
    </w:p>
    <w:p w14:paraId="71AF2495">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0C3DD66A">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3A8BB54A">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A6F9AFD">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2025-2027年宁海县中医医院保障性后勤服务项目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13</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D173C6E">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FC2361E">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CBZJ-20256027G</w:t>
      </w:r>
    </w:p>
    <w:p w14:paraId="408076EF">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2025-2027年宁海县中医医院保障性后勤服务项目</w:t>
      </w:r>
    </w:p>
    <w:p w14:paraId="2988DF25">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1050900.00</w:t>
      </w:r>
    </w:p>
    <w:p w14:paraId="5A180D78">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1050900.00</w:t>
      </w:r>
    </w:p>
    <w:p w14:paraId="2F64F3BF">
      <w:pPr>
        <w:pStyle w:val="5"/>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3C0812C1">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：保障性后勤服务</w:t>
      </w:r>
    </w:p>
    <w:p w14:paraId="036CA4B9">
      <w:pPr>
        <w:shd w:val="clear"/>
        <w:spacing w:line="360" w:lineRule="auto"/>
        <w:ind w:leftChars="100" w:firstLine="480"/>
        <w:rPr>
          <w:rFonts w:hint="default"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1项</w:t>
      </w:r>
    </w:p>
    <w:p w14:paraId="3CC1DE89">
      <w:pPr>
        <w:shd w:val="clear"/>
        <w:spacing w:line="360" w:lineRule="auto"/>
        <w:ind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color w:val="auto"/>
          <w:sz w:val="24"/>
          <w:highlight w:val="none"/>
          <w:lang w:val="en-US" w:eastAsia="zh-CN"/>
        </w:rPr>
        <w:t>1050900.00</w:t>
      </w:r>
    </w:p>
    <w:p w14:paraId="24A016E4">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val="en-US" w:eastAsia="zh-CN"/>
        </w:rPr>
        <w:t>收费员</w:t>
      </w:r>
      <w:r>
        <w:rPr>
          <w:rFonts w:hint="eastAsia" w:ascii="宋体" w:hAnsi="宋体" w:cs="宋体"/>
          <w:snapToGrid w:val="0"/>
          <w:color w:val="auto"/>
          <w:kern w:val="28"/>
          <w:sz w:val="24"/>
          <w:szCs w:val="20"/>
          <w:highlight w:val="none"/>
          <w:lang w:val="en-US" w:eastAsia="zh-CN"/>
        </w:rPr>
        <w:t>、打字员和后勤</w:t>
      </w:r>
      <w:r>
        <w:rPr>
          <w:rFonts w:hint="eastAsia" w:ascii="宋体" w:hAnsi="宋体" w:eastAsia="宋体" w:cs="宋体"/>
          <w:snapToGrid w:val="0"/>
          <w:color w:val="auto"/>
          <w:kern w:val="28"/>
          <w:sz w:val="24"/>
          <w:szCs w:val="20"/>
          <w:highlight w:val="none"/>
          <w:lang w:val="en-US" w:eastAsia="zh-CN"/>
        </w:rPr>
        <w:t>部分</w:t>
      </w:r>
      <w:r>
        <w:rPr>
          <w:rFonts w:hint="eastAsia" w:ascii="宋体" w:hAnsi="宋体" w:cs="宋体"/>
          <w:snapToGrid w:val="0"/>
          <w:color w:val="auto"/>
          <w:kern w:val="28"/>
          <w:sz w:val="24"/>
          <w:szCs w:val="20"/>
          <w:highlight w:val="none"/>
          <w:lang w:val="en-US" w:eastAsia="zh-CN"/>
        </w:rPr>
        <w:t>人员</w:t>
      </w:r>
      <w:r>
        <w:rPr>
          <w:rFonts w:hint="eastAsia" w:ascii="宋体" w:hAnsi="宋体" w:cs="宋体"/>
          <w:b w:val="0"/>
          <w:bCs/>
          <w:color w:val="auto"/>
          <w:sz w:val="24"/>
          <w:highlight w:val="none"/>
          <w:lang w:eastAsia="zh-CN"/>
        </w:rPr>
        <w:t>服务</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r>
        <w:rPr>
          <w:rFonts w:hint="eastAsia" w:ascii="宋体" w:hAnsi="宋体" w:eastAsia="宋体" w:cs="宋体"/>
          <w:snapToGrid w:val="0"/>
          <w:color w:val="auto"/>
          <w:kern w:val="28"/>
          <w:sz w:val="24"/>
          <w:szCs w:val="20"/>
          <w:highlight w:val="none"/>
        </w:rPr>
        <w:t>。</w:t>
      </w:r>
    </w:p>
    <w:p w14:paraId="046D005B">
      <w:pPr>
        <w:shd w:val="clear"/>
        <w:spacing w:line="360" w:lineRule="auto"/>
        <w:ind w:leftChars="100"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备注：</w:t>
      </w:r>
      <w:r>
        <w:rPr>
          <w:rFonts w:hint="eastAsia" w:ascii="宋体" w:hAnsi="宋体" w:cs="宋体"/>
          <w:snapToGrid w:val="0"/>
          <w:color w:val="auto"/>
          <w:kern w:val="28"/>
          <w:sz w:val="24"/>
          <w:szCs w:val="20"/>
          <w:highlight w:val="none"/>
          <w:lang w:val="en-US" w:eastAsia="zh-CN"/>
        </w:rPr>
        <w:t>1）年度最高限价350300.00元/年；2）组成联合体的成员数量不超过2个</w:t>
      </w:r>
      <w:r>
        <w:rPr>
          <w:rFonts w:hint="eastAsia" w:ascii="宋体" w:hAnsi="宋体" w:eastAsia="宋体" w:cs="宋体"/>
          <w:snapToGrid w:val="0"/>
          <w:color w:val="auto"/>
          <w:kern w:val="28"/>
          <w:sz w:val="24"/>
          <w:szCs w:val="20"/>
          <w:highlight w:val="none"/>
          <w:lang w:val="en-US" w:eastAsia="zh-CN"/>
        </w:rPr>
        <w:t>。</w:t>
      </w:r>
    </w:p>
    <w:p w14:paraId="1393728B">
      <w:pPr>
        <w:pStyle w:val="136"/>
        <w:keepNext w:val="0"/>
        <w:keepLines w:val="0"/>
        <w:pageBreakBefore w:val="0"/>
        <w:kinsoku/>
        <w:wordWrap/>
        <w:overflowPunct/>
        <w:topLinePunct w:val="0"/>
        <w:autoSpaceDE/>
        <w:autoSpaceDN/>
        <w:bidi w:val="0"/>
        <w:spacing w:before="0" w:line="336" w:lineRule="auto"/>
        <w:ind w:firstLine="482"/>
        <w:textAlignment w:val="auto"/>
        <w:outlineLvl w:val="9"/>
        <w:rPr>
          <w:rFonts w:hint="eastAsia" w:ascii="宋体" w:hAnsi="宋体" w:eastAsia="宋体" w:cs="宋体"/>
          <w:color w:val="auto"/>
          <w:szCs w:val="21"/>
          <w:highlight w:val="none"/>
          <w:lang w:val="en-US" w:eastAsia="zh-CN"/>
        </w:rPr>
      </w:pPr>
      <w:r>
        <w:rPr>
          <w:rFonts w:hint="eastAsia" w:ascii="宋体" w:hAnsi="宋体" w:cs="宋体"/>
          <w:b/>
          <w:color w:val="auto"/>
          <w:highlight w:val="none"/>
        </w:rPr>
        <w:t>合同履约期限：</w:t>
      </w:r>
      <w:r>
        <w:rPr>
          <w:rFonts w:hint="eastAsia" w:ascii="宋体" w:hAnsi="宋体" w:cs="宋体"/>
          <w:color w:val="auto"/>
          <w:szCs w:val="21"/>
          <w:highlight w:val="none"/>
          <w:lang w:val="en-US" w:eastAsia="zh-CN"/>
        </w:rPr>
        <w:t>本项目服务期三年，合同一年一签。根据中标人在合同履约期内按照履约、考核等情况决定是否续签。</w:t>
      </w:r>
    </w:p>
    <w:p w14:paraId="4C4ABB71">
      <w:pPr>
        <w:pStyle w:val="5"/>
        <w:keepNext w:val="0"/>
        <w:keepLines w:val="0"/>
        <w:pageBreakBefore w:val="0"/>
        <w:kinsoku/>
        <w:wordWrap/>
        <w:overflowPunct/>
        <w:topLinePunct w:val="0"/>
        <w:autoSpaceDE/>
        <w:autoSpaceDN/>
        <w:bidi w:val="0"/>
        <w:spacing w:line="336"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C73E674">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C52968">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49051152">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p>
    <w:p w14:paraId="34C92C22">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5328202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25BC91C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67F4F3E">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14:paraId="50D53736">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服务</w:t>
      </w:r>
      <w:r>
        <w:rPr>
          <w:rFonts w:hint="eastAsia" w:ascii="宋体" w:hAnsi="宋体" w:cs="宋体"/>
          <w:color w:val="auto"/>
          <w:sz w:val="24"/>
          <w:highlight w:val="none"/>
        </w:rPr>
        <w:t>全部由符合政策要求的小微企业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14:paraId="1779FC0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0B9E1E4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EA8F2C5">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Times New Roman"/>
          <w:color w:val="auto"/>
          <w:kern w:val="0"/>
          <w:sz w:val="24"/>
          <w:szCs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eastAsia="宋体" w:cs="Times New Roman"/>
          <w:color w:val="auto"/>
          <w:kern w:val="0"/>
          <w:sz w:val="24"/>
          <w:szCs w:val="24"/>
          <w:highlight w:val="none"/>
          <w:lang w:eastAsia="zh-CN"/>
        </w:rPr>
        <w:t>；</w:t>
      </w:r>
    </w:p>
    <w:p w14:paraId="698E0C47">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将依法取消其中标资格）。</w:t>
      </w:r>
    </w:p>
    <w:p w14:paraId="082B7693">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18FA5C2">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519429B3">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0761348">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2DBC50A7">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4F2BDDA2">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9E232C3">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84369F7">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5BEE3082">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43A6B283">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52295805">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24AC71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B858041">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6CB6F52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4E987F5">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783C9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4BB31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146A4937">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4C474DD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73D570DB">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3BB68CA5">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lang w:val="en-US" w:eastAsia="zh-CN"/>
        </w:rPr>
        <w:br w:type="textWrapping"/>
      </w:r>
      <w:r>
        <w:rPr>
          <w:rFonts w:hint="eastAsia" w:cs="宋体" w:asciiTheme="minorEastAsia" w:hAnsiTheme="minorEastAsia" w:eastAsiaTheme="minorEastAsia"/>
          <w:color w:val="auto"/>
          <w:sz w:val="24"/>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20A7A3">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B6FF56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5A99019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称：宁海县中医医院</w:t>
      </w:r>
    </w:p>
    <w:p w14:paraId="513A926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址：宁海县桃源北路1299号</w:t>
      </w:r>
    </w:p>
    <w:p w14:paraId="71EA3F0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7C411AD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项目联系人（询问）：张老师</w:t>
      </w:r>
    </w:p>
    <w:p w14:paraId="27C140B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项目联系方式（询问）：0574-55686045</w:t>
      </w:r>
    </w:p>
    <w:p w14:paraId="0A65394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质疑联系人：张主任</w:t>
      </w:r>
    </w:p>
    <w:p w14:paraId="4993700C">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质疑联系方式：0574-55686045</w:t>
      </w:r>
    </w:p>
    <w:p w14:paraId="2BC660E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49DD9C0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称：浙江中基正采管理咨询有限公司</w:t>
      </w:r>
    </w:p>
    <w:p w14:paraId="7CDFB2C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7FDB2DB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p>
    <w:p w14:paraId="0D6FBEB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项目联系人（询问）：朱贤东</w:t>
      </w:r>
    </w:p>
    <w:p w14:paraId="575E88F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项目联系方式（询问）：0574-87425380</w:t>
      </w:r>
    </w:p>
    <w:p w14:paraId="0473A53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质疑联系人：王近娜</w:t>
      </w:r>
    </w:p>
    <w:p w14:paraId="4D8EC5E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质疑联系方式：0574-87425570</w:t>
      </w:r>
    </w:p>
    <w:p w14:paraId="551F3DC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0E68D38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称：宁海县政府采购管理办公室             </w:t>
      </w:r>
    </w:p>
    <w:p w14:paraId="02CB879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址：宁海县跃龙街道桃源中路218号            </w:t>
      </w:r>
    </w:p>
    <w:p w14:paraId="66BC870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真：0574-65265612            </w:t>
      </w:r>
    </w:p>
    <w:p w14:paraId="7984F13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联系人：王老师             </w:t>
      </w:r>
    </w:p>
    <w:p w14:paraId="7F9B966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投诉电话：0574-65265668 </w:t>
      </w:r>
    </w:p>
    <w:p w14:paraId="7F54C39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rPr>
      </w:pPr>
    </w:p>
    <w:p w14:paraId="1A15411D">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6EBB41B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466A8FA">
      <w:pPr>
        <w:pStyle w:val="32"/>
        <w:kinsoku/>
        <w:wordWrap/>
        <w:overflowPunct/>
        <w:topLinePunct w:val="0"/>
        <w:bidi w:val="0"/>
        <w:spacing w:line="360" w:lineRule="auto"/>
        <w:outlineLvl w:val="9"/>
        <w:rPr>
          <w:rFonts w:hAnsi="宋体" w:cs="宋体"/>
          <w:b/>
          <w:color w:val="auto"/>
          <w:sz w:val="36"/>
          <w:szCs w:val="20"/>
          <w:highlight w:val="none"/>
        </w:rPr>
      </w:pPr>
    </w:p>
    <w:p w14:paraId="34C154DD">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06DFFCB3">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7E062794">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640"/>
      </w:tblGrid>
      <w:tr w14:paraId="6969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80231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799" w:type="dxa"/>
            <w:vAlign w:val="center"/>
          </w:tcPr>
          <w:p w14:paraId="08B44B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5640" w:type="dxa"/>
            <w:vAlign w:val="center"/>
          </w:tcPr>
          <w:p w14:paraId="315854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7D25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5AD2AD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2799" w:type="dxa"/>
            <w:vAlign w:val="center"/>
          </w:tcPr>
          <w:p w14:paraId="253B18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5640" w:type="dxa"/>
            <w:vAlign w:val="center"/>
          </w:tcPr>
          <w:p w14:paraId="3C9F312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lang w:val="en-US" w:eastAsia="zh-CN"/>
              </w:rPr>
              <w:t>服务类</w:t>
            </w:r>
            <w:r>
              <w:rPr>
                <w:rFonts w:hint="eastAsia" w:ascii="宋体" w:hAnsi="宋体" w:cs="宋体"/>
                <w:color w:val="auto"/>
                <w:sz w:val="24"/>
                <w:highlight w:val="none"/>
              </w:rPr>
              <w:t>。</w:t>
            </w:r>
          </w:p>
        </w:tc>
      </w:tr>
      <w:tr w14:paraId="1E3C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45C7D4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2799" w:type="dxa"/>
            <w:vAlign w:val="center"/>
          </w:tcPr>
          <w:p w14:paraId="080001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640" w:type="dxa"/>
            <w:vAlign w:val="center"/>
          </w:tcPr>
          <w:p w14:paraId="0F753B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保障性后勤服务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eastAsia="zh-CN"/>
              </w:rPr>
              <w:br w:type="textWrapping"/>
            </w:r>
            <w:r>
              <w:rPr>
                <w:rFonts w:hint="eastAsia" w:ascii="宋体" w:hAnsi="宋体" w:cs="宋体"/>
                <w:color w:val="auto"/>
                <w:kern w:val="0"/>
                <w:sz w:val="24"/>
                <w:highlight w:val="none"/>
                <w:u w:val="none"/>
                <w:lang w:val="en-US" w:eastAsia="zh-CN"/>
              </w:rPr>
              <w:t>本项目</w:t>
            </w:r>
            <w:r>
              <w:rPr>
                <w:rFonts w:hint="eastAsia" w:ascii="宋体" w:hAnsi="宋体" w:cs="宋体"/>
                <w:color w:val="auto"/>
                <w:kern w:val="0"/>
                <w:sz w:val="24"/>
                <w:highlight w:val="none"/>
                <w:u w:val="none"/>
                <w:lang w:eastAsia="zh-CN"/>
              </w:rPr>
              <w:t>专门面向中小企业。</w:t>
            </w:r>
          </w:p>
        </w:tc>
      </w:tr>
      <w:tr w14:paraId="3B2A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2FCB46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2799" w:type="dxa"/>
            <w:vAlign w:val="center"/>
          </w:tcPr>
          <w:p w14:paraId="247ACC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640" w:type="dxa"/>
            <w:vAlign w:val="center"/>
          </w:tcPr>
          <w:p w14:paraId="23CF555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2F91BF6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D9B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59827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2799" w:type="dxa"/>
            <w:vAlign w:val="center"/>
          </w:tcPr>
          <w:p w14:paraId="401BF4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5640" w:type="dxa"/>
            <w:vAlign w:val="center"/>
          </w:tcPr>
          <w:p w14:paraId="340DF9B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022069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8DE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5B5496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2799" w:type="dxa"/>
            <w:vAlign w:val="center"/>
          </w:tcPr>
          <w:p w14:paraId="6A74FF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640" w:type="dxa"/>
            <w:vAlign w:val="center"/>
          </w:tcPr>
          <w:p w14:paraId="7ADE26C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91C0D8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42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3748FF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2799" w:type="dxa"/>
            <w:vAlign w:val="center"/>
          </w:tcPr>
          <w:p w14:paraId="743774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5640" w:type="dxa"/>
            <w:vAlign w:val="center"/>
          </w:tcPr>
          <w:p w14:paraId="1D35039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538F0F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0E0C02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D8C9D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6D842D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81642B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F4F51E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5DE0724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AA9990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2D4A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6935A7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2799" w:type="dxa"/>
            <w:vAlign w:val="center"/>
          </w:tcPr>
          <w:p w14:paraId="33ABDE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5640" w:type="dxa"/>
            <w:vAlign w:val="center"/>
          </w:tcPr>
          <w:p w14:paraId="3F1D3FD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607A39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C0D0E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B0180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0290A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47C0A2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72781C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0428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vAlign w:val="center"/>
          </w:tcPr>
          <w:p w14:paraId="61A8AD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2799" w:type="dxa"/>
            <w:vMerge w:val="restart"/>
            <w:vAlign w:val="center"/>
          </w:tcPr>
          <w:p w14:paraId="4C6040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5640" w:type="dxa"/>
            <w:vAlign w:val="center"/>
          </w:tcPr>
          <w:p w14:paraId="24B0EBE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BC1747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51D6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vAlign w:val="center"/>
          </w:tcPr>
          <w:p w14:paraId="157646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p>
        </w:tc>
        <w:tc>
          <w:tcPr>
            <w:tcW w:w="2799" w:type="dxa"/>
            <w:vMerge w:val="continue"/>
            <w:vAlign w:val="center"/>
          </w:tcPr>
          <w:p w14:paraId="4CED58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14:paraId="46FE0E6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87A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445322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2799" w:type="dxa"/>
            <w:vAlign w:val="center"/>
          </w:tcPr>
          <w:p w14:paraId="071857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640" w:type="dxa"/>
            <w:vAlign w:val="center"/>
          </w:tcPr>
          <w:p w14:paraId="20DA63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2CF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27EE6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2799" w:type="dxa"/>
            <w:vAlign w:val="center"/>
          </w:tcPr>
          <w:p w14:paraId="56DF69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5640" w:type="dxa"/>
            <w:vAlign w:val="center"/>
          </w:tcPr>
          <w:p w14:paraId="0C90DB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1DC6DA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14:paraId="704402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供</w:t>
            </w:r>
            <w:r>
              <w:rPr>
                <w:rFonts w:hint="eastAsia" w:ascii="宋体" w:hAnsi="宋体" w:cs="宋体"/>
                <w:b/>
                <w:color w:val="auto"/>
                <w:kern w:val="0"/>
                <w:sz w:val="24"/>
                <w:highlight w:val="none"/>
                <w:lang w:val="zh-CN" w:eastAsia="zh-CN"/>
              </w:rPr>
              <w:t>应商须报出每年投标价，投标报价为供应商正确地完全履行采购内容及要求的价格体现，应包括但不限于完成服务所需的人员工资、福利、加班费（含节假日加班）、服装费、体检费、人员保险费、培训费、相关办公设备及用品等一切与本项目有关的所有费用，即完成本项目服务涉及的全部费用。</w:t>
            </w:r>
          </w:p>
          <w:p w14:paraId="3D90EF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34E7A2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F8C7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C212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A33D9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val="en-US" w:eastAsia="zh-CN"/>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lang w:eastAsia="zh-CN"/>
              </w:rPr>
              <w:t>；</w:t>
            </w:r>
          </w:p>
          <w:p w14:paraId="758A554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5D40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260133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799" w:type="dxa"/>
            <w:vAlign w:val="center"/>
          </w:tcPr>
          <w:p w14:paraId="47CB29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5640" w:type="dxa"/>
            <w:vAlign w:val="center"/>
          </w:tcPr>
          <w:p w14:paraId="32621C3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0" w:firstLineChars="1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7318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06CDC5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12</w:t>
            </w:r>
          </w:p>
        </w:tc>
        <w:tc>
          <w:tcPr>
            <w:tcW w:w="2799" w:type="dxa"/>
            <w:vAlign w:val="center"/>
          </w:tcPr>
          <w:p w14:paraId="230E58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640" w:type="dxa"/>
            <w:vAlign w:val="center"/>
          </w:tcPr>
          <w:p w14:paraId="16D670BB">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59724FAF">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宁海县政务服务中心（宁海县桃源街道金水东路5号五楼）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6B152360">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59CD089B">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7315AA3D">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拟在2025年  月  日（含）16:00前到件的邮寄地址为：宁波市鄞州区天童南路666号中基大厦19楼业务六部；</w:t>
            </w:r>
          </w:p>
          <w:p w14:paraId="5BDBB2BB">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收件人：朱工   联系方式：0574-87425380</w:t>
            </w:r>
          </w:p>
          <w:p w14:paraId="1188EBA3">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54A1F1C0">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704B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vAlign w:val="center"/>
          </w:tcPr>
          <w:p w14:paraId="5983AB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13</w:t>
            </w:r>
          </w:p>
        </w:tc>
        <w:tc>
          <w:tcPr>
            <w:tcW w:w="2799" w:type="dxa"/>
            <w:vMerge w:val="restart"/>
            <w:vAlign w:val="center"/>
          </w:tcPr>
          <w:p w14:paraId="743FD4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640" w:type="dxa"/>
            <w:vAlign w:val="center"/>
          </w:tcPr>
          <w:p w14:paraId="32CC8C7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E2D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tcPr>
          <w:p w14:paraId="156E9C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tc>
        <w:tc>
          <w:tcPr>
            <w:tcW w:w="2799" w:type="dxa"/>
            <w:vMerge w:val="continue"/>
            <w:vAlign w:val="center"/>
          </w:tcPr>
          <w:p w14:paraId="633804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14:paraId="28C8988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18952B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DDF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563F5D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2799" w:type="dxa"/>
            <w:vAlign w:val="center"/>
          </w:tcPr>
          <w:p w14:paraId="17EE2F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5640" w:type="dxa"/>
            <w:vAlign w:val="center"/>
          </w:tcPr>
          <w:p w14:paraId="6B2E7E1B">
            <w:pPr>
              <w:pStyle w:val="19"/>
              <w:keepNext w:val="0"/>
              <w:keepLines w:val="0"/>
              <w:suppressLineNumbers w:val="0"/>
              <w:adjustRightInd/>
              <w:spacing w:before="0" w:beforeLines="0" w:beforeAutospacing="0" w:after="0" w:afterLines="0" w:afterAutospacing="0" w:line="30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招标代理服务费的收取标准：参照原国家发改委发改办价格[2003]857号通知和原国家计委计价格[2002]1980号文件；代理机构按下表中</w:t>
            </w:r>
            <w:r>
              <w:rPr>
                <w:rFonts w:hint="eastAsia" w:cs="Arial" w:asciiTheme="minorEastAsia" w:hAnsiTheme="minorEastAsia" w:eastAsiaTheme="minorEastAsia"/>
                <w:color w:val="auto"/>
                <w:kern w:val="0"/>
                <w:sz w:val="24"/>
                <w:highlight w:val="none"/>
                <w:lang w:val="en-US" w:eastAsia="zh-CN"/>
              </w:rPr>
              <w:t>服务</w:t>
            </w:r>
            <w:r>
              <w:rPr>
                <w:rFonts w:hint="eastAsia" w:cs="Arial" w:asciiTheme="minorEastAsia" w:hAnsiTheme="minorEastAsia" w:eastAsiaTheme="minorEastAsia"/>
                <w:color w:val="auto"/>
                <w:kern w:val="0"/>
                <w:sz w:val="24"/>
                <w:highlight w:val="none"/>
              </w:rPr>
              <w:t>招标标准的（按差额定率累进法计算），根据</w:t>
            </w:r>
            <w:r>
              <w:rPr>
                <w:rFonts w:hint="eastAsia" w:cs="Arial" w:asciiTheme="minorEastAsia" w:hAnsiTheme="minorEastAsia" w:eastAsiaTheme="minorEastAsia"/>
                <w:color w:val="auto"/>
                <w:kern w:val="0"/>
                <w:sz w:val="24"/>
                <w:highlight w:val="none"/>
                <w:lang w:val="en-US" w:eastAsia="zh-CN"/>
              </w:rPr>
              <w:t>三年</w:t>
            </w:r>
            <w:r>
              <w:rPr>
                <w:rFonts w:hint="eastAsia" w:cs="Arial" w:asciiTheme="minorEastAsia" w:hAnsiTheme="minorEastAsia" w:eastAsiaTheme="minorEastAsia"/>
                <w:color w:val="auto"/>
                <w:kern w:val="0"/>
                <w:sz w:val="24"/>
                <w:highlight w:val="none"/>
              </w:rPr>
              <w:t>中标</w:t>
            </w:r>
            <w:r>
              <w:rPr>
                <w:rFonts w:hint="eastAsia" w:cs="Arial" w:asciiTheme="minorEastAsia" w:hAnsiTheme="minorEastAsia" w:eastAsiaTheme="minorEastAsia"/>
                <w:color w:val="auto"/>
                <w:kern w:val="0"/>
                <w:sz w:val="24"/>
                <w:highlight w:val="none"/>
                <w:lang w:val="en-US" w:eastAsia="zh-CN"/>
              </w:rPr>
              <w:t>总价</w:t>
            </w:r>
            <w:r>
              <w:rPr>
                <w:rFonts w:hint="eastAsia" w:cs="Arial" w:asciiTheme="minorEastAsia" w:hAnsiTheme="minorEastAsia" w:eastAsiaTheme="minorEastAsia"/>
                <w:color w:val="auto"/>
                <w:kern w:val="0"/>
                <w:sz w:val="24"/>
                <w:highlight w:val="none"/>
              </w:rPr>
              <w:t>，向中标人收取招标代理服务费。</w:t>
            </w:r>
          </w:p>
          <w:tbl>
            <w:tblPr>
              <w:tblStyle w:val="62"/>
              <w:tblW w:w="5478" w:type="dxa"/>
              <w:jc w:val="center"/>
              <w:tblLayout w:type="fixed"/>
              <w:tblCellMar>
                <w:top w:w="15" w:type="dxa"/>
                <w:left w:w="15" w:type="dxa"/>
                <w:bottom w:w="15" w:type="dxa"/>
                <w:right w:w="15" w:type="dxa"/>
              </w:tblCellMar>
            </w:tblPr>
            <w:tblGrid>
              <w:gridCol w:w="1572"/>
              <w:gridCol w:w="1359"/>
              <w:gridCol w:w="1288"/>
              <w:gridCol w:w="1259"/>
            </w:tblGrid>
            <w:tr w14:paraId="38D19DDA">
              <w:tblPrEx>
                <w:tblCellMar>
                  <w:top w:w="15" w:type="dxa"/>
                  <w:left w:w="15" w:type="dxa"/>
                  <w:bottom w:w="15" w:type="dxa"/>
                  <w:right w:w="15" w:type="dxa"/>
                </w:tblCellMar>
              </w:tblPrEx>
              <w:trPr>
                <w:trHeight w:val="774"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2522F746">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74A7717E">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A4168A7">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986D0F5">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542102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7B14157F">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114C51E">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D9BD3C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28C588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B7D268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1CFCE5D7">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19D08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0ADA61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8D4540E">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FD61F6B">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6B973952">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76844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8679DC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7531E8D">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B88941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68684479">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8F9850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9205798">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82D0D8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86C588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40526F1">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DE879C3">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8173A93">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CF067F8">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984D8DB">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5C5F823E">
              <w:tblPrEx>
                <w:tblCellMar>
                  <w:top w:w="15" w:type="dxa"/>
                  <w:left w:w="15" w:type="dxa"/>
                  <w:bottom w:w="15" w:type="dxa"/>
                  <w:right w:w="15" w:type="dxa"/>
                </w:tblCellMar>
              </w:tblPrEx>
              <w:trPr>
                <w:trHeight w:val="473"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3839255">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DEEFF6E">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BAF445">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7E4A3F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3E8B9B8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535D868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开户银行：宁波银行股份有限公司鄞州中心区支行</w:t>
            </w:r>
          </w:p>
          <w:p w14:paraId="475DF41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号：30010122001229488</w:t>
            </w:r>
          </w:p>
          <w:p w14:paraId="634D4A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rPr>
              <w:t>户    名：</w:t>
            </w:r>
            <w:r>
              <w:rPr>
                <w:rFonts w:hint="eastAsia" w:cs="Arial" w:asciiTheme="minorEastAsia" w:hAnsiTheme="minorEastAsia" w:eastAsiaTheme="minorEastAsia"/>
                <w:color w:val="auto"/>
                <w:kern w:val="0"/>
                <w:sz w:val="24"/>
                <w:highlight w:val="none"/>
                <w:lang w:eastAsia="zh-CN"/>
              </w:rPr>
              <w:t>浙江中基正采管理咨询有限公司</w:t>
            </w:r>
          </w:p>
          <w:p w14:paraId="2A07979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注：中标人</w:t>
            </w:r>
            <w:r>
              <w:rPr>
                <w:rFonts w:hint="eastAsia" w:cs="Arial" w:asciiTheme="minorEastAsia" w:hAnsiTheme="minorEastAsia" w:eastAsiaTheme="minorEastAsia"/>
                <w:color w:val="auto"/>
                <w:kern w:val="0"/>
                <w:sz w:val="24"/>
                <w:highlight w:val="none"/>
              </w:rPr>
              <w:t>接到本公司通知后5个工作日内向本采购代理机构领取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通知书（根据</w:t>
            </w:r>
            <w:r>
              <w:rPr>
                <w:rFonts w:hint="eastAsia" w:cs="Arial" w:asciiTheme="minorEastAsia" w:hAnsiTheme="minorEastAsia" w:eastAsiaTheme="minorEastAsia"/>
                <w:color w:val="auto"/>
                <w:kern w:val="0"/>
                <w:sz w:val="24"/>
                <w:highlight w:val="none"/>
                <w:lang w:val="en-US" w:eastAsia="zh-CN"/>
              </w:rPr>
              <w:t>中标人</w:t>
            </w:r>
            <w:r>
              <w:rPr>
                <w:rFonts w:hint="eastAsia" w:cs="Arial" w:asciiTheme="minorEastAsia" w:hAnsiTheme="minorEastAsia" w:eastAsiaTheme="minorEastAsia"/>
                <w:color w:val="auto"/>
                <w:kern w:val="0"/>
                <w:sz w:val="24"/>
                <w:highlight w:val="none"/>
              </w:rPr>
              <w:t>需求可采用邮寄或到采购代理机构现场领取）。</w:t>
            </w:r>
          </w:p>
        </w:tc>
      </w:tr>
      <w:bookmarkEnd w:id="9"/>
    </w:tbl>
    <w:p w14:paraId="16659D29">
      <w:pPr>
        <w:kinsoku/>
        <w:wordWrap/>
        <w:overflowPunct/>
        <w:topLinePunct w:val="0"/>
        <w:bidi w:val="0"/>
        <w:outlineLvl w:val="9"/>
        <w:rPr>
          <w:rFonts w:hint="eastAsia"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14:paraId="5F4F8C2A">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5BC44DB">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02855851">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1183B4C">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1DD90B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1DE9E4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637030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0A41926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73E50D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22F2B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B931D8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B95CFE9">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BDED2B5">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F03E0E8">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3662B51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p>
    <w:p w14:paraId="1262B26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0B72A0B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6A6B87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2754ECC7">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26A5E24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486BF8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78AE819">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0A79B4B5">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3B9F87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2F23CF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67E410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91234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6F3B955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2F48500">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775C06D">
      <w:pPr>
        <w:keepNext w:val="0"/>
        <w:keepLines w:val="0"/>
        <w:pageBreakBefore w:val="0"/>
        <w:kinsoku/>
        <w:wordWrap/>
        <w:overflowPunct/>
        <w:topLinePunct w:val="0"/>
        <w:bidi w:val="0"/>
        <w:spacing w:line="34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z w:val="24"/>
          <w:highlight w:val="none"/>
          <w:lang w:val="en-US" w:eastAsia="zh-CN"/>
        </w:rPr>
        <w:t>对省级以上主管部门认定的首台套产品，自纳入《省推广应用指导目录》起三年内参加政府采购活动，视同已具备相应销售业绩，业绩分为满分。</w:t>
      </w:r>
    </w:p>
    <w:p w14:paraId="1287E24D">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911882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7D17CAA5">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5AD93B15">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E0EFD2">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C179340">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49DF60">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FA34614">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43BE822">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376F1EF">
      <w:pPr>
        <w:pStyle w:val="5"/>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88A2F0D">
      <w:pPr>
        <w:pStyle w:val="32"/>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4A8DE6C">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B545A08">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CB9693A">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CAFEC44">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43AD978">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61D9359">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8BE80CD">
      <w:pPr>
        <w:pStyle w:val="32"/>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FDD6E12">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84B0002">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7D756947">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397DA22B">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9FBDDCB">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85D38EA">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596262CF">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CCFD378">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A096E6B">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13BED40A">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71D3A8DE">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69B8B138">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投诉书范本及制作说明详见附件3。</w:t>
      </w:r>
    </w:p>
    <w:p w14:paraId="1347A08C">
      <w:pPr>
        <w:pageBreakBefore w:val="0"/>
        <w:shd w:val="clear"/>
        <w:kinsoku/>
        <w:wordWrap/>
        <w:overflowPunct/>
        <w:topLinePunct w:val="0"/>
        <w:bidi w:val="0"/>
        <w:adjustRightInd/>
        <w:spacing w:beforeAutospacing="0" w:line="348" w:lineRule="auto"/>
        <w:jc w:val="center"/>
        <w:textAlignment w:val="auto"/>
        <w:outlineLvl w:val="9"/>
        <w:rPr>
          <w:rFonts w:hint="eastAsia" w:ascii="宋体" w:hAnsi="宋体" w:cs="宋体"/>
          <w:b/>
          <w:color w:val="auto"/>
          <w:sz w:val="32"/>
          <w:szCs w:val="20"/>
          <w:highlight w:val="none"/>
        </w:rPr>
      </w:pPr>
    </w:p>
    <w:p w14:paraId="3508FAED">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8E0BB74">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6742FC7C">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F4944BD">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053A21B8">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14:paraId="411ECF69">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27A22AE4">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150EFB6D">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4B8B68FF">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ED9752A">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0945E8">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0FCD3970">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2278B48">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27227CAE">
      <w:pPr>
        <w:pageBreakBefore w:val="0"/>
        <w:shd w:val="clear"/>
        <w:kinsoku/>
        <w:wordWrap/>
        <w:overflowPunct/>
        <w:topLinePunct w:val="0"/>
        <w:bidi w:val="0"/>
        <w:adjustRightInd/>
        <w:spacing w:beforeAutospacing="0" w:line="348" w:lineRule="auto"/>
        <w:jc w:val="center"/>
        <w:textAlignment w:val="auto"/>
        <w:outlineLvl w:val="9"/>
        <w:rPr>
          <w:rFonts w:hint="eastAsia" w:ascii="宋体" w:hAnsi="宋体" w:cs="宋体"/>
          <w:b/>
          <w:color w:val="auto"/>
          <w:sz w:val="30"/>
          <w:szCs w:val="20"/>
          <w:highlight w:val="none"/>
        </w:rPr>
      </w:pPr>
    </w:p>
    <w:p w14:paraId="0BE16A7C">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37636BF">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2B2E9AA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6697BD6">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33BAF7D">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07C73420">
      <w:pPr>
        <w:pStyle w:val="32"/>
        <w:pageBreakBefore w:val="0"/>
        <w:shd w:val="clear"/>
        <w:kinsoku/>
        <w:wordWrap/>
        <w:overflowPunct/>
        <w:topLinePunct w:val="0"/>
        <w:bidi w:val="0"/>
        <w:spacing w:beforeAutospacing="0" w:line="348" w:lineRule="auto"/>
        <w:textAlignment w:val="auto"/>
        <w:outlineLvl w:val="9"/>
        <w:rPr>
          <w:rFonts w:hint="eastAsia" w:hAnsi="宋体" w:cs="宋体"/>
          <w:b/>
          <w:color w:val="auto"/>
          <w:kern w:val="28"/>
          <w:sz w:val="24"/>
          <w:szCs w:val="24"/>
          <w:highlight w:val="none"/>
        </w:rPr>
      </w:pPr>
    </w:p>
    <w:p w14:paraId="1C9A353F">
      <w:pPr>
        <w:pStyle w:val="32"/>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4EE0A734">
      <w:pPr>
        <w:pStyle w:val="5"/>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10BBC563">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4DDA647B">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245F8003">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21916ECE">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1CBAE7C1">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05FD27B">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5F1DE5D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7E83C6A">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rPr>
        <w:t>1.1.4本项目的特定资格要求（如果有)</w:t>
      </w:r>
      <w:r>
        <w:rPr>
          <w:rFonts w:hint="eastAsia" w:ascii="宋体" w:hAnsi="宋体" w:eastAsia="宋体" w:cs="宋体"/>
          <w:color w:val="auto"/>
          <w:sz w:val="24"/>
          <w:highlight w:val="none"/>
          <w:lang w:eastAsia="zh-CN"/>
        </w:rPr>
        <w:t>；</w:t>
      </w:r>
    </w:p>
    <w:p w14:paraId="2AFC55B8">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中小企业声明函；</w:t>
      </w:r>
    </w:p>
    <w:p w14:paraId="2DE4AEB0">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11.1.6 残疾人福利性单位声明函（如果有）。</w:t>
      </w:r>
    </w:p>
    <w:p w14:paraId="7D5F27F0">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75B15D2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p>
    <w:p w14:paraId="75AE3ED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9E8844F">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AED19A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6E31A5E">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148E3E2">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13ACF8E7">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3B5C6F0F">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389595B7">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11.3.1开标一览表（报价表）</w:t>
      </w:r>
      <w:r>
        <w:rPr>
          <w:rFonts w:hint="eastAsia" w:ascii="宋体" w:hAnsi="宋体" w:eastAsia="宋体" w:cs="宋体"/>
          <w:color w:val="auto"/>
          <w:sz w:val="24"/>
          <w:highlight w:val="none"/>
          <w:lang w:eastAsia="zh-CN"/>
        </w:rPr>
        <w:t>。</w:t>
      </w:r>
    </w:p>
    <w:p w14:paraId="3ACF3372">
      <w:pPr>
        <w:pageBreakBefore w:val="0"/>
        <w:shd w:val="clear"/>
        <w:kinsoku/>
        <w:wordWrap/>
        <w:overflowPunct/>
        <w:topLinePunct w:val="0"/>
        <w:bidi w:val="0"/>
        <w:snapToGrid w:val="0"/>
        <w:spacing w:beforeAutospacing="0" w:line="348" w:lineRule="auto"/>
        <w:ind w:firstLine="960" w:firstLineChars="4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11.3.2</w:t>
      </w:r>
      <w:r>
        <w:rPr>
          <w:rFonts w:hint="eastAsia" w:ascii="宋体" w:hAnsi="宋体" w:eastAsia="宋体" w:cs="宋体"/>
          <w:color w:val="auto"/>
          <w:sz w:val="24"/>
          <w:highlight w:val="none"/>
          <w:lang w:eastAsia="zh-CN"/>
        </w:rPr>
        <w:t>分项报价表</w:t>
      </w:r>
      <w:r>
        <w:rPr>
          <w:rFonts w:hint="eastAsia" w:ascii="宋体" w:hAnsi="宋体" w:eastAsia="宋体" w:cs="宋体"/>
          <w:color w:val="auto"/>
          <w:sz w:val="24"/>
          <w:highlight w:val="none"/>
          <w:lang w:val="en-US" w:eastAsia="zh-CN"/>
        </w:rPr>
        <w:t>。</w:t>
      </w:r>
    </w:p>
    <w:p w14:paraId="1EE6A9E3">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lang w:eastAsia="zh-CN"/>
        </w:rPr>
        <w:t>综合单价分析表。</w:t>
      </w:r>
    </w:p>
    <w:p w14:paraId="58E7C170">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报价情况说明(如供应商报价低于项目预算 50%的，应当提交本文档，详细阐述不影响产品质量或者诚信履约的具体原因）。</w:t>
      </w:r>
    </w:p>
    <w:p w14:paraId="18B91198">
      <w:pPr>
        <w:pageBreakBefore w:val="0"/>
        <w:shd w:val="clear"/>
        <w:kinsoku/>
        <w:wordWrap/>
        <w:overflowPunct/>
        <w:topLinePunct w:val="0"/>
        <w:bidi w:val="0"/>
        <w:spacing w:beforeAutospacing="0" w:line="348" w:lineRule="auto"/>
        <w:ind w:firstLine="723" w:firstLineChars="300"/>
        <w:textAlignment w:val="auto"/>
        <w:outlineLvl w:val="9"/>
        <w:rPr>
          <w:rFonts w:hint="eastAsia" w:ascii="宋体" w:hAnsi="宋体" w:cs="宋体"/>
          <w:b/>
          <w:color w:val="auto"/>
          <w:sz w:val="24"/>
          <w:highlight w:val="none"/>
          <w:lang w:val="en-US"/>
        </w:rPr>
      </w:pPr>
      <w:r>
        <w:rPr>
          <w:rFonts w:hint="eastAsia" w:ascii="宋体" w:hAnsi="宋体" w:cs="宋体"/>
          <w:b/>
          <w:color w:val="auto"/>
          <w:sz w:val="24"/>
          <w:highlight w:val="none"/>
          <w:lang w:val="en-US" w:eastAsia="zh-CN"/>
        </w:rPr>
        <w:t>注：供应商可事先在公开官网查询、核对相关证书和报告内容，确保投标（响应）文件资料准确无误。供应商应对投标文件中材料的真实性、合法性负责。</w:t>
      </w:r>
    </w:p>
    <w:p w14:paraId="0D698F0A">
      <w:pPr>
        <w:pStyle w:val="136"/>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89667FA">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0129BCEA">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7E62546D">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7363DED">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CFB3DAD">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698289ED">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425296FF">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141357F">
      <w:pPr>
        <w:pStyle w:val="136"/>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CCFE5E3">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62B4F3">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5AC1A15">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46754184">
      <w:pPr>
        <w:pStyle w:val="32"/>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792ED48F">
      <w:pPr>
        <w:pStyle w:val="32"/>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0628B4AB">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803B9E1">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A80C4CF">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5C7CE7E7">
      <w:pPr>
        <w:pStyle w:val="32"/>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13955689">
      <w:pPr>
        <w:pStyle w:val="32"/>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★15.6参与同一个标项的供应商存在下列情形之一且无法合理解释的，其投标（响应）文件无效：</w:t>
      </w:r>
    </w:p>
    <w:p w14:paraId="1F6FAACF">
      <w:pPr>
        <w:pStyle w:val="32"/>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15.6.1.不同供应商的电子投标文件上传计算机的网卡MAC地址或硬盘序列号等硬件信息相同的；</w:t>
      </w:r>
    </w:p>
    <w:p w14:paraId="31223791">
      <w:pPr>
        <w:pStyle w:val="32"/>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15.6.2.上传的电子投标文件若出现使用本项目其他投标（响应）供应商的数字证书加密的，或者加盖本项目其他投标供应商的电子印章的；</w:t>
      </w:r>
    </w:p>
    <w:p w14:paraId="6B1A8D73">
      <w:pPr>
        <w:pStyle w:val="32"/>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15.6.3.不同供应商的投标文件的内容存在3处（含）以上错误一致的；</w:t>
      </w:r>
    </w:p>
    <w:p w14:paraId="5141D52B">
      <w:pPr>
        <w:pStyle w:val="32"/>
        <w:pageBreakBefore w:val="0"/>
        <w:shd w:val="clear"/>
        <w:kinsoku/>
        <w:wordWrap/>
        <w:overflowPunct/>
        <w:topLinePunct w:val="0"/>
        <w:bidi w:val="0"/>
        <w:spacing w:beforeAutospacing="0" w:line="348" w:lineRule="auto"/>
        <w:ind w:firstLine="479" w:firstLineChars="199"/>
        <w:textAlignment w:val="auto"/>
        <w:outlineLvl w:val="9"/>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15.6.4.不同供应商联系人为同一人或不同联系人的联系电话一致的。</w:t>
      </w:r>
    </w:p>
    <w:p w14:paraId="5F22D13A">
      <w:pPr>
        <w:pStyle w:val="136"/>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FA0CC2A">
      <w:pPr>
        <w:pStyle w:val="24"/>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D74B939">
      <w:pPr>
        <w:pStyle w:val="136"/>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52FBD19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0629D853">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DF103B7">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6CF6025A">
      <w:pPr>
        <w:pStyle w:val="136"/>
        <w:pageBreakBefore w:val="0"/>
        <w:shd w:val="clear"/>
        <w:kinsoku/>
        <w:wordWrap/>
        <w:overflowPunct/>
        <w:topLinePunct w:val="0"/>
        <w:bidi w:val="0"/>
        <w:spacing w:before="0" w:beforeAutospacing="0" w:line="348" w:lineRule="auto"/>
        <w:ind w:firstLine="1928" w:firstLineChars="600"/>
        <w:textAlignment w:val="auto"/>
        <w:outlineLvl w:val="9"/>
        <w:rPr>
          <w:rFonts w:hint="eastAsia" w:ascii="宋体" w:hAnsi="宋体" w:cs="宋体"/>
          <w:b/>
          <w:color w:val="auto"/>
          <w:sz w:val="32"/>
          <w:highlight w:val="none"/>
        </w:rPr>
      </w:pPr>
    </w:p>
    <w:p w14:paraId="0EF782DB">
      <w:pPr>
        <w:pStyle w:val="136"/>
        <w:pageBreakBefore w:val="0"/>
        <w:shd w:val="clear"/>
        <w:kinsoku/>
        <w:wordWrap/>
        <w:overflowPunct/>
        <w:topLinePunct w:val="0"/>
        <w:bidi w:val="0"/>
        <w:spacing w:before="0" w:beforeAutospacing="0" w:line="348" w:lineRule="auto"/>
        <w:ind w:firstLine="1928" w:firstLineChars="600"/>
        <w:textAlignment w:val="auto"/>
        <w:outlineLvl w:val="9"/>
        <w:rPr>
          <w:rFonts w:hint="eastAsia" w:ascii="宋体" w:hAnsi="宋体" w:cs="宋体"/>
          <w:b/>
          <w:color w:val="auto"/>
          <w:sz w:val="32"/>
          <w:highlight w:val="none"/>
        </w:rPr>
      </w:pPr>
    </w:p>
    <w:p w14:paraId="77441AE4">
      <w:pPr>
        <w:pStyle w:val="136"/>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E05903F">
      <w:pPr>
        <w:pStyle w:val="557"/>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FD86ECB">
      <w:pPr>
        <w:pStyle w:val="557"/>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4D15ECE5">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4532BD92">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18.2.1具体开标程序：</w:t>
      </w:r>
    </w:p>
    <w:p w14:paraId="1D00A179">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第一阶段：</w:t>
      </w:r>
    </w:p>
    <w:p w14:paraId="5E6EF8AA">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14:paraId="6F293C14">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（2）在政府采购云平台开启已解密供应商的“资格文件、商务技术文件”，并做开标记录；</w:t>
      </w:r>
    </w:p>
    <w:p w14:paraId="5741E29E">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第二阶段：</w:t>
      </w:r>
    </w:p>
    <w:p w14:paraId="762E3790">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（1）在政府采购云平台宣告第一阶段评审无效供应商名单及理由；</w:t>
      </w:r>
    </w:p>
    <w:p w14:paraId="5B24715C">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（2）公布经第一阶段评审符合招标文件要求的供应商的商务技术得分情况；</w:t>
      </w:r>
    </w:p>
    <w:p w14:paraId="2CD426DD">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（3）在政府采购云平台开启除第一阶段无效标外的供应商的“报价文件”，并做开标记录；</w:t>
      </w:r>
    </w:p>
    <w:p w14:paraId="24E90903">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（4）在政府采购云平台公布评审结果。</w:t>
      </w:r>
    </w:p>
    <w:p w14:paraId="51080E45">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（5）开标会议结束。</w:t>
      </w:r>
      <w:r>
        <w:rPr>
          <w:rFonts w:hint="eastAsia" w:ascii="宋体" w:hAnsi="宋体" w:cs="宋体"/>
          <w:color w:val="auto"/>
          <w:sz w:val="24"/>
          <w:highlight w:val="none"/>
        </w:rPr>
        <w:t>　</w:t>
      </w:r>
    </w:p>
    <w:p w14:paraId="31F05B86">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77BFF3F9">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5A0A0DD">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25C7C51F">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1A7909DA">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DCAE1F2">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4DD38910">
      <w:pPr>
        <w:pStyle w:val="136"/>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4258A30F">
      <w:pPr>
        <w:pStyle w:val="136"/>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2E5FC831">
      <w:pPr>
        <w:pStyle w:val="136"/>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3DD34A0E">
      <w:pPr>
        <w:pStyle w:val="136"/>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4C0C3326">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A0DAEBB">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2DE1109C">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2026B8B">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7FBDBF5C">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102AFF21">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2CD8399">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3ECB293F">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D56FC10">
      <w:pPr>
        <w:pStyle w:val="136"/>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F616AE2">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61BF267">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F13B77A">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498DE2C">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hint="eastAsia" w:ascii="宋体" w:hAnsi="宋体" w:cs="宋体"/>
          <w:b/>
          <w:color w:val="auto"/>
          <w:sz w:val="32"/>
          <w:highlight w:val="none"/>
        </w:rPr>
      </w:pPr>
    </w:p>
    <w:p w14:paraId="4E1B323B">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3BB40FD3">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E038BE4">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13A1B8A9">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6DEBFC0E">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2546732">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8B7DFCD">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E22CCEE">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1BC14BE">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1F227757">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A3C8C73">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4F892C">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0E44D33E">
      <w:pPr>
        <w:keepNext w:val="0"/>
        <w:keepLines w:val="0"/>
        <w:pageBreakBefore w:val="0"/>
        <w:widowControl w:val="0"/>
        <w:shd w:val="clear"/>
        <w:kinsoku/>
        <w:wordWrap/>
        <w:overflowPunct/>
        <w:topLinePunct w:val="0"/>
        <w:autoSpaceDE/>
        <w:autoSpaceDN/>
        <w:bidi w:val="0"/>
        <w:adjustRightInd/>
        <w:spacing w:beforeAutospacing="0" w:line="336"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79D171E4">
      <w:pPr>
        <w:keepNext w:val="0"/>
        <w:keepLines w:val="0"/>
        <w:pageBreakBefore w:val="0"/>
        <w:widowControl w:val="0"/>
        <w:shd w:val="clear"/>
        <w:kinsoku/>
        <w:wordWrap/>
        <w:overflowPunct/>
        <w:topLinePunct w:val="0"/>
        <w:autoSpaceDE/>
        <w:autoSpaceDN/>
        <w:bidi w:val="0"/>
        <w:snapToGrid w:val="0"/>
        <w:spacing w:beforeAutospacing="0" w:line="336" w:lineRule="auto"/>
        <w:ind w:firstLine="3357" w:firstLineChars="1045"/>
        <w:textAlignment w:val="auto"/>
        <w:outlineLvl w:val="9"/>
        <w:rPr>
          <w:rFonts w:hint="eastAsia" w:ascii="宋体" w:hAnsi="宋体" w:cs="宋体"/>
          <w:b/>
          <w:color w:val="auto"/>
          <w:sz w:val="32"/>
          <w:highlight w:val="none"/>
        </w:rPr>
      </w:pPr>
    </w:p>
    <w:p w14:paraId="26CBC4CD">
      <w:pPr>
        <w:keepNext w:val="0"/>
        <w:keepLines w:val="0"/>
        <w:pageBreakBefore w:val="0"/>
        <w:widowControl w:val="0"/>
        <w:shd w:val="clear"/>
        <w:kinsoku/>
        <w:wordWrap/>
        <w:overflowPunct/>
        <w:topLinePunct w:val="0"/>
        <w:autoSpaceDE/>
        <w:autoSpaceDN/>
        <w:bidi w:val="0"/>
        <w:snapToGrid w:val="0"/>
        <w:spacing w:beforeAutospacing="0" w:line="336"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5E81B79">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15DEB21">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038DE14">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6E469C0">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027970E">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273510">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95A3DA7">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3B5FC5FE">
      <w:pPr>
        <w:keepNext w:val="0"/>
        <w:keepLines w:val="0"/>
        <w:pageBreakBefore w:val="0"/>
        <w:widowControl w:val="0"/>
        <w:shd w:val="clear"/>
        <w:kinsoku/>
        <w:wordWrap/>
        <w:overflowPunct/>
        <w:topLinePunct w:val="0"/>
        <w:autoSpaceDE/>
        <w:autoSpaceDN/>
        <w:bidi w:val="0"/>
        <w:adjustRightInd w:val="0"/>
        <w:snapToGrid w:val="0"/>
        <w:spacing w:beforeAutospacing="0" w:line="336" w:lineRule="auto"/>
        <w:ind w:left="120" w:leftChars="57" w:firstLine="0" w:firstLineChars="0"/>
        <w:jc w:val="center"/>
        <w:textAlignment w:val="auto"/>
        <w:outlineLvl w:val="9"/>
        <w:rPr>
          <w:rFonts w:hint="eastAsia" w:ascii="宋体" w:hAnsi="宋体" w:cs="宋体"/>
          <w:b/>
          <w:color w:val="auto"/>
          <w:sz w:val="32"/>
          <w:highlight w:val="none"/>
        </w:rPr>
      </w:pPr>
    </w:p>
    <w:p w14:paraId="45A99876">
      <w:pPr>
        <w:keepNext w:val="0"/>
        <w:keepLines w:val="0"/>
        <w:pageBreakBefore w:val="0"/>
        <w:widowControl w:val="0"/>
        <w:shd w:val="clear"/>
        <w:kinsoku/>
        <w:wordWrap/>
        <w:overflowPunct/>
        <w:topLinePunct w:val="0"/>
        <w:autoSpaceDE/>
        <w:autoSpaceDN/>
        <w:bidi w:val="0"/>
        <w:adjustRightInd w:val="0"/>
        <w:snapToGrid w:val="0"/>
        <w:spacing w:beforeAutospacing="0" w:line="336" w:lineRule="auto"/>
        <w:ind w:left="120" w:leftChars="57" w:firstLine="0" w:firstLineChars="0"/>
        <w:jc w:val="center"/>
        <w:textAlignment w:val="auto"/>
        <w:outlineLvl w:val="9"/>
        <w:rPr>
          <w:rFonts w:hint="eastAsia" w:ascii="宋体" w:hAnsi="宋体" w:cs="宋体"/>
          <w:b/>
          <w:color w:val="auto"/>
          <w:sz w:val="32"/>
          <w:highlight w:val="none"/>
        </w:rPr>
      </w:pPr>
    </w:p>
    <w:p w14:paraId="7D7E0313">
      <w:pPr>
        <w:keepNext w:val="0"/>
        <w:keepLines w:val="0"/>
        <w:pageBreakBefore w:val="0"/>
        <w:widowControl w:val="0"/>
        <w:shd w:val="clear"/>
        <w:kinsoku/>
        <w:wordWrap/>
        <w:overflowPunct/>
        <w:topLinePunct w:val="0"/>
        <w:autoSpaceDE/>
        <w:autoSpaceDN/>
        <w:bidi w:val="0"/>
        <w:adjustRightInd w:val="0"/>
        <w:snapToGrid w:val="0"/>
        <w:spacing w:beforeAutospacing="0" w:line="336" w:lineRule="auto"/>
        <w:ind w:left="120" w:leftChars="57" w:firstLine="0" w:firstLineChars="0"/>
        <w:jc w:val="center"/>
        <w:textAlignment w:val="auto"/>
        <w:outlineLvl w:val="9"/>
        <w:rPr>
          <w:rFonts w:hint="eastAsia" w:ascii="宋体" w:hAnsi="宋体" w:cs="宋体"/>
          <w:b/>
          <w:color w:val="auto"/>
          <w:sz w:val="32"/>
          <w:highlight w:val="none"/>
        </w:rPr>
      </w:pPr>
    </w:p>
    <w:p w14:paraId="370D5588">
      <w:pPr>
        <w:keepNext w:val="0"/>
        <w:keepLines w:val="0"/>
        <w:pageBreakBefore w:val="0"/>
        <w:widowControl w:val="0"/>
        <w:shd w:val="clear"/>
        <w:kinsoku/>
        <w:wordWrap/>
        <w:overflowPunct/>
        <w:topLinePunct w:val="0"/>
        <w:autoSpaceDE/>
        <w:autoSpaceDN/>
        <w:bidi w:val="0"/>
        <w:adjustRightInd w:val="0"/>
        <w:snapToGrid w:val="0"/>
        <w:spacing w:beforeAutospacing="0" w:line="336"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2C1BDFA8">
      <w:pPr>
        <w:pStyle w:val="24"/>
        <w:keepNext w:val="0"/>
        <w:keepLines w:val="0"/>
        <w:pageBreakBefore w:val="0"/>
        <w:widowControl w:val="0"/>
        <w:shd w:val="clear"/>
        <w:kinsoku/>
        <w:wordWrap/>
        <w:overflowPunct/>
        <w:topLinePunct w:val="0"/>
        <w:autoSpaceDE/>
        <w:autoSpaceDN/>
        <w:bidi w:val="0"/>
        <w:spacing w:beforeAutospacing="0" w:line="336" w:lineRule="auto"/>
        <w:ind w:firstLine="0" w:firstLineChars="0"/>
        <w:textAlignment w:val="auto"/>
        <w:outlineLvl w:val="9"/>
        <w:rPr>
          <w:rFonts w:cs="宋体"/>
          <w:b/>
          <w:color w:val="auto"/>
          <w:highlight w:val="none"/>
        </w:rPr>
      </w:pPr>
      <w:r>
        <w:rPr>
          <w:rFonts w:hint="eastAsia" w:cs="宋体"/>
          <w:b/>
          <w:color w:val="auto"/>
          <w:highlight w:val="none"/>
        </w:rPr>
        <w:t>30.验收</w:t>
      </w:r>
    </w:p>
    <w:p w14:paraId="29328C07">
      <w:pPr>
        <w:keepNext w:val="0"/>
        <w:keepLines w:val="0"/>
        <w:pageBreakBefore w:val="0"/>
        <w:widowControl w:val="0"/>
        <w:shd w:val="clear"/>
        <w:tabs>
          <w:tab w:val="left" w:pos="0"/>
        </w:tabs>
        <w:kinsoku/>
        <w:wordWrap/>
        <w:overflowPunct/>
        <w:topLinePunct w:val="0"/>
        <w:autoSpaceDE/>
        <w:autoSpaceDN/>
        <w:bidi w:val="0"/>
        <w:spacing w:beforeAutospacing="0" w:line="336"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B17028">
      <w:pPr>
        <w:keepNext w:val="0"/>
        <w:keepLines w:val="0"/>
        <w:pageBreakBefore w:val="0"/>
        <w:widowControl w:val="0"/>
        <w:shd w:val="clear"/>
        <w:tabs>
          <w:tab w:val="left" w:pos="0"/>
        </w:tabs>
        <w:kinsoku/>
        <w:wordWrap/>
        <w:overflowPunct/>
        <w:topLinePunct w:val="0"/>
        <w:autoSpaceDE/>
        <w:autoSpaceDN/>
        <w:bidi w:val="0"/>
        <w:spacing w:beforeAutospacing="0" w:line="336"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173FA1E3">
      <w:pPr>
        <w:keepNext w:val="0"/>
        <w:keepLines w:val="0"/>
        <w:pageBreakBefore w:val="0"/>
        <w:widowControl w:val="0"/>
        <w:shd w:val="clear"/>
        <w:tabs>
          <w:tab w:val="left" w:pos="0"/>
        </w:tabs>
        <w:kinsoku/>
        <w:wordWrap/>
        <w:overflowPunct/>
        <w:topLinePunct w:val="0"/>
        <w:autoSpaceDE/>
        <w:autoSpaceDN/>
        <w:bidi w:val="0"/>
        <w:spacing w:beforeAutospacing="0" w:line="336"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7CC072">
      <w:pPr>
        <w:keepNext w:val="0"/>
        <w:keepLines w:val="0"/>
        <w:pageBreakBefore w:val="0"/>
        <w:widowControl w:val="0"/>
        <w:shd w:val="clear"/>
        <w:tabs>
          <w:tab w:val="left" w:pos="0"/>
        </w:tabs>
        <w:kinsoku/>
        <w:wordWrap/>
        <w:overflowPunct/>
        <w:topLinePunct w:val="0"/>
        <w:autoSpaceDE/>
        <w:autoSpaceDN/>
        <w:bidi w:val="0"/>
        <w:spacing w:beforeAutospacing="0" w:line="336"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75236290"/>
      <w:bookmarkEnd w:id="20"/>
      <w:bookmarkStart w:id="21" w:name="_Hlt68072990"/>
      <w:bookmarkEnd w:id="21"/>
      <w:bookmarkStart w:id="22" w:name="_Hlt74707468"/>
      <w:bookmarkEnd w:id="22"/>
      <w:bookmarkStart w:id="23" w:name="_Hlt74714665"/>
      <w:bookmarkEnd w:id="23"/>
      <w:bookmarkStart w:id="24" w:name="_Hlt75236011"/>
      <w:bookmarkEnd w:id="24"/>
      <w:bookmarkStart w:id="25" w:name="_Hlt74729768"/>
      <w:bookmarkEnd w:id="25"/>
      <w:bookmarkStart w:id="26" w:name="_Hlt75236101"/>
      <w:bookmarkEnd w:id="26"/>
      <w:bookmarkStart w:id="27" w:name="_Hlt68057669"/>
      <w:bookmarkEnd w:id="27"/>
      <w:bookmarkStart w:id="28" w:name="_Hlt74730295"/>
      <w:bookmarkEnd w:id="28"/>
      <w:bookmarkStart w:id="29" w:name="_Hlt68072998"/>
      <w:bookmarkEnd w:id="29"/>
      <w:bookmarkStart w:id="30" w:name="_Hlt68403820"/>
      <w:bookmarkEnd w:id="30"/>
      <w:bookmarkStart w:id="31" w:name="_Hlt68073093"/>
      <w:bookmarkEnd w:id="31"/>
    </w:p>
    <w:p w14:paraId="145B21CE">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14:paraId="5A67F3A2">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06832665">
      <w:pPr>
        <w:widowControl/>
        <w:kinsoku/>
        <w:wordWrap/>
        <w:overflowPunct/>
        <w:topLinePunct w:val="0"/>
        <w:bidi w:val="0"/>
        <w:adjustRightInd/>
        <w:spacing w:line="320" w:lineRule="exact"/>
        <w:jc w:val="center"/>
        <w:outlineLvl w:val="9"/>
        <w:rPr>
          <w:rFonts w:hint="eastAsia" w:ascii="宋体" w:hAnsi="宋体" w:eastAsia="宋体" w:cs="宋体"/>
          <w:b/>
          <w:bCs/>
          <w:color w:val="auto"/>
          <w:kern w:val="0"/>
          <w:sz w:val="24"/>
          <w:szCs w:val="24"/>
          <w:highlight w:val="none"/>
        </w:rPr>
      </w:pPr>
      <w:bookmarkStart w:id="34" w:name="_Toc24013"/>
      <w:r>
        <w:rPr>
          <w:rFonts w:hint="eastAsia" w:ascii="宋体" w:hAnsi="宋体" w:eastAsia="宋体" w:cs="宋体"/>
          <w:b/>
          <w:bCs/>
          <w:color w:val="auto"/>
          <w:kern w:val="0"/>
          <w:sz w:val="24"/>
          <w:szCs w:val="24"/>
          <w:highlight w:val="none"/>
        </w:rPr>
        <w:t>前附表</w:t>
      </w:r>
      <w:bookmarkEnd w:id="34"/>
    </w:p>
    <w:tbl>
      <w:tblPr>
        <w:tblStyle w:val="62"/>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14:paraId="1927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14:paraId="1A111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bookmarkStart w:id="35" w:name="_Toc317685548"/>
            <w:bookmarkStart w:id="36" w:name="_Toc329697494"/>
            <w:r>
              <w:rPr>
                <w:rFonts w:hint="eastAsia" w:ascii="宋体" w:hAnsi="宋体" w:eastAsia="宋体" w:cs="宋体"/>
                <w:b/>
                <w:color w:val="auto"/>
                <w:kern w:val="0"/>
                <w:sz w:val="24"/>
                <w:szCs w:val="24"/>
                <w:highlight w:val="none"/>
              </w:rPr>
              <w:t>序号</w:t>
            </w:r>
          </w:p>
        </w:tc>
        <w:tc>
          <w:tcPr>
            <w:tcW w:w="2810" w:type="dxa"/>
            <w:noWrap w:val="0"/>
            <w:vAlign w:val="center"/>
          </w:tcPr>
          <w:p w14:paraId="3B31F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787" w:type="dxa"/>
            <w:noWrap w:val="0"/>
            <w:vAlign w:val="center"/>
          </w:tcPr>
          <w:p w14:paraId="2996B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采购需求内容</w:t>
            </w:r>
          </w:p>
        </w:tc>
      </w:tr>
      <w:tr w14:paraId="5DDE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A618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810" w:type="dxa"/>
            <w:noWrap w:val="0"/>
            <w:vAlign w:val="center"/>
          </w:tcPr>
          <w:p w14:paraId="159CC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4787" w:type="dxa"/>
            <w:noWrap w:val="0"/>
            <w:vAlign w:val="center"/>
          </w:tcPr>
          <w:p w14:paraId="34E17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本部分内容</w:t>
            </w:r>
          </w:p>
        </w:tc>
      </w:tr>
      <w:tr w14:paraId="4C09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A887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810" w:type="dxa"/>
            <w:noWrap w:val="0"/>
            <w:vAlign w:val="center"/>
          </w:tcPr>
          <w:p w14:paraId="64151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单位及数量</w:t>
            </w:r>
          </w:p>
        </w:tc>
        <w:tc>
          <w:tcPr>
            <w:tcW w:w="4787" w:type="dxa"/>
            <w:noWrap w:val="0"/>
            <w:vAlign w:val="center"/>
          </w:tcPr>
          <w:p w14:paraId="3D47B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详见第一部分 招标公告</w:t>
            </w:r>
          </w:p>
        </w:tc>
      </w:tr>
      <w:tr w14:paraId="3F6A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B330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810" w:type="dxa"/>
            <w:noWrap w:val="0"/>
            <w:vAlign w:val="center"/>
          </w:tcPr>
          <w:p w14:paraId="1382E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交付或者实施的时间和地点</w:t>
            </w:r>
          </w:p>
        </w:tc>
        <w:tc>
          <w:tcPr>
            <w:tcW w:w="4787" w:type="dxa"/>
            <w:noWrap w:val="0"/>
            <w:vAlign w:val="center"/>
          </w:tcPr>
          <w:p w14:paraId="57156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合同履约期限</w:t>
            </w:r>
            <w:r>
              <w:rPr>
                <w:rFonts w:hint="eastAsia" w:ascii="宋体" w:hAnsi="宋体" w:eastAsia="宋体" w:cs="宋体"/>
                <w:color w:val="auto"/>
                <w:kern w:val="0"/>
                <w:sz w:val="24"/>
                <w:szCs w:val="24"/>
                <w:highlight w:val="none"/>
              </w:rPr>
              <w:t>：详见第一部分 招标公告</w:t>
            </w:r>
          </w:p>
          <w:p w14:paraId="3E2E7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实施地点：详见</w:t>
            </w:r>
            <w:r>
              <w:rPr>
                <w:rFonts w:hint="eastAsia" w:ascii="宋体" w:hAnsi="宋体" w:eastAsia="宋体" w:cs="宋体"/>
                <w:color w:val="auto"/>
                <w:kern w:val="0"/>
                <w:sz w:val="24"/>
                <w:szCs w:val="24"/>
                <w:highlight w:val="none"/>
                <w:lang w:val="en-US" w:eastAsia="zh-CN"/>
              </w:rPr>
              <w:t>本部分</w:t>
            </w:r>
            <w:r>
              <w:rPr>
                <w:rFonts w:hint="eastAsia" w:ascii="宋体" w:hAnsi="宋体" w:eastAsia="宋体" w:cs="宋体"/>
                <w:color w:val="auto"/>
                <w:kern w:val="0"/>
                <w:sz w:val="24"/>
                <w:szCs w:val="24"/>
                <w:highlight w:val="none"/>
              </w:rPr>
              <w:t>内容</w:t>
            </w:r>
          </w:p>
        </w:tc>
      </w:tr>
      <w:tr w14:paraId="6C12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5246D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810" w:type="dxa"/>
            <w:noWrap w:val="0"/>
            <w:vAlign w:val="center"/>
          </w:tcPr>
          <w:p w14:paraId="2C69E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需实现的功能或者目标</w:t>
            </w:r>
          </w:p>
        </w:tc>
        <w:tc>
          <w:tcPr>
            <w:tcW w:w="4787" w:type="dxa"/>
            <w:noWrap w:val="0"/>
            <w:vAlign w:val="center"/>
          </w:tcPr>
          <w:p w14:paraId="24E63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详见本部分内容</w:t>
            </w:r>
          </w:p>
        </w:tc>
      </w:tr>
      <w:tr w14:paraId="287D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5E8D8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810" w:type="dxa"/>
            <w:noWrap w:val="0"/>
            <w:vAlign w:val="center"/>
          </w:tcPr>
          <w:p w14:paraId="0E9DC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执行的国家相关标准、行业标准、地方标准或者其它标准、规范</w:t>
            </w:r>
          </w:p>
        </w:tc>
        <w:tc>
          <w:tcPr>
            <w:tcW w:w="4787" w:type="dxa"/>
            <w:noWrap w:val="0"/>
            <w:vAlign w:val="center"/>
          </w:tcPr>
          <w:p w14:paraId="4036E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国家相关标准、行业标准、地方标准或者其他标准规范。</w:t>
            </w:r>
          </w:p>
        </w:tc>
      </w:tr>
      <w:tr w14:paraId="0FE2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02C13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810" w:type="dxa"/>
            <w:noWrap w:val="0"/>
            <w:vAlign w:val="center"/>
          </w:tcPr>
          <w:p w14:paraId="28021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技术规格要求</w:t>
            </w:r>
          </w:p>
        </w:tc>
        <w:tc>
          <w:tcPr>
            <w:tcW w:w="4787" w:type="dxa"/>
            <w:noWrap w:val="0"/>
            <w:vAlign w:val="center"/>
          </w:tcPr>
          <w:p w14:paraId="6E35A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详见本部分内容</w:t>
            </w:r>
          </w:p>
        </w:tc>
      </w:tr>
      <w:tr w14:paraId="6E2A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C599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810" w:type="dxa"/>
            <w:noWrap w:val="0"/>
            <w:vAlign w:val="center"/>
          </w:tcPr>
          <w:p w14:paraId="0B6E7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物理特性要求</w:t>
            </w:r>
          </w:p>
        </w:tc>
        <w:tc>
          <w:tcPr>
            <w:tcW w:w="4787" w:type="dxa"/>
            <w:noWrap w:val="0"/>
            <w:vAlign w:val="center"/>
          </w:tcPr>
          <w:p w14:paraId="6E272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w:t>
            </w:r>
          </w:p>
        </w:tc>
      </w:tr>
      <w:tr w14:paraId="2E49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33E5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810" w:type="dxa"/>
            <w:noWrap w:val="0"/>
            <w:vAlign w:val="center"/>
          </w:tcPr>
          <w:p w14:paraId="636ED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质量、安全要求</w:t>
            </w:r>
          </w:p>
        </w:tc>
        <w:tc>
          <w:tcPr>
            <w:tcW w:w="4787" w:type="dxa"/>
            <w:noWrap w:val="0"/>
            <w:vAlign w:val="center"/>
          </w:tcPr>
          <w:p w14:paraId="36E3A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（1）质量要求：详见本部分内容</w:t>
            </w:r>
            <w:r>
              <w:rPr>
                <w:rFonts w:hint="eastAsia" w:ascii="宋体" w:hAnsi="宋体" w:eastAsia="宋体" w:cs="宋体"/>
                <w:color w:val="auto"/>
                <w:kern w:val="0"/>
                <w:sz w:val="24"/>
                <w:szCs w:val="24"/>
                <w:highlight w:val="none"/>
                <w:lang w:val="en-US" w:eastAsia="zh-CN"/>
              </w:rPr>
              <w:t>。</w:t>
            </w:r>
          </w:p>
          <w:p w14:paraId="3A5C4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（2）安全要求：合格</w:t>
            </w:r>
          </w:p>
        </w:tc>
      </w:tr>
      <w:tr w14:paraId="3A6F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1CB7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810" w:type="dxa"/>
            <w:noWrap w:val="0"/>
            <w:vAlign w:val="center"/>
          </w:tcPr>
          <w:p w14:paraId="5C55E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服务标准、期限、效率</w:t>
            </w:r>
          </w:p>
        </w:tc>
        <w:tc>
          <w:tcPr>
            <w:tcW w:w="4787" w:type="dxa"/>
            <w:noWrap w:val="0"/>
            <w:vAlign w:val="center"/>
          </w:tcPr>
          <w:p w14:paraId="245E6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详见本章内容</w:t>
            </w:r>
          </w:p>
        </w:tc>
      </w:tr>
      <w:tr w14:paraId="5BB5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E8E3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810" w:type="dxa"/>
            <w:noWrap w:val="0"/>
            <w:vAlign w:val="center"/>
          </w:tcPr>
          <w:p w14:paraId="36AC3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w:t>
            </w:r>
          </w:p>
        </w:tc>
        <w:tc>
          <w:tcPr>
            <w:tcW w:w="4787" w:type="dxa"/>
            <w:noWrap w:val="0"/>
            <w:vAlign w:val="center"/>
          </w:tcPr>
          <w:p w14:paraId="038B0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按照中标人提供的投标文件及中标人和采购人签订的政府采购合同为标准进行验收。</w:t>
            </w:r>
          </w:p>
        </w:tc>
      </w:tr>
      <w:tr w14:paraId="47A9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99BC8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810" w:type="dxa"/>
            <w:noWrap w:val="0"/>
            <w:vAlign w:val="center"/>
          </w:tcPr>
          <w:p w14:paraId="555A4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w:t>
            </w:r>
          </w:p>
        </w:tc>
        <w:tc>
          <w:tcPr>
            <w:tcW w:w="4787" w:type="dxa"/>
            <w:noWrap w:val="0"/>
            <w:vAlign w:val="center"/>
          </w:tcPr>
          <w:p w14:paraId="3E516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r>
              <w:rPr>
                <w:rFonts w:hint="eastAsia" w:ascii="宋体" w:hAnsi="宋体" w:cs="宋体"/>
                <w:color w:val="auto"/>
                <w:kern w:val="0"/>
                <w:sz w:val="24"/>
                <w:szCs w:val="24"/>
                <w:highlight w:val="none"/>
                <w:lang w:eastAsia="zh-CN"/>
              </w:rPr>
              <w:t>。</w:t>
            </w:r>
          </w:p>
        </w:tc>
      </w:tr>
      <w:tr w14:paraId="7E68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5B64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810" w:type="dxa"/>
            <w:noWrap w:val="0"/>
            <w:vAlign w:val="center"/>
          </w:tcPr>
          <w:p w14:paraId="6ACAC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演示时间及地点</w:t>
            </w:r>
          </w:p>
        </w:tc>
        <w:tc>
          <w:tcPr>
            <w:tcW w:w="4787" w:type="dxa"/>
            <w:noWrap w:val="0"/>
            <w:vAlign w:val="center"/>
          </w:tcPr>
          <w:p w14:paraId="27E17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r w14:paraId="3826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1BCBB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810" w:type="dxa"/>
            <w:noWrap w:val="0"/>
            <w:vAlign w:val="center"/>
          </w:tcPr>
          <w:p w14:paraId="5B47E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样品要求</w:t>
            </w:r>
          </w:p>
        </w:tc>
        <w:tc>
          <w:tcPr>
            <w:tcW w:w="4787" w:type="dxa"/>
            <w:noWrap w:val="0"/>
            <w:vAlign w:val="center"/>
          </w:tcPr>
          <w:p w14:paraId="62B72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bl>
    <w:p w14:paraId="22CA6313">
      <w:pPr>
        <w:widowControl/>
        <w:kinsoku/>
        <w:wordWrap/>
        <w:overflowPunct/>
        <w:topLinePunct w:val="0"/>
        <w:bidi w:val="0"/>
        <w:adjustRightInd/>
        <w:spacing w:line="360" w:lineRule="auto"/>
        <w:jc w:val="left"/>
        <w:outlineLvl w:val="9"/>
        <w:rPr>
          <w:rFonts w:hint="eastAsia" w:ascii="宋体" w:hAnsi="宋体" w:eastAsia="宋体" w:cs="宋体"/>
          <w:color w:val="auto"/>
          <w:kern w:val="0"/>
          <w:sz w:val="24"/>
          <w:szCs w:val="24"/>
          <w:highlight w:val="none"/>
        </w:rPr>
      </w:pPr>
    </w:p>
    <w:p w14:paraId="732DA9D6">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6057CEA8">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一、重要商务要求一览表</w:t>
      </w:r>
    </w:p>
    <w:bookmarkEnd w:id="35"/>
    <w:bookmarkEnd w:id="36"/>
    <w:tbl>
      <w:tblPr>
        <w:tblStyle w:val="62"/>
        <w:tblW w:w="9045" w:type="dxa"/>
        <w:tblInd w:w="-2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6660"/>
      </w:tblGrid>
      <w:tr w14:paraId="22E3C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2385" w:type="dxa"/>
            <w:noWrap w:val="0"/>
            <w:vAlign w:val="center"/>
          </w:tcPr>
          <w:p w14:paraId="5D40C0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合同履约期限及地点</w:t>
            </w:r>
          </w:p>
        </w:tc>
        <w:tc>
          <w:tcPr>
            <w:tcW w:w="6660" w:type="dxa"/>
            <w:noWrap w:val="0"/>
            <w:vAlign w:val="center"/>
          </w:tcPr>
          <w:p w14:paraId="0BF1F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）合同履约期限：详见第一部分 《招标公告》。</w:t>
            </w:r>
          </w:p>
          <w:p w14:paraId="3181A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）实施地点：</w:t>
            </w:r>
            <w:r>
              <w:rPr>
                <w:rFonts w:hint="eastAsia" w:ascii="宋体" w:hAnsi="宋体" w:cs="宋体"/>
                <w:color w:val="auto"/>
                <w:kern w:val="0"/>
                <w:sz w:val="24"/>
                <w:szCs w:val="24"/>
                <w:highlight w:val="none"/>
                <w:lang w:val="en-US" w:eastAsia="zh-CN"/>
              </w:rPr>
              <w:t>宁海县中医医院</w:t>
            </w:r>
            <w:r>
              <w:rPr>
                <w:rFonts w:hint="eastAsia" w:ascii="宋体" w:hAnsi="宋体" w:eastAsia="宋体" w:cs="宋体"/>
                <w:color w:val="auto"/>
                <w:kern w:val="0"/>
                <w:sz w:val="24"/>
                <w:szCs w:val="24"/>
                <w:highlight w:val="none"/>
                <w:lang w:eastAsia="zh-CN"/>
              </w:rPr>
              <w:t>。</w:t>
            </w:r>
          </w:p>
        </w:tc>
      </w:tr>
      <w:tr w14:paraId="3526E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2385" w:type="dxa"/>
            <w:noWrap w:val="0"/>
            <w:vAlign w:val="center"/>
          </w:tcPr>
          <w:p w14:paraId="0F2BB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付款方式</w:t>
            </w:r>
          </w:p>
        </w:tc>
        <w:tc>
          <w:tcPr>
            <w:tcW w:w="6660" w:type="dxa"/>
            <w:noWrap w:val="0"/>
            <w:vAlign w:val="center"/>
          </w:tcPr>
          <w:p w14:paraId="1A7C3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1、合同生效以及具备实施条件后7个工作日内，且中标人已向采购人提交银行、保险公司等金融机构出具的预付款保函的，采购人向中标人支付年度合同金额的20%作为预付款（本项目实施以人工投入为主）；</w:t>
            </w:r>
          </w:p>
          <w:p w14:paraId="6E674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2、按月支付，采购人在收到中标人提供的合法发票后七个工作日内支付上个月的服务费用。（如有预付款，先从预付款中扣除相应金额，待预付款支付完后再另行按实支付。）</w:t>
            </w:r>
          </w:p>
          <w:p w14:paraId="4E74C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备注：</w:t>
            </w:r>
          </w:p>
          <w:p w14:paraId="52785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（1）在签订合同时，中标人明确表示无需预付款或者主动要求降低预付款比例的，须提供书面承诺给采购人，可降低预付款比例（预付款保函同步调整）。</w:t>
            </w:r>
            <w:r>
              <w:rPr>
                <w:rFonts w:hint="eastAsia" w:ascii="宋体" w:hAnsi="宋体" w:cs="宋体"/>
                <w:b w:val="0"/>
                <w:bCs w:val="0"/>
                <w:color w:val="auto"/>
                <w:kern w:val="0"/>
                <w:sz w:val="24"/>
                <w:szCs w:val="24"/>
                <w:highlight w:val="none"/>
                <w:lang w:val="en-US" w:eastAsia="zh-CN"/>
              </w:rPr>
              <w:br w:type="textWrapping"/>
            </w:r>
            <w:r>
              <w:rPr>
                <w:rFonts w:hint="eastAsia" w:ascii="宋体" w:hAnsi="宋体" w:cs="宋体"/>
                <w:b w:val="0"/>
                <w:bCs w:val="0"/>
                <w:color w:val="auto"/>
                <w:kern w:val="0"/>
                <w:sz w:val="24"/>
                <w:szCs w:val="24"/>
                <w:highlight w:val="none"/>
                <w:lang w:val="en-US" w:eastAsia="zh-CN"/>
              </w:rPr>
              <w:t>（2）联合体投标的预付款、货款均由采购人支付给联合体牵头人，联合体成员与联合体牵头人的付款方式以双方约定的为准，与采购人无涉。</w:t>
            </w:r>
          </w:p>
        </w:tc>
      </w:tr>
      <w:tr w14:paraId="62ACF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85" w:type="dxa"/>
            <w:noWrap w:val="0"/>
            <w:vAlign w:val="center"/>
          </w:tcPr>
          <w:p w14:paraId="22463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履约保证金</w:t>
            </w:r>
          </w:p>
        </w:tc>
        <w:tc>
          <w:tcPr>
            <w:tcW w:w="6660" w:type="dxa"/>
            <w:noWrap w:val="0"/>
            <w:vAlign w:val="center"/>
          </w:tcPr>
          <w:p w14:paraId="2A86B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本项目不适用。</w:t>
            </w:r>
          </w:p>
        </w:tc>
      </w:tr>
      <w:tr w14:paraId="5F256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85" w:type="dxa"/>
            <w:noWrap w:val="0"/>
            <w:vAlign w:val="center"/>
          </w:tcPr>
          <w:p w14:paraId="57D5A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合同终止</w:t>
            </w:r>
          </w:p>
        </w:tc>
        <w:tc>
          <w:tcPr>
            <w:tcW w:w="6660" w:type="dxa"/>
            <w:noWrap w:val="0"/>
            <w:vAlign w:val="center"/>
          </w:tcPr>
          <w:p w14:paraId="1F27A0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人在合同有效期内，不得无理由终止合同，确有特殊情况的，须提前两个月向采购人提出书面申请，经采购人同意后，方可终止合同。因中标人不能保证工作质量，采购人可有权终止合同，中标人承担全部责任。</w:t>
            </w:r>
          </w:p>
        </w:tc>
      </w:tr>
    </w:tbl>
    <w:p w14:paraId="6FFAEAAD">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14:paraId="153623B6">
      <w:pPr>
        <w:kinsoku/>
        <w:wordWrap/>
        <w:overflowPunct/>
        <w:topLinePunct w:val="0"/>
        <w:bidi w:val="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16FFDD21">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二、</w:t>
      </w:r>
      <w:r>
        <w:rPr>
          <w:rFonts w:hint="eastAsia" w:ascii="宋体" w:hAnsi="宋体" w:cs="宋体"/>
          <w:b/>
          <w:color w:val="auto"/>
          <w:kern w:val="0"/>
          <w:sz w:val="24"/>
          <w:szCs w:val="24"/>
          <w:highlight w:val="none"/>
          <w:lang w:val="en-US" w:eastAsia="zh-CN"/>
        </w:rPr>
        <w:t>服务</w:t>
      </w:r>
      <w:r>
        <w:rPr>
          <w:rFonts w:hint="eastAsia" w:ascii="宋体" w:hAnsi="宋体" w:eastAsia="宋体" w:cs="宋体"/>
          <w:b/>
          <w:color w:val="auto"/>
          <w:kern w:val="0"/>
          <w:sz w:val="24"/>
          <w:szCs w:val="24"/>
          <w:highlight w:val="none"/>
          <w:lang w:val="en-US" w:eastAsia="zh-CN"/>
        </w:rPr>
        <w:t>要求：</w:t>
      </w:r>
    </w:p>
    <w:p w14:paraId="7AA10CF6">
      <w:pPr>
        <w:widowControl/>
        <w:kinsoku/>
        <w:wordWrap/>
        <w:overflowPunct/>
        <w:topLinePunct w:val="0"/>
        <w:bidi w:val="0"/>
        <w:adjustRightInd/>
        <w:spacing w:line="360" w:lineRule="auto"/>
        <w:ind w:firstLine="482" w:firstLineChars="200"/>
        <w:jc w:val="left"/>
        <w:outlineLvl w:val="9"/>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（一）</w:t>
      </w:r>
      <w:r>
        <w:rPr>
          <w:rFonts w:hint="default" w:ascii="宋体" w:hAnsi="宋体" w:eastAsia="宋体" w:cs="宋体"/>
          <w:b/>
          <w:color w:val="auto"/>
          <w:kern w:val="0"/>
          <w:sz w:val="24"/>
          <w:szCs w:val="24"/>
          <w:highlight w:val="none"/>
          <w:lang w:val="en-US" w:eastAsia="zh-CN"/>
        </w:rPr>
        <w:t>收费</w:t>
      </w:r>
      <w:r>
        <w:rPr>
          <w:rFonts w:hint="eastAsia" w:ascii="宋体" w:hAnsi="宋体" w:cs="宋体"/>
          <w:b/>
          <w:color w:val="auto"/>
          <w:kern w:val="0"/>
          <w:sz w:val="24"/>
          <w:szCs w:val="24"/>
          <w:highlight w:val="none"/>
          <w:lang w:val="en-US" w:eastAsia="zh-CN"/>
        </w:rPr>
        <w:t>窗口工作内容及</w:t>
      </w:r>
      <w:r>
        <w:rPr>
          <w:rFonts w:hint="eastAsia" w:ascii="宋体" w:hAnsi="宋体" w:eastAsia="宋体" w:cs="宋体"/>
          <w:b/>
          <w:color w:val="auto"/>
          <w:kern w:val="0"/>
          <w:sz w:val="24"/>
          <w:szCs w:val="24"/>
          <w:highlight w:val="none"/>
          <w:lang w:val="en-US" w:eastAsia="zh-CN"/>
        </w:rPr>
        <w:t>要求：</w:t>
      </w:r>
    </w:p>
    <w:p w14:paraId="68495C62">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val="0"/>
          <w:bCs/>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1、服务内容：</w:t>
      </w:r>
      <w:r>
        <w:rPr>
          <w:rFonts w:hint="eastAsia" w:ascii="宋体" w:hAnsi="宋体" w:cs="宋体"/>
          <w:b w:val="0"/>
          <w:bCs/>
          <w:color w:val="auto"/>
          <w:kern w:val="0"/>
          <w:sz w:val="24"/>
          <w:szCs w:val="24"/>
          <w:highlight w:val="none"/>
          <w:lang w:val="en-US" w:eastAsia="zh-CN"/>
        </w:rPr>
        <w:t>按医院收费员排班表来上班，有白天班、中午班、夜班之分，各班无缝对接，每人轮流着上各种班，完成医院24小时不间断的收费任务。</w:t>
      </w:r>
    </w:p>
    <w:p w14:paraId="3B7E24E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2、服务要求：</w:t>
      </w:r>
    </w:p>
    <w:p w14:paraId="32EB0A8B">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1）着装规范：统一穿着医院指定工作服，保持整洁，佩戴工牌，窗口公示服务牌，树立专业形象。</w:t>
      </w:r>
    </w:p>
    <w:p w14:paraId="2DBFFFF2">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2）个人形象：发型整洁（不梳奇异发型），女员工淡妆上岗，不佩戴夸张饰品，符合职业着装要求。</w:t>
      </w:r>
    </w:p>
    <w:p w14:paraId="01C6183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3）服务态度：坚持微笑服务，姿态端正（不斜坐、瘫坐），与患者沟通时神情专注、语气亲切，避免态度冷漠或急躁。</w:t>
      </w:r>
    </w:p>
    <w:p w14:paraId="5FE4319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4）文明用语：使用 “您好”“请”“谢谢” 等十字文明用语，普通话服务（50 岁以下优先），语速适中，禁用生冷、推诿性语言（如 “不知道”“不归我管”）。</w:t>
      </w:r>
    </w:p>
    <w:p w14:paraId="65D56759">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5）业务办理：准确录入患者信息（姓名、科室、项目等），核对处方及收费单据，确保金额无误，现金收付 “唱收唱付”，当面点清并提醒患者核对。</w:t>
      </w:r>
    </w:p>
    <w:p w14:paraId="74408D79">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6）单据处理：妥善保管票据及备用金，每日现金日清日结，及时上缴营业款，作废票据需登记并经主管签字确认。</w:t>
      </w:r>
    </w:p>
    <w:p w14:paraId="60BD5706">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7）应急处理：设备故障或网络中断时，及时放置告示牌，主动向患者解释并联系技术部门修复，避免引发不满。</w:t>
      </w:r>
    </w:p>
    <w:p w14:paraId="4916B90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8）退款与欠费：严格按流程处理退款（需审核凭证、领导签字），对欠费患者耐心沟通，协助办理补交或登记，不拖延、不刁难。</w:t>
      </w:r>
    </w:p>
    <w:p w14:paraId="064BA34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9）提前提示：对检查、住院等需多次缴费的患者，主动告知后续流程及注意事项，减少往返奔波。</w:t>
      </w:r>
    </w:p>
    <w:p w14:paraId="5454582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10）优先服务：对急症、老年、残障患者主动协调优先办理，体现人文关怀。</w:t>
      </w:r>
    </w:p>
    <w:p w14:paraId="73D266E8">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11）耐心倾听：遇患者质疑或投诉时，保持冷静，认真记录问题，不直接争论，及时上报科室主管或财务科处理。</w:t>
      </w:r>
    </w:p>
    <w:p w14:paraId="498579EA">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12）快速响应：对合理诉求及时纠错并致歉，对不合理要求耐心解释政策，避免矛盾升级。</w:t>
      </w:r>
    </w:p>
    <w:p w14:paraId="13249B1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13）严格执行现金管理制度，每日盘点核对，确保账实一致，禁止挪用公款或擅自处理长款、短款。</w:t>
      </w:r>
    </w:p>
    <w:p w14:paraId="5BF7F5C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14）妥善保管收费系统账号及密码，不泄露给无关人员，防止操作失误或信息泄露。</w:t>
      </w:r>
    </w:p>
    <w:p w14:paraId="09024636">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15）遵守医院考勤制度，不迟到早退，工作时间不从事与岗位无关的活动（如玩游戏、会客）。</w:t>
      </w:r>
    </w:p>
    <w:p w14:paraId="3917030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16）配合医院接受上级部门检查，如实提供收费记录及相关资料，确保合规运营。</w:t>
      </w:r>
    </w:p>
    <w:p w14:paraId="2A99C81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17）做好班间交接，清晰传递未结事项及注意问题，确保服务连续性。</w:t>
      </w:r>
    </w:p>
    <w:p w14:paraId="1B4BB13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18）主动参与科室培训，学习新政策、新系统操作，提升业务能力。</w:t>
      </w:r>
    </w:p>
    <w:p w14:paraId="45F3E07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19）定期总结工作中的常见问题，提出流程优化建议，减少患者等待时间（如高峰时段增开窗口）。</w:t>
      </w:r>
    </w:p>
    <w:p w14:paraId="72D5670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20）虚心接受患者及同事的意见，不断改进服务方式，提升患者满意度。</w:t>
      </w:r>
    </w:p>
    <w:p w14:paraId="2BC84C5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21)具体工作量无法统计，但</w:t>
      </w:r>
    </w:p>
    <w:p w14:paraId="0F381910">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3、人员要求：</w:t>
      </w:r>
    </w:p>
    <w:p w14:paraId="62234BD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w:t>
      </w:r>
      <w:r>
        <w:rPr>
          <w:rFonts w:hint="default" w:ascii="宋体" w:hAnsi="宋体" w:eastAsia="宋体" w:cs="宋体"/>
          <w:b w:val="0"/>
          <w:bCs/>
          <w:color w:val="auto"/>
          <w:kern w:val="0"/>
          <w:sz w:val="24"/>
          <w:szCs w:val="24"/>
          <w:highlight w:val="none"/>
          <w:lang w:val="en-US" w:eastAsia="zh-CN"/>
        </w:rPr>
        <w:t>学历与年龄：具备高中及以上学历，年龄不超过 35 周岁，确保学习能力和服务精力。</w:t>
      </w:r>
    </w:p>
    <w:p w14:paraId="1343C5F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w:t>
      </w:r>
      <w:r>
        <w:rPr>
          <w:rFonts w:hint="default" w:ascii="宋体" w:hAnsi="宋体" w:eastAsia="宋体" w:cs="宋体"/>
          <w:b w:val="0"/>
          <w:bCs/>
          <w:color w:val="auto"/>
          <w:kern w:val="0"/>
          <w:sz w:val="24"/>
          <w:szCs w:val="24"/>
          <w:highlight w:val="none"/>
          <w:lang w:val="en-US" w:eastAsia="zh-CN"/>
        </w:rPr>
        <w:t>）专业知识：熟悉国家财经法规、医保政策及医院收费制度，能准确执行各类收费标准。</w:t>
      </w:r>
    </w:p>
    <w:p w14:paraId="4791382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w:t>
      </w:r>
      <w:r>
        <w:rPr>
          <w:rFonts w:hint="default" w:ascii="宋体" w:hAnsi="宋体" w:eastAsia="宋体" w:cs="宋体"/>
          <w:b w:val="0"/>
          <w:bCs/>
          <w:color w:val="auto"/>
          <w:kern w:val="0"/>
          <w:sz w:val="24"/>
          <w:szCs w:val="24"/>
          <w:highlight w:val="none"/>
          <w:lang w:val="en-US" w:eastAsia="zh-CN"/>
        </w:rPr>
        <w:t>）技能要求：具备基础财务知识、货币识别能力和点钞技术，熟练使用电脑及收费系统，确保操作高效准确。</w:t>
      </w:r>
    </w:p>
    <w:p w14:paraId="2828CBB2">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w:t>
      </w:r>
      <w:r>
        <w:rPr>
          <w:rFonts w:hint="default" w:ascii="宋体" w:hAnsi="宋体" w:eastAsia="宋体" w:cs="宋体"/>
          <w:b w:val="0"/>
          <w:bCs/>
          <w:color w:val="auto"/>
          <w:kern w:val="0"/>
          <w:sz w:val="24"/>
          <w:szCs w:val="24"/>
          <w:highlight w:val="none"/>
          <w:lang w:val="en-US" w:eastAsia="zh-CN"/>
        </w:rPr>
        <w:t>）工作态度：认真细致，责任心强，严格遵守 “首问负责制”，对患者咨询耐心解答，不推诿、不敷衍。</w:t>
      </w:r>
    </w:p>
    <w:p w14:paraId="4E5F697B">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w:t>
      </w:r>
      <w:r>
        <w:rPr>
          <w:rFonts w:hint="default" w:ascii="宋体" w:hAnsi="宋体" w:eastAsia="宋体" w:cs="宋体"/>
          <w:b w:val="0"/>
          <w:bCs/>
          <w:color w:val="auto"/>
          <w:kern w:val="0"/>
          <w:sz w:val="24"/>
          <w:szCs w:val="24"/>
          <w:highlight w:val="none"/>
          <w:lang w:val="en-US" w:eastAsia="zh-CN"/>
        </w:rPr>
        <w:t>）职业道德：廉洁奉公，杜绝私自挪用公款、虚开发票等行为，保护患者隐私，不泄露诊疗及费用信息。</w:t>
      </w:r>
    </w:p>
    <w:p w14:paraId="1E9B393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w:t>
      </w:r>
      <w:r>
        <w:rPr>
          <w:rFonts w:hint="eastAsia" w:ascii="宋体" w:hAnsi="宋体" w:cs="宋体"/>
          <w:b/>
          <w:bCs w:val="0"/>
          <w:color w:val="auto"/>
          <w:kern w:val="0"/>
          <w:sz w:val="24"/>
          <w:szCs w:val="24"/>
          <w:highlight w:val="none"/>
          <w:lang w:val="en-US" w:eastAsia="zh-CN"/>
        </w:rPr>
        <w:t>二</w:t>
      </w:r>
      <w:r>
        <w:rPr>
          <w:rFonts w:hint="eastAsia" w:ascii="宋体" w:hAnsi="宋体" w:eastAsia="宋体" w:cs="宋体"/>
          <w:b/>
          <w:bCs w:val="0"/>
          <w:color w:val="auto"/>
          <w:kern w:val="0"/>
          <w:sz w:val="24"/>
          <w:szCs w:val="24"/>
          <w:highlight w:val="none"/>
          <w:lang w:val="en-US" w:eastAsia="zh-CN"/>
        </w:rPr>
        <w:t>）</w:t>
      </w:r>
      <w:r>
        <w:rPr>
          <w:rFonts w:hint="eastAsia" w:ascii="宋体" w:hAnsi="宋体" w:cs="宋体"/>
          <w:b/>
          <w:bCs w:val="0"/>
          <w:color w:val="auto"/>
          <w:kern w:val="0"/>
          <w:sz w:val="24"/>
          <w:szCs w:val="24"/>
          <w:highlight w:val="none"/>
          <w:lang w:val="en-US" w:eastAsia="zh-CN"/>
        </w:rPr>
        <w:t>资料登记</w:t>
      </w:r>
      <w:r>
        <w:rPr>
          <w:rFonts w:hint="eastAsia" w:ascii="宋体" w:hAnsi="宋体" w:eastAsia="宋体" w:cs="宋体"/>
          <w:b/>
          <w:bCs w:val="0"/>
          <w:color w:val="auto"/>
          <w:kern w:val="0"/>
          <w:sz w:val="24"/>
          <w:szCs w:val="24"/>
          <w:highlight w:val="none"/>
          <w:lang w:val="en-US" w:eastAsia="zh-CN"/>
        </w:rPr>
        <w:t>工作内容及要求：</w:t>
      </w:r>
    </w:p>
    <w:p w14:paraId="451897F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1、服务内容：</w:t>
      </w:r>
      <w:r>
        <w:rPr>
          <w:rFonts w:hint="eastAsia" w:ascii="宋体" w:hAnsi="宋体" w:cs="宋体"/>
          <w:b w:val="0"/>
          <w:bCs/>
          <w:color w:val="auto"/>
          <w:kern w:val="0"/>
          <w:sz w:val="24"/>
          <w:szCs w:val="24"/>
          <w:highlight w:val="none"/>
          <w:lang w:val="en-US" w:eastAsia="zh-CN"/>
        </w:rPr>
        <w:t>与检查科室实时沟通设备运行状态和候诊人数，动态调整预约计划；将患者集中反馈的问题（如某科室检查等待时间过长）及时上报后勤部门。</w:t>
      </w:r>
    </w:p>
    <w:p w14:paraId="1D14FC6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上班时间：夏令时（5月1日-10月7日）：上午7:30-11:00，下午14:00-17:00；冬令时（10月8日-4月30日）：上午8:00-11:30，下午13:30-16:30。每周的休息天及国家规定节假日由医院统筹在科室每月的排班表中安排。</w:t>
      </w:r>
    </w:p>
    <w:p w14:paraId="561C580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2、服务要求：</w:t>
      </w:r>
    </w:p>
    <w:p w14:paraId="643C10A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1）统一着医院工作服，保持整洁，佩戴工牌，仪表端庄。</w:t>
      </w:r>
    </w:p>
    <w:p w14:paraId="0778952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2）负责门诊，急诊和住院患者的各项检查的登记，预约，登录和科室工作任务等；</w:t>
      </w:r>
    </w:p>
    <w:p w14:paraId="435D5BB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3）热心和耐心地接待患者，告知患者预约、检查与领取检查报告的时间和流程；</w:t>
      </w:r>
    </w:p>
    <w:p w14:paraId="1F6F4CD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4）负责诊间的环境卫生安全检查、物品的补充，室内温度，湿度等环境要素是否符合检查要求，诊室的环境卫生、垃圾分类等工作；</w:t>
      </w:r>
    </w:p>
    <w:p w14:paraId="4DCF5A4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5）呼叫、引导、交接病人，热情接待病人，言语文明，礼貌待人，不说忌话，不与病人发生冲突，并做好解释沟通工作，做好患者隐私保护及身份识别，核对患者的信息；</w:t>
      </w:r>
    </w:p>
    <w:p w14:paraId="5E49D7D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熟悉电脑功能，具备快速电脑打字能力，学习并熟练掌握超声术语，认真书写核对报告，做到三查三对“检查申请单与病员信息是否一致；查对电脑病员信息与申请单是否一致；查对检查项目是否遗漏”，检查报告内容和结果是否正确。</w:t>
      </w:r>
      <w:r>
        <w:rPr>
          <w:rFonts w:hint="eastAsia" w:ascii="宋体" w:hAnsi="宋体" w:eastAsia="宋体" w:cs="宋体"/>
          <w:b w:val="0"/>
          <w:bCs/>
          <w:color w:val="auto"/>
          <w:kern w:val="0"/>
          <w:sz w:val="24"/>
          <w:szCs w:val="24"/>
          <w:highlight w:val="none"/>
          <w:lang w:val="en-US" w:eastAsia="zh-CN"/>
        </w:rPr>
        <w:tab/>
      </w:r>
    </w:p>
    <w:p w14:paraId="5A1D0F67">
      <w:pPr>
        <w:keepNext w:val="0"/>
        <w:keepLines w:val="0"/>
        <w:pageBreakBefore w:val="0"/>
        <w:widowControl/>
        <w:numPr>
          <w:ilvl w:val="0"/>
          <w:numId w:val="0"/>
        </w:numPr>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7）禁止泄露患者检查结果、就诊记录等隐私信息，登记时确保周围无无关人员窥视；废弃的登记单需粉碎处理，避免信息外流。</w:t>
      </w:r>
    </w:p>
    <w:p w14:paraId="331313C2">
      <w:pPr>
        <w:keepNext w:val="0"/>
        <w:keepLines w:val="0"/>
        <w:pageBreakBefore w:val="0"/>
        <w:widowControl/>
        <w:numPr>
          <w:ilvl w:val="0"/>
          <w:numId w:val="0"/>
        </w:numPr>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val="0"/>
          <w:bCs/>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3、人员要求：</w:t>
      </w:r>
    </w:p>
    <w:p w14:paraId="6289911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1）年龄不超过 35 周岁；有从医工作经验者优先。</w:t>
      </w:r>
    </w:p>
    <w:p w14:paraId="1248115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2）高中及以上学历证书。</w:t>
      </w:r>
    </w:p>
    <w:p w14:paraId="3A1D259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w:t>
      </w:r>
      <w:r>
        <w:rPr>
          <w:rFonts w:hint="eastAsia" w:ascii="宋体" w:hAnsi="宋体" w:cs="宋体"/>
          <w:b/>
          <w:bCs w:val="0"/>
          <w:color w:val="auto"/>
          <w:kern w:val="0"/>
          <w:sz w:val="24"/>
          <w:szCs w:val="24"/>
          <w:highlight w:val="none"/>
          <w:lang w:val="en-US" w:eastAsia="zh-CN"/>
        </w:rPr>
        <w:t>三</w:t>
      </w:r>
      <w:r>
        <w:rPr>
          <w:rFonts w:hint="eastAsia" w:ascii="宋体" w:hAnsi="宋体" w:eastAsia="宋体" w:cs="宋体"/>
          <w:b/>
          <w:bCs w:val="0"/>
          <w:color w:val="auto"/>
          <w:kern w:val="0"/>
          <w:sz w:val="24"/>
          <w:szCs w:val="24"/>
          <w:highlight w:val="none"/>
          <w:lang w:val="en-US" w:eastAsia="zh-CN"/>
        </w:rPr>
        <w:t>）后勤</w:t>
      </w:r>
      <w:r>
        <w:rPr>
          <w:rFonts w:hint="eastAsia" w:ascii="宋体" w:hAnsi="宋体" w:cs="宋体"/>
          <w:b/>
          <w:bCs w:val="0"/>
          <w:color w:val="auto"/>
          <w:kern w:val="0"/>
          <w:sz w:val="24"/>
          <w:szCs w:val="24"/>
          <w:highlight w:val="none"/>
          <w:lang w:val="en-US" w:eastAsia="zh-CN"/>
        </w:rPr>
        <w:t>服务</w:t>
      </w:r>
      <w:r>
        <w:rPr>
          <w:rFonts w:hint="eastAsia" w:ascii="宋体" w:hAnsi="宋体" w:eastAsia="宋体" w:cs="宋体"/>
          <w:b/>
          <w:bCs w:val="0"/>
          <w:color w:val="auto"/>
          <w:kern w:val="0"/>
          <w:sz w:val="24"/>
          <w:szCs w:val="24"/>
          <w:highlight w:val="none"/>
          <w:lang w:val="en-US" w:eastAsia="zh-CN"/>
        </w:rPr>
        <w:t>工作内容及要求：</w:t>
      </w:r>
    </w:p>
    <w:p w14:paraId="232CC4E0">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1、</w:t>
      </w:r>
      <w:r>
        <w:rPr>
          <w:rFonts w:hint="eastAsia" w:ascii="宋体" w:hAnsi="宋体" w:eastAsia="宋体" w:cs="宋体"/>
          <w:b/>
          <w:bCs w:val="0"/>
          <w:color w:val="auto"/>
          <w:kern w:val="0"/>
          <w:sz w:val="24"/>
          <w:szCs w:val="24"/>
          <w:highlight w:val="none"/>
          <w:lang w:val="en-US" w:eastAsia="zh-CN"/>
        </w:rPr>
        <w:t>服务内容：</w:t>
      </w:r>
      <w:r>
        <w:rPr>
          <w:rFonts w:hint="eastAsia" w:ascii="宋体" w:hAnsi="宋体" w:cs="宋体"/>
          <w:b w:val="0"/>
          <w:bCs/>
          <w:color w:val="auto"/>
          <w:kern w:val="0"/>
          <w:sz w:val="24"/>
          <w:szCs w:val="24"/>
          <w:highlight w:val="none"/>
          <w:lang w:val="en-US" w:eastAsia="zh-CN"/>
        </w:rPr>
        <w:t>根据</w:t>
      </w:r>
      <w:r>
        <w:rPr>
          <w:rFonts w:hint="eastAsia" w:ascii="宋体" w:hAnsi="宋体" w:eastAsia="宋体" w:cs="宋体"/>
          <w:b w:val="0"/>
          <w:bCs/>
          <w:color w:val="auto"/>
          <w:kern w:val="0"/>
          <w:sz w:val="24"/>
          <w:szCs w:val="24"/>
          <w:highlight w:val="none"/>
          <w:lang w:val="en-US" w:eastAsia="zh-CN"/>
        </w:rPr>
        <w:t>医院后勤保障科安排运送各类物资（包括医疗物资、后勤物资等）。与后勤保障科、急诊科、设备科保持沟通，及时反馈车辆使用需求及故障情况；协助其他后勤岗位（如保安、保洁）完成临时任务（如运送物资）。</w:t>
      </w:r>
    </w:p>
    <w:p w14:paraId="5810264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上班时间：夏令时（5月1日-10月7日）：上午7:30-11:00，下午14:00-17:00；冬令时（10月8日-4月30日）：上午8:00-11:30，下午13:30-16:30。每周的休息天及国家规定节假日由医院统筹在科室每月的排班表中安排。</w:t>
      </w:r>
    </w:p>
    <w:p w14:paraId="497A2C06">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2、服务要求：</w:t>
      </w:r>
    </w:p>
    <w:p w14:paraId="354CA07B">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1）根据医院派车任务调度驾驶车辆，严格遵守 “安全第一” 原则，出车前、后检查车辆状态（刹车、轮胎、灯光等），确保车况良好；服从医院调度安排，不擅自更改行车路线或延误出车。</w:t>
      </w:r>
    </w:p>
    <w:p w14:paraId="174DB603">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2）主动沟通用车需求，耐心解答医护人员或患者的疑问，遵守 “首问负责制”，不推诿、不敷衍。</w:t>
      </w:r>
    </w:p>
    <w:p w14:paraId="22AFEAD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3）负责车辆的运行、保养、维护，保持车况良好，保证顺利用车。</w:t>
      </w:r>
    </w:p>
    <w:p w14:paraId="4D18C7C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4）严格遵守交通规则，平稳驾驶，禁止超速、抢道、疲劳驾驶或接打电话（确需通话时使用蓝牙耳机）。</w:t>
      </w:r>
    </w:p>
    <w:p w14:paraId="1C36C85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5）记录车辆行驶里程、油耗、故障情况，定期进行保养（如每 5000 公里更换机油），发现故障及时报修并报备后勤部门。</w:t>
      </w:r>
    </w:p>
    <w:p w14:paraId="75A39C23">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6）完成出车任务后，将车辆停放在指定车位，关闭电源、锁好门窗，做好夜间防盗措施。</w:t>
      </w:r>
    </w:p>
    <w:p w14:paraId="631305EA">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7）统一穿着医院后勤工作服，保持整洁，佩戴工牌，头发干净整齐。</w:t>
      </w:r>
    </w:p>
    <w:p w14:paraId="329C8312">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3、人员要求：</w:t>
      </w:r>
    </w:p>
    <w:p w14:paraId="4C18C5C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1）具备初中及以上学历，年龄不超过45周岁，身体健康，能适应弹性工作时间（如急诊出车需求）。</w:t>
      </w:r>
    </w:p>
    <w:p w14:paraId="7F17C16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2）持有C1及以上驾驶证，熟悉车辆日常维护（如机油更换、轮胎更换、故障排查），掌握基础交通法规和医院内部车辆管理制度。</w:t>
      </w:r>
    </w:p>
    <w:p w14:paraId="32517366">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四、岗位管理要求：</w:t>
      </w:r>
    </w:p>
    <w:p w14:paraId="51BC007B">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en-US" w:eastAsia="zh-CN"/>
        </w:rPr>
        <w:t>在政府采购合同履行中，采购人需增加</w:t>
      </w:r>
      <w:r>
        <w:rPr>
          <w:rFonts w:hint="eastAsia" w:ascii="宋体" w:hAnsi="宋体" w:cs="宋体"/>
          <w:b w:val="0"/>
          <w:bCs/>
          <w:color w:val="auto"/>
          <w:kern w:val="0"/>
          <w:sz w:val="24"/>
          <w:szCs w:val="24"/>
          <w:highlight w:val="none"/>
          <w:lang w:val="en-US" w:eastAsia="zh-CN"/>
        </w:rPr>
        <w:t>岗位</w:t>
      </w:r>
      <w:r>
        <w:rPr>
          <w:rFonts w:hint="eastAsia" w:ascii="宋体" w:hAnsi="宋体" w:eastAsia="宋体" w:cs="宋体"/>
          <w:b w:val="0"/>
          <w:bCs/>
          <w:color w:val="auto"/>
          <w:kern w:val="0"/>
          <w:sz w:val="24"/>
          <w:szCs w:val="24"/>
          <w:highlight w:val="none"/>
          <w:lang w:val="en-US" w:eastAsia="zh-CN"/>
        </w:rPr>
        <w:t>数量的，供应商须在10天内按要求完成</w:t>
      </w:r>
      <w:r>
        <w:rPr>
          <w:rFonts w:hint="eastAsia" w:ascii="宋体" w:hAnsi="宋体" w:cs="宋体"/>
          <w:b w:val="0"/>
          <w:bCs/>
          <w:color w:val="auto"/>
          <w:kern w:val="0"/>
          <w:sz w:val="24"/>
          <w:szCs w:val="24"/>
          <w:highlight w:val="none"/>
          <w:lang w:val="en-US" w:eastAsia="zh-CN"/>
        </w:rPr>
        <w:t>岗位人员</w:t>
      </w:r>
      <w:r>
        <w:rPr>
          <w:rFonts w:hint="eastAsia" w:ascii="宋体" w:hAnsi="宋体" w:eastAsia="宋体" w:cs="宋体"/>
          <w:b w:val="0"/>
          <w:bCs/>
          <w:color w:val="auto"/>
          <w:kern w:val="0"/>
          <w:sz w:val="24"/>
          <w:szCs w:val="24"/>
          <w:highlight w:val="none"/>
          <w:lang w:val="en-US" w:eastAsia="zh-CN"/>
        </w:rPr>
        <w:t>新增服务，新增</w:t>
      </w:r>
      <w:r>
        <w:rPr>
          <w:rFonts w:hint="eastAsia" w:ascii="宋体" w:hAnsi="宋体" w:cs="宋体"/>
          <w:b w:val="0"/>
          <w:bCs/>
          <w:color w:val="auto"/>
          <w:kern w:val="0"/>
          <w:sz w:val="24"/>
          <w:szCs w:val="24"/>
          <w:highlight w:val="none"/>
          <w:lang w:val="en-US" w:eastAsia="zh-CN"/>
        </w:rPr>
        <w:t>岗位</w:t>
      </w:r>
      <w:r>
        <w:rPr>
          <w:rFonts w:hint="eastAsia" w:ascii="宋体" w:hAnsi="宋体" w:eastAsia="宋体" w:cs="宋体"/>
          <w:b w:val="0"/>
          <w:bCs/>
          <w:color w:val="auto"/>
          <w:kern w:val="0"/>
          <w:sz w:val="24"/>
          <w:szCs w:val="24"/>
          <w:highlight w:val="none"/>
          <w:lang w:val="en-US" w:eastAsia="zh-CN"/>
        </w:rPr>
        <w:t>人员薪资福利按照中标年人均费用结算，但不得超过年度合同金额的10%。</w:t>
      </w:r>
    </w:p>
    <w:p w14:paraId="277AC85A">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val="en-US" w:eastAsia="zh-CN"/>
        </w:rPr>
        <w:t>）为确保</w:t>
      </w:r>
      <w:r>
        <w:rPr>
          <w:rFonts w:hint="eastAsia" w:ascii="宋体" w:hAnsi="宋体" w:cs="宋体"/>
          <w:b w:val="0"/>
          <w:bCs/>
          <w:color w:val="auto"/>
          <w:kern w:val="0"/>
          <w:sz w:val="24"/>
          <w:szCs w:val="24"/>
          <w:highlight w:val="none"/>
          <w:lang w:val="en-US" w:eastAsia="zh-CN"/>
        </w:rPr>
        <w:t>供应商提供的岗位</w:t>
      </w:r>
      <w:r>
        <w:rPr>
          <w:rFonts w:hint="eastAsia" w:ascii="宋体" w:hAnsi="宋体" w:eastAsia="宋体" w:cs="宋体"/>
          <w:b w:val="0"/>
          <w:bCs/>
          <w:color w:val="auto"/>
          <w:kern w:val="0"/>
          <w:sz w:val="24"/>
          <w:szCs w:val="24"/>
          <w:highlight w:val="none"/>
          <w:lang w:val="en-US" w:eastAsia="zh-CN"/>
        </w:rPr>
        <w:t>服务人员确能胜任采购人的岗位</w:t>
      </w:r>
      <w:r>
        <w:rPr>
          <w:rFonts w:hint="eastAsia" w:ascii="宋体" w:hAnsi="宋体" w:cs="宋体"/>
          <w:b w:val="0"/>
          <w:bCs/>
          <w:color w:val="auto"/>
          <w:kern w:val="0"/>
          <w:sz w:val="24"/>
          <w:szCs w:val="24"/>
          <w:highlight w:val="none"/>
          <w:lang w:val="en-US" w:eastAsia="zh-CN"/>
        </w:rPr>
        <w:t>要求</w:t>
      </w: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岗位</w:t>
      </w:r>
      <w:r>
        <w:rPr>
          <w:rFonts w:hint="eastAsia" w:ascii="宋体" w:hAnsi="宋体" w:eastAsia="宋体" w:cs="宋体"/>
          <w:b w:val="0"/>
          <w:bCs/>
          <w:color w:val="auto"/>
          <w:kern w:val="0"/>
          <w:sz w:val="24"/>
          <w:szCs w:val="24"/>
          <w:highlight w:val="none"/>
          <w:lang w:val="en-US" w:eastAsia="zh-CN"/>
        </w:rPr>
        <w:t>人员</w:t>
      </w:r>
      <w:r>
        <w:rPr>
          <w:rFonts w:hint="eastAsia" w:ascii="宋体" w:hAnsi="宋体" w:cs="宋体"/>
          <w:b w:val="0"/>
          <w:bCs/>
          <w:color w:val="auto"/>
          <w:kern w:val="0"/>
          <w:sz w:val="24"/>
          <w:szCs w:val="24"/>
          <w:highlight w:val="none"/>
          <w:lang w:val="en-US" w:eastAsia="zh-CN"/>
        </w:rPr>
        <w:t>须</w:t>
      </w:r>
      <w:r>
        <w:rPr>
          <w:rFonts w:hint="eastAsia" w:ascii="宋体" w:hAnsi="宋体" w:eastAsia="宋体" w:cs="宋体"/>
          <w:b w:val="0"/>
          <w:bCs/>
          <w:color w:val="auto"/>
          <w:kern w:val="0"/>
          <w:sz w:val="24"/>
          <w:szCs w:val="24"/>
          <w:highlight w:val="none"/>
          <w:lang w:val="en-US" w:eastAsia="zh-CN"/>
        </w:rPr>
        <w:t>经采购人审核确认后方能上岗</w:t>
      </w:r>
      <w:r>
        <w:rPr>
          <w:rFonts w:hint="eastAsia" w:ascii="宋体" w:hAnsi="宋体" w:cs="宋体"/>
          <w:b w:val="0"/>
          <w:bCs/>
          <w:color w:val="auto"/>
          <w:kern w:val="0"/>
          <w:sz w:val="24"/>
          <w:szCs w:val="24"/>
          <w:highlight w:val="none"/>
          <w:lang w:val="en-US" w:eastAsia="zh-CN"/>
        </w:rPr>
        <w:t>工作</w:t>
      </w:r>
      <w:r>
        <w:rPr>
          <w:rFonts w:hint="eastAsia" w:ascii="宋体" w:hAnsi="宋体" w:eastAsia="宋体" w:cs="宋体"/>
          <w:b w:val="0"/>
          <w:bCs/>
          <w:color w:val="auto"/>
          <w:kern w:val="0"/>
          <w:sz w:val="24"/>
          <w:szCs w:val="24"/>
          <w:highlight w:val="none"/>
          <w:lang w:val="en-US" w:eastAsia="zh-CN"/>
        </w:rPr>
        <w:t>。未经采购人审核确认的岗位人员，采购人不接受其服务，中标人与其签订劳动合同而承担的法律责任和因此造成的一切损失与采购人无关。采购人确定服务员工的数量、名单后，中标人应确保10个工作日内办理完毕劳动合同签订等手续，及时向采购人提供服务，人员离职须及时补充。如采购人要求更换服务人员时，中标人须在10天内按岗位职责要求安排新人到岗且人员须经相关科室认可。</w:t>
      </w:r>
    </w:p>
    <w:p w14:paraId="0218CDD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）现有岗位</w:t>
      </w:r>
      <w:r>
        <w:rPr>
          <w:rFonts w:hint="eastAsia" w:ascii="宋体" w:hAnsi="宋体" w:cs="宋体"/>
          <w:b w:val="0"/>
          <w:bCs/>
          <w:color w:val="auto"/>
          <w:kern w:val="0"/>
          <w:sz w:val="24"/>
          <w:szCs w:val="24"/>
          <w:highlight w:val="none"/>
          <w:lang w:val="en-US" w:eastAsia="zh-CN"/>
        </w:rPr>
        <w:t>上仍有部分</w:t>
      </w:r>
      <w:r>
        <w:rPr>
          <w:rFonts w:hint="eastAsia" w:ascii="宋体" w:hAnsi="宋体" w:eastAsia="宋体" w:cs="宋体"/>
          <w:b w:val="0"/>
          <w:bCs/>
          <w:color w:val="auto"/>
          <w:kern w:val="0"/>
          <w:sz w:val="24"/>
          <w:szCs w:val="24"/>
          <w:highlight w:val="none"/>
          <w:lang w:val="en-US" w:eastAsia="zh-CN"/>
        </w:rPr>
        <w:t>员工的劳动合同未到期，具体岗位</w:t>
      </w:r>
      <w:r>
        <w:rPr>
          <w:rFonts w:hint="eastAsia" w:ascii="宋体" w:hAnsi="宋体" w:cs="宋体"/>
          <w:b w:val="0"/>
          <w:bCs/>
          <w:color w:val="auto"/>
          <w:kern w:val="0"/>
          <w:sz w:val="24"/>
          <w:szCs w:val="24"/>
          <w:highlight w:val="none"/>
          <w:lang w:val="en-US" w:eastAsia="zh-CN"/>
        </w:rPr>
        <w:t>人员</w:t>
      </w:r>
      <w:r>
        <w:rPr>
          <w:rFonts w:hint="eastAsia" w:ascii="宋体" w:hAnsi="宋体" w:eastAsia="宋体" w:cs="宋体"/>
          <w:b w:val="0"/>
          <w:bCs/>
          <w:color w:val="auto"/>
          <w:kern w:val="0"/>
          <w:sz w:val="24"/>
          <w:szCs w:val="24"/>
          <w:highlight w:val="none"/>
          <w:lang w:val="en-US" w:eastAsia="zh-CN"/>
        </w:rPr>
        <w:t>更替时间根据采购人通知进行部署，</w:t>
      </w:r>
      <w:r>
        <w:rPr>
          <w:rFonts w:hint="eastAsia" w:ascii="宋体" w:hAnsi="宋体" w:cs="宋体"/>
          <w:b w:val="0"/>
          <w:bCs/>
          <w:color w:val="auto"/>
          <w:kern w:val="0"/>
          <w:sz w:val="24"/>
          <w:szCs w:val="24"/>
          <w:highlight w:val="none"/>
          <w:lang w:val="en-US" w:eastAsia="zh-CN"/>
        </w:rPr>
        <w:t>相关</w:t>
      </w:r>
      <w:r>
        <w:rPr>
          <w:rFonts w:hint="eastAsia" w:ascii="宋体" w:hAnsi="宋体" w:eastAsia="宋体" w:cs="宋体"/>
          <w:b w:val="0"/>
          <w:bCs/>
          <w:color w:val="auto"/>
          <w:kern w:val="0"/>
          <w:sz w:val="24"/>
          <w:szCs w:val="24"/>
          <w:highlight w:val="none"/>
          <w:lang w:val="en-US" w:eastAsia="zh-CN"/>
        </w:rPr>
        <w:t>人员薪资按接岗后的时间进行具体计算。</w:t>
      </w:r>
    </w:p>
    <w:p w14:paraId="28FFF5B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）供应商</w:t>
      </w:r>
      <w:r>
        <w:rPr>
          <w:rFonts w:hint="eastAsia" w:ascii="宋体" w:hAnsi="宋体" w:cs="宋体"/>
          <w:b w:val="0"/>
          <w:bCs/>
          <w:color w:val="auto"/>
          <w:kern w:val="0"/>
          <w:sz w:val="24"/>
          <w:szCs w:val="24"/>
          <w:highlight w:val="none"/>
          <w:lang w:val="en-US" w:eastAsia="zh-CN"/>
        </w:rPr>
        <w:t>负责与其提供的岗位人员</w:t>
      </w:r>
      <w:r>
        <w:rPr>
          <w:rFonts w:hint="eastAsia" w:ascii="宋体" w:hAnsi="宋体" w:eastAsia="宋体" w:cs="宋体"/>
          <w:b w:val="0"/>
          <w:bCs/>
          <w:color w:val="auto"/>
          <w:kern w:val="0"/>
          <w:sz w:val="24"/>
          <w:szCs w:val="24"/>
          <w:highlight w:val="none"/>
          <w:lang w:val="en-US" w:eastAsia="zh-CN"/>
        </w:rPr>
        <w:t>签订《劳动合同》，建立劳动关系。中标人应确保和谐、稳妥处理相关岗位人员的劳动纠纷、劳动仲裁、劳动诉讼，避免妨碍采购人的正常工作或给采购人带来不利的社会影响。</w:t>
      </w:r>
    </w:p>
    <w:p w14:paraId="3B8E09F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中标人应指定专门有经验的人事专员及财务人员妥善处理服务人员的各种人事事务。供应商负责其提供的岗位人员的薪酬发放、社保和残保金的办理缴纳（要求在当地办理），不能缴社保的代买商业意外保险及个税代扣代缴，劳动关系维护。</w:t>
      </w:r>
    </w:p>
    <w:p w14:paraId="533AEBE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w:t>
      </w:r>
      <w:r>
        <w:rPr>
          <w:rFonts w:hint="eastAsia" w:ascii="宋体" w:hAnsi="宋体" w:eastAsia="宋体" w:cs="宋体"/>
          <w:b w:val="0"/>
          <w:bCs/>
          <w:color w:val="auto"/>
          <w:kern w:val="0"/>
          <w:sz w:val="24"/>
          <w:szCs w:val="24"/>
          <w:highlight w:val="none"/>
          <w:lang w:val="en-US" w:eastAsia="zh-CN"/>
        </w:rPr>
        <w:t>）供应商负责</w:t>
      </w:r>
      <w:r>
        <w:rPr>
          <w:rFonts w:hint="eastAsia" w:ascii="宋体" w:hAnsi="宋体" w:cs="宋体"/>
          <w:b w:val="0"/>
          <w:bCs/>
          <w:color w:val="auto"/>
          <w:kern w:val="0"/>
          <w:sz w:val="24"/>
          <w:szCs w:val="24"/>
          <w:highlight w:val="none"/>
          <w:lang w:val="en-US" w:eastAsia="zh-CN"/>
        </w:rPr>
        <w:t>相关岗位人员</w:t>
      </w:r>
      <w:r>
        <w:rPr>
          <w:rFonts w:hint="eastAsia" w:ascii="宋体" w:hAnsi="宋体" w:eastAsia="宋体" w:cs="宋体"/>
          <w:b w:val="0"/>
          <w:bCs/>
          <w:color w:val="auto"/>
          <w:kern w:val="0"/>
          <w:sz w:val="24"/>
          <w:szCs w:val="24"/>
          <w:highlight w:val="none"/>
          <w:lang w:val="en-US" w:eastAsia="zh-CN"/>
        </w:rPr>
        <w:t>的招聘、体检（费用由应聘者自理）、入离职管理、生育、工伤的申报申领、劳动仲裁、诉讼等事宜。</w:t>
      </w:r>
    </w:p>
    <w:p w14:paraId="2FBDE4B2">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7</w:t>
      </w:r>
      <w:r>
        <w:rPr>
          <w:rFonts w:hint="eastAsia" w:ascii="宋体" w:hAnsi="宋体" w:eastAsia="宋体" w:cs="宋体"/>
          <w:b w:val="0"/>
          <w:bCs/>
          <w:color w:val="auto"/>
          <w:kern w:val="0"/>
          <w:sz w:val="24"/>
          <w:szCs w:val="24"/>
          <w:highlight w:val="none"/>
          <w:lang w:val="en-US" w:eastAsia="zh-CN"/>
        </w:rPr>
        <w:t>）由供应商负责相关岗位人员的档案管理</w:t>
      </w:r>
      <w:r>
        <w:rPr>
          <w:rFonts w:hint="eastAsia" w:ascii="宋体" w:hAnsi="宋体" w:cs="宋体"/>
          <w:b w:val="0"/>
          <w:bCs/>
          <w:color w:val="auto"/>
          <w:kern w:val="0"/>
          <w:sz w:val="24"/>
          <w:szCs w:val="24"/>
          <w:highlight w:val="none"/>
          <w:lang w:val="en-US" w:eastAsia="zh-CN"/>
        </w:rPr>
        <w:t>，确保及时、准确、妥善处理服务人员的档案管理。</w:t>
      </w:r>
    </w:p>
    <w:p w14:paraId="7D9C739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lang w:val="en-US" w:eastAsia="zh-CN"/>
        </w:rPr>
        <w:t>）采购人负责考核相关岗位人员的工作情况及相应工资福利，中标人负责服务员工工资、社保（或商业意外险）、残保金。</w:t>
      </w:r>
    </w:p>
    <w:p w14:paraId="72DB02F9">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w:t>
      </w:r>
      <w:r>
        <w:rPr>
          <w:rFonts w:hint="eastAsia" w:ascii="宋体" w:hAnsi="宋体" w:cs="宋体"/>
          <w:b/>
          <w:bCs w:val="0"/>
          <w:color w:val="auto"/>
          <w:kern w:val="0"/>
          <w:sz w:val="24"/>
          <w:szCs w:val="24"/>
          <w:highlight w:val="none"/>
          <w:lang w:val="en-US" w:eastAsia="zh-CN"/>
        </w:rPr>
        <w:t>9</w:t>
      </w:r>
      <w:r>
        <w:rPr>
          <w:rFonts w:hint="eastAsia" w:ascii="宋体" w:hAnsi="宋体" w:eastAsia="宋体" w:cs="宋体"/>
          <w:b/>
          <w:bCs w:val="0"/>
          <w:color w:val="auto"/>
          <w:kern w:val="0"/>
          <w:sz w:val="24"/>
          <w:szCs w:val="24"/>
          <w:highlight w:val="none"/>
          <w:lang w:val="en-US" w:eastAsia="zh-CN"/>
        </w:rPr>
        <w:t>）人员配置要求：本项目拟配置人员数量不得少于5人，如低于5人，将作无效标处理（供应商须在响应文件中承诺在中标后15天内配齐相关人员且符合国家相关要求；如有违反，将无条件放弃中标，并接受处理，承担相应的责任）。</w:t>
      </w:r>
    </w:p>
    <w:p w14:paraId="69B2CA2E">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五、其他要求：</w:t>
      </w:r>
    </w:p>
    <w:p w14:paraId="2931619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1）中标人须无条件配合采购人接受上级领导、部门的监督、检查，做好各项工作并提供必要的资料。</w:t>
      </w:r>
    </w:p>
    <w:p w14:paraId="3CE0460A">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中标人须认真履行职责，严格按服务协议中的质量保证体系做好服务工作。确保在岗在位，各尽其职，保证符合各项服务的质量标准。如不能保证符合各项服务的质量标准及中标人各项服务承诺，采购人有权要求其整改。</w:t>
      </w:r>
    </w:p>
    <w:p w14:paraId="29122899">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3）为保证采购人的正常医疗活动的开展，中标人须提供详细的交接方案。</w:t>
      </w:r>
    </w:p>
    <w:p w14:paraId="32FAE87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4）中标人提供的服务人员需符合采购人标准录用，采购人提供服务岗位具体要求，中标人负责提供相关岗位服务人员。中标人应有岗前培训机构，服务人员100%经过岗前培训，并经采购人考核合格后方可上岗。</w:t>
      </w:r>
    </w:p>
    <w:p w14:paraId="064CC64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）供应商应就本项目提供管理团队，管理人员应具有人力资源相关知识储备及同类项目实施经验。</w:t>
      </w:r>
    </w:p>
    <w:p w14:paraId="56B0FB38">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w:t>
      </w:r>
      <w:r>
        <w:rPr>
          <w:rFonts w:hint="eastAsia" w:ascii="宋体" w:hAnsi="宋体" w:eastAsia="宋体" w:cs="宋体"/>
          <w:b w:val="0"/>
          <w:bCs/>
          <w:color w:val="auto"/>
          <w:kern w:val="0"/>
          <w:sz w:val="24"/>
          <w:szCs w:val="24"/>
          <w:highlight w:val="none"/>
          <w:lang w:val="en-US" w:eastAsia="zh-CN"/>
        </w:rPr>
        <w:t>）对于</w:t>
      </w:r>
      <w:r>
        <w:rPr>
          <w:rFonts w:hint="eastAsia" w:ascii="宋体" w:hAnsi="宋体" w:cs="宋体"/>
          <w:b w:val="0"/>
          <w:bCs/>
          <w:color w:val="auto"/>
          <w:kern w:val="0"/>
          <w:sz w:val="24"/>
          <w:szCs w:val="24"/>
          <w:highlight w:val="none"/>
          <w:lang w:val="en-US" w:eastAsia="zh-CN"/>
        </w:rPr>
        <w:t>服务人员</w:t>
      </w:r>
      <w:r>
        <w:rPr>
          <w:rFonts w:hint="eastAsia" w:ascii="宋体" w:hAnsi="宋体" w:eastAsia="宋体" w:cs="宋体"/>
          <w:b w:val="0"/>
          <w:bCs/>
          <w:color w:val="auto"/>
          <w:kern w:val="0"/>
          <w:sz w:val="24"/>
          <w:szCs w:val="24"/>
          <w:highlight w:val="none"/>
          <w:lang w:val="en-US" w:eastAsia="zh-CN"/>
        </w:rPr>
        <w:t>的工作质量考核，奖勤罚懒，具体考核细则由采购人制定，每月由科室考核打分，对发现问题，使用科室有权要求中标人进行整改、罚款甚至终止相关</w:t>
      </w:r>
      <w:r>
        <w:rPr>
          <w:rFonts w:hint="eastAsia" w:ascii="宋体" w:hAnsi="宋体" w:cs="宋体"/>
          <w:b w:val="0"/>
          <w:bCs/>
          <w:color w:val="auto"/>
          <w:kern w:val="0"/>
          <w:sz w:val="24"/>
          <w:szCs w:val="24"/>
          <w:highlight w:val="none"/>
          <w:lang w:val="en-US" w:eastAsia="zh-CN"/>
        </w:rPr>
        <w:t>服务人员</w:t>
      </w:r>
      <w:r>
        <w:rPr>
          <w:rFonts w:hint="eastAsia" w:ascii="宋体" w:hAnsi="宋体" w:eastAsia="宋体" w:cs="宋体"/>
          <w:b w:val="0"/>
          <w:bCs/>
          <w:color w:val="auto"/>
          <w:kern w:val="0"/>
          <w:sz w:val="24"/>
          <w:szCs w:val="24"/>
          <w:highlight w:val="none"/>
          <w:lang w:val="en-US" w:eastAsia="zh-CN"/>
        </w:rPr>
        <w:t>的劳动合同。</w:t>
      </w:r>
    </w:p>
    <w:p w14:paraId="070995E3">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7</w:t>
      </w:r>
      <w:r>
        <w:rPr>
          <w:rFonts w:hint="eastAsia" w:ascii="宋体" w:hAnsi="宋体" w:eastAsia="宋体" w:cs="宋体"/>
          <w:b w:val="0"/>
          <w:bCs/>
          <w:color w:val="auto"/>
          <w:kern w:val="0"/>
          <w:sz w:val="24"/>
          <w:szCs w:val="24"/>
          <w:highlight w:val="none"/>
          <w:lang w:val="en-US" w:eastAsia="zh-CN"/>
        </w:rPr>
        <w:t>）采购人有权要求辞退违法乱纪或严重影响采购人声誉的</w:t>
      </w:r>
      <w:r>
        <w:rPr>
          <w:rFonts w:hint="eastAsia" w:ascii="宋体" w:hAnsi="宋体" w:cs="宋体"/>
          <w:b w:val="0"/>
          <w:bCs/>
          <w:color w:val="auto"/>
          <w:kern w:val="0"/>
          <w:sz w:val="24"/>
          <w:szCs w:val="24"/>
          <w:highlight w:val="none"/>
          <w:lang w:val="en-US" w:eastAsia="zh-CN"/>
        </w:rPr>
        <w:t>岗位人员</w:t>
      </w:r>
      <w:r>
        <w:rPr>
          <w:rFonts w:hint="eastAsia" w:ascii="宋体" w:hAnsi="宋体" w:eastAsia="宋体" w:cs="宋体"/>
          <w:b w:val="0"/>
          <w:bCs/>
          <w:color w:val="auto"/>
          <w:kern w:val="0"/>
          <w:sz w:val="24"/>
          <w:szCs w:val="24"/>
          <w:highlight w:val="none"/>
          <w:lang w:val="en-US" w:eastAsia="zh-CN"/>
        </w:rPr>
        <w:t>，情节特别严重的，由采购人移交相关部门处理。</w:t>
      </w:r>
    </w:p>
    <w:p w14:paraId="022E89C9">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lang w:val="en-US" w:eastAsia="zh-CN"/>
        </w:rPr>
        <w:t>）因采购人原因导致合同终止的，须提前书面通知中标人，中标人须在接到采购人书面通知15天内办理好移交手续，采购人不承担中标人的一切损失。</w:t>
      </w:r>
    </w:p>
    <w:p w14:paraId="7AC48A8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9</w:t>
      </w:r>
      <w:r>
        <w:rPr>
          <w:rFonts w:hint="eastAsia" w:ascii="宋体" w:hAnsi="宋体" w:eastAsia="宋体" w:cs="宋体"/>
          <w:b w:val="0"/>
          <w:bCs/>
          <w:color w:val="auto"/>
          <w:kern w:val="0"/>
          <w:sz w:val="24"/>
          <w:szCs w:val="24"/>
          <w:highlight w:val="none"/>
          <w:lang w:val="en-US" w:eastAsia="zh-CN"/>
        </w:rPr>
        <w:t>）中标人不得转包，若发现转包，采购人有权立即终止合同。</w:t>
      </w:r>
    </w:p>
    <w:p w14:paraId="1C1465A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10</w:t>
      </w:r>
      <w:r>
        <w:rPr>
          <w:rFonts w:hint="eastAsia" w:ascii="宋体" w:hAnsi="宋体" w:eastAsia="宋体" w:cs="宋体"/>
          <w:b w:val="0"/>
          <w:bCs/>
          <w:color w:val="auto"/>
          <w:kern w:val="0"/>
          <w:sz w:val="24"/>
          <w:szCs w:val="24"/>
          <w:highlight w:val="none"/>
          <w:lang w:val="en-US" w:eastAsia="zh-CN"/>
        </w:rPr>
        <w:t>）中标人须遵守中华人民共和国劳动法、劳动合同法等法律法规和浙江省、宁波市的有关规定。</w:t>
      </w:r>
    </w:p>
    <w:p w14:paraId="27BFE466">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11</w:t>
      </w:r>
      <w:r>
        <w:rPr>
          <w:rFonts w:hint="eastAsia" w:ascii="宋体" w:hAnsi="宋体" w:eastAsia="宋体" w:cs="宋体"/>
          <w:b w:val="0"/>
          <w:bCs/>
          <w:color w:val="auto"/>
          <w:kern w:val="0"/>
          <w:sz w:val="24"/>
          <w:szCs w:val="24"/>
          <w:highlight w:val="none"/>
          <w:lang w:val="en-US" w:eastAsia="zh-CN"/>
        </w:rPr>
        <w:t>）所有</w:t>
      </w:r>
      <w:r>
        <w:rPr>
          <w:rFonts w:hint="eastAsia" w:ascii="宋体" w:hAnsi="宋体" w:cs="宋体"/>
          <w:b w:val="0"/>
          <w:bCs/>
          <w:color w:val="auto"/>
          <w:kern w:val="0"/>
          <w:sz w:val="24"/>
          <w:szCs w:val="24"/>
          <w:highlight w:val="none"/>
          <w:lang w:val="en-US" w:eastAsia="zh-CN"/>
        </w:rPr>
        <w:t>岗位人员</w:t>
      </w:r>
      <w:r>
        <w:rPr>
          <w:rFonts w:hint="eastAsia" w:ascii="宋体" w:hAnsi="宋体" w:eastAsia="宋体" w:cs="宋体"/>
          <w:b w:val="0"/>
          <w:bCs/>
          <w:color w:val="auto"/>
          <w:kern w:val="0"/>
          <w:sz w:val="24"/>
          <w:szCs w:val="24"/>
          <w:highlight w:val="none"/>
          <w:lang w:val="en-US" w:eastAsia="zh-CN"/>
        </w:rPr>
        <w:t>在合同期间的安全事故全部由中标人负责。</w:t>
      </w:r>
    </w:p>
    <w:p w14:paraId="4A41633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10</w:t>
      </w:r>
      <w:r>
        <w:rPr>
          <w:rFonts w:hint="eastAsia" w:ascii="宋体" w:hAnsi="宋体" w:eastAsia="宋体" w:cs="宋体"/>
          <w:b w:val="0"/>
          <w:bCs/>
          <w:color w:val="auto"/>
          <w:kern w:val="0"/>
          <w:sz w:val="24"/>
          <w:szCs w:val="24"/>
          <w:highlight w:val="none"/>
          <w:lang w:val="en-US" w:eastAsia="zh-CN"/>
        </w:rPr>
        <w:t>）如遇政策性变故，或政府行为需终止合同，中标人需无条件服从。</w:t>
      </w:r>
    </w:p>
    <w:p w14:paraId="2A3216ED">
      <w:pPr>
        <w:widowControl/>
        <w:adjustRightInd/>
        <w:spacing w:afterLines="0" w:line="360" w:lineRule="auto"/>
        <w:jc w:val="left"/>
        <w:rPr>
          <w:rFonts w:hint="default" w:ascii="Times New Roman" w:hAnsi="Times New Roman" w:eastAsia="宋体" w:cs="Times New Roman"/>
          <w:b/>
          <w:bCs/>
          <w:color w:val="auto"/>
          <w:kern w:val="0"/>
          <w:szCs w:val="20"/>
          <w:highlight w:val="none"/>
          <w:lang w:val="en-US" w:eastAsia="zh-CN"/>
        </w:rPr>
      </w:pPr>
      <w:bookmarkStart w:id="537" w:name="_GoBack"/>
      <w:bookmarkEnd w:id="537"/>
      <w:r>
        <w:rPr>
          <w:rFonts w:hint="eastAsia" w:ascii="宋体" w:hAnsi="宋体" w:cs="宋体"/>
          <w:b/>
          <w:bCs w:val="0"/>
          <w:color w:val="auto"/>
          <w:kern w:val="0"/>
          <w:sz w:val="24"/>
          <w:szCs w:val="24"/>
          <w:highlight w:val="none"/>
          <w:lang w:val="en-US" w:eastAsia="zh-CN"/>
        </w:rPr>
        <w:t>六</w:t>
      </w:r>
      <w:r>
        <w:rPr>
          <w:rFonts w:hint="eastAsia" w:ascii="宋体" w:hAnsi="宋体" w:eastAsia="宋体" w:cs="宋体"/>
          <w:b/>
          <w:bCs w:val="0"/>
          <w:color w:val="auto"/>
          <w:kern w:val="0"/>
          <w:sz w:val="24"/>
          <w:szCs w:val="24"/>
          <w:highlight w:val="none"/>
          <w:lang w:val="en-US" w:eastAsia="zh-CN"/>
        </w:rPr>
        <w:t>、</w:t>
      </w:r>
      <w:r>
        <w:rPr>
          <w:rFonts w:hint="eastAsia" w:ascii="宋体" w:hAnsi="宋体" w:cs="宋体"/>
          <w:b/>
          <w:bCs w:val="0"/>
          <w:color w:val="auto"/>
          <w:kern w:val="0"/>
          <w:sz w:val="24"/>
          <w:szCs w:val="24"/>
          <w:highlight w:val="none"/>
          <w:lang w:val="en-US" w:eastAsia="zh-CN"/>
        </w:rPr>
        <w:t>投标</w:t>
      </w:r>
      <w:r>
        <w:rPr>
          <w:rFonts w:hint="eastAsia" w:ascii="宋体" w:hAnsi="宋体" w:eastAsia="宋体" w:cs="宋体"/>
          <w:b/>
          <w:bCs w:val="0"/>
          <w:color w:val="auto"/>
          <w:kern w:val="0"/>
          <w:sz w:val="24"/>
          <w:szCs w:val="24"/>
          <w:highlight w:val="none"/>
          <w:lang w:val="en-US" w:eastAsia="zh-CN"/>
        </w:rPr>
        <w:t>要求</w:t>
      </w:r>
    </w:p>
    <w:p w14:paraId="5885FE8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供应商需在投标文件中提供项目了解情况</w:t>
      </w:r>
      <w:r>
        <w:rPr>
          <w:rFonts w:hint="eastAsia" w:ascii="宋体" w:hAnsi="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医院管理方案</w:t>
      </w:r>
      <w:r>
        <w:rPr>
          <w:rFonts w:hint="eastAsia" w:ascii="宋体" w:hAnsi="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医院服务质量保障</w:t>
      </w:r>
      <w:r>
        <w:rPr>
          <w:rFonts w:hint="eastAsia" w:ascii="宋体" w:hAnsi="宋体" w:cs="宋体"/>
          <w:b w:val="0"/>
          <w:bCs/>
          <w:color w:val="auto"/>
          <w:kern w:val="0"/>
          <w:sz w:val="24"/>
          <w:szCs w:val="24"/>
          <w:highlight w:val="none"/>
          <w:lang w:val="en-US" w:eastAsia="zh-CN"/>
        </w:rPr>
        <w:t>方案、</w:t>
      </w:r>
      <w:r>
        <w:rPr>
          <w:rFonts w:hint="eastAsia" w:ascii="宋体" w:hAnsi="宋体" w:eastAsia="宋体" w:cs="宋体"/>
          <w:b w:val="0"/>
          <w:bCs/>
          <w:color w:val="auto"/>
          <w:kern w:val="0"/>
          <w:sz w:val="24"/>
          <w:szCs w:val="24"/>
          <w:highlight w:val="none"/>
          <w:lang w:val="en-US" w:eastAsia="zh-CN"/>
        </w:rPr>
        <w:t>重点分析及解决方案</w:t>
      </w:r>
      <w:r>
        <w:rPr>
          <w:rFonts w:hint="eastAsia" w:ascii="宋体" w:hAnsi="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人员配置方案</w:t>
      </w:r>
      <w:r>
        <w:rPr>
          <w:rFonts w:hint="eastAsia" w:ascii="宋体" w:hAnsi="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人员管理方案</w:t>
      </w:r>
      <w:r>
        <w:rPr>
          <w:rFonts w:hint="eastAsia" w:ascii="宋体" w:hAnsi="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人员培训方案</w:t>
      </w:r>
      <w:r>
        <w:rPr>
          <w:rFonts w:hint="eastAsia" w:ascii="宋体" w:hAnsi="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项目人员衔接方案等相关证明材料。</w:t>
      </w:r>
    </w:p>
    <w:p w14:paraId="4B05B15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bookmarkStart w:id="37" w:name="_Toc18651"/>
    </w:p>
    <w:p w14:paraId="73A68F8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4FE780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8" w:name="_Toc184310326"/>
      <w:bookmarkEnd w:id="38"/>
      <w:bookmarkStart w:id="39" w:name="_Toc184313246"/>
      <w:bookmarkEnd w:id="39"/>
      <w:bookmarkStart w:id="40" w:name="_Toc184312086"/>
      <w:bookmarkEnd w:id="40"/>
      <w:bookmarkStart w:id="41" w:name="_Toc184310296"/>
      <w:bookmarkEnd w:id="41"/>
      <w:bookmarkStart w:id="42" w:name="_Toc184314459"/>
      <w:bookmarkEnd w:id="42"/>
      <w:bookmarkStart w:id="43" w:name="_Toc184310288"/>
      <w:bookmarkEnd w:id="43"/>
      <w:bookmarkStart w:id="44" w:name="_Toc184310283"/>
      <w:bookmarkEnd w:id="44"/>
      <w:bookmarkStart w:id="45" w:name="_Toc184310278"/>
      <w:bookmarkEnd w:id="45"/>
      <w:bookmarkStart w:id="46" w:name="_Toc184310281"/>
      <w:bookmarkEnd w:id="46"/>
      <w:bookmarkStart w:id="47" w:name="_Toc184308078"/>
      <w:bookmarkEnd w:id="47"/>
      <w:bookmarkStart w:id="48" w:name="_Toc184308097"/>
      <w:bookmarkEnd w:id="48"/>
      <w:bookmarkStart w:id="49" w:name="_Toc184308095"/>
      <w:bookmarkEnd w:id="49"/>
      <w:bookmarkStart w:id="50" w:name="_Toc184310304"/>
      <w:bookmarkEnd w:id="50"/>
      <w:bookmarkStart w:id="51" w:name="_Toc184312080"/>
      <w:bookmarkEnd w:id="51"/>
      <w:bookmarkStart w:id="52" w:name="_Toc184313268"/>
      <w:bookmarkEnd w:id="52"/>
      <w:bookmarkStart w:id="53" w:name="_Toc184313282"/>
      <w:bookmarkEnd w:id="53"/>
      <w:bookmarkStart w:id="54" w:name="_Toc184312100"/>
      <w:bookmarkEnd w:id="54"/>
      <w:bookmarkStart w:id="55" w:name="_Toc184313275"/>
      <w:bookmarkEnd w:id="55"/>
      <w:bookmarkStart w:id="56" w:name="_Toc184313239"/>
      <w:bookmarkEnd w:id="56"/>
      <w:bookmarkStart w:id="57" w:name="_Toc184313242"/>
      <w:bookmarkEnd w:id="57"/>
      <w:bookmarkStart w:id="58" w:name="_Toc184312092"/>
      <w:bookmarkEnd w:id="58"/>
      <w:bookmarkStart w:id="59" w:name="_Toc184314450"/>
      <w:bookmarkEnd w:id="59"/>
      <w:bookmarkStart w:id="60" w:name="_Toc184314468"/>
      <w:bookmarkEnd w:id="60"/>
      <w:bookmarkStart w:id="61" w:name="_Toc184312074"/>
      <w:bookmarkEnd w:id="61"/>
      <w:bookmarkStart w:id="62" w:name="_Toc184312122"/>
      <w:bookmarkEnd w:id="62"/>
      <w:bookmarkStart w:id="63" w:name="_Toc184312082"/>
      <w:bookmarkEnd w:id="63"/>
      <w:bookmarkStart w:id="64" w:name="_Toc184314472"/>
      <w:bookmarkEnd w:id="64"/>
      <w:bookmarkStart w:id="65" w:name="_Toc184313255"/>
      <w:bookmarkEnd w:id="65"/>
      <w:bookmarkStart w:id="66" w:name="_Toc184310329"/>
      <w:bookmarkEnd w:id="66"/>
      <w:bookmarkStart w:id="67" w:name="_Toc184313245"/>
      <w:bookmarkEnd w:id="67"/>
      <w:bookmarkStart w:id="68" w:name="_Toc184310279"/>
      <w:bookmarkEnd w:id="68"/>
      <w:bookmarkStart w:id="69" w:name="_Toc184310342"/>
      <w:bookmarkEnd w:id="69"/>
      <w:bookmarkStart w:id="70" w:name="_Toc184310336"/>
      <w:bookmarkEnd w:id="70"/>
      <w:bookmarkStart w:id="71" w:name="_Toc184308096"/>
      <w:bookmarkEnd w:id="71"/>
      <w:bookmarkStart w:id="72" w:name="_Toc184312136"/>
      <w:bookmarkEnd w:id="72"/>
      <w:bookmarkStart w:id="73" w:name="_Toc184308053"/>
      <w:bookmarkEnd w:id="73"/>
      <w:bookmarkStart w:id="74" w:name="_Toc184314417"/>
      <w:bookmarkEnd w:id="74"/>
      <w:bookmarkStart w:id="75" w:name="_Toc184308080"/>
      <w:bookmarkEnd w:id="75"/>
      <w:bookmarkStart w:id="76" w:name="_Toc184313287"/>
      <w:bookmarkEnd w:id="76"/>
      <w:bookmarkStart w:id="77" w:name="_Toc184312087"/>
      <w:bookmarkEnd w:id="77"/>
      <w:bookmarkStart w:id="78" w:name="_Toc184313273"/>
      <w:bookmarkEnd w:id="78"/>
      <w:bookmarkStart w:id="79" w:name="_Toc184314441"/>
      <w:bookmarkEnd w:id="79"/>
      <w:bookmarkStart w:id="80" w:name="_Toc184313244"/>
      <w:bookmarkEnd w:id="80"/>
      <w:bookmarkStart w:id="81" w:name="_Toc184310302"/>
      <w:bookmarkEnd w:id="81"/>
      <w:bookmarkStart w:id="82" w:name="_Toc184312071"/>
      <w:bookmarkEnd w:id="82"/>
      <w:bookmarkStart w:id="83" w:name="_Toc184313263"/>
      <w:bookmarkEnd w:id="83"/>
      <w:bookmarkStart w:id="84" w:name="_Toc184308089"/>
      <w:bookmarkEnd w:id="84"/>
      <w:bookmarkStart w:id="85" w:name="_Toc184314422"/>
      <w:bookmarkEnd w:id="85"/>
      <w:bookmarkStart w:id="86" w:name="_Toc184312067"/>
      <w:bookmarkEnd w:id="86"/>
      <w:bookmarkStart w:id="87" w:name="_Toc184314414"/>
      <w:bookmarkEnd w:id="87"/>
      <w:bookmarkStart w:id="88" w:name="_Toc184313292"/>
      <w:bookmarkEnd w:id="88"/>
      <w:bookmarkStart w:id="89" w:name="_Toc184314457"/>
      <w:bookmarkEnd w:id="89"/>
      <w:bookmarkStart w:id="90" w:name="_Toc184313299"/>
      <w:bookmarkEnd w:id="90"/>
      <w:bookmarkStart w:id="91" w:name="_Toc184313251"/>
      <w:bookmarkEnd w:id="91"/>
      <w:bookmarkStart w:id="92" w:name="_Toc184308057"/>
      <w:bookmarkEnd w:id="92"/>
      <w:bookmarkStart w:id="93" w:name="_Toc184314419"/>
      <w:bookmarkEnd w:id="93"/>
      <w:bookmarkStart w:id="94" w:name="_Toc184314444"/>
      <w:bookmarkEnd w:id="94"/>
      <w:bookmarkStart w:id="95" w:name="_Toc184314437"/>
      <w:bookmarkEnd w:id="95"/>
      <w:bookmarkStart w:id="96" w:name="_Toc184310328"/>
      <w:bookmarkEnd w:id="96"/>
      <w:bookmarkStart w:id="97" w:name="_Toc184310325"/>
      <w:bookmarkEnd w:id="97"/>
      <w:bookmarkStart w:id="98" w:name="_Toc184312069"/>
      <w:bookmarkEnd w:id="98"/>
      <w:bookmarkStart w:id="99" w:name="_Toc184314442"/>
      <w:bookmarkEnd w:id="99"/>
      <w:bookmarkStart w:id="100" w:name="_Toc184312079"/>
      <w:bookmarkEnd w:id="100"/>
      <w:bookmarkStart w:id="101" w:name="_Toc184308073"/>
      <w:bookmarkEnd w:id="101"/>
      <w:bookmarkStart w:id="102" w:name="_Toc184310344"/>
      <w:bookmarkEnd w:id="102"/>
      <w:bookmarkStart w:id="103" w:name="_Toc184310320"/>
      <w:bookmarkEnd w:id="103"/>
      <w:bookmarkStart w:id="104" w:name="_Toc184310315"/>
      <w:bookmarkEnd w:id="104"/>
      <w:bookmarkStart w:id="105" w:name="_Toc184313250"/>
      <w:bookmarkEnd w:id="105"/>
      <w:bookmarkStart w:id="106" w:name="_Toc184310331"/>
      <w:bookmarkEnd w:id="106"/>
      <w:bookmarkStart w:id="107" w:name="_Toc184314469"/>
      <w:bookmarkEnd w:id="107"/>
      <w:bookmarkStart w:id="108" w:name="_Toc184310301"/>
      <w:bookmarkEnd w:id="108"/>
      <w:bookmarkStart w:id="109" w:name="_Toc184314461"/>
      <w:bookmarkEnd w:id="109"/>
      <w:bookmarkStart w:id="110" w:name="_Toc184310297"/>
      <w:bookmarkEnd w:id="110"/>
      <w:bookmarkStart w:id="111" w:name="_Toc184313293"/>
      <w:bookmarkEnd w:id="111"/>
      <w:bookmarkStart w:id="112" w:name="_Toc184308084"/>
      <w:bookmarkEnd w:id="112"/>
      <w:bookmarkStart w:id="113" w:name="_Toc184313296"/>
      <w:bookmarkEnd w:id="113"/>
      <w:bookmarkStart w:id="114" w:name="_Toc184308079"/>
      <w:bookmarkEnd w:id="114"/>
      <w:bookmarkStart w:id="115" w:name="_Toc184314436"/>
      <w:bookmarkEnd w:id="115"/>
      <w:bookmarkStart w:id="116" w:name="_Toc184310307"/>
      <w:bookmarkEnd w:id="116"/>
      <w:bookmarkStart w:id="117" w:name="_Toc184308103"/>
      <w:bookmarkEnd w:id="117"/>
      <w:bookmarkStart w:id="118" w:name="_Toc184312090"/>
      <w:bookmarkEnd w:id="118"/>
      <w:bookmarkStart w:id="119" w:name="_Toc184310341"/>
      <w:bookmarkEnd w:id="119"/>
      <w:bookmarkStart w:id="120" w:name="_Toc184308102"/>
      <w:bookmarkEnd w:id="120"/>
      <w:bookmarkStart w:id="121" w:name="_Toc184312089"/>
      <w:bookmarkEnd w:id="121"/>
      <w:bookmarkStart w:id="122" w:name="_Toc184313259"/>
      <w:bookmarkEnd w:id="122"/>
      <w:bookmarkStart w:id="123" w:name="_Toc184314454"/>
      <w:bookmarkEnd w:id="123"/>
      <w:bookmarkStart w:id="124" w:name="_Toc184312126"/>
      <w:bookmarkEnd w:id="124"/>
      <w:bookmarkStart w:id="125" w:name="_Toc184308051"/>
      <w:bookmarkEnd w:id="125"/>
      <w:bookmarkStart w:id="126" w:name="_Toc184310337"/>
      <w:bookmarkEnd w:id="126"/>
      <w:bookmarkStart w:id="127" w:name="_Toc184312085"/>
      <w:bookmarkEnd w:id="127"/>
      <w:bookmarkStart w:id="128" w:name="_Toc184314427"/>
      <w:bookmarkEnd w:id="128"/>
      <w:bookmarkStart w:id="129" w:name="_Toc184312121"/>
      <w:bookmarkEnd w:id="129"/>
      <w:bookmarkStart w:id="130" w:name="_Toc184308061"/>
      <w:bookmarkEnd w:id="130"/>
      <w:bookmarkStart w:id="131" w:name="_Toc184308104"/>
      <w:bookmarkEnd w:id="131"/>
      <w:bookmarkStart w:id="132" w:name="_Toc184310340"/>
      <w:bookmarkEnd w:id="132"/>
      <w:bookmarkStart w:id="133" w:name="_Toc184308086"/>
      <w:bookmarkEnd w:id="133"/>
      <w:bookmarkStart w:id="134" w:name="_Toc184313271"/>
      <w:bookmarkEnd w:id="134"/>
      <w:bookmarkStart w:id="135" w:name="_Toc184312112"/>
      <w:bookmarkEnd w:id="135"/>
      <w:bookmarkStart w:id="136" w:name="_Toc184314478"/>
      <w:bookmarkEnd w:id="136"/>
      <w:bookmarkStart w:id="137" w:name="_Toc184314412"/>
      <w:bookmarkEnd w:id="137"/>
      <w:bookmarkStart w:id="138" w:name="_Toc184313294"/>
      <w:bookmarkEnd w:id="138"/>
      <w:bookmarkStart w:id="139" w:name="_Toc184312113"/>
      <w:bookmarkEnd w:id="139"/>
      <w:bookmarkStart w:id="140" w:name="_Toc184313265"/>
      <w:bookmarkEnd w:id="140"/>
      <w:bookmarkStart w:id="141" w:name="_Toc184310338"/>
      <w:bookmarkEnd w:id="141"/>
      <w:bookmarkStart w:id="142" w:name="_Toc184312128"/>
      <w:bookmarkEnd w:id="142"/>
      <w:bookmarkStart w:id="143" w:name="_Toc184313280"/>
      <w:bookmarkEnd w:id="143"/>
      <w:bookmarkStart w:id="144" w:name="_Toc184312097"/>
      <w:bookmarkEnd w:id="144"/>
      <w:bookmarkStart w:id="145" w:name="_Toc184314458"/>
      <w:bookmarkEnd w:id="145"/>
      <w:bookmarkStart w:id="146" w:name="_Toc184312075"/>
      <w:bookmarkEnd w:id="146"/>
      <w:bookmarkStart w:id="147" w:name="_Toc184312132"/>
      <w:bookmarkEnd w:id="147"/>
      <w:bookmarkStart w:id="148" w:name="_Toc184310308"/>
      <w:bookmarkEnd w:id="148"/>
      <w:bookmarkStart w:id="149" w:name="_Toc184313283"/>
      <w:bookmarkEnd w:id="149"/>
      <w:bookmarkStart w:id="150" w:name="_Toc184308071"/>
      <w:bookmarkEnd w:id="150"/>
      <w:bookmarkStart w:id="151" w:name="_Toc184313291"/>
      <w:bookmarkEnd w:id="151"/>
      <w:bookmarkStart w:id="152" w:name="_Toc184314474"/>
      <w:bookmarkEnd w:id="152"/>
      <w:bookmarkStart w:id="153" w:name="_Toc184312102"/>
      <w:bookmarkEnd w:id="153"/>
      <w:bookmarkStart w:id="154" w:name="_Toc184308065"/>
      <w:bookmarkEnd w:id="154"/>
      <w:bookmarkStart w:id="155" w:name="_Toc184313260"/>
      <w:bookmarkEnd w:id="155"/>
      <w:bookmarkStart w:id="156" w:name="_Toc184308098"/>
      <w:bookmarkEnd w:id="156"/>
      <w:bookmarkStart w:id="157" w:name="_Toc184310321"/>
      <w:bookmarkEnd w:id="157"/>
      <w:bookmarkStart w:id="158" w:name="_Toc184310291"/>
      <w:bookmarkEnd w:id="158"/>
      <w:bookmarkStart w:id="159" w:name="_Toc184312103"/>
      <w:bookmarkEnd w:id="159"/>
      <w:bookmarkStart w:id="160" w:name="_Toc184308038"/>
      <w:bookmarkEnd w:id="160"/>
      <w:bookmarkStart w:id="161" w:name="_Toc184314470"/>
      <w:bookmarkEnd w:id="161"/>
      <w:bookmarkStart w:id="162" w:name="_Toc184313297"/>
      <w:bookmarkEnd w:id="162"/>
      <w:bookmarkStart w:id="163" w:name="_Toc184310322"/>
      <w:bookmarkEnd w:id="163"/>
      <w:bookmarkStart w:id="164" w:name="_Toc184310273"/>
      <w:bookmarkEnd w:id="164"/>
      <w:bookmarkStart w:id="165" w:name="_Toc184314447"/>
      <w:bookmarkEnd w:id="165"/>
      <w:bookmarkStart w:id="166" w:name="_Toc184314445"/>
      <w:bookmarkEnd w:id="166"/>
      <w:bookmarkStart w:id="167" w:name="_Toc184312116"/>
      <w:bookmarkEnd w:id="167"/>
      <w:bookmarkStart w:id="168" w:name="_Toc184308076"/>
      <w:bookmarkEnd w:id="168"/>
      <w:bookmarkStart w:id="169" w:name="_Toc184312105"/>
      <w:bookmarkEnd w:id="169"/>
      <w:bookmarkStart w:id="170" w:name="_Toc184310300"/>
      <w:bookmarkEnd w:id="170"/>
      <w:bookmarkStart w:id="171" w:name="_Toc184314467"/>
      <w:bookmarkEnd w:id="171"/>
      <w:bookmarkStart w:id="172" w:name="_Toc184313272"/>
      <w:bookmarkEnd w:id="172"/>
      <w:bookmarkStart w:id="173" w:name="_Toc184314439"/>
      <w:bookmarkEnd w:id="173"/>
      <w:bookmarkStart w:id="174" w:name="_Toc184310287"/>
      <w:bookmarkEnd w:id="174"/>
      <w:bookmarkStart w:id="175" w:name="_Toc184308060"/>
      <w:bookmarkEnd w:id="175"/>
      <w:bookmarkStart w:id="176" w:name="_Toc184312135"/>
      <w:bookmarkEnd w:id="176"/>
      <w:bookmarkStart w:id="177" w:name="_Toc184313238"/>
      <w:bookmarkEnd w:id="177"/>
      <w:bookmarkStart w:id="178" w:name="_Toc184308049"/>
      <w:bookmarkEnd w:id="178"/>
      <w:bookmarkStart w:id="179" w:name="_Toc184313305"/>
      <w:bookmarkEnd w:id="179"/>
      <w:bookmarkStart w:id="180" w:name="_Toc184310314"/>
      <w:bookmarkEnd w:id="180"/>
      <w:bookmarkStart w:id="181" w:name="_Toc184314477"/>
      <w:bookmarkEnd w:id="181"/>
      <w:bookmarkStart w:id="182" w:name="_Toc184308046"/>
      <w:bookmarkEnd w:id="182"/>
      <w:bookmarkStart w:id="183" w:name="_Toc184312134"/>
      <w:bookmarkEnd w:id="183"/>
      <w:bookmarkStart w:id="184" w:name="_Toc184310284"/>
      <w:bookmarkEnd w:id="184"/>
      <w:bookmarkStart w:id="185" w:name="_Toc184310274"/>
      <w:bookmarkEnd w:id="185"/>
      <w:bookmarkStart w:id="186" w:name="_Toc184314413"/>
      <w:bookmarkEnd w:id="186"/>
      <w:bookmarkStart w:id="187" w:name="_Toc184313269"/>
      <w:bookmarkEnd w:id="187"/>
      <w:bookmarkStart w:id="188" w:name="_Toc184314465"/>
      <w:bookmarkEnd w:id="188"/>
      <w:bookmarkStart w:id="189" w:name="_Toc184310313"/>
      <w:bookmarkEnd w:id="189"/>
      <w:bookmarkStart w:id="190" w:name="_Toc184308042"/>
      <w:bookmarkEnd w:id="190"/>
      <w:bookmarkStart w:id="191" w:name="_Toc184308106"/>
      <w:bookmarkEnd w:id="191"/>
      <w:bookmarkStart w:id="192" w:name="_Toc184313276"/>
      <w:bookmarkEnd w:id="192"/>
      <w:bookmarkStart w:id="193" w:name="_Toc184308082"/>
      <w:bookmarkEnd w:id="193"/>
      <w:bookmarkStart w:id="194" w:name="_Toc184313309"/>
      <w:bookmarkEnd w:id="194"/>
      <w:bookmarkStart w:id="195" w:name="_Toc184312073"/>
      <w:bookmarkEnd w:id="195"/>
      <w:bookmarkStart w:id="196" w:name="_Toc184310334"/>
      <w:bookmarkEnd w:id="196"/>
      <w:bookmarkStart w:id="197" w:name="_Toc184308094"/>
      <w:bookmarkEnd w:id="197"/>
      <w:bookmarkStart w:id="198" w:name="_Toc184313277"/>
      <w:bookmarkEnd w:id="198"/>
      <w:bookmarkStart w:id="199" w:name="_Toc184313286"/>
      <w:bookmarkEnd w:id="199"/>
      <w:bookmarkStart w:id="200" w:name="_Toc184310316"/>
      <w:bookmarkEnd w:id="200"/>
      <w:bookmarkStart w:id="201" w:name="_Toc184313289"/>
      <w:bookmarkEnd w:id="201"/>
      <w:bookmarkStart w:id="202" w:name="_Toc184313252"/>
      <w:bookmarkEnd w:id="202"/>
      <w:bookmarkStart w:id="203" w:name="_Toc184314429"/>
      <w:bookmarkEnd w:id="203"/>
      <w:bookmarkStart w:id="204" w:name="_Toc184312077"/>
      <w:bookmarkEnd w:id="204"/>
      <w:bookmarkStart w:id="205" w:name="_Toc184308064"/>
      <w:bookmarkEnd w:id="205"/>
      <w:bookmarkStart w:id="206" w:name="_Toc184308072"/>
      <w:bookmarkEnd w:id="206"/>
      <w:bookmarkStart w:id="207" w:name="_Toc184308087"/>
      <w:bookmarkEnd w:id="207"/>
      <w:bookmarkStart w:id="208" w:name="_Toc184314443"/>
      <w:bookmarkEnd w:id="208"/>
      <w:bookmarkStart w:id="209" w:name="_Toc184312127"/>
      <w:bookmarkEnd w:id="209"/>
      <w:bookmarkStart w:id="210" w:name="_Toc184314464"/>
      <w:bookmarkEnd w:id="210"/>
      <w:bookmarkStart w:id="211" w:name="_Toc184310272"/>
      <w:bookmarkEnd w:id="211"/>
      <w:bookmarkStart w:id="212" w:name="_Toc184312088"/>
      <w:bookmarkEnd w:id="212"/>
      <w:bookmarkStart w:id="213" w:name="_Toc184312120"/>
      <w:bookmarkEnd w:id="213"/>
      <w:bookmarkStart w:id="214" w:name="_Toc184308091"/>
      <w:bookmarkEnd w:id="214"/>
      <w:bookmarkStart w:id="215" w:name="_Toc184313290"/>
      <w:bookmarkEnd w:id="215"/>
      <w:bookmarkStart w:id="216" w:name="_Toc184310282"/>
      <w:bookmarkEnd w:id="216"/>
      <w:bookmarkStart w:id="217" w:name="_Toc184308047"/>
      <w:bookmarkEnd w:id="217"/>
      <w:bookmarkStart w:id="218" w:name="_Toc184312084"/>
      <w:bookmarkEnd w:id="218"/>
      <w:bookmarkStart w:id="219" w:name="_Toc184314452"/>
      <w:bookmarkEnd w:id="219"/>
      <w:bookmarkStart w:id="220" w:name="_Toc184308056"/>
      <w:bookmarkEnd w:id="220"/>
      <w:bookmarkStart w:id="221" w:name="_Toc184313253"/>
      <w:bookmarkEnd w:id="221"/>
      <w:bookmarkStart w:id="222" w:name="_Toc184313266"/>
      <w:bookmarkEnd w:id="222"/>
      <w:bookmarkStart w:id="223" w:name="_Toc184313247"/>
      <w:bookmarkEnd w:id="223"/>
      <w:bookmarkStart w:id="224" w:name="_Toc184308085"/>
      <w:bookmarkEnd w:id="224"/>
      <w:bookmarkStart w:id="225" w:name="_Toc184314453"/>
      <w:bookmarkEnd w:id="225"/>
      <w:bookmarkStart w:id="226" w:name="_Toc184313262"/>
      <w:bookmarkEnd w:id="226"/>
      <w:bookmarkStart w:id="227" w:name="_Toc184310293"/>
      <w:bookmarkEnd w:id="227"/>
      <w:bookmarkStart w:id="228" w:name="_Toc184310290"/>
      <w:bookmarkEnd w:id="228"/>
      <w:bookmarkStart w:id="229" w:name="_Toc184314456"/>
      <w:bookmarkEnd w:id="229"/>
      <w:bookmarkStart w:id="230" w:name="_Toc184313284"/>
      <w:bookmarkEnd w:id="230"/>
      <w:bookmarkStart w:id="231" w:name="_Toc184308107"/>
      <w:bookmarkEnd w:id="231"/>
      <w:bookmarkStart w:id="232" w:name="_Toc184313310"/>
      <w:bookmarkEnd w:id="232"/>
      <w:bookmarkStart w:id="233" w:name="_Toc184310310"/>
      <w:bookmarkEnd w:id="233"/>
      <w:bookmarkStart w:id="234" w:name="_Toc184308048"/>
      <w:bookmarkEnd w:id="234"/>
      <w:bookmarkStart w:id="235" w:name="_Toc184308040"/>
      <w:bookmarkEnd w:id="235"/>
      <w:bookmarkStart w:id="236" w:name="_Toc184313243"/>
      <w:bookmarkEnd w:id="236"/>
      <w:bookmarkStart w:id="237" w:name="_Toc184308059"/>
      <w:bookmarkEnd w:id="237"/>
      <w:bookmarkStart w:id="238" w:name="_Toc184312091"/>
      <w:bookmarkEnd w:id="238"/>
      <w:bookmarkStart w:id="239" w:name="_Toc184313258"/>
      <w:bookmarkEnd w:id="239"/>
      <w:bookmarkStart w:id="240" w:name="_Toc184308069"/>
      <w:bookmarkEnd w:id="240"/>
      <w:bookmarkStart w:id="241" w:name="_Toc184312139"/>
      <w:bookmarkEnd w:id="241"/>
      <w:bookmarkStart w:id="242" w:name="_Toc184314416"/>
      <w:bookmarkEnd w:id="242"/>
      <w:bookmarkStart w:id="243" w:name="_Toc184308090"/>
      <w:bookmarkEnd w:id="243"/>
      <w:bookmarkStart w:id="244" w:name="_Toc184310298"/>
      <w:bookmarkEnd w:id="244"/>
      <w:bookmarkStart w:id="245" w:name="_Toc184308058"/>
      <w:bookmarkEnd w:id="245"/>
      <w:bookmarkStart w:id="246" w:name="_Toc184308037"/>
      <w:bookmarkEnd w:id="246"/>
      <w:bookmarkStart w:id="247" w:name="_Toc184312083"/>
      <w:bookmarkEnd w:id="247"/>
      <w:bookmarkStart w:id="248" w:name="_Toc184313240"/>
      <w:bookmarkEnd w:id="248"/>
      <w:bookmarkStart w:id="249" w:name="_Toc184313278"/>
      <w:bookmarkEnd w:id="249"/>
      <w:bookmarkStart w:id="250" w:name="_Toc184314438"/>
      <w:bookmarkEnd w:id="250"/>
      <w:bookmarkStart w:id="251" w:name="_Toc184312111"/>
      <w:bookmarkEnd w:id="251"/>
      <w:bookmarkStart w:id="252" w:name="_Toc184314476"/>
      <w:bookmarkEnd w:id="252"/>
      <w:bookmarkStart w:id="253" w:name="_Toc184314448"/>
      <w:bookmarkEnd w:id="253"/>
      <w:bookmarkStart w:id="254" w:name="_Toc184308062"/>
      <w:bookmarkEnd w:id="254"/>
      <w:bookmarkStart w:id="255" w:name="_Toc184310306"/>
      <w:bookmarkEnd w:id="255"/>
      <w:bookmarkStart w:id="256" w:name="_Toc184308077"/>
      <w:bookmarkEnd w:id="256"/>
      <w:bookmarkStart w:id="257" w:name="_Toc184314433"/>
      <w:bookmarkEnd w:id="257"/>
      <w:bookmarkStart w:id="258" w:name="_Toc184312106"/>
      <w:bookmarkEnd w:id="258"/>
      <w:bookmarkStart w:id="259" w:name="_Toc184310343"/>
      <w:bookmarkEnd w:id="259"/>
      <w:bookmarkStart w:id="260" w:name="_Toc184310289"/>
      <w:bookmarkEnd w:id="260"/>
      <w:bookmarkStart w:id="261" w:name="_Toc184313306"/>
      <w:bookmarkEnd w:id="261"/>
      <w:bookmarkStart w:id="262" w:name="_Toc184310327"/>
      <w:bookmarkEnd w:id="262"/>
      <w:bookmarkStart w:id="263" w:name="_Toc184310280"/>
      <w:bookmarkEnd w:id="263"/>
      <w:bookmarkStart w:id="264" w:name="_Toc184312101"/>
      <w:bookmarkEnd w:id="264"/>
      <w:bookmarkStart w:id="265" w:name="_Toc184312125"/>
      <w:bookmarkEnd w:id="265"/>
      <w:bookmarkStart w:id="266" w:name="_Toc184310330"/>
      <w:bookmarkEnd w:id="266"/>
      <w:bookmarkStart w:id="267" w:name="_Toc184312119"/>
      <w:bookmarkEnd w:id="267"/>
      <w:bookmarkStart w:id="268" w:name="_Toc184314455"/>
      <w:bookmarkEnd w:id="268"/>
      <w:bookmarkStart w:id="269" w:name="_Toc184313300"/>
      <w:bookmarkEnd w:id="269"/>
      <w:bookmarkStart w:id="270" w:name="_Toc184308088"/>
      <w:bookmarkEnd w:id="270"/>
      <w:bookmarkStart w:id="271" w:name="_Toc184312133"/>
      <w:bookmarkEnd w:id="271"/>
      <w:bookmarkStart w:id="272" w:name="_Toc184308108"/>
      <w:bookmarkEnd w:id="272"/>
      <w:bookmarkStart w:id="273" w:name="_Toc184312096"/>
      <w:bookmarkEnd w:id="273"/>
      <w:bookmarkStart w:id="274" w:name="_Toc184312081"/>
      <w:bookmarkEnd w:id="274"/>
      <w:bookmarkStart w:id="275" w:name="_Toc184308036"/>
      <w:bookmarkEnd w:id="275"/>
      <w:bookmarkStart w:id="276" w:name="_Toc184310311"/>
      <w:bookmarkEnd w:id="276"/>
      <w:bookmarkStart w:id="277" w:name="_Toc184314463"/>
      <w:bookmarkEnd w:id="277"/>
      <w:bookmarkStart w:id="278" w:name="_Toc184312131"/>
      <w:bookmarkEnd w:id="278"/>
      <w:bookmarkStart w:id="279" w:name="_Toc184312094"/>
      <w:bookmarkEnd w:id="279"/>
      <w:bookmarkStart w:id="280" w:name="_Toc184314466"/>
      <w:bookmarkEnd w:id="280"/>
      <w:bookmarkStart w:id="281" w:name="_Toc184314460"/>
      <w:bookmarkEnd w:id="281"/>
      <w:bookmarkStart w:id="282" w:name="_Toc184312129"/>
      <w:bookmarkEnd w:id="282"/>
      <w:bookmarkStart w:id="283" w:name="_Toc184312123"/>
      <w:bookmarkEnd w:id="283"/>
      <w:bookmarkStart w:id="284" w:name="_Toc184310294"/>
      <w:bookmarkEnd w:id="284"/>
      <w:bookmarkStart w:id="285" w:name="_Toc184308101"/>
      <w:bookmarkEnd w:id="285"/>
      <w:bookmarkStart w:id="286" w:name="_Toc184314420"/>
      <w:bookmarkEnd w:id="286"/>
      <w:bookmarkStart w:id="287" w:name="_Toc184313285"/>
      <w:bookmarkEnd w:id="287"/>
      <w:bookmarkStart w:id="288" w:name="_Toc184310309"/>
      <w:bookmarkEnd w:id="288"/>
      <w:bookmarkStart w:id="289" w:name="_Toc184314410"/>
      <w:bookmarkEnd w:id="289"/>
      <w:bookmarkStart w:id="290" w:name="_Toc184313267"/>
      <w:bookmarkEnd w:id="290"/>
      <w:bookmarkStart w:id="291" w:name="_Toc184312138"/>
      <w:bookmarkEnd w:id="291"/>
      <w:bookmarkStart w:id="292" w:name="_Toc184310324"/>
      <w:bookmarkEnd w:id="292"/>
      <w:bookmarkStart w:id="293" w:name="_Toc184308039"/>
      <w:bookmarkEnd w:id="293"/>
      <w:bookmarkStart w:id="294" w:name="_Toc184314421"/>
      <w:bookmarkEnd w:id="294"/>
      <w:bookmarkStart w:id="295" w:name="_Toc184313298"/>
      <w:bookmarkEnd w:id="295"/>
      <w:bookmarkStart w:id="296" w:name="_Toc184314482"/>
      <w:bookmarkEnd w:id="296"/>
      <w:bookmarkStart w:id="297" w:name="_Toc184308081"/>
      <w:bookmarkEnd w:id="297"/>
      <w:bookmarkStart w:id="298" w:name="_Toc184310295"/>
      <w:bookmarkEnd w:id="298"/>
      <w:bookmarkStart w:id="299" w:name="_Toc184312076"/>
      <w:bookmarkEnd w:id="299"/>
      <w:bookmarkStart w:id="300" w:name="_Toc184312114"/>
      <w:bookmarkEnd w:id="300"/>
      <w:bookmarkStart w:id="301" w:name="_Toc184314462"/>
      <w:bookmarkEnd w:id="301"/>
      <w:bookmarkStart w:id="302" w:name="_Toc184314480"/>
      <w:bookmarkEnd w:id="302"/>
      <w:bookmarkStart w:id="303" w:name="_Toc184308055"/>
      <w:bookmarkEnd w:id="303"/>
      <w:bookmarkStart w:id="304" w:name="_Toc184308044"/>
      <w:bookmarkEnd w:id="304"/>
      <w:bookmarkStart w:id="305" w:name="_Toc184313308"/>
      <w:bookmarkEnd w:id="305"/>
      <w:bookmarkStart w:id="306" w:name="_Toc184313302"/>
      <w:bookmarkEnd w:id="306"/>
      <w:bookmarkStart w:id="307" w:name="_Toc184312072"/>
      <w:bookmarkEnd w:id="307"/>
      <w:bookmarkStart w:id="308" w:name="_Toc184310299"/>
      <w:bookmarkEnd w:id="308"/>
      <w:bookmarkStart w:id="309" w:name="_Toc184314418"/>
      <w:bookmarkEnd w:id="309"/>
      <w:bookmarkStart w:id="310" w:name="_Toc184314473"/>
      <w:bookmarkEnd w:id="310"/>
      <w:bookmarkStart w:id="311" w:name="_Toc184312093"/>
      <w:bookmarkEnd w:id="311"/>
      <w:bookmarkStart w:id="312" w:name="_Toc184312095"/>
      <w:bookmarkEnd w:id="312"/>
      <w:bookmarkStart w:id="313" w:name="_Toc184313301"/>
      <w:bookmarkEnd w:id="313"/>
      <w:bookmarkStart w:id="314" w:name="_Toc184312099"/>
      <w:bookmarkEnd w:id="314"/>
      <w:bookmarkStart w:id="315" w:name="_Toc184313288"/>
      <w:bookmarkEnd w:id="315"/>
      <w:bookmarkStart w:id="316" w:name="_Toc184314475"/>
      <w:bookmarkEnd w:id="316"/>
      <w:bookmarkStart w:id="317" w:name="_Toc184314428"/>
      <w:bookmarkEnd w:id="317"/>
      <w:bookmarkStart w:id="318" w:name="_Toc184310335"/>
      <w:bookmarkEnd w:id="318"/>
      <w:bookmarkStart w:id="319" w:name="_Toc184314446"/>
      <w:bookmarkEnd w:id="319"/>
      <w:bookmarkStart w:id="320" w:name="_Toc184313248"/>
      <w:bookmarkEnd w:id="320"/>
      <w:bookmarkStart w:id="321" w:name="_Toc184308063"/>
      <w:bookmarkEnd w:id="321"/>
      <w:bookmarkStart w:id="322" w:name="_Toc184312109"/>
      <w:bookmarkEnd w:id="322"/>
      <w:bookmarkStart w:id="323" w:name="_Toc184312068"/>
      <w:bookmarkEnd w:id="323"/>
      <w:bookmarkStart w:id="324" w:name="_Toc184310305"/>
      <w:bookmarkEnd w:id="324"/>
      <w:bookmarkStart w:id="325" w:name="_Toc184314431"/>
      <w:bookmarkEnd w:id="325"/>
      <w:bookmarkStart w:id="326" w:name="_Toc184310317"/>
      <w:bookmarkEnd w:id="326"/>
      <w:bookmarkStart w:id="327" w:name="_Toc184313304"/>
      <w:bookmarkEnd w:id="327"/>
      <w:bookmarkStart w:id="328" w:name="_Toc184312110"/>
      <w:bookmarkEnd w:id="328"/>
      <w:bookmarkStart w:id="329" w:name="_Toc184314471"/>
      <w:bookmarkEnd w:id="329"/>
      <w:bookmarkStart w:id="330" w:name="_Toc184308054"/>
      <w:bookmarkEnd w:id="330"/>
      <w:bookmarkStart w:id="331" w:name="_Toc184308052"/>
      <w:bookmarkEnd w:id="331"/>
      <w:bookmarkStart w:id="332" w:name="_Toc184308074"/>
      <w:bookmarkEnd w:id="332"/>
      <w:bookmarkStart w:id="333" w:name="_Toc184314481"/>
      <w:bookmarkEnd w:id="333"/>
      <w:bookmarkStart w:id="334" w:name="_Toc184313303"/>
      <w:bookmarkEnd w:id="334"/>
      <w:bookmarkStart w:id="335" w:name="_Toc184313249"/>
      <w:bookmarkEnd w:id="335"/>
      <w:bookmarkStart w:id="336" w:name="_Toc184310319"/>
      <w:bookmarkEnd w:id="336"/>
      <w:bookmarkStart w:id="337" w:name="_Toc184308100"/>
      <w:bookmarkEnd w:id="337"/>
      <w:bookmarkStart w:id="338" w:name="_Toc184308070"/>
      <w:bookmarkEnd w:id="338"/>
      <w:bookmarkStart w:id="339" w:name="_Toc184313279"/>
      <w:bookmarkEnd w:id="339"/>
      <w:bookmarkStart w:id="340" w:name="_Toc184312117"/>
      <w:bookmarkEnd w:id="340"/>
      <w:bookmarkStart w:id="341" w:name="_Toc184308083"/>
      <w:bookmarkEnd w:id="341"/>
      <w:bookmarkStart w:id="342" w:name="_Toc184310303"/>
      <w:bookmarkEnd w:id="342"/>
      <w:bookmarkStart w:id="343" w:name="_Toc184310323"/>
      <w:bookmarkEnd w:id="343"/>
      <w:bookmarkStart w:id="344" w:name="_Toc184308043"/>
      <w:bookmarkEnd w:id="344"/>
      <w:bookmarkStart w:id="345" w:name="_Toc184312130"/>
      <w:bookmarkEnd w:id="345"/>
      <w:bookmarkStart w:id="346" w:name="_Toc184312070"/>
      <w:bookmarkEnd w:id="346"/>
      <w:bookmarkStart w:id="347" w:name="_Toc184314449"/>
      <w:bookmarkEnd w:id="347"/>
      <w:bookmarkStart w:id="348" w:name="_Toc184313295"/>
      <w:bookmarkEnd w:id="348"/>
      <w:bookmarkStart w:id="349" w:name="_Toc184308105"/>
      <w:bookmarkEnd w:id="349"/>
      <w:bookmarkStart w:id="350" w:name="_Toc184308092"/>
      <w:bookmarkEnd w:id="350"/>
      <w:bookmarkStart w:id="351" w:name="_Toc184308067"/>
      <w:bookmarkEnd w:id="351"/>
      <w:bookmarkStart w:id="352" w:name="_Toc184314415"/>
      <w:bookmarkEnd w:id="352"/>
      <w:bookmarkStart w:id="353" w:name="_Toc184310286"/>
      <w:bookmarkEnd w:id="353"/>
      <w:bookmarkStart w:id="354" w:name="_Toc184310318"/>
      <w:bookmarkEnd w:id="354"/>
      <w:bookmarkStart w:id="355" w:name="_Toc184314434"/>
      <w:bookmarkEnd w:id="355"/>
      <w:bookmarkStart w:id="356" w:name="_Toc184313261"/>
      <w:bookmarkEnd w:id="356"/>
      <w:bookmarkStart w:id="357" w:name="_Toc184313274"/>
      <w:bookmarkEnd w:id="357"/>
      <w:bookmarkStart w:id="358" w:name="_Toc184312107"/>
      <w:bookmarkEnd w:id="358"/>
      <w:bookmarkStart w:id="359" w:name="_Toc184308041"/>
      <w:bookmarkEnd w:id="359"/>
      <w:bookmarkStart w:id="360" w:name="_Toc184313270"/>
      <w:bookmarkEnd w:id="360"/>
      <w:bookmarkStart w:id="361" w:name="_Toc184308099"/>
      <w:bookmarkEnd w:id="361"/>
      <w:bookmarkStart w:id="362" w:name="_Toc184312098"/>
      <w:bookmarkEnd w:id="362"/>
      <w:bookmarkStart w:id="363" w:name="_Toc184308075"/>
      <w:bookmarkEnd w:id="363"/>
      <w:bookmarkStart w:id="364" w:name="_Toc184314424"/>
      <w:bookmarkEnd w:id="364"/>
      <w:bookmarkStart w:id="365" w:name="_Toc184314430"/>
      <w:bookmarkEnd w:id="365"/>
      <w:bookmarkStart w:id="366" w:name="_Toc184308045"/>
      <w:bookmarkEnd w:id="366"/>
      <w:bookmarkStart w:id="367" w:name="_Toc184313256"/>
      <w:bookmarkEnd w:id="367"/>
      <w:bookmarkStart w:id="368" w:name="_Toc184314451"/>
      <w:bookmarkEnd w:id="368"/>
      <w:bookmarkStart w:id="369" w:name="_Toc184314423"/>
      <w:bookmarkEnd w:id="369"/>
      <w:bookmarkStart w:id="370" w:name="_Toc184314440"/>
      <w:bookmarkEnd w:id="370"/>
      <w:bookmarkStart w:id="371" w:name="_Toc184308093"/>
      <w:bookmarkEnd w:id="371"/>
      <w:bookmarkStart w:id="372" w:name="_Toc184312115"/>
      <w:bookmarkEnd w:id="372"/>
      <w:bookmarkStart w:id="373" w:name="_Toc184313254"/>
      <w:bookmarkEnd w:id="373"/>
      <w:bookmarkStart w:id="374" w:name="_Toc184310312"/>
      <w:bookmarkEnd w:id="374"/>
      <w:bookmarkStart w:id="375" w:name="_Toc184313264"/>
      <w:bookmarkEnd w:id="375"/>
      <w:bookmarkStart w:id="376" w:name="_Toc184312078"/>
      <w:bookmarkEnd w:id="376"/>
      <w:bookmarkStart w:id="377" w:name="_Toc184308068"/>
      <w:bookmarkEnd w:id="377"/>
      <w:bookmarkStart w:id="378" w:name="_Toc184313257"/>
      <w:bookmarkEnd w:id="378"/>
      <w:bookmarkStart w:id="379" w:name="_Toc184310292"/>
      <w:bookmarkEnd w:id="379"/>
      <w:bookmarkStart w:id="380" w:name="_Toc184310285"/>
      <w:bookmarkEnd w:id="380"/>
      <w:bookmarkStart w:id="381" w:name="_Toc184310339"/>
      <w:bookmarkEnd w:id="381"/>
      <w:bookmarkStart w:id="382" w:name="_Toc184314479"/>
      <w:bookmarkEnd w:id="382"/>
      <w:bookmarkStart w:id="383" w:name="_Toc184312124"/>
      <w:bookmarkEnd w:id="383"/>
      <w:bookmarkStart w:id="384" w:name="_Toc184313307"/>
      <w:bookmarkEnd w:id="384"/>
      <w:bookmarkStart w:id="385" w:name="_Toc184314425"/>
      <w:bookmarkEnd w:id="385"/>
      <w:bookmarkStart w:id="386" w:name="_Toc184312137"/>
      <w:bookmarkEnd w:id="386"/>
      <w:bookmarkStart w:id="387" w:name="_Toc184310276"/>
      <w:bookmarkEnd w:id="387"/>
      <w:bookmarkStart w:id="388" w:name="_Toc184313241"/>
      <w:bookmarkEnd w:id="388"/>
      <w:bookmarkStart w:id="389" w:name="_Toc184312104"/>
      <w:bookmarkEnd w:id="389"/>
      <w:bookmarkStart w:id="390" w:name="_Toc184310277"/>
      <w:bookmarkEnd w:id="390"/>
      <w:bookmarkStart w:id="391" w:name="_Toc184314432"/>
      <w:bookmarkEnd w:id="391"/>
      <w:bookmarkStart w:id="392" w:name="_Toc184314435"/>
      <w:bookmarkEnd w:id="392"/>
      <w:bookmarkStart w:id="393" w:name="_Toc184312108"/>
      <w:bookmarkEnd w:id="393"/>
      <w:bookmarkStart w:id="394" w:name="_Toc184313281"/>
      <w:bookmarkEnd w:id="394"/>
      <w:bookmarkStart w:id="395" w:name="_Toc184314411"/>
      <w:bookmarkEnd w:id="395"/>
      <w:bookmarkStart w:id="396" w:name="_Toc184312118"/>
      <w:bookmarkEnd w:id="396"/>
      <w:bookmarkStart w:id="397" w:name="_Toc184314426"/>
      <w:bookmarkEnd w:id="397"/>
      <w:bookmarkStart w:id="398" w:name="_Toc184310333"/>
      <w:bookmarkEnd w:id="398"/>
      <w:bookmarkStart w:id="399" w:name="_Toc184308050"/>
      <w:bookmarkEnd w:id="399"/>
      <w:bookmarkStart w:id="400" w:name="_Toc184308066"/>
      <w:bookmarkEnd w:id="400"/>
      <w:bookmarkStart w:id="401" w:name="_Toc184310332"/>
      <w:bookmarkEnd w:id="401"/>
      <w:bookmarkStart w:id="402" w:name="_Toc184310275"/>
      <w:bookmarkEnd w:id="402"/>
      <w:r>
        <w:rPr>
          <w:rFonts w:hint="eastAsia" w:ascii="宋体" w:hAnsi="宋体" w:cs="宋体"/>
          <w:b/>
          <w:color w:val="auto"/>
          <w:sz w:val="36"/>
          <w:szCs w:val="36"/>
          <w:highlight w:val="none"/>
        </w:rPr>
        <w:t>评标办法</w:t>
      </w:r>
      <w:bookmarkEnd w:id="37"/>
    </w:p>
    <w:p w14:paraId="3EDCC93C">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6053A478">
      <w:pPr>
        <w:widowControl/>
        <w:kinsoku/>
        <w:wordWrap/>
        <w:overflowPunct/>
        <w:topLinePunct w:val="0"/>
        <w:bidi w:val="0"/>
        <w:adjustRightInd/>
        <w:spacing w:line="360" w:lineRule="exact"/>
        <w:jc w:val="center"/>
        <w:outlineLvl w:val="9"/>
        <w:rPr>
          <w:rFonts w:hint="eastAsia" w:ascii="宋体" w:hAnsi="宋体" w:eastAsia="宋体" w:cs="宋体"/>
          <w:b/>
          <w:bCs/>
          <w:color w:val="auto"/>
          <w:kern w:val="0"/>
          <w:sz w:val="32"/>
          <w:szCs w:val="40"/>
          <w:highlight w:val="none"/>
          <w:lang w:eastAsia="zh-CN"/>
        </w:rPr>
      </w:pPr>
      <w:r>
        <w:rPr>
          <w:rFonts w:hint="eastAsia" w:ascii="宋体" w:hAnsi="宋体" w:eastAsia="宋体" w:cs="宋体"/>
          <w:b/>
          <w:bCs/>
          <w:color w:val="auto"/>
          <w:kern w:val="0"/>
          <w:sz w:val="32"/>
          <w:szCs w:val="40"/>
          <w:highlight w:val="none"/>
        </w:rPr>
        <w:t>评分标准表</w:t>
      </w:r>
    </w:p>
    <w:tbl>
      <w:tblPr>
        <w:tblStyle w:val="6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88"/>
        <w:gridCol w:w="5575"/>
        <w:gridCol w:w="705"/>
        <w:gridCol w:w="705"/>
      </w:tblGrid>
      <w:tr w14:paraId="41B2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2" w:type="dxa"/>
            <w:noWrap w:val="0"/>
            <w:vAlign w:val="center"/>
          </w:tcPr>
          <w:p w14:paraId="6389B2C9">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评分项目</w:t>
            </w:r>
          </w:p>
        </w:tc>
        <w:tc>
          <w:tcPr>
            <w:tcW w:w="6863" w:type="dxa"/>
            <w:gridSpan w:val="2"/>
            <w:noWrap w:val="0"/>
            <w:vAlign w:val="center"/>
          </w:tcPr>
          <w:p w14:paraId="3C972E66">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评标要点及说明</w:t>
            </w:r>
          </w:p>
        </w:tc>
        <w:tc>
          <w:tcPr>
            <w:tcW w:w="705" w:type="dxa"/>
            <w:noWrap w:val="0"/>
            <w:vAlign w:val="center"/>
          </w:tcPr>
          <w:p w14:paraId="3C4EAF85">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2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14:paraId="140CB7D9">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2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14:paraId="0675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62" w:type="dxa"/>
            <w:noWrap w:val="0"/>
            <w:vAlign w:val="center"/>
          </w:tcPr>
          <w:p w14:paraId="5864BA24">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63" w:type="dxa"/>
            <w:gridSpan w:val="2"/>
            <w:noWrap w:val="0"/>
            <w:vAlign w:val="center"/>
          </w:tcPr>
          <w:p w14:paraId="042DFA55">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14:paraId="6261455F">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w:t>
            </w:r>
          </w:p>
          <w:p w14:paraId="5C2FDCB0">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14:paraId="0B924623">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19C6E389">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noWrap w:val="0"/>
            <w:vAlign w:val="center"/>
          </w:tcPr>
          <w:p w14:paraId="78BF0409">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Calibri" w:hAnsi="Calibri" w:eastAsia="宋体" w:cs="Times New Roman"/>
                <w:color w:val="auto"/>
                <w:sz w:val="24"/>
                <w:szCs w:val="24"/>
                <w:highlight w:val="none"/>
                <w:lang w:val="en-US" w:eastAsia="zh-CN"/>
              </w:rPr>
            </w:pPr>
            <w:r>
              <w:rPr>
                <w:rFonts w:hint="eastAsia" w:ascii="宋体" w:hAnsi="宋体" w:cs="宋体"/>
                <w:color w:val="auto"/>
                <w:kern w:val="0"/>
                <w:sz w:val="24"/>
                <w:szCs w:val="24"/>
                <w:highlight w:val="none"/>
                <w:lang w:val="en-US" w:eastAsia="zh-CN" w:bidi="ar-SA"/>
              </w:rPr>
              <w:t>30</w:t>
            </w:r>
          </w:p>
        </w:tc>
        <w:tc>
          <w:tcPr>
            <w:tcW w:w="705" w:type="dxa"/>
            <w:noWrap w:val="0"/>
            <w:vAlign w:val="center"/>
          </w:tcPr>
          <w:p w14:paraId="11E72661">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Calibri" w:hAnsi="Calibri" w:eastAsia="宋体" w:cs="Times New Roman"/>
                <w:color w:val="auto"/>
                <w:sz w:val="24"/>
                <w:szCs w:val="24"/>
                <w:highlight w:val="none"/>
                <w:lang w:val="zh-CN"/>
              </w:rPr>
            </w:pPr>
            <w:r>
              <w:rPr>
                <w:rFonts w:hint="eastAsia" w:ascii="Calibri" w:hAnsi="Calibri" w:eastAsia="宋体" w:cs="Times New Roman"/>
                <w:color w:val="auto"/>
                <w:sz w:val="24"/>
                <w:szCs w:val="24"/>
                <w:highlight w:val="none"/>
                <w:lang w:val="zh-CN"/>
              </w:rPr>
              <w:t>客观评审</w:t>
            </w:r>
          </w:p>
        </w:tc>
      </w:tr>
      <w:tr w14:paraId="5E0E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62" w:type="dxa"/>
            <w:vMerge w:val="restart"/>
            <w:noWrap w:val="0"/>
            <w:vAlign w:val="center"/>
          </w:tcPr>
          <w:p w14:paraId="2D424C17">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14:paraId="349AD914">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14:paraId="002B96E7">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color w:val="auto"/>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70</w:t>
            </w:r>
            <w:r>
              <w:rPr>
                <w:rFonts w:hint="eastAsia" w:ascii="宋体" w:hAnsi="宋体" w:eastAsia="宋体" w:cs="宋体"/>
                <w:color w:val="auto"/>
                <w:kern w:val="2"/>
                <w:sz w:val="24"/>
                <w:szCs w:val="24"/>
                <w:highlight w:val="none"/>
                <w:lang w:val="en-US" w:eastAsia="zh-CN" w:bidi="ar"/>
              </w:rPr>
              <w:t>分）</w:t>
            </w:r>
          </w:p>
        </w:tc>
        <w:tc>
          <w:tcPr>
            <w:tcW w:w="1288" w:type="dxa"/>
            <w:shd w:val="clear" w:color="auto" w:fill="auto"/>
            <w:noWrap w:val="0"/>
            <w:vAlign w:val="center"/>
          </w:tcPr>
          <w:p w14:paraId="4DC04D57">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1、项目了解情况（5分）</w:t>
            </w:r>
          </w:p>
        </w:tc>
        <w:tc>
          <w:tcPr>
            <w:tcW w:w="5575" w:type="dxa"/>
            <w:shd w:val="clear" w:color="auto" w:fill="auto"/>
            <w:noWrap w:val="0"/>
            <w:vAlign w:val="center"/>
          </w:tcPr>
          <w:p w14:paraId="2FCA9EFF">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评审小组</w:t>
            </w: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提供的针对医院</w:t>
            </w:r>
            <w:r>
              <w:rPr>
                <w:rFonts w:hint="eastAsia" w:ascii="宋体" w:hAnsi="宋体" w:cs="宋体"/>
                <w:color w:val="auto"/>
                <w:sz w:val="24"/>
                <w:highlight w:val="none"/>
                <w:lang w:val="en-US" w:eastAsia="zh-CN"/>
              </w:rPr>
              <w:t>现有</w:t>
            </w:r>
            <w:r>
              <w:rPr>
                <w:rFonts w:hint="eastAsia" w:ascii="宋体" w:hAnsi="宋体" w:eastAsia="宋体" w:cs="宋体"/>
                <w:color w:val="auto"/>
                <w:sz w:val="24"/>
                <w:highlight w:val="none"/>
              </w:rPr>
              <w:t>用工模式的了解，对医院调研后的现状描述分析情况等</w:t>
            </w:r>
            <w:r>
              <w:rPr>
                <w:rFonts w:hint="eastAsia" w:ascii="宋体" w:hAnsi="宋体" w:eastAsia="宋体" w:cs="宋体"/>
                <w:color w:val="auto"/>
                <w:sz w:val="24"/>
                <w:highlight w:val="none"/>
                <w:lang w:val="en-US" w:eastAsia="zh-CN"/>
              </w:rPr>
              <w:t>，由评标委员会</w:t>
            </w:r>
            <w:r>
              <w:rPr>
                <w:rFonts w:hint="eastAsia" w:ascii="宋体" w:hAnsi="宋体" w:eastAsia="宋体" w:cs="宋体"/>
                <w:color w:val="auto"/>
                <w:sz w:val="24"/>
                <w:highlight w:val="none"/>
              </w:rPr>
              <w:t>进行评议：</w:t>
            </w:r>
            <w:r>
              <w:rPr>
                <w:rFonts w:hint="eastAsia" w:ascii="宋体" w:hAnsi="宋体" w:eastAsia="宋体" w:cs="宋体"/>
                <w:color w:val="auto"/>
                <w:sz w:val="24"/>
                <w:highlight w:val="none"/>
                <w:lang w:val="en-US" w:eastAsia="zh-CN"/>
              </w:rPr>
              <w:t>包括①用工模式</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理解；②调研</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方法；③现状</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分析；④</w:t>
            </w:r>
            <w:r>
              <w:rPr>
                <w:rFonts w:hint="eastAsia" w:ascii="宋体" w:hAnsi="宋体" w:cs="宋体"/>
                <w:color w:val="auto"/>
                <w:sz w:val="24"/>
                <w:highlight w:val="none"/>
                <w:lang w:val="en-US" w:eastAsia="zh-CN"/>
              </w:rPr>
              <w:t>解决方案；⑤风险预判与应对能力</w:t>
            </w:r>
            <w:r>
              <w:rPr>
                <w:rFonts w:hint="eastAsia" w:ascii="宋体" w:hAnsi="宋体" w:eastAsia="宋体" w:cs="宋体"/>
                <w:color w:val="auto"/>
                <w:sz w:val="24"/>
                <w:highlight w:val="none"/>
                <w:lang w:val="en-US" w:eastAsia="zh-CN"/>
              </w:rPr>
              <w:t>。评分范围：</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4、3、2、1、0。</w:t>
            </w:r>
          </w:p>
        </w:tc>
        <w:tc>
          <w:tcPr>
            <w:tcW w:w="705" w:type="dxa"/>
            <w:noWrap w:val="0"/>
            <w:vAlign w:val="center"/>
          </w:tcPr>
          <w:p w14:paraId="03541D69">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14:paraId="3D58051F">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14:paraId="7D68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262" w:type="dxa"/>
            <w:vMerge w:val="continue"/>
            <w:noWrap w:val="0"/>
            <w:vAlign w:val="center"/>
          </w:tcPr>
          <w:p w14:paraId="11B741EB">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restart"/>
            <w:shd w:val="clear" w:color="auto" w:fill="auto"/>
            <w:noWrap w:val="0"/>
            <w:vAlign w:val="center"/>
          </w:tcPr>
          <w:p w14:paraId="3ED85C67">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2、医院管理方案（</w:t>
            </w:r>
            <w:r>
              <w:rPr>
                <w:rFonts w:hint="eastAsia" w:ascii="宋体" w:hAnsi="宋体" w:eastAsia="宋体" w:cs="宋体"/>
                <w:bCs/>
                <w:color w:val="auto"/>
                <w:kern w:val="0"/>
                <w:sz w:val="24"/>
                <w:highlight w:val="none"/>
                <w:lang w:val="en-US" w:eastAsia="zh-CN"/>
              </w:rPr>
              <w:t>15</w:t>
            </w:r>
            <w:r>
              <w:rPr>
                <w:rFonts w:hint="eastAsia" w:ascii="宋体" w:hAnsi="宋体" w:eastAsia="宋体" w:cs="宋体"/>
                <w:bCs/>
                <w:color w:val="auto"/>
                <w:kern w:val="0"/>
                <w:sz w:val="24"/>
                <w:highlight w:val="none"/>
              </w:rPr>
              <w:t>分）</w:t>
            </w:r>
          </w:p>
          <w:p w14:paraId="34DB7528">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highlight w:val="none"/>
                <w:lang w:val="en-US" w:eastAsia="zh-CN"/>
              </w:rPr>
            </w:pPr>
          </w:p>
        </w:tc>
        <w:tc>
          <w:tcPr>
            <w:tcW w:w="5575" w:type="dxa"/>
            <w:shd w:val="clear" w:color="auto" w:fill="auto"/>
            <w:noWrap w:val="0"/>
            <w:vAlign w:val="center"/>
          </w:tcPr>
          <w:p w14:paraId="1823EBB7">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评审小组</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提供的医院管理总体方案，由评标委员会进行评议：</w:t>
            </w:r>
            <w:r>
              <w:rPr>
                <w:rFonts w:hint="eastAsia" w:ascii="宋体" w:hAnsi="宋体" w:cs="宋体"/>
                <w:color w:val="auto"/>
                <w:sz w:val="24"/>
                <w:highlight w:val="none"/>
                <w:lang w:val="en-US" w:eastAsia="zh-CN"/>
              </w:rPr>
              <w:t>包括①管理要求的理解；②管理流程；③管理目标；④风险管控；⑤应急预案。评分范围：5、4、3、2、1、0。</w:t>
            </w:r>
          </w:p>
        </w:tc>
        <w:tc>
          <w:tcPr>
            <w:tcW w:w="705" w:type="dxa"/>
            <w:shd w:val="clear" w:color="auto" w:fill="auto"/>
            <w:noWrap w:val="0"/>
            <w:vAlign w:val="center"/>
          </w:tcPr>
          <w:p w14:paraId="6052AAF1">
            <w:pPr>
              <w:keepNext w:val="0"/>
              <w:keepLines w:val="0"/>
              <w:widowControl/>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shd w:val="clear" w:color="auto" w:fill="auto"/>
            <w:noWrap w:val="0"/>
            <w:vAlign w:val="center"/>
          </w:tcPr>
          <w:p w14:paraId="22227E98">
            <w:pPr>
              <w:keepNext w:val="0"/>
              <w:keepLines w:val="0"/>
              <w:widowControl/>
              <w:suppressLineNumbers w:val="0"/>
              <w:adjustRightInd/>
              <w:spacing w:before="0" w:beforeAutospacing="0" w:after="0" w:afterAutospacing="0"/>
              <w:ind w:left="0" w:right="0"/>
              <w:jc w:val="center"/>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sz w:val="24"/>
                <w:highlight w:val="none"/>
              </w:rPr>
              <w:t>主观</w:t>
            </w:r>
            <w:r>
              <w:rPr>
                <w:rFonts w:hint="eastAsia" w:ascii="宋体" w:hAnsi="宋体" w:cs="宋体"/>
                <w:color w:val="auto"/>
                <w:sz w:val="24"/>
                <w:highlight w:val="none"/>
              </w:rPr>
              <w:t>评审</w:t>
            </w:r>
          </w:p>
        </w:tc>
      </w:tr>
      <w:tr w14:paraId="30F1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262" w:type="dxa"/>
            <w:vMerge w:val="continue"/>
            <w:noWrap w:val="0"/>
            <w:vAlign w:val="center"/>
          </w:tcPr>
          <w:p w14:paraId="4CD54F75">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14:paraId="5CE6E47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highlight w:val="none"/>
                <w:lang w:val="en-US" w:eastAsia="zh-CN"/>
              </w:rPr>
            </w:pPr>
          </w:p>
        </w:tc>
        <w:tc>
          <w:tcPr>
            <w:tcW w:w="5575" w:type="dxa"/>
            <w:shd w:val="clear" w:color="auto" w:fill="auto"/>
            <w:noWrap w:val="0"/>
            <w:vAlign w:val="center"/>
          </w:tcPr>
          <w:p w14:paraId="7977CF71">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2.2</w:t>
            </w:r>
            <w:r>
              <w:rPr>
                <w:rFonts w:hint="eastAsia" w:ascii="宋体" w:hAnsi="宋体" w:cs="宋体"/>
                <w:color w:val="auto"/>
                <w:sz w:val="24"/>
                <w:highlight w:val="none"/>
                <w:lang w:eastAsia="zh-CN"/>
              </w:rPr>
              <w:t>、</w:t>
            </w:r>
            <w:r>
              <w:rPr>
                <w:rFonts w:hint="default" w:ascii="宋体" w:hAnsi="宋体" w:cs="宋体"/>
                <w:color w:val="auto"/>
                <w:sz w:val="24"/>
                <w:highlight w:val="none"/>
                <w:lang w:val="en-US" w:eastAsia="zh-CN"/>
              </w:rPr>
              <w:t>评审小组</w:t>
            </w:r>
            <w:r>
              <w:rPr>
                <w:rFonts w:hint="default" w:ascii="宋体" w:hAnsi="宋体" w:cs="宋体"/>
                <w:color w:val="auto"/>
                <w:sz w:val="24"/>
                <w:highlight w:val="none"/>
              </w:rPr>
              <w:t>根据</w:t>
            </w:r>
            <w:r>
              <w:rPr>
                <w:rFonts w:hint="default" w:ascii="宋体" w:hAnsi="宋体" w:cs="宋体"/>
                <w:color w:val="auto"/>
                <w:sz w:val="24"/>
                <w:highlight w:val="none"/>
                <w:lang w:val="en-US" w:eastAsia="zh-CN"/>
              </w:rPr>
              <w:t>供应商</w:t>
            </w:r>
            <w:r>
              <w:rPr>
                <w:rFonts w:hint="default" w:ascii="宋体" w:hAnsi="宋体" w:cs="宋体"/>
                <w:color w:val="auto"/>
                <w:sz w:val="24"/>
                <w:highlight w:val="none"/>
              </w:rPr>
              <w:t>提供的</w:t>
            </w:r>
            <w:r>
              <w:rPr>
                <w:rFonts w:hint="eastAsia" w:ascii="宋体" w:hAnsi="宋体" w:cs="宋体"/>
                <w:color w:val="auto"/>
                <w:sz w:val="24"/>
                <w:highlight w:val="none"/>
              </w:rPr>
              <w:t>人员招聘方案</w:t>
            </w:r>
            <w:r>
              <w:rPr>
                <w:rFonts w:hint="default" w:ascii="宋体" w:hAnsi="宋体" w:cs="宋体"/>
                <w:color w:val="auto"/>
                <w:sz w:val="24"/>
                <w:highlight w:val="none"/>
              </w:rPr>
              <w:t>，由评标委员会进行评议：</w:t>
            </w:r>
            <w:r>
              <w:rPr>
                <w:rFonts w:hint="default" w:ascii="宋体" w:hAnsi="宋体" w:cs="宋体"/>
                <w:color w:val="auto"/>
                <w:sz w:val="24"/>
                <w:highlight w:val="none"/>
                <w:lang w:val="en-US" w:eastAsia="zh-CN"/>
              </w:rPr>
              <w:t>包括①招聘渠道；②招聘要求；③人员背景调查；④人员入离职手续办理；⑤人才储备机制。评分范围：5、4、3、2、1、0。</w:t>
            </w:r>
          </w:p>
        </w:tc>
        <w:tc>
          <w:tcPr>
            <w:tcW w:w="705" w:type="dxa"/>
            <w:shd w:val="clear" w:color="auto" w:fill="auto"/>
            <w:noWrap w:val="0"/>
            <w:vAlign w:val="center"/>
          </w:tcPr>
          <w:p w14:paraId="2B710597">
            <w:pPr>
              <w:keepNext w:val="0"/>
              <w:keepLines w:val="0"/>
              <w:widowControl/>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shd w:val="clear" w:color="auto" w:fill="auto"/>
            <w:noWrap w:val="0"/>
            <w:vAlign w:val="center"/>
          </w:tcPr>
          <w:p w14:paraId="267DE309">
            <w:pPr>
              <w:keepNext w:val="0"/>
              <w:keepLines w:val="0"/>
              <w:widowControl/>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zh-CN" w:eastAsia="zh-CN" w:bidi="ar-SA"/>
              </w:rPr>
            </w:pPr>
            <w:r>
              <w:rPr>
                <w:rFonts w:hint="eastAsia" w:ascii="宋体" w:hAnsi="宋体" w:cs="宋体"/>
                <w:snapToGrid w:val="0"/>
                <w:color w:val="auto"/>
                <w:spacing w:val="-4"/>
                <w:sz w:val="24"/>
                <w:highlight w:val="none"/>
                <w:lang w:val="zh-CN"/>
              </w:rPr>
              <w:t>主观评审</w:t>
            </w:r>
          </w:p>
        </w:tc>
      </w:tr>
      <w:tr w14:paraId="6F9C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62" w:type="dxa"/>
            <w:vMerge w:val="continue"/>
            <w:noWrap w:val="0"/>
            <w:vAlign w:val="center"/>
          </w:tcPr>
          <w:p w14:paraId="2E3D83AB">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14:paraId="7D2FCC7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highlight w:val="none"/>
                <w:lang w:val="en-US" w:eastAsia="zh-CN"/>
              </w:rPr>
            </w:pPr>
          </w:p>
        </w:tc>
        <w:tc>
          <w:tcPr>
            <w:tcW w:w="5575" w:type="dxa"/>
            <w:shd w:val="clear" w:color="auto" w:fill="auto"/>
            <w:noWrap w:val="0"/>
            <w:vAlign w:val="center"/>
          </w:tcPr>
          <w:p w14:paraId="195A9A39">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评审小组</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提供的人员工资福利方案，由评标委员会进行评议：</w:t>
            </w:r>
            <w:r>
              <w:rPr>
                <w:rFonts w:hint="eastAsia" w:ascii="宋体" w:hAnsi="宋体" w:cs="宋体"/>
                <w:color w:val="auto"/>
                <w:sz w:val="24"/>
                <w:highlight w:val="none"/>
                <w:lang w:val="en-US" w:eastAsia="zh-CN"/>
              </w:rPr>
              <w:t>包括①薪酬；②福利；③社保；④商业保险交纳；⑤培训。评分范围：5、4、3、2、1、0。</w:t>
            </w:r>
          </w:p>
        </w:tc>
        <w:tc>
          <w:tcPr>
            <w:tcW w:w="705" w:type="dxa"/>
            <w:shd w:val="clear" w:color="auto" w:fill="auto"/>
            <w:noWrap w:val="0"/>
            <w:vAlign w:val="center"/>
          </w:tcPr>
          <w:p w14:paraId="1CD55E42">
            <w:pPr>
              <w:keepNext w:val="0"/>
              <w:keepLines w:val="0"/>
              <w:widowControl/>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705" w:type="dxa"/>
            <w:shd w:val="clear" w:color="auto" w:fill="auto"/>
            <w:noWrap w:val="0"/>
            <w:vAlign w:val="center"/>
          </w:tcPr>
          <w:p w14:paraId="703BCFDE">
            <w:pPr>
              <w:keepNext w:val="0"/>
              <w:keepLines w:val="0"/>
              <w:widowControl/>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zh-CN" w:eastAsia="zh-CN" w:bidi="ar-SA"/>
              </w:rPr>
            </w:pPr>
            <w:r>
              <w:rPr>
                <w:rFonts w:hint="eastAsia" w:ascii="宋体" w:hAnsi="宋体" w:cs="宋体"/>
                <w:snapToGrid w:val="0"/>
                <w:color w:val="auto"/>
                <w:spacing w:val="-4"/>
                <w:sz w:val="24"/>
                <w:highlight w:val="none"/>
              </w:rPr>
              <w:t>主观评审</w:t>
            </w:r>
          </w:p>
        </w:tc>
      </w:tr>
      <w:tr w14:paraId="3AF1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679E043E">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restart"/>
            <w:shd w:val="clear" w:color="auto" w:fill="auto"/>
            <w:noWrap w:val="0"/>
            <w:vAlign w:val="center"/>
          </w:tcPr>
          <w:p w14:paraId="482CE888">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3、医院服务质量保障（</w:t>
            </w:r>
            <w:r>
              <w:rPr>
                <w:rFonts w:hint="eastAsia" w:ascii="宋体" w:hAnsi="宋体" w:eastAsia="宋体" w:cs="宋体"/>
                <w:bCs/>
                <w:color w:val="auto"/>
                <w:kern w:val="0"/>
                <w:sz w:val="24"/>
                <w:highlight w:val="none"/>
                <w:lang w:val="en-US" w:eastAsia="zh-CN"/>
              </w:rPr>
              <w:t>10</w:t>
            </w:r>
            <w:r>
              <w:rPr>
                <w:rFonts w:hint="eastAsia" w:ascii="宋体" w:hAnsi="宋体" w:eastAsia="宋体" w:cs="宋体"/>
                <w:bCs/>
                <w:color w:val="auto"/>
                <w:kern w:val="0"/>
                <w:sz w:val="24"/>
                <w:highlight w:val="none"/>
              </w:rPr>
              <w:t>分）</w:t>
            </w:r>
          </w:p>
          <w:p w14:paraId="206F924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highlight w:val="none"/>
                <w:lang w:val="en-US" w:eastAsia="zh-CN"/>
              </w:rPr>
            </w:pPr>
          </w:p>
        </w:tc>
        <w:tc>
          <w:tcPr>
            <w:tcW w:w="5575" w:type="dxa"/>
            <w:shd w:val="clear" w:color="auto" w:fill="auto"/>
            <w:noWrap w:val="0"/>
            <w:vAlign w:val="center"/>
          </w:tcPr>
          <w:p w14:paraId="1C09CFC5">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3.1</w:t>
            </w:r>
            <w:r>
              <w:rPr>
                <w:rFonts w:hint="eastAsia" w:ascii="宋体" w:hAnsi="宋体" w:cs="宋体"/>
                <w:color w:val="auto"/>
                <w:sz w:val="24"/>
                <w:highlight w:val="none"/>
                <w:lang w:eastAsia="zh-CN"/>
              </w:rPr>
              <w:t>、</w:t>
            </w:r>
            <w:r>
              <w:rPr>
                <w:rFonts w:hint="default" w:ascii="宋体" w:hAnsi="宋体" w:cs="宋体"/>
                <w:color w:val="auto"/>
                <w:sz w:val="24"/>
                <w:highlight w:val="none"/>
                <w:lang w:val="en-US" w:eastAsia="zh-CN"/>
              </w:rPr>
              <w:t>评审小组</w:t>
            </w:r>
            <w:r>
              <w:rPr>
                <w:rFonts w:hint="default" w:ascii="宋体" w:hAnsi="宋体" w:cs="宋体"/>
                <w:color w:val="auto"/>
                <w:sz w:val="24"/>
                <w:highlight w:val="none"/>
              </w:rPr>
              <w:t>根据</w:t>
            </w:r>
            <w:r>
              <w:rPr>
                <w:rFonts w:hint="default" w:ascii="宋体" w:hAnsi="宋体" w:cs="宋体"/>
                <w:color w:val="auto"/>
                <w:sz w:val="24"/>
                <w:highlight w:val="none"/>
                <w:lang w:val="en-US" w:eastAsia="zh-CN"/>
              </w:rPr>
              <w:t>供应商</w:t>
            </w:r>
            <w:r>
              <w:rPr>
                <w:rFonts w:hint="default" w:ascii="宋体" w:hAnsi="宋体" w:cs="宋体"/>
                <w:color w:val="auto"/>
                <w:sz w:val="24"/>
                <w:highlight w:val="none"/>
              </w:rPr>
              <w:t>提供的服务保障内</w:t>
            </w:r>
            <w:r>
              <w:rPr>
                <w:rFonts w:hint="default" w:ascii="宋体" w:hAnsi="宋体" w:eastAsia="宋体" w:cs="宋体"/>
                <w:color w:val="auto"/>
                <w:sz w:val="24"/>
                <w:highlight w:val="none"/>
              </w:rPr>
              <w:t>容，由评标委员会进行评议：</w:t>
            </w:r>
            <w:r>
              <w:rPr>
                <w:rFonts w:hint="default" w:ascii="宋体" w:hAnsi="宋体" w:eastAsia="宋体" w:cs="宋体"/>
                <w:color w:val="auto"/>
                <w:sz w:val="24"/>
                <w:highlight w:val="none"/>
                <w:lang w:val="en-US" w:eastAsia="zh-CN"/>
              </w:rPr>
              <w:t>包括①薪酬福利处理的及时性；②服务人员补充的及时性；③劳动纠纷处理的有效性；④人事专员及财务人员的专业性；⑤社保及商业保险缴纳的合规性。评分范围：5、4、3、2、1、0。</w:t>
            </w:r>
          </w:p>
        </w:tc>
        <w:tc>
          <w:tcPr>
            <w:tcW w:w="705" w:type="dxa"/>
            <w:shd w:val="clear" w:color="auto" w:fill="auto"/>
            <w:noWrap w:val="0"/>
            <w:vAlign w:val="center"/>
          </w:tcPr>
          <w:p w14:paraId="47FA4541">
            <w:pPr>
              <w:keepNext w:val="0"/>
              <w:keepLines w:val="0"/>
              <w:widowControl/>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shd w:val="clear" w:color="auto" w:fill="auto"/>
            <w:noWrap w:val="0"/>
            <w:vAlign w:val="center"/>
          </w:tcPr>
          <w:p w14:paraId="1B5AEA7F">
            <w:pPr>
              <w:keepNext w:val="0"/>
              <w:keepLines w:val="0"/>
              <w:widowControl/>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sz w:val="24"/>
                <w:highlight w:val="none"/>
              </w:rPr>
              <w:t>主观</w:t>
            </w:r>
            <w:r>
              <w:rPr>
                <w:rFonts w:hint="eastAsia" w:ascii="宋体" w:hAnsi="宋体" w:cs="宋体"/>
                <w:color w:val="auto"/>
                <w:sz w:val="24"/>
                <w:highlight w:val="none"/>
              </w:rPr>
              <w:t>评审</w:t>
            </w:r>
          </w:p>
        </w:tc>
      </w:tr>
      <w:tr w14:paraId="636D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4DA7EA15">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continue"/>
            <w:noWrap w:val="0"/>
            <w:vAlign w:val="center"/>
          </w:tcPr>
          <w:p w14:paraId="256EA25C">
            <w:pPr>
              <w:keepNext w:val="0"/>
              <w:keepLines w:val="0"/>
              <w:pageBreakBefore w:val="0"/>
              <w:widowControl/>
              <w:suppressLineNumbers w:val="0"/>
              <w:kinsoku/>
              <w:wordWrap/>
              <w:overflowPunct/>
              <w:topLinePunct w:val="0"/>
              <w:bidi w:val="0"/>
              <w:snapToGrid/>
              <w:spacing w:before="0" w:beforeAutospacing="0" w:after="0" w:afterAutospacing="0" w:line="228" w:lineRule="auto"/>
              <w:ind w:left="0" w:right="0"/>
              <w:jc w:val="center"/>
              <w:textAlignment w:val="auto"/>
              <w:rPr>
                <w:rFonts w:hint="eastAsia" w:ascii="宋体" w:hAnsi="宋体" w:eastAsia="宋体" w:cs="宋体"/>
                <w:bCs/>
                <w:color w:val="auto"/>
                <w:kern w:val="0"/>
                <w:sz w:val="24"/>
                <w:szCs w:val="24"/>
                <w:highlight w:val="none"/>
              </w:rPr>
            </w:pPr>
          </w:p>
        </w:tc>
        <w:tc>
          <w:tcPr>
            <w:tcW w:w="5575" w:type="dxa"/>
            <w:shd w:val="clear" w:color="auto" w:fill="auto"/>
            <w:noWrap w:val="0"/>
            <w:vAlign w:val="center"/>
          </w:tcPr>
          <w:p w14:paraId="352548DF">
            <w:pPr>
              <w:keepNext w:val="0"/>
              <w:keepLines w:val="0"/>
              <w:suppressLineNumbers w:val="0"/>
              <w:spacing w:before="0" w:beforeAutospacing="0" w:after="0" w:afterAutospacing="0"/>
              <w:ind w:left="0" w:right="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rPr>
              <w:t>3.</w:t>
            </w: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default" w:ascii="宋体" w:hAnsi="宋体" w:eastAsia="宋体" w:cs="宋体"/>
                <w:color w:val="auto"/>
                <w:sz w:val="24"/>
                <w:highlight w:val="none"/>
                <w:lang w:val="en-US" w:eastAsia="zh-CN"/>
              </w:rPr>
              <w:t>评审小组</w:t>
            </w:r>
            <w:r>
              <w:rPr>
                <w:rFonts w:hint="default" w:ascii="宋体" w:hAnsi="宋体" w:eastAsia="宋体" w:cs="宋体"/>
                <w:color w:val="auto"/>
                <w:sz w:val="24"/>
                <w:highlight w:val="none"/>
              </w:rPr>
              <w:t>根据</w:t>
            </w:r>
            <w:r>
              <w:rPr>
                <w:rFonts w:hint="default" w:ascii="宋体" w:hAnsi="宋体" w:eastAsia="宋体" w:cs="宋体"/>
                <w:color w:val="auto"/>
                <w:sz w:val="24"/>
                <w:highlight w:val="none"/>
                <w:lang w:val="en-US" w:eastAsia="zh-CN"/>
              </w:rPr>
              <w:t>供应商</w:t>
            </w:r>
            <w:r>
              <w:rPr>
                <w:rFonts w:hint="default" w:ascii="宋体" w:hAnsi="宋体" w:eastAsia="宋体" w:cs="宋体"/>
                <w:color w:val="auto"/>
                <w:sz w:val="24"/>
                <w:highlight w:val="none"/>
              </w:rPr>
              <w:t>提供的</w:t>
            </w:r>
            <w:r>
              <w:rPr>
                <w:rFonts w:hint="eastAsia" w:ascii="宋体" w:hAnsi="宋体" w:eastAsia="宋体" w:cs="宋体"/>
                <w:color w:val="auto"/>
                <w:sz w:val="24"/>
                <w:highlight w:val="none"/>
              </w:rPr>
              <w:t>服务人员档案管理方案（包括劳动合同手续、工资社保代扣代缴、人事事务等资料）</w:t>
            </w:r>
            <w:r>
              <w:rPr>
                <w:rFonts w:hint="default" w:ascii="宋体" w:hAnsi="宋体" w:eastAsia="宋体" w:cs="宋体"/>
                <w:color w:val="auto"/>
                <w:sz w:val="24"/>
                <w:highlight w:val="none"/>
              </w:rPr>
              <w:t>，由评标委员会进行评议：</w:t>
            </w:r>
            <w:r>
              <w:rPr>
                <w:rFonts w:hint="default" w:ascii="宋体" w:hAnsi="宋体" w:eastAsia="宋体" w:cs="宋体"/>
                <w:color w:val="auto"/>
                <w:sz w:val="24"/>
                <w:highlight w:val="none"/>
                <w:lang w:val="en-US" w:eastAsia="zh-CN"/>
              </w:rPr>
              <w:t>包括①薪酬福利处理的及时性；②服务人员档案管理的规范性；③劳动纠纷处理的有效性；④人事专员及财务人员的专业性；⑤社保及商业保险缴纳的合规性。评分范围：5、4、3、2、1、0。</w:t>
            </w:r>
          </w:p>
        </w:tc>
        <w:tc>
          <w:tcPr>
            <w:tcW w:w="705" w:type="dxa"/>
            <w:shd w:val="clear" w:color="auto" w:fill="auto"/>
            <w:noWrap w:val="0"/>
            <w:vAlign w:val="center"/>
          </w:tcPr>
          <w:p w14:paraId="715C9AE3">
            <w:pPr>
              <w:keepNext w:val="0"/>
              <w:keepLines w:val="0"/>
              <w:widowControl/>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705" w:type="dxa"/>
            <w:shd w:val="clear" w:color="auto" w:fill="auto"/>
            <w:noWrap w:val="0"/>
            <w:vAlign w:val="center"/>
          </w:tcPr>
          <w:p w14:paraId="137C12E0">
            <w:pPr>
              <w:keepNext w:val="0"/>
              <w:keepLines w:val="0"/>
              <w:widowControl/>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sz w:val="24"/>
                <w:highlight w:val="none"/>
              </w:rPr>
              <w:t>主观评审</w:t>
            </w:r>
          </w:p>
        </w:tc>
      </w:tr>
      <w:tr w14:paraId="4284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262" w:type="dxa"/>
            <w:vMerge w:val="continue"/>
            <w:noWrap w:val="0"/>
            <w:vAlign w:val="center"/>
          </w:tcPr>
          <w:p w14:paraId="3807400F">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shd w:val="clear" w:color="auto" w:fill="auto"/>
            <w:noWrap w:val="0"/>
            <w:vAlign w:val="center"/>
          </w:tcPr>
          <w:p w14:paraId="41A27EA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4、重点</w:t>
            </w:r>
          </w:p>
          <w:p w14:paraId="0A829031">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分析及解决方案（5分）</w:t>
            </w:r>
          </w:p>
        </w:tc>
        <w:tc>
          <w:tcPr>
            <w:tcW w:w="5575" w:type="dxa"/>
            <w:shd w:val="clear" w:color="auto" w:fill="auto"/>
            <w:noWrap w:val="0"/>
            <w:vAlign w:val="center"/>
          </w:tcPr>
          <w:p w14:paraId="4602B22C">
            <w:pPr>
              <w:keepNext w:val="0"/>
              <w:keepLines w:val="0"/>
              <w:suppressLineNumbers w:val="0"/>
              <w:spacing w:before="0" w:beforeAutospacing="0" w:after="0" w:afterAutospacing="0"/>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4.1、评审小组</w:t>
            </w:r>
            <w:r>
              <w:rPr>
                <w:rFonts w:hint="default" w:ascii="宋体" w:hAnsi="宋体" w:eastAsia="宋体" w:cs="宋体"/>
                <w:color w:val="auto"/>
                <w:sz w:val="24"/>
                <w:highlight w:val="none"/>
              </w:rPr>
              <w:t>根据</w:t>
            </w:r>
            <w:r>
              <w:rPr>
                <w:rFonts w:hint="default" w:ascii="宋体" w:hAnsi="宋体" w:eastAsia="宋体" w:cs="宋体"/>
                <w:color w:val="auto"/>
                <w:sz w:val="24"/>
                <w:highlight w:val="none"/>
                <w:lang w:val="en-US" w:eastAsia="zh-CN"/>
              </w:rPr>
              <w:t>供应商</w:t>
            </w:r>
            <w:r>
              <w:rPr>
                <w:rFonts w:hint="default" w:ascii="宋体" w:hAnsi="宋体" w:eastAsia="宋体" w:cs="宋体"/>
                <w:color w:val="auto"/>
                <w:sz w:val="24"/>
                <w:highlight w:val="none"/>
              </w:rPr>
              <w:t>提供的针对本项目实施过程中可能遇到的重点分析情况以及对相应问题提出的处理措施进行评议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包括①政策变化或政府行为的应对措施；②服务人员稳定性保障机制；③劳动纠纷预防与处理方案；④服务质量监控与改进措施；⑤安全事故预防与应急处理。评分范围：5、4、3、2、1、0。</w:t>
            </w:r>
          </w:p>
        </w:tc>
        <w:tc>
          <w:tcPr>
            <w:tcW w:w="705" w:type="dxa"/>
            <w:shd w:val="clear" w:color="auto" w:fill="auto"/>
            <w:noWrap w:val="0"/>
            <w:vAlign w:val="center"/>
          </w:tcPr>
          <w:p w14:paraId="66C76170">
            <w:pPr>
              <w:keepNext w:val="0"/>
              <w:keepLines w:val="0"/>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shd w:val="clear" w:color="auto" w:fill="auto"/>
            <w:noWrap w:val="0"/>
            <w:vAlign w:val="center"/>
          </w:tcPr>
          <w:p w14:paraId="0A2E6861">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sz w:val="24"/>
                <w:highlight w:val="none"/>
              </w:rPr>
              <w:t>主观</w:t>
            </w:r>
            <w:r>
              <w:rPr>
                <w:rFonts w:hint="eastAsia" w:ascii="宋体" w:hAnsi="宋体" w:cs="宋体"/>
                <w:color w:val="auto"/>
                <w:sz w:val="24"/>
                <w:highlight w:val="none"/>
              </w:rPr>
              <w:t>评审</w:t>
            </w:r>
          </w:p>
        </w:tc>
      </w:tr>
      <w:tr w14:paraId="772B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262" w:type="dxa"/>
            <w:vMerge w:val="continue"/>
            <w:noWrap w:val="0"/>
            <w:vAlign w:val="center"/>
          </w:tcPr>
          <w:p w14:paraId="771CEE27">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restart"/>
            <w:shd w:val="clear" w:color="auto" w:fill="auto"/>
            <w:noWrap w:val="0"/>
            <w:vAlign w:val="center"/>
          </w:tcPr>
          <w:p w14:paraId="13FD2A1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rPr>
              <w:t>、人员配置方案（</w:t>
            </w:r>
            <w:r>
              <w:rPr>
                <w:rFonts w:hint="eastAsia" w:ascii="宋体" w:hAnsi="宋体" w:cs="宋体"/>
                <w:bCs/>
                <w:color w:val="auto"/>
                <w:kern w:val="0"/>
                <w:sz w:val="24"/>
                <w:highlight w:val="none"/>
                <w:lang w:val="en-US" w:eastAsia="zh-CN"/>
              </w:rPr>
              <w:t>15</w:t>
            </w:r>
            <w:r>
              <w:rPr>
                <w:rFonts w:hint="eastAsia" w:ascii="宋体" w:hAnsi="宋体" w:cs="宋体"/>
                <w:bCs/>
                <w:color w:val="auto"/>
                <w:kern w:val="0"/>
                <w:sz w:val="24"/>
                <w:highlight w:val="none"/>
              </w:rPr>
              <w:t>分）</w:t>
            </w:r>
          </w:p>
        </w:tc>
        <w:tc>
          <w:tcPr>
            <w:tcW w:w="5575" w:type="dxa"/>
            <w:shd w:val="clear" w:color="auto" w:fill="auto"/>
            <w:noWrap w:val="0"/>
            <w:vAlign w:val="top"/>
          </w:tcPr>
          <w:p w14:paraId="7FF4425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5.1、评审小组</w:t>
            </w:r>
            <w:r>
              <w:rPr>
                <w:rFonts w:hint="default" w:ascii="宋体" w:hAnsi="宋体" w:cs="宋体"/>
                <w:color w:val="auto"/>
                <w:sz w:val="24"/>
                <w:highlight w:val="none"/>
              </w:rPr>
              <w:t>根据</w:t>
            </w:r>
            <w:r>
              <w:rPr>
                <w:rFonts w:hint="default" w:ascii="宋体" w:hAnsi="宋体" w:cs="宋体"/>
                <w:color w:val="auto"/>
                <w:sz w:val="24"/>
                <w:highlight w:val="none"/>
                <w:lang w:val="en-US" w:eastAsia="zh-CN"/>
              </w:rPr>
              <w:t>供应商</w:t>
            </w:r>
            <w:r>
              <w:rPr>
                <w:rFonts w:hint="default" w:ascii="宋体" w:hAnsi="宋体" w:cs="宋体"/>
                <w:color w:val="auto"/>
                <w:sz w:val="24"/>
                <w:highlight w:val="none"/>
              </w:rPr>
              <w:t>提供的拟投入人员配置方案，由评标委员会进行评议：</w:t>
            </w:r>
            <w:r>
              <w:rPr>
                <w:rFonts w:hint="default" w:ascii="宋体" w:hAnsi="宋体" w:cs="宋体"/>
                <w:color w:val="auto"/>
                <w:sz w:val="24"/>
                <w:highlight w:val="none"/>
                <w:lang w:val="en-US" w:eastAsia="zh-CN"/>
              </w:rPr>
              <w:t>包括①人员资质的符合性；②经验与技能的匹配度；③年龄结构的合理性；④岗位分工的明确性；⑤应急补充机制的有效性。评分范围：5、4、3、2、1、0。</w:t>
            </w:r>
          </w:p>
        </w:tc>
        <w:tc>
          <w:tcPr>
            <w:tcW w:w="705" w:type="dxa"/>
            <w:shd w:val="clear" w:color="auto" w:fill="auto"/>
            <w:noWrap w:val="0"/>
            <w:vAlign w:val="center"/>
          </w:tcPr>
          <w:p w14:paraId="69683F55">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shd w:val="clear" w:color="auto" w:fill="auto"/>
            <w:noWrap w:val="0"/>
            <w:vAlign w:val="center"/>
          </w:tcPr>
          <w:p w14:paraId="2B5BCCD8">
            <w:pPr>
              <w:keepNext w:val="0"/>
              <w:keepLines w:val="0"/>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color w:val="auto"/>
                <w:sz w:val="24"/>
                <w:highlight w:val="none"/>
              </w:rPr>
              <w:t>主观评审</w:t>
            </w:r>
          </w:p>
        </w:tc>
      </w:tr>
      <w:tr w14:paraId="4CD9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262" w:type="dxa"/>
            <w:vMerge w:val="continue"/>
            <w:noWrap w:val="0"/>
            <w:vAlign w:val="center"/>
          </w:tcPr>
          <w:p w14:paraId="17489ADA">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continue"/>
            <w:shd w:val="clear" w:color="auto" w:fill="auto"/>
            <w:noWrap w:val="0"/>
            <w:vAlign w:val="center"/>
          </w:tcPr>
          <w:p w14:paraId="4DE894B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highlight w:val="none"/>
              </w:rPr>
            </w:pPr>
          </w:p>
        </w:tc>
        <w:tc>
          <w:tcPr>
            <w:tcW w:w="5575" w:type="dxa"/>
            <w:shd w:val="clear" w:color="auto" w:fill="auto"/>
            <w:noWrap w:val="0"/>
            <w:vAlign w:val="top"/>
          </w:tcPr>
          <w:p w14:paraId="655C38D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2、评审小组</w:t>
            </w:r>
            <w:r>
              <w:rPr>
                <w:rFonts w:hint="default" w:ascii="宋体" w:hAnsi="宋体" w:cs="宋体"/>
                <w:color w:val="auto"/>
                <w:sz w:val="24"/>
                <w:highlight w:val="none"/>
              </w:rPr>
              <w:t>根据</w:t>
            </w:r>
            <w:r>
              <w:rPr>
                <w:rFonts w:hint="default" w:ascii="宋体" w:hAnsi="宋体" w:cs="宋体"/>
                <w:color w:val="auto"/>
                <w:sz w:val="24"/>
                <w:highlight w:val="none"/>
                <w:lang w:val="en-US" w:eastAsia="zh-CN"/>
              </w:rPr>
              <w:t>供应商</w:t>
            </w:r>
            <w:r>
              <w:rPr>
                <w:rFonts w:hint="default" w:ascii="宋体" w:hAnsi="宋体" w:cs="宋体"/>
                <w:color w:val="auto"/>
                <w:sz w:val="24"/>
                <w:highlight w:val="none"/>
              </w:rPr>
              <w:t>提供的排班计划及方案，由评标委员会进行评议：</w:t>
            </w:r>
            <w:r>
              <w:rPr>
                <w:rFonts w:hint="default" w:ascii="宋体" w:hAnsi="宋体" w:cs="宋体"/>
                <w:color w:val="auto"/>
                <w:sz w:val="24"/>
                <w:highlight w:val="none"/>
                <w:lang w:val="en-US" w:eastAsia="zh-CN"/>
              </w:rPr>
              <w:t>包括①岗位覆盖与职责分配的合理性；②弹性排班机制的灵活性；③人员稳定性与连续性保障；④培训与考核的适配性；⑤应急预案的可操作性。评分范围：5、4、3、2、1、0。</w:t>
            </w:r>
          </w:p>
        </w:tc>
        <w:tc>
          <w:tcPr>
            <w:tcW w:w="705" w:type="dxa"/>
            <w:shd w:val="clear" w:color="auto" w:fill="auto"/>
            <w:noWrap w:val="0"/>
            <w:vAlign w:val="center"/>
          </w:tcPr>
          <w:p w14:paraId="051593E4">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shd w:val="clear" w:color="auto" w:fill="auto"/>
            <w:noWrap w:val="0"/>
            <w:vAlign w:val="center"/>
          </w:tcPr>
          <w:p w14:paraId="508EFF4E">
            <w:pPr>
              <w:keepNext w:val="0"/>
              <w:keepLines w:val="0"/>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color w:val="auto"/>
                <w:sz w:val="24"/>
                <w:highlight w:val="none"/>
              </w:rPr>
              <w:t>主观评审</w:t>
            </w:r>
          </w:p>
        </w:tc>
      </w:tr>
      <w:tr w14:paraId="572E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262" w:type="dxa"/>
            <w:vMerge w:val="continue"/>
            <w:noWrap w:val="0"/>
            <w:vAlign w:val="center"/>
          </w:tcPr>
          <w:p w14:paraId="3192B509">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continue"/>
            <w:shd w:val="clear" w:color="auto" w:fill="auto"/>
            <w:noWrap w:val="0"/>
            <w:vAlign w:val="center"/>
          </w:tcPr>
          <w:p w14:paraId="2A56749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highlight w:val="none"/>
              </w:rPr>
            </w:pPr>
          </w:p>
        </w:tc>
        <w:tc>
          <w:tcPr>
            <w:tcW w:w="5575" w:type="dxa"/>
            <w:shd w:val="clear" w:color="auto" w:fill="auto"/>
            <w:noWrap w:val="0"/>
            <w:vAlign w:val="top"/>
          </w:tcPr>
          <w:p w14:paraId="2DCC4B6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3、评审小组</w:t>
            </w:r>
            <w:r>
              <w:rPr>
                <w:rFonts w:hint="default" w:ascii="宋体" w:hAnsi="宋体" w:cs="宋体"/>
                <w:color w:val="auto"/>
                <w:sz w:val="24"/>
                <w:highlight w:val="none"/>
              </w:rPr>
              <w:t>根据</w:t>
            </w:r>
            <w:r>
              <w:rPr>
                <w:rFonts w:hint="default" w:ascii="宋体" w:hAnsi="宋体" w:cs="宋体"/>
                <w:color w:val="auto"/>
                <w:sz w:val="24"/>
                <w:highlight w:val="none"/>
                <w:lang w:val="en-US" w:eastAsia="zh-CN"/>
              </w:rPr>
              <w:t>供应商</w:t>
            </w:r>
            <w:r>
              <w:rPr>
                <w:rFonts w:hint="default" w:ascii="宋体" w:hAnsi="宋体" w:cs="宋体"/>
                <w:color w:val="auto"/>
                <w:sz w:val="24"/>
                <w:highlight w:val="none"/>
              </w:rPr>
              <w:t>提供的项目管理团队成员方案，由评标委员会进行评议：</w:t>
            </w:r>
            <w:r>
              <w:rPr>
                <w:rFonts w:hint="default" w:ascii="宋体" w:hAnsi="宋体" w:cs="宋体"/>
                <w:color w:val="auto"/>
                <w:sz w:val="24"/>
                <w:highlight w:val="none"/>
                <w:lang w:val="en-US" w:eastAsia="zh-CN"/>
              </w:rPr>
              <w:t>包括①管理团队结构的合理性；②管理人员资质与经验的匹配性；③职责分工的明确性；④沟通协调与应急处理能力；⑤合规管理与风险防控措施。评分范围：5、4、3、2、1、0。</w:t>
            </w:r>
          </w:p>
        </w:tc>
        <w:tc>
          <w:tcPr>
            <w:tcW w:w="705" w:type="dxa"/>
            <w:shd w:val="clear" w:color="auto" w:fill="auto"/>
            <w:noWrap w:val="0"/>
            <w:vAlign w:val="center"/>
          </w:tcPr>
          <w:p w14:paraId="0E5439B8">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shd w:val="clear" w:color="auto" w:fill="auto"/>
            <w:noWrap w:val="0"/>
            <w:vAlign w:val="center"/>
          </w:tcPr>
          <w:p w14:paraId="4A5E9CA7">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主观评审</w:t>
            </w:r>
          </w:p>
        </w:tc>
      </w:tr>
      <w:tr w14:paraId="42CD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2" w:type="dxa"/>
            <w:vMerge w:val="continue"/>
            <w:noWrap w:val="0"/>
            <w:vAlign w:val="center"/>
          </w:tcPr>
          <w:p w14:paraId="3802F26B">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shd w:val="clear" w:color="auto" w:fill="auto"/>
            <w:noWrap w:val="0"/>
            <w:vAlign w:val="center"/>
          </w:tcPr>
          <w:p w14:paraId="172F0218">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、人员管理方案（5分）</w:t>
            </w:r>
          </w:p>
        </w:tc>
        <w:tc>
          <w:tcPr>
            <w:tcW w:w="5575" w:type="dxa"/>
            <w:shd w:val="clear" w:color="auto" w:fill="auto"/>
            <w:noWrap w:val="0"/>
            <w:vAlign w:val="top"/>
          </w:tcPr>
          <w:p w14:paraId="4B457C58">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6.1、评审小组根据供应商</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针对本项目的员工稳定性保障措施和方案，由评标委员会进行评议：</w:t>
            </w:r>
            <w:r>
              <w:rPr>
                <w:rFonts w:hint="eastAsia" w:ascii="宋体" w:hAnsi="宋体" w:cs="宋体"/>
                <w:color w:val="auto"/>
                <w:sz w:val="24"/>
                <w:highlight w:val="none"/>
                <w:lang w:val="en-US" w:eastAsia="zh-CN"/>
              </w:rPr>
              <w:t>包括①薪酬福利的竞争力与合规性；②培训与晋升机制的完善性；③绩效考核与激励措施；④劳动纠纷预防与处理能力；⑤职业发展支持与归属感建设。评分范围：5、4、3、2、1、0。</w:t>
            </w:r>
          </w:p>
        </w:tc>
        <w:tc>
          <w:tcPr>
            <w:tcW w:w="705" w:type="dxa"/>
            <w:shd w:val="clear" w:color="auto" w:fill="auto"/>
            <w:noWrap w:val="0"/>
            <w:vAlign w:val="center"/>
          </w:tcPr>
          <w:p w14:paraId="10F31A2B">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shd w:val="clear" w:color="auto" w:fill="auto"/>
            <w:noWrap w:val="0"/>
            <w:vAlign w:val="center"/>
          </w:tcPr>
          <w:p w14:paraId="5B0C53AB">
            <w:pPr>
              <w:keepNext w:val="0"/>
              <w:keepLines w:val="0"/>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sz w:val="24"/>
                <w:highlight w:val="none"/>
              </w:rPr>
              <w:t>主观评审</w:t>
            </w:r>
          </w:p>
        </w:tc>
      </w:tr>
      <w:tr w14:paraId="4025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262" w:type="dxa"/>
            <w:vMerge w:val="continue"/>
            <w:noWrap w:val="0"/>
            <w:vAlign w:val="center"/>
          </w:tcPr>
          <w:p w14:paraId="1C97A294">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shd w:val="clear" w:color="auto" w:fill="auto"/>
            <w:noWrap w:val="0"/>
            <w:vAlign w:val="center"/>
          </w:tcPr>
          <w:p w14:paraId="3430ADE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、人员培训方案（5分）</w:t>
            </w:r>
          </w:p>
        </w:tc>
        <w:tc>
          <w:tcPr>
            <w:tcW w:w="5575" w:type="dxa"/>
            <w:shd w:val="clear" w:color="auto" w:fill="auto"/>
            <w:noWrap w:val="0"/>
            <w:vAlign w:val="top"/>
          </w:tcPr>
          <w:p w14:paraId="54F1D4B9">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7.1、评审小组</w:t>
            </w:r>
            <w:r>
              <w:rPr>
                <w:rFonts w:hint="default" w:ascii="宋体" w:hAnsi="宋体" w:cs="宋体"/>
                <w:color w:val="auto"/>
                <w:sz w:val="24"/>
                <w:highlight w:val="none"/>
              </w:rPr>
              <w:t>根据</w:t>
            </w:r>
            <w:r>
              <w:rPr>
                <w:rFonts w:hint="default" w:ascii="宋体" w:hAnsi="宋体" w:cs="宋体"/>
                <w:color w:val="auto"/>
                <w:sz w:val="24"/>
                <w:highlight w:val="none"/>
                <w:lang w:val="en-US" w:eastAsia="zh-CN"/>
              </w:rPr>
              <w:t>供应商</w:t>
            </w:r>
            <w:r>
              <w:rPr>
                <w:rFonts w:hint="default" w:ascii="宋体" w:hAnsi="宋体" w:cs="宋体"/>
                <w:color w:val="auto"/>
                <w:sz w:val="24"/>
                <w:highlight w:val="none"/>
              </w:rPr>
              <w:t>提供</w:t>
            </w:r>
            <w:r>
              <w:rPr>
                <w:rFonts w:hint="eastAsia" w:ascii="宋体" w:hAnsi="宋体" w:cs="宋体"/>
                <w:color w:val="auto"/>
                <w:sz w:val="24"/>
                <w:highlight w:val="none"/>
                <w:lang w:val="en-US" w:eastAsia="zh-CN"/>
              </w:rPr>
              <w:t>的</w:t>
            </w:r>
            <w:r>
              <w:rPr>
                <w:rFonts w:hint="default" w:ascii="宋体" w:hAnsi="宋体" w:cs="宋体"/>
                <w:color w:val="auto"/>
                <w:sz w:val="24"/>
                <w:highlight w:val="none"/>
              </w:rPr>
              <w:t>针对本项目的人员培训方案，由评标委员会进行评议：</w:t>
            </w:r>
            <w:r>
              <w:rPr>
                <w:rFonts w:hint="default" w:ascii="宋体" w:hAnsi="宋体" w:cs="宋体"/>
                <w:color w:val="auto"/>
                <w:sz w:val="24"/>
                <w:highlight w:val="none"/>
                <w:lang w:val="en-US" w:eastAsia="zh-CN"/>
              </w:rPr>
              <w:t>包括①培训内容的全面性与针对性；②培训机制的系统性与持续性；③培训效果的评估与反馈；④培训资源的投入与专业性；⑤</w:t>
            </w:r>
            <w:r>
              <w:rPr>
                <w:rFonts w:hint="eastAsia" w:ascii="宋体" w:hAnsi="宋体" w:cs="宋体"/>
                <w:color w:val="auto"/>
                <w:sz w:val="24"/>
                <w:highlight w:val="none"/>
                <w:lang w:val="en-US" w:eastAsia="zh-CN"/>
              </w:rPr>
              <w:t>培训的</w:t>
            </w:r>
            <w:r>
              <w:rPr>
                <w:rFonts w:hint="default" w:ascii="宋体" w:hAnsi="宋体" w:cs="宋体"/>
                <w:color w:val="auto"/>
                <w:sz w:val="24"/>
                <w:highlight w:val="none"/>
                <w:lang w:val="en-US" w:eastAsia="zh-CN"/>
              </w:rPr>
              <w:t>合规性与创新性。评分范围：5、4、3、2、1、0。</w:t>
            </w:r>
          </w:p>
        </w:tc>
        <w:tc>
          <w:tcPr>
            <w:tcW w:w="705" w:type="dxa"/>
            <w:shd w:val="clear" w:color="auto" w:fill="auto"/>
            <w:noWrap w:val="0"/>
            <w:vAlign w:val="center"/>
          </w:tcPr>
          <w:p w14:paraId="5C31DE23">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shd w:val="clear" w:color="auto" w:fill="auto"/>
            <w:noWrap w:val="0"/>
            <w:vAlign w:val="center"/>
          </w:tcPr>
          <w:p w14:paraId="36D3F0B3">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主观评审</w:t>
            </w:r>
          </w:p>
        </w:tc>
      </w:tr>
      <w:tr w14:paraId="207A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62" w:type="dxa"/>
            <w:vMerge w:val="continue"/>
            <w:noWrap w:val="0"/>
            <w:vAlign w:val="center"/>
          </w:tcPr>
          <w:p w14:paraId="5DF35F2F">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shd w:val="clear" w:color="auto" w:fill="auto"/>
            <w:noWrap w:val="0"/>
            <w:vAlign w:val="center"/>
          </w:tcPr>
          <w:p w14:paraId="4C56FCAA">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8</w:t>
            </w:r>
            <w:r>
              <w:rPr>
                <w:rFonts w:hint="eastAsia" w:ascii="宋体" w:hAnsi="宋体" w:eastAsia="宋体" w:cs="宋体"/>
                <w:bCs/>
                <w:color w:val="auto"/>
                <w:kern w:val="0"/>
                <w:sz w:val="24"/>
                <w:szCs w:val="24"/>
                <w:highlight w:val="none"/>
                <w:lang w:val="en-US" w:eastAsia="zh-CN" w:bidi="ar-SA"/>
              </w:rPr>
              <w:t>、项目人员衔接方案（5分）</w:t>
            </w:r>
          </w:p>
        </w:tc>
        <w:tc>
          <w:tcPr>
            <w:tcW w:w="5575" w:type="dxa"/>
            <w:shd w:val="clear" w:color="auto" w:fill="auto"/>
            <w:noWrap w:val="0"/>
            <w:vAlign w:val="top"/>
          </w:tcPr>
          <w:p w14:paraId="3ED84314">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8.1、评审小组</w:t>
            </w:r>
            <w:r>
              <w:rPr>
                <w:rFonts w:hint="default" w:ascii="宋体" w:hAnsi="宋体" w:cs="宋体"/>
                <w:color w:val="auto"/>
                <w:sz w:val="24"/>
                <w:highlight w:val="none"/>
              </w:rPr>
              <w:t>根据</w:t>
            </w:r>
            <w:r>
              <w:rPr>
                <w:rFonts w:hint="default" w:ascii="宋体" w:hAnsi="宋体" w:cs="宋体"/>
                <w:color w:val="auto"/>
                <w:sz w:val="24"/>
                <w:highlight w:val="none"/>
                <w:lang w:val="en-US" w:eastAsia="zh-CN"/>
              </w:rPr>
              <w:t>供应商</w:t>
            </w:r>
            <w:r>
              <w:rPr>
                <w:rFonts w:hint="default" w:ascii="宋体" w:hAnsi="宋体" w:cs="宋体"/>
                <w:color w:val="auto"/>
                <w:sz w:val="24"/>
                <w:highlight w:val="none"/>
              </w:rPr>
              <w:t>提供</w:t>
            </w:r>
            <w:r>
              <w:rPr>
                <w:rFonts w:hint="eastAsia" w:ascii="宋体" w:hAnsi="宋体" w:cs="宋体"/>
                <w:color w:val="auto"/>
                <w:sz w:val="24"/>
                <w:highlight w:val="none"/>
                <w:lang w:val="en-US" w:eastAsia="zh-CN"/>
              </w:rPr>
              <w:t>的</w:t>
            </w:r>
            <w:r>
              <w:rPr>
                <w:rFonts w:hint="default" w:ascii="宋体" w:hAnsi="宋体" w:cs="宋体"/>
                <w:color w:val="auto"/>
                <w:sz w:val="24"/>
                <w:highlight w:val="none"/>
              </w:rPr>
              <w:t>针对本项目详细的项目人员衔接方案，由评标委员会进行评议：</w:t>
            </w:r>
            <w:r>
              <w:rPr>
                <w:rFonts w:hint="default" w:ascii="宋体" w:hAnsi="宋体" w:cs="宋体"/>
                <w:color w:val="auto"/>
                <w:sz w:val="24"/>
                <w:highlight w:val="none"/>
                <w:lang w:val="en-US" w:eastAsia="zh-CN"/>
              </w:rPr>
              <w:t>包括①现有人员交接流程的规范性；②新增 / 更换人员的快速到岗能力；③培训与适应计划的有效性；④应急预案的完备性；⑤沟通与协调机制的顺畅性。评分范围：5、4、3、2、1、0。</w:t>
            </w:r>
          </w:p>
        </w:tc>
        <w:tc>
          <w:tcPr>
            <w:tcW w:w="705" w:type="dxa"/>
            <w:shd w:val="clear" w:color="auto" w:fill="auto"/>
            <w:noWrap w:val="0"/>
            <w:vAlign w:val="center"/>
          </w:tcPr>
          <w:p w14:paraId="289B0719">
            <w:pPr>
              <w:keepNext w:val="0"/>
              <w:keepLines w:val="0"/>
              <w:suppressLineNumbers w:val="0"/>
              <w:adjustRightInd/>
              <w:spacing w:before="0" w:beforeAutospacing="0" w:after="0" w:afterAutospacing="0"/>
              <w:ind w:left="0" w:right="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5</w:t>
            </w:r>
          </w:p>
        </w:tc>
        <w:tc>
          <w:tcPr>
            <w:tcW w:w="705" w:type="dxa"/>
            <w:shd w:val="clear" w:color="auto" w:fill="auto"/>
            <w:noWrap w:val="0"/>
            <w:vAlign w:val="center"/>
          </w:tcPr>
          <w:p w14:paraId="2CE6E4DF">
            <w:pPr>
              <w:keepNext w:val="0"/>
              <w:keepLines w:val="0"/>
              <w:suppressLineNumbers w:val="0"/>
              <w:adjustRightInd/>
              <w:spacing w:before="0" w:beforeAutospacing="0" w:after="0" w:afterAutospacing="0"/>
              <w:ind w:left="0" w:right="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主观评审</w:t>
            </w:r>
          </w:p>
        </w:tc>
      </w:tr>
      <w:tr w14:paraId="27D2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262" w:type="dxa"/>
            <w:vMerge w:val="continue"/>
            <w:noWrap w:val="0"/>
            <w:vAlign w:val="center"/>
          </w:tcPr>
          <w:p w14:paraId="2E37B513">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shd w:val="clear" w:color="auto" w:fill="auto"/>
            <w:noWrap w:val="0"/>
            <w:vAlign w:val="center"/>
          </w:tcPr>
          <w:p w14:paraId="767ED6A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9</w:t>
            </w:r>
            <w:r>
              <w:rPr>
                <w:rFonts w:hint="eastAsia" w:ascii="宋体" w:hAnsi="宋体" w:eastAsia="宋体" w:cs="宋体"/>
                <w:bCs/>
                <w:color w:val="auto"/>
                <w:kern w:val="0"/>
                <w:sz w:val="24"/>
                <w:highlight w:val="none"/>
                <w:lang w:val="en-US" w:eastAsia="zh-CN"/>
              </w:rPr>
              <w:t>、服务便捷性（5分）</w:t>
            </w:r>
          </w:p>
        </w:tc>
        <w:tc>
          <w:tcPr>
            <w:tcW w:w="5575" w:type="dxa"/>
            <w:shd w:val="clear" w:color="auto" w:fill="auto"/>
            <w:noWrap w:val="0"/>
            <w:vAlign w:val="top"/>
          </w:tcPr>
          <w:p w14:paraId="65788251">
            <w:pPr>
              <w:keepNext w:val="0"/>
              <w:keepLines w:val="0"/>
              <w:suppressLineNumbers w:val="0"/>
              <w:spacing w:before="0" w:beforeAutospacing="0" w:after="0" w:afterAutospacing="0"/>
              <w:ind w:left="0" w:right="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9.1、评审小组</w:t>
            </w:r>
            <w:r>
              <w:rPr>
                <w:rFonts w:hint="default" w:ascii="宋体" w:hAnsi="宋体" w:eastAsia="宋体" w:cs="宋体"/>
                <w:color w:val="auto"/>
                <w:sz w:val="24"/>
                <w:highlight w:val="none"/>
              </w:rPr>
              <w:t>根据</w:t>
            </w:r>
            <w:r>
              <w:rPr>
                <w:rFonts w:hint="default"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提供</w:t>
            </w:r>
            <w:r>
              <w:rPr>
                <w:rFonts w:hint="eastAsia" w:ascii="宋体" w:hAnsi="宋体" w:cs="宋体"/>
                <w:color w:val="auto"/>
                <w:sz w:val="24"/>
                <w:highlight w:val="none"/>
                <w:lang w:val="en-US" w:eastAsia="zh-CN"/>
              </w:rPr>
              <w:t>的</w:t>
            </w:r>
            <w:r>
              <w:rPr>
                <w:rFonts w:hint="default" w:ascii="宋体" w:hAnsi="宋体" w:eastAsia="宋体" w:cs="宋体"/>
                <w:color w:val="auto"/>
                <w:sz w:val="24"/>
                <w:highlight w:val="none"/>
              </w:rPr>
              <w:t>针对本项目的</w:t>
            </w:r>
            <w:r>
              <w:rPr>
                <w:rFonts w:hint="eastAsia" w:ascii="宋体" w:hAnsi="宋体" w:eastAsia="宋体" w:cs="宋体"/>
                <w:color w:val="auto"/>
                <w:sz w:val="24"/>
                <w:highlight w:val="none"/>
                <w:lang w:val="en-US" w:eastAsia="zh-CN"/>
              </w:rPr>
              <w:t>服务便捷性说明、响应时间</w:t>
            </w:r>
            <w:r>
              <w:rPr>
                <w:rFonts w:hint="eastAsia" w:ascii="宋体" w:hAnsi="宋体" w:eastAsia="宋体" w:cs="宋体"/>
                <w:color w:val="auto"/>
                <w:sz w:val="24"/>
                <w:highlight w:val="none"/>
              </w:rPr>
              <w:t>等</w:t>
            </w:r>
            <w:r>
              <w:rPr>
                <w:rFonts w:hint="default" w:ascii="宋体" w:hAnsi="宋体" w:eastAsia="宋体" w:cs="宋体"/>
                <w:color w:val="auto"/>
                <w:sz w:val="24"/>
                <w:highlight w:val="none"/>
              </w:rPr>
              <w:t>，由评标委员会进行评议：</w:t>
            </w:r>
            <w:r>
              <w:rPr>
                <w:rFonts w:hint="default" w:ascii="宋体" w:hAnsi="宋体" w:eastAsia="宋体" w:cs="宋体"/>
                <w:color w:val="auto"/>
                <w:sz w:val="24"/>
                <w:highlight w:val="none"/>
                <w:lang w:val="en-US" w:eastAsia="zh-CN"/>
              </w:rPr>
              <w:t>包括①响应时间的及时性；②措施的切实可行性；③方案的针对性与可操作性；④与采购人需求的匹配程度；⑤对医院运转的影响程度。评分范围：5、4、3、2、1、0。</w:t>
            </w:r>
          </w:p>
        </w:tc>
        <w:tc>
          <w:tcPr>
            <w:tcW w:w="705" w:type="dxa"/>
            <w:shd w:val="clear" w:color="auto" w:fill="auto"/>
            <w:noWrap w:val="0"/>
            <w:vAlign w:val="center"/>
          </w:tcPr>
          <w:p w14:paraId="6C25FEA8">
            <w:pPr>
              <w:keepNext w:val="0"/>
              <w:keepLines w:val="0"/>
              <w:suppressLineNumbers w:val="0"/>
              <w:adjustRightInd/>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705" w:type="dxa"/>
            <w:shd w:val="clear" w:color="auto" w:fill="auto"/>
            <w:noWrap w:val="0"/>
            <w:vAlign w:val="center"/>
          </w:tcPr>
          <w:p w14:paraId="519557C3">
            <w:pPr>
              <w:keepNext w:val="0"/>
              <w:keepLines w:val="0"/>
              <w:suppressLineNumbers w:val="0"/>
              <w:adjustRightInd/>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主观评审</w:t>
            </w:r>
          </w:p>
        </w:tc>
      </w:tr>
    </w:tbl>
    <w:p w14:paraId="41D7D8FD">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60CB3A9B">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14:paraId="4155CB74">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4A1CACFB">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BE2B97D">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078CF4B7">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48DFB35B">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4238642">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3F4474B">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35BB473A">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7DEDA7D">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2849933B">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53BDC8">
      <w:pPr>
        <w:pStyle w:val="136"/>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41253AB">
      <w:pPr>
        <w:pStyle w:val="136"/>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35E2FBCE">
      <w:pPr>
        <w:pStyle w:val="136"/>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02792D8">
      <w:pPr>
        <w:pStyle w:val="136"/>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E5D8AAB">
      <w:pPr>
        <w:pStyle w:val="136"/>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596605E">
      <w:pPr>
        <w:pStyle w:val="136"/>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1B57A8A2">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EF56C94">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A96CC37">
      <w:pPr>
        <w:pStyle w:val="136"/>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供应商的报价（低于项目预算50%的），有可能影响产品质量或者不能诚信履约的，未能按要求提供书面说明或者提交相关证明材料，不能证明其报价合理性的，评标委员会应当将其作为无效投标处理。</w:t>
      </w:r>
    </w:p>
    <w:p w14:paraId="579DDDBF">
      <w:pPr>
        <w:pStyle w:val="136"/>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B3626E4">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64B28E81">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0FB8979D">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24AF2E6">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75E780B">
      <w:pPr>
        <w:pStyle w:val="136"/>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67F874F6">
      <w:pPr>
        <w:pStyle w:val="24"/>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29F4BAD">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6943B7F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687838A">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7DFACCE2">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DB60C44">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9F3C45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20BC043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5258A4FF">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w:t>
      </w:r>
      <w:r>
        <w:rPr>
          <w:rFonts w:hint="eastAsia" w:ascii="宋体" w:hAnsi="宋体" w:cs="宋体"/>
          <w:color w:val="auto"/>
          <w:kern w:val="0"/>
          <w:sz w:val="24"/>
          <w:highlight w:val="none"/>
          <w:lang w:val="en-US" w:eastAsia="zh-CN"/>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647787AE">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7BE9ABF4">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0C6C67D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7D805AA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00314405">
      <w:pPr>
        <w:kinsoku/>
        <w:wordWrap/>
        <w:overflowPunct/>
        <w:topLinePunct w:val="0"/>
        <w:bidi w:val="0"/>
        <w:spacing w:line="360" w:lineRule="auto"/>
        <w:ind w:firstLine="480" w:firstLineChars="200"/>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4.2.13参与同一个标项的供应商存在下列情形之一且无法合理解释的，其投标文件无效：</w:t>
      </w:r>
    </w:p>
    <w:p w14:paraId="50BC0114">
      <w:pPr>
        <w:kinsoku/>
        <w:wordWrap/>
        <w:overflowPunct/>
        <w:topLinePunct w:val="0"/>
        <w:bidi w:val="0"/>
        <w:spacing w:line="360" w:lineRule="auto"/>
        <w:ind w:firstLine="480" w:firstLineChars="200"/>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1）不同供应商的电子投标文件上传计算机的网卡MAC地址或硬盘序列号等硬件信息相同的；</w:t>
      </w:r>
    </w:p>
    <w:p w14:paraId="72BEC93A">
      <w:pPr>
        <w:kinsoku/>
        <w:wordWrap/>
        <w:overflowPunct/>
        <w:topLinePunct w:val="0"/>
        <w:bidi w:val="0"/>
        <w:spacing w:line="360" w:lineRule="auto"/>
        <w:ind w:firstLine="480" w:firstLineChars="200"/>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2）上传的电子投标文件若出现使用本项目其他投标供应商的数字证书加密的，或者加盖本项目其他投标供应商的电子印章的；    </w:t>
      </w:r>
    </w:p>
    <w:p w14:paraId="0E80750E">
      <w:pPr>
        <w:kinsoku/>
        <w:wordWrap/>
        <w:overflowPunct/>
        <w:topLinePunct w:val="0"/>
        <w:bidi w:val="0"/>
        <w:spacing w:line="360" w:lineRule="auto"/>
        <w:ind w:firstLine="480" w:firstLineChars="200"/>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3）不同供应商的投标文件的内容存在3处（含）以上错误一致的；</w:t>
      </w:r>
    </w:p>
    <w:p w14:paraId="1D71C600">
      <w:pPr>
        <w:kinsoku/>
        <w:wordWrap/>
        <w:overflowPunct/>
        <w:topLinePunct w:val="0"/>
        <w:bidi w:val="0"/>
        <w:spacing w:line="360" w:lineRule="auto"/>
        <w:ind w:firstLine="480" w:firstLineChars="200"/>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4）不同供应商联系人为同一人或不同联系人的联系电话一致的。</w:t>
      </w:r>
    </w:p>
    <w:p w14:paraId="64F3FE7F">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w:t>
      </w:r>
      <w:r>
        <w:rPr>
          <w:rFonts w:hint="eastAsia" w:ascii="宋体" w:hAnsi="宋体" w:eastAsia="宋体" w:cs="宋体"/>
          <w:color w:val="auto"/>
          <w:kern w:val="0"/>
          <w:sz w:val="24"/>
          <w:highlight w:val="none"/>
          <w:lang w:val="en-US"/>
        </w:rPr>
        <w:t>文件不满足招标文件的其它实质性要求的；</w:t>
      </w:r>
    </w:p>
    <w:p w14:paraId="49AEB259">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61319030">
      <w:pPr>
        <w:pStyle w:val="24"/>
        <w:kinsoku/>
        <w:wordWrap/>
        <w:overflowPunct/>
        <w:topLinePunct w:val="0"/>
        <w:bidi w:val="0"/>
        <w:snapToGrid w:val="0"/>
        <w:spacing w:line="360" w:lineRule="auto"/>
        <w:ind w:firstLine="472" w:firstLineChars="196"/>
        <w:outlineLvl w:val="9"/>
        <w:rPr>
          <w:rFonts w:hint="eastAsia" w:cs="宋体"/>
          <w:b/>
          <w:color w:val="auto"/>
          <w:highlight w:val="none"/>
        </w:rPr>
      </w:pPr>
    </w:p>
    <w:p w14:paraId="5E087319">
      <w:pPr>
        <w:pStyle w:val="24"/>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9357E27">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31EB0632">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4652F934">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387CCB31">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0996CE90">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1F2C1A83">
      <w:pPr>
        <w:pStyle w:val="24"/>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11C05BE">
      <w:pPr>
        <w:pStyle w:val="24"/>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FE40E8F">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101C2345">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4130E94">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D47F8EA">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64F42109">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A9B6C3E">
      <w:pPr>
        <w:pStyle w:val="24"/>
        <w:kinsoku/>
        <w:wordWrap/>
        <w:overflowPunct/>
        <w:topLinePunct w:val="0"/>
        <w:bidi w:val="0"/>
        <w:snapToGrid w:val="0"/>
        <w:spacing w:line="360" w:lineRule="auto"/>
        <w:ind w:firstLine="0" w:firstLineChars="0"/>
        <w:outlineLvl w:val="9"/>
        <w:rPr>
          <w:rFonts w:cs="宋体"/>
          <w:color w:val="auto"/>
          <w:highlight w:val="none"/>
        </w:rPr>
      </w:pPr>
    </w:p>
    <w:bookmarkEnd w:id="33"/>
    <w:p w14:paraId="34E75F12">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3" w:name="第五部分"/>
      <w:bookmarkStart w:id="404" w:name="_Toc86217003"/>
    </w:p>
    <w:p w14:paraId="7928AD71">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F833167">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5" w:name="_Toc8264"/>
      <w:r>
        <w:rPr>
          <w:rFonts w:hint="eastAsia" w:ascii="宋体" w:hAnsi="宋体" w:cs="宋体"/>
          <w:b/>
          <w:color w:val="auto"/>
          <w:sz w:val="36"/>
          <w:szCs w:val="36"/>
          <w:highlight w:val="none"/>
        </w:rPr>
        <w:t>第五部分 拟签订的合同文本</w:t>
      </w:r>
      <w:bookmarkEnd w:id="405"/>
    </w:p>
    <w:p w14:paraId="4071EA87">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F11F4B6">
      <w:pPr>
        <w:kinsoku/>
        <w:wordWrap/>
        <w:overflowPunct/>
        <w:topLinePunct w:val="0"/>
        <w:bidi w:val="0"/>
        <w:spacing w:line="480" w:lineRule="auto"/>
        <w:jc w:val="center"/>
        <w:outlineLvl w:val="9"/>
        <w:rPr>
          <w:rFonts w:ascii="宋体" w:hAnsi="宋体" w:cs="宋体"/>
          <w:b/>
          <w:color w:val="auto"/>
          <w:sz w:val="28"/>
          <w:szCs w:val="28"/>
          <w:highlight w:val="none"/>
        </w:rPr>
      </w:pPr>
    </w:p>
    <w:p w14:paraId="0A477B77">
      <w:pPr>
        <w:kinsoku/>
        <w:wordWrap/>
        <w:overflowPunct/>
        <w:topLinePunct w:val="0"/>
        <w:bidi w:val="0"/>
        <w:spacing w:line="480" w:lineRule="auto"/>
        <w:jc w:val="center"/>
        <w:outlineLvl w:val="9"/>
        <w:rPr>
          <w:rFonts w:ascii="宋体" w:hAnsi="宋体" w:cs="宋体"/>
          <w:b/>
          <w:color w:val="auto"/>
          <w:sz w:val="24"/>
          <w:highlight w:val="none"/>
        </w:rPr>
      </w:pPr>
    </w:p>
    <w:p w14:paraId="154CAB8D">
      <w:pPr>
        <w:kinsoku/>
        <w:wordWrap/>
        <w:overflowPunct/>
        <w:topLinePunct w:val="0"/>
        <w:bidi w:val="0"/>
        <w:spacing w:line="480" w:lineRule="auto"/>
        <w:jc w:val="center"/>
        <w:outlineLvl w:val="9"/>
        <w:rPr>
          <w:rFonts w:ascii="宋体" w:hAnsi="宋体" w:cs="宋体"/>
          <w:b/>
          <w:color w:val="auto"/>
          <w:sz w:val="24"/>
          <w:highlight w:val="none"/>
        </w:rPr>
      </w:pPr>
    </w:p>
    <w:p w14:paraId="2037103D">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84D667">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服务类</w:t>
      </w:r>
      <w:r>
        <w:rPr>
          <w:rFonts w:hint="eastAsia" w:ascii="宋体" w:hAnsi="宋体" w:cs="宋体"/>
          <w:b/>
          <w:color w:val="auto"/>
          <w:sz w:val="36"/>
          <w:szCs w:val="36"/>
          <w:highlight w:val="none"/>
        </w:rPr>
        <w:t>）</w:t>
      </w:r>
    </w:p>
    <w:p w14:paraId="1BD520EE">
      <w:pPr>
        <w:pStyle w:val="702"/>
        <w:kinsoku/>
        <w:wordWrap/>
        <w:overflowPunct/>
        <w:topLinePunct w:val="0"/>
        <w:bidi w:val="0"/>
        <w:outlineLvl w:val="9"/>
        <w:rPr>
          <w:rFonts w:ascii="宋体" w:hAnsi="宋体" w:cs="宋体"/>
          <w:color w:val="auto"/>
          <w:szCs w:val="24"/>
          <w:highlight w:val="none"/>
        </w:rPr>
      </w:pPr>
    </w:p>
    <w:p w14:paraId="5B5EDF72">
      <w:pPr>
        <w:pStyle w:val="702"/>
        <w:kinsoku/>
        <w:wordWrap/>
        <w:overflowPunct/>
        <w:topLinePunct w:val="0"/>
        <w:bidi w:val="0"/>
        <w:outlineLvl w:val="9"/>
        <w:rPr>
          <w:rFonts w:ascii="宋体" w:hAnsi="宋体" w:cs="宋体"/>
          <w:color w:val="auto"/>
          <w:szCs w:val="24"/>
          <w:highlight w:val="none"/>
        </w:rPr>
      </w:pPr>
    </w:p>
    <w:p w14:paraId="62B6FC9C">
      <w:pPr>
        <w:pStyle w:val="702"/>
        <w:kinsoku/>
        <w:wordWrap/>
        <w:overflowPunct/>
        <w:topLinePunct w:val="0"/>
        <w:bidi w:val="0"/>
        <w:jc w:val="center"/>
        <w:outlineLvl w:val="9"/>
        <w:rPr>
          <w:rFonts w:ascii="宋体" w:hAnsi="宋体" w:cs="宋体"/>
          <w:color w:val="auto"/>
          <w:szCs w:val="24"/>
          <w:highlight w:val="none"/>
        </w:rPr>
      </w:pPr>
    </w:p>
    <w:p w14:paraId="0A3814BB">
      <w:pPr>
        <w:pStyle w:val="702"/>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A730B1A">
      <w:pPr>
        <w:pStyle w:val="702"/>
        <w:kinsoku/>
        <w:wordWrap/>
        <w:overflowPunct/>
        <w:topLinePunct w:val="0"/>
        <w:bidi w:val="0"/>
        <w:outlineLvl w:val="9"/>
        <w:rPr>
          <w:rFonts w:ascii="宋体" w:hAnsi="宋体" w:cs="宋体"/>
          <w:color w:val="auto"/>
          <w:szCs w:val="24"/>
          <w:highlight w:val="none"/>
        </w:rPr>
      </w:pPr>
    </w:p>
    <w:p w14:paraId="41D47857">
      <w:pPr>
        <w:pStyle w:val="702"/>
        <w:kinsoku/>
        <w:wordWrap/>
        <w:overflowPunct/>
        <w:topLinePunct w:val="0"/>
        <w:bidi w:val="0"/>
        <w:outlineLvl w:val="9"/>
        <w:rPr>
          <w:rFonts w:ascii="宋体" w:hAnsi="宋体" w:cs="宋体"/>
          <w:color w:val="auto"/>
          <w:szCs w:val="24"/>
          <w:highlight w:val="none"/>
        </w:rPr>
      </w:pPr>
    </w:p>
    <w:p w14:paraId="0B2089B9">
      <w:pPr>
        <w:kinsoku/>
        <w:wordWrap/>
        <w:overflowPunct/>
        <w:topLinePunct w:val="0"/>
        <w:bidi w:val="0"/>
        <w:spacing w:before="120" w:line="22" w:lineRule="atLeast"/>
        <w:outlineLvl w:val="9"/>
        <w:rPr>
          <w:rFonts w:ascii="宋体" w:hAnsi="宋体" w:cs="宋体"/>
          <w:color w:val="auto"/>
          <w:sz w:val="24"/>
          <w:highlight w:val="none"/>
        </w:rPr>
      </w:pPr>
    </w:p>
    <w:p w14:paraId="19B2A3F5">
      <w:pPr>
        <w:kinsoku/>
        <w:wordWrap/>
        <w:overflowPunct/>
        <w:topLinePunct w:val="0"/>
        <w:bidi w:val="0"/>
        <w:spacing w:before="120" w:line="22" w:lineRule="atLeast"/>
        <w:ind w:left="960"/>
        <w:outlineLvl w:val="9"/>
        <w:rPr>
          <w:rFonts w:hint="default" w:ascii="宋体" w:hAnsi="宋体" w:cs="宋体"/>
          <w:color w:val="auto"/>
          <w:sz w:val="24"/>
          <w:highlight w:val="none"/>
          <w:lang w:val="en-US"/>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2025-2027年宁海县中医医院保障性后勤服务项目</w:t>
      </w:r>
      <w:r>
        <w:rPr>
          <w:rFonts w:hint="eastAsia" w:ascii="宋体" w:hAnsi="宋体" w:cs="宋体"/>
          <w:color w:val="auto"/>
          <w:sz w:val="24"/>
          <w:highlight w:val="none"/>
          <w:u w:val="single"/>
          <w:lang w:val="en-US" w:eastAsia="zh-CN"/>
        </w:rPr>
        <w:t xml:space="preserve">            </w:t>
      </w:r>
    </w:p>
    <w:p w14:paraId="3E248DD5">
      <w:pPr>
        <w:pStyle w:val="599"/>
        <w:kinsoku/>
        <w:wordWrap/>
        <w:overflowPunct/>
        <w:topLinePunct w:val="0"/>
        <w:bidi w:val="0"/>
        <w:spacing w:before="120" w:line="22" w:lineRule="atLeast"/>
        <w:outlineLvl w:val="9"/>
        <w:rPr>
          <w:rFonts w:ascii="宋体" w:hAnsi="宋体" w:eastAsia="宋体" w:cs="宋体"/>
          <w:color w:val="auto"/>
          <w:szCs w:val="24"/>
          <w:highlight w:val="none"/>
        </w:rPr>
      </w:pPr>
    </w:p>
    <w:p w14:paraId="541E8B61">
      <w:pPr>
        <w:kinsoku/>
        <w:wordWrap/>
        <w:overflowPunct/>
        <w:topLinePunct w:val="0"/>
        <w:bidi w:val="0"/>
        <w:outlineLvl w:val="9"/>
        <w:rPr>
          <w:rFonts w:ascii="宋体" w:hAnsi="宋体" w:cs="宋体"/>
          <w:color w:val="auto"/>
          <w:sz w:val="24"/>
          <w:highlight w:val="none"/>
        </w:rPr>
      </w:pPr>
    </w:p>
    <w:p w14:paraId="0AF930B2">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宁海县中医医院</w:t>
      </w:r>
      <w:r>
        <w:rPr>
          <w:rFonts w:hint="eastAsia" w:ascii="宋体" w:hAnsi="宋体" w:cs="宋体"/>
          <w:color w:val="auto"/>
          <w:sz w:val="24"/>
          <w:highlight w:val="none"/>
          <w:u w:val="single"/>
          <w:lang w:val="en-US" w:eastAsia="zh-CN"/>
        </w:rPr>
        <w:t xml:space="preserve">                            </w:t>
      </w:r>
    </w:p>
    <w:p w14:paraId="0E38E2B1">
      <w:pPr>
        <w:kinsoku/>
        <w:wordWrap/>
        <w:overflowPunct/>
        <w:topLinePunct w:val="0"/>
        <w:bidi w:val="0"/>
        <w:spacing w:before="120" w:line="22" w:lineRule="atLeast"/>
        <w:outlineLvl w:val="9"/>
        <w:rPr>
          <w:rFonts w:ascii="宋体" w:hAnsi="宋体" w:cs="宋体"/>
          <w:color w:val="auto"/>
          <w:sz w:val="24"/>
          <w:highlight w:val="none"/>
        </w:rPr>
      </w:pPr>
    </w:p>
    <w:p w14:paraId="36305195">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5C5BF68F">
      <w:pPr>
        <w:kinsoku/>
        <w:wordWrap/>
        <w:overflowPunct/>
        <w:topLinePunct w:val="0"/>
        <w:bidi w:val="0"/>
        <w:spacing w:before="120" w:line="22" w:lineRule="atLeast"/>
        <w:outlineLvl w:val="9"/>
        <w:rPr>
          <w:rFonts w:ascii="宋体" w:hAnsi="宋体" w:cs="宋体"/>
          <w:color w:val="auto"/>
          <w:sz w:val="24"/>
          <w:highlight w:val="none"/>
        </w:rPr>
      </w:pPr>
    </w:p>
    <w:p w14:paraId="27062E90">
      <w:pPr>
        <w:kinsoku/>
        <w:wordWrap/>
        <w:overflowPunct/>
        <w:topLinePunct w:val="0"/>
        <w:bidi w:val="0"/>
        <w:spacing w:before="120" w:line="22" w:lineRule="atLeast"/>
        <w:ind w:firstLine="960" w:firstLineChars="400"/>
        <w:outlineLvl w:val="9"/>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宁海县                                                  </w:t>
      </w:r>
      <w:r>
        <w:rPr>
          <w:rFonts w:hint="eastAsia" w:ascii="宋体" w:hAnsi="宋体" w:cs="宋体"/>
          <w:color w:val="auto"/>
          <w:sz w:val="24"/>
          <w:highlight w:val="none"/>
          <w:u w:val="single"/>
        </w:rPr>
        <w:t xml:space="preserve">  </w:t>
      </w:r>
    </w:p>
    <w:p w14:paraId="0A820F51">
      <w:pPr>
        <w:kinsoku/>
        <w:wordWrap/>
        <w:overflowPunct/>
        <w:topLinePunct w:val="0"/>
        <w:bidi w:val="0"/>
        <w:spacing w:before="120" w:line="22" w:lineRule="atLeast"/>
        <w:outlineLvl w:val="9"/>
        <w:rPr>
          <w:rFonts w:ascii="宋体" w:hAnsi="宋体" w:cs="宋体"/>
          <w:color w:val="auto"/>
          <w:sz w:val="24"/>
          <w:highlight w:val="none"/>
        </w:rPr>
      </w:pPr>
    </w:p>
    <w:p w14:paraId="66D04926">
      <w:pPr>
        <w:kinsoku/>
        <w:wordWrap/>
        <w:overflowPunct/>
        <w:topLinePunct w:val="0"/>
        <w:bidi w:val="0"/>
        <w:spacing w:before="120" w:line="22" w:lineRule="atLeast"/>
        <w:ind w:firstLine="960" w:firstLineChars="400"/>
        <w:outlineLvl w:val="9"/>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7818F31">
      <w:pPr>
        <w:pStyle w:val="86"/>
        <w:rPr>
          <w:color w:val="auto"/>
          <w:highlight w:val="none"/>
        </w:rPr>
      </w:pPr>
    </w:p>
    <w:p w14:paraId="71CA7782">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u w:val="single"/>
          <w:lang w:val="zh-CN"/>
        </w:rPr>
      </w:pPr>
    </w:p>
    <w:p w14:paraId="5F9CDB23">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u w:val="single"/>
          <w:lang w:val="zh-CN"/>
        </w:rPr>
      </w:pPr>
    </w:p>
    <w:p w14:paraId="5013B972">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2025</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宁海县中医医院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2025-2027年宁海县中医医院保障性后勤服务项目</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hint="eastAsia" w:ascii="宋体" w:hAnsi="宋体"/>
          <w:color w:val="auto"/>
          <w:sz w:val="24"/>
          <w:highlight w:val="none"/>
          <w:u w:val="single"/>
          <w:lang w:val="en-US" w:eastAsia="zh-CN"/>
        </w:rPr>
        <w:t>评标委员会</w:t>
      </w:r>
      <w:r>
        <w:rPr>
          <w:rFonts w:hint="eastAsia" w:ascii="宋体" w:hAnsi="宋体"/>
          <w:color w:val="auto"/>
          <w:sz w:val="24"/>
          <w:highlight w:val="none"/>
        </w:rPr>
        <w:t>评定，</w:t>
      </w:r>
      <w:r>
        <w:rPr>
          <w:rFonts w:ascii="宋体" w:hAnsi="宋体"/>
          <w:color w:val="auto"/>
          <w:sz w:val="24"/>
          <w:highlight w:val="none"/>
          <w:u w:val="single"/>
        </w:rPr>
        <w:t xml:space="preserve">   （中标供应商</w:t>
      </w:r>
      <w:r>
        <w:rPr>
          <w:rFonts w:hint="eastAsia" w:ascii="宋体" w:hAnsi="宋体"/>
          <w:color w:val="auto"/>
          <w:sz w:val="24"/>
          <w:highlight w:val="none"/>
          <w:u w:val="single"/>
          <w:lang w:val="en-US" w:eastAsia="zh-CN"/>
        </w:rPr>
        <w:t>名称</w:t>
      </w:r>
      <w:r>
        <w:rPr>
          <w:rFonts w:ascii="宋体" w:hAnsi="宋体"/>
          <w:color w:val="auto"/>
          <w:sz w:val="24"/>
          <w:highlight w:val="none"/>
          <w:u w:val="single"/>
        </w:rPr>
        <w:t xml:space="preserve">）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w:t>
      </w:r>
    </w:p>
    <w:p w14:paraId="5AE4416C">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宁海县中医医院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中标供应商名称</w:t>
      </w:r>
      <w:r>
        <w:rPr>
          <w:rFonts w:ascii="宋体" w:hAnsi="宋体"/>
          <w:color w:val="auto"/>
          <w:sz w:val="24"/>
          <w:highlight w:val="none"/>
          <w:u w:val="single"/>
        </w:rPr>
        <w:t xml:space="preserve">）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79C98E2">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olor w:val="auto"/>
          <w:sz w:val="24"/>
          <w:highlight w:val="none"/>
        </w:rPr>
      </w:pPr>
      <w:bookmarkStart w:id="406" w:name="_Toc22967"/>
      <w:bookmarkStart w:id="407" w:name="_Toc15367"/>
      <w:bookmarkStart w:id="408" w:name="_Toc20421"/>
      <w:bookmarkStart w:id="409" w:name="_Toc28855"/>
      <w:bookmarkStart w:id="41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14:paraId="3B641965">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1C6EFA">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D7B3CF9">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14:paraId="07EBC859">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14:paraId="0F995078">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FFF86BF">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F70B051">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b/>
          <w:color w:val="auto"/>
          <w:sz w:val="24"/>
          <w:highlight w:val="none"/>
        </w:rPr>
      </w:pPr>
      <w:bookmarkStart w:id="411" w:name="_Toc18585"/>
      <w:bookmarkStart w:id="412" w:name="_Toc6311"/>
      <w:bookmarkStart w:id="413" w:name="_Toc22185"/>
      <w:bookmarkStart w:id="414" w:name="_Toc2918"/>
      <w:bookmarkStart w:id="415"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14:paraId="49FEE1C0">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3665F694">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3BBF42B3">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14:paraId="25721ECE">
      <w:pPr>
        <w:keepNext w:val="0"/>
        <w:keepLines w:val="0"/>
        <w:pageBreakBefore w:val="0"/>
        <w:shd w:val="clear"/>
        <w:kinsoku/>
        <w:wordWrap/>
        <w:overflowPunct/>
        <w:topLinePunct w:val="0"/>
        <w:bidi w:val="0"/>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A0FE7BF">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b/>
          <w:color w:val="auto"/>
          <w:sz w:val="24"/>
          <w:highlight w:val="none"/>
        </w:rPr>
      </w:pPr>
      <w:bookmarkStart w:id="416" w:name="_Toc4929"/>
      <w:bookmarkStart w:id="417" w:name="_Toc5635"/>
      <w:bookmarkStart w:id="418" w:name="_Toc1386"/>
      <w:bookmarkStart w:id="419" w:name="_Toc13918"/>
      <w:bookmarkStart w:id="420" w:name="_Toc21124"/>
      <w:r>
        <w:rPr>
          <w:rFonts w:ascii="宋体" w:hAnsi="宋体"/>
          <w:b/>
          <w:color w:val="auto"/>
          <w:sz w:val="24"/>
          <w:highlight w:val="none"/>
        </w:rPr>
        <w:t>1.3 价款</w:t>
      </w:r>
      <w:bookmarkEnd w:id="416"/>
      <w:bookmarkEnd w:id="417"/>
      <w:bookmarkEnd w:id="418"/>
      <w:bookmarkEnd w:id="419"/>
      <w:bookmarkEnd w:id="420"/>
    </w:p>
    <w:p w14:paraId="32A8EC6B">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w:t>
      </w:r>
      <w:r>
        <w:rPr>
          <w:rFonts w:hint="eastAsia" w:ascii="宋体" w:hAnsi="宋体"/>
          <w:color w:val="auto"/>
          <w:sz w:val="24"/>
          <w:highlight w:val="none"/>
          <w:lang w:val="en-US" w:eastAsia="zh-CN"/>
        </w:rPr>
        <w:t>三年</w:t>
      </w:r>
      <w:r>
        <w:rPr>
          <w:rFonts w:ascii="宋体" w:hAnsi="宋体"/>
          <w:color w:val="auto"/>
          <w:sz w:val="24"/>
          <w:highlight w:val="none"/>
        </w:rPr>
        <w:t>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r>
        <w:rPr>
          <w:rFonts w:ascii="宋体" w:hAnsi="宋体"/>
          <w:color w:val="auto"/>
          <w:sz w:val="24"/>
          <w:highlight w:val="none"/>
        </w:rPr>
        <w:br w:type="textWrapping"/>
      </w:r>
      <w:r>
        <w:rPr>
          <w:rFonts w:hint="eastAsia" w:ascii="宋体" w:hAnsi="宋体"/>
          <w:color w:val="auto"/>
          <w:sz w:val="24"/>
          <w:highlight w:val="none"/>
          <w:lang w:val="en-US" w:eastAsia="zh-CN"/>
        </w:rPr>
        <w:t xml:space="preserve">    </w:t>
      </w:r>
      <w:r>
        <w:rPr>
          <w:rFonts w:hint="eastAsia" w:ascii="宋体" w:hAnsi="宋体"/>
          <w:color w:val="auto"/>
          <w:sz w:val="24"/>
          <w:highlight w:val="none"/>
        </w:rPr>
        <w:t>1.3.</w:t>
      </w:r>
      <w:r>
        <w:rPr>
          <w:rFonts w:hint="eastAsia" w:ascii="宋体" w:hAnsi="宋体"/>
          <w:color w:val="auto"/>
          <w:sz w:val="24"/>
          <w:highlight w:val="none"/>
          <w:lang w:val="en-US" w:eastAsia="zh-CN"/>
        </w:rPr>
        <w:t>2年度</w:t>
      </w:r>
      <w:r>
        <w:rPr>
          <w:rFonts w:hint="eastAsia" w:ascii="宋体" w:hAnsi="宋体"/>
          <w:color w:val="auto"/>
          <w:sz w:val="24"/>
          <w:highlight w:val="none"/>
        </w:rPr>
        <w:t>合同</w:t>
      </w:r>
      <w:r>
        <w:rPr>
          <w:rFonts w:hint="eastAsia" w:ascii="宋体" w:hAnsi="宋体"/>
          <w:color w:val="auto"/>
          <w:sz w:val="24"/>
          <w:highlight w:val="none"/>
          <w:lang w:val="en-US" w:eastAsia="zh-CN"/>
        </w:rPr>
        <w:t>价</w:t>
      </w:r>
      <w:r>
        <w:rPr>
          <w:rFonts w:hint="eastAsia" w:ascii="宋体" w:hAnsi="宋体"/>
          <w:color w:val="auto"/>
          <w:sz w:val="24"/>
          <w:highlight w:val="none"/>
        </w:rPr>
        <w:t>，</w:t>
      </w:r>
      <w:r>
        <w:rPr>
          <w:rFonts w:hint="eastAsia" w:ascii="宋体" w:hAnsi="宋体"/>
          <w:color w:val="auto"/>
          <w:sz w:val="24"/>
          <w:highlight w:val="none"/>
          <w:lang w:val="en-US" w:eastAsia="zh-CN"/>
        </w:rPr>
        <w:t>年度</w:t>
      </w:r>
      <w:r>
        <w:rPr>
          <w:rFonts w:ascii="宋体" w:hAnsi="宋体"/>
          <w:color w:val="auto"/>
          <w:sz w:val="24"/>
          <w:highlight w:val="none"/>
        </w:rPr>
        <w:t>合同价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21D3A77">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eastAsia="宋体" w:cs="Times New Roman"/>
          <w:b/>
          <w:color w:val="auto"/>
          <w:sz w:val="24"/>
          <w:highlight w:val="none"/>
        </w:rPr>
      </w:pPr>
      <w:bookmarkStart w:id="421" w:name="_Toc22618"/>
      <w:bookmarkStart w:id="422" w:name="_Toc1814"/>
      <w:bookmarkStart w:id="423" w:name="_Toc10340"/>
      <w:bookmarkStart w:id="424" w:name="_Toc3625"/>
      <w:bookmarkStart w:id="425" w:name="_Toc4760"/>
      <w:bookmarkStart w:id="426" w:name="_Toc11108"/>
      <w:bookmarkStart w:id="427" w:name="_Toc8772"/>
      <w:bookmarkStart w:id="428" w:name="_Toc31421"/>
      <w:r>
        <w:rPr>
          <w:rFonts w:hint="eastAsia" w:ascii="宋体" w:hAnsi="宋体" w:eastAsia="宋体" w:cs="Times New Roman"/>
          <w:b/>
          <w:color w:val="auto"/>
          <w:sz w:val="24"/>
          <w:highlight w:val="none"/>
        </w:rPr>
        <w:t>1.4履约保证金</w:t>
      </w:r>
    </w:p>
    <w:p w14:paraId="188C4FEB">
      <w:pPr>
        <w:keepNext w:val="0"/>
        <w:keepLines w:val="0"/>
        <w:pageBreakBefore w:val="0"/>
        <w:shd w:val="clea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rPr>
        <w:t>乙方</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val="0"/>
          <w:bCs w:val="0"/>
          <w:color w:val="auto"/>
          <w:sz w:val="24"/>
          <w:highlight w:val="none"/>
          <w:u w:val="single"/>
          <w:lang w:val="en-US" w:eastAsia="zh-CN"/>
        </w:rPr>
        <w:t>否</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rPr>
        <w:t>需要支付履约保证金。</w:t>
      </w:r>
    </w:p>
    <w:p w14:paraId="7FB44E32">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hint="eastAsia" w:ascii="宋体" w:hAnsi="宋体" w:cs="宋体"/>
          <w:b/>
          <w:color w:val="auto"/>
          <w:sz w:val="24"/>
          <w:highlight w:val="none"/>
        </w:rPr>
      </w:pPr>
    </w:p>
    <w:p w14:paraId="1C75CD07">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hint="eastAsia" w:ascii="宋体" w:hAnsi="宋体" w:cs="宋体"/>
          <w:b/>
          <w:color w:val="auto"/>
          <w:sz w:val="24"/>
          <w:highlight w:val="none"/>
        </w:rPr>
      </w:pPr>
    </w:p>
    <w:p w14:paraId="03ABB1E6">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w:t>
      </w:r>
      <w:bookmarkEnd w:id="421"/>
      <w:bookmarkEnd w:id="422"/>
      <w:bookmarkEnd w:id="423"/>
      <w:r>
        <w:rPr>
          <w:rFonts w:hint="eastAsia" w:ascii="宋体" w:hAnsi="宋体" w:cs="宋体"/>
          <w:b/>
          <w:color w:val="auto"/>
          <w:sz w:val="24"/>
          <w:highlight w:val="none"/>
        </w:rPr>
        <w:t>预付款</w:t>
      </w:r>
    </w:p>
    <w:p w14:paraId="7E11A1C2">
      <w:pPr>
        <w:pStyle w:val="959"/>
        <w:keepNext w:val="0"/>
        <w:keepLines w:val="0"/>
        <w:pageBreakBefore w:val="0"/>
        <w:shd w:val="clear"/>
        <w:kinsoku/>
        <w:wordWrap/>
        <w:overflowPunct/>
        <w:topLinePunct w:val="0"/>
        <w:bidi w:val="0"/>
        <w:snapToGrid/>
        <w:spacing w:before="0" w:beforeAutospacing="0" w:after="0" w:afterAutospacing="0" w:line="360" w:lineRule="auto"/>
        <w:ind w:firstLine="480"/>
        <w:textAlignment w:val="auto"/>
        <w:rPr>
          <w:rFonts w:hint="eastAsia" w:ascii="宋体" w:hAnsi="宋体" w:eastAsia="宋体" w:cs="Times New Roman"/>
          <w:b/>
          <w:i w:val="0"/>
          <w:iCs/>
          <w:color w:val="auto"/>
          <w:kern w:val="2"/>
          <w:sz w:val="24"/>
          <w:szCs w:val="24"/>
          <w:highlight w:val="none"/>
          <w:u w:val="single"/>
          <w:lang w:val="en-US" w:eastAsia="zh-CN" w:bidi="ar-SA"/>
        </w:rPr>
      </w:pPr>
      <w:r>
        <w:rPr>
          <w:rFonts w:hint="eastAsia" w:ascii="宋体" w:hAnsi="宋体" w:cs="宋体"/>
          <w:color w:val="auto"/>
          <w:kern w:val="0"/>
          <w:sz w:val="24"/>
          <w:highlight w:val="none"/>
        </w:rPr>
        <w:t>1.5.1预付款比例、支付方式、时间详见</w:t>
      </w:r>
      <w:r>
        <w:rPr>
          <w:rFonts w:hint="eastAsia" w:cs="宋体"/>
          <w:color w:val="auto"/>
          <w:kern w:val="0"/>
          <w:sz w:val="24"/>
          <w:highlight w:val="none"/>
          <w:u w:val="single"/>
          <w:lang w:val="en-US" w:eastAsia="zh-CN"/>
        </w:rPr>
        <w:t xml:space="preserve"> </w:t>
      </w:r>
      <w:r>
        <w:rPr>
          <w:rFonts w:hint="eastAsia" w:ascii="宋体" w:hAnsi="宋体" w:eastAsia="宋体" w:cs="Times New Roman"/>
          <w:b/>
          <w:i w:val="0"/>
          <w:iCs/>
          <w:color w:val="auto"/>
          <w:kern w:val="2"/>
          <w:sz w:val="24"/>
          <w:szCs w:val="24"/>
          <w:highlight w:val="none"/>
          <w:u w:val="single"/>
          <w:lang w:val="en-US" w:eastAsia="zh-CN" w:bidi="ar-SA"/>
        </w:rPr>
        <w:t>合同生效以及具备实施条件后7个工作日内，且</w:t>
      </w:r>
      <w:r>
        <w:rPr>
          <w:rFonts w:hint="eastAsia" w:cs="Times New Roman"/>
          <w:b/>
          <w:i w:val="0"/>
          <w:iCs/>
          <w:color w:val="auto"/>
          <w:kern w:val="2"/>
          <w:sz w:val="24"/>
          <w:szCs w:val="24"/>
          <w:highlight w:val="none"/>
          <w:u w:val="single"/>
          <w:lang w:val="en-US" w:eastAsia="zh-CN" w:bidi="ar-SA"/>
        </w:rPr>
        <w:t>乙方</w:t>
      </w:r>
      <w:r>
        <w:rPr>
          <w:rFonts w:hint="eastAsia" w:ascii="宋体" w:hAnsi="宋体" w:eastAsia="宋体" w:cs="Times New Roman"/>
          <w:b/>
          <w:i w:val="0"/>
          <w:iCs/>
          <w:color w:val="auto"/>
          <w:kern w:val="2"/>
          <w:sz w:val="24"/>
          <w:szCs w:val="24"/>
          <w:highlight w:val="none"/>
          <w:u w:val="single"/>
          <w:lang w:val="en-US" w:eastAsia="zh-CN" w:bidi="ar-SA"/>
        </w:rPr>
        <w:t>已向</w:t>
      </w:r>
      <w:r>
        <w:rPr>
          <w:rFonts w:hint="eastAsia" w:cs="Times New Roman"/>
          <w:b/>
          <w:i w:val="0"/>
          <w:iCs/>
          <w:color w:val="auto"/>
          <w:kern w:val="2"/>
          <w:sz w:val="24"/>
          <w:szCs w:val="24"/>
          <w:highlight w:val="none"/>
          <w:u w:val="single"/>
          <w:lang w:val="en-US" w:eastAsia="zh-CN" w:bidi="ar-SA"/>
        </w:rPr>
        <w:t>甲方</w:t>
      </w:r>
      <w:r>
        <w:rPr>
          <w:rFonts w:hint="eastAsia" w:ascii="宋体" w:hAnsi="宋体" w:eastAsia="宋体" w:cs="Times New Roman"/>
          <w:b/>
          <w:i w:val="0"/>
          <w:iCs/>
          <w:color w:val="auto"/>
          <w:kern w:val="2"/>
          <w:sz w:val="24"/>
          <w:szCs w:val="24"/>
          <w:highlight w:val="none"/>
          <w:u w:val="single"/>
          <w:lang w:val="en-US" w:eastAsia="zh-CN" w:bidi="ar-SA"/>
        </w:rPr>
        <w:t>提交银行、保险公司等金融机构出具的预付款保函的，</w:t>
      </w:r>
      <w:r>
        <w:rPr>
          <w:rFonts w:hint="eastAsia" w:cs="Times New Roman"/>
          <w:b/>
          <w:i w:val="0"/>
          <w:iCs/>
          <w:color w:val="auto"/>
          <w:kern w:val="2"/>
          <w:sz w:val="24"/>
          <w:szCs w:val="24"/>
          <w:highlight w:val="none"/>
          <w:u w:val="single"/>
          <w:lang w:val="en-US" w:eastAsia="zh-CN" w:bidi="ar-SA"/>
        </w:rPr>
        <w:t>甲方</w:t>
      </w:r>
      <w:r>
        <w:rPr>
          <w:rFonts w:hint="eastAsia" w:ascii="宋体" w:hAnsi="宋体" w:eastAsia="宋体" w:cs="Times New Roman"/>
          <w:b/>
          <w:i w:val="0"/>
          <w:iCs/>
          <w:color w:val="auto"/>
          <w:kern w:val="2"/>
          <w:sz w:val="24"/>
          <w:szCs w:val="24"/>
          <w:highlight w:val="none"/>
          <w:u w:val="single"/>
          <w:lang w:val="en-US" w:eastAsia="zh-CN" w:bidi="ar-SA"/>
        </w:rPr>
        <w:t>向</w:t>
      </w:r>
      <w:r>
        <w:rPr>
          <w:rFonts w:hint="eastAsia" w:cs="Times New Roman"/>
          <w:b/>
          <w:i w:val="0"/>
          <w:iCs/>
          <w:color w:val="auto"/>
          <w:kern w:val="2"/>
          <w:sz w:val="24"/>
          <w:szCs w:val="24"/>
          <w:highlight w:val="none"/>
          <w:u w:val="single"/>
          <w:lang w:val="en-US" w:eastAsia="zh-CN" w:bidi="ar-SA"/>
        </w:rPr>
        <w:t>乙方</w:t>
      </w:r>
      <w:r>
        <w:rPr>
          <w:rFonts w:hint="eastAsia" w:ascii="宋体" w:hAnsi="宋体" w:eastAsia="宋体" w:cs="Times New Roman"/>
          <w:b/>
          <w:i w:val="0"/>
          <w:iCs/>
          <w:color w:val="auto"/>
          <w:kern w:val="2"/>
          <w:sz w:val="24"/>
          <w:szCs w:val="24"/>
          <w:highlight w:val="none"/>
          <w:u w:val="single"/>
          <w:lang w:val="en-US" w:eastAsia="zh-CN" w:bidi="ar-SA"/>
        </w:rPr>
        <w:t>支付年度合同金额的20%作为预付款（本项目实施以人工投入为主）；</w:t>
      </w:r>
    </w:p>
    <w:p w14:paraId="2D2B6108">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14:paraId="6F07A16F">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服务时间</w:t>
      </w:r>
      <w:r>
        <w:rPr>
          <w:rFonts w:ascii="宋体" w:hAnsi="宋体"/>
          <w:color w:val="auto"/>
          <w:sz w:val="24"/>
          <w:highlight w:val="none"/>
        </w:rPr>
        <w:t>：</w:t>
      </w:r>
      <w:r>
        <w:rPr>
          <w:rFonts w:hint="eastAsia" w:ascii="宋体" w:hAnsi="宋体"/>
          <w:b/>
          <w:i w:val="0"/>
          <w:iCs/>
          <w:color w:val="auto"/>
          <w:sz w:val="24"/>
          <w:highlight w:val="none"/>
          <w:u w:val="single"/>
          <w:lang w:val="en-US" w:eastAsia="zh-CN"/>
        </w:rPr>
        <w:t>本项目服务期三年，合同一年一签。根据乙方在合同履约期内按照履约、考核等情况决定是否续签，本次合同的服务期限为2025年 月-2026年 月</w:t>
      </w:r>
      <w:r>
        <w:rPr>
          <w:rFonts w:hint="eastAsia" w:ascii="宋体" w:hAnsi="宋体"/>
          <w:color w:val="auto"/>
          <w:sz w:val="24"/>
          <w:highlight w:val="none"/>
        </w:rPr>
        <w:t>；</w:t>
      </w:r>
    </w:p>
    <w:p w14:paraId="1969D764">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务地点：</w:t>
      </w:r>
      <w:r>
        <w:rPr>
          <w:rFonts w:hint="eastAsia" w:ascii="宋体" w:hAnsi="宋体"/>
          <w:b/>
          <w:i w:val="0"/>
          <w:iCs/>
          <w:color w:val="auto"/>
          <w:sz w:val="24"/>
          <w:highlight w:val="none"/>
          <w:u w:val="single"/>
          <w:lang w:val="en-US" w:eastAsia="zh-CN"/>
        </w:rPr>
        <w:t>宁海县中医医院</w:t>
      </w:r>
      <w:r>
        <w:rPr>
          <w:rFonts w:hint="eastAsia" w:ascii="宋体" w:hAnsi="宋体" w:eastAsia="宋体"/>
          <w:b/>
          <w:i w:val="0"/>
          <w:iCs/>
          <w:color w:val="auto"/>
          <w:sz w:val="24"/>
          <w:highlight w:val="none"/>
          <w:u w:val="single"/>
          <w:lang w:val="en-US" w:eastAsia="zh-CN"/>
        </w:rPr>
        <w:t>；</w:t>
      </w:r>
    </w:p>
    <w:p w14:paraId="3AB1356A">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服务方式：</w:t>
      </w:r>
      <w:r>
        <w:rPr>
          <w:rFonts w:hint="eastAsia" w:ascii="宋体" w:hAnsi="宋体" w:eastAsia="宋体"/>
          <w:b/>
          <w:i w:val="0"/>
          <w:iCs/>
          <w:color w:val="auto"/>
          <w:sz w:val="24"/>
          <w:highlight w:val="none"/>
          <w:u w:val="single"/>
          <w:lang w:val="en-US" w:eastAsia="zh-CN"/>
        </w:rPr>
        <w:t>甲方指定方式</w:t>
      </w:r>
      <w:r>
        <w:rPr>
          <w:rFonts w:hint="eastAsia" w:ascii="宋体" w:hAnsi="宋体"/>
          <w:color w:val="auto"/>
          <w:sz w:val="24"/>
          <w:highlight w:val="none"/>
        </w:rPr>
        <w:t>。</w:t>
      </w:r>
    </w:p>
    <w:p w14:paraId="298DF810">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olor w:val="auto"/>
          <w:sz w:val="24"/>
          <w:highlight w:val="none"/>
          <w:u w:val="single"/>
        </w:rPr>
      </w:pPr>
      <w:bookmarkStart w:id="429" w:name="_Toc2375"/>
      <w:bookmarkStart w:id="430" w:name="_Toc24662"/>
      <w:bookmarkStart w:id="431" w:name="_Toc5698"/>
      <w:bookmarkStart w:id="432" w:name="_Toc8586"/>
      <w:bookmarkStart w:id="433" w:name="_Toc3079"/>
      <w:r>
        <w:rPr>
          <w:rFonts w:ascii="宋体" w:hAnsi="宋体"/>
          <w:b/>
          <w:color w:val="auto"/>
          <w:sz w:val="24"/>
          <w:highlight w:val="none"/>
        </w:rPr>
        <w:t>1.</w:t>
      </w:r>
      <w:r>
        <w:rPr>
          <w:rFonts w:hint="eastAsia" w:ascii="宋体" w:hAnsi="宋体"/>
          <w:b/>
          <w:color w:val="auto"/>
          <w:sz w:val="24"/>
          <w:highlight w:val="none"/>
        </w:rPr>
        <w:t>8违约责任</w:t>
      </w:r>
      <w:bookmarkEnd w:id="429"/>
      <w:bookmarkEnd w:id="430"/>
      <w:bookmarkEnd w:id="431"/>
      <w:bookmarkEnd w:id="432"/>
      <w:bookmarkEnd w:id="433"/>
    </w:p>
    <w:p w14:paraId="2398550F">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0A713D">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s="宋体"/>
          <w:color w:val="auto"/>
          <w:sz w:val="24"/>
          <w:highlight w:val="none"/>
        </w:rPr>
        <w:t>除不可抗力外，如果甲方没有按照本合同约定的付款方式付款，那么乙方可</w:t>
      </w:r>
      <w:r>
        <w:rPr>
          <w:rFonts w:hint="eastAsia" w:ascii="宋体" w:hAnsi="宋体" w:eastAsia="宋体" w:cs="Times New Roman"/>
          <w:color w:val="auto"/>
          <w:sz w:val="24"/>
          <w:highlight w:val="none"/>
        </w:rPr>
        <w:t>要求</w:t>
      </w:r>
      <w:r>
        <w:rPr>
          <w:rFonts w:hint="eastAsia" w:ascii="宋体" w:hAnsi="宋体" w:cs="宋体"/>
          <w:color w:val="auto"/>
          <w:sz w:val="24"/>
          <w:highlight w:val="none"/>
        </w:rPr>
        <w:t>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1B5CED6">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bookmarkStart w:id="434" w:name="_Toc30329"/>
      <w:bookmarkStart w:id="435" w:name="_Toc18683"/>
      <w:bookmarkStart w:id="436" w:name="_Toc32454"/>
      <w:bookmarkStart w:id="437" w:name="_Toc9497"/>
      <w:bookmarkStart w:id="438" w:name="_Toc26807"/>
      <w:r>
        <w:rPr>
          <w:rFonts w:hint="eastAsia" w:ascii="宋体" w:hAnsi="宋体" w:cs="宋体"/>
          <w:color w:val="auto"/>
          <w:sz w:val="24"/>
          <w:highlight w:val="none"/>
        </w:rPr>
        <w:t>1.8.</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4A006C3">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00DF7E">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48370F0A">
      <w:pPr>
        <w:keepNext w:val="0"/>
        <w:keepLines w:val="0"/>
        <w:pageBreakBefore w:val="0"/>
        <w:shd w:val="clear"/>
        <w:kinsoku/>
        <w:wordWrap/>
        <w:overflowPunct/>
        <w:topLinePunct w:val="0"/>
        <w:bidi w:val="0"/>
        <w:snapToGrid/>
        <w:spacing w:line="360" w:lineRule="auto"/>
        <w:ind w:right="-420" w:rightChars="-200" w:firstLine="480" w:firstLineChars="200"/>
        <w:textAlignment w:val="auto"/>
        <w:rPr>
          <w:rFonts w:ascii="宋体" w:hAnsi="宋体" w:cs="宋体"/>
          <w:color w:val="auto"/>
          <w:highlight w:val="none"/>
        </w:rPr>
      </w:pPr>
      <w:r>
        <w:rPr>
          <w:rFonts w:hint="eastAsia" w:ascii="宋体" w:hAnsi="宋体" w:cs="宋体"/>
          <w:color w:val="auto"/>
          <w:sz w:val="24"/>
          <w:highlight w:val="none"/>
        </w:rPr>
        <w:t>1.8.7违约责任另有约定的，从其约定。</w:t>
      </w:r>
    </w:p>
    <w:bookmarkEnd w:id="434"/>
    <w:bookmarkEnd w:id="435"/>
    <w:bookmarkEnd w:id="436"/>
    <w:bookmarkEnd w:id="437"/>
    <w:bookmarkEnd w:id="438"/>
    <w:p w14:paraId="3F328620">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宋体"/>
          <w:b/>
          <w:color w:val="auto"/>
          <w:sz w:val="24"/>
          <w:highlight w:val="none"/>
        </w:rPr>
      </w:pPr>
      <w:bookmarkStart w:id="439" w:name="_Toc28375"/>
      <w:bookmarkStart w:id="440" w:name="_Toc15583"/>
      <w:bookmarkStart w:id="441" w:name="_Toc16021"/>
      <w:r>
        <w:rPr>
          <w:rFonts w:hint="eastAsia" w:ascii="宋体" w:hAnsi="宋体" w:cs="宋体"/>
          <w:b/>
          <w:color w:val="auto"/>
          <w:sz w:val="24"/>
          <w:highlight w:val="none"/>
        </w:rPr>
        <w:t>1.9合同争议的解决</w:t>
      </w:r>
      <w:bookmarkEnd w:id="439"/>
      <w:bookmarkEnd w:id="440"/>
      <w:bookmarkEnd w:id="441"/>
    </w:p>
    <w:p w14:paraId="4C65635F">
      <w:pPr>
        <w:keepNext w:val="0"/>
        <w:keepLines w:val="0"/>
        <w:pageBreakBefore w:val="0"/>
        <w:shd w:val="clear"/>
        <w:kinsoku/>
        <w:wordWrap/>
        <w:overflowPunct/>
        <w:topLinePunct w:val="0"/>
        <w:bidi w:val="0"/>
        <w:snapToGrid/>
        <w:spacing w:line="360" w:lineRule="auto"/>
        <w:ind w:left="-61" w:leftChars="-29" w:right="-420" w:rightChars="-200" w:firstLine="240" w:firstLineChars="1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本合同履行过程中发生的任何争议，双方当事人均可通过和解或者调解解决；不愿和解、调解或者和解、调解不成的，可以向</w:t>
      </w:r>
      <w:r>
        <w:rPr>
          <w:rFonts w:hint="eastAsia" w:ascii="宋体" w:hAnsi="宋体" w:cs="宋体"/>
          <w:color w:val="auto"/>
          <w:sz w:val="24"/>
          <w:highlight w:val="none"/>
          <w:lang w:val="en-US" w:eastAsia="zh-CN"/>
        </w:rPr>
        <w:t>宁海县</w:t>
      </w:r>
      <w:r>
        <w:rPr>
          <w:rFonts w:hint="eastAsia" w:ascii="宋体" w:hAnsi="宋体" w:cs="宋体"/>
          <w:color w:val="auto"/>
          <w:sz w:val="24"/>
          <w:highlight w:val="none"/>
        </w:rPr>
        <w:t>人民法院起诉</w:t>
      </w:r>
      <w:bookmarkStart w:id="442" w:name="_Toc15322"/>
      <w:bookmarkStart w:id="443" w:name="_Toc7245"/>
      <w:bookmarkStart w:id="444" w:name="_Toc11173"/>
      <w:r>
        <w:rPr>
          <w:rFonts w:hint="eastAsia" w:ascii="宋体" w:hAnsi="宋体" w:cs="宋体"/>
          <w:color w:val="auto"/>
          <w:sz w:val="24"/>
          <w:highlight w:val="none"/>
          <w:lang w:eastAsia="zh-CN"/>
        </w:rPr>
        <w:t>。</w:t>
      </w:r>
    </w:p>
    <w:p w14:paraId="6FD403D7">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2.0 合同生效</w:t>
      </w:r>
      <w:bookmarkEnd w:id="442"/>
      <w:bookmarkEnd w:id="443"/>
      <w:bookmarkEnd w:id="444"/>
    </w:p>
    <w:p w14:paraId="1D1C11DF">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8417E0C">
      <w:pPr>
        <w:keepNext w:val="0"/>
        <w:keepLines w:val="0"/>
        <w:pageBreakBefore w:val="0"/>
        <w:shd w:val="clear"/>
        <w:kinsoku/>
        <w:wordWrap/>
        <w:overflowPunct/>
        <w:topLinePunct w:val="0"/>
        <w:autoSpaceDE w:val="0"/>
        <w:autoSpaceDN w:val="0"/>
        <w:bidi w:val="0"/>
        <w:snapToGrid/>
        <w:spacing w:line="360" w:lineRule="auto"/>
        <w:textAlignment w:val="auto"/>
        <w:rPr>
          <w:rFonts w:hint="eastAsia" w:ascii="宋体" w:hAnsi="宋体"/>
          <w:b/>
          <w:color w:val="auto"/>
          <w:sz w:val="24"/>
          <w:highlight w:val="none"/>
          <w:lang w:val="zh-CN"/>
        </w:rPr>
      </w:pPr>
    </w:p>
    <w:p w14:paraId="169351E0">
      <w:pPr>
        <w:keepNext w:val="0"/>
        <w:keepLines w:val="0"/>
        <w:pageBreakBefore w:val="0"/>
        <w:shd w:val="clear"/>
        <w:kinsoku/>
        <w:wordWrap/>
        <w:overflowPunct/>
        <w:topLinePunct w:val="0"/>
        <w:autoSpaceDE w:val="0"/>
        <w:autoSpaceDN w:val="0"/>
        <w:bidi w:val="0"/>
        <w:snapToGrid/>
        <w:spacing w:line="360" w:lineRule="auto"/>
        <w:ind w:firstLine="482" w:firstLineChars="200"/>
        <w:textAlignment w:val="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993CAF1">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63C38FD">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8545619">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CF92A46">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A12D001">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C9C55EB">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D3425F2">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F140EEA">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D9DA9A8">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D1F5341">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2CFE181">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15997D0">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D5D5E7F">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13E29C7">
      <w:pPr>
        <w:keepNext w:val="0"/>
        <w:keepLines w:val="0"/>
        <w:pageBreakBefore w:val="0"/>
        <w:widowControl/>
        <w:shd w:val="clear"/>
        <w:kinsoku/>
        <w:wordWrap/>
        <w:overflowPunct/>
        <w:topLinePunct w:val="0"/>
        <w:bidi w:val="0"/>
        <w:snapToGrid/>
        <w:spacing w:line="360" w:lineRule="auto"/>
        <w:jc w:val="left"/>
        <w:textAlignment w:val="auto"/>
        <w:rPr>
          <w:rFonts w:ascii="宋体" w:hAnsi="宋体"/>
          <w:b/>
          <w:color w:val="auto"/>
          <w:sz w:val="24"/>
          <w:highlight w:val="none"/>
        </w:rPr>
      </w:pPr>
    </w:p>
    <w:p w14:paraId="35621BF6">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见证方：</w:t>
      </w:r>
      <w:r>
        <w:rPr>
          <w:rFonts w:hint="eastAsia" w:ascii="宋体" w:hAnsi="宋体"/>
          <w:color w:val="auto"/>
          <w:sz w:val="24"/>
          <w:highlight w:val="none"/>
          <w:lang w:val="en-US" w:eastAsia="zh-CN"/>
        </w:rPr>
        <w:t>浙江中基正采管理咨询有限公司</w:t>
      </w:r>
    </w:p>
    <w:p w14:paraId="0690D9B6">
      <w:pPr>
        <w:widowControl/>
        <w:shd w:val="clear"/>
        <w:adjustRightInd/>
        <w:jc w:val="left"/>
        <w:rPr>
          <w:rFonts w:ascii="宋体" w:hAnsi="宋体"/>
          <w:b/>
          <w:color w:val="auto"/>
          <w:sz w:val="24"/>
          <w:highlight w:val="none"/>
        </w:rPr>
      </w:pPr>
      <w:r>
        <w:rPr>
          <w:rFonts w:ascii="宋体" w:hAnsi="宋体"/>
          <w:b/>
          <w:color w:val="auto"/>
          <w:highlight w:val="none"/>
        </w:rPr>
        <w:br w:type="page"/>
      </w:r>
    </w:p>
    <w:p w14:paraId="673C2AFB">
      <w:pPr>
        <w:pStyle w:val="702"/>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81EEB02">
      <w:pPr>
        <w:shd w:val="clear"/>
        <w:spacing w:line="560" w:lineRule="exact"/>
        <w:ind w:firstLine="482" w:firstLineChars="200"/>
        <w:outlineLvl w:val="0"/>
        <w:rPr>
          <w:rFonts w:ascii="宋体" w:hAnsi="宋体"/>
          <w:b/>
          <w:color w:val="auto"/>
          <w:sz w:val="24"/>
          <w:highlight w:val="none"/>
        </w:rPr>
      </w:pPr>
      <w:bookmarkStart w:id="445" w:name="_Toc25079"/>
      <w:bookmarkStart w:id="446" w:name="_Toc14021"/>
      <w:bookmarkStart w:id="447" w:name="_Toc5228"/>
      <w:bookmarkStart w:id="448" w:name="_Toc31297"/>
      <w:bookmarkStart w:id="449" w:name="_Toc19680"/>
      <w:r>
        <w:rPr>
          <w:rFonts w:ascii="宋体" w:hAnsi="宋体"/>
          <w:b/>
          <w:color w:val="auto"/>
          <w:sz w:val="24"/>
          <w:highlight w:val="none"/>
        </w:rPr>
        <w:t>2.1 定义</w:t>
      </w:r>
      <w:bookmarkEnd w:id="445"/>
      <w:bookmarkEnd w:id="446"/>
      <w:bookmarkEnd w:id="447"/>
      <w:bookmarkEnd w:id="448"/>
      <w:bookmarkEnd w:id="449"/>
    </w:p>
    <w:p w14:paraId="502A3F1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FF8217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EF4ACE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AEEFA4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66B897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67BB44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04C51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8A3EC8C">
      <w:pPr>
        <w:shd w:val="clear"/>
        <w:spacing w:line="560" w:lineRule="exact"/>
        <w:ind w:firstLine="482" w:firstLineChars="200"/>
        <w:outlineLvl w:val="0"/>
        <w:rPr>
          <w:rFonts w:ascii="宋体" w:hAnsi="宋体"/>
          <w:b/>
          <w:color w:val="auto"/>
          <w:sz w:val="24"/>
          <w:highlight w:val="none"/>
        </w:rPr>
      </w:pPr>
      <w:bookmarkStart w:id="450" w:name="_Toc16752"/>
      <w:bookmarkStart w:id="451" w:name="_Toc19539"/>
      <w:bookmarkStart w:id="452" w:name="_Toc23289"/>
      <w:bookmarkStart w:id="453" w:name="_Toc31402"/>
      <w:bookmarkStart w:id="454" w:name="_Toc3769"/>
      <w:r>
        <w:rPr>
          <w:rFonts w:ascii="宋体" w:hAnsi="宋体"/>
          <w:b/>
          <w:color w:val="auto"/>
          <w:sz w:val="24"/>
          <w:highlight w:val="none"/>
        </w:rPr>
        <w:t>2.2 技术规范</w:t>
      </w:r>
      <w:bookmarkEnd w:id="450"/>
      <w:bookmarkEnd w:id="451"/>
      <w:bookmarkEnd w:id="452"/>
      <w:bookmarkEnd w:id="453"/>
      <w:bookmarkEnd w:id="454"/>
    </w:p>
    <w:p w14:paraId="5D6927A1">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E248DB5">
      <w:pPr>
        <w:shd w:val="clear"/>
        <w:spacing w:line="560" w:lineRule="exact"/>
        <w:ind w:firstLine="482" w:firstLineChars="200"/>
        <w:outlineLvl w:val="0"/>
        <w:rPr>
          <w:rFonts w:ascii="宋体" w:hAnsi="宋体"/>
          <w:b/>
          <w:color w:val="auto"/>
          <w:sz w:val="24"/>
          <w:highlight w:val="none"/>
        </w:rPr>
      </w:pPr>
      <w:bookmarkStart w:id="455" w:name="_Toc4133"/>
      <w:bookmarkStart w:id="456" w:name="_Toc27945"/>
      <w:bookmarkStart w:id="457" w:name="_Toc13673"/>
      <w:bookmarkStart w:id="458" w:name="_Toc12412"/>
      <w:bookmarkStart w:id="459" w:name="_Toc9161"/>
      <w:r>
        <w:rPr>
          <w:rFonts w:ascii="宋体" w:hAnsi="宋体"/>
          <w:b/>
          <w:color w:val="auto"/>
          <w:sz w:val="24"/>
          <w:highlight w:val="none"/>
        </w:rPr>
        <w:t>2.3 知识产权</w:t>
      </w:r>
      <w:bookmarkEnd w:id="455"/>
      <w:bookmarkEnd w:id="456"/>
      <w:bookmarkEnd w:id="457"/>
      <w:bookmarkEnd w:id="458"/>
      <w:bookmarkEnd w:id="459"/>
    </w:p>
    <w:p w14:paraId="6BC88D3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18506A4">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04270A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4DCFCB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106C98A">
      <w:pPr>
        <w:shd w:val="clear"/>
        <w:spacing w:line="560" w:lineRule="exact"/>
        <w:ind w:firstLine="482" w:firstLineChars="200"/>
        <w:outlineLvl w:val="0"/>
        <w:rPr>
          <w:rFonts w:ascii="宋体" w:hAnsi="宋体"/>
          <w:b/>
          <w:color w:val="auto"/>
          <w:sz w:val="24"/>
          <w:highlight w:val="none"/>
        </w:rPr>
      </w:pPr>
      <w:bookmarkStart w:id="460" w:name="_Toc26555"/>
      <w:bookmarkStart w:id="461" w:name="_Toc32670"/>
      <w:bookmarkStart w:id="462" w:name="_Toc15447"/>
      <w:bookmarkStart w:id="463" w:name="_Toc22011"/>
      <w:bookmarkStart w:id="464" w:name="_Toc31233"/>
      <w:r>
        <w:rPr>
          <w:rFonts w:ascii="宋体" w:hAnsi="宋体"/>
          <w:b/>
          <w:color w:val="auto"/>
          <w:sz w:val="24"/>
          <w:highlight w:val="none"/>
        </w:rPr>
        <w:t>2.5 结算方式和付款条件</w:t>
      </w:r>
      <w:bookmarkEnd w:id="460"/>
      <w:bookmarkEnd w:id="461"/>
      <w:bookmarkEnd w:id="462"/>
      <w:bookmarkEnd w:id="463"/>
      <w:bookmarkEnd w:id="464"/>
    </w:p>
    <w:p w14:paraId="6211C8B8">
      <w:pPr>
        <w:shd w:val="clear"/>
        <w:spacing w:line="560" w:lineRule="exact"/>
        <w:ind w:firstLine="480" w:firstLineChars="200"/>
        <w:outlineLvl w:val="0"/>
        <w:rPr>
          <w:rFonts w:hint="default" w:ascii="宋体" w:hAnsi="宋体"/>
          <w:color w:val="auto"/>
          <w:sz w:val="24"/>
          <w:highlight w:val="none"/>
          <w:lang w:val="en-US" w:eastAsia="zh-CN"/>
        </w:rPr>
      </w:pPr>
      <w:bookmarkStart w:id="465" w:name="_Toc13467"/>
      <w:bookmarkStart w:id="466" w:name="_Toc30507"/>
      <w:bookmarkStart w:id="467" w:name="_Toc13154"/>
      <w:bookmarkStart w:id="468" w:name="_Toc18990"/>
      <w:bookmarkStart w:id="469" w:name="_Toc16163"/>
      <w:r>
        <w:rPr>
          <w:rFonts w:hint="default" w:ascii="宋体" w:hAnsi="宋体"/>
          <w:color w:val="auto"/>
          <w:sz w:val="24"/>
          <w:highlight w:val="none"/>
          <w:lang w:val="en-US" w:eastAsia="zh-CN"/>
        </w:rPr>
        <w:t>（1）适用于中小微企业：</w:t>
      </w:r>
    </w:p>
    <w:p w14:paraId="6E9FF4EC">
      <w:pPr>
        <w:shd w:val="clear"/>
        <w:spacing w:line="560" w:lineRule="exact"/>
        <w:ind w:firstLine="480" w:firstLineChars="200"/>
        <w:outlineLvl w:val="0"/>
        <w:rPr>
          <w:rFonts w:hint="default" w:ascii="宋体" w:hAnsi="宋体"/>
          <w:color w:val="auto"/>
          <w:sz w:val="24"/>
          <w:highlight w:val="none"/>
          <w:lang w:val="en-US" w:eastAsia="zh-CN"/>
        </w:rPr>
      </w:pPr>
      <w:r>
        <w:rPr>
          <w:rFonts w:hint="default" w:ascii="宋体" w:hAnsi="宋体"/>
          <w:color w:val="auto"/>
          <w:sz w:val="24"/>
          <w:highlight w:val="none"/>
          <w:lang w:val="en-US" w:eastAsia="zh-CN"/>
        </w:rPr>
        <w:t>①在合同生效以及具备实施条件后7个工作日内支付合同金额40%的预付款；（若在签订合同时，</w:t>
      </w:r>
      <w:r>
        <w:rPr>
          <w:rFonts w:hint="eastAsia" w:ascii="宋体" w:hAnsi="宋体"/>
          <w:color w:val="auto"/>
          <w:sz w:val="24"/>
          <w:highlight w:val="none"/>
          <w:lang w:val="en-US" w:eastAsia="zh-CN"/>
        </w:rPr>
        <w:t>乙方</w:t>
      </w:r>
      <w:r>
        <w:rPr>
          <w:rFonts w:hint="default" w:ascii="宋体" w:hAnsi="宋体"/>
          <w:color w:val="auto"/>
          <w:sz w:val="24"/>
          <w:highlight w:val="none"/>
          <w:lang w:val="en-US" w:eastAsia="zh-CN"/>
        </w:rPr>
        <w:t>明确表示无需预付款的，</w:t>
      </w:r>
      <w:r>
        <w:rPr>
          <w:rFonts w:hint="eastAsia" w:ascii="宋体" w:hAnsi="宋体"/>
          <w:color w:val="auto"/>
          <w:sz w:val="24"/>
          <w:highlight w:val="none"/>
          <w:lang w:val="en-US" w:eastAsia="zh-CN"/>
        </w:rPr>
        <w:t>甲方</w:t>
      </w:r>
      <w:r>
        <w:rPr>
          <w:rFonts w:hint="default" w:ascii="宋体" w:hAnsi="宋体"/>
          <w:color w:val="auto"/>
          <w:sz w:val="24"/>
          <w:highlight w:val="none"/>
          <w:lang w:val="en-US" w:eastAsia="zh-CN"/>
        </w:rPr>
        <w:t>可不予支付预付款。预付款支付约定以合同中约定为准。）</w:t>
      </w:r>
    </w:p>
    <w:p w14:paraId="1A5FF705">
      <w:pPr>
        <w:shd w:val="clear"/>
        <w:spacing w:line="560" w:lineRule="exact"/>
        <w:ind w:firstLine="480" w:firstLineChars="200"/>
        <w:outlineLvl w:val="0"/>
        <w:rPr>
          <w:rFonts w:hint="default" w:ascii="宋体" w:hAnsi="宋体"/>
          <w:color w:val="auto"/>
          <w:sz w:val="24"/>
          <w:highlight w:val="none"/>
          <w:lang w:val="en-US" w:eastAsia="zh-CN"/>
        </w:rPr>
      </w:pPr>
      <w:r>
        <w:rPr>
          <w:rFonts w:hint="default" w:ascii="宋体" w:hAnsi="宋体"/>
          <w:color w:val="auto"/>
          <w:sz w:val="24"/>
          <w:highlight w:val="none"/>
          <w:lang w:val="en-US" w:eastAsia="zh-CN"/>
        </w:rPr>
        <w:t>②按月支付，</w:t>
      </w:r>
      <w:r>
        <w:rPr>
          <w:rFonts w:hint="eastAsia" w:ascii="宋体" w:hAnsi="宋体"/>
          <w:color w:val="auto"/>
          <w:sz w:val="24"/>
          <w:highlight w:val="none"/>
          <w:lang w:val="en-US" w:eastAsia="zh-CN"/>
        </w:rPr>
        <w:t>甲方</w:t>
      </w:r>
      <w:r>
        <w:rPr>
          <w:rFonts w:hint="default" w:ascii="宋体" w:hAnsi="宋体"/>
          <w:color w:val="auto"/>
          <w:sz w:val="24"/>
          <w:highlight w:val="none"/>
          <w:lang w:val="en-US" w:eastAsia="zh-CN"/>
        </w:rPr>
        <w:t>在收到</w:t>
      </w:r>
      <w:r>
        <w:rPr>
          <w:rFonts w:hint="eastAsia" w:ascii="宋体" w:hAnsi="宋体"/>
          <w:color w:val="auto"/>
          <w:sz w:val="24"/>
          <w:highlight w:val="none"/>
          <w:lang w:val="en-US" w:eastAsia="zh-CN"/>
        </w:rPr>
        <w:t>乙方</w:t>
      </w:r>
      <w:r>
        <w:rPr>
          <w:rFonts w:hint="default" w:ascii="宋体" w:hAnsi="宋体"/>
          <w:color w:val="auto"/>
          <w:sz w:val="24"/>
          <w:highlight w:val="none"/>
          <w:lang w:val="en-US" w:eastAsia="zh-CN"/>
        </w:rPr>
        <w:t>提供的合法发票后七个工作日内支付上个月的服务费用。（先从预付款中扣除相应金额，待预付款支付完后再另行按实支付。）</w:t>
      </w:r>
    </w:p>
    <w:p w14:paraId="029F9924">
      <w:pPr>
        <w:shd w:val="clear"/>
        <w:spacing w:line="560" w:lineRule="exact"/>
        <w:ind w:firstLine="480" w:firstLineChars="200"/>
        <w:outlineLvl w:val="0"/>
        <w:rPr>
          <w:rFonts w:hint="default" w:ascii="宋体" w:hAnsi="宋体"/>
          <w:color w:val="auto"/>
          <w:sz w:val="24"/>
          <w:highlight w:val="none"/>
          <w:lang w:val="en-US" w:eastAsia="zh-CN"/>
        </w:rPr>
      </w:pPr>
      <w:r>
        <w:rPr>
          <w:rFonts w:hint="default" w:ascii="宋体" w:hAnsi="宋体"/>
          <w:color w:val="auto"/>
          <w:sz w:val="24"/>
          <w:highlight w:val="none"/>
          <w:lang w:val="en-US" w:eastAsia="zh-CN"/>
        </w:rPr>
        <w:t>（2）适用于大型企业：</w:t>
      </w:r>
    </w:p>
    <w:p w14:paraId="681ABD6D">
      <w:pPr>
        <w:shd w:val="clear"/>
        <w:spacing w:line="560" w:lineRule="exact"/>
        <w:ind w:firstLine="480" w:firstLineChars="200"/>
        <w:outlineLvl w:val="0"/>
        <w:rPr>
          <w:rFonts w:hint="default" w:ascii="宋体" w:hAnsi="宋体"/>
          <w:color w:val="auto"/>
          <w:sz w:val="24"/>
          <w:highlight w:val="none"/>
          <w:lang w:val="en-US" w:eastAsia="zh-CN"/>
        </w:rPr>
      </w:pPr>
      <w:r>
        <w:rPr>
          <w:rFonts w:hint="default" w:ascii="宋体" w:hAnsi="宋体"/>
          <w:color w:val="auto"/>
          <w:sz w:val="24"/>
          <w:highlight w:val="none"/>
          <w:lang w:val="en-US" w:eastAsia="zh-CN"/>
        </w:rPr>
        <w:t>①合同签订且</w:t>
      </w:r>
      <w:r>
        <w:rPr>
          <w:rFonts w:hint="eastAsia" w:ascii="宋体" w:hAnsi="宋体"/>
          <w:color w:val="auto"/>
          <w:sz w:val="24"/>
          <w:highlight w:val="none"/>
          <w:lang w:val="en-US" w:eastAsia="zh-CN"/>
        </w:rPr>
        <w:t>甲方</w:t>
      </w:r>
      <w:r>
        <w:rPr>
          <w:rFonts w:hint="default" w:ascii="宋体" w:hAnsi="宋体"/>
          <w:color w:val="auto"/>
          <w:sz w:val="24"/>
          <w:highlight w:val="none"/>
          <w:lang w:val="en-US" w:eastAsia="zh-CN"/>
        </w:rPr>
        <w:t>收到合法有效的发票后15日内付清全款。</w:t>
      </w:r>
    </w:p>
    <w:p w14:paraId="529B59B6">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bookmarkEnd w:id="465"/>
      <w:bookmarkEnd w:id="466"/>
      <w:bookmarkEnd w:id="467"/>
      <w:bookmarkEnd w:id="468"/>
      <w:bookmarkEnd w:id="469"/>
    </w:p>
    <w:p w14:paraId="429EC07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C96048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09D184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A4C2442">
      <w:pPr>
        <w:shd w:val="clear"/>
        <w:spacing w:line="560" w:lineRule="exact"/>
        <w:ind w:firstLine="482" w:firstLineChars="200"/>
        <w:outlineLvl w:val="0"/>
        <w:rPr>
          <w:rFonts w:ascii="宋体" w:hAnsi="宋体"/>
          <w:b/>
          <w:color w:val="auto"/>
          <w:sz w:val="24"/>
          <w:highlight w:val="none"/>
        </w:rPr>
      </w:pPr>
      <w:bookmarkStart w:id="47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14:paraId="4038B8CF">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0504E7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03D58E4">
      <w:pPr>
        <w:shd w:val="clear"/>
        <w:spacing w:line="560" w:lineRule="exact"/>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14:paraId="036765D5">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867C906">
      <w:pPr>
        <w:shd w:val="clear"/>
        <w:spacing w:line="560" w:lineRule="exact"/>
        <w:ind w:firstLine="482" w:firstLineChars="200"/>
        <w:outlineLvl w:val="0"/>
        <w:rPr>
          <w:rFonts w:ascii="宋体" w:hAnsi="宋体"/>
          <w:b/>
          <w:color w:val="auto"/>
          <w:sz w:val="24"/>
          <w:highlight w:val="none"/>
        </w:rPr>
      </w:pPr>
      <w:bookmarkStart w:id="47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2"/>
    </w:p>
    <w:p w14:paraId="04CA5CE9">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3734E54">
      <w:pPr>
        <w:shd w:val="clear"/>
        <w:spacing w:line="560" w:lineRule="exact"/>
        <w:ind w:firstLine="482" w:firstLineChars="200"/>
        <w:outlineLvl w:val="0"/>
        <w:rPr>
          <w:rFonts w:ascii="宋体" w:hAnsi="宋体"/>
          <w:b/>
          <w:color w:val="auto"/>
          <w:sz w:val="24"/>
          <w:highlight w:val="none"/>
        </w:rPr>
      </w:pPr>
      <w:bookmarkStart w:id="473" w:name="_Toc10663"/>
      <w:bookmarkStart w:id="474" w:name="_Toc26689"/>
      <w:bookmarkStart w:id="475" w:name="_Toc21830"/>
      <w:bookmarkStart w:id="476" w:name="_Toc42"/>
      <w:bookmarkStart w:id="477" w:name="_Toc23368"/>
      <w:r>
        <w:rPr>
          <w:rFonts w:ascii="宋体" w:hAnsi="宋体"/>
          <w:b/>
          <w:color w:val="auto"/>
          <w:sz w:val="24"/>
          <w:highlight w:val="none"/>
        </w:rPr>
        <w:t>2.10 合同转让和分包</w:t>
      </w:r>
      <w:bookmarkEnd w:id="473"/>
      <w:bookmarkEnd w:id="474"/>
      <w:bookmarkEnd w:id="475"/>
      <w:bookmarkEnd w:id="476"/>
      <w:bookmarkEnd w:id="477"/>
    </w:p>
    <w:p w14:paraId="33CD8F7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05565B6">
      <w:pPr>
        <w:shd w:val="clear"/>
        <w:spacing w:line="560" w:lineRule="exact"/>
        <w:ind w:firstLine="482" w:firstLineChars="200"/>
        <w:outlineLvl w:val="0"/>
        <w:rPr>
          <w:rFonts w:ascii="宋体" w:hAnsi="宋体"/>
          <w:b/>
          <w:color w:val="auto"/>
          <w:sz w:val="24"/>
          <w:highlight w:val="none"/>
        </w:rPr>
      </w:pPr>
      <w:bookmarkStart w:id="478" w:name="_Toc32494"/>
      <w:bookmarkStart w:id="479" w:name="_Toc26633"/>
      <w:bookmarkStart w:id="480" w:name="_Toc14371"/>
      <w:bookmarkStart w:id="481" w:name="_Toc4720"/>
      <w:bookmarkStart w:id="482" w:name="_Toc25571"/>
      <w:r>
        <w:rPr>
          <w:rFonts w:ascii="宋体" w:hAnsi="宋体"/>
          <w:b/>
          <w:color w:val="auto"/>
          <w:sz w:val="24"/>
          <w:highlight w:val="none"/>
        </w:rPr>
        <w:t>2.11 不可抗力</w:t>
      </w:r>
      <w:bookmarkEnd w:id="478"/>
      <w:bookmarkEnd w:id="479"/>
      <w:bookmarkEnd w:id="480"/>
      <w:bookmarkEnd w:id="481"/>
      <w:bookmarkEnd w:id="482"/>
    </w:p>
    <w:p w14:paraId="21E1D18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CD3C6A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E267CB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不可抗力致使合同有变更必要的，双方当事人应在约定时间内以书面形式变更合同</w:t>
      </w:r>
      <w:r>
        <w:rPr>
          <w:rFonts w:hint="eastAsia" w:ascii="宋体" w:hAnsi="宋体"/>
          <w:color w:val="auto"/>
          <w:sz w:val="24"/>
          <w:highlight w:val="none"/>
        </w:rPr>
        <w:t>；</w:t>
      </w:r>
    </w:p>
    <w:p w14:paraId="234C88C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应在约定时间内以书面形式通知</w:t>
      </w:r>
      <w:r>
        <w:rPr>
          <w:rFonts w:hint="eastAsia" w:ascii="宋体" w:hAnsi="宋体"/>
          <w:color w:val="auto"/>
          <w:sz w:val="24"/>
          <w:highlight w:val="none"/>
        </w:rPr>
        <w:t>对</w:t>
      </w:r>
      <w:r>
        <w:rPr>
          <w:rFonts w:ascii="宋体" w:hAnsi="宋体"/>
          <w:color w:val="auto"/>
          <w:sz w:val="24"/>
          <w:highlight w:val="none"/>
        </w:rPr>
        <w:t>方当事人，并在约定时间内，将有关部门出具的证明文件送达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FEB46C4">
      <w:pPr>
        <w:shd w:val="clear"/>
        <w:spacing w:line="560" w:lineRule="exact"/>
        <w:ind w:firstLine="482" w:firstLineChars="200"/>
        <w:outlineLvl w:val="0"/>
        <w:rPr>
          <w:rFonts w:ascii="宋体" w:hAnsi="宋体"/>
          <w:b/>
          <w:color w:val="auto"/>
          <w:sz w:val="24"/>
          <w:highlight w:val="none"/>
        </w:rPr>
      </w:pPr>
      <w:bookmarkStart w:id="483" w:name="_Toc25783"/>
      <w:bookmarkStart w:id="484" w:name="_Toc24465"/>
      <w:bookmarkStart w:id="485" w:name="_Toc3638"/>
      <w:bookmarkStart w:id="486" w:name="_Toc14115"/>
      <w:bookmarkStart w:id="487" w:name="_Toc23854"/>
      <w:r>
        <w:rPr>
          <w:rFonts w:ascii="宋体" w:hAnsi="宋体"/>
          <w:b/>
          <w:color w:val="auto"/>
          <w:sz w:val="24"/>
          <w:highlight w:val="none"/>
        </w:rPr>
        <w:t>2.12 税费</w:t>
      </w:r>
      <w:bookmarkEnd w:id="483"/>
      <w:bookmarkEnd w:id="484"/>
      <w:bookmarkEnd w:id="485"/>
      <w:bookmarkEnd w:id="486"/>
      <w:bookmarkEnd w:id="487"/>
    </w:p>
    <w:p w14:paraId="555EF49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3310BDF">
      <w:pPr>
        <w:shd w:val="clear"/>
        <w:spacing w:line="560" w:lineRule="exact"/>
        <w:ind w:firstLine="482" w:firstLineChars="200"/>
        <w:outlineLvl w:val="0"/>
        <w:rPr>
          <w:rFonts w:ascii="宋体" w:hAnsi="宋体"/>
          <w:b/>
          <w:color w:val="auto"/>
          <w:sz w:val="24"/>
          <w:highlight w:val="none"/>
        </w:rPr>
      </w:pPr>
      <w:bookmarkStart w:id="488" w:name="_Toc30105"/>
      <w:bookmarkStart w:id="489" w:name="_Toc7315"/>
      <w:bookmarkStart w:id="490" w:name="_Toc14814"/>
      <w:bookmarkStart w:id="491" w:name="_Toc26883"/>
      <w:bookmarkStart w:id="492" w:name="_Toc25525"/>
      <w:r>
        <w:rPr>
          <w:rFonts w:ascii="宋体" w:hAnsi="宋体"/>
          <w:b/>
          <w:color w:val="auto"/>
          <w:sz w:val="24"/>
          <w:highlight w:val="none"/>
        </w:rPr>
        <w:t>2.13 乙方破产</w:t>
      </w:r>
      <w:bookmarkEnd w:id="488"/>
      <w:bookmarkEnd w:id="489"/>
      <w:bookmarkEnd w:id="490"/>
      <w:bookmarkEnd w:id="491"/>
      <w:bookmarkEnd w:id="492"/>
    </w:p>
    <w:p w14:paraId="432DAB0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1376FEE">
      <w:pPr>
        <w:shd w:val="clear"/>
        <w:spacing w:line="560" w:lineRule="exact"/>
        <w:ind w:firstLine="482" w:firstLineChars="200"/>
        <w:outlineLvl w:val="0"/>
        <w:rPr>
          <w:rFonts w:ascii="宋体" w:hAnsi="宋体"/>
          <w:b/>
          <w:color w:val="auto"/>
          <w:sz w:val="24"/>
          <w:highlight w:val="none"/>
        </w:rPr>
      </w:pPr>
      <w:bookmarkStart w:id="493" w:name="_Toc1123"/>
      <w:bookmarkStart w:id="494" w:name="_Toc2016"/>
      <w:bookmarkStart w:id="495" w:name="_Toc23323"/>
      <w:r>
        <w:rPr>
          <w:rFonts w:ascii="宋体" w:hAnsi="宋体"/>
          <w:b/>
          <w:color w:val="auto"/>
          <w:sz w:val="24"/>
          <w:highlight w:val="none"/>
        </w:rPr>
        <w:t>2.14 合同中止、终止</w:t>
      </w:r>
      <w:bookmarkEnd w:id="493"/>
      <w:bookmarkEnd w:id="494"/>
      <w:bookmarkEnd w:id="495"/>
    </w:p>
    <w:p w14:paraId="26857C6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6E9489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CA579B5">
      <w:pPr>
        <w:shd w:val="clear"/>
        <w:spacing w:line="560" w:lineRule="exact"/>
        <w:ind w:firstLine="482" w:firstLineChars="200"/>
        <w:outlineLvl w:val="0"/>
        <w:rPr>
          <w:rFonts w:ascii="宋体" w:hAnsi="宋体"/>
          <w:b/>
          <w:color w:val="auto"/>
          <w:sz w:val="24"/>
          <w:highlight w:val="none"/>
        </w:rPr>
      </w:pPr>
      <w:bookmarkStart w:id="496" w:name="_Toc17363"/>
      <w:bookmarkStart w:id="497" w:name="_Toc1969"/>
      <w:bookmarkStart w:id="498" w:name="_Toc14525"/>
      <w:r>
        <w:rPr>
          <w:rFonts w:ascii="宋体" w:hAnsi="宋体"/>
          <w:b/>
          <w:color w:val="auto"/>
          <w:sz w:val="24"/>
          <w:highlight w:val="none"/>
        </w:rPr>
        <w:t>2.15 检验和验收</w:t>
      </w:r>
      <w:bookmarkEnd w:id="496"/>
      <w:bookmarkEnd w:id="497"/>
      <w:bookmarkEnd w:id="498"/>
    </w:p>
    <w:p w14:paraId="0A37548E">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color w:val="auto"/>
          <w:sz w:val="24"/>
          <w:highlight w:val="none"/>
        </w:rPr>
        <w:t>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w:t>
      </w:r>
      <w:r>
        <w:rPr>
          <w:rFonts w:ascii="宋体" w:hAnsi="宋体"/>
          <w:color w:val="auto"/>
          <w:sz w:val="24"/>
          <w:highlight w:val="none"/>
        </w:rPr>
        <w:t>进行定期验收</w:t>
      </w:r>
      <w:r>
        <w:rPr>
          <w:rFonts w:hint="eastAsia" w:ascii="宋体" w:hAnsi="宋体"/>
          <w:color w:val="auto"/>
          <w:sz w:val="24"/>
          <w:highlight w:val="none"/>
        </w:rPr>
        <w:t>；</w:t>
      </w:r>
    </w:p>
    <w:p w14:paraId="5E5D77D9">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CBC6AB">
      <w:pPr>
        <w:shd w:val="clear"/>
        <w:spacing w:line="560" w:lineRule="exact"/>
        <w:ind w:firstLine="482" w:firstLineChars="200"/>
        <w:outlineLvl w:val="0"/>
        <w:rPr>
          <w:rFonts w:ascii="宋体" w:hAnsi="宋体"/>
          <w:b/>
          <w:color w:val="auto"/>
          <w:sz w:val="24"/>
          <w:highlight w:val="none"/>
        </w:rPr>
      </w:pPr>
      <w:bookmarkStart w:id="499" w:name="_Toc2308"/>
      <w:bookmarkStart w:id="500" w:name="_Toc25198"/>
      <w:bookmarkStart w:id="501" w:name="_Toc31892"/>
      <w:bookmarkStart w:id="502" w:name="_Toc9808"/>
      <w:bookmarkStart w:id="503" w:name="_Toc12666"/>
      <w:r>
        <w:rPr>
          <w:rFonts w:ascii="宋体" w:hAnsi="宋体"/>
          <w:b/>
          <w:color w:val="auto"/>
          <w:sz w:val="24"/>
          <w:highlight w:val="none"/>
        </w:rPr>
        <w:t>2.16 通知和送达</w:t>
      </w:r>
      <w:bookmarkEnd w:id="499"/>
      <w:bookmarkEnd w:id="500"/>
      <w:bookmarkEnd w:id="501"/>
      <w:bookmarkEnd w:id="502"/>
      <w:bookmarkEnd w:id="503"/>
    </w:p>
    <w:p w14:paraId="782F07F5">
      <w:pPr>
        <w:shd w:val="clear"/>
        <w:spacing w:line="560" w:lineRule="exact"/>
        <w:ind w:firstLine="480" w:firstLineChars="200"/>
        <w:rPr>
          <w:rFonts w:ascii="宋体" w:hAnsi="宋体"/>
          <w:color w:val="auto"/>
          <w:sz w:val="24"/>
          <w:highlight w:val="none"/>
        </w:rPr>
      </w:pPr>
      <w:bookmarkStart w:id="504" w:name="_Toc27674"/>
      <w:bookmarkStart w:id="505"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A8A705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14:paraId="28590AF7">
      <w:pPr>
        <w:shd w:val="clear"/>
        <w:spacing w:line="560" w:lineRule="exact"/>
        <w:ind w:firstLine="482" w:firstLineChars="200"/>
        <w:outlineLvl w:val="0"/>
        <w:rPr>
          <w:rFonts w:ascii="宋体" w:hAnsi="宋体"/>
          <w:b/>
          <w:color w:val="auto"/>
          <w:sz w:val="24"/>
          <w:highlight w:val="none"/>
        </w:rPr>
      </w:pPr>
      <w:bookmarkStart w:id="506" w:name="_Toc28906"/>
      <w:bookmarkStart w:id="507" w:name="_Toc12254"/>
      <w:bookmarkStart w:id="508" w:name="_Toc27644"/>
      <w:bookmarkStart w:id="509" w:name="_Toc20808"/>
      <w:bookmarkStart w:id="510"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14:paraId="7A0F58B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CFCA96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B5AA7FA">
      <w:pPr>
        <w:shd w:val="clear"/>
        <w:spacing w:line="560" w:lineRule="exact"/>
        <w:ind w:firstLine="482" w:firstLineChars="200"/>
        <w:outlineLvl w:val="0"/>
        <w:rPr>
          <w:rFonts w:ascii="宋体" w:hAnsi="宋体" w:cs="宋体"/>
          <w:b/>
          <w:color w:val="auto"/>
          <w:sz w:val="24"/>
          <w:highlight w:val="none"/>
        </w:rPr>
      </w:pPr>
      <w:bookmarkStart w:id="511" w:name="_Toc4355"/>
      <w:bookmarkStart w:id="512" w:name="_Toc30599"/>
      <w:bookmarkStart w:id="513" w:name="_Toc18540"/>
      <w:r>
        <w:rPr>
          <w:rFonts w:hint="eastAsia" w:ascii="宋体" w:hAnsi="宋体" w:cs="宋体"/>
          <w:b/>
          <w:color w:val="auto"/>
          <w:sz w:val="24"/>
          <w:highlight w:val="none"/>
        </w:rPr>
        <w:t>2.18 计量单位</w:t>
      </w:r>
      <w:bookmarkEnd w:id="511"/>
      <w:bookmarkEnd w:id="512"/>
      <w:bookmarkEnd w:id="513"/>
    </w:p>
    <w:p w14:paraId="7092543D">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5208248">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CF5661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w:t>
      </w:r>
      <w:r>
        <w:rPr>
          <w:rFonts w:hint="eastAsia" w:ascii="宋体" w:hAnsi="宋体"/>
          <w:color w:val="auto"/>
          <w:sz w:val="24"/>
          <w:highlight w:val="none"/>
          <w:lang w:val="en-US" w:eastAsia="zh-CN"/>
        </w:rPr>
        <w:t>正本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份，副本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份</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D7B3E17">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20" w:firstLineChars="200"/>
        <w:textAlignment w:val="auto"/>
        <w:outlineLvl w:val="9"/>
        <w:rPr>
          <w:rFonts w:hint="eastAsia" w:ascii="宋体" w:hAnsi="宋体" w:cs="宋体"/>
          <w:b/>
          <w:color w:val="auto"/>
          <w:sz w:val="36"/>
          <w:szCs w:val="20"/>
          <w:highlight w:val="none"/>
        </w:rPr>
      </w:pPr>
      <w:r>
        <w:rPr>
          <w:rFonts w:hint="eastAsia" w:ascii="宋体" w:hAnsi="宋体" w:cs="宋体"/>
          <w:i w:val="0"/>
          <w:iCs w:val="0"/>
          <w:color w:val="auto"/>
          <w:kern w:val="0"/>
          <w:highlight w:val="none"/>
        </w:rPr>
        <w:br w:type="page"/>
      </w:r>
      <w:r>
        <w:rPr>
          <w:rFonts w:hint="eastAsia" w:ascii="宋体" w:hAnsi="宋体" w:cs="宋体"/>
          <w:color w:val="auto"/>
          <w:sz w:val="24"/>
          <w:highlight w:val="none"/>
        </w:rPr>
        <w:br w:type="textWrapping"/>
      </w:r>
      <w:bookmarkStart w:id="514" w:name="_Toc22993"/>
    </w:p>
    <w:p w14:paraId="5B043811">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bookmarkEnd w:id="514"/>
    </w:p>
    <w:p w14:paraId="003BCF2D">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5B7C85E8">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FD35311">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EA634B">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057DDE2">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155FE38">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（2）联合协议………………………………………………………………（页码）</w:t>
      </w:r>
    </w:p>
    <w:p w14:paraId="038D4E27">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27B9547">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6DE8737">
      <w:pPr>
        <w:kinsoku/>
        <w:wordWrap/>
        <w:overflowPunct/>
        <w:topLinePunct w:val="0"/>
        <w:bidi w:val="0"/>
        <w:snapToGrid w:val="0"/>
        <w:spacing w:line="360" w:lineRule="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中小企业声明函…………………………………………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……（页码）</w:t>
      </w:r>
    </w:p>
    <w:p w14:paraId="1DCC449A">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（6）残疾人福利性单位声明函（如果有）………………………………（页码）</w:t>
      </w:r>
    </w:p>
    <w:p w14:paraId="3F98183B">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03534C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437352A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36BA423F">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94327ED">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28F704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33D3BC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38F388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4435F8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84E037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637522">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DD2548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r>
        <w:rPr>
          <w:rFonts w:hint="eastAsia" w:ascii="宋体" w:hAnsi="宋体" w:cs="宋体"/>
          <w:color w:val="auto"/>
          <w:sz w:val="24"/>
          <w:highlight w:val="none"/>
        </w:rPr>
        <w:t>未在中国裁判文书网有行贿犯罪相关记录。</w:t>
      </w:r>
    </w:p>
    <w:p w14:paraId="4318E332">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100CB3F4">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4369C2D">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FE4319">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72C29A3D">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543901D8">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95C858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8015E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CA3C5D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ECFCF3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A44930C">
      <w:pPr>
        <w:kinsoku/>
        <w:wordWrap/>
        <w:overflowPunct/>
        <w:topLinePunct w:val="0"/>
        <w:bidi w:val="0"/>
        <w:outlineLvl w:val="9"/>
        <w:rPr>
          <w:rFonts w:ascii="宋体" w:hAnsi="宋体" w:cs="宋体"/>
          <w:color w:val="auto"/>
          <w:highlight w:val="none"/>
        </w:rPr>
      </w:pPr>
    </w:p>
    <w:p w14:paraId="0482C3B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B96A824">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19C5F5C0">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3D468A84">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162DCD">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572D08C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9CD278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AACBE2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20AB2E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B240C7D">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1EA2263">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6F2C73ED">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DA6B39E">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7847BF7E">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D576C82">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3347EB28">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F950732">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A09295E">
      <w:pPr>
        <w:kinsoku/>
        <w:wordWrap/>
        <w:overflowPunct/>
        <w:topLinePunct w:val="0"/>
        <w:bidi w:val="0"/>
        <w:outlineLvl w:val="9"/>
        <w:rPr>
          <w:rFonts w:ascii="宋体" w:hAnsi="宋体" w:cs="宋体"/>
          <w:color w:val="auto"/>
          <w:highlight w:val="none"/>
        </w:rPr>
      </w:pPr>
    </w:p>
    <w:p w14:paraId="32821D95">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257442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中小企业声明函</w:t>
      </w:r>
    </w:p>
    <w:p w14:paraId="3EA3F169">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6526DDC0">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保障性后勤服务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租赁和商务服务业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；承建（承接）为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19D5606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537ED32">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410C644">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D5054C0">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B118BE4">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60A966C7">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注：1、填写要求：①“标的名称”、“</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中明确的所属行业”依据招标文件第二部分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72134C12">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7C889703">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3、租赁和商务服务业：从业人员300人以下或资产总额120000万元以下的为中小微型企业。其中，从业人员100人及以上，且资产总额8000万元及以上的为中型企业</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从业人员10人及以上，且资产总额100万元及以上的为小型企业</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从业人员10人以下或资产总额100万元以下的为微型企业。</w:t>
      </w:r>
    </w:p>
    <w:p w14:paraId="10281509">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5BF7A384">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0D4CF4E8">
      <w:pPr>
        <w:kinsoku/>
        <w:wordWrap/>
        <w:overflowPunct/>
        <w:topLinePunct w:val="0"/>
        <w:bidi w:val="0"/>
        <w:spacing w:line="360" w:lineRule="auto"/>
        <w:jc w:val="center"/>
        <w:outlineLvl w:val="9"/>
        <w:rPr>
          <w:rFonts w:hint="eastAsia" w:ascii="宋体" w:hAnsi="宋体" w:eastAsia="宋体" w:cs="宋体"/>
          <w:b/>
          <w:color w:val="auto"/>
          <w:spacing w:val="6"/>
          <w:sz w:val="32"/>
          <w:szCs w:val="32"/>
          <w:highlight w:val="none"/>
          <w:lang w:val="en-US" w:eastAsia="zh-CN"/>
        </w:rPr>
      </w:pPr>
    </w:p>
    <w:p w14:paraId="05064666">
      <w:pPr>
        <w:kinsoku/>
        <w:wordWrap/>
        <w:overflowPunct/>
        <w:topLinePunct w:val="0"/>
        <w:bidi w:val="0"/>
        <w:spacing w:line="360" w:lineRule="auto"/>
        <w:jc w:val="center"/>
        <w:outlineLvl w:val="9"/>
        <w:rPr>
          <w:rFonts w:hint="default"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lang w:val="en-US" w:eastAsia="zh-CN"/>
        </w:rPr>
        <w:t>六、</w:t>
      </w:r>
      <w:r>
        <w:rPr>
          <w:rFonts w:hint="eastAsia" w:ascii="宋体" w:hAnsi="宋体" w:eastAsia="宋体" w:cs="宋体"/>
          <w:b/>
          <w:color w:val="auto"/>
          <w:spacing w:val="6"/>
          <w:sz w:val="32"/>
          <w:szCs w:val="32"/>
          <w:highlight w:val="none"/>
        </w:rPr>
        <w:t>残疾人福利性单位声明函</w:t>
      </w:r>
      <w:r>
        <w:rPr>
          <w:rFonts w:hint="eastAsia" w:ascii="宋体" w:hAnsi="宋体" w:eastAsia="宋体" w:cs="宋体"/>
          <w:b/>
          <w:color w:val="auto"/>
          <w:spacing w:val="6"/>
          <w:sz w:val="32"/>
          <w:szCs w:val="32"/>
          <w:highlight w:val="none"/>
          <w:lang w:eastAsia="zh-CN"/>
        </w:rPr>
        <w:t>（</w:t>
      </w:r>
      <w:r>
        <w:rPr>
          <w:rFonts w:hint="eastAsia" w:ascii="宋体" w:hAnsi="宋体" w:eastAsia="宋体" w:cs="宋体"/>
          <w:b/>
          <w:color w:val="auto"/>
          <w:spacing w:val="6"/>
          <w:sz w:val="32"/>
          <w:szCs w:val="32"/>
          <w:highlight w:val="none"/>
          <w:lang w:val="en-US" w:eastAsia="zh-CN"/>
        </w:rPr>
        <w:t>如果有）</w:t>
      </w:r>
    </w:p>
    <w:p w14:paraId="260A0E7E">
      <w:pPr>
        <w:kinsoku/>
        <w:wordWrap/>
        <w:overflowPunct/>
        <w:topLinePunct w:val="0"/>
        <w:bidi w:val="0"/>
        <w:spacing w:line="360" w:lineRule="auto"/>
        <w:outlineLvl w:val="9"/>
        <w:rPr>
          <w:rFonts w:ascii="宋体" w:hAnsi="宋体" w:eastAsia="宋体" w:cs="宋体"/>
          <w:b/>
          <w:color w:val="auto"/>
          <w:spacing w:val="6"/>
          <w:sz w:val="30"/>
          <w:szCs w:val="30"/>
          <w:highlight w:val="none"/>
        </w:rPr>
      </w:pPr>
    </w:p>
    <w:p w14:paraId="4C2E6DC8">
      <w:pPr>
        <w:kinsoku/>
        <w:wordWrap/>
        <w:overflowPunct/>
        <w:topLinePunct w:val="0"/>
        <w:bidi w:val="0"/>
        <w:spacing w:line="360" w:lineRule="auto"/>
        <w:ind w:firstLine="480" w:firstLineChars="200"/>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7AEF8EA">
      <w:pPr>
        <w:kinsoku/>
        <w:wordWrap/>
        <w:overflowPunct/>
        <w:topLinePunct w:val="0"/>
        <w:bidi w:val="0"/>
        <w:spacing w:line="360" w:lineRule="auto"/>
        <w:ind w:firstLine="480" w:firstLineChars="200"/>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EB9BE76">
      <w:pPr>
        <w:kinsoku/>
        <w:wordWrap/>
        <w:overflowPunct/>
        <w:topLinePunct w:val="0"/>
        <w:bidi w:val="0"/>
        <w:spacing w:line="360" w:lineRule="auto"/>
        <w:ind w:firstLine="480" w:firstLineChars="200"/>
        <w:outlineLvl w:val="9"/>
        <w:rPr>
          <w:rFonts w:ascii="宋体" w:hAnsi="宋体" w:eastAsia="宋体" w:cs="宋体"/>
          <w:color w:val="auto"/>
          <w:sz w:val="24"/>
          <w:highlight w:val="none"/>
        </w:rPr>
      </w:pPr>
    </w:p>
    <w:p w14:paraId="703D0493">
      <w:pPr>
        <w:kinsoku/>
        <w:wordWrap/>
        <w:overflowPunct/>
        <w:topLinePunct w:val="0"/>
        <w:bidi w:val="0"/>
        <w:spacing w:line="360" w:lineRule="auto"/>
        <w:ind w:firstLine="480" w:firstLineChars="200"/>
        <w:outlineLvl w:val="9"/>
        <w:rPr>
          <w:rFonts w:ascii="宋体" w:hAnsi="宋体" w:eastAsia="宋体" w:cs="宋体"/>
          <w:color w:val="auto"/>
          <w:sz w:val="24"/>
          <w:highlight w:val="none"/>
        </w:rPr>
      </w:pPr>
    </w:p>
    <w:p w14:paraId="72D6B299">
      <w:pPr>
        <w:tabs>
          <w:tab w:val="left" w:pos="4860"/>
        </w:tabs>
        <w:kinsoku/>
        <w:wordWrap/>
        <w:overflowPunct/>
        <w:topLinePunct w:val="0"/>
        <w:bidi w:val="0"/>
        <w:spacing w:line="360" w:lineRule="auto"/>
        <w:ind w:right="1560" w:firstLine="480" w:firstLineChars="200"/>
        <w:jc w:val="center"/>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7A138535">
      <w:pPr>
        <w:kinsoku/>
        <w:wordWrap/>
        <w:overflowPunct/>
        <w:topLinePunct w:val="0"/>
        <w:bidi w:val="0"/>
        <w:spacing w:line="360" w:lineRule="auto"/>
        <w:ind w:right="420" w:firstLine="3360" w:firstLineChars="1400"/>
        <w:outlineLvl w:val="9"/>
        <w:rPr>
          <w:rFonts w:hint="eastAsia" w:ascii="宋体" w:hAnsi="宋体" w:cs="宋体"/>
          <w:b/>
          <w:color w:val="auto"/>
          <w:kern w:val="0"/>
          <w:sz w:val="36"/>
          <w:szCs w:val="36"/>
          <w:highlight w:val="none"/>
        </w:rPr>
      </w:pPr>
      <w:r>
        <w:rPr>
          <w:rFonts w:hint="eastAsia" w:ascii="宋体" w:hAnsi="宋体" w:eastAsia="宋体" w:cs="宋体"/>
          <w:color w:val="auto"/>
          <w:sz w:val="24"/>
          <w:highlight w:val="none"/>
        </w:rPr>
        <w:t>日  期：</w:t>
      </w:r>
    </w:p>
    <w:p w14:paraId="22655752">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35BDD95C">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53980E75">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686A350F">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7F5921E4">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6DFCBF8E">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03A2D132">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782EE4C0">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0C627166">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178AF903">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03F52B2F">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21BFF252">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4277A519">
      <w:pPr>
        <w:kinsoku/>
        <w:wordWrap/>
        <w:overflowPunct/>
        <w:topLinePunct w:val="0"/>
        <w:bidi w:val="0"/>
        <w:spacing w:line="360" w:lineRule="auto"/>
        <w:ind w:right="420"/>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703F4C0">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187AEC3">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E776325">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91FB53">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BC6DDC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CDF2719">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3C8C44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964A2DB">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3F2E47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C61F56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06FDA0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0938492">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14596782">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5FEFBA36">
      <w:pPr>
        <w:kinsoku/>
        <w:wordWrap/>
        <w:overflowPunct/>
        <w:topLinePunct w:val="0"/>
        <w:bidi w:val="0"/>
        <w:outlineLvl w:val="9"/>
        <w:rPr>
          <w:rFonts w:ascii="宋体" w:hAnsi="宋体" w:cs="宋体"/>
          <w:color w:val="auto"/>
          <w:highlight w:val="none"/>
        </w:rPr>
      </w:pPr>
    </w:p>
    <w:p w14:paraId="2288D1A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1E67894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7D858623">
      <w:pPr>
        <w:tabs>
          <w:tab w:val="left" w:pos="432"/>
        </w:tabs>
        <w:kinsoku/>
        <w:wordWrap/>
        <w:overflowPunct/>
        <w:topLinePunct w:val="0"/>
        <w:bidi w:val="0"/>
        <w:outlineLvl w:val="9"/>
        <w:rPr>
          <w:color w:val="auto"/>
          <w:highlight w:val="none"/>
          <w:lang w:val="en-US"/>
        </w:rPr>
      </w:pPr>
    </w:p>
    <w:p w14:paraId="738CFA13">
      <w:pPr>
        <w:kinsoku/>
        <w:wordWrap/>
        <w:overflowPunct/>
        <w:topLinePunct w:val="0"/>
        <w:bidi w:val="0"/>
        <w:outlineLvl w:val="9"/>
        <w:rPr>
          <w:color w:val="auto"/>
          <w:highlight w:val="none"/>
        </w:rPr>
      </w:pPr>
    </w:p>
    <w:p w14:paraId="01DAD879">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7C0232F">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54C9D4C">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1A922C69">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942915B">
      <w:pPr>
        <w:keepNext w:val="0"/>
        <w:keepLines w:val="0"/>
        <w:pageBreakBefore w:val="0"/>
        <w:kinsoku/>
        <w:wordWrap/>
        <w:overflowPunct/>
        <w:topLinePunct w:val="0"/>
        <w:autoSpaceDE/>
        <w:autoSpaceDN/>
        <w:bidi w:val="0"/>
        <w:snapToGrid w:val="0"/>
        <w:spacing w:line="272" w:lineRule="auto"/>
        <w:ind w:firstLine="3855" w:firstLineChars="1200"/>
        <w:textAlignment w:val="auto"/>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676192B">
      <w:pPr>
        <w:keepNext w:val="0"/>
        <w:keepLines w:val="0"/>
        <w:pageBreakBefore w:val="0"/>
        <w:widowControl w:val="0"/>
        <w:kinsoku/>
        <w:wordWrap/>
        <w:overflowPunct/>
        <w:topLinePunct w:val="0"/>
        <w:autoSpaceDE/>
        <w:autoSpaceDN/>
        <w:bidi w:val="0"/>
        <w:adjustRightInd w:val="0"/>
        <w:snapToGrid w:val="0"/>
        <w:spacing w:line="27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7FD6234A">
      <w:pPr>
        <w:keepNext w:val="0"/>
        <w:keepLines w:val="0"/>
        <w:pageBreakBefore w:val="0"/>
        <w:widowControl w:val="0"/>
        <w:kinsoku/>
        <w:wordWrap/>
        <w:overflowPunct/>
        <w:topLinePunct w:val="0"/>
        <w:autoSpaceDE/>
        <w:autoSpaceDN/>
        <w:bidi w:val="0"/>
        <w:adjustRightInd w:val="0"/>
        <w:snapToGrid w:val="0"/>
        <w:spacing w:line="27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2FE0269">
      <w:pPr>
        <w:keepNext w:val="0"/>
        <w:keepLines w:val="0"/>
        <w:pageBreakBefore w:val="0"/>
        <w:widowControl w:val="0"/>
        <w:kinsoku/>
        <w:wordWrap/>
        <w:overflowPunct/>
        <w:topLinePunct w:val="0"/>
        <w:autoSpaceDE/>
        <w:autoSpaceDN/>
        <w:bidi w:val="0"/>
        <w:adjustRightInd w:val="0"/>
        <w:snapToGrid w:val="0"/>
        <w:spacing w:line="27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F412EE5">
      <w:pPr>
        <w:keepNext w:val="0"/>
        <w:keepLines w:val="0"/>
        <w:pageBreakBefore w:val="0"/>
        <w:widowControl w:val="0"/>
        <w:kinsoku/>
        <w:wordWrap/>
        <w:overflowPunct/>
        <w:topLinePunct w:val="0"/>
        <w:autoSpaceDE/>
        <w:autoSpaceDN/>
        <w:bidi w:val="0"/>
        <w:adjustRightInd w:val="0"/>
        <w:snapToGrid w:val="0"/>
        <w:spacing w:line="27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C5558F5">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7694CDBE">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14:paraId="0B5646DD">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492605A">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0CA61BC">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761352CF">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lang w:val="en-US" w:eastAsia="zh-CN"/>
        </w:rPr>
        <w:t>2.1.5</w:t>
      </w:r>
      <w:r>
        <w:rPr>
          <w:rFonts w:hint="eastAsia" w:ascii="宋体" w:hAnsi="宋体" w:cs="宋体"/>
          <w:snapToGrid w:val="0"/>
          <w:color w:val="auto"/>
          <w:kern w:val="28"/>
          <w:sz w:val="24"/>
          <w:szCs w:val="20"/>
          <w:highlight w:val="none"/>
          <w:lang w:eastAsia="zh-CN"/>
        </w:rPr>
        <w:t>中小企业声明函；</w:t>
      </w:r>
    </w:p>
    <w:p w14:paraId="7B500DC7">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lang w:val="en-US" w:eastAsia="zh-CN"/>
        </w:rPr>
        <w:t>2.1.6</w:t>
      </w:r>
      <w:r>
        <w:rPr>
          <w:rFonts w:hint="eastAsia" w:ascii="宋体" w:hAnsi="宋体" w:cs="宋体"/>
          <w:snapToGrid w:val="0"/>
          <w:color w:val="auto"/>
          <w:kern w:val="28"/>
          <w:sz w:val="24"/>
          <w:szCs w:val="20"/>
          <w:highlight w:val="none"/>
          <w:lang w:eastAsia="zh-CN"/>
        </w:rPr>
        <w:t>残疾人福利性单位声明函（如果有）。</w:t>
      </w:r>
    </w:p>
    <w:p w14:paraId="6BC85DA6">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0F4F53">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D84E520">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92C19BD">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171491">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9FD29AE">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FC922A5">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39C2EE7B">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53E5CA41">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16B2429">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02F300E1">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2.3.2分项报价表。</w:t>
      </w:r>
    </w:p>
    <w:p w14:paraId="328F78C8">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2.3.3综合单价分析表。</w:t>
      </w:r>
    </w:p>
    <w:p w14:paraId="2FB92B7E">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2.3.4报价情况说明(如供应商报价低于项目预算 50%的，应当提交本文档，详细阐述不影响产品质量或者诚信履约的具体原因）。</w:t>
      </w:r>
    </w:p>
    <w:p w14:paraId="1DD0D7B2">
      <w:pPr>
        <w:keepNext w:val="0"/>
        <w:keepLines w:val="0"/>
        <w:pageBreakBefore w:val="0"/>
        <w:widowControl w:val="0"/>
        <w:kinsoku/>
        <w:wordWrap/>
        <w:overflowPunct/>
        <w:topLinePunct w:val="0"/>
        <w:autoSpaceDE/>
        <w:autoSpaceDN/>
        <w:bidi w:val="0"/>
        <w:adjustRightInd w:val="0"/>
        <w:snapToGrid w:val="0"/>
        <w:spacing w:line="27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4E308E9C">
      <w:pPr>
        <w:keepNext w:val="0"/>
        <w:keepLines w:val="0"/>
        <w:pageBreakBefore w:val="0"/>
        <w:widowControl w:val="0"/>
        <w:kinsoku/>
        <w:wordWrap/>
        <w:overflowPunct/>
        <w:topLinePunct w:val="0"/>
        <w:autoSpaceDE/>
        <w:autoSpaceDN/>
        <w:bidi w:val="0"/>
        <w:adjustRightInd w:val="0"/>
        <w:snapToGrid w:val="0"/>
        <w:spacing w:line="27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3C1C2A6A">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7A83DBF">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BCE2E79">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在合同约定的期限内完成合同规定的全部义务。</w:t>
      </w:r>
    </w:p>
    <w:p w14:paraId="2F9714FD">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0C578DCE">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38F409">
      <w:pPr>
        <w:keepNext w:val="0"/>
        <w:keepLines w:val="0"/>
        <w:pageBreakBefore w:val="0"/>
        <w:widowControl w:val="0"/>
        <w:kinsoku/>
        <w:wordWrap/>
        <w:overflowPunct/>
        <w:topLinePunct w:val="0"/>
        <w:autoSpaceDE/>
        <w:autoSpaceDN/>
        <w:bidi w:val="0"/>
        <w:adjustRightInd w:val="0"/>
        <w:spacing w:line="27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178999F7">
      <w:pPr>
        <w:keepNext w:val="0"/>
        <w:keepLines w:val="0"/>
        <w:pageBreakBefore w:val="0"/>
        <w:widowControl w:val="0"/>
        <w:kinsoku/>
        <w:wordWrap/>
        <w:overflowPunct/>
        <w:topLinePunct w:val="0"/>
        <w:autoSpaceDE/>
        <w:autoSpaceDN/>
        <w:bidi w:val="0"/>
        <w:adjustRightInd w:val="0"/>
        <w:spacing w:line="27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E00C39D">
      <w:pPr>
        <w:keepNext w:val="0"/>
        <w:keepLines w:val="0"/>
        <w:pageBreakBefore w:val="0"/>
        <w:widowControl/>
        <w:kinsoku/>
        <w:wordWrap/>
        <w:overflowPunct/>
        <w:topLinePunct w:val="0"/>
        <w:autoSpaceDE/>
        <w:autoSpaceDN/>
        <w:bidi w:val="0"/>
        <w:adjustRightInd/>
        <w:spacing w:line="272" w:lineRule="auto"/>
        <w:jc w:val="left"/>
        <w:textAlignment w:val="auto"/>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11E20220">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698C21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16D968C6">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5BF963F">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998B3EA">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385516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B791DF5">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C00FE45">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108654D">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4F468DF">
      <w:pPr>
        <w:kinsoku/>
        <w:wordWrap/>
        <w:overflowPunct/>
        <w:topLinePunct w:val="0"/>
        <w:bidi w:val="0"/>
        <w:snapToGrid w:val="0"/>
        <w:spacing w:line="360" w:lineRule="auto"/>
        <w:outlineLvl w:val="9"/>
        <w:rPr>
          <w:rFonts w:ascii="宋体" w:hAnsi="宋体" w:cs="宋体"/>
          <w:color w:val="auto"/>
          <w:sz w:val="24"/>
          <w:highlight w:val="none"/>
        </w:rPr>
      </w:pPr>
    </w:p>
    <w:p w14:paraId="4A054735">
      <w:pPr>
        <w:kinsoku/>
        <w:wordWrap/>
        <w:overflowPunct/>
        <w:topLinePunct w:val="0"/>
        <w:bidi w:val="0"/>
        <w:snapToGrid w:val="0"/>
        <w:spacing w:line="360" w:lineRule="auto"/>
        <w:outlineLvl w:val="9"/>
        <w:rPr>
          <w:rFonts w:ascii="宋体" w:hAnsi="宋体" w:cs="宋体"/>
          <w:color w:val="auto"/>
          <w:sz w:val="24"/>
          <w:highlight w:val="none"/>
        </w:rPr>
      </w:pPr>
    </w:p>
    <w:p w14:paraId="228781A5">
      <w:pPr>
        <w:kinsoku/>
        <w:wordWrap/>
        <w:overflowPunct/>
        <w:topLinePunct w:val="0"/>
        <w:bidi w:val="0"/>
        <w:snapToGrid w:val="0"/>
        <w:spacing w:line="360" w:lineRule="auto"/>
        <w:outlineLvl w:val="9"/>
        <w:rPr>
          <w:rFonts w:ascii="宋体" w:hAnsi="宋体" w:cs="宋体"/>
          <w:color w:val="auto"/>
          <w:sz w:val="24"/>
          <w:highlight w:val="none"/>
        </w:rPr>
      </w:pPr>
    </w:p>
    <w:p w14:paraId="00232F0F">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302DD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FCEE3DA">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0E26B5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1F62C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1B62B9">
      <w:pPr>
        <w:kinsoku/>
        <w:wordWrap/>
        <w:overflowPunct/>
        <w:topLinePunct w:val="0"/>
        <w:bidi w:val="0"/>
        <w:jc w:val="center"/>
        <w:outlineLvl w:val="9"/>
        <w:rPr>
          <w:rFonts w:ascii="宋体" w:hAnsi="宋体" w:cs="宋体"/>
          <w:b/>
          <w:color w:val="auto"/>
          <w:kern w:val="0"/>
          <w:sz w:val="32"/>
          <w:szCs w:val="32"/>
          <w:highlight w:val="none"/>
        </w:rPr>
      </w:pPr>
    </w:p>
    <w:p w14:paraId="74DCC322">
      <w:pPr>
        <w:kinsoku/>
        <w:wordWrap/>
        <w:overflowPunct/>
        <w:topLinePunct w:val="0"/>
        <w:bidi w:val="0"/>
        <w:jc w:val="center"/>
        <w:outlineLvl w:val="9"/>
        <w:rPr>
          <w:rFonts w:ascii="宋体" w:hAnsi="宋体" w:cs="宋体"/>
          <w:b/>
          <w:color w:val="auto"/>
          <w:kern w:val="0"/>
          <w:sz w:val="32"/>
          <w:szCs w:val="32"/>
          <w:highlight w:val="none"/>
        </w:rPr>
      </w:pPr>
    </w:p>
    <w:p w14:paraId="01C05674">
      <w:pPr>
        <w:kinsoku/>
        <w:wordWrap/>
        <w:overflowPunct/>
        <w:topLinePunct w:val="0"/>
        <w:bidi w:val="0"/>
        <w:jc w:val="center"/>
        <w:outlineLvl w:val="9"/>
        <w:rPr>
          <w:rFonts w:ascii="宋体" w:hAnsi="宋体" w:cs="宋体"/>
          <w:b/>
          <w:color w:val="auto"/>
          <w:kern w:val="0"/>
          <w:sz w:val="32"/>
          <w:szCs w:val="32"/>
          <w:highlight w:val="none"/>
        </w:rPr>
      </w:pPr>
    </w:p>
    <w:p w14:paraId="58FA5166">
      <w:pPr>
        <w:kinsoku/>
        <w:wordWrap/>
        <w:overflowPunct/>
        <w:topLinePunct w:val="0"/>
        <w:bidi w:val="0"/>
        <w:outlineLvl w:val="9"/>
        <w:rPr>
          <w:rFonts w:ascii="宋体" w:hAnsi="宋体" w:cs="宋体"/>
          <w:color w:val="auto"/>
          <w:highlight w:val="none"/>
        </w:rPr>
      </w:pPr>
    </w:p>
    <w:p w14:paraId="6296DEE4">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DF9CFF">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B12D282">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7FB09940">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AAA536">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011F010C">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277E7694">
      <w:pPr>
        <w:pStyle w:val="154"/>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98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248D21">
            <w:pPr>
              <w:pStyle w:val="154"/>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1B2326F3">
            <w:pPr>
              <w:pStyle w:val="154"/>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7313978F">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F784382">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5067345">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D0C19C2">
      <w:pPr>
        <w:kinsoku/>
        <w:wordWrap/>
        <w:overflowPunct/>
        <w:topLinePunct w:val="0"/>
        <w:bidi w:val="0"/>
        <w:jc w:val="center"/>
        <w:outlineLvl w:val="9"/>
        <w:rPr>
          <w:rFonts w:ascii="宋体" w:hAnsi="宋体" w:cs="宋体"/>
          <w:b/>
          <w:color w:val="auto"/>
          <w:kern w:val="0"/>
          <w:sz w:val="32"/>
          <w:szCs w:val="32"/>
          <w:highlight w:val="none"/>
        </w:rPr>
      </w:pPr>
    </w:p>
    <w:p w14:paraId="7357852B">
      <w:pPr>
        <w:kinsoku/>
        <w:wordWrap/>
        <w:overflowPunct/>
        <w:topLinePunct w:val="0"/>
        <w:bidi w:val="0"/>
        <w:jc w:val="center"/>
        <w:outlineLvl w:val="9"/>
        <w:rPr>
          <w:rFonts w:ascii="宋体" w:hAnsi="宋体" w:cs="宋体"/>
          <w:b/>
          <w:color w:val="auto"/>
          <w:kern w:val="0"/>
          <w:sz w:val="32"/>
          <w:szCs w:val="32"/>
          <w:highlight w:val="none"/>
        </w:rPr>
      </w:pPr>
    </w:p>
    <w:p w14:paraId="3D140231">
      <w:pPr>
        <w:kinsoku/>
        <w:wordWrap/>
        <w:overflowPunct/>
        <w:topLinePunct w:val="0"/>
        <w:bidi w:val="0"/>
        <w:jc w:val="center"/>
        <w:outlineLvl w:val="9"/>
        <w:rPr>
          <w:rFonts w:ascii="宋体" w:hAnsi="宋体" w:cs="宋体"/>
          <w:b/>
          <w:color w:val="auto"/>
          <w:kern w:val="0"/>
          <w:sz w:val="32"/>
          <w:szCs w:val="32"/>
          <w:highlight w:val="none"/>
        </w:rPr>
      </w:pPr>
    </w:p>
    <w:p w14:paraId="620385E0">
      <w:pPr>
        <w:kinsoku/>
        <w:wordWrap/>
        <w:overflowPunct/>
        <w:topLinePunct w:val="0"/>
        <w:bidi w:val="0"/>
        <w:jc w:val="center"/>
        <w:outlineLvl w:val="9"/>
        <w:rPr>
          <w:rFonts w:ascii="宋体" w:hAnsi="宋体" w:cs="宋体"/>
          <w:b/>
          <w:color w:val="auto"/>
          <w:kern w:val="0"/>
          <w:sz w:val="32"/>
          <w:szCs w:val="32"/>
          <w:highlight w:val="none"/>
        </w:rPr>
      </w:pPr>
    </w:p>
    <w:p w14:paraId="22A645D0">
      <w:pPr>
        <w:kinsoku/>
        <w:wordWrap/>
        <w:overflowPunct/>
        <w:topLinePunct w:val="0"/>
        <w:bidi w:val="0"/>
        <w:jc w:val="center"/>
        <w:outlineLvl w:val="9"/>
        <w:rPr>
          <w:rFonts w:ascii="宋体" w:hAnsi="宋体" w:cs="宋体"/>
          <w:b/>
          <w:color w:val="auto"/>
          <w:kern w:val="0"/>
          <w:sz w:val="32"/>
          <w:szCs w:val="32"/>
          <w:highlight w:val="none"/>
        </w:rPr>
      </w:pPr>
    </w:p>
    <w:p w14:paraId="7562765A">
      <w:pPr>
        <w:kinsoku/>
        <w:wordWrap/>
        <w:overflowPunct/>
        <w:topLinePunct w:val="0"/>
        <w:bidi w:val="0"/>
        <w:jc w:val="center"/>
        <w:outlineLvl w:val="9"/>
        <w:rPr>
          <w:rFonts w:ascii="宋体" w:hAnsi="宋体" w:cs="宋体"/>
          <w:b/>
          <w:color w:val="auto"/>
          <w:kern w:val="0"/>
          <w:sz w:val="32"/>
          <w:szCs w:val="32"/>
          <w:highlight w:val="none"/>
        </w:rPr>
      </w:pPr>
    </w:p>
    <w:p w14:paraId="7C7EAA87">
      <w:pPr>
        <w:kinsoku/>
        <w:wordWrap/>
        <w:overflowPunct/>
        <w:topLinePunct w:val="0"/>
        <w:bidi w:val="0"/>
        <w:jc w:val="center"/>
        <w:outlineLvl w:val="9"/>
        <w:rPr>
          <w:rFonts w:ascii="宋体" w:hAnsi="宋体" w:cs="宋体"/>
          <w:b/>
          <w:color w:val="auto"/>
          <w:kern w:val="0"/>
          <w:sz w:val="32"/>
          <w:szCs w:val="32"/>
          <w:highlight w:val="none"/>
        </w:rPr>
      </w:pPr>
    </w:p>
    <w:p w14:paraId="2F9C929C">
      <w:pPr>
        <w:kinsoku/>
        <w:wordWrap/>
        <w:overflowPunct/>
        <w:topLinePunct w:val="0"/>
        <w:bidi w:val="0"/>
        <w:jc w:val="center"/>
        <w:outlineLvl w:val="9"/>
        <w:rPr>
          <w:rFonts w:ascii="宋体" w:hAnsi="宋体" w:cs="宋体"/>
          <w:b/>
          <w:color w:val="auto"/>
          <w:kern w:val="0"/>
          <w:sz w:val="32"/>
          <w:szCs w:val="32"/>
          <w:highlight w:val="none"/>
        </w:rPr>
      </w:pPr>
    </w:p>
    <w:p w14:paraId="0A2C8D5A">
      <w:pPr>
        <w:kinsoku/>
        <w:wordWrap/>
        <w:overflowPunct/>
        <w:topLinePunct w:val="0"/>
        <w:bidi w:val="0"/>
        <w:jc w:val="center"/>
        <w:outlineLvl w:val="9"/>
        <w:rPr>
          <w:rFonts w:ascii="宋体" w:hAnsi="宋体" w:cs="宋体"/>
          <w:b/>
          <w:color w:val="auto"/>
          <w:kern w:val="0"/>
          <w:sz w:val="32"/>
          <w:szCs w:val="32"/>
          <w:highlight w:val="none"/>
        </w:rPr>
      </w:pPr>
    </w:p>
    <w:p w14:paraId="51ED94EE">
      <w:pPr>
        <w:kinsoku/>
        <w:wordWrap/>
        <w:overflowPunct/>
        <w:topLinePunct w:val="0"/>
        <w:bidi w:val="0"/>
        <w:jc w:val="center"/>
        <w:outlineLvl w:val="9"/>
        <w:rPr>
          <w:rFonts w:ascii="宋体" w:hAnsi="宋体" w:cs="宋体"/>
          <w:b/>
          <w:color w:val="auto"/>
          <w:kern w:val="0"/>
          <w:sz w:val="32"/>
          <w:szCs w:val="32"/>
          <w:highlight w:val="none"/>
        </w:rPr>
      </w:pPr>
    </w:p>
    <w:p w14:paraId="72C63352">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75DF761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DB404AF">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1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15"/>
    <w:p w14:paraId="0799370A">
      <w:pPr>
        <w:kinsoku/>
        <w:wordWrap/>
        <w:overflowPunct/>
        <w:topLinePunct w:val="0"/>
        <w:bidi w:val="0"/>
        <w:snapToGrid w:val="0"/>
        <w:spacing w:line="360" w:lineRule="auto"/>
        <w:outlineLvl w:val="9"/>
        <w:rPr>
          <w:rFonts w:ascii="宋体" w:hAnsi="宋体" w:cs="宋体"/>
          <w:color w:val="auto"/>
          <w:kern w:val="0"/>
          <w:sz w:val="24"/>
          <w:highlight w:val="none"/>
        </w:rPr>
      </w:pPr>
    </w:p>
    <w:p w14:paraId="29604C01">
      <w:pPr>
        <w:kinsoku/>
        <w:wordWrap/>
        <w:overflowPunct/>
        <w:topLinePunct w:val="0"/>
        <w:bidi w:val="0"/>
        <w:jc w:val="center"/>
        <w:outlineLvl w:val="9"/>
        <w:rPr>
          <w:rFonts w:ascii="宋体" w:hAnsi="宋体" w:cs="宋体"/>
          <w:b/>
          <w:color w:val="auto"/>
          <w:kern w:val="0"/>
          <w:sz w:val="32"/>
          <w:szCs w:val="32"/>
          <w:highlight w:val="none"/>
        </w:rPr>
      </w:pPr>
    </w:p>
    <w:p w14:paraId="20F4C505">
      <w:pPr>
        <w:tabs>
          <w:tab w:val="left" w:pos="432"/>
        </w:tabs>
        <w:kinsoku/>
        <w:wordWrap/>
        <w:overflowPunct/>
        <w:topLinePunct w:val="0"/>
        <w:bidi w:val="0"/>
        <w:outlineLvl w:val="9"/>
        <w:rPr>
          <w:color w:val="auto"/>
          <w:highlight w:val="none"/>
          <w:lang w:val="en-US"/>
        </w:rPr>
      </w:pPr>
    </w:p>
    <w:p w14:paraId="3122B413">
      <w:pPr>
        <w:kinsoku/>
        <w:wordWrap/>
        <w:overflowPunct/>
        <w:topLinePunct w:val="0"/>
        <w:bidi w:val="0"/>
        <w:outlineLvl w:val="9"/>
        <w:rPr>
          <w:color w:val="auto"/>
          <w:highlight w:val="none"/>
        </w:rPr>
      </w:pPr>
    </w:p>
    <w:p w14:paraId="0691C81A">
      <w:pPr>
        <w:tabs>
          <w:tab w:val="left" w:pos="432"/>
        </w:tabs>
        <w:kinsoku/>
        <w:wordWrap/>
        <w:overflowPunct/>
        <w:topLinePunct w:val="0"/>
        <w:bidi w:val="0"/>
        <w:outlineLvl w:val="9"/>
        <w:rPr>
          <w:color w:val="auto"/>
          <w:highlight w:val="none"/>
          <w:lang w:val="en-US"/>
        </w:rPr>
      </w:pPr>
    </w:p>
    <w:p w14:paraId="04A947E9">
      <w:pPr>
        <w:kinsoku/>
        <w:wordWrap/>
        <w:overflowPunct/>
        <w:topLinePunct w:val="0"/>
        <w:bidi w:val="0"/>
        <w:jc w:val="center"/>
        <w:outlineLvl w:val="9"/>
        <w:rPr>
          <w:rFonts w:ascii="宋体" w:hAnsi="宋体" w:cs="宋体"/>
          <w:b/>
          <w:color w:val="auto"/>
          <w:kern w:val="0"/>
          <w:sz w:val="32"/>
          <w:szCs w:val="32"/>
          <w:highlight w:val="none"/>
        </w:rPr>
      </w:pPr>
    </w:p>
    <w:p w14:paraId="4CDCD845">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6D134E4">
      <w:pPr>
        <w:kinsoku/>
        <w:wordWrap/>
        <w:overflowPunct/>
        <w:topLinePunct w:val="0"/>
        <w:bidi w:val="0"/>
        <w:jc w:val="center"/>
        <w:outlineLvl w:val="9"/>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14:paraId="67CA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C678C2">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0" w:type="dxa"/>
            <w:vAlign w:val="center"/>
          </w:tcPr>
          <w:p w14:paraId="1E661D80">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2" w:type="dxa"/>
            <w:vAlign w:val="center"/>
          </w:tcPr>
          <w:p w14:paraId="498C4F5D">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6C6B4A3">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20F14820">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3FEE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56BC1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0" w:type="dxa"/>
            <w:vAlign w:val="center"/>
          </w:tcPr>
          <w:p w14:paraId="5755875A">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2" w:type="dxa"/>
            <w:vAlign w:val="center"/>
          </w:tcPr>
          <w:p w14:paraId="51D7B832">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22D9E6FF">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0A4638A2">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49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79B81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0" w:type="dxa"/>
            <w:vAlign w:val="center"/>
          </w:tcPr>
          <w:p w14:paraId="05A3F0C2">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2" w:type="dxa"/>
            <w:vAlign w:val="center"/>
          </w:tcPr>
          <w:p w14:paraId="79914241">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F371E1D">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52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009E1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0" w:type="dxa"/>
            <w:vAlign w:val="center"/>
          </w:tcPr>
          <w:p w14:paraId="05DFCA67">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2" w:type="dxa"/>
            <w:vAlign w:val="center"/>
          </w:tcPr>
          <w:p w14:paraId="43DB7342">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14:paraId="506C369A">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594B513">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C84A06">
      <w:pPr>
        <w:kinsoku/>
        <w:wordWrap/>
        <w:overflowPunct/>
        <w:topLinePunct w:val="0"/>
        <w:bidi w:val="0"/>
        <w:jc w:val="center"/>
        <w:outlineLvl w:val="9"/>
        <w:rPr>
          <w:rFonts w:ascii="宋体" w:hAnsi="宋体" w:cs="宋体"/>
          <w:b/>
          <w:color w:val="auto"/>
          <w:kern w:val="0"/>
          <w:sz w:val="32"/>
          <w:szCs w:val="32"/>
          <w:highlight w:val="none"/>
        </w:rPr>
      </w:pPr>
    </w:p>
    <w:p w14:paraId="2BB14C9F">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1C3108C">
      <w:pPr>
        <w:kinsoku/>
        <w:wordWrap/>
        <w:overflowPunct/>
        <w:topLinePunct w:val="0"/>
        <w:bidi w:val="0"/>
        <w:jc w:val="center"/>
        <w:outlineLvl w:val="9"/>
        <w:rPr>
          <w:rFonts w:ascii="宋体" w:hAnsi="宋体" w:cs="宋体"/>
          <w:b/>
          <w:color w:val="auto"/>
          <w:kern w:val="0"/>
          <w:sz w:val="32"/>
          <w:szCs w:val="32"/>
          <w:highlight w:val="none"/>
        </w:rPr>
      </w:pPr>
    </w:p>
    <w:p w14:paraId="33B3838C">
      <w:pPr>
        <w:kinsoku/>
        <w:wordWrap/>
        <w:overflowPunct/>
        <w:topLinePunct w:val="0"/>
        <w:bidi w:val="0"/>
        <w:jc w:val="center"/>
        <w:outlineLvl w:val="9"/>
        <w:rPr>
          <w:rFonts w:ascii="宋体" w:hAnsi="宋体" w:cs="宋体"/>
          <w:b/>
          <w:color w:val="auto"/>
          <w:kern w:val="0"/>
          <w:sz w:val="32"/>
          <w:szCs w:val="32"/>
          <w:highlight w:val="none"/>
        </w:rPr>
      </w:pPr>
    </w:p>
    <w:p w14:paraId="75B5DAEC">
      <w:pPr>
        <w:kinsoku/>
        <w:wordWrap/>
        <w:overflowPunct/>
        <w:topLinePunct w:val="0"/>
        <w:bidi w:val="0"/>
        <w:jc w:val="center"/>
        <w:outlineLvl w:val="9"/>
        <w:rPr>
          <w:rFonts w:ascii="宋体" w:hAnsi="宋体" w:cs="宋体"/>
          <w:b/>
          <w:color w:val="auto"/>
          <w:kern w:val="0"/>
          <w:sz w:val="32"/>
          <w:szCs w:val="32"/>
          <w:highlight w:val="none"/>
        </w:rPr>
      </w:pPr>
    </w:p>
    <w:p w14:paraId="2D7AFF68">
      <w:pPr>
        <w:kinsoku/>
        <w:wordWrap/>
        <w:overflowPunct/>
        <w:topLinePunct w:val="0"/>
        <w:bidi w:val="0"/>
        <w:jc w:val="center"/>
        <w:outlineLvl w:val="9"/>
        <w:rPr>
          <w:rFonts w:ascii="宋体" w:hAnsi="宋体" w:cs="宋体"/>
          <w:b/>
          <w:color w:val="auto"/>
          <w:kern w:val="0"/>
          <w:sz w:val="32"/>
          <w:szCs w:val="32"/>
          <w:highlight w:val="none"/>
        </w:rPr>
      </w:pPr>
    </w:p>
    <w:p w14:paraId="056BA4F6">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D8BD048">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FD5BC72">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5A349EE">
      <w:pPr>
        <w:kinsoku/>
        <w:wordWrap/>
        <w:overflowPunct/>
        <w:topLinePunct w:val="0"/>
        <w:bidi w:val="0"/>
        <w:jc w:val="center"/>
        <w:outlineLvl w:val="9"/>
        <w:rPr>
          <w:rFonts w:ascii="宋体" w:hAnsi="宋体" w:cs="宋体"/>
          <w:b/>
          <w:color w:val="auto"/>
          <w:kern w:val="0"/>
          <w:sz w:val="32"/>
          <w:szCs w:val="32"/>
          <w:highlight w:val="none"/>
        </w:rPr>
      </w:pPr>
    </w:p>
    <w:p w14:paraId="48545193">
      <w:pPr>
        <w:kinsoku/>
        <w:wordWrap/>
        <w:overflowPunct/>
        <w:topLinePunct w:val="0"/>
        <w:bidi w:val="0"/>
        <w:jc w:val="center"/>
        <w:outlineLvl w:val="9"/>
        <w:rPr>
          <w:rFonts w:ascii="宋体" w:hAnsi="宋体" w:cs="宋体"/>
          <w:b/>
          <w:color w:val="auto"/>
          <w:kern w:val="0"/>
          <w:sz w:val="32"/>
          <w:szCs w:val="32"/>
          <w:highlight w:val="none"/>
        </w:rPr>
      </w:pPr>
    </w:p>
    <w:p w14:paraId="6C1037E1">
      <w:pPr>
        <w:kinsoku/>
        <w:wordWrap/>
        <w:overflowPunct/>
        <w:topLinePunct w:val="0"/>
        <w:bidi w:val="0"/>
        <w:jc w:val="center"/>
        <w:outlineLvl w:val="9"/>
        <w:rPr>
          <w:rFonts w:ascii="宋体" w:hAnsi="宋体" w:cs="宋体"/>
          <w:b/>
          <w:color w:val="auto"/>
          <w:kern w:val="0"/>
          <w:sz w:val="32"/>
          <w:szCs w:val="32"/>
          <w:highlight w:val="none"/>
        </w:rPr>
      </w:pPr>
    </w:p>
    <w:p w14:paraId="2460FC54">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396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AB6B5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ED9F86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4A012E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A3AA23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352E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79D40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107532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52BEB51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41AEB25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66FB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AE654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A42847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1C7468D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1069964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7F21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B5E3C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B19AAC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0FA183E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2A2CDA9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70498418">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204378AE">
      <w:pPr>
        <w:kinsoku/>
        <w:wordWrap/>
        <w:overflowPunct/>
        <w:topLinePunct w:val="0"/>
        <w:bidi w:val="0"/>
        <w:jc w:val="center"/>
        <w:outlineLvl w:val="9"/>
        <w:rPr>
          <w:rFonts w:ascii="宋体" w:hAnsi="宋体" w:cs="宋体"/>
          <w:b/>
          <w:color w:val="auto"/>
          <w:kern w:val="0"/>
          <w:sz w:val="32"/>
          <w:szCs w:val="32"/>
          <w:highlight w:val="none"/>
        </w:rPr>
      </w:pPr>
    </w:p>
    <w:p w14:paraId="5D3D6B4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C63735">
      <w:pPr>
        <w:kinsoku/>
        <w:wordWrap/>
        <w:overflowPunct/>
        <w:topLinePunct w:val="0"/>
        <w:bidi w:val="0"/>
        <w:ind w:firstLine="1911" w:firstLineChars="595"/>
        <w:outlineLvl w:val="9"/>
        <w:rPr>
          <w:rFonts w:ascii="宋体" w:hAnsi="宋体" w:cs="宋体"/>
          <w:b/>
          <w:bCs/>
          <w:color w:val="auto"/>
          <w:sz w:val="32"/>
          <w:szCs w:val="32"/>
          <w:highlight w:val="none"/>
        </w:rPr>
      </w:pPr>
    </w:p>
    <w:p w14:paraId="56962883">
      <w:pPr>
        <w:kinsoku/>
        <w:wordWrap/>
        <w:overflowPunct/>
        <w:topLinePunct w:val="0"/>
        <w:bidi w:val="0"/>
        <w:ind w:firstLine="1911" w:firstLineChars="595"/>
        <w:outlineLvl w:val="9"/>
        <w:rPr>
          <w:rFonts w:ascii="宋体" w:hAnsi="宋体" w:cs="宋体"/>
          <w:b/>
          <w:bCs/>
          <w:color w:val="auto"/>
          <w:sz w:val="32"/>
          <w:szCs w:val="32"/>
          <w:highlight w:val="none"/>
        </w:rPr>
      </w:pPr>
    </w:p>
    <w:p w14:paraId="501EB86F">
      <w:pPr>
        <w:kinsoku/>
        <w:wordWrap/>
        <w:overflowPunct/>
        <w:topLinePunct w:val="0"/>
        <w:bidi w:val="0"/>
        <w:ind w:firstLine="1911" w:firstLineChars="595"/>
        <w:outlineLvl w:val="9"/>
        <w:rPr>
          <w:rFonts w:ascii="宋体" w:hAnsi="宋体" w:cs="宋体"/>
          <w:b/>
          <w:bCs/>
          <w:color w:val="auto"/>
          <w:sz w:val="32"/>
          <w:szCs w:val="32"/>
          <w:highlight w:val="none"/>
        </w:rPr>
      </w:pPr>
    </w:p>
    <w:p w14:paraId="098DB665">
      <w:pPr>
        <w:kinsoku/>
        <w:wordWrap/>
        <w:overflowPunct/>
        <w:topLinePunct w:val="0"/>
        <w:bidi w:val="0"/>
        <w:ind w:firstLine="1911" w:firstLineChars="595"/>
        <w:outlineLvl w:val="9"/>
        <w:rPr>
          <w:rFonts w:ascii="宋体" w:hAnsi="宋体" w:cs="宋体"/>
          <w:b/>
          <w:bCs/>
          <w:color w:val="auto"/>
          <w:sz w:val="32"/>
          <w:szCs w:val="32"/>
          <w:highlight w:val="none"/>
        </w:rPr>
      </w:pPr>
    </w:p>
    <w:p w14:paraId="2025831F">
      <w:pPr>
        <w:kinsoku/>
        <w:wordWrap/>
        <w:overflowPunct/>
        <w:topLinePunct w:val="0"/>
        <w:bidi w:val="0"/>
        <w:ind w:firstLine="1911" w:firstLineChars="595"/>
        <w:outlineLvl w:val="9"/>
        <w:rPr>
          <w:rFonts w:ascii="宋体" w:hAnsi="宋体" w:cs="宋体"/>
          <w:b/>
          <w:bCs/>
          <w:color w:val="auto"/>
          <w:sz w:val="32"/>
          <w:szCs w:val="32"/>
          <w:highlight w:val="none"/>
        </w:rPr>
      </w:pPr>
    </w:p>
    <w:p w14:paraId="3AD7368C">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DBC86BC">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E3A969D">
      <w:pPr>
        <w:kinsoku/>
        <w:wordWrap/>
        <w:overflowPunct/>
        <w:topLinePunct w:val="0"/>
        <w:bidi w:val="0"/>
        <w:snapToGrid w:val="0"/>
        <w:spacing w:line="360" w:lineRule="auto"/>
        <w:outlineLvl w:val="9"/>
        <w:rPr>
          <w:rFonts w:ascii="宋体" w:hAnsi="宋体" w:cs="宋体"/>
          <w:color w:val="auto"/>
          <w:sz w:val="24"/>
          <w:highlight w:val="none"/>
        </w:rPr>
      </w:pPr>
    </w:p>
    <w:p w14:paraId="3743486E">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83AC31">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A7D396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B48FD4D">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F79A9A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F7EADA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68F456E">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612BEF3">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CC97874">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B86E720">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03D9C4F">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7D822AE">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1A2637C9">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8FCFC99">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E88DAD9">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50F24">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3550D13">
      <w:pPr>
        <w:kinsoku/>
        <w:wordWrap/>
        <w:overflowPunct/>
        <w:topLinePunct w:val="0"/>
        <w:bidi w:val="0"/>
        <w:spacing w:line="360" w:lineRule="auto"/>
        <w:jc w:val="center"/>
        <w:outlineLvl w:val="9"/>
        <w:rPr>
          <w:rFonts w:ascii="宋体" w:hAnsi="宋体" w:cs="宋体"/>
          <w:b/>
          <w:bCs/>
          <w:color w:val="auto"/>
          <w:sz w:val="24"/>
          <w:highlight w:val="none"/>
        </w:rPr>
      </w:pPr>
    </w:p>
    <w:p w14:paraId="500E323F">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6989D1">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2675E45">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6BF3377">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E91AF8">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2519696D">
      <w:pPr>
        <w:numPr>
          <w:ilvl w:val="0"/>
          <w:numId w:val="1"/>
        </w:numPr>
        <w:kinsoku/>
        <w:wordWrap/>
        <w:overflowPunct/>
        <w:topLinePunct w:val="0"/>
        <w:bidi w:val="0"/>
        <w:snapToGrid w:val="0"/>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开标一览表（报价表）………………………………………………………（页码）</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（2）分项报价表……………………………………………………………………（页码）</w:t>
      </w:r>
    </w:p>
    <w:p w14:paraId="0F75C32B">
      <w:pPr>
        <w:numPr>
          <w:ilvl w:val="0"/>
          <w:numId w:val="0"/>
        </w:numPr>
        <w:kinsoku/>
        <w:wordWrap/>
        <w:overflowPunct/>
        <w:topLinePunct w:val="0"/>
        <w:bidi w:val="0"/>
        <w:snapToGrid w:val="0"/>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（3）综合单价分析表………………………………………………………………（页码）</w:t>
      </w:r>
    </w:p>
    <w:p w14:paraId="3B997298">
      <w:pPr>
        <w:numPr>
          <w:ilvl w:val="0"/>
          <w:numId w:val="0"/>
        </w:numPr>
        <w:kinsoku/>
        <w:wordWrap/>
        <w:overflowPunct/>
        <w:topLinePunct w:val="0"/>
        <w:bidi w:val="0"/>
        <w:snapToGrid w:val="0"/>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（4）报价情况说明(如供应商报价低于项目预算 50%的，应当提交本文档，详细阐述不影响产品质量或者诚信履约的具体原因）……………………………………… （页码）</w:t>
      </w:r>
    </w:p>
    <w:p w14:paraId="0F3F7918">
      <w:pPr>
        <w:kinsoku/>
        <w:wordWrap/>
        <w:overflowPunct/>
        <w:topLinePunct w:val="0"/>
        <w:bidi w:val="0"/>
        <w:snapToGrid w:val="0"/>
        <w:spacing w:line="360" w:lineRule="auto"/>
        <w:outlineLvl w:val="9"/>
        <w:rPr>
          <w:rFonts w:ascii="宋体" w:hAnsi="宋体" w:cs="宋体"/>
          <w:color w:val="auto"/>
          <w:sz w:val="24"/>
          <w:highlight w:val="none"/>
        </w:rPr>
      </w:pPr>
    </w:p>
    <w:p w14:paraId="4787526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CA4447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151F7B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DA7EEA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7944B7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4251F1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F584A8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3CA86F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815E25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877A6E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04CA4B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B06761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33E70D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E2726C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CCA110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CB13E15">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5665DD3F">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bookmarkStart w:id="516" w:name="_Toc18859"/>
      <w:bookmarkStart w:id="517" w:name="_Toc26425"/>
      <w:r>
        <w:rPr>
          <w:rFonts w:hint="eastAsia" w:ascii="宋体" w:hAnsi="宋体" w:eastAsia="宋体" w:cs="宋体"/>
          <w:color w:val="auto"/>
          <w:kern w:val="2"/>
          <w:sz w:val="32"/>
          <w:szCs w:val="32"/>
          <w:highlight w:val="none"/>
        </w:rPr>
        <w:t>一、开标一览表（报价表）</w:t>
      </w:r>
      <w:bookmarkEnd w:id="516"/>
      <w:bookmarkEnd w:id="517"/>
    </w:p>
    <w:p w14:paraId="1FC30675">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C9FA578">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5B7618E">
      <w:pPr>
        <w:kinsoku/>
        <w:wordWrap/>
        <w:overflowPunct/>
        <w:topLinePunct w:val="0"/>
        <w:bidi w:val="0"/>
        <w:spacing w:line="360" w:lineRule="auto"/>
        <w:jc w:val="center"/>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155"/>
        <w:gridCol w:w="1575"/>
        <w:gridCol w:w="3225"/>
        <w:gridCol w:w="2481"/>
      </w:tblGrid>
      <w:tr w14:paraId="55634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14:paraId="7734994B">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30" w:type="dxa"/>
            <w:gridSpan w:val="2"/>
            <w:tcBorders>
              <w:top w:val="single" w:color="auto" w:sz="4" w:space="0"/>
              <w:left w:val="single" w:color="auto" w:sz="4" w:space="0"/>
              <w:bottom w:val="single" w:color="auto" w:sz="4" w:space="0"/>
              <w:right w:val="single" w:color="auto" w:sz="4" w:space="0"/>
            </w:tcBorders>
            <w:noWrap w:val="0"/>
            <w:vAlign w:val="center"/>
          </w:tcPr>
          <w:p w14:paraId="0F33AE39">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5ED33FEE">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合同履约期限</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49FF16A3">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年度报价（元/年）</w:t>
            </w:r>
          </w:p>
        </w:tc>
      </w:tr>
      <w:tr w14:paraId="72DC0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102" w:type="dxa"/>
            <w:tcBorders>
              <w:top w:val="single" w:color="auto" w:sz="4" w:space="0"/>
              <w:left w:val="single" w:color="auto" w:sz="4" w:space="0"/>
              <w:right w:val="single" w:color="auto" w:sz="4" w:space="0"/>
            </w:tcBorders>
            <w:noWrap w:val="0"/>
            <w:vAlign w:val="center"/>
          </w:tcPr>
          <w:p w14:paraId="7DCEAAA1">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30" w:type="dxa"/>
            <w:gridSpan w:val="2"/>
            <w:tcBorders>
              <w:top w:val="single" w:color="auto" w:sz="4" w:space="0"/>
              <w:left w:val="single" w:color="auto" w:sz="4" w:space="0"/>
              <w:bottom w:val="single" w:color="auto" w:sz="4" w:space="0"/>
              <w:right w:val="single" w:color="auto" w:sz="4" w:space="0"/>
            </w:tcBorders>
            <w:noWrap w:val="0"/>
            <w:vAlign w:val="center"/>
          </w:tcPr>
          <w:p w14:paraId="5FFD59C4">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p>
        </w:tc>
        <w:tc>
          <w:tcPr>
            <w:tcW w:w="3225" w:type="dxa"/>
            <w:tcBorders>
              <w:top w:val="single" w:color="auto" w:sz="4" w:space="0"/>
              <w:left w:val="single" w:color="auto" w:sz="4" w:space="0"/>
              <w:bottom w:val="single" w:color="auto" w:sz="4" w:space="0"/>
              <w:right w:val="single" w:color="auto" w:sz="4" w:space="0"/>
            </w:tcBorders>
            <w:noWrap w:val="0"/>
            <w:vAlign w:val="center"/>
          </w:tcPr>
          <w:p w14:paraId="5375B84A">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kern w:val="2"/>
                <w:sz w:val="24"/>
                <w:szCs w:val="24"/>
                <w:highlight w:val="none"/>
                <w:lang w:val="en-US" w:eastAsia="zh-CN" w:bidi="ar-SA"/>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14:paraId="5B5DEABC">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kern w:val="2"/>
                <w:sz w:val="24"/>
                <w:szCs w:val="24"/>
                <w:highlight w:val="none"/>
                <w:lang w:val="en-US" w:eastAsia="zh-CN" w:bidi="ar-SA"/>
              </w:rPr>
            </w:pPr>
          </w:p>
        </w:tc>
      </w:tr>
      <w:tr w14:paraId="51550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2257" w:type="dxa"/>
            <w:gridSpan w:val="2"/>
            <w:tcBorders>
              <w:top w:val="single" w:color="auto" w:sz="4" w:space="0"/>
              <w:left w:val="single" w:color="auto" w:sz="4" w:space="0"/>
              <w:right w:val="single" w:color="auto" w:sz="4" w:space="0"/>
            </w:tcBorders>
            <w:noWrap w:val="0"/>
            <w:vAlign w:val="center"/>
          </w:tcPr>
          <w:p w14:paraId="78EA5872">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三年</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c>
          <w:tcPr>
            <w:tcW w:w="7281" w:type="dxa"/>
            <w:gridSpan w:val="3"/>
            <w:tcBorders>
              <w:top w:val="single" w:color="auto" w:sz="4" w:space="0"/>
              <w:left w:val="single" w:color="auto" w:sz="4" w:space="0"/>
              <w:bottom w:val="single" w:color="auto" w:sz="4" w:space="0"/>
              <w:right w:val="single" w:color="auto" w:sz="4" w:space="0"/>
            </w:tcBorders>
            <w:noWrap w:val="0"/>
            <w:vAlign w:val="center"/>
          </w:tcPr>
          <w:p w14:paraId="1EDA20E6">
            <w:pPr>
              <w:keepNext w:val="0"/>
              <w:keepLines w:val="0"/>
              <w:suppressLineNumbers w:val="0"/>
              <w:adjustRightInd/>
              <w:snapToGrid w:val="0"/>
              <w:spacing w:before="50" w:beforeAutospacing="0" w:after="50" w:afterAutospacing="0"/>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大写：</w:t>
            </w:r>
          </w:p>
          <w:p w14:paraId="7137F6AB">
            <w:pPr>
              <w:keepNext w:val="0"/>
              <w:keepLines w:val="0"/>
              <w:suppressLineNumbers w:val="0"/>
              <w:adjustRightInd/>
              <w:snapToGrid w:val="0"/>
              <w:spacing w:before="50" w:beforeAutospacing="0" w:after="50" w:afterAutospacing="0"/>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小写：</w:t>
            </w:r>
          </w:p>
        </w:tc>
      </w:tr>
      <w:tr w14:paraId="29E68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2257" w:type="dxa"/>
            <w:gridSpan w:val="2"/>
            <w:tcBorders>
              <w:top w:val="single" w:color="auto" w:sz="4" w:space="0"/>
              <w:left w:val="single" w:color="auto" w:sz="4" w:space="0"/>
              <w:bottom w:val="single" w:color="auto" w:sz="4" w:space="0"/>
              <w:right w:val="single" w:color="auto" w:sz="4" w:space="0"/>
            </w:tcBorders>
            <w:noWrap w:val="0"/>
            <w:vAlign w:val="center"/>
          </w:tcPr>
          <w:p w14:paraId="395AD639">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7281" w:type="dxa"/>
            <w:gridSpan w:val="3"/>
            <w:tcBorders>
              <w:top w:val="single" w:color="auto" w:sz="4" w:space="0"/>
              <w:left w:val="single" w:color="auto" w:sz="4" w:space="0"/>
              <w:bottom w:val="single" w:color="auto" w:sz="4" w:space="0"/>
              <w:right w:val="single" w:color="auto" w:sz="4" w:space="0"/>
            </w:tcBorders>
            <w:noWrap w:val="0"/>
            <w:vAlign w:val="center"/>
          </w:tcPr>
          <w:p w14:paraId="0754B0C0">
            <w:pPr>
              <w:keepNext w:val="0"/>
              <w:keepLines w:val="0"/>
              <w:suppressLineNumbers w:val="0"/>
              <w:adjustRightInd/>
              <w:snapToGrid w:val="0"/>
              <w:spacing w:before="50" w:beforeAutospacing="0" w:after="50" w:afterAutospacing="0"/>
              <w:ind w:left="0" w:right="0"/>
              <w:rPr>
                <w:rFonts w:hint="eastAsia" w:ascii="宋体" w:hAnsi="宋体" w:eastAsia="宋体" w:cs="宋体"/>
                <w:color w:val="auto"/>
                <w:sz w:val="24"/>
                <w:szCs w:val="24"/>
                <w:highlight w:val="none"/>
              </w:rPr>
            </w:pPr>
          </w:p>
        </w:tc>
      </w:tr>
    </w:tbl>
    <w:p w14:paraId="6D913302">
      <w:pPr>
        <w:pStyle w:val="50"/>
        <w:rPr>
          <w:rFonts w:hint="eastAsia"/>
          <w:color w:val="auto"/>
          <w:highlight w:val="none"/>
          <w:lang w:val="zh-CN"/>
        </w:rPr>
      </w:pPr>
    </w:p>
    <w:p w14:paraId="6BCA0B39">
      <w:pPr>
        <w:kinsoku/>
        <w:wordWrap/>
        <w:overflowPunct/>
        <w:topLinePunct w:val="0"/>
        <w:bidi w:val="0"/>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C02F9EB">
      <w:pPr>
        <w:kinsoku/>
        <w:wordWrap/>
        <w:overflowPunct/>
        <w:topLinePunct w:val="0"/>
        <w:bidi w:val="0"/>
        <w:spacing w:line="360" w:lineRule="auto"/>
        <w:ind w:left="-2" w:leftChars="-1"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3A4DB61">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2CC3834">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C7E7C49">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B626F78">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0C379BB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518" w:name="_Toc74987434"/>
      <w:bookmarkStart w:id="519" w:name="_Toc74987466"/>
      <w:bookmarkStart w:id="520" w:name="_Toc25773"/>
      <w:bookmarkStart w:id="521" w:name="_Toc30621"/>
      <w:r>
        <w:rPr>
          <w:rFonts w:hint="eastAsia" w:ascii="宋体" w:hAnsi="宋体" w:eastAsia="宋体" w:cs="宋体"/>
          <w:color w:val="auto"/>
          <w:kern w:val="2"/>
          <w:sz w:val="32"/>
          <w:szCs w:val="32"/>
          <w:highlight w:val="none"/>
        </w:rPr>
        <w:t>二、分项报价表</w:t>
      </w:r>
      <w:bookmarkEnd w:id="518"/>
      <w:bookmarkEnd w:id="519"/>
    </w:p>
    <w:p w14:paraId="7CBAD157">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B2020D2">
      <w:pPr>
        <w:spacing w:line="40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493FF887">
      <w:pPr>
        <w:widowControl/>
        <w:snapToGrid w:val="0"/>
        <w:spacing w:line="400" w:lineRule="exact"/>
        <w:jc w:val="right"/>
        <w:rPr>
          <w:rFonts w:ascii="宋体" w:hAnsi="宋体" w:eastAsia="宋体" w:cs="宋体"/>
          <w:color w:val="auto"/>
          <w:sz w:val="24"/>
          <w:highlight w:val="none"/>
        </w:rPr>
      </w:pPr>
      <w:r>
        <w:rPr>
          <w:rFonts w:hint="eastAsia" w:ascii="宋体" w:hAnsi="宋体" w:eastAsia="宋体" w:cs="宋体"/>
          <w:color w:val="auto"/>
          <w:sz w:val="24"/>
          <w:highlight w:val="none"/>
        </w:rPr>
        <w:t>金额单位：人民币（元）</w:t>
      </w:r>
    </w:p>
    <w:tbl>
      <w:tblPr>
        <w:tblStyle w:val="62"/>
        <w:tblW w:w="9298"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647"/>
        <w:gridCol w:w="1755"/>
        <w:gridCol w:w="2835"/>
        <w:gridCol w:w="2107"/>
      </w:tblGrid>
      <w:tr w14:paraId="4FD1B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1D0E7104">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
                <w:bCs/>
                <w:color w:val="auto"/>
                <w:sz w:val="24"/>
                <w:highlight w:val="none"/>
              </w:rPr>
            </w:pPr>
            <w:bookmarkStart w:id="522" w:name="_Toc75699055"/>
            <w:r>
              <w:rPr>
                <w:rFonts w:hint="eastAsia" w:ascii="宋体" w:hAnsi="宋体" w:eastAsia="宋体" w:cs="宋体"/>
                <w:b/>
                <w:bCs/>
                <w:color w:val="auto"/>
                <w:sz w:val="24"/>
                <w:highlight w:val="none"/>
              </w:rPr>
              <w:t>序号</w:t>
            </w:r>
            <w:bookmarkEnd w:id="522"/>
          </w:p>
        </w:tc>
        <w:tc>
          <w:tcPr>
            <w:tcW w:w="1647" w:type="dxa"/>
            <w:tcBorders>
              <w:top w:val="single" w:color="auto" w:sz="4" w:space="0"/>
              <w:bottom w:val="single" w:color="auto" w:sz="4" w:space="0"/>
            </w:tcBorders>
            <w:vAlign w:val="center"/>
          </w:tcPr>
          <w:p w14:paraId="5310E165">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
                <w:bCs/>
                <w:color w:val="auto"/>
                <w:sz w:val="24"/>
                <w:highlight w:val="none"/>
              </w:rPr>
            </w:pPr>
            <w:bookmarkStart w:id="523" w:name="_Toc75699056"/>
            <w:r>
              <w:rPr>
                <w:rFonts w:hint="eastAsia" w:ascii="宋体" w:hAnsi="宋体" w:eastAsia="宋体" w:cs="宋体"/>
                <w:b/>
                <w:bCs/>
                <w:color w:val="auto"/>
                <w:sz w:val="24"/>
                <w:highlight w:val="none"/>
              </w:rPr>
              <w:t>岗位名称</w:t>
            </w:r>
            <w:bookmarkEnd w:id="523"/>
          </w:p>
        </w:tc>
        <w:tc>
          <w:tcPr>
            <w:tcW w:w="1755" w:type="dxa"/>
            <w:tcBorders>
              <w:top w:val="single" w:color="auto" w:sz="4" w:space="0"/>
              <w:bottom w:val="single" w:color="auto" w:sz="4" w:space="0"/>
            </w:tcBorders>
            <w:vAlign w:val="center"/>
          </w:tcPr>
          <w:p w14:paraId="7B950F10">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
                <w:bCs/>
                <w:color w:val="auto"/>
                <w:sz w:val="24"/>
                <w:highlight w:val="none"/>
              </w:rPr>
            </w:pPr>
            <w:bookmarkStart w:id="524" w:name="_Toc75699057"/>
            <w:r>
              <w:rPr>
                <w:rFonts w:hint="eastAsia" w:ascii="宋体" w:hAnsi="宋体" w:eastAsia="宋体" w:cs="宋体"/>
                <w:b/>
                <w:bCs/>
                <w:color w:val="auto"/>
                <w:sz w:val="24"/>
                <w:highlight w:val="none"/>
              </w:rPr>
              <w:t>配置人数（人）</w:t>
            </w:r>
            <w:bookmarkEnd w:id="524"/>
          </w:p>
        </w:tc>
        <w:tc>
          <w:tcPr>
            <w:tcW w:w="2835" w:type="dxa"/>
            <w:tcBorders>
              <w:top w:val="single" w:color="auto" w:sz="4" w:space="0"/>
              <w:bottom w:val="single" w:color="auto" w:sz="4" w:space="0"/>
              <w:right w:val="single" w:color="auto" w:sz="4" w:space="0"/>
            </w:tcBorders>
            <w:vAlign w:val="center"/>
          </w:tcPr>
          <w:p w14:paraId="5A6A58F1">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
                <w:bCs/>
                <w:color w:val="auto"/>
                <w:sz w:val="24"/>
                <w:highlight w:val="none"/>
              </w:rPr>
            </w:pPr>
            <w:bookmarkStart w:id="525" w:name="_Toc75699058"/>
            <w:r>
              <w:rPr>
                <w:rFonts w:hint="eastAsia" w:ascii="宋体" w:hAnsi="宋体" w:eastAsia="宋体" w:cs="宋体"/>
                <w:b/>
                <w:bCs/>
                <w:color w:val="auto"/>
                <w:sz w:val="24"/>
                <w:highlight w:val="none"/>
              </w:rPr>
              <w:t>综合单价（元/人·月）</w:t>
            </w:r>
            <w:bookmarkEnd w:id="525"/>
          </w:p>
        </w:tc>
        <w:tc>
          <w:tcPr>
            <w:tcW w:w="2107" w:type="dxa"/>
            <w:tcBorders>
              <w:top w:val="single" w:color="auto" w:sz="4" w:space="0"/>
              <w:bottom w:val="single" w:color="auto" w:sz="4" w:space="0"/>
              <w:right w:val="single" w:color="auto" w:sz="4" w:space="0"/>
            </w:tcBorders>
            <w:vAlign w:val="center"/>
          </w:tcPr>
          <w:p w14:paraId="778962C6">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
                <w:bCs/>
                <w:color w:val="auto"/>
                <w:sz w:val="24"/>
                <w:highlight w:val="none"/>
              </w:rPr>
            </w:pPr>
            <w:bookmarkStart w:id="526" w:name="_Toc75699059"/>
            <w:r>
              <w:rPr>
                <w:rFonts w:hint="eastAsia" w:ascii="宋体" w:hAnsi="宋体" w:eastAsia="宋体" w:cs="宋体"/>
                <w:b/>
                <w:bCs/>
                <w:color w:val="auto"/>
                <w:sz w:val="24"/>
                <w:highlight w:val="none"/>
              </w:rPr>
              <w:t>合价（元/年）</w:t>
            </w:r>
            <w:bookmarkEnd w:id="526"/>
          </w:p>
        </w:tc>
      </w:tr>
      <w:tr w14:paraId="016EE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37ECFEF9">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27" w:name="_Toc75699060"/>
            <w:r>
              <w:rPr>
                <w:rFonts w:hint="eastAsia" w:ascii="宋体" w:hAnsi="宋体" w:eastAsia="宋体" w:cs="宋体"/>
                <w:bCs/>
                <w:color w:val="auto"/>
                <w:sz w:val="24"/>
                <w:highlight w:val="none"/>
              </w:rPr>
              <w:t>1</w:t>
            </w:r>
            <w:bookmarkEnd w:id="527"/>
          </w:p>
        </w:tc>
        <w:tc>
          <w:tcPr>
            <w:tcW w:w="1647" w:type="dxa"/>
            <w:tcBorders>
              <w:top w:val="single" w:color="auto" w:sz="4" w:space="0"/>
              <w:bottom w:val="single" w:color="auto" w:sz="4" w:space="0"/>
            </w:tcBorders>
            <w:vAlign w:val="center"/>
          </w:tcPr>
          <w:p w14:paraId="06B9C49D">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6567CF39">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70C54950">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71EDF132">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2047F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4807B52A">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28" w:name="_Toc75699061"/>
            <w:r>
              <w:rPr>
                <w:rFonts w:hint="eastAsia" w:ascii="宋体" w:hAnsi="宋体" w:eastAsia="宋体" w:cs="宋体"/>
                <w:bCs/>
                <w:color w:val="auto"/>
                <w:sz w:val="24"/>
                <w:highlight w:val="none"/>
              </w:rPr>
              <w:t>2</w:t>
            </w:r>
            <w:bookmarkEnd w:id="528"/>
          </w:p>
        </w:tc>
        <w:tc>
          <w:tcPr>
            <w:tcW w:w="1647" w:type="dxa"/>
            <w:tcBorders>
              <w:top w:val="single" w:color="auto" w:sz="4" w:space="0"/>
              <w:bottom w:val="single" w:color="auto" w:sz="4" w:space="0"/>
            </w:tcBorders>
            <w:vAlign w:val="center"/>
          </w:tcPr>
          <w:p w14:paraId="00869FF8">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569B9F3B">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36EC312C">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237E4B4A">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19005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3C6799DA">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29" w:name="_Toc75699062"/>
            <w:r>
              <w:rPr>
                <w:rFonts w:hint="eastAsia" w:ascii="宋体" w:hAnsi="宋体" w:eastAsia="宋体" w:cs="宋体"/>
                <w:bCs/>
                <w:color w:val="auto"/>
                <w:sz w:val="24"/>
                <w:highlight w:val="none"/>
              </w:rPr>
              <w:t>3</w:t>
            </w:r>
            <w:bookmarkEnd w:id="529"/>
          </w:p>
        </w:tc>
        <w:tc>
          <w:tcPr>
            <w:tcW w:w="1647" w:type="dxa"/>
            <w:tcBorders>
              <w:top w:val="single" w:color="auto" w:sz="4" w:space="0"/>
              <w:bottom w:val="single" w:color="auto" w:sz="4" w:space="0"/>
            </w:tcBorders>
            <w:vAlign w:val="center"/>
          </w:tcPr>
          <w:p w14:paraId="4AE1A213">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5D33E453">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454CB943">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2166F063">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493D2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3CBE96D1">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30" w:name="_Toc75699063"/>
            <w:r>
              <w:rPr>
                <w:rFonts w:hint="eastAsia" w:ascii="宋体" w:hAnsi="宋体" w:eastAsia="宋体" w:cs="宋体"/>
                <w:bCs/>
                <w:color w:val="auto"/>
                <w:sz w:val="24"/>
                <w:highlight w:val="none"/>
              </w:rPr>
              <w:t>4</w:t>
            </w:r>
            <w:bookmarkEnd w:id="530"/>
          </w:p>
        </w:tc>
        <w:tc>
          <w:tcPr>
            <w:tcW w:w="1647" w:type="dxa"/>
            <w:tcBorders>
              <w:top w:val="single" w:color="auto" w:sz="4" w:space="0"/>
              <w:bottom w:val="single" w:color="auto" w:sz="4" w:space="0"/>
            </w:tcBorders>
            <w:vAlign w:val="center"/>
          </w:tcPr>
          <w:p w14:paraId="3D33BF8E">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0E8C945E">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70AA81DC">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4B38A899">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5C8E1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38C8C775">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31" w:name="_Toc75699064"/>
            <w:r>
              <w:rPr>
                <w:rFonts w:hint="eastAsia" w:ascii="宋体" w:hAnsi="宋体" w:eastAsia="宋体" w:cs="宋体"/>
                <w:bCs/>
                <w:color w:val="auto"/>
                <w:sz w:val="24"/>
                <w:highlight w:val="none"/>
              </w:rPr>
              <w:t>5</w:t>
            </w:r>
            <w:bookmarkEnd w:id="531"/>
          </w:p>
        </w:tc>
        <w:tc>
          <w:tcPr>
            <w:tcW w:w="1647" w:type="dxa"/>
            <w:tcBorders>
              <w:top w:val="single" w:color="auto" w:sz="4" w:space="0"/>
              <w:bottom w:val="single" w:color="auto" w:sz="4" w:space="0"/>
            </w:tcBorders>
            <w:vAlign w:val="center"/>
          </w:tcPr>
          <w:p w14:paraId="0DD6DC6D">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3D695B4B">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17D87F16">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3A9C72B0">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39C44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04AAA1C0">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32" w:name="_Toc75699065"/>
            <w:r>
              <w:rPr>
                <w:rFonts w:hint="eastAsia" w:ascii="宋体" w:hAnsi="宋体" w:eastAsia="宋体" w:cs="宋体"/>
                <w:bCs/>
                <w:color w:val="auto"/>
                <w:sz w:val="24"/>
                <w:highlight w:val="none"/>
              </w:rPr>
              <w:t>6</w:t>
            </w:r>
            <w:bookmarkEnd w:id="532"/>
          </w:p>
        </w:tc>
        <w:tc>
          <w:tcPr>
            <w:tcW w:w="1647" w:type="dxa"/>
            <w:tcBorders>
              <w:top w:val="single" w:color="auto" w:sz="4" w:space="0"/>
              <w:bottom w:val="single" w:color="auto" w:sz="4" w:space="0"/>
            </w:tcBorders>
            <w:vAlign w:val="center"/>
          </w:tcPr>
          <w:p w14:paraId="2B9FC49D">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71E3A7C7">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2DF5FB09">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1A1E29EA">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1441E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647CB263">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33" w:name="_Toc75699066"/>
            <w:r>
              <w:rPr>
                <w:rFonts w:hint="eastAsia" w:ascii="宋体" w:hAnsi="宋体" w:eastAsia="宋体" w:cs="宋体"/>
                <w:bCs/>
                <w:color w:val="auto"/>
                <w:sz w:val="24"/>
                <w:highlight w:val="none"/>
              </w:rPr>
              <w:t>7</w:t>
            </w:r>
            <w:bookmarkEnd w:id="533"/>
          </w:p>
        </w:tc>
        <w:tc>
          <w:tcPr>
            <w:tcW w:w="1647" w:type="dxa"/>
            <w:tcBorders>
              <w:top w:val="single" w:color="auto" w:sz="4" w:space="0"/>
              <w:bottom w:val="single" w:color="auto" w:sz="4" w:space="0"/>
            </w:tcBorders>
            <w:vAlign w:val="center"/>
          </w:tcPr>
          <w:p w14:paraId="4065BBA1">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7653F822">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2C80EC70">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5B70F1D4">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0CA60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1" w:type="dxa"/>
            <w:gridSpan w:val="4"/>
            <w:tcBorders>
              <w:top w:val="single" w:color="auto" w:sz="4" w:space="0"/>
              <w:left w:val="single" w:color="auto" w:sz="4" w:space="0"/>
              <w:bottom w:val="single" w:color="auto" w:sz="4" w:space="0"/>
              <w:right w:val="single" w:color="auto" w:sz="4" w:space="0"/>
            </w:tcBorders>
            <w:vAlign w:val="center"/>
          </w:tcPr>
          <w:p w14:paraId="2D3E8617">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r>
              <w:rPr>
                <w:rFonts w:hint="eastAsia" w:ascii="宋体" w:hAnsi="宋体" w:eastAsia="宋体" w:cs="宋体"/>
                <w:color w:val="auto"/>
                <w:sz w:val="24"/>
                <w:highlight w:val="none"/>
              </w:rPr>
              <w:t>年度报价（元/年）</w:t>
            </w:r>
          </w:p>
        </w:tc>
        <w:tc>
          <w:tcPr>
            <w:tcW w:w="2107" w:type="dxa"/>
            <w:tcBorders>
              <w:top w:val="single" w:color="auto" w:sz="4" w:space="0"/>
              <w:bottom w:val="single" w:color="auto" w:sz="4" w:space="0"/>
              <w:right w:val="single" w:color="auto" w:sz="4" w:space="0"/>
            </w:tcBorders>
            <w:vAlign w:val="center"/>
          </w:tcPr>
          <w:p w14:paraId="26DF6114">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bl>
    <w:p w14:paraId="5D37DAC2">
      <w:pPr>
        <w:adjustRightInd/>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注：1.供应商可根据实际情况自行填写，但必须注明具体的细目内容，栏目不够可自行添加。</w:t>
      </w:r>
    </w:p>
    <w:p w14:paraId="583F1DE7">
      <w:pPr>
        <w:adjustRightInd/>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2.分项报价表中的投标报价必须与开标一览表中的投标报价一致。</w:t>
      </w:r>
    </w:p>
    <w:p w14:paraId="75258101">
      <w:pPr>
        <w:adjustRightInd/>
        <w:spacing w:line="400" w:lineRule="exact"/>
        <w:jc w:val="left"/>
        <w:rPr>
          <w:rFonts w:ascii="宋体" w:hAnsi="宋体" w:eastAsia="宋体" w:cs="宋体"/>
          <w:color w:val="auto"/>
          <w:sz w:val="24"/>
          <w:highlight w:val="none"/>
        </w:rPr>
      </w:pPr>
    </w:p>
    <w:p w14:paraId="56B44610">
      <w:pPr>
        <w:adjustRightInd/>
        <w:spacing w:line="400" w:lineRule="exact"/>
        <w:jc w:val="left"/>
        <w:rPr>
          <w:rFonts w:ascii="宋体" w:hAnsi="宋体" w:eastAsia="宋体" w:cs="宋体"/>
          <w:color w:val="auto"/>
          <w:sz w:val="24"/>
          <w:highlight w:val="none"/>
        </w:rPr>
      </w:pPr>
    </w:p>
    <w:p w14:paraId="4E583EEF">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kern w:val="0"/>
          <w:sz w:val="24"/>
          <w:highlight w:val="none"/>
        </w:rPr>
        <w:t>：</w:t>
      </w:r>
    </w:p>
    <w:p w14:paraId="47FFFCCE">
      <w:pPr>
        <w:adjustRightInd/>
        <w:spacing w:line="400" w:lineRule="exact"/>
        <w:rPr>
          <w:rFonts w:ascii="宋体" w:hAnsi="宋体" w:eastAsia="宋体" w:cs="宋体"/>
          <w:color w:val="auto"/>
          <w:sz w:val="24"/>
          <w:highlight w:val="none"/>
          <w:u w:val="single"/>
        </w:rPr>
      </w:pPr>
      <w:r>
        <w:rPr>
          <w:rFonts w:hint="eastAsia" w:ascii="宋体" w:hAnsi="宋体" w:eastAsia="宋体" w:cs="宋体"/>
          <w:color w:val="auto"/>
          <w:kern w:val="0"/>
          <w:sz w:val="24"/>
          <w:highlight w:val="none"/>
        </w:rPr>
        <w:t>日  期：</w:t>
      </w:r>
    </w:p>
    <w:p w14:paraId="52C6AE9F">
      <w:pPr>
        <w:adjustRightInd/>
        <w:spacing w:line="400" w:lineRule="exact"/>
        <w:rPr>
          <w:rFonts w:ascii="宋体" w:hAnsi="宋体" w:eastAsia="宋体" w:cs="宋体"/>
          <w:color w:val="auto"/>
          <w:sz w:val="24"/>
          <w:highlight w:val="none"/>
          <w:u w:val="single"/>
        </w:rPr>
      </w:pPr>
    </w:p>
    <w:p w14:paraId="27A82038">
      <w:pPr>
        <w:adjustRightInd/>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2"/>
          <w:szCs w:val="32"/>
          <w:highlight w:val="none"/>
        </w:rPr>
        <w:t>三、综合单价分析表</w:t>
      </w:r>
    </w:p>
    <w:p w14:paraId="7C285512">
      <w:pPr>
        <w:spacing w:line="216" w:lineRule="auto"/>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71D063E7">
      <w:pPr>
        <w:spacing w:line="216"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2595C533">
      <w:pPr>
        <w:widowControl/>
        <w:snapToGrid w:val="0"/>
        <w:spacing w:line="216"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金额单位：人民币（元）</w:t>
      </w:r>
    </w:p>
    <w:p w14:paraId="7AB8B378">
      <w:pPr>
        <w:adjustRightInd/>
        <w:spacing w:line="216" w:lineRule="auto"/>
        <w:jc w:val="left"/>
        <w:rPr>
          <w:rFonts w:ascii="宋体" w:hAnsi="宋体" w:eastAsia="宋体" w:cs="宋体"/>
          <w:b/>
          <w:color w:val="auto"/>
          <w:sz w:val="24"/>
          <w:highlight w:val="none"/>
        </w:rPr>
      </w:pPr>
      <w:r>
        <w:rPr>
          <w:rFonts w:hint="eastAsia" w:ascii="宋体" w:hAnsi="宋体" w:eastAsia="宋体" w:cs="宋体"/>
          <w:b/>
          <w:color w:val="auto"/>
          <w:sz w:val="24"/>
          <w:highlight w:val="none"/>
        </w:rPr>
        <w:t>岗位名称：</w:t>
      </w:r>
    </w:p>
    <w:tbl>
      <w:tblPr>
        <w:tblStyle w:val="62"/>
        <w:tblW w:w="93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9"/>
        <w:gridCol w:w="2130"/>
        <w:gridCol w:w="2268"/>
        <w:gridCol w:w="3423"/>
      </w:tblGrid>
      <w:tr w14:paraId="27E5E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3FB1CC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130" w:type="dxa"/>
            <w:tcBorders>
              <w:top w:val="single" w:color="auto" w:sz="4" w:space="0"/>
              <w:left w:val="single" w:color="auto" w:sz="4" w:space="0"/>
              <w:bottom w:val="single" w:color="auto" w:sz="4" w:space="0"/>
              <w:right w:val="single" w:color="auto" w:sz="4" w:space="0"/>
            </w:tcBorders>
            <w:vAlign w:val="center"/>
          </w:tcPr>
          <w:p w14:paraId="06BC8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auto"/>
                <w:sz w:val="24"/>
                <w:highlight w:val="none"/>
              </w:rPr>
            </w:pPr>
            <w:r>
              <w:rPr>
                <w:rFonts w:hint="eastAsia" w:ascii="宋体" w:hAnsi="宋体" w:eastAsia="宋体" w:cs="宋体"/>
                <w:b/>
                <w:color w:val="auto"/>
                <w:sz w:val="24"/>
                <w:highlight w:val="none"/>
              </w:rPr>
              <w:t>科目</w:t>
            </w:r>
          </w:p>
        </w:tc>
        <w:tc>
          <w:tcPr>
            <w:tcW w:w="2268" w:type="dxa"/>
            <w:tcBorders>
              <w:top w:val="single" w:color="auto" w:sz="4" w:space="0"/>
              <w:left w:val="single" w:color="auto" w:sz="4" w:space="0"/>
              <w:bottom w:val="single" w:color="auto" w:sz="4" w:space="0"/>
              <w:right w:val="single" w:color="auto" w:sz="4" w:space="0"/>
            </w:tcBorders>
            <w:vAlign w:val="center"/>
          </w:tcPr>
          <w:p w14:paraId="301E14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auto"/>
                <w:sz w:val="24"/>
                <w:highlight w:val="none"/>
              </w:rPr>
            </w:pPr>
            <w:r>
              <w:rPr>
                <w:rFonts w:hint="eastAsia" w:ascii="宋体" w:hAnsi="宋体" w:eastAsia="宋体" w:cs="宋体"/>
                <w:b/>
                <w:color w:val="auto"/>
                <w:sz w:val="24"/>
                <w:highlight w:val="none"/>
              </w:rPr>
              <w:t>金额</w:t>
            </w:r>
            <w:r>
              <w:rPr>
                <w:rFonts w:hint="eastAsia" w:ascii="宋体" w:hAnsi="宋体" w:eastAsia="宋体" w:cs="宋体"/>
                <w:b/>
                <w:bCs/>
                <w:color w:val="auto"/>
                <w:sz w:val="24"/>
                <w:highlight w:val="none"/>
              </w:rPr>
              <w:t>（元/人·月）</w:t>
            </w:r>
          </w:p>
        </w:tc>
        <w:tc>
          <w:tcPr>
            <w:tcW w:w="3423" w:type="dxa"/>
            <w:tcBorders>
              <w:top w:val="single" w:color="auto" w:sz="4" w:space="0"/>
              <w:left w:val="single" w:color="auto" w:sz="4" w:space="0"/>
              <w:bottom w:val="single" w:color="auto" w:sz="4" w:space="0"/>
              <w:right w:val="single" w:color="auto" w:sz="4" w:space="0"/>
            </w:tcBorders>
            <w:vAlign w:val="center"/>
          </w:tcPr>
          <w:p w14:paraId="4B5CED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auto"/>
                <w:sz w:val="24"/>
                <w:highlight w:val="none"/>
              </w:rPr>
            </w:pPr>
            <w:r>
              <w:rPr>
                <w:rFonts w:hint="eastAsia" w:ascii="宋体" w:hAnsi="宋体" w:eastAsia="宋体" w:cs="宋体"/>
                <w:b/>
                <w:color w:val="auto"/>
                <w:sz w:val="24"/>
                <w:highlight w:val="none"/>
              </w:rPr>
              <w:t>说  明</w:t>
            </w:r>
          </w:p>
        </w:tc>
      </w:tr>
      <w:tr w14:paraId="5E3EE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5DD21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2130" w:type="dxa"/>
            <w:tcBorders>
              <w:top w:val="single" w:color="auto" w:sz="4" w:space="0"/>
              <w:left w:val="single" w:color="auto" w:sz="4" w:space="0"/>
              <w:bottom w:val="single" w:color="auto" w:sz="4" w:space="0"/>
              <w:right w:val="single" w:color="auto" w:sz="4" w:space="0"/>
            </w:tcBorders>
            <w:vAlign w:val="center"/>
          </w:tcPr>
          <w:p w14:paraId="761712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auto"/>
                <w:sz w:val="24"/>
                <w:highlight w:val="none"/>
              </w:rPr>
            </w:pPr>
            <w:r>
              <w:rPr>
                <w:rFonts w:hint="eastAsia" w:ascii="宋体" w:hAnsi="宋体" w:eastAsia="宋体" w:cs="宋体"/>
                <w:b/>
                <w:color w:val="auto"/>
                <w:sz w:val="24"/>
                <w:highlight w:val="none"/>
              </w:rPr>
              <w:t>人力成本</w:t>
            </w:r>
          </w:p>
        </w:tc>
        <w:tc>
          <w:tcPr>
            <w:tcW w:w="2268" w:type="dxa"/>
            <w:tcBorders>
              <w:top w:val="single" w:color="auto" w:sz="4" w:space="0"/>
              <w:left w:val="single" w:color="auto" w:sz="4" w:space="0"/>
              <w:bottom w:val="single" w:color="auto" w:sz="4" w:space="0"/>
              <w:right w:val="single" w:color="auto" w:sz="4" w:space="0"/>
            </w:tcBorders>
            <w:vAlign w:val="center"/>
          </w:tcPr>
          <w:p w14:paraId="72016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7EBBB3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r>
      <w:tr w14:paraId="15F3D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6DA7A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4E15EB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月度工资</w:t>
            </w:r>
          </w:p>
        </w:tc>
        <w:tc>
          <w:tcPr>
            <w:tcW w:w="2268" w:type="dxa"/>
            <w:tcBorders>
              <w:top w:val="single" w:color="auto" w:sz="4" w:space="0"/>
              <w:left w:val="single" w:color="auto" w:sz="4" w:space="0"/>
              <w:bottom w:val="single" w:color="auto" w:sz="4" w:space="0"/>
              <w:right w:val="single" w:color="auto" w:sz="4" w:space="0"/>
            </w:tcBorders>
            <w:vAlign w:val="center"/>
          </w:tcPr>
          <w:p w14:paraId="4E03A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57502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员工工资不得低于宁波市最低工资标准，否则作无效标处理。</w:t>
            </w:r>
          </w:p>
        </w:tc>
      </w:tr>
      <w:tr w14:paraId="119EE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7421DF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rPr>
            </w:pPr>
            <w:bookmarkStart w:id="534" w:name="_Hlk16671731"/>
            <w:r>
              <w:rPr>
                <w:rFonts w:hint="eastAsia" w:ascii="宋体" w:hAnsi="宋体" w:eastAsia="宋体" w:cs="宋体"/>
                <w:b/>
                <w:color w:val="auto"/>
                <w:sz w:val="24"/>
                <w:highlight w:val="none"/>
              </w:rPr>
              <w:t>1.2</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198FC2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社保及福利</w:t>
            </w:r>
          </w:p>
        </w:tc>
        <w:tc>
          <w:tcPr>
            <w:tcW w:w="2268" w:type="dxa"/>
            <w:tcBorders>
              <w:top w:val="single" w:color="auto" w:sz="4" w:space="0"/>
              <w:left w:val="single" w:color="auto" w:sz="4" w:space="0"/>
              <w:bottom w:val="single" w:color="auto" w:sz="4" w:space="0"/>
              <w:right w:val="single" w:color="auto" w:sz="4" w:space="0"/>
            </w:tcBorders>
            <w:vAlign w:val="center"/>
          </w:tcPr>
          <w:p w14:paraId="2BE68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13B2F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所有人员社会保险缴费比例与缴费基数应符合宁波市相关规定，否则作无效标处理。</w:t>
            </w:r>
          </w:p>
        </w:tc>
      </w:tr>
      <w:bookmarkEnd w:id="534"/>
      <w:tr w14:paraId="30065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3323C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0CFA8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人员保险费</w:t>
            </w:r>
          </w:p>
        </w:tc>
        <w:tc>
          <w:tcPr>
            <w:tcW w:w="2268" w:type="dxa"/>
            <w:tcBorders>
              <w:top w:val="single" w:color="auto" w:sz="4" w:space="0"/>
              <w:left w:val="single" w:color="auto" w:sz="4" w:space="0"/>
              <w:bottom w:val="single" w:color="auto" w:sz="4" w:space="0"/>
              <w:right w:val="single" w:color="auto" w:sz="4" w:space="0"/>
            </w:tcBorders>
            <w:vAlign w:val="center"/>
          </w:tcPr>
          <w:p w14:paraId="55BD4E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4E7B98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color w:val="auto"/>
                <w:sz w:val="24"/>
                <w:highlight w:val="none"/>
              </w:rPr>
            </w:pPr>
          </w:p>
        </w:tc>
      </w:tr>
      <w:tr w14:paraId="081B7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4A7E34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97388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节日加班</w:t>
            </w:r>
          </w:p>
        </w:tc>
        <w:tc>
          <w:tcPr>
            <w:tcW w:w="2268" w:type="dxa"/>
            <w:tcBorders>
              <w:top w:val="single" w:color="auto" w:sz="4" w:space="0"/>
              <w:left w:val="single" w:color="auto" w:sz="4" w:space="0"/>
              <w:bottom w:val="single" w:color="auto" w:sz="4" w:space="0"/>
              <w:right w:val="single" w:color="auto" w:sz="4" w:space="0"/>
            </w:tcBorders>
            <w:vAlign w:val="center"/>
          </w:tcPr>
          <w:p w14:paraId="72726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435E4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color w:val="auto"/>
                <w:sz w:val="24"/>
                <w:highlight w:val="none"/>
              </w:rPr>
            </w:pPr>
          </w:p>
        </w:tc>
      </w:tr>
      <w:tr w14:paraId="70588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49F9DF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193D24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高温费</w:t>
            </w:r>
          </w:p>
        </w:tc>
        <w:tc>
          <w:tcPr>
            <w:tcW w:w="2268" w:type="dxa"/>
            <w:tcBorders>
              <w:top w:val="single" w:color="auto" w:sz="4" w:space="0"/>
              <w:left w:val="single" w:color="auto" w:sz="4" w:space="0"/>
              <w:bottom w:val="single" w:color="auto" w:sz="4" w:space="0"/>
              <w:right w:val="single" w:color="auto" w:sz="4" w:space="0"/>
            </w:tcBorders>
            <w:vAlign w:val="center"/>
          </w:tcPr>
          <w:p w14:paraId="333D8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27387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color w:val="auto"/>
                <w:sz w:val="24"/>
                <w:highlight w:val="none"/>
              </w:rPr>
            </w:pPr>
          </w:p>
        </w:tc>
      </w:tr>
      <w:tr w14:paraId="09A82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595DE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w:t>
            </w:r>
          </w:p>
        </w:tc>
        <w:tc>
          <w:tcPr>
            <w:tcW w:w="2130" w:type="dxa"/>
            <w:tcBorders>
              <w:top w:val="single" w:color="auto" w:sz="4" w:space="0"/>
              <w:left w:val="single" w:color="auto" w:sz="4" w:space="0"/>
              <w:bottom w:val="single" w:color="auto" w:sz="4" w:space="0"/>
              <w:right w:val="single" w:color="auto" w:sz="4" w:space="0"/>
            </w:tcBorders>
            <w:vAlign w:val="center"/>
          </w:tcPr>
          <w:p w14:paraId="1992C6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268" w:type="dxa"/>
            <w:tcBorders>
              <w:top w:val="single" w:color="auto" w:sz="4" w:space="0"/>
              <w:left w:val="single" w:color="auto" w:sz="4" w:space="0"/>
              <w:bottom w:val="single" w:color="auto" w:sz="4" w:space="0"/>
              <w:right w:val="single" w:color="auto" w:sz="4" w:space="0"/>
            </w:tcBorders>
            <w:vAlign w:val="center"/>
          </w:tcPr>
          <w:p w14:paraId="35BF0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79AB9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r>
      <w:tr w14:paraId="7A2D3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4ABBE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0AC0CD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管理费用及其它</w:t>
            </w:r>
          </w:p>
        </w:tc>
        <w:tc>
          <w:tcPr>
            <w:tcW w:w="2268" w:type="dxa"/>
            <w:tcBorders>
              <w:top w:val="single" w:color="auto" w:sz="4" w:space="0"/>
              <w:left w:val="single" w:color="auto" w:sz="4" w:space="0"/>
              <w:bottom w:val="single" w:color="auto" w:sz="4" w:space="0"/>
              <w:right w:val="single" w:color="auto" w:sz="4" w:space="0"/>
            </w:tcBorders>
            <w:vAlign w:val="center"/>
          </w:tcPr>
          <w:p w14:paraId="39E242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64DDF6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r>
      <w:tr w14:paraId="0E0B7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38D00F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40F604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培训费</w:t>
            </w:r>
          </w:p>
        </w:tc>
        <w:tc>
          <w:tcPr>
            <w:tcW w:w="2268" w:type="dxa"/>
            <w:tcBorders>
              <w:top w:val="single" w:color="auto" w:sz="4" w:space="0"/>
              <w:left w:val="single" w:color="auto" w:sz="4" w:space="0"/>
              <w:bottom w:val="single" w:color="auto" w:sz="4" w:space="0"/>
              <w:right w:val="single" w:color="auto" w:sz="4" w:space="0"/>
            </w:tcBorders>
            <w:vAlign w:val="center"/>
          </w:tcPr>
          <w:p w14:paraId="04EDD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5FD33A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r>
      <w:tr w14:paraId="34AB2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02322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D4A54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管理费</w:t>
            </w:r>
          </w:p>
        </w:tc>
        <w:tc>
          <w:tcPr>
            <w:tcW w:w="2268" w:type="dxa"/>
            <w:tcBorders>
              <w:top w:val="single" w:color="auto" w:sz="4" w:space="0"/>
              <w:left w:val="single" w:color="auto" w:sz="4" w:space="0"/>
              <w:bottom w:val="single" w:color="auto" w:sz="4" w:space="0"/>
              <w:right w:val="single" w:color="auto" w:sz="4" w:space="0"/>
            </w:tcBorders>
            <w:vAlign w:val="center"/>
          </w:tcPr>
          <w:p w14:paraId="6C7EF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3FE2C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r>
      <w:tr w14:paraId="21CE8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74B3FD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47478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服装费</w:t>
            </w:r>
          </w:p>
        </w:tc>
        <w:tc>
          <w:tcPr>
            <w:tcW w:w="2268" w:type="dxa"/>
            <w:tcBorders>
              <w:top w:val="single" w:color="auto" w:sz="4" w:space="0"/>
              <w:left w:val="single" w:color="auto" w:sz="4" w:space="0"/>
              <w:bottom w:val="single" w:color="auto" w:sz="4" w:space="0"/>
              <w:right w:val="single" w:color="auto" w:sz="4" w:space="0"/>
            </w:tcBorders>
            <w:vAlign w:val="center"/>
          </w:tcPr>
          <w:p w14:paraId="00E4C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1E72C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r>
      <w:tr w14:paraId="2523D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359CEB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2.4</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CB37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体检费</w:t>
            </w:r>
          </w:p>
        </w:tc>
        <w:tc>
          <w:tcPr>
            <w:tcW w:w="2268" w:type="dxa"/>
            <w:tcBorders>
              <w:top w:val="single" w:color="auto" w:sz="4" w:space="0"/>
              <w:left w:val="single" w:color="auto" w:sz="4" w:space="0"/>
              <w:bottom w:val="single" w:color="auto" w:sz="4" w:space="0"/>
              <w:right w:val="single" w:color="auto" w:sz="4" w:space="0"/>
            </w:tcBorders>
            <w:vAlign w:val="center"/>
          </w:tcPr>
          <w:p w14:paraId="45FF8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2FF57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r>
      <w:tr w14:paraId="09708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14:paraId="457338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DCB9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p>
        </w:tc>
        <w:tc>
          <w:tcPr>
            <w:tcW w:w="2268" w:type="dxa"/>
            <w:tcBorders>
              <w:top w:val="single" w:color="auto" w:sz="4" w:space="0"/>
              <w:left w:val="single" w:color="auto" w:sz="4" w:space="0"/>
              <w:bottom w:val="single" w:color="auto" w:sz="4" w:space="0"/>
              <w:right w:val="single" w:color="auto" w:sz="4" w:space="0"/>
            </w:tcBorders>
            <w:vAlign w:val="center"/>
          </w:tcPr>
          <w:p w14:paraId="561B32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0C17C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r>
      <w:tr w14:paraId="67BE4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14:paraId="3950A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3</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567B32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奖金</w:t>
            </w:r>
          </w:p>
        </w:tc>
        <w:tc>
          <w:tcPr>
            <w:tcW w:w="2268" w:type="dxa"/>
            <w:tcBorders>
              <w:top w:val="single" w:color="auto" w:sz="4" w:space="0"/>
              <w:left w:val="single" w:color="auto" w:sz="4" w:space="0"/>
              <w:bottom w:val="single" w:color="auto" w:sz="4" w:space="0"/>
              <w:right w:val="single" w:color="auto" w:sz="4" w:space="0"/>
            </w:tcBorders>
            <w:vAlign w:val="center"/>
          </w:tcPr>
          <w:p w14:paraId="763E1D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4B294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r>
      <w:tr w14:paraId="35C31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14:paraId="06C7C6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4</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2B343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税金</w:t>
            </w:r>
          </w:p>
        </w:tc>
        <w:tc>
          <w:tcPr>
            <w:tcW w:w="2268" w:type="dxa"/>
            <w:tcBorders>
              <w:top w:val="single" w:color="auto" w:sz="4" w:space="0"/>
              <w:left w:val="single" w:color="auto" w:sz="4" w:space="0"/>
              <w:bottom w:val="single" w:color="auto" w:sz="4" w:space="0"/>
              <w:right w:val="single" w:color="auto" w:sz="4" w:space="0"/>
            </w:tcBorders>
            <w:vAlign w:val="center"/>
          </w:tcPr>
          <w:p w14:paraId="06C67B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37197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r>
      <w:tr w14:paraId="1E51F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14:paraId="5434FA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5</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35B8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利润</w:t>
            </w:r>
          </w:p>
        </w:tc>
        <w:tc>
          <w:tcPr>
            <w:tcW w:w="2268" w:type="dxa"/>
            <w:tcBorders>
              <w:top w:val="single" w:color="auto" w:sz="4" w:space="0"/>
              <w:left w:val="single" w:color="auto" w:sz="4" w:space="0"/>
              <w:bottom w:val="single" w:color="auto" w:sz="4" w:space="0"/>
              <w:right w:val="single" w:color="auto" w:sz="4" w:space="0"/>
            </w:tcBorders>
            <w:vAlign w:val="center"/>
          </w:tcPr>
          <w:p w14:paraId="653950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vAlign w:val="center"/>
          </w:tcPr>
          <w:p w14:paraId="415D8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r>
      <w:tr w14:paraId="21F9F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9" w:type="dxa"/>
            <w:tcBorders>
              <w:top w:val="single" w:color="auto" w:sz="4" w:space="0"/>
              <w:left w:val="single" w:color="auto" w:sz="4" w:space="0"/>
              <w:bottom w:val="single" w:color="auto" w:sz="4" w:space="0"/>
              <w:right w:val="single" w:color="auto" w:sz="4" w:space="0"/>
            </w:tcBorders>
            <w:vAlign w:val="center"/>
          </w:tcPr>
          <w:p w14:paraId="3553F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2130" w:type="dxa"/>
            <w:tcBorders>
              <w:top w:val="single" w:color="auto" w:sz="4" w:space="0"/>
              <w:left w:val="single" w:color="auto" w:sz="4" w:space="0"/>
              <w:bottom w:val="single" w:color="auto" w:sz="4" w:space="0"/>
              <w:right w:val="single" w:color="auto" w:sz="4" w:space="0"/>
            </w:tcBorders>
            <w:vAlign w:val="center"/>
          </w:tcPr>
          <w:p w14:paraId="085CD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auto"/>
                <w:sz w:val="24"/>
                <w:highlight w:val="none"/>
              </w:rPr>
            </w:pPr>
            <w:r>
              <w:rPr>
                <w:rFonts w:hint="eastAsia" w:ascii="宋体" w:hAnsi="宋体" w:eastAsia="宋体" w:cs="宋体"/>
                <w:b/>
                <w:color w:val="auto"/>
                <w:sz w:val="24"/>
                <w:highlight w:val="none"/>
              </w:rPr>
              <w:t>综合单价（合计）</w:t>
            </w:r>
          </w:p>
        </w:tc>
        <w:tc>
          <w:tcPr>
            <w:tcW w:w="2268" w:type="dxa"/>
            <w:tcBorders>
              <w:top w:val="single" w:color="auto" w:sz="4" w:space="0"/>
              <w:left w:val="single" w:color="auto" w:sz="4" w:space="0"/>
              <w:bottom w:val="single" w:color="auto" w:sz="4" w:space="0"/>
              <w:right w:val="single" w:color="auto" w:sz="4" w:space="0"/>
            </w:tcBorders>
            <w:vAlign w:val="center"/>
          </w:tcPr>
          <w:p w14:paraId="7C391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r>
              <w:rPr>
                <w:rFonts w:hint="eastAsia" w:ascii="宋体" w:hAnsi="宋体" w:eastAsia="宋体" w:cs="宋体"/>
                <w:color w:val="auto"/>
                <w:sz w:val="24"/>
                <w:highlight w:val="none"/>
              </w:rPr>
              <w:t>＝1+2+3+4+5+…</w:t>
            </w:r>
          </w:p>
        </w:tc>
        <w:tc>
          <w:tcPr>
            <w:tcW w:w="3423" w:type="dxa"/>
            <w:tcBorders>
              <w:top w:val="single" w:color="auto" w:sz="4" w:space="0"/>
              <w:left w:val="single" w:color="auto" w:sz="4" w:space="0"/>
              <w:bottom w:val="single" w:color="auto" w:sz="4" w:space="0"/>
              <w:right w:val="single" w:color="auto" w:sz="4" w:space="0"/>
            </w:tcBorders>
            <w:vAlign w:val="center"/>
          </w:tcPr>
          <w:p w14:paraId="6E5E3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highlight w:val="none"/>
              </w:rPr>
            </w:pPr>
          </w:p>
        </w:tc>
      </w:tr>
    </w:tbl>
    <w:p w14:paraId="3E124910">
      <w:pPr>
        <w:adjustRightInd/>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注：1、须附相关的计算过程及计算依据（包括取费依据、相关文件和规定等）。</w:t>
      </w:r>
    </w:p>
    <w:p w14:paraId="238B20A1">
      <w:pPr>
        <w:adjustRightInd/>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2、本表应列出完成招标范围内该部分工作内容的全部组成费用，凡有遗漏或未考虑周全的均视为已包含在综合单价内。</w:t>
      </w:r>
    </w:p>
    <w:p w14:paraId="61C4645B">
      <w:pPr>
        <w:adjustRightInd/>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供应商名称（电子签名）</w:t>
      </w:r>
      <w:r>
        <w:rPr>
          <w:rFonts w:hint="eastAsia" w:ascii="宋体" w:hAnsi="宋体" w:eastAsia="宋体" w:cs="宋体"/>
          <w:color w:val="auto"/>
          <w:sz w:val="24"/>
          <w:highlight w:val="none"/>
        </w:rPr>
        <w:t>：</w:t>
      </w:r>
    </w:p>
    <w:p w14:paraId="2A310523">
      <w:pPr>
        <w:adjustRightInd/>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bookmarkEnd w:id="520"/>
    <w:bookmarkEnd w:id="521"/>
    <w:p w14:paraId="69A78E58">
      <w:pPr>
        <w:spacing w:line="360" w:lineRule="auto"/>
        <w:jc w:val="left"/>
        <w:rPr>
          <w:rFonts w:hint="eastAsia" w:ascii="宋体" w:hAnsi="宋体" w:eastAsia="宋体" w:cs="宋体"/>
          <w:b/>
          <w:color w:val="auto"/>
          <w:spacing w:val="6"/>
          <w:sz w:val="32"/>
          <w:szCs w:val="32"/>
          <w:highlight w:val="none"/>
        </w:rPr>
      </w:pPr>
    </w:p>
    <w:p w14:paraId="3DE20478">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5D72DB09">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78862CE4">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7DD1E2B">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A4E0409">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E3B9A3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7D2F9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868A1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ABAF4C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4E378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E27D9BC">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F588C3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D284CE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8A208A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46B7D8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1DEF3BDF">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F5FB15">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F0D2C2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CB452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577A35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D09FA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E24B53">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3112B8E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0BE95E18">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8D87BB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BFE83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16D45D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0DD21ED5">
      <w:pPr>
        <w:kinsoku/>
        <w:wordWrap/>
        <w:overflowPunct/>
        <w:topLinePunct w:val="0"/>
        <w:bidi w:val="0"/>
        <w:spacing w:line="360" w:lineRule="auto"/>
        <w:jc w:val="center"/>
        <w:outlineLvl w:val="9"/>
        <w:rPr>
          <w:rFonts w:ascii="宋体" w:hAnsi="宋体" w:cs="宋体"/>
          <w:b/>
          <w:bCs/>
          <w:color w:val="auto"/>
          <w:sz w:val="24"/>
          <w:highlight w:val="none"/>
        </w:rPr>
      </w:pPr>
    </w:p>
    <w:p w14:paraId="4A2CC24D">
      <w:pPr>
        <w:kinsoku/>
        <w:wordWrap/>
        <w:overflowPunct/>
        <w:topLinePunct w:val="0"/>
        <w:bidi w:val="0"/>
        <w:spacing w:line="360" w:lineRule="auto"/>
        <w:outlineLvl w:val="9"/>
        <w:rPr>
          <w:rFonts w:ascii="宋体" w:hAnsi="宋体" w:cs="宋体"/>
          <w:b/>
          <w:color w:val="auto"/>
          <w:sz w:val="24"/>
          <w:highlight w:val="none"/>
        </w:rPr>
      </w:pPr>
    </w:p>
    <w:p w14:paraId="7E07AB50">
      <w:pPr>
        <w:kinsoku/>
        <w:wordWrap/>
        <w:overflowPunct/>
        <w:topLinePunct w:val="0"/>
        <w:bidi w:val="0"/>
        <w:spacing w:line="360" w:lineRule="auto"/>
        <w:outlineLvl w:val="9"/>
        <w:rPr>
          <w:rFonts w:ascii="宋体" w:hAnsi="宋体" w:cs="宋体"/>
          <w:b/>
          <w:color w:val="auto"/>
          <w:sz w:val="24"/>
          <w:highlight w:val="none"/>
        </w:rPr>
      </w:pPr>
    </w:p>
    <w:p w14:paraId="6946DAD9">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74C50BDC">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3DD72A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1FFADC5">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2CD7DA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D6B963">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138BE1D">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A3E354">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2AE3ADC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7B58DE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9BE19E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06A5FF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4D545F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BB2BDB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9D3B41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D89B5C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651EAAE">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99E22E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E21921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8476E8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73F1D2F">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43F2FE4D">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1BCF9744">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3710AF50">
      <w:pPr>
        <w:kinsoku/>
        <w:wordWrap/>
        <w:overflowPunct/>
        <w:topLinePunct w:val="0"/>
        <w:bidi w:val="0"/>
        <w:spacing w:line="360" w:lineRule="auto"/>
        <w:jc w:val="center"/>
        <w:outlineLvl w:val="9"/>
        <w:rPr>
          <w:rFonts w:ascii="宋体" w:hAnsi="宋体" w:cs="宋体"/>
          <w:b/>
          <w:color w:val="auto"/>
          <w:sz w:val="24"/>
          <w:highlight w:val="none"/>
        </w:rPr>
      </w:pPr>
    </w:p>
    <w:p w14:paraId="49628C1B">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27D338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479EBA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7AF9B75">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9484A0">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FC01EF">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06FF3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6C8397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DC921F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BFF6B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94811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B34E2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6C22FFBE">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31A882F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BC45C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5D56A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BC608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5C273EE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F86B8E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B94DC8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2DDA0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938438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FBF5B3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33D265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68EA381D">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5B88EC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A677E44">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51C201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2D7388B0">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26247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71ADB3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5E8EE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CCDE3CB">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F2319C">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58718F2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ED37D9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020A6B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3E617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883C73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249FDE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46A209DB">
      <w:pPr>
        <w:kinsoku/>
        <w:wordWrap/>
        <w:overflowPunct/>
        <w:topLinePunct w:val="0"/>
        <w:bidi w:val="0"/>
        <w:spacing w:line="360" w:lineRule="auto"/>
        <w:outlineLvl w:val="9"/>
        <w:rPr>
          <w:rFonts w:ascii="宋体" w:hAnsi="宋体" w:cs="宋体"/>
          <w:b/>
          <w:color w:val="auto"/>
          <w:sz w:val="24"/>
          <w:highlight w:val="none"/>
        </w:rPr>
      </w:pPr>
    </w:p>
    <w:p w14:paraId="731BF4DC">
      <w:pPr>
        <w:kinsoku/>
        <w:wordWrap/>
        <w:overflowPunct/>
        <w:topLinePunct w:val="0"/>
        <w:bidi w:val="0"/>
        <w:spacing w:line="360" w:lineRule="auto"/>
        <w:outlineLvl w:val="9"/>
        <w:rPr>
          <w:rFonts w:ascii="宋体" w:hAnsi="宋体" w:cs="宋体"/>
          <w:b/>
          <w:color w:val="auto"/>
          <w:sz w:val="24"/>
          <w:highlight w:val="none"/>
        </w:rPr>
      </w:pPr>
    </w:p>
    <w:p w14:paraId="63223A9D">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73A257E6">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2F94191">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7E36F3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475419E">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5EEF7ED">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C27D73E">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84985AB">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6BB2C33">
      <w:pPr>
        <w:kinsoku/>
        <w:wordWrap/>
        <w:overflowPunct/>
        <w:topLinePunct w:val="0"/>
        <w:bidi w:val="0"/>
        <w:spacing w:line="360" w:lineRule="auto"/>
        <w:outlineLvl w:val="9"/>
        <w:rPr>
          <w:rFonts w:ascii="宋体" w:hAnsi="宋体" w:cs="宋体"/>
          <w:b/>
          <w:color w:val="auto"/>
          <w:sz w:val="24"/>
          <w:highlight w:val="none"/>
        </w:rPr>
      </w:pPr>
    </w:p>
    <w:p w14:paraId="51EF802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2508C2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64A8C69">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29F6784">
      <w:pPr>
        <w:kinsoku/>
        <w:wordWrap/>
        <w:overflowPunct/>
        <w:topLinePunct w:val="0"/>
        <w:bidi w:val="0"/>
        <w:spacing w:line="360" w:lineRule="auto"/>
        <w:outlineLvl w:val="9"/>
        <w:rPr>
          <w:rFonts w:ascii="宋体" w:hAnsi="宋体" w:cs="宋体"/>
          <w:color w:val="auto"/>
          <w:sz w:val="24"/>
          <w:highlight w:val="none"/>
          <w:u w:val="single"/>
        </w:rPr>
      </w:pPr>
    </w:p>
    <w:p w14:paraId="525F706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773385A">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B386A72">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62A148C6">
      <w:pPr>
        <w:kinsoku/>
        <w:wordWrap/>
        <w:overflowPunct/>
        <w:topLinePunct w:val="0"/>
        <w:bidi w:val="0"/>
        <w:spacing w:line="360" w:lineRule="auto"/>
        <w:ind w:firstLine="494"/>
        <w:outlineLvl w:val="9"/>
        <w:rPr>
          <w:rFonts w:ascii="宋体" w:hAnsi="宋体" w:cs="宋体"/>
          <w:color w:val="auto"/>
          <w:sz w:val="24"/>
          <w:highlight w:val="none"/>
        </w:rPr>
      </w:pPr>
    </w:p>
    <w:p w14:paraId="68A5B2F5">
      <w:pPr>
        <w:kinsoku/>
        <w:wordWrap/>
        <w:overflowPunct/>
        <w:topLinePunct w:val="0"/>
        <w:bidi w:val="0"/>
        <w:spacing w:line="360" w:lineRule="auto"/>
        <w:ind w:firstLine="494"/>
        <w:outlineLvl w:val="9"/>
        <w:rPr>
          <w:rFonts w:ascii="宋体" w:hAnsi="宋体" w:cs="宋体"/>
          <w:color w:val="auto"/>
          <w:sz w:val="24"/>
          <w:highlight w:val="none"/>
        </w:rPr>
      </w:pPr>
    </w:p>
    <w:p w14:paraId="1E54507C">
      <w:pPr>
        <w:kinsoku/>
        <w:wordWrap/>
        <w:overflowPunct/>
        <w:topLinePunct w:val="0"/>
        <w:bidi w:val="0"/>
        <w:spacing w:line="360" w:lineRule="auto"/>
        <w:ind w:firstLine="494"/>
        <w:outlineLvl w:val="9"/>
        <w:rPr>
          <w:rFonts w:ascii="宋体" w:hAnsi="宋体" w:cs="宋体"/>
          <w:color w:val="auto"/>
          <w:sz w:val="24"/>
          <w:highlight w:val="none"/>
        </w:rPr>
      </w:pPr>
    </w:p>
    <w:p w14:paraId="755CB850">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5C747991">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AAF60B">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7297E6FF">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2DF8ACB">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2DF8ACB">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5300B3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5300B34">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274151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BFE887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92C0AC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1088E7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CB8E5D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7CD05D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7A4DA4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458191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20843A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60A7A7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C66F21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31E6BA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1550D3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75AE20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C2997F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29E9A1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CE89C2C">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41EE5E6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4040D832">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3FCDFED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6E64E2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15F668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4CD6FF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1389A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3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13F516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B94D17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35"/>
    <w:p w14:paraId="126B6E9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9389B8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609444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E1669C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BED335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68ECAB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7A40FF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B06A4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17BB4BF">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9782CC">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2CD9A7F">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C8B1550">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62C713">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2C86DC1">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383C9E7B">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2FD36267">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3CA2306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DA74CD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CB6EDA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D3DF953">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399208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2DBF52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BEB1BC0">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3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36"/>
    </w:p>
    <w:p w14:paraId="78FD355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4D3732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53FFE5A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D9EF3E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16175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590E052">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3CC324">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667261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62C58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F11C74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DE21268">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1AFB56E2">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F351410">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178BD64A">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E40BC9">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722DB95">
      <w:pPr>
        <w:widowControl/>
        <w:kinsoku/>
        <w:wordWrap/>
        <w:overflowPunct/>
        <w:topLinePunct w:val="0"/>
        <w:bidi w:val="0"/>
        <w:adjustRightInd/>
        <w:jc w:val="left"/>
        <w:outlineLvl w:val="9"/>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BCB0B">
    <w:pPr>
      <w:pStyle w:val="39"/>
      <w:framePr w:wrap="around" w:vAnchor="text" w:hAnchor="margin" w:xAlign="right" w:y="1"/>
      <w:rPr>
        <w:rStyle w:val="72"/>
      </w:rPr>
    </w:pPr>
    <w:r>
      <w:fldChar w:fldCharType="begin"/>
    </w:r>
    <w:r>
      <w:rPr>
        <w:rStyle w:val="72"/>
      </w:rPr>
      <w:instrText xml:space="preserve">PAGE  </w:instrText>
    </w:r>
    <w:r>
      <w:fldChar w:fldCharType="end"/>
    </w:r>
  </w:p>
  <w:p w14:paraId="2DAD5D0F">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70CB7">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66F5E">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D766F5E">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C513">
    <w:pPr>
      <w:pStyle w:val="39"/>
      <w:framePr w:wrap="around" w:vAnchor="text" w:hAnchor="margin" w:xAlign="right" w:y="1"/>
      <w:rPr>
        <w:rStyle w:val="72"/>
      </w:rPr>
    </w:pPr>
    <w:r>
      <w:fldChar w:fldCharType="begin"/>
    </w:r>
    <w:r>
      <w:rPr>
        <w:rStyle w:val="72"/>
      </w:rPr>
      <w:instrText xml:space="preserve">PAGE  </w:instrText>
    </w:r>
    <w:r>
      <w:fldChar w:fldCharType="end"/>
    </w:r>
  </w:p>
  <w:p w14:paraId="0AB37E7B">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B7B5D">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0123B">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20123B">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CE6D">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43FF9">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C43FF9">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ED01">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DE8A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4DE8A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E0203">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383B8">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7383B8">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C43F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8C061">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B8C061">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63109">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6743C">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A6743C">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0FAA">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86077">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986077">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58075">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7E7DA">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B7E7DA">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ED60">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A4ABA">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EDA4ABA">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3FF68">
    <w:pPr>
      <w:pStyle w:val="40"/>
      <w:pBdr>
        <w:bottom w:val="single" w:color="auto" w:sz="6" w:space="4"/>
      </w:pBdr>
      <w:jc w:val="right"/>
    </w:pPr>
    <w:r>
      <w:t></w:t>
    </w:r>
    <w:r>
      <w:rPr>
        <w:rFonts w:hint="eastAsia"/>
      </w:rPr>
      <w:t xml:space="preserve">             </w:t>
    </w:r>
  </w:p>
  <w:p w14:paraId="2472B23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E1AA7">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271C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48B2">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D70A">
    <w:pPr>
      <w:pStyle w:val="40"/>
    </w:pPr>
    <w:r>
      <w:t></w:t>
    </w:r>
    <w:r>
      <w:rPr>
        <w:rFonts w:hint="eastAsia"/>
      </w:rPr>
      <w:t xml:space="preserve">         </w:t>
    </w:r>
  </w:p>
  <w:p w14:paraId="203526B4">
    <w:pPr>
      <w:pStyle w:val="40"/>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B649">
    <w:pPr>
      <w:pStyle w:val="40"/>
      <w:rPr>
        <w:rFonts w:ascii="仿宋_GB2312" w:eastAsia="仿宋_GB2312"/>
        <w:b/>
        <w:i/>
        <w:u w:val="single"/>
      </w:rPr>
    </w:pPr>
    <w:r>
      <w:t></w:t>
    </w:r>
    <w:r>
      <w:rPr>
        <w:rFonts w:hint="eastAsia"/>
      </w:rPr>
      <w:t xml:space="preserve">                                               </w:t>
    </w:r>
  </w:p>
  <w:p w14:paraId="2C56AC8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6C69">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FF2E1">
    <w:pPr>
      <w:pStyle w:val="40"/>
      <w:jc w:val="right"/>
      <w:rPr>
        <w:rFonts w:ascii="仿宋_GB2312" w:eastAsia="仿宋_GB2312"/>
        <w:b/>
        <w:i/>
        <w:u w:val="single"/>
      </w:rPr>
    </w:pPr>
    <w:r>
      <w:rPr>
        <w:rFonts w:hint="eastAsia"/>
      </w:rPr>
      <w:t xml:space="preserve">                                </w:t>
    </w:r>
  </w:p>
  <w:p w14:paraId="51465E2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A95FE">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362A8">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45130"/>
    <w:multiLevelType w:val="singleLevel"/>
    <w:tmpl w:val="63B451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8DE"/>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A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2474"/>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8BB"/>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26E"/>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1D10"/>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E04F0"/>
    <w:rsid w:val="0150424E"/>
    <w:rsid w:val="016619A9"/>
    <w:rsid w:val="01703979"/>
    <w:rsid w:val="01924994"/>
    <w:rsid w:val="019F7441"/>
    <w:rsid w:val="01A22C15"/>
    <w:rsid w:val="01B37585"/>
    <w:rsid w:val="01B51D18"/>
    <w:rsid w:val="01B67601"/>
    <w:rsid w:val="01D14205"/>
    <w:rsid w:val="01D55165"/>
    <w:rsid w:val="01DA16D0"/>
    <w:rsid w:val="01DF6BF8"/>
    <w:rsid w:val="01DF79C5"/>
    <w:rsid w:val="01EC2C57"/>
    <w:rsid w:val="01EF122A"/>
    <w:rsid w:val="02083043"/>
    <w:rsid w:val="020E3E06"/>
    <w:rsid w:val="0218414F"/>
    <w:rsid w:val="02426589"/>
    <w:rsid w:val="02537DEE"/>
    <w:rsid w:val="025F0711"/>
    <w:rsid w:val="026B2E25"/>
    <w:rsid w:val="02824D4D"/>
    <w:rsid w:val="0284056C"/>
    <w:rsid w:val="029712F4"/>
    <w:rsid w:val="029D18A6"/>
    <w:rsid w:val="02B315C3"/>
    <w:rsid w:val="02C1531D"/>
    <w:rsid w:val="02DC4B10"/>
    <w:rsid w:val="02DD76CE"/>
    <w:rsid w:val="02DF39F5"/>
    <w:rsid w:val="02F36323"/>
    <w:rsid w:val="02F5619C"/>
    <w:rsid w:val="02FA11C7"/>
    <w:rsid w:val="0326446A"/>
    <w:rsid w:val="032D5555"/>
    <w:rsid w:val="0332621A"/>
    <w:rsid w:val="036634D2"/>
    <w:rsid w:val="03905ADC"/>
    <w:rsid w:val="03922527"/>
    <w:rsid w:val="03C52E7C"/>
    <w:rsid w:val="03DA48E8"/>
    <w:rsid w:val="03DD35E4"/>
    <w:rsid w:val="04051239"/>
    <w:rsid w:val="04073203"/>
    <w:rsid w:val="04076900"/>
    <w:rsid w:val="040D00EE"/>
    <w:rsid w:val="040F156E"/>
    <w:rsid w:val="041A5A3B"/>
    <w:rsid w:val="042042C5"/>
    <w:rsid w:val="042311BA"/>
    <w:rsid w:val="042B157A"/>
    <w:rsid w:val="043E721B"/>
    <w:rsid w:val="045419BD"/>
    <w:rsid w:val="0458719A"/>
    <w:rsid w:val="045C69D9"/>
    <w:rsid w:val="04722D72"/>
    <w:rsid w:val="047C66AE"/>
    <w:rsid w:val="048F763B"/>
    <w:rsid w:val="04905D97"/>
    <w:rsid w:val="049F330E"/>
    <w:rsid w:val="04AA775C"/>
    <w:rsid w:val="04AF1889"/>
    <w:rsid w:val="04C15CE9"/>
    <w:rsid w:val="04C52A1F"/>
    <w:rsid w:val="04E3348B"/>
    <w:rsid w:val="04F66F48"/>
    <w:rsid w:val="05133589"/>
    <w:rsid w:val="05157BA2"/>
    <w:rsid w:val="0518354E"/>
    <w:rsid w:val="05216546"/>
    <w:rsid w:val="05251E14"/>
    <w:rsid w:val="054A7465"/>
    <w:rsid w:val="059B00A7"/>
    <w:rsid w:val="05A16594"/>
    <w:rsid w:val="05A7762D"/>
    <w:rsid w:val="05C869C2"/>
    <w:rsid w:val="05FB57F0"/>
    <w:rsid w:val="06072BE2"/>
    <w:rsid w:val="060A6FDB"/>
    <w:rsid w:val="060E5941"/>
    <w:rsid w:val="06110FAF"/>
    <w:rsid w:val="06206C00"/>
    <w:rsid w:val="06493CA7"/>
    <w:rsid w:val="065A6178"/>
    <w:rsid w:val="06605C46"/>
    <w:rsid w:val="066F1CF3"/>
    <w:rsid w:val="06732FC9"/>
    <w:rsid w:val="067A7832"/>
    <w:rsid w:val="06851580"/>
    <w:rsid w:val="068A641F"/>
    <w:rsid w:val="06930BB8"/>
    <w:rsid w:val="06A26752"/>
    <w:rsid w:val="06A91D04"/>
    <w:rsid w:val="06D51014"/>
    <w:rsid w:val="06F871D7"/>
    <w:rsid w:val="0705522E"/>
    <w:rsid w:val="070E5AAE"/>
    <w:rsid w:val="07245D42"/>
    <w:rsid w:val="07261BF2"/>
    <w:rsid w:val="07264C62"/>
    <w:rsid w:val="072A7934"/>
    <w:rsid w:val="073F41E8"/>
    <w:rsid w:val="07703D20"/>
    <w:rsid w:val="0779354C"/>
    <w:rsid w:val="078D3A1F"/>
    <w:rsid w:val="07990616"/>
    <w:rsid w:val="07C35742"/>
    <w:rsid w:val="07EC19EA"/>
    <w:rsid w:val="07FF744E"/>
    <w:rsid w:val="08061376"/>
    <w:rsid w:val="08065580"/>
    <w:rsid w:val="08123F24"/>
    <w:rsid w:val="08422A5C"/>
    <w:rsid w:val="0845254C"/>
    <w:rsid w:val="08452D77"/>
    <w:rsid w:val="086401F8"/>
    <w:rsid w:val="08751CAA"/>
    <w:rsid w:val="087E4C40"/>
    <w:rsid w:val="08A871D0"/>
    <w:rsid w:val="08AD7EA6"/>
    <w:rsid w:val="08D631A4"/>
    <w:rsid w:val="08D66AD6"/>
    <w:rsid w:val="08DA33A3"/>
    <w:rsid w:val="08E05092"/>
    <w:rsid w:val="08E80F13"/>
    <w:rsid w:val="08ED490B"/>
    <w:rsid w:val="090C3286"/>
    <w:rsid w:val="092A4459"/>
    <w:rsid w:val="092A537F"/>
    <w:rsid w:val="09306375"/>
    <w:rsid w:val="09335624"/>
    <w:rsid w:val="093403CB"/>
    <w:rsid w:val="093D3223"/>
    <w:rsid w:val="0944690F"/>
    <w:rsid w:val="09535675"/>
    <w:rsid w:val="095C2F24"/>
    <w:rsid w:val="095F057D"/>
    <w:rsid w:val="09606C8A"/>
    <w:rsid w:val="09642282"/>
    <w:rsid w:val="09733572"/>
    <w:rsid w:val="09772C16"/>
    <w:rsid w:val="09815806"/>
    <w:rsid w:val="098353B5"/>
    <w:rsid w:val="098F7F12"/>
    <w:rsid w:val="09A5238B"/>
    <w:rsid w:val="09A92330"/>
    <w:rsid w:val="09B06B87"/>
    <w:rsid w:val="09C13146"/>
    <w:rsid w:val="09D46C43"/>
    <w:rsid w:val="09D709B0"/>
    <w:rsid w:val="09E04166"/>
    <w:rsid w:val="09E57ED5"/>
    <w:rsid w:val="09EF44EC"/>
    <w:rsid w:val="0A045B92"/>
    <w:rsid w:val="0A1C0718"/>
    <w:rsid w:val="0A3E7710"/>
    <w:rsid w:val="0A5B7E63"/>
    <w:rsid w:val="0A7E5DA1"/>
    <w:rsid w:val="0AA374A5"/>
    <w:rsid w:val="0AAB7649"/>
    <w:rsid w:val="0ABC5606"/>
    <w:rsid w:val="0ACE6829"/>
    <w:rsid w:val="0AFC15E8"/>
    <w:rsid w:val="0B0D6C7C"/>
    <w:rsid w:val="0B30404E"/>
    <w:rsid w:val="0B3351D8"/>
    <w:rsid w:val="0B4C6C14"/>
    <w:rsid w:val="0B547599"/>
    <w:rsid w:val="0B631A88"/>
    <w:rsid w:val="0B683D45"/>
    <w:rsid w:val="0B7F3F11"/>
    <w:rsid w:val="0B884417"/>
    <w:rsid w:val="0BAC00AA"/>
    <w:rsid w:val="0BB2024E"/>
    <w:rsid w:val="0BB70527"/>
    <w:rsid w:val="0BDB7148"/>
    <w:rsid w:val="0BF6188C"/>
    <w:rsid w:val="0BF73C91"/>
    <w:rsid w:val="0C05315A"/>
    <w:rsid w:val="0C170175"/>
    <w:rsid w:val="0C23311B"/>
    <w:rsid w:val="0C353D15"/>
    <w:rsid w:val="0C3D1A78"/>
    <w:rsid w:val="0C571A41"/>
    <w:rsid w:val="0C5C1171"/>
    <w:rsid w:val="0C5E1CBC"/>
    <w:rsid w:val="0C5E4C35"/>
    <w:rsid w:val="0C615B50"/>
    <w:rsid w:val="0C711B61"/>
    <w:rsid w:val="0C7927C4"/>
    <w:rsid w:val="0C8445DA"/>
    <w:rsid w:val="0C87121B"/>
    <w:rsid w:val="0CC007F7"/>
    <w:rsid w:val="0CC617AC"/>
    <w:rsid w:val="0CCC5321"/>
    <w:rsid w:val="0CDA32A3"/>
    <w:rsid w:val="0CE618DF"/>
    <w:rsid w:val="0CEB35EB"/>
    <w:rsid w:val="0CFE707A"/>
    <w:rsid w:val="0D063BDA"/>
    <w:rsid w:val="0D08375F"/>
    <w:rsid w:val="0D184CFB"/>
    <w:rsid w:val="0D220EDC"/>
    <w:rsid w:val="0D222E5C"/>
    <w:rsid w:val="0D361CE2"/>
    <w:rsid w:val="0D4A7419"/>
    <w:rsid w:val="0D596E60"/>
    <w:rsid w:val="0D5F5E5E"/>
    <w:rsid w:val="0D827401"/>
    <w:rsid w:val="0D84094E"/>
    <w:rsid w:val="0D8A00E9"/>
    <w:rsid w:val="0D8D589E"/>
    <w:rsid w:val="0D8E5FAA"/>
    <w:rsid w:val="0DA01C73"/>
    <w:rsid w:val="0DA21BF2"/>
    <w:rsid w:val="0DC76E2C"/>
    <w:rsid w:val="0DCA2888"/>
    <w:rsid w:val="0DD63300"/>
    <w:rsid w:val="0DF50604"/>
    <w:rsid w:val="0DF50A94"/>
    <w:rsid w:val="0DF702FE"/>
    <w:rsid w:val="0E013AA6"/>
    <w:rsid w:val="0E060E51"/>
    <w:rsid w:val="0E1434A7"/>
    <w:rsid w:val="0E2350DD"/>
    <w:rsid w:val="0E5604B2"/>
    <w:rsid w:val="0E6D5D79"/>
    <w:rsid w:val="0E772D33"/>
    <w:rsid w:val="0E7912E8"/>
    <w:rsid w:val="0E9A03FC"/>
    <w:rsid w:val="0E9D0089"/>
    <w:rsid w:val="0EA06CB7"/>
    <w:rsid w:val="0EA13290"/>
    <w:rsid w:val="0EA75D9A"/>
    <w:rsid w:val="0EAA7385"/>
    <w:rsid w:val="0EB803EE"/>
    <w:rsid w:val="0ECD3EA6"/>
    <w:rsid w:val="0ED94142"/>
    <w:rsid w:val="0EDC3291"/>
    <w:rsid w:val="0EF94D4B"/>
    <w:rsid w:val="0F170CE4"/>
    <w:rsid w:val="0F1C6E00"/>
    <w:rsid w:val="0F426AD0"/>
    <w:rsid w:val="0F44355D"/>
    <w:rsid w:val="0F4958DC"/>
    <w:rsid w:val="0F515DF7"/>
    <w:rsid w:val="0F563291"/>
    <w:rsid w:val="0F596BA8"/>
    <w:rsid w:val="0F6248D2"/>
    <w:rsid w:val="0F693536"/>
    <w:rsid w:val="0F7B0511"/>
    <w:rsid w:val="0F7B76D9"/>
    <w:rsid w:val="0F816ACD"/>
    <w:rsid w:val="0F8B4F2A"/>
    <w:rsid w:val="0F8C4D95"/>
    <w:rsid w:val="0F9832DB"/>
    <w:rsid w:val="0FA53461"/>
    <w:rsid w:val="0FBC1727"/>
    <w:rsid w:val="0FBF3FD2"/>
    <w:rsid w:val="0FBF7FF3"/>
    <w:rsid w:val="0FC60169"/>
    <w:rsid w:val="10174821"/>
    <w:rsid w:val="1032785A"/>
    <w:rsid w:val="103F23E9"/>
    <w:rsid w:val="104447E9"/>
    <w:rsid w:val="104C1B9D"/>
    <w:rsid w:val="10646583"/>
    <w:rsid w:val="107514F4"/>
    <w:rsid w:val="107D4B15"/>
    <w:rsid w:val="108A3C80"/>
    <w:rsid w:val="10C02B10"/>
    <w:rsid w:val="10C26171"/>
    <w:rsid w:val="10F25EEC"/>
    <w:rsid w:val="10F33360"/>
    <w:rsid w:val="10FC16EA"/>
    <w:rsid w:val="110F1D40"/>
    <w:rsid w:val="11194998"/>
    <w:rsid w:val="111E5A3E"/>
    <w:rsid w:val="11266F33"/>
    <w:rsid w:val="11395D7E"/>
    <w:rsid w:val="11400B60"/>
    <w:rsid w:val="116033DA"/>
    <w:rsid w:val="11673E86"/>
    <w:rsid w:val="117669E6"/>
    <w:rsid w:val="1181450E"/>
    <w:rsid w:val="118963A1"/>
    <w:rsid w:val="11BF336F"/>
    <w:rsid w:val="11C6522A"/>
    <w:rsid w:val="11D067E4"/>
    <w:rsid w:val="11E104CC"/>
    <w:rsid w:val="11E20309"/>
    <w:rsid w:val="1201785C"/>
    <w:rsid w:val="12106436"/>
    <w:rsid w:val="121A1366"/>
    <w:rsid w:val="12255233"/>
    <w:rsid w:val="1226647F"/>
    <w:rsid w:val="12530213"/>
    <w:rsid w:val="12547EAC"/>
    <w:rsid w:val="125C0BBE"/>
    <w:rsid w:val="125D0CD0"/>
    <w:rsid w:val="125E00D9"/>
    <w:rsid w:val="12691A06"/>
    <w:rsid w:val="12695089"/>
    <w:rsid w:val="127723A9"/>
    <w:rsid w:val="12862074"/>
    <w:rsid w:val="12883966"/>
    <w:rsid w:val="12937E5A"/>
    <w:rsid w:val="129E45B4"/>
    <w:rsid w:val="12AE6A32"/>
    <w:rsid w:val="12B91B6C"/>
    <w:rsid w:val="12D81596"/>
    <w:rsid w:val="12E72FE9"/>
    <w:rsid w:val="12E83108"/>
    <w:rsid w:val="12F157AA"/>
    <w:rsid w:val="12F34864"/>
    <w:rsid w:val="13072A44"/>
    <w:rsid w:val="133F5002"/>
    <w:rsid w:val="1343264F"/>
    <w:rsid w:val="1346119F"/>
    <w:rsid w:val="135950FD"/>
    <w:rsid w:val="135D2E40"/>
    <w:rsid w:val="135F4BE2"/>
    <w:rsid w:val="136A10B9"/>
    <w:rsid w:val="136F6EA1"/>
    <w:rsid w:val="13815EDF"/>
    <w:rsid w:val="139B1A0A"/>
    <w:rsid w:val="139D25C7"/>
    <w:rsid w:val="13A740BB"/>
    <w:rsid w:val="13BF3CE4"/>
    <w:rsid w:val="13C01E82"/>
    <w:rsid w:val="13CA16CE"/>
    <w:rsid w:val="13D7584F"/>
    <w:rsid w:val="13EB6D63"/>
    <w:rsid w:val="13F374B8"/>
    <w:rsid w:val="13FA3B48"/>
    <w:rsid w:val="140C03C2"/>
    <w:rsid w:val="141008D8"/>
    <w:rsid w:val="14125FE6"/>
    <w:rsid w:val="1442760C"/>
    <w:rsid w:val="144E543E"/>
    <w:rsid w:val="145C6C53"/>
    <w:rsid w:val="146D271E"/>
    <w:rsid w:val="14982588"/>
    <w:rsid w:val="149A5AD9"/>
    <w:rsid w:val="14A7619D"/>
    <w:rsid w:val="14E135FC"/>
    <w:rsid w:val="14F271DF"/>
    <w:rsid w:val="14F70F66"/>
    <w:rsid w:val="150536C3"/>
    <w:rsid w:val="150C1963"/>
    <w:rsid w:val="150F3CC6"/>
    <w:rsid w:val="151447A0"/>
    <w:rsid w:val="15163B8A"/>
    <w:rsid w:val="153C0833"/>
    <w:rsid w:val="153F04BB"/>
    <w:rsid w:val="154A6454"/>
    <w:rsid w:val="15610299"/>
    <w:rsid w:val="15643B91"/>
    <w:rsid w:val="156A0E93"/>
    <w:rsid w:val="156E3D61"/>
    <w:rsid w:val="15762120"/>
    <w:rsid w:val="15842905"/>
    <w:rsid w:val="15954E35"/>
    <w:rsid w:val="15962639"/>
    <w:rsid w:val="15B36D47"/>
    <w:rsid w:val="15D157AE"/>
    <w:rsid w:val="15EB309C"/>
    <w:rsid w:val="15EE2139"/>
    <w:rsid w:val="15F76776"/>
    <w:rsid w:val="15FF5E46"/>
    <w:rsid w:val="16322361"/>
    <w:rsid w:val="16A8729C"/>
    <w:rsid w:val="16B33777"/>
    <w:rsid w:val="16BC70A7"/>
    <w:rsid w:val="16C6339E"/>
    <w:rsid w:val="16E34270"/>
    <w:rsid w:val="16E42F30"/>
    <w:rsid w:val="16F75271"/>
    <w:rsid w:val="17041DF5"/>
    <w:rsid w:val="172F2D79"/>
    <w:rsid w:val="17345C65"/>
    <w:rsid w:val="173C2D6C"/>
    <w:rsid w:val="17557BEF"/>
    <w:rsid w:val="177625A5"/>
    <w:rsid w:val="179E426D"/>
    <w:rsid w:val="17AF353E"/>
    <w:rsid w:val="17BE63A1"/>
    <w:rsid w:val="17D349C1"/>
    <w:rsid w:val="1801120B"/>
    <w:rsid w:val="18244F26"/>
    <w:rsid w:val="18245CDA"/>
    <w:rsid w:val="1830729E"/>
    <w:rsid w:val="184A28D4"/>
    <w:rsid w:val="1855363A"/>
    <w:rsid w:val="186F4511"/>
    <w:rsid w:val="1870062C"/>
    <w:rsid w:val="18760BB3"/>
    <w:rsid w:val="18817102"/>
    <w:rsid w:val="18830A15"/>
    <w:rsid w:val="18852B28"/>
    <w:rsid w:val="188B5321"/>
    <w:rsid w:val="188E4CA2"/>
    <w:rsid w:val="18933499"/>
    <w:rsid w:val="18956BD8"/>
    <w:rsid w:val="18B00717"/>
    <w:rsid w:val="18B539B9"/>
    <w:rsid w:val="18D6213F"/>
    <w:rsid w:val="18E24C39"/>
    <w:rsid w:val="18E67B30"/>
    <w:rsid w:val="190D71AF"/>
    <w:rsid w:val="191256FF"/>
    <w:rsid w:val="193E47DD"/>
    <w:rsid w:val="198C1D89"/>
    <w:rsid w:val="19932372"/>
    <w:rsid w:val="19A20DD5"/>
    <w:rsid w:val="19AE03F1"/>
    <w:rsid w:val="19C25DFF"/>
    <w:rsid w:val="19D52BFA"/>
    <w:rsid w:val="19EF056A"/>
    <w:rsid w:val="1A071A03"/>
    <w:rsid w:val="1A1F16AE"/>
    <w:rsid w:val="1A2024D1"/>
    <w:rsid w:val="1A3B5C77"/>
    <w:rsid w:val="1A59631C"/>
    <w:rsid w:val="1A692698"/>
    <w:rsid w:val="1A7840BB"/>
    <w:rsid w:val="1A846F04"/>
    <w:rsid w:val="1A8A765A"/>
    <w:rsid w:val="1A930EF5"/>
    <w:rsid w:val="1A984BAD"/>
    <w:rsid w:val="1AA933C8"/>
    <w:rsid w:val="1AB8220E"/>
    <w:rsid w:val="1ABA46D4"/>
    <w:rsid w:val="1AD479EC"/>
    <w:rsid w:val="1AE4166C"/>
    <w:rsid w:val="1AEF59D8"/>
    <w:rsid w:val="1AF06CFB"/>
    <w:rsid w:val="1AF11B8D"/>
    <w:rsid w:val="1B057F96"/>
    <w:rsid w:val="1B11359C"/>
    <w:rsid w:val="1B1A33C4"/>
    <w:rsid w:val="1B1F1EE0"/>
    <w:rsid w:val="1B214753"/>
    <w:rsid w:val="1B2A271F"/>
    <w:rsid w:val="1B40570F"/>
    <w:rsid w:val="1B530544"/>
    <w:rsid w:val="1B570174"/>
    <w:rsid w:val="1B59792D"/>
    <w:rsid w:val="1B713184"/>
    <w:rsid w:val="1B735084"/>
    <w:rsid w:val="1BA14F49"/>
    <w:rsid w:val="1BA209CF"/>
    <w:rsid w:val="1BA43EF7"/>
    <w:rsid w:val="1BB4777D"/>
    <w:rsid w:val="1BBF058C"/>
    <w:rsid w:val="1BC752A5"/>
    <w:rsid w:val="1BCA6B98"/>
    <w:rsid w:val="1BCC110E"/>
    <w:rsid w:val="1BD75AB8"/>
    <w:rsid w:val="1BF9122C"/>
    <w:rsid w:val="1C0459C2"/>
    <w:rsid w:val="1C1B3B4A"/>
    <w:rsid w:val="1C284B16"/>
    <w:rsid w:val="1C5C0C4E"/>
    <w:rsid w:val="1C5E5533"/>
    <w:rsid w:val="1C610BFB"/>
    <w:rsid w:val="1C6B28A5"/>
    <w:rsid w:val="1C77656C"/>
    <w:rsid w:val="1C777F35"/>
    <w:rsid w:val="1C8574D5"/>
    <w:rsid w:val="1C88086E"/>
    <w:rsid w:val="1C8D7751"/>
    <w:rsid w:val="1C915908"/>
    <w:rsid w:val="1CC1038E"/>
    <w:rsid w:val="1CC17F9B"/>
    <w:rsid w:val="1CC37CA8"/>
    <w:rsid w:val="1CD42259"/>
    <w:rsid w:val="1CDD28FB"/>
    <w:rsid w:val="1CEB6DC6"/>
    <w:rsid w:val="1CF77E61"/>
    <w:rsid w:val="1CFF5F62"/>
    <w:rsid w:val="1D047E88"/>
    <w:rsid w:val="1D0D1432"/>
    <w:rsid w:val="1D0E0D07"/>
    <w:rsid w:val="1D1E62D0"/>
    <w:rsid w:val="1D266CE1"/>
    <w:rsid w:val="1D355362"/>
    <w:rsid w:val="1D3963AF"/>
    <w:rsid w:val="1D417B50"/>
    <w:rsid w:val="1D4552E6"/>
    <w:rsid w:val="1D6A673C"/>
    <w:rsid w:val="1D6B6159"/>
    <w:rsid w:val="1D9247AE"/>
    <w:rsid w:val="1DB07D27"/>
    <w:rsid w:val="1DB567EC"/>
    <w:rsid w:val="1DC34663"/>
    <w:rsid w:val="1DF51A98"/>
    <w:rsid w:val="1E051CD9"/>
    <w:rsid w:val="1E0A7720"/>
    <w:rsid w:val="1E200F33"/>
    <w:rsid w:val="1E3D060F"/>
    <w:rsid w:val="1E3F7D2E"/>
    <w:rsid w:val="1E4134E4"/>
    <w:rsid w:val="1E4569AA"/>
    <w:rsid w:val="1E5062B3"/>
    <w:rsid w:val="1E523514"/>
    <w:rsid w:val="1E714A66"/>
    <w:rsid w:val="1E802593"/>
    <w:rsid w:val="1E814BE5"/>
    <w:rsid w:val="1E8B6156"/>
    <w:rsid w:val="1E911BEF"/>
    <w:rsid w:val="1EA703CC"/>
    <w:rsid w:val="1EB7330C"/>
    <w:rsid w:val="1EC94328"/>
    <w:rsid w:val="1EE951E5"/>
    <w:rsid w:val="1EEC27E3"/>
    <w:rsid w:val="1EFC364D"/>
    <w:rsid w:val="1F0A0FF3"/>
    <w:rsid w:val="1F155A65"/>
    <w:rsid w:val="1F1A7A1E"/>
    <w:rsid w:val="1F3D1AEC"/>
    <w:rsid w:val="1F3E1D77"/>
    <w:rsid w:val="1F47684D"/>
    <w:rsid w:val="1F48398B"/>
    <w:rsid w:val="1F5771FF"/>
    <w:rsid w:val="1F5F7009"/>
    <w:rsid w:val="1F7C1719"/>
    <w:rsid w:val="1F930620"/>
    <w:rsid w:val="1FB57B5F"/>
    <w:rsid w:val="1FC73600"/>
    <w:rsid w:val="1FD52574"/>
    <w:rsid w:val="1FE22B1B"/>
    <w:rsid w:val="1FE67D19"/>
    <w:rsid w:val="1FE868A9"/>
    <w:rsid w:val="20034907"/>
    <w:rsid w:val="20173E4B"/>
    <w:rsid w:val="203C5B8B"/>
    <w:rsid w:val="204E48BC"/>
    <w:rsid w:val="20801F1B"/>
    <w:rsid w:val="208921B3"/>
    <w:rsid w:val="20973DEB"/>
    <w:rsid w:val="20A36034"/>
    <w:rsid w:val="20B26522"/>
    <w:rsid w:val="20B44310"/>
    <w:rsid w:val="20BF1705"/>
    <w:rsid w:val="20D4111C"/>
    <w:rsid w:val="20D858B3"/>
    <w:rsid w:val="21035A46"/>
    <w:rsid w:val="211116EB"/>
    <w:rsid w:val="2129562B"/>
    <w:rsid w:val="213D1BBA"/>
    <w:rsid w:val="21432B39"/>
    <w:rsid w:val="215018EE"/>
    <w:rsid w:val="215A6C10"/>
    <w:rsid w:val="216133FC"/>
    <w:rsid w:val="2186530F"/>
    <w:rsid w:val="21A97B2D"/>
    <w:rsid w:val="21C45D42"/>
    <w:rsid w:val="21D56769"/>
    <w:rsid w:val="21DF255E"/>
    <w:rsid w:val="21E52EF3"/>
    <w:rsid w:val="21F04E7F"/>
    <w:rsid w:val="21FB5D7B"/>
    <w:rsid w:val="22015E94"/>
    <w:rsid w:val="220A23B6"/>
    <w:rsid w:val="220B1C3D"/>
    <w:rsid w:val="220F64F1"/>
    <w:rsid w:val="22162B37"/>
    <w:rsid w:val="221D1D20"/>
    <w:rsid w:val="22274D44"/>
    <w:rsid w:val="22326F75"/>
    <w:rsid w:val="22334A87"/>
    <w:rsid w:val="22384C79"/>
    <w:rsid w:val="22482214"/>
    <w:rsid w:val="22696FF6"/>
    <w:rsid w:val="226B7056"/>
    <w:rsid w:val="226F6442"/>
    <w:rsid w:val="227961F6"/>
    <w:rsid w:val="22A14BF8"/>
    <w:rsid w:val="22AC6A54"/>
    <w:rsid w:val="22BE6801"/>
    <w:rsid w:val="22CB2D3E"/>
    <w:rsid w:val="22E77254"/>
    <w:rsid w:val="22EC3898"/>
    <w:rsid w:val="230F65FB"/>
    <w:rsid w:val="231A6A0F"/>
    <w:rsid w:val="232C68AC"/>
    <w:rsid w:val="233500BF"/>
    <w:rsid w:val="23377FF7"/>
    <w:rsid w:val="234F5CFB"/>
    <w:rsid w:val="235D6544"/>
    <w:rsid w:val="236B046C"/>
    <w:rsid w:val="236B425F"/>
    <w:rsid w:val="236E0BF6"/>
    <w:rsid w:val="23735D67"/>
    <w:rsid w:val="23836192"/>
    <w:rsid w:val="23901F29"/>
    <w:rsid w:val="239C0061"/>
    <w:rsid w:val="23B2407F"/>
    <w:rsid w:val="23B908A4"/>
    <w:rsid w:val="23DA1943"/>
    <w:rsid w:val="23E95BEF"/>
    <w:rsid w:val="23F4261E"/>
    <w:rsid w:val="23FD0064"/>
    <w:rsid w:val="24077A99"/>
    <w:rsid w:val="241100FB"/>
    <w:rsid w:val="24217571"/>
    <w:rsid w:val="244A4D1A"/>
    <w:rsid w:val="245375B0"/>
    <w:rsid w:val="24537BC5"/>
    <w:rsid w:val="245B6DB7"/>
    <w:rsid w:val="246279E1"/>
    <w:rsid w:val="24642C0A"/>
    <w:rsid w:val="2481057A"/>
    <w:rsid w:val="2499362A"/>
    <w:rsid w:val="249D355D"/>
    <w:rsid w:val="24B22173"/>
    <w:rsid w:val="24B618E1"/>
    <w:rsid w:val="24B95AD9"/>
    <w:rsid w:val="24BE24DA"/>
    <w:rsid w:val="24C3687B"/>
    <w:rsid w:val="24CE5665"/>
    <w:rsid w:val="24CF5825"/>
    <w:rsid w:val="24D663E6"/>
    <w:rsid w:val="24D757B6"/>
    <w:rsid w:val="24D77F2B"/>
    <w:rsid w:val="24DE5879"/>
    <w:rsid w:val="256718FC"/>
    <w:rsid w:val="258B00E2"/>
    <w:rsid w:val="25A917A6"/>
    <w:rsid w:val="25AB2553"/>
    <w:rsid w:val="25BE27CC"/>
    <w:rsid w:val="25D435EF"/>
    <w:rsid w:val="25F0544D"/>
    <w:rsid w:val="25F74A5C"/>
    <w:rsid w:val="261513AF"/>
    <w:rsid w:val="2628662C"/>
    <w:rsid w:val="262D45DE"/>
    <w:rsid w:val="266B0F78"/>
    <w:rsid w:val="267E2E0E"/>
    <w:rsid w:val="26871DC8"/>
    <w:rsid w:val="268B161A"/>
    <w:rsid w:val="26A0342B"/>
    <w:rsid w:val="26A53EF9"/>
    <w:rsid w:val="26A544E4"/>
    <w:rsid w:val="26A94201"/>
    <w:rsid w:val="26AC274F"/>
    <w:rsid w:val="26C04761"/>
    <w:rsid w:val="270142B1"/>
    <w:rsid w:val="27044A29"/>
    <w:rsid w:val="271D34C8"/>
    <w:rsid w:val="272730F1"/>
    <w:rsid w:val="273036BA"/>
    <w:rsid w:val="27457CE6"/>
    <w:rsid w:val="27547C5E"/>
    <w:rsid w:val="276142BF"/>
    <w:rsid w:val="276370CF"/>
    <w:rsid w:val="27783712"/>
    <w:rsid w:val="27873B8F"/>
    <w:rsid w:val="278D4EE0"/>
    <w:rsid w:val="27907362"/>
    <w:rsid w:val="279544FE"/>
    <w:rsid w:val="27C17204"/>
    <w:rsid w:val="27C546B8"/>
    <w:rsid w:val="27CB3CE5"/>
    <w:rsid w:val="280276BA"/>
    <w:rsid w:val="28101DD7"/>
    <w:rsid w:val="28333E1D"/>
    <w:rsid w:val="283C3A32"/>
    <w:rsid w:val="28454BD6"/>
    <w:rsid w:val="28455253"/>
    <w:rsid w:val="28551971"/>
    <w:rsid w:val="285A2FA5"/>
    <w:rsid w:val="285B1C53"/>
    <w:rsid w:val="286F11F3"/>
    <w:rsid w:val="287702CA"/>
    <w:rsid w:val="288B5901"/>
    <w:rsid w:val="28902F18"/>
    <w:rsid w:val="289F7086"/>
    <w:rsid w:val="28C32028"/>
    <w:rsid w:val="28CA4984"/>
    <w:rsid w:val="28CC490F"/>
    <w:rsid w:val="28D61EBD"/>
    <w:rsid w:val="28DE40AA"/>
    <w:rsid w:val="28E82D54"/>
    <w:rsid w:val="29333963"/>
    <w:rsid w:val="29345E77"/>
    <w:rsid w:val="29475CCC"/>
    <w:rsid w:val="294C65AD"/>
    <w:rsid w:val="2953671A"/>
    <w:rsid w:val="2965010A"/>
    <w:rsid w:val="2967011C"/>
    <w:rsid w:val="29806583"/>
    <w:rsid w:val="298B3C4C"/>
    <w:rsid w:val="298F19EC"/>
    <w:rsid w:val="298F27C5"/>
    <w:rsid w:val="299E6A32"/>
    <w:rsid w:val="29AB0437"/>
    <w:rsid w:val="29E344D0"/>
    <w:rsid w:val="29F10CFD"/>
    <w:rsid w:val="29F26D24"/>
    <w:rsid w:val="2A0E67EA"/>
    <w:rsid w:val="2A15033F"/>
    <w:rsid w:val="2A1662C1"/>
    <w:rsid w:val="2A1C7367"/>
    <w:rsid w:val="2A2815FA"/>
    <w:rsid w:val="2A293624"/>
    <w:rsid w:val="2A5F7045"/>
    <w:rsid w:val="2A636B36"/>
    <w:rsid w:val="2A6D6092"/>
    <w:rsid w:val="2A715F67"/>
    <w:rsid w:val="2A7D76B4"/>
    <w:rsid w:val="2A7F1337"/>
    <w:rsid w:val="2AA16FC2"/>
    <w:rsid w:val="2AB56C65"/>
    <w:rsid w:val="2ABC587B"/>
    <w:rsid w:val="2AD01CF1"/>
    <w:rsid w:val="2AD861A6"/>
    <w:rsid w:val="2AED6C7B"/>
    <w:rsid w:val="2B065713"/>
    <w:rsid w:val="2B09293F"/>
    <w:rsid w:val="2B437463"/>
    <w:rsid w:val="2B4F306B"/>
    <w:rsid w:val="2B7807EE"/>
    <w:rsid w:val="2B7F6556"/>
    <w:rsid w:val="2B852AF3"/>
    <w:rsid w:val="2BA50BF7"/>
    <w:rsid w:val="2BA60E10"/>
    <w:rsid w:val="2BBF00EC"/>
    <w:rsid w:val="2BC162D3"/>
    <w:rsid w:val="2BC37CFD"/>
    <w:rsid w:val="2BD4031B"/>
    <w:rsid w:val="2BD5237F"/>
    <w:rsid w:val="2BE536CE"/>
    <w:rsid w:val="2BE758D9"/>
    <w:rsid w:val="2BE9496F"/>
    <w:rsid w:val="2BF10171"/>
    <w:rsid w:val="2BF346BB"/>
    <w:rsid w:val="2C09049E"/>
    <w:rsid w:val="2C0A653C"/>
    <w:rsid w:val="2C191F85"/>
    <w:rsid w:val="2C1B0D4A"/>
    <w:rsid w:val="2C264098"/>
    <w:rsid w:val="2C31056E"/>
    <w:rsid w:val="2C384254"/>
    <w:rsid w:val="2C3A0EA2"/>
    <w:rsid w:val="2C416A03"/>
    <w:rsid w:val="2C587AAB"/>
    <w:rsid w:val="2C5933A3"/>
    <w:rsid w:val="2C6554BB"/>
    <w:rsid w:val="2C8E776E"/>
    <w:rsid w:val="2CA054A4"/>
    <w:rsid w:val="2CC633AC"/>
    <w:rsid w:val="2CDC5849"/>
    <w:rsid w:val="2CE82D6F"/>
    <w:rsid w:val="2CF41CC7"/>
    <w:rsid w:val="2D0B17AA"/>
    <w:rsid w:val="2D1862B6"/>
    <w:rsid w:val="2D197980"/>
    <w:rsid w:val="2D343236"/>
    <w:rsid w:val="2D4E5A02"/>
    <w:rsid w:val="2D533454"/>
    <w:rsid w:val="2D575011"/>
    <w:rsid w:val="2D837537"/>
    <w:rsid w:val="2D9E4D24"/>
    <w:rsid w:val="2D9F156A"/>
    <w:rsid w:val="2DAC5EA2"/>
    <w:rsid w:val="2DB11966"/>
    <w:rsid w:val="2DBE0ECB"/>
    <w:rsid w:val="2DCF4A30"/>
    <w:rsid w:val="2DD15014"/>
    <w:rsid w:val="2DD90EBD"/>
    <w:rsid w:val="2DF72DE4"/>
    <w:rsid w:val="2DFB0384"/>
    <w:rsid w:val="2E0220AF"/>
    <w:rsid w:val="2E4B082A"/>
    <w:rsid w:val="2E5549E7"/>
    <w:rsid w:val="2E5A0900"/>
    <w:rsid w:val="2E5D4E86"/>
    <w:rsid w:val="2E5D790B"/>
    <w:rsid w:val="2E6136A4"/>
    <w:rsid w:val="2E6932C2"/>
    <w:rsid w:val="2E840A66"/>
    <w:rsid w:val="2E9A3C18"/>
    <w:rsid w:val="2E9A78DD"/>
    <w:rsid w:val="2EBB0FEE"/>
    <w:rsid w:val="2EC63002"/>
    <w:rsid w:val="2EC83D03"/>
    <w:rsid w:val="2ECF08DB"/>
    <w:rsid w:val="2F0A6B38"/>
    <w:rsid w:val="2F407445"/>
    <w:rsid w:val="2F616D81"/>
    <w:rsid w:val="2F634EE2"/>
    <w:rsid w:val="2F7760A6"/>
    <w:rsid w:val="2F7960D4"/>
    <w:rsid w:val="2F8772D8"/>
    <w:rsid w:val="2F8A246F"/>
    <w:rsid w:val="2F905058"/>
    <w:rsid w:val="2F946CCB"/>
    <w:rsid w:val="2F996B56"/>
    <w:rsid w:val="2FAA0D51"/>
    <w:rsid w:val="2FAE7398"/>
    <w:rsid w:val="2FCC6F2B"/>
    <w:rsid w:val="2FD25781"/>
    <w:rsid w:val="2FDC6A42"/>
    <w:rsid w:val="2FDC745C"/>
    <w:rsid w:val="2FF3270A"/>
    <w:rsid w:val="2FF434B5"/>
    <w:rsid w:val="2FFD7934"/>
    <w:rsid w:val="30134B5A"/>
    <w:rsid w:val="30467EE1"/>
    <w:rsid w:val="30733ACD"/>
    <w:rsid w:val="308C3862"/>
    <w:rsid w:val="309379D8"/>
    <w:rsid w:val="30A270F7"/>
    <w:rsid w:val="30B04157"/>
    <w:rsid w:val="30C25A2F"/>
    <w:rsid w:val="30DF1478"/>
    <w:rsid w:val="30EC586F"/>
    <w:rsid w:val="30FD3EF5"/>
    <w:rsid w:val="311734C2"/>
    <w:rsid w:val="311961A0"/>
    <w:rsid w:val="313059E8"/>
    <w:rsid w:val="31413C4F"/>
    <w:rsid w:val="314E2130"/>
    <w:rsid w:val="31501496"/>
    <w:rsid w:val="31796C3F"/>
    <w:rsid w:val="319C6071"/>
    <w:rsid w:val="319D4A39"/>
    <w:rsid w:val="319F38CE"/>
    <w:rsid w:val="31AC537E"/>
    <w:rsid w:val="31AE2A82"/>
    <w:rsid w:val="31B92EBF"/>
    <w:rsid w:val="31C9409A"/>
    <w:rsid w:val="31E15F4B"/>
    <w:rsid w:val="31E3679B"/>
    <w:rsid w:val="31E732FD"/>
    <w:rsid w:val="31E85B72"/>
    <w:rsid w:val="31FC517A"/>
    <w:rsid w:val="320C7229"/>
    <w:rsid w:val="32385D83"/>
    <w:rsid w:val="323963CE"/>
    <w:rsid w:val="32517576"/>
    <w:rsid w:val="32764F2C"/>
    <w:rsid w:val="32A970B0"/>
    <w:rsid w:val="32BE5C2C"/>
    <w:rsid w:val="32E95EDD"/>
    <w:rsid w:val="32FA790B"/>
    <w:rsid w:val="32FB6478"/>
    <w:rsid w:val="330473EE"/>
    <w:rsid w:val="332629BB"/>
    <w:rsid w:val="33263B3F"/>
    <w:rsid w:val="333C0319"/>
    <w:rsid w:val="336963EB"/>
    <w:rsid w:val="337A5206"/>
    <w:rsid w:val="33816EEB"/>
    <w:rsid w:val="339A10EE"/>
    <w:rsid w:val="33DD56B5"/>
    <w:rsid w:val="33EB55CD"/>
    <w:rsid w:val="33EC4C02"/>
    <w:rsid w:val="340D2360"/>
    <w:rsid w:val="3410665D"/>
    <w:rsid w:val="34190265"/>
    <w:rsid w:val="34211214"/>
    <w:rsid w:val="342E63AB"/>
    <w:rsid w:val="34302329"/>
    <w:rsid w:val="34321327"/>
    <w:rsid w:val="345A1D9D"/>
    <w:rsid w:val="3491604D"/>
    <w:rsid w:val="34950E68"/>
    <w:rsid w:val="34986E94"/>
    <w:rsid w:val="34AA5361"/>
    <w:rsid w:val="34AF62C9"/>
    <w:rsid w:val="34B664DE"/>
    <w:rsid w:val="34C2013F"/>
    <w:rsid w:val="34CB4388"/>
    <w:rsid w:val="34DC4CD4"/>
    <w:rsid w:val="34E602EB"/>
    <w:rsid w:val="34F90942"/>
    <w:rsid w:val="34FA6E12"/>
    <w:rsid w:val="35092088"/>
    <w:rsid w:val="35132F06"/>
    <w:rsid w:val="35321DFC"/>
    <w:rsid w:val="354D7158"/>
    <w:rsid w:val="358D2A71"/>
    <w:rsid w:val="358D5588"/>
    <w:rsid w:val="35976F45"/>
    <w:rsid w:val="35B53FBD"/>
    <w:rsid w:val="35BA6F50"/>
    <w:rsid w:val="35DA3A24"/>
    <w:rsid w:val="35DF6310"/>
    <w:rsid w:val="361374D2"/>
    <w:rsid w:val="362441E9"/>
    <w:rsid w:val="362D63E3"/>
    <w:rsid w:val="363A3B40"/>
    <w:rsid w:val="363B0967"/>
    <w:rsid w:val="365302AE"/>
    <w:rsid w:val="365577ED"/>
    <w:rsid w:val="3660217B"/>
    <w:rsid w:val="36607A0A"/>
    <w:rsid w:val="366E227C"/>
    <w:rsid w:val="366F2E0D"/>
    <w:rsid w:val="367B6A5C"/>
    <w:rsid w:val="368F0CB2"/>
    <w:rsid w:val="369C0E1F"/>
    <w:rsid w:val="369C39B5"/>
    <w:rsid w:val="369D2EA4"/>
    <w:rsid w:val="36A22794"/>
    <w:rsid w:val="36A74ADA"/>
    <w:rsid w:val="36AD60D5"/>
    <w:rsid w:val="36B224F9"/>
    <w:rsid w:val="36E44D2C"/>
    <w:rsid w:val="36EC0CC9"/>
    <w:rsid w:val="3720190B"/>
    <w:rsid w:val="37270214"/>
    <w:rsid w:val="372C7F37"/>
    <w:rsid w:val="373F410B"/>
    <w:rsid w:val="374B61CE"/>
    <w:rsid w:val="375325B8"/>
    <w:rsid w:val="376637C1"/>
    <w:rsid w:val="37B24C58"/>
    <w:rsid w:val="37B409D1"/>
    <w:rsid w:val="37DA41AF"/>
    <w:rsid w:val="37EE7094"/>
    <w:rsid w:val="37F4701F"/>
    <w:rsid w:val="38294068"/>
    <w:rsid w:val="38296C89"/>
    <w:rsid w:val="383002EB"/>
    <w:rsid w:val="38406701"/>
    <w:rsid w:val="38586797"/>
    <w:rsid w:val="38593C76"/>
    <w:rsid w:val="385D15DF"/>
    <w:rsid w:val="386F25DF"/>
    <w:rsid w:val="38AC5B4C"/>
    <w:rsid w:val="38BC0149"/>
    <w:rsid w:val="38CD0DC8"/>
    <w:rsid w:val="38D87D1C"/>
    <w:rsid w:val="38E92C80"/>
    <w:rsid w:val="391334D5"/>
    <w:rsid w:val="39300DFB"/>
    <w:rsid w:val="39577C58"/>
    <w:rsid w:val="39636459"/>
    <w:rsid w:val="396B7F6C"/>
    <w:rsid w:val="3971469F"/>
    <w:rsid w:val="39770179"/>
    <w:rsid w:val="39AD1B7B"/>
    <w:rsid w:val="39B417A9"/>
    <w:rsid w:val="39C66799"/>
    <w:rsid w:val="39DA3FF3"/>
    <w:rsid w:val="39E84962"/>
    <w:rsid w:val="39F14A48"/>
    <w:rsid w:val="39F540DE"/>
    <w:rsid w:val="39F76D8F"/>
    <w:rsid w:val="39FC5695"/>
    <w:rsid w:val="3A006D8E"/>
    <w:rsid w:val="3A254073"/>
    <w:rsid w:val="3A3651E5"/>
    <w:rsid w:val="3A4A561C"/>
    <w:rsid w:val="3A546DBE"/>
    <w:rsid w:val="3A74058B"/>
    <w:rsid w:val="3A744481"/>
    <w:rsid w:val="3A7C7AC5"/>
    <w:rsid w:val="3A8C7BEF"/>
    <w:rsid w:val="3A8F302F"/>
    <w:rsid w:val="3A906246"/>
    <w:rsid w:val="3ACD4EF5"/>
    <w:rsid w:val="3AFF6407"/>
    <w:rsid w:val="3B0C28D2"/>
    <w:rsid w:val="3B1874C8"/>
    <w:rsid w:val="3B2349B7"/>
    <w:rsid w:val="3B2C0E8E"/>
    <w:rsid w:val="3B2D45F6"/>
    <w:rsid w:val="3B4648A6"/>
    <w:rsid w:val="3B523D67"/>
    <w:rsid w:val="3B616CFF"/>
    <w:rsid w:val="3B6259F6"/>
    <w:rsid w:val="3B8C57C0"/>
    <w:rsid w:val="3B976654"/>
    <w:rsid w:val="3B9C37F1"/>
    <w:rsid w:val="3BBC42F8"/>
    <w:rsid w:val="3BC01EFC"/>
    <w:rsid w:val="3BC136BC"/>
    <w:rsid w:val="3BC60CD2"/>
    <w:rsid w:val="3BCA786A"/>
    <w:rsid w:val="3BD31E2F"/>
    <w:rsid w:val="3BEB698B"/>
    <w:rsid w:val="3BF15831"/>
    <w:rsid w:val="3BF770DE"/>
    <w:rsid w:val="3C105946"/>
    <w:rsid w:val="3C177780"/>
    <w:rsid w:val="3C471448"/>
    <w:rsid w:val="3C4D4F50"/>
    <w:rsid w:val="3C4E0AFB"/>
    <w:rsid w:val="3C536A3E"/>
    <w:rsid w:val="3C5F759A"/>
    <w:rsid w:val="3C6C525A"/>
    <w:rsid w:val="3C96112F"/>
    <w:rsid w:val="3CB44AC3"/>
    <w:rsid w:val="3CBD4F57"/>
    <w:rsid w:val="3CC219E6"/>
    <w:rsid w:val="3CCE23CB"/>
    <w:rsid w:val="3CD17D17"/>
    <w:rsid w:val="3CE8598A"/>
    <w:rsid w:val="3D362E0F"/>
    <w:rsid w:val="3D3C7F39"/>
    <w:rsid w:val="3D440F09"/>
    <w:rsid w:val="3D4504A0"/>
    <w:rsid w:val="3D490006"/>
    <w:rsid w:val="3D4A5E08"/>
    <w:rsid w:val="3D4C5207"/>
    <w:rsid w:val="3D6458FA"/>
    <w:rsid w:val="3D65609E"/>
    <w:rsid w:val="3D757B8D"/>
    <w:rsid w:val="3D7A37EB"/>
    <w:rsid w:val="3D8501AF"/>
    <w:rsid w:val="3D8734BB"/>
    <w:rsid w:val="3D8C5F4C"/>
    <w:rsid w:val="3D9A11D4"/>
    <w:rsid w:val="3DA16D89"/>
    <w:rsid w:val="3DA364BE"/>
    <w:rsid w:val="3DB95E1B"/>
    <w:rsid w:val="3DCD3E19"/>
    <w:rsid w:val="3DD841DC"/>
    <w:rsid w:val="3DE041CB"/>
    <w:rsid w:val="3E0D48F6"/>
    <w:rsid w:val="3E1868B4"/>
    <w:rsid w:val="3E377251"/>
    <w:rsid w:val="3E42664B"/>
    <w:rsid w:val="3E507983"/>
    <w:rsid w:val="3E5A7334"/>
    <w:rsid w:val="3E7B5D6B"/>
    <w:rsid w:val="3E843E66"/>
    <w:rsid w:val="3E8F51FE"/>
    <w:rsid w:val="3E926F87"/>
    <w:rsid w:val="3E9A59DE"/>
    <w:rsid w:val="3EAF4836"/>
    <w:rsid w:val="3EC13ECC"/>
    <w:rsid w:val="3EC33DFA"/>
    <w:rsid w:val="3ED656D0"/>
    <w:rsid w:val="3F060E16"/>
    <w:rsid w:val="3F0C0DE6"/>
    <w:rsid w:val="3F0D372E"/>
    <w:rsid w:val="3F1D1096"/>
    <w:rsid w:val="3F2504D1"/>
    <w:rsid w:val="3F2F0234"/>
    <w:rsid w:val="3F505368"/>
    <w:rsid w:val="3F6363FE"/>
    <w:rsid w:val="3F6778AF"/>
    <w:rsid w:val="3F756B8F"/>
    <w:rsid w:val="3F7E53F5"/>
    <w:rsid w:val="3F95482B"/>
    <w:rsid w:val="3F9609BC"/>
    <w:rsid w:val="3F9D5862"/>
    <w:rsid w:val="3FB86B84"/>
    <w:rsid w:val="3FBB48C6"/>
    <w:rsid w:val="3FC16416"/>
    <w:rsid w:val="3FFF47B3"/>
    <w:rsid w:val="4019356B"/>
    <w:rsid w:val="402130C0"/>
    <w:rsid w:val="404D1D57"/>
    <w:rsid w:val="40592157"/>
    <w:rsid w:val="406E1CAE"/>
    <w:rsid w:val="40A0133A"/>
    <w:rsid w:val="40A12470"/>
    <w:rsid w:val="40A37834"/>
    <w:rsid w:val="40A81ADC"/>
    <w:rsid w:val="40AB361F"/>
    <w:rsid w:val="40B44A20"/>
    <w:rsid w:val="40BA66CD"/>
    <w:rsid w:val="40C31A53"/>
    <w:rsid w:val="40C70712"/>
    <w:rsid w:val="40D479EE"/>
    <w:rsid w:val="40DE77C3"/>
    <w:rsid w:val="40E83499"/>
    <w:rsid w:val="40FE6E4A"/>
    <w:rsid w:val="40FF545D"/>
    <w:rsid w:val="410067C8"/>
    <w:rsid w:val="412743F5"/>
    <w:rsid w:val="414544E4"/>
    <w:rsid w:val="41536A5A"/>
    <w:rsid w:val="418F0D2A"/>
    <w:rsid w:val="41921B42"/>
    <w:rsid w:val="419B49AF"/>
    <w:rsid w:val="419C69FB"/>
    <w:rsid w:val="41B12798"/>
    <w:rsid w:val="41D01505"/>
    <w:rsid w:val="41D61E12"/>
    <w:rsid w:val="41E409EC"/>
    <w:rsid w:val="41E96A54"/>
    <w:rsid w:val="41F93484"/>
    <w:rsid w:val="42474939"/>
    <w:rsid w:val="424C3C57"/>
    <w:rsid w:val="42613FF3"/>
    <w:rsid w:val="42660D96"/>
    <w:rsid w:val="426C1EA8"/>
    <w:rsid w:val="42703746"/>
    <w:rsid w:val="42731488"/>
    <w:rsid w:val="428667D2"/>
    <w:rsid w:val="429C0C25"/>
    <w:rsid w:val="42B1494A"/>
    <w:rsid w:val="42CD1CE0"/>
    <w:rsid w:val="42E1381E"/>
    <w:rsid w:val="42E94DCA"/>
    <w:rsid w:val="42ED6459"/>
    <w:rsid w:val="42FE33C9"/>
    <w:rsid w:val="42FE58DD"/>
    <w:rsid w:val="43065E58"/>
    <w:rsid w:val="43174B3D"/>
    <w:rsid w:val="4329772D"/>
    <w:rsid w:val="43486471"/>
    <w:rsid w:val="434B790E"/>
    <w:rsid w:val="435E7A42"/>
    <w:rsid w:val="4360274F"/>
    <w:rsid w:val="436074C4"/>
    <w:rsid w:val="43923B90"/>
    <w:rsid w:val="43977AB6"/>
    <w:rsid w:val="43A3342B"/>
    <w:rsid w:val="43C77C27"/>
    <w:rsid w:val="43DB20E4"/>
    <w:rsid w:val="43DE09EE"/>
    <w:rsid w:val="43E57386"/>
    <w:rsid w:val="43EF2D90"/>
    <w:rsid w:val="43F54807"/>
    <w:rsid w:val="44002FAD"/>
    <w:rsid w:val="44184095"/>
    <w:rsid w:val="441B764E"/>
    <w:rsid w:val="446077EA"/>
    <w:rsid w:val="44702643"/>
    <w:rsid w:val="4479751F"/>
    <w:rsid w:val="448C05DF"/>
    <w:rsid w:val="449101DD"/>
    <w:rsid w:val="44AB6CB7"/>
    <w:rsid w:val="44B71A8A"/>
    <w:rsid w:val="44CF48CB"/>
    <w:rsid w:val="44DE1391"/>
    <w:rsid w:val="451B225C"/>
    <w:rsid w:val="45213271"/>
    <w:rsid w:val="452139A1"/>
    <w:rsid w:val="452410C9"/>
    <w:rsid w:val="45317DFB"/>
    <w:rsid w:val="454A1AA6"/>
    <w:rsid w:val="45586D59"/>
    <w:rsid w:val="455E1F7C"/>
    <w:rsid w:val="456D3CE4"/>
    <w:rsid w:val="4579042C"/>
    <w:rsid w:val="457C68A6"/>
    <w:rsid w:val="457F0571"/>
    <w:rsid w:val="45851176"/>
    <w:rsid w:val="45931B79"/>
    <w:rsid w:val="45935AF4"/>
    <w:rsid w:val="459C6612"/>
    <w:rsid w:val="45C118CB"/>
    <w:rsid w:val="45C5346C"/>
    <w:rsid w:val="45C63B94"/>
    <w:rsid w:val="45D264C6"/>
    <w:rsid w:val="45D65FB6"/>
    <w:rsid w:val="46084F78"/>
    <w:rsid w:val="460E7DA5"/>
    <w:rsid w:val="461011E0"/>
    <w:rsid w:val="461104A1"/>
    <w:rsid w:val="46110D1C"/>
    <w:rsid w:val="4628284A"/>
    <w:rsid w:val="46333408"/>
    <w:rsid w:val="46422483"/>
    <w:rsid w:val="4647199E"/>
    <w:rsid w:val="464F7B16"/>
    <w:rsid w:val="4659254A"/>
    <w:rsid w:val="465B0637"/>
    <w:rsid w:val="465E3F0D"/>
    <w:rsid w:val="46625A9C"/>
    <w:rsid w:val="466A16E6"/>
    <w:rsid w:val="46893F2B"/>
    <w:rsid w:val="46992A6B"/>
    <w:rsid w:val="46B61F24"/>
    <w:rsid w:val="46C4686E"/>
    <w:rsid w:val="46D20D44"/>
    <w:rsid w:val="46D95039"/>
    <w:rsid w:val="46E22739"/>
    <w:rsid w:val="46E55629"/>
    <w:rsid w:val="46E97F6B"/>
    <w:rsid w:val="471450A0"/>
    <w:rsid w:val="47156B58"/>
    <w:rsid w:val="47285E14"/>
    <w:rsid w:val="472D3F9D"/>
    <w:rsid w:val="47385407"/>
    <w:rsid w:val="474E6020"/>
    <w:rsid w:val="47573350"/>
    <w:rsid w:val="47617B01"/>
    <w:rsid w:val="47757790"/>
    <w:rsid w:val="477B778F"/>
    <w:rsid w:val="477F442B"/>
    <w:rsid w:val="478203EC"/>
    <w:rsid w:val="47B025FA"/>
    <w:rsid w:val="47E8292A"/>
    <w:rsid w:val="4809698F"/>
    <w:rsid w:val="480C3F11"/>
    <w:rsid w:val="4811697D"/>
    <w:rsid w:val="4812283E"/>
    <w:rsid w:val="48194880"/>
    <w:rsid w:val="482C6361"/>
    <w:rsid w:val="4836049D"/>
    <w:rsid w:val="487230E1"/>
    <w:rsid w:val="487A3E25"/>
    <w:rsid w:val="487F7E32"/>
    <w:rsid w:val="488B5503"/>
    <w:rsid w:val="48937E21"/>
    <w:rsid w:val="489A0361"/>
    <w:rsid w:val="48A653A7"/>
    <w:rsid w:val="48B306AC"/>
    <w:rsid w:val="48B94FF3"/>
    <w:rsid w:val="48C91E02"/>
    <w:rsid w:val="48E1714C"/>
    <w:rsid w:val="48E37AAB"/>
    <w:rsid w:val="48FD4B4C"/>
    <w:rsid w:val="490A68E0"/>
    <w:rsid w:val="491055FE"/>
    <w:rsid w:val="491954C2"/>
    <w:rsid w:val="49261002"/>
    <w:rsid w:val="49317EC7"/>
    <w:rsid w:val="493D634C"/>
    <w:rsid w:val="495F5B3E"/>
    <w:rsid w:val="496B6655"/>
    <w:rsid w:val="496F77D7"/>
    <w:rsid w:val="497654FD"/>
    <w:rsid w:val="49892E51"/>
    <w:rsid w:val="49B64211"/>
    <w:rsid w:val="49C67378"/>
    <w:rsid w:val="49F6167F"/>
    <w:rsid w:val="4A064FA0"/>
    <w:rsid w:val="4A16615C"/>
    <w:rsid w:val="4A1B043B"/>
    <w:rsid w:val="4A2A1ED2"/>
    <w:rsid w:val="4A365779"/>
    <w:rsid w:val="4A4424D7"/>
    <w:rsid w:val="4A565766"/>
    <w:rsid w:val="4A5971B6"/>
    <w:rsid w:val="4A7E7A76"/>
    <w:rsid w:val="4A9E5367"/>
    <w:rsid w:val="4AB82D0F"/>
    <w:rsid w:val="4AD8632C"/>
    <w:rsid w:val="4AE64290"/>
    <w:rsid w:val="4AE90539"/>
    <w:rsid w:val="4AEB7664"/>
    <w:rsid w:val="4AED7781"/>
    <w:rsid w:val="4AF34F14"/>
    <w:rsid w:val="4AFD3FE5"/>
    <w:rsid w:val="4AFD7C19"/>
    <w:rsid w:val="4B0567D1"/>
    <w:rsid w:val="4B0E747A"/>
    <w:rsid w:val="4B236AAE"/>
    <w:rsid w:val="4B412124"/>
    <w:rsid w:val="4B4A45E7"/>
    <w:rsid w:val="4B5C51AF"/>
    <w:rsid w:val="4B707271"/>
    <w:rsid w:val="4B7F2C4C"/>
    <w:rsid w:val="4B9739F7"/>
    <w:rsid w:val="4BBF5506"/>
    <w:rsid w:val="4BC00F91"/>
    <w:rsid w:val="4BC0573E"/>
    <w:rsid w:val="4BD44D46"/>
    <w:rsid w:val="4BEE2503"/>
    <w:rsid w:val="4BF11D83"/>
    <w:rsid w:val="4C006274"/>
    <w:rsid w:val="4C245A30"/>
    <w:rsid w:val="4C281285"/>
    <w:rsid w:val="4C352698"/>
    <w:rsid w:val="4CAA7DEC"/>
    <w:rsid w:val="4CB25804"/>
    <w:rsid w:val="4CB6685F"/>
    <w:rsid w:val="4CC367FE"/>
    <w:rsid w:val="4CEF5BAF"/>
    <w:rsid w:val="4CFA3635"/>
    <w:rsid w:val="4D077F3C"/>
    <w:rsid w:val="4D123355"/>
    <w:rsid w:val="4D2A3B31"/>
    <w:rsid w:val="4D2D2A59"/>
    <w:rsid w:val="4D312C52"/>
    <w:rsid w:val="4D4203D5"/>
    <w:rsid w:val="4D4F574C"/>
    <w:rsid w:val="4D565C2E"/>
    <w:rsid w:val="4D825DF2"/>
    <w:rsid w:val="4D866514"/>
    <w:rsid w:val="4D905305"/>
    <w:rsid w:val="4D964A72"/>
    <w:rsid w:val="4D9B1643"/>
    <w:rsid w:val="4D9B201E"/>
    <w:rsid w:val="4D9C1254"/>
    <w:rsid w:val="4DA229B3"/>
    <w:rsid w:val="4DB1031F"/>
    <w:rsid w:val="4DB447D1"/>
    <w:rsid w:val="4DB80E34"/>
    <w:rsid w:val="4DC25072"/>
    <w:rsid w:val="4DCB4CA4"/>
    <w:rsid w:val="4DCB5B14"/>
    <w:rsid w:val="4DD21759"/>
    <w:rsid w:val="4DD3102D"/>
    <w:rsid w:val="4DF10C8C"/>
    <w:rsid w:val="4E083A40"/>
    <w:rsid w:val="4E151983"/>
    <w:rsid w:val="4E2335E5"/>
    <w:rsid w:val="4E4D2223"/>
    <w:rsid w:val="4E573A0C"/>
    <w:rsid w:val="4E7740AE"/>
    <w:rsid w:val="4E793892"/>
    <w:rsid w:val="4E800872"/>
    <w:rsid w:val="4E90715E"/>
    <w:rsid w:val="4E95707A"/>
    <w:rsid w:val="4EC569ED"/>
    <w:rsid w:val="4ED50EA1"/>
    <w:rsid w:val="4EEC050C"/>
    <w:rsid w:val="4F0D04BF"/>
    <w:rsid w:val="4F104EC3"/>
    <w:rsid w:val="4F1633CA"/>
    <w:rsid w:val="4F47354A"/>
    <w:rsid w:val="4F62571C"/>
    <w:rsid w:val="4F7A5C04"/>
    <w:rsid w:val="4F911C54"/>
    <w:rsid w:val="4FC5018F"/>
    <w:rsid w:val="4FDC7366"/>
    <w:rsid w:val="4FDD587F"/>
    <w:rsid w:val="4FE625E0"/>
    <w:rsid w:val="4FEF09CA"/>
    <w:rsid w:val="5021480F"/>
    <w:rsid w:val="50527546"/>
    <w:rsid w:val="5076676F"/>
    <w:rsid w:val="50795432"/>
    <w:rsid w:val="50962ECB"/>
    <w:rsid w:val="509F1FA5"/>
    <w:rsid w:val="50A42E38"/>
    <w:rsid w:val="50A4577F"/>
    <w:rsid w:val="50B73D1F"/>
    <w:rsid w:val="50BD049E"/>
    <w:rsid w:val="50BD5BC9"/>
    <w:rsid w:val="50C11EEE"/>
    <w:rsid w:val="50D852D8"/>
    <w:rsid w:val="50E97CFC"/>
    <w:rsid w:val="50EF43D0"/>
    <w:rsid w:val="50FA4028"/>
    <w:rsid w:val="510D65B7"/>
    <w:rsid w:val="511157AB"/>
    <w:rsid w:val="51256043"/>
    <w:rsid w:val="513C382A"/>
    <w:rsid w:val="5142540C"/>
    <w:rsid w:val="516809CB"/>
    <w:rsid w:val="5176689F"/>
    <w:rsid w:val="517D332A"/>
    <w:rsid w:val="518832C8"/>
    <w:rsid w:val="519D3C50"/>
    <w:rsid w:val="519D6B66"/>
    <w:rsid w:val="51A0432A"/>
    <w:rsid w:val="51A40D74"/>
    <w:rsid w:val="51A86090"/>
    <w:rsid w:val="51A90A23"/>
    <w:rsid w:val="51B7396D"/>
    <w:rsid w:val="51BB3024"/>
    <w:rsid w:val="51C06FBC"/>
    <w:rsid w:val="51CC6EC2"/>
    <w:rsid w:val="51F223CA"/>
    <w:rsid w:val="51F2795F"/>
    <w:rsid w:val="51FC57E6"/>
    <w:rsid w:val="520F4D44"/>
    <w:rsid w:val="52163191"/>
    <w:rsid w:val="52263AC6"/>
    <w:rsid w:val="522916A8"/>
    <w:rsid w:val="522E4CC3"/>
    <w:rsid w:val="523E0607"/>
    <w:rsid w:val="5244713B"/>
    <w:rsid w:val="52615633"/>
    <w:rsid w:val="526F4DE4"/>
    <w:rsid w:val="5272134C"/>
    <w:rsid w:val="529214B7"/>
    <w:rsid w:val="52977FD4"/>
    <w:rsid w:val="529813CF"/>
    <w:rsid w:val="52A25790"/>
    <w:rsid w:val="52A96B6F"/>
    <w:rsid w:val="52AF02BB"/>
    <w:rsid w:val="52B45975"/>
    <w:rsid w:val="52C8312A"/>
    <w:rsid w:val="52D753D2"/>
    <w:rsid w:val="52D94AA4"/>
    <w:rsid w:val="52DA2EF0"/>
    <w:rsid w:val="52E760A8"/>
    <w:rsid w:val="52EA3A62"/>
    <w:rsid w:val="52EC0BF4"/>
    <w:rsid w:val="52F50BB8"/>
    <w:rsid w:val="53097272"/>
    <w:rsid w:val="531427A3"/>
    <w:rsid w:val="53544462"/>
    <w:rsid w:val="53635DBB"/>
    <w:rsid w:val="536C5EBC"/>
    <w:rsid w:val="537242E3"/>
    <w:rsid w:val="5397158E"/>
    <w:rsid w:val="53D14261"/>
    <w:rsid w:val="53E6260A"/>
    <w:rsid w:val="53F109E6"/>
    <w:rsid w:val="54013861"/>
    <w:rsid w:val="54014B46"/>
    <w:rsid w:val="540208BE"/>
    <w:rsid w:val="540F3ADB"/>
    <w:rsid w:val="543C16DA"/>
    <w:rsid w:val="5444720F"/>
    <w:rsid w:val="54487265"/>
    <w:rsid w:val="544D6070"/>
    <w:rsid w:val="5459552B"/>
    <w:rsid w:val="54605E1E"/>
    <w:rsid w:val="54613836"/>
    <w:rsid w:val="548D4512"/>
    <w:rsid w:val="548D63DA"/>
    <w:rsid w:val="54A45253"/>
    <w:rsid w:val="54B3506A"/>
    <w:rsid w:val="54C23240"/>
    <w:rsid w:val="54C90683"/>
    <w:rsid w:val="54CA0D16"/>
    <w:rsid w:val="54DC2EBD"/>
    <w:rsid w:val="54DD4057"/>
    <w:rsid w:val="54E7490F"/>
    <w:rsid w:val="54FE200B"/>
    <w:rsid w:val="55043CB4"/>
    <w:rsid w:val="550764A4"/>
    <w:rsid w:val="550B2BF6"/>
    <w:rsid w:val="550F3998"/>
    <w:rsid w:val="55214EB5"/>
    <w:rsid w:val="55364EFD"/>
    <w:rsid w:val="55377F1F"/>
    <w:rsid w:val="555D4828"/>
    <w:rsid w:val="55690BF5"/>
    <w:rsid w:val="557A4C8B"/>
    <w:rsid w:val="557D6152"/>
    <w:rsid w:val="558931E1"/>
    <w:rsid w:val="558C48E3"/>
    <w:rsid w:val="55923347"/>
    <w:rsid w:val="55925180"/>
    <w:rsid w:val="55983B1B"/>
    <w:rsid w:val="55A8376B"/>
    <w:rsid w:val="55AB2614"/>
    <w:rsid w:val="55AF1B1C"/>
    <w:rsid w:val="55B611EB"/>
    <w:rsid w:val="55B73BD3"/>
    <w:rsid w:val="55DC29B6"/>
    <w:rsid w:val="55DD4241"/>
    <w:rsid w:val="55E262B1"/>
    <w:rsid w:val="55E81B1C"/>
    <w:rsid w:val="55FF50B5"/>
    <w:rsid w:val="5642720A"/>
    <w:rsid w:val="56496568"/>
    <w:rsid w:val="564C5482"/>
    <w:rsid w:val="566B6D1E"/>
    <w:rsid w:val="56835CE6"/>
    <w:rsid w:val="56A77ED4"/>
    <w:rsid w:val="56CC38D1"/>
    <w:rsid w:val="56E11E48"/>
    <w:rsid w:val="56F77495"/>
    <w:rsid w:val="57032A2C"/>
    <w:rsid w:val="570F5219"/>
    <w:rsid w:val="571E4796"/>
    <w:rsid w:val="574C432A"/>
    <w:rsid w:val="5751600B"/>
    <w:rsid w:val="575D12B5"/>
    <w:rsid w:val="57610A87"/>
    <w:rsid w:val="576178A6"/>
    <w:rsid w:val="577B1140"/>
    <w:rsid w:val="577B7F21"/>
    <w:rsid w:val="577F181B"/>
    <w:rsid w:val="579116BE"/>
    <w:rsid w:val="57921984"/>
    <w:rsid w:val="579737F0"/>
    <w:rsid w:val="57AB7B30"/>
    <w:rsid w:val="57AE6A43"/>
    <w:rsid w:val="57AF5251"/>
    <w:rsid w:val="57B26373"/>
    <w:rsid w:val="57B63F04"/>
    <w:rsid w:val="57CD20C2"/>
    <w:rsid w:val="57D675AB"/>
    <w:rsid w:val="57D73717"/>
    <w:rsid w:val="57D95FDD"/>
    <w:rsid w:val="57E22784"/>
    <w:rsid w:val="57E82409"/>
    <w:rsid w:val="57EA3B43"/>
    <w:rsid w:val="583A23D4"/>
    <w:rsid w:val="58461A08"/>
    <w:rsid w:val="58490869"/>
    <w:rsid w:val="58501BF8"/>
    <w:rsid w:val="586438F5"/>
    <w:rsid w:val="586D3A89"/>
    <w:rsid w:val="58727DC0"/>
    <w:rsid w:val="587C3B8A"/>
    <w:rsid w:val="588A5148"/>
    <w:rsid w:val="58900246"/>
    <w:rsid w:val="58917D2F"/>
    <w:rsid w:val="5894085C"/>
    <w:rsid w:val="58AE4F0C"/>
    <w:rsid w:val="58B85899"/>
    <w:rsid w:val="58E363A9"/>
    <w:rsid w:val="58EF598F"/>
    <w:rsid w:val="59044820"/>
    <w:rsid w:val="59166304"/>
    <w:rsid w:val="59301424"/>
    <w:rsid w:val="59372DB8"/>
    <w:rsid w:val="595E1678"/>
    <w:rsid w:val="59641C0A"/>
    <w:rsid w:val="59645A89"/>
    <w:rsid w:val="596D5BD4"/>
    <w:rsid w:val="597332A9"/>
    <w:rsid w:val="5978041C"/>
    <w:rsid w:val="597D222F"/>
    <w:rsid w:val="597E3DD8"/>
    <w:rsid w:val="59837DAB"/>
    <w:rsid w:val="59A0672C"/>
    <w:rsid w:val="59AC5554"/>
    <w:rsid w:val="59B352CD"/>
    <w:rsid w:val="59C450D9"/>
    <w:rsid w:val="59DE4FE1"/>
    <w:rsid w:val="59EF245F"/>
    <w:rsid w:val="59F80043"/>
    <w:rsid w:val="5A09252F"/>
    <w:rsid w:val="5A0B2778"/>
    <w:rsid w:val="5A2A7C7B"/>
    <w:rsid w:val="5A3E2560"/>
    <w:rsid w:val="5A49166C"/>
    <w:rsid w:val="5A4932C9"/>
    <w:rsid w:val="5A5D3B6E"/>
    <w:rsid w:val="5A637A76"/>
    <w:rsid w:val="5A647BDD"/>
    <w:rsid w:val="5A6D33BA"/>
    <w:rsid w:val="5A792B1F"/>
    <w:rsid w:val="5A874767"/>
    <w:rsid w:val="5A955FE8"/>
    <w:rsid w:val="5AA85BE2"/>
    <w:rsid w:val="5AA958C1"/>
    <w:rsid w:val="5AAD6F28"/>
    <w:rsid w:val="5AB21352"/>
    <w:rsid w:val="5AC0437F"/>
    <w:rsid w:val="5AC8016B"/>
    <w:rsid w:val="5AD63A24"/>
    <w:rsid w:val="5AEB1E12"/>
    <w:rsid w:val="5B25654A"/>
    <w:rsid w:val="5B2E1A1D"/>
    <w:rsid w:val="5B3C552A"/>
    <w:rsid w:val="5B461BF1"/>
    <w:rsid w:val="5B5C4D58"/>
    <w:rsid w:val="5B843432"/>
    <w:rsid w:val="5B843A1C"/>
    <w:rsid w:val="5B873E3F"/>
    <w:rsid w:val="5BBF1697"/>
    <w:rsid w:val="5BC55A61"/>
    <w:rsid w:val="5BEE3D39"/>
    <w:rsid w:val="5BF14800"/>
    <w:rsid w:val="5BF1724E"/>
    <w:rsid w:val="5C02690E"/>
    <w:rsid w:val="5C196DA7"/>
    <w:rsid w:val="5C2A048C"/>
    <w:rsid w:val="5C3435DF"/>
    <w:rsid w:val="5C3C7C98"/>
    <w:rsid w:val="5C4A5F64"/>
    <w:rsid w:val="5C6E4D42"/>
    <w:rsid w:val="5C80234E"/>
    <w:rsid w:val="5C883936"/>
    <w:rsid w:val="5C8A680C"/>
    <w:rsid w:val="5C9B540C"/>
    <w:rsid w:val="5CF76771"/>
    <w:rsid w:val="5CFA1A85"/>
    <w:rsid w:val="5CFB53B4"/>
    <w:rsid w:val="5CFF78B2"/>
    <w:rsid w:val="5D06720B"/>
    <w:rsid w:val="5D0C4701"/>
    <w:rsid w:val="5D0F0395"/>
    <w:rsid w:val="5D221076"/>
    <w:rsid w:val="5D2B1F4F"/>
    <w:rsid w:val="5D2C42B6"/>
    <w:rsid w:val="5D397964"/>
    <w:rsid w:val="5D3A51A7"/>
    <w:rsid w:val="5D3E14DB"/>
    <w:rsid w:val="5D5A391C"/>
    <w:rsid w:val="5D5F10C0"/>
    <w:rsid w:val="5D794F45"/>
    <w:rsid w:val="5D7F697E"/>
    <w:rsid w:val="5D891B7B"/>
    <w:rsid w:val="5D8F31C2"/>
    <w:rsid w:val="5D9603E5"/>
    <w:rsid w:val="5D9C2856"/>
    <w:rsid w:val="5DA75383"/>
    <w:rsid w:val="5DAD38EE"/>
    <w:rsid w:val="5DB524FD"/>
    <w:rsid w:val="5DC015CE"/>
    <w:rsid w:val="5DC310BE"/>
    <w:rsid w:val="5DD970EE"/>
    <w:rsid w:val="5DDE1A54"/>
    <w:rsid w:val="5E006862"/>
    <w:rsid w:val="5E0207B9"/>
    <w:rsid w:val="5E0D32C0"/>
    <w:rsid w:val="5E1834A1"/>
    <w:rsid w:val="5E261785"/>
    <w:rsid w:val="5E324EE3"/>
    <w:rsid w:val="5E325303"/>
    <w:rsid w:val="5E4141C2"/>
    <w:rsid w:val="5E4A7017"/>
    <w:rsid w:val="5E4B2D2D"/>
    <w:rsid w:val="5E552BBA"/>
    <w:rsid w:val="5E611C10"/>
    <w:rsid w:val="5E6D25AD"/>
    <w:rsid w:val="5E762B94"/>
    <w:rsid w:val="5E7A0F3F"/>
    <w:rsid w:val="5E993BCD"/>
    <w:rsid w:val="5EAA2AF4"/>
    <w:rsid w:val="5EC8426C"/>
    <w:rsid w:val="5EED40EC"/>
    <w:rsid w:val="5EF37781"/>
    <w:rsid w:val="5EFC7377"/>
    <w:rsid w:val="5F06174D"/>
    <w:rsid w:val="5F1E2A19"/>
    <w:rsid w:val="5F3A3602"/>
    <w:rsid w:val="5F3C4C84"/>
    <w:rsid w:val="5F45733B"/>
    <w:rsid w:val="5F520B89"/>
    <w:rsid w:val="5F6277C6"/>
    <w:rsid w:val="5F6366B5"/>
    <w:rsid w:val="5F6D0B1D"/>
    <w:rsid w:val="5F7B681C"/>
    <w:rsid w:val="5F7B6E87"/>
    <w:rsid w:val="5F8D0B82"/>
    <w:rsid w:val="5F8F56E7"/>
    <w:rsid w:val="5FC550E4"/>
    <w:rsid w:val="5FCB6008"/>
    <w:rsid w:val="5FCC5339"/>
    <w:rsid w:val="5FE34A5B"/>
    <w:rsid w:val="5FE35C69"/>
    <w:rsid w:val="5FFE1E36"/>
    <w:rsid w:val="60003F04"/>
    <w:rsid w:val="6004172D"/>
    <w:rsid w:val="600B5EB3"/>
    <w:rsid w:val="60232584"/>
    <w:rsid w:val="60252844"/>
    <w:rsid w:val="607330CE"/>
    <w:rsid w:val="60825176"/>
    <w:rsid w:val="608A5EC3"/>
    <w:rsid w:val="609647E0"/>
    <w:rsid w:val="60982218"/>
    <w:rsid w:val="609F2AC4"/>
    <w:rsid w:val="60B82A30"/>
    <w:rsid w:val="60BD3BA3"/>
    <w:rsid w:val="60C330AE"/>
    <w:rsid w:val="60E0295D"/>
    <w:rsid w:val="60E92BEA"/>
    <w:rsid w:val="60FA2EE8"/>
    <w:rsid w:val="61054A27"/>
    <w:rsid w:val="610A52BC"/>
    <w:rsid w:val="611D2366"/>
    <w:rsid w:val="61257885"/>
    <w:rsid w:val="612754C0"/>
    <w:rsid w:val="6141056D"/>
    <w:rsid w:val="61421856"/>
    <w:rsid w:val="6147287B"/>
    <w:rsid w:val="615227C4"/>
    <w:rsid w:val="61526F6E"/>
    <w:rsid w:val="61551709"/>
    <w:rsid w:val="615B6909"/>
    <w:rsid w:val="615E238B"/>
    <w:rsid w:val="61652E80"/>
    <w:rsid w:val="61654E3F"/>
    <w:rsid w:val="617701F5"/>
    <w:rsid w:val="6182292A"/>
    <w:rsid w:val="619F7F92"/>
    <w:rsid w:val="61BA6334"/>
    <w:rsid w:val="61C141FA"/>
    <w:rsid w:val="61C15914"/>
    <w:rsid w:val="61C5439E"/>
    <w:rsid w:val="61C807BC"/>
    <w:rsid w:val="61E81EE3"/>
    <w:rsid w:val="61ED7BB9"/>
    <w:rsid w:val="61F03696"/>
    <w:rsid w:val="61F94C26"/>
    <w:rsid w:val="62000E56"/>
    <w:rsid w:val="62043966"/>
    <w:rsid w:val="6228716A"/>
    <w:rsid w:val="624F3E49"/>
    <w:rsid w:val="62522A10"/>
    <w:rsid w:val="62580834"/>
    <w:rsid w:val="626200AF"/>
    <w:rsid w:val="62632286"/>
    <w:rsid w:val="62637767"/>
    <w:rsid w:val="627155B6"/>
    <w:rsid w:val="627B1F67"/>
    <w:rsid w:val="62885958"/>
    <w:rsid w:val="628C1A7E"/>
    <w:rsid w:val="6295025A"/>
    <w:rsid w:val="629E2D3B"/>
    <w:rsid w:val="62C27B96"/>
    <w:rsid w:val="62F31C3F"/>
    <w:rsid w:val="62F40B65"/>
    <w:rsid w:val="62F6339C"/>
    <w:rsid w:val="62FC2CFE"/>
    <w:rsid w:val="63024505"/>
    <w:rsid w:val="630737FB"/>
    <w:rsid w:val="63481296"/>
    <w:rsid w:val="635505B7"/>
    <w:rsid w:val="635600A5"/>
    <w:rsid w:val="635B1DB5"/>
    <w:rsid w:val="63711FED"/>
    <w:rsid w:val="63880DDC"/>
    <w:rsid w:val="638D750D"/>
    <w:rsid w:val="63AC6CC0"/>
    <w:rsid w:val="63B07EEF"/>
    <w:rsid w:val="63D21525"/>
    <w:rsid w:val="63EC5FEE"/>
    <w:rsid w:val="63F44780"/>
    <w:rsid w:val="64030141"/>
    <w:rsid w:val="64055776"/>
    <w:rsid w:val="64175A5B"/>
    <w:rsid w:val="64240056"/>
    <w:rsid w:val="64326656"/>
    <w:rsid w:val="643B1604"/>
    <w:rsid w:val="643E143A"/>
    <w:rsid w:val="64491666"/>
    <w:rsid w:val="64540CC2"/>
    <w:rsid w:val="645A5BAC"/>
    <w:rsid w:val="648B6EEF"/>
    <w:rsid w:val="649C354E"/>
    <w:rsid w:val="64AA2690"/>
    <w:rsid w:val="64C158BF"/>
    <w:rsid w:val="64CD176A"/>
    <w:rsid w:val="64CE2EAA"/>
    <w:rsid w:val="65294F03"/>
    <w:rsid w:val="653C3090"/>
    <w:rsid w:val="653D3504"/>
    <w:rsid w:val="655B2F90"/>
    <w:rsid w:val="655F0EAE"/>
    <w:rsid w:val="656B5366"/>
    <w:rsid w:val="65853702"/>
    <w:rsid w:val="65854376"/>
    <w:rsid w:val="658767BE"/>
    <w:rsid w:val="658820E9"/>
    <w:rsid w:val="65892531"/>
    <w:rsid w:val="65A01246"/>
    <w:rsid w:val="65BC7F16"/>
    <w:rsid w:val="660B715E"/>
    <w:rsid w:val="66195831"/>
    <w:rsid w:val="661B0E4D"/>
    <w:rsid w:val="662D5327"/>
    <w:rsid w:val="662E75B1"/>
    <w:rsid w:val="663012BB"/>
    <w:rsid w:val="66342C2E"/>
    <w:rsid w:val="663E784C"/>
    <w:rsid w:val="66805D9E"/>
    <w:rsid w:val="668B6A45"/>
    <w:rsid w:val="668C0B60"/>
    <w:rsid w:val="66A7157D"/>
    <w:rsid w:val="66AA44AC"/>
    <w:rsid w:val="66BA1100"/>
    <w:rsid w:val="66D03326"/>
    <w:rsid w:val="66D93700"/>
    <w:rsid w:val="66E05A1B"/>
    <w:rsid w:val="670544F5"/>
    <w:rsid w:val="671E1113"/>
    <w:rsid w:val="672F3F24"/>
    <w:rsid w:val="673E055F"/>
    <w:rsid w:val="6751439C"/>
    <w:rsid w:val="67551CE3"/>
    <w:rsid w:val="676034DA"/>
    <w:rsid w:val="676378A7"/>
    <w:rsid w:val="67672ABA"/>
    <w:rsid w:val="67827ECA"/>
    <w:rsid w:val="678554B6"/>
    <w:rsid w:val="67A22552"/>
    <w:rsid w:val="67B22DCC"/>
    <w:rsid w:val="67BE71AA"/>
    <w:rsid w:val="67D90273"/>
    <w:rsid w:val="67DE5875"/>
    <w:rsid w:val="67E55852"/>
    <w:rsid w:val="67EA7CCE"/>
    <w:rsid w:val="67EB1AB4"/>
    <w:rsid w:val="67FA1285"/>
    <w:rsid w:val="68172B1F"/>
    <w:rsid w:val="682B3AE8"/>
    <w:rsid w:val="6833299C"/>
    <w:rsid w:val="684E345F"/>
    <w:rsid w:val="68551F4F"/>
    <w:rsid w:val="687C10C9"/>
    <w:rsid w:val="68840C16"/>
    <w:rsid w:val="68866387"/>
    <w:rsid w:val="68876EFB"/>
    <w:rsid w:val="68884654"/>
    <w:rsid w:val="689F444F"/>
    <w:rsid w:val="68B51D37"/>
    <w:rsid w:val="68B82181"/>
    <w:rsid w:val="68B96DBB"/>
    <w:rsid w:val="68CA2805"/>
    <w:rsid w:val="68D0468F"/>
    <w:rsid w:val="68D27724"/>
    <w:rsid w:val="68D55EAE"/>
    <w:rsid w:val="68DE626F"/>
    <w:rsid w:val="68E937A3"/>
    <w:rsid w:val="68EB3277"/>
    <w:rsid w:val="68EC1B68"/>
    <w:rsid w:val="68FC1897"/>
    <w:rsid w:val="693E15D3"/>
    <w:rsid w:val="69407A67"/>
    <w:rsid w:val="69482477"/>
    <w:rsid w:val="694F177F"/>
    <w:rsid w:val="69531548"/>
    <w:rsid w:val="695B6585"/>
    <w:rsid w:val="69627681"/>
    <w:rsid w:val="6977531D"/>
    <w:rsid w:val="698D2EBA"/>
    <w:rsid w:val="69990490"/>
    <w:rsid w:val="699930D0"/>
    <w:rsid w:val="69CC2BFF"/>
    <w:rsid w:val="69E231EE"/>
    <w:rsid w:val="69EB29F3"/>
    <w:rsid w:val="69F30635"/>
    <w:rsid w:val="69FD55B8"/>
    <w:rsid w:val="6A0B1C62"/>
    <w:rsid w:val="6A2406C8"/>
    <w:rsid w:val="6A465B57"/>
    <w:rsid w:val="6AA43E1A"/>
    <w:rsid w:val="6AAB0F10"/>
    <w:rsid w:val="6AAC3401"/>
    <w:rsid w:val="6AB50B02"/>
    <w:rsid w:val="6ADA6B38"/>
    <w:rsid w:val="6ADE0BD1"/>
    <w:rsid w:val="6AE96859"/>
    <w:rsid w:val="6AED1528"/>
    <w:rsid w:val="6AF64A64"/>
    <w:rsid w:val="6B147746"/>
    <w:rsid w:val="6B166CD1"/>
    <w:rsid w:val="6B24787C"/>
    <w:rsid w:val="6B486645"/>
    <w:rsid w:val="6B510BC9"/>
    <w:rsid w:val="6B573233"/>
    <w:rsid w:val="6B5B5E18"/>
    <w:rsid w:val="6B5B6274"/>
    <w:rsid w:val="6B7B3CF2"/>
    <w:rsid w:val="6B847F5E"/>
    <w:rsid w:val="6B8D6D88"/>
    <w:rsid w:val="6B9023FF"/>
    <w:rsid w:val="6B935D53"/>
    <w:rsid w:val="6B9E5CFE"/>
    <w:rsid w:val="6BAC3618"/>
    <w:rsid w:val="6C044D7B"/>
    <w:rsid w:val="6C196F71"/>
    <w:rsid w:val="6C226FCB"/>
    <w:rsid w:val="6C277C1D"/>
    <w:rsid w:val="6C2B5723"/>
    <w:rsid w:val="6C2E1E2A"/>
    <w:rsid w:val="6C31226F"/>
    <w:rsid w:val="6C415E5A"/>
    <w:rsid w:val="6C5526F5"/>
    <w:rsid w:val="6C552F0B"/>
    <w:rsid w:val="6C5D623A"/>
    <w:rsid w:val="6C5F0204"/>
    <w:rsid w:val="6C677FCB"/>
    <w:rsid w:val="6C700663"/>
    <w:rsid w:val="6C7843B5"/>
    <w:rsid w:val="6C784EA9"/>
    <w:rsid w:val="6C7D1436"/>
    <w:rsid w:val="6C8C67B7"/>
    <w:rsid w:val="6C9D744C"/>
    <w:rsid w:val="6CE32BE3"/>
    <w:rsid w:val="6D03720A"/>
    <w:rsid w:val="6D167928"/>
    <w:rsid w:val="6D1A237D"/>
    <w:rsid w:val="6D21370B"/>
    <w:rsid w:val="6D26299B"/>
    <w:rsid w:val="6D4772EC"/>
    <w:rsid w:val="6D6C5DEC"/>
    <w:rsid w:val="6D8228B3"/>
    <w:rsid w:val="6D9078AF"/>
    <w:rsid w:val="6D922258"/>
    <w:rsid w:val="6DA00AD4"/>
    <w:rsid w:val="6DA0348B"/>
    <w:rsid w:val="6DAA3FEF"/>
    <w:rsid w:val="6DB12CE1"/>
    <w:rsid w:val="6DC0172B"/>
    <w:rsid w:val="6DCB690C"/>
    <w:rsid w:val="6DD41A5B"/>
    <w:rsid w:val="6DF43C2E"/>
    <w:rsid w:val="6DF51CA3"/>
    <w:rsid w:val="6E00303C"/>
    <w:rsid w:val="6E0607D2"/>
    <w:rsid w:val="6E25002E"/>
    <w:rsid w:val="6E2C2368"/>
    <w:rsid w:val="6E4678CD"/>
    <w:rsid w:val="6E58315D"/>
    <w:rsid w:val="6E8335BD"/>
    <w:rsid w:val="6E8E12EF"/>
    <w:rsid w:val="6E972936"/>
    <w:rsid w:val="6EB40202"/>
    <w:rsid w:val="6ED446C5"/>
    <w:rsid w:val="6EE214DD"/>
    <w:rsid w:val="6EE668F9"/>
    <w:rsid w:val="6F097745"/>
    <w:rsid w:val="6F0D345B"/>
    <w:rsid w:val="6F122880"/>
    <w:rsid w:val="6F130D38"/>
    <w:rsid w:val="6F285293"/>
    <w:rsid w:val="6F2A7D94"/>
    <w:rsid w:val="6F343BCA"/>
    <w:rsid w:val="6F60051B"/>
    <w:rsid w:val="6F8331F1"/>
    <w:rsid w:val="6F8A0D9E"/>
    <w:rsid w:val="6FAE1A09"/>
    <w:rsid w:val="6FB22D40"/>
    <w:rsid w:val="6FD75BF8"/>
    <w:rsid w:val="6FD76303"/>
    <w:rsid w:val="6FEC3DEB"/>
    <w:rsid w:val="6FF922DA"/>
    <w:rsid w:val="70001CFE"/>
    <w:rsid w:val="700659F8"/>
    <w:rsid w:val="700D583A"/>
    <w:rsid w:val="70297111"/>
    <w:rsid w:val="70390D6C"/>
    <w:rsid w:val="704020FA"/>
    <w:rsid w:val="70507A6D"/>
    <w:rsid w:val="705C33D8"/>
    <w:rsid w:val="707723D0"/>
    <w:rsid w:val="708F2CC4"/>
    <w:rsid w:val="708F6BB3"/>
    <w:rsid w:val="70904F00"/>
    <w:rsid w:val="70961D03"/>
    <w:rsid w:val="709B5B2E"/>
    <w:rsid w:val="70AB06C0"/>
    <w:rsid w:val="70B054D2"/>
    <w:rsid w:val="70B7508D"/>
    <w:rsid w:val="70F5661B"/>
    <w:rsid w:val="70FE283F"/>
    <w:rsid w:val="71125845"/>
    <w:rsid w:val="71357CB6"/>
    <w:rsid w:val="71360107"/>
    <w:rsid w:val="71374018"/>
    <w:rsid w:val="713B688E"/>
    <w:rsid w:val="71456569"/>
    <w:rsid w:val="714A4C8C"/>
    <w:rsid w:val="714E061E"/>
    <w:rsid w:val="716342F2"/>
    <w:rsid w:val="717128A4"/>
    <w:rsid w:val="71834994"/>
    <w:rsid w:val="718C1A9B"/>
    <w:rsid w:val="71A6677C"/>
    <w:rsid w:val="71AF1970"/>
    <w:rsid w:val="71D43752"/>
    <w:rsid w:val="71F1796A"/>
    <w:rsid w:val="7201383B"/>
    <w:rsid w:val="720D5704"/>
    <w:rsid w:val="72154626"/>
    <w:rsid w:val="72262B5D"/>
    <w:rsid w:val="72283FF7"/>
    <w:rsid w:val="722E7212"/>
    <w:rsid w:val="7232489D"/>
    <w:rsid w:val="723A0474"/>
    <w:rsid w:val="72435AEC"/>
    <w:rsid w:val="725923E4"/>
    <w:rsid w:val="7262796D"/>
    <w:rsid w:val="728531A8"/>
    <w:rsid w:val="72864BF7"/>
    <w:rsid w:val="729023FC"/>
    <w:rsid w:val="72A2709C"/>
    <w:rsid w:val="72AA7CFF"/>
    <w:rsid w:val="72CA5DE6"/>
    <w:rsid w:val="730B446C"/>
    <w:rsid w:val="73170003"/>
    <w:rsid w:val="732803ED"/>
    <w:rsid w:val="73551D32"/>
    <w:rsid w:val="735A1831"/>
    <w:rsid w:val="736032BE"/>
    <w:rsid w:val="73773186"/>
    <w:rsid w:val="73795218"/>
    <w:rsid w:val="7385387C"/>
    <w:rsid w:val="73C0646E"/>
    <w:rsid w:val="73CB43D1"/>
    <w:rsid w:val="73F152F7"/>
    <w:rsid w:val="73FE0302"/>
    <w:rsid w:val="742222F5"/>
    <w:rsid w:val="74326CDE"/>
    <w:rsid w:val="74476126"/>
    <w:rsid w:val="746C7962"/>
    <w:rsid w:val="74706664"/>
    <w:rsid w:val="747F3682"/>
    <w:rsid w:val="74930F19"/>
    <w:rsid w:val="749C4185"/>
    <w:rsid w:val="74AF48D2"/>
    <w:rsid w:val="74B530B7"/>
    <w:rsid w:val="74BA264A"/>
    <w:rsid w:val="74BB61F3"/>
    <w:rsid w:val="74C4779E"/>
    <w:rsid w:val="74ED5B50"/>
    <w:rsid w:val="74EE0377"/>
    <w:rsid w:val="74FE6679"/>
    <w:rsid w:val="75067759"/>
    <w:rsid w:val="75236DCA"/>
    <w:rsid w:val="752E6DCD"/>
    <w:rsid w:val="7551380D"/>
    <w:rsid w:val="75543963"/>
    <w:rsid w:val="755F69D9"/>
    <w:rsid w:val="75600BE5"/>
    <w:rsid w:val="756220B1"/>
    <w:rsid w:val="7564475C"/>
    <w:rsid w:val="75835FC5"/>
    <w:rsid w:val="7583797F"/>
    <w:rsid w:val="75917B29"/>
    <w:rsid w:val="75B07D22"/>
    <w:rsid w:val="75B74C0D"/>
    <w:rsid w:val="75C01326"/>
    <w:rsid w:val="75CC1203"/>
    <w:rsid w:val="75D20F1D"/>
    <w:rsid w:val="75DA2C18"/>
    <w:rsid w:val="75DA6B4D"/>
    <w:rsid w:val="75DD4A5B"/>
    <w:rsid w:val="75F223AC"/>
    <w:rsid w:val="75F54412"/>
    <w:rsid w:val="75F6649A"/>
    <w:rsid w:val="76077CC8"/>
    <w:rsid w:val="76105F0C"/>
    <w:rsid w:val="761D08E0"/>
    <w:rsid w:val="765D347C"/>
    <w:rsid w:val="76607052"/>
    <w:rsid w:val="766755D0"/>
    <w:rsid w:val="76826699"/>
    <w:rsid w:val="76830268"/>
    <w:rsid w:val="76A71125"/>
    <w:rsid w:val="76A870A5"/>
    <w:rsid w:val="76C87133"/>
    <w:rsid w:val="76CD08D5"/>
    <w:rsid w:val="76DB4B92"/>
    <w:rsid w:val="76E56B01"/>
    <w:rsid w:val="76EC264E"/>
    <w:rsid w:val="76F70D5B"/>
    <w:rsid w:val="77052AA4"/>
    <w:rsid w:val="77136511"/>
    <w:rsid w:val="77170059"/>
    <w:rsid w:val="77270EA4"/>
    <w:rsid w:val="772C1F70"/>
    <w:rsid w:val="77340A39"/>
    <w:rsid w:val="77351FD0"/>
    <w:rsid w:val="77407E24"/>
    <w:rsid w:val="77472422"/>
    <w:rsid w:val="774F0B38"/>
    <w:rsid w:val="77541BC5"/>
    <w:rsid w:val="7755292F"/>
    <w:rsid w:val="77726963"/>
    <w:rsid w:val="777F31F2"/>
    <w:rsid w:val="77BE0D98"/>
    <w:rsid w:val="77C163F0"/>
    <w:rsid w:val="77CB499F"/>
    <w:rsid w:val="77CD629B"/>
    <w:rsid w:val="77D1700D"/>
    <w:rsid w:val="77E44E04"/>
    <w:rsid w:val="77EC04CC"/>
    <w:rsid w:val="78075902"/>
    <w:rsid w:val="782303E7"/>
    <w:rsid w:val="786B1CDE"/>
    <w:rsid w:val="78775729"/>
    <w:rsid w:val="787D213D"/>
    <w:rsid w:val="78A42DB0"/>
    <w:rsid w:val="78A656AB"/>
    <w:rsid w:val="78B2245C"/>
    <w:rsid w:val="78B81351"/>
    <w:rsid w:val="78D16DFF"/>
    <w:rsid w:val="78E172CC"/>
    <w:rsid w:val="78EA1D1F"/>
    <w:rsid w:val="7904172F"/>
    <w:rsid w:val="790A14F7"/>
    <w:rsid w:val="790C1713"/>
    <w:rsid w:val="790F7E27"/>
    <w:rsid w:val="792A231A"/>
    <w:rsid w:val="792C05C1"/>
    <w:rsid w:val="79316829"/>
    <w:rsid w:val="7956298E"/>
    <w:rsid w:val="797E66A9"/>
    <w:rsid w:val="798518A4"/>
    <w:rsid w:val="798C6767"/>
    <w:rsid w:val="799040F2"/>
    <w:rsid w:val="79A13C0A"/>
    <w:rsid w:val="79A77132"/>
    <w:rsid w:val="79A97383"/>
    <w:rsid w:val="79DB5D52"/>
    <w:rsid w:val="79E27E8B"/>
    <w:rsid w:val="79E47F9A"/>
    <w:rsid w:val="79ED50A1"/>
    <w:rsid w:val="79F850CE"/>
    <w:rsid w:val="79FC3536"/>
    <w:rsid w:val="79FD443C"/>
    <w:rsid w:val="79FE72AE"/>
    <w:rsid w:val="7A1D1975"/>
    <w:rsid w:val="7A3E5150"/>
    <w:rsid w:val="7A4670D6"/>
    <w:rsid w:val="7A490096"/>
    <w:rsid w:val="7A534B63"/>
    <w:rsid w:val="7A615382"/>
    <w:rsid w:val="7A67303B"/>
    <w:rsid w:val="7A707A80"/>
    <w:rsid w:val="7A7641B0"/>
    <w:rsid w:val="7A812BFE"/>
    <w:rsid w:val="7AA80FC8"/>
    <w:rsid w:val="7AAB1D04"/>
    <w:rsid w:val="7ABA4368"/>
    <w:rsid w:val="7AC57DCC"/>
    <w:rsid w:val="7AD05746"/>
    <w:rsid w:val="7AE2272C"/>
    <w:rsid w:val="7AE24CA4"/>
    <w:rsid w:val="7B072192"/>
    <w:rsid w:val="7B0B0CDB"/>
    <w:rsid w:val="7B257FFD"/>
    <w:rsid w:val="7B343476"/>
    <w:rsid w:val="7B392C1B"/>
    <w:rsid w:val="7B5A2978"/>
    <w:rsid w:val="7B5A7E4C"/>
    <w:rsid w:val="7B612EBC"/>
    <w:rsid w:val="7B667AF9"/>
    <w:rsid w:val="7B6D3EA2"/>
    <w:rsid w:val="7B7468F8"/>
    <w:rsid w:val="7B9D4040"/>
    <w:rsid w:val="7BEA1762"/>
    <w:rsid w:val="7BEE0103"/>
    <w:rsid w:val="7BF31DA0"/>
    <w:rsid w:val="7C0A0FE4"/>
    <w:rsid w:val="7C254906"/>
    <w:rsid w:val="7C2823C0"/>
    <w:rsid w:val="7C37059C"/>
    <w:rsid w:val="7C590818"/>
    <w:rsid w:val="7C7C10F6"/>
    <w:rsid w:val="7C853BEA"/>
    <w:rsid w:val="7C881368"/>
    <w:rsid w:val="7C8820A3"/>
    <w:rsid w:val="7CA21841"/>
    <w:rsid w:val="7CB403D5"/>
    <w:rsid w:val="7CDC13FD"/>
    <w:rsid w:val="7CE27788"/>
    <w:rsid w:val="7CF15BD5"/>
    <w:rsid w:val="7D060228"/>
    <w:rsid w:val="7D080444"/>
    <w:rsid w:val="7D0C32F1"/>
    <w:rsid w:val="7D0F408D"/>
    <w:rsid w:val="7D126BCC"/>
    <w:rsid w:val="7D195AC8"/>
    <w:rsid w:val="7D1E0D46"/>
    <w:rsid w:val="7D276B1C"/>
    <w:rsid w:val="7D491C6C"/>
    <w:rsid w:val="7D4E1EEA"/>
    <w:rsid w:val="7D5247C9"/>
    <w:rsid w:val="7D5429C0"/>
    <w:rsid w:val="7D6E6D43"/>
    <w:rsid w:val="7D974B56"/>
    <w:rsid w:val="7DA017BC"/>
    <w:rsid w:val="7DB27B05"/>
    <w:rsid w:val="7DB57A34"/>
    <w:rsid w:val="7DE60973"/>
    <w:rsid w:val="7DE65520"/>
    <w:rsid w:val="7DEF0916"/>
    <w:rsid w:val="7E105802"/>
    <w:rsid w:val="7E1E5218"/>
    <w:rsid w:val="7E215C47"/>
    <w:rsid w:val="7E2C27CE"/>
    <w:rsid w:val="7E3E411D"/>
    <w:rsid w:val="7E437985"/>
    <w:rsid w:val="7E4C41F6"/>
    <w:rsid w:val="7E5E46CC"/>
    <w:rsid w:val="7E633B84"/>
    <w:rsid w:val="7E755665"/>
    <w:rsid w:val="7E9A4E1F"/>
    <w:rsid w:val="7EA7723A"/>
    <w:rsid w:val="7EB62349"/>
    <w:rsid w:val="7EBE700C"/>
    <w:rsid w:val="7EC34F75"/>
    <w:rsid w:val="7ECC39DB"/>
    <w:rsid w:val="7ECF1219"/>
    <w:rsid w:val="7ED755DB"/>
    <w:rsid w:val="7EF56FBB"/>
    <w:rsid w:val="7F0768EB"/>
    <w:rsid w:val="7F143BEC"/>
    <w:rsid w:val="7F3215D4"/>
    <w:rsid w:val="7F3300B5"/>
    <w:rsid w:val="7F390D88"/>
    <w:rsid w:val="7F3E014D"/>
    <w:rsid w:val="7F42147D"/>
    <w:rsid w:val="7F531E4A"/>
    <w:rsid w:val="7F6477A9"/>
    <w:rsid w:val="7F6776A3"/>
    <w:rsid w:val="7F715AF2"/>
    <w:rsid w:val="7F886E69"/>
    <w:rsid w:val="7FF22B3C"/>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6"/>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3"/>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next w:val="1"/>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1"/>
    <w:qFormat/>
    <w:uiPriority w:val="0"/>
    <w:rPr>
      <w:b/>
      <w:bCs/>
    </w:rPr>
  </w:style>
  <w:style w:type="paragraph" w:styleId="60">
    <w:name w:val="Body Text First Indent"/>
    <w:basedOn w:val="1"/>
    <w:link w:val="324"/>
    <w:qFormat/>
    <w:uiPriority w:val="0"/>
    <w:pPr>
      <w:ind w:firstLine="420"/>
    </w:pPr>
    <w:rPr>
      <w:rFonts w:hAnsi="Calibri" w:cs="Times New Roman"/>
      <w:snapToGrid/>
      <w:szCs w:val="20"/>
    </w:rPr>
  </w:style>
  <w:style w:type="paragraph" w:styleId="61">
    <w:name w:val="Body Text First Indent 2"/>
    <w:basedOn w:val="24"/>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1">
    <w:name w:val="样式3"/>
    <w:basedOn w:val="32"/>
    <w:qFormat/>
    <w:uiPriority w:val="0"/>
    <w:pPr>
      <w:tabs>
        <w:tab w:val="left" w:pos="2790"/>
        <w:tab w:val="left" w:pos="4230"/>
      </w:tabs>
      <w:spacing w:before="312" w:beforeLines="100"/>
      <w:jc w:val="left"/>
    </w:pPr>
  </w:style>
  <w:style w:type="paragraph" w:customStyle="1" w:styleId="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Body Text First Indent 21"/>
    <w:basedOn w:val="84"/>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84">
    <w:name w:val="Body Text Indent1"/>
    <w:basedOn w:val="1"/>
    <w:next w:val="1"/>
    <w:qFormat/>
    <w:uiPriority w:val="0"/>
    <w:pPr>
      <w:spacing w:after="120" w:afterLines="0"/>
      <w:ind w:left="420" w:leftChars="200"/>
    </w:pPr>
    <w:rPr>
      <w:color w:val="000000"/>
      <w:sz w:val="21"/>
      <w:szCs w:val="21"/>
    </w:rPr>
  </w:style>
  <w:style w:type="paragraph" w:customStyle="1" w:styleId="85">
    <w:name w:val="_Style 3"/>
    <w:basedOn w:val="1"/>
    <w:qFormat/>
    <w:uiPriority w:val="0"/>
    <w:pPr>
      <w:adjustRightInd/>
      <w:ind w:firstLine="420" w:firstLineChars="200"/>
    </w:pPr>
    <w:rPr>
      <w:rFonts w:eastAsia="仿宋_GB2312"/>
      <w:sz w:val="28"/>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59"/>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1"/>
    <w:qFormat/>
    <w:uiPriority w:val="0"/>
    <w:rPr>
      <w:rFonts w:ascii="宋体" w:hAnsi="宋体"/>
      <w:kern w:val="2"/>
      <w:sz w:val="21"/>
      <w:szCs w:val="24"/>
    </w:rPr>
  </w:style>
  <w:style w:type="character" w:customStyle="1" w:styleId="127">
    <w:name w:val="font11"/>
    <w:basedOn w:val="69"/>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basedOn w:val="69"/>
    <w:qFormat/>
    <w:uiPriority w:val="0"/>
    <w:rPr>
      <w:rFonts w:hint="eastAsia" w:ascii="仿宋_GB2312" w:eastAsia="仿宋_GB2312" w:cs="仿宋_GB2312"/>
      <w:color w:val="000000"/>
      <w:sz w:val="22"/>
      <w:szCs w:val="22"/>
      <w:u w:val="none"/>
    </w:rPr>
  </w:style>
  <w:style w:type="character" w:customStyle="1" w:styleId="152">
    <w:name w:val="标题 6 Char"/>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5"/>
    <w:qFormat/>
    <w:uiPriority w:val="0"/>
    <w:rPr>
      <w:rFonts w:ascii="宋体"/>
      <w:kern w:val="2"/>
      <w:sz w:val="24"/>
      <w:szCs w:val="21"/>
      <w:lang w:val="zh-CN"/>
    </w:rPr>
  </w:style>
  <w:style w:type="character" w:customStyle="1" w:styleId="187">
    <w:name w:val="标题 9 Char"/>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0"/>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8"/>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basedOn w:val="69"/>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29"/>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79"/>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6"/>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basedOn w:val="69"/>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69"/>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0"/>
    <w:rPr>
      <w:kern w:val="2"/>
      <w:sz w:val="21"/>
      <w:szCs w:val="24"/>
    </w:rPr>
  </w:style>
  <w:style w:type="character" w:customStyle="1" w:styleId="348">
    <w:name w:val="签名 Char"/>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69"/>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6"/>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6"/>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5">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WPSOffice手动目录 1"/>
    <w:qFormat/>
    <w:uiPriority w:val="0"/>
    <w:pPr>
      <w:ind w:leftChars="0"/>
    </w:pPr>
    <w:rPr>
      <w:rFonts w:ascii="Times New Roman" w:hAnsi="Times New Roman" w:eastAsia="宋体" w:cs="Times New Roman"/>
      <w:sz w:val="20"/>
      <w:szCs w:val="20"/>
    </w:rPr>
  </w:style>
  <w:style w:type="paragraph" w:customStyle="1" w:styleId="967">
    <w:name w:val="列表段落"/>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7197</Words>
  <Characters>7893</Characters>
  <Lines>1</Lines>
  <Paragraphs>1</Paragraphs>
  <TotalTime>2</TotalTime>
  <ScaleCrop>false</ScaleCrop>
  <LinksUpToDate>false</LinksUpToDate>
  <CharactersWithSpaces>8220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朱同学。</cp:lastModifiedBy>
  <cp:lastPrinted>2023-03-28T06:19:00Z</cp:lastPrinted>
  <dcterms:modified xsi:type="dcterms:W3CDTF">2025-04-18T08:04:48Z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39E7A750409B4B539DB0A4787C3B3F15_13</vt:lpwstr>
  </property>
  <property fmtid="{D5CDD505-2E9C-101B-9397-08002B2CF9AE}" pid="5" name="KSOTemplateDocerSaveRecord">
    <vt:lpwstr>eyJoZGlkIjoiMDc1NDI0OTFhZGFlZDc0OTlhZjI2NTdiOTJhMDU4ZWIiLCJ1c2VySWQiOiIyNjc3NzMxNzIifQ==</vt:lpwstr>
  </property>
</Properties>
</file>