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40ED">
      <w:pPr>
        <w:spacing w:line="360" w:lineRule="auto"/>
        <w:jc w:val="center"/>
        <w:rPr>
          <w:rFonts w:hint="eastAsia" w:ascii="宋体" w:hAnsi="宋体" w:cs="宋体"/>
          <w:b/>
          <w:sz w:val="24"/>
        </w:rPr>
      </w:pPr>
    </w:p>
    <w:p w14:paraId="6A2E3F23">
      <w:pPr>
        <w:adjustRightInd/>
        <w:spacing w:line="360" w:lineRule="auto"/>
        <w:jc w:val="center"/>
        <w:rPr>
          <w:rFonts w:hint="eastAsia" w:ascii="宋体" w:hAnsi="宋体" w:cs="宋体"/>
          <w:b/>
          <w:sz w:val="48"/>
          <w:szCs w:val="48"/>
        </w:rPr>
      </w:pPr>
    </w:p>
    <w:p w14:paraId="290F9DC2"/>
    <w:p w14:paraId="72E9A6FE">
      <w:pPr>
        <w:adjustRightInd/>
        <w:spacing w:line="360" w:lineRule="auto"/>
        <w:jc w:val="center"/>
        <w:rPr>
          <w:rFonts w:hint="eastAsia" w:ascii="宋体" w:hAnsi="宋体" w:cs="宋体"/>
          <w:sz w:val="48"/>
          <w:szCs w:val="48"/>
        </w:rPr>
      </w:pPr>
      <w:r>
        <w:rPr>
          <w:rFonts w:hint="eastAsia" w:ascii="宋体" w:hAnsi="宋体" w:cs="宋体"/>
          <w:sz w:val="48"/>
          <w:szCs w:val="48"/>
        </w:rPr>
        <w:t>招标文件 （货物）</w:t>
      </w:r>
    </w:p>
    <w:p w14:paraId="6EA9EB53">
      <w:pPr>
        <w:adjustRightInd/>
        <w:spacing w:line="360" w:lineRule="auto"/>
        <w:jc w:val="center"/>
        <w:rPr>
          <w:rFonts w:hint="eastAsia" w:ascii="宋体" w:hAnsi="宋体" w:cs="宋体"/>
          <w:b/>
          <w:sz w:val="44"/>
          <w:szCs w:val="44"/>
        </w:rPr>
      </w:pPr>
      <w:r>
        <w:rPr>
          <w:rFonts w:hint="eastAsia" w:ascii="宋体" w:hAnsi="宋体" w:cs="宋体"/>
          <w:b/>
          <w:sz w:val="44"/>
          <w:szCs w:val="44"/>
        </w:rPr>
        <w:t xml:space="preserve"> （电子招投标）</w:t>
      </w:r>
    </w:p>
    <w:p w14:paraId="4A72DE56">
      <w:pPr>
        <w:snapToGrid w:val="0"/>
        <w:spacing w:line="360" w:lineRule="auto"/>
        <w:jc w:val="left"/>
        <w:rPr>
          <w:rFonts w:hint="eastAsia" w:ascii="宋体" w:hAnsi="宋体" w:cs="宋体"/>
          <w:sz w:val="30"/>
          <w:szCs w:val="30"/>
        </w:rPr>
      </w:pPr>
    </w:p>
    <w:p w14:paraId="0942B4F6">
      <w:pPr>
        <w:snapToGrid w:val="0"/>
        <w:spacing w:line="360" w:lineRule="auto"/>
        <w:jc w:val="left"/>
        <w:rPr>
          <w:rFonts w:hint="eastAsia" w:ascii="宋体" w:hAnsi="宋体" w:cs="宋体"/>
          <w:sz w:val="30"/>
          <w:szCs w:val="30"/>
        </w:rPr>
      </w:pPr>
    </w:p>
    <w:p w14:paraId="2D1D1932">
      <w:pPr>
        <w:snapToGrid w:val="0"/>
        <w:spacing w:line="360" w:lineRule="auto"/>
        <w:jc w:val="left"/>
        <w:rPr>
          <w:rFonts w:hint="eastAsia" w:ascii="宋体" w:hAnsi="宋体" w:cs="宋体"/>
          <w:sz w:val="30"/>
          <w:szCs w:val="30"/>
        </w:rPr>
      </w:pPr>
      <w:r>
        <w:rPr>
          <w:rFonts w:hint="eastAsia" w:ascii="宋体" w:hAnsi="宋体" w:cs="宋体"/>
          <w:sz w:val="30"/>
          <w:szCs w:val="30"/>
        </w:rPr>
        <w:t xml:space="preserve">项目编号：CBZJ-20256046G   </w:t>
      </w:r>
    </w:p>
    <w:p w14:paraId="1047D55B">
      <w:pPr>
        <w:snapToGrid w:val="0"/>
        <w:spacing w:line="360" w:lineRule="auto"/>
        <w:jc w:val="left"/>
        <w:rPr>
          <w:rFonts w:hint="eastAsia" w:ascii="宋体" w:hAnsi="宋体" w:cs="宋体"/>
          <w:sz w:val="30"/>
          <w:szCs w:val="30"/>
        </w:rPr>
      </w:pPr>
      <w:r>
        <w:rPr>
          <w:rFonts w:hint="eastAsia" w:ascii="宋体" w:hAnsi="宋体" w:cs="宋体"/>
          <w:sz w:val="30"/>
          <w:szCs w:val="30"/>
        </w:rPr>
        <w:t>项目名称：宁海县教育局下属学校一职高等网络改造项目</w:t>
      </w:r>
    </w:p>
    <w:p w14:paraId="58FF5EDB">
      <w:pPr>
        <w:adjustRightInd/>
        <w:spacing w:line="360" w:lineRule="auto"/>
        <w:rPr>
          <w:rFonts w:hint="eastAsia" w:ascii="宋体" w:hAnsi="宋体" w:cs="宋体"/>
          <w:sz w:val="28"/>
          <w:szCs w:val="20"/>
        </w:rPr>
      </w:pPr>
    </w:p>
    <w:p w14:paraId="5765C2CF">
      <w:pPr>
        <w:spacing w:line="360" w:lineRule="auto"/>
        <w:jc w:val="center"/>
        <w:rPr>
          <w:rFonts w:hint="eastAsia" w:ascii="宋体" w:hAnsi="宋体" w:cs="宋体"/>
          <w:b/>
          <w:sz w:val="44"/>
          <w:szCs w:val="44"/>
        </w:rPr>
      </w:pPr>
      <w:r>
        <w:rPr>
          <w:rFonts w:hint="eastAsia" w:ascii="宋体" w:hAnsi="宋体" w:cs="宋体"/>
          <w:b/>
          <w:sz w:val="44"/>
          <w:szCs w:val="44"/>
        </w:rPr>
        <w:t xml:space="preserve"> </w:t>
      </w:r>
    </w:p>
    <w:p w14:paraId="126FBA6C">
      <w:pPr>
        <w:spacing w:line="360" w:lineRule="auto"/>
        <w:jc w:val="center"/>
        <w:rPr>
          <w:rFonts w:hint="eastAsia" w:ascii="宋体" w:hAnsi="宋体" w:cs="宋体"/>
          <w:b/>
          <w:sz w:val="44"/>
          <w:szCs w:val="44"/>
        </w:rPr>
      </w:pPr>
    </w:p>
    <w:p w14:paraId="53AD9D01">
      <w:pPr>
        <w:spacing w:line="360" w:lineRule="auto"/>
        <w:jc w:val="center"/>
        <w:rPr>
          <w:rFonts w:hint="eastAsia" w:ascii="宋体" w:hAnsi="宋体" w:cs="宋体"/>
          <w:sz w:val="24"/>
        </w:rPr>
      </w:pPr>
    </w:p>
    <w:p w14:paraId="62D50C6E">
      <w:pPr>
        <w:spacing w:line="360" w:lineRule="auto"/>
        <w:rPr>
          <w:rFonts w:hint="eastAsia" w:ascii="宋体" w:hAnsi="宋体" w:cs="宋体"/>
          <w:sz w:val="32"/>
          <w:szCs w:val="32"/>
        </w:rPr>
      </w:pPr>
    </w:p>
    <w:p w14:paraId="6CECEB4C">
      <w:pPr>
        <w:spacing w:line="360" w:lineRule="auto"/>
        <w:jc w:val="center"/>
        <w:rPr>
          <w:rFonts w:hint="eastAsia" w:ascii="宋体" w:hAnsi="宋体" w:cs="宋体"/>
          <w:bCs/>
          <w:sz w:val="32"/>
          <w:szCs w:val="32"/>
        </w:rPr>
      </w:pPr>
      <w:r>
        <w:rPr>
          <w:rFonts w:hint="eastAsia" w:ascii="宋体" w:hAnsi="宋体" w:cs="宋体"/>
          <w:bCs/>
          <w:sz w:val="32"/>
          <w:szCs w:val="32"/>
        </w:rPr>
        <w:t>采购人：宁海县教育局装备与信息管理中心</w:t>
      </w:r>
    </w:p>
    <w:p w14:paraId="676283C4">
      <w:pPr>
        <w:spacing w:line="360" w:lineRule="auto"/>
        <w:jc w:val="center"/>
        <w:rPr>
          <w:rFonts w:hint="eastAsia" w:ascii="宋体" w:hAnsi="宋体" w:cs="宋体"/>
          <w:bCs/>
          <w:sz w:val="32"/>
          <w:szCs w:val="32"/>
        </w:rPr>
      </w:pPr>
      <w:r>
        <w:rPr>
          <w:rFonts w:hint="eastAsia" w:ascii="宋体" w:hAnsi="宋体" w:cs="宋体"/>
          <w:bCs/>
          <w:sz w:val="32"/>
          <w:szCs w:val="32"/>
        </w:rPr>
        <w:t>采购代理机构：浙江中基正采管理咨询有限公司</w:t>
      </w:r>
    </w:p>
    <w:p w14:paraId="1AA35494">
      <w:pPr>
        <w:snapToGrid w:val="0"/>
        <w:spacing w:line="360" w:lineRule="auto"/>
        <w:jc w:val="center"/>
        <w:rPr>
          <w:rFonts w:hint="eastAsia" w:ascii="宋体" w:hAnsi="宋体" w:cs="宋体"/>
          <w:bCs/>
          <w:sz w:val="32"/>
          <w:szCs w:val="32"/>
        </w:rPr>
      </w:pPr>
    </w:p>
    <w:p w14:paraId="20617C0A">
      <w:pPr>
        <w:snapToGrid w:val="0"/>
        <w:spacing w:line="360" w:lineRule="auto"/>
        <w:jc w:val="center"/>
        <w:rPr>
          <w:rFonts w:hint="eastAsia" w:ascii="宋体" w:hAnsi="宋体" w:cs="宋体"/>
          <w:bCs/>
          <w:sz w:val="32"/>
          <w:szCs w:val="32"/>
        </w:rPr>
      </w:pPr>
      <w:r>
        <w:rPr>
          <w:rFonts w:hint="eastAsia" w:ascii="宋体" w:hAnsi="宋体" w:cs="宋体"/>
          <w:bCs/>
          <w:sz w:val="32"/>
          <w:szCs w:val="32"/>
        </w:rPr>
        <w:t>二〇二五年四月</w:t>
      </w:r>
    </w:p>
    <w:p w14:paraId="707A2C6C">
      <w:pPr>
        <w:rPr>
          <w:rFonts w:hint="eastAsia" w:ascii="宋体" w:hAnsi="宋体" w:cs="宋体"/>
          <w:sz w:val="24"/>
        </w:rPr>
      </w:pPr>
      <w:r>
        <w:rPr>
          <w:rFonts w:hint="eastAsia" w:ascii="宋体" w:hAnsi="宋体" w:cs="宋体"/>
          <w:sz w:val="24"/>
        </w:rPr>
        <w:br w:type="page"/>
      </w:r>
    </w:p>
    <w:p w14:paraId="5F0FD2DF">
      <w:pPr>
        <w:spacing w:line="360" w:lineRule="auto"/>
        <w:jc w:val="center"/>
        <w:rPr>
          <w:rFonts w:hint="eastAsia" w:ascii="宋体" w:hAnsi="宋体" w:cs="宋体"/>
          <w:sz w:val="24"/>
        </w:rPr>
      </w:pPr>
      <w:r>
        <w:rPr>
          <w:rFonts w:hint="eastAsia" w:ascii="宋体" w:hAnsi="宋体" w:cs="宋体"/>
          <w:sz w:val="24"/>
        </w:rPr>
        <w:br w:type="page"/>
      </w:r>
      <w:bookmarkStart w:id="0" w:name="_Hlt67893495"/>
      <w:bookmarkEnd w:id="0"/>
    </w:p>
    <w:p w14:paraId="79B73A4C">
      <w:pPr>
        <w:spacing w:line="360" w:lineRule="auto"/>
        <w:jc w:val="center"/>
        <w:rPr>
          <w:rFonts w:hint="eastAsia" w:ascii="宋体" w:hAnsi="宋体" w:cs="宋体"/>
          <w:sz w:val="24"/>
        </w:rPr>
      </w:pPr>
    </w:p>
    <w:p w14:paraId="3BEB4CAE">
      <w:pPr>
        <w:spacing w:line="360" w:lineRule="auto"/>
        <w:jc w:val="center"/>
        <w:rPr>
          <w:rFonts w:hint="eastAsia" w:ascii="宋体" w:hAnsi="宋体" w:cs="宋体"/>
          <w:b/>
          <w:sz w:val="48"/>
          <w:szCs w:val="48"/>
        </w:rPr>
      </w:pPr>
    </w:p>
    <w:p w14:paraId="17E43B2F">
      <w:pPr>
        <w:spacing w:line="360" w:lineRule="auto"/>
        <w:jc w:val="center"/>
        <w:rPr>
          <w:rFonts w:hint="eastAsia" w:ascii="宋体" w:hAnsi="宋体" w:cs="宋体"/>
          <w:b/>
          <w:sz w:val="48"/>
          <w:szCs w:val="48"/>
        </w:rPr>
      </w:pPr>
      <w:r>
        <w:rPr>
          <w:rFonts w:hint="eastAsia" w:ascii="宋体" w:hAnsi="宋体" w:cs="宋体"/>
          <w:b/>
          <w:sz w:val="48"/>
          <w:szCs w:val="48"/>
        </w:rPr>
        <w:t>目  录</w:t>
      </w:r>
    </w:p>
    <w:sdt>
      <w:sdtPr>
        <w:rPr>
          <w:rFonts w:ascii="宋体" w:hAnsi="宋体"/>
        </w:rPr>
        <w:id w:val="147454320"/>
        <w15:color w:val="DBDBDB"/>
        <w:docPartObj>
          <w:docPartGallery w:val="Table of Contents"/>
          <w:docPartUnique/>
        </w:docPartObj>
      </w:sdtPr>
      <w:sdtEndPr>
        <w:rPr>
          <w:rFonts w:ascii="宋体" w:hAnsi="宋体" w:cs="宋体"/>
          <w:szCs w:val="32"/>
        </w:rPr>
      </w:sdtEndPr>
      <w:sdtContent>
        <w:p w14:paraId="2B63B62C">
          <w:pPr>
            <w:jc w:val="center"/>
          </w:pPr>
        </w:p>
        <w:p w14:paraId="718E158F">
          <w:pPr>
            <w:pStyle w:val="42"/>
            <w:tabs>
              <w:tab w:val="right" w:leader="dot" w:pos="9070"/>
            </w:tabs>
            <w:spacing w:line="360" w:lineRule="auto"/>
            <w:rPr>
              <w:rFonts w:hint="eastAsia"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"_Toc9238" </w:instrText>
          </w:r>
          <w:r>
            <w:fldChar w:fldCharType="separate"/>
          </w:r>
          <w:r>
            <w:rPr>
              <w:rFonts w:hint="eastAsia" w:ascii="宋体" w:hAnsi="宋体" w:cs="宋体"/>
              <w:sz w:val="32"/>
              <w:szCs w:val="32"/>
            </w:rPr>
            <w:t>第一部分  招标公告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_Toc9238 \h </w:instrText>
          </w:r>
          <w:r>
            <w:rPr>
              <w:rFonts w:hint="eastAsia" w:ascii="宋体" w:hAnsi="宋体" w:cs="宋体"/>
              <w:sz w:val="32"/>
              <w:szCs w:val="32"/>
            </w:rPr>
            <w:fldChar w:fldCharType="separate"/>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fldChar w:fldCharType="end"/>
          </w:r>
        </w:p>
        <w:p w14:paraId="4901C95B">
          <w:pPr>
            <w:pStyle w:val="42"/>
            <w:tabs>
              <w:tab w:val="right" w:leader="dot" w:pos="9070"/>
            </w:tabs>
            <w:spacing w:line="360" w:lineRule="auto"/>
            <w:rPr>
              <w:rFonts w:hint="eastAsia" w:ascii="宋体" w:hAnsi="宋体" w:cs="宋体"/>
              <w:sz w:val="32"/>
              <w:szCs w:val="32"/>
            </w:rPr>
          </w:pPr>
          <w:r>
            <w:fldChar w:fldCharType="begin"/>
          </w:r>
          <w:r>
            <w:instrText xml:space="preserve"> HYPERLINK \l "_Toc29691" </w:instrText>
          </w:r>
          <w:r>
            <w:fldChar w:fldCharType="separate"/>
          </w:r>
          <w:r>
            <w:rPr>
              <w:rFonts w:hint="eastAsia" w:ascii="宋体" w:hAnsi="宋体" w:cs="宋体"/>
              <w:sz w:val="32"/>
              <w:szCs w:val="32"/>
            </w:rPr>
            <w:t>第二部分  供应商须知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_Toc29691 \h </w:instrText>
          </w:r>
          <w:r>
            <w:rPr>
              <w:rFonts w:hint="eastAsia" w:ascii="宋体" w:hAnsi="宋体" w:cs="宋体"/>
              <w:sz w:val="32"/>
              <w:szCs w:val="32"/>
            </w:rPr>
            <w:fldChar w:fldCharType="separate"/>
          </w:r>
          <w:r>
            <w:rPr>
              <w:rFonts w:hint="eastAsia"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14:paraId="26A50992">
          <w:pPr>
            <w:pStyle w:val="42"/>
            <w:tabs>
              <w:tab w:val="right" w:leader="dot" w:pos="9070"/>
            </w:tabs>
            <w:spacing w:line="360" w:lineRule="auto"/>
            <w:rPr>
              <w:rFonts w:hint="eastAsia" w:ascii="宋体" w:hAnsi="宋体" w:cs="宋体"/>
              <w:sz w:val="32"/>
              <w:szCs w:val="32"/>
            </w:rPr>
          </w:pPr>
          <w:r>
            <w:fldChar w:fldCharType="begin"/>
          </w:r>
          <w:r>
            <w:instrText xml:space="preserve"> HYPERLINK \l "_Toc26044" </w:instrText>
          </w:r>
          <w:r>
            <w:fldChar w:fldCharType="separate"/>
          </w:r>
          <w:r>
            <w:rPr>
              <w:rFonts w:hint="eastAsia" w:ascii="宋体" w:hAnsi="宋体" w:cs="宋体"/>
              <w:sz w:val="32"/>
              <w:szCs w:val="32"/>
            </w:rPr>
            <w:t>第三部分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_Toc26044 \h </w:instrText>
          </w:r>
          <w:r>
            <w:rPr>
              <w:rFonts w:hint="eastAsia" w:ascii="宋体" w:hAnsi="宋体" w:cs="宋体"/>
              <w:sz w:val="32"/>
              <w:szCs w:val="32"/>
            </w:rPr>
            <w:fldChar w:fldCharType="separate"/>
          </w:r>
          <w:r>
            <w:rPr>
              <w:rFonts w:hint="eastAsia" w:ascii="宋体" w:hAnsi="宋体" w:cs="宋体"/>
              <w:sz w:val="32"/>
              <w:szCs w:val="32"/>
            </w:rPr>
            <w:t>22</w:t>
          </w:r>
          <w:r>
            <w:rPr>
              <w:rFonts w:hint="eastAsia" w:ascii="宋体" w:hAnsi="宋体" w:cs="宋体"/>
              <w:sz w:val="32"/>
              <w:szCs w:val="32"/>
            </w:rPr>
            <w:fldChar w:fldCharType="end"/>
          </w:r>
          <w:r>
            <w:rPr>
              <w:rFonts w:hint="eastAsia" w:ascii="宋体" w:hAnsi="宋体" w:cs="宋体"/>
              <w:sz w:val="32"/>
              <w:szCs w:val="32"/>
            </w:rPr>
            <w:fldChar w:fldCharType="end"/>
          </w:r>
        </w:p>
        <w:p w14:paraId="13BCD214">
          <w:pPr>
            <w:pStyle w:val="42"/>
            <w:tabs>
              <w:tab w:val="right" w:leader="dot" w:pos="9070"/>
            </w:tabs>
            <w:spacing w:line="360" w:lineRule="auto"/>
            <w:rPr>
              <w:rFonts w:hint="eastAsia" w:ascii="宋体" w:hAnsi="宋体" w:cs="宋体"/>
              <w:sz w:val="32"/>
              <w:szCs w:val="32"/>
            </w:rPr>
          </w:pPr>
          <w:r>
            <w:fldChar w:fldCharType="begin"/>
          </w:r>
          <w:r>
            <w:instrText xml:space="preserve"> HYPERLINK \l "_Toc18651" </w:instrText>
          </w:r>
          <w:r>
            <w:fldChar w:fldCharType="separate"/>
          </w:r>
          <w:r>
            <w:rPr>
              <w:rFonts w:hint="eastAsia" w:ascii="宋体" w:hAnsi="宋体" w:cs="宋体"/>
              <w:sz w:val="32"/>
              <w:szCs w:val="32"/>
            </w:rPr>
            <w:t>第四部分  评标办法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_Toc18651 \h </w:instrText>
          </w:r>
          <w:r>
            <w:rPr>
              <w:rFonts w:hint="eastAsia" w:ascii="宋体" w:hAnsi="宋体" w:cs="宋体"/>
              <w:sz w:val="32"/>
              <w:szCs w:val="32"/>
            </w:rPr>
            <w:fldChar w:fldCharType="separate"/>
          </w:r>
          <w:r>
            <w:rPr>
              <w:rFonts w:hint="eastAsia" w:ascii="宋体" w:hAnsi="宋体" w:cs="宋体"/>
              <w:sz w:val="32"/>
              <w:szCs w:val="32"/>
            </w:rPr>
            <w:t>40</w:t>
          </w:r>
          <w:r>
            <w:rPr>
              <w:rFonts w:hint="eastAsia" w:ascii="宋体" w:hAnsi="宋体" w:cs="宋体"/>
              <w:sz w:val="32"/>
              <w:szCs w:val="32"/>
            </w:rPr>
            <w:fldChar w:fldCharType="end"/>
          </w:r>
          <w:r>
            <w:rPr>
              <w:rFonts w:hint="eastAsia" w:ascii="宋体" w:hAnsi="宋体" w:cs="宋体"/>
              <w:sz w:val="32"/>
              <w:szCs w:val="32"/>
            </w:rPr>
            <w:fldChar w:fldCharType="end"/>
          </w:r>
        </w:p>
        <w:p w14:paraId="1B440CE7">
          <w:pPr>
            <w:pStyle w:val="42"/>
            <w:tabs>
              <w:tab w:val="right" w:leader="dot" w:pos="9070"/>
            </w:tabs>
            <w:spacing w:line="360" w:lineRule="auto"/>
            <w:rPr>
              <w:rFonts w:hint="eastAsia" w:ascii="宋体" w:hAnsi="宋体" w:cs="宋体"/>
              <w:sz w:val="32"/>
              <w:szCs w:val="32"/>
            </w:rPr>
          </w:pPr>
          <w:r>
            <w:fldChar w:fldCharType="begin"/>
          </w:r>
          <w:r>
            <w:instrText xml:space="preserve"> HYPERLINK \l "_Toc8264" </w:instrText>
          </w:r>
          <w:r>
            <w:fldChar w:fldCharType="separate"/>
          </w:r>
          <w:r>
            <w:rPr>
              <w:rFonts w:hint="eastAsia" w:ascii="宋体" w:hAnsi="宋体" w:cs="宋体"/>
              <w:sz w:val="32"/>
              <w:szCs w:val="32"/>
            </w:rPr>
            <w:t>第五部分  拟签订的合同文本</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_Toc8264 \h </w:instrText>
          </w:r>
          <w:r>
            <w:rPr>
              <w:rFonts w:hint="eastAsia" w:ascii="宋体" w:hAnsi="宋体" w:cs="宋体"/>
              <w:sz w:val="32"/>
              <w:szCs w:val="32"/>
            </w:rPr>
            <w:fldChar w:fldCharType="separate"/>
          </w:r>
          <w:r>
            <w:rPr>
              <w:rFonts w:hint="eastAsia" w:ascii="宋体" w:hAnsi="宋体" w:cs="宋体"/>
              <w:sz w:val="32"/>
              <w:szCs w:val="32"/>
            </w:rPr>
            <w:t>48</w:t>
          </w:r>
          <w:r>
            <w:rPr>
              <w:rFonts w:hint="eastAsia" w:ascii="宋体" w:hAnsi="宋体" w:cs="宋体"/>
              <w:sz w:val="32"/>
              <w:szCs w:val="32"/>
            </w:rPr>
            <w:fldChar w:fldCharType="end"/>
          </w:r>
          <w:r>
            <w:rPr>
              <w:rFonts w:hint="eastAsia" w:ascii="宋体" w:hAnsi="宋体" w:cs="宋体"/>
              <w:sz w:val="32"/>
              <w:szCs w:val="32"/>
            </w:rPr>
            <w:fldChar w:fldCharType="end"/>
          </w:r>
        </w:p>
        <w:p w14:paraId="3DB155B2">
          <w:pPr>
            <w:pStyle w:val="42"/>
            <w:tabs>
              <w:tab w:val="right" w:leader="dot" w:pos="9070"/>
            </w:tabs>
            <w:spacing w:line="360" w:lineRule="auto"/>
            <w:rPr>
              <w:rFonts w:hint="eastAsia" w:ascii="宋体" w:hAnsi="宋体" w:cs="宋体"/>
              <w:sz w:val="32"/>
              <w:szCs w:val="32"/>
            </w:rPr>
          </w:pPr>
          <w:r>
            <w:fldChar w:fldCharType="begin"/>
          </w:r>
          <w:r>
            <w:instrText xml:space="preserve"> HYPERLINK \l "_Toc22993" </w:instrText>
          </w:r>
          <w:r>
            <w:fldChar w:fldCharType="separate"/>
          </w:r>
          <w:r>
            <w:rPr>
              <w:rFonts w:hint="eastAsia" w:ascii="宋体" w:hAnsi="宋体" w:cs="宋体"/>
              <w:sz w:val="32"/>
              <w:szCs w:val="32"/>
            </w:rPr>
            <w:t>第六部分  应提交的有关格式范例</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_Toc22993 \h </w:instrText>
          </w:r>
          <w:r>
            <w:rPr>
              <w:rFonts w:hint="eastAsia" w:ascii="宋体" w:hAnsi="宋体" w:cs="宋体"/>
              <w:sz w:val="32"/>
              <w:szCs w:val="32"/>
            </w:rPr>
            <w:fldChar w:fldCharType="separate"/>
          </w:r>
          <w:r>
            <w:rPr>
              <w:rFonts w:hint="eastAsia" w:ascii="宋体" w:hAnsi="宋体" w:cs="宋体"/>
              <w:sz w:val="32"/>
              <w:szCs w:val="32"/>
            </w:rPr>
            <w:t>58</w:t>
          </w:r>
          <w:r>
            <w:rPr>
              <w:rFonts w:hint="eastAsia" w:ascii="宋体" w:hAnsi="宋体" w:cs="宋体"/>
              <w:sz w:val="32"/>
              <w:szCs w:val="32"/>
            </w:rPr>
            <w:fldChar w:fldCharType="end"/>
          </w:r>
          <w:r>
            <w:rPr>
              <w:rFonts w:hint="eastAsia" w:ascii="宋体" w:hAnsi="宋体" w:cs="宋体"/>
              <w:sz w:val="32"/>
              <w:szCs w:val="32"/>
            </w:rPr>
            <w:fldChar w:fldCharType="end"/>
          </w:r>
        </w:p>
        <w:p w14:paraId="25BAD815">
          <w:pPr>
            <w:spacing w:line="360" w:lineRule="auto"/>
            <w:rPr>
              <w:rFonts w:hint="eastAsia" w:ascii="宋体" w:hAnsi="宋体" w:cs="宋体"/>
              <w:sz w:val="32"/>
              <w:szCs w:val="32"/>
            </w:rPr>
          </w:pPr>
          <w:r>
            <w:rPr>
              <w:rFonts w:hint="eastAsia" w:ascii="宋体" w:hAnsi="宋体" w:cs="宋体"/>
              <w:sz w:val="32"/>
              <w:szCs w:val="32"/>
            </w:rPr>
            <w:fldChar w:fldCharType="end"/>
          </w:r>
        </w:p>
      </w:sdtContent>
    </w:sdt>
    <w:p w14:paraId="5A446027">
      <w:pPr>
        <w:spacing w:line="360" w:lineRule="auto"/>
        <w:rPr>
          <w:rFonts w:hint="eastAsia" w:ascii="宋体" w:hAnsi="宋体" w:cs="宋体"/>
          <w:sz w:val="32"/>
          <w:szCs w:val="32"/>
        </w:rPr>
      </w:pPr>
    </w:p>
    <w:p w14:paraId="1DF553A2">
      <w:pPr>
        <w:spacing w:line="360" w:lineRule="auto"/>
        <w:rPr>
          <w:rFonts w:hint="eastAsia" w:ascii="宋体" w:hAnsi="宋体" w:cs="宋体"/>
          <w:sz w:val="32"/>
          <w:szCs w:val="32"/>
        </w:rPr>
      </w:pPr>
    </w:p>
    <w:p w14:paraId="07379088">
      <w:pPr>
        <w:spacing w:line="360" w:lineRule="auto"/>
        <w:ind w:firstLine="549" w:firstLineChars="229"/>
        <w:rPr>
          <w:rFonts w:hint="eastAsia" w:ascii="宋体" w:hAnsi="宋体" w:cs="宋体"/>
          <w:sz w:val="24"/>
        </w:rPr>
      </w:pPr>
      <w:bookmarkStart w:id="1" w:name="_Hlt91233176"/>
      <w:bookmarkEnd w:id="1"/>
      <w:bookmarkStart w:id="2" w:name="_Toc91899869"/>
    </w:p>
    <w:p w14:paraId="09C6278F">
      <w:pPr>
        <w:spacing w:line="360" w:lineRule="auto"/>
        <w:ind w:firstLine="549" w:firstLineChars="229"/>
        <w:rPr>
          <w:rFonts w:hint="eastAsia" w:ascii="宋体" w:hAnsi="宋体" w:cs="宋体"/>
          <w:sz w:val="24"/>
        </w:rPr>
      </w:pPr>
    </w:p>
    <w:p w14:paraId="0D2EF6D0">
      <w:pPr>
        <w:spacing w:line="360" w:lineRule="auto"/>
        <w:ind w:firstLine="549" w:firstLineChars="229"/>
        <w:rPr>
          <w:rFonts w:hint="eastAsia" w:ascii="宋体" w:hAnsi="宋体" w:cs="宋体"/>
          <w:sz w:val="24"/>
        </w:rPr>
      </w:pPr>
    </w:p>
    <w:p w14:paraId="2BAEC0A8">
      <w:pPr>
        <w:spacing w:line="360" w:lineRule="auto"/>
        <w:ind w:firstLine="549" w:firstLineChars="229"/>
        <w:rPr>
          <w:rFonts w:hint="eastAsia" w:ascii="宋体" w:hAnsi="宋体" w:cs="宋体"/>
          <w:sz w:val="24"/>
        </w:rPr>
      </w:pPr>
    </w:p>
    <w:p w14:paraId="22B686E3">
      <w:pPr>
        <w:spacing w:line="360" w:lineRule="auto"/>
        <w:ind w:firstLine="549" w:firstLineChars="229"/>
        <w:rPr>
          <w:rFonts w:hint="eastAsia" w:ascii="宋体" w:hAnsi="宋体" w:cs="宋体"/>
          <w:sz w:val="24"/>
        </w:rPr>
      </w:pPr>
    </w:p>
    <w:p w14:paraId="4F6D9E75">
      <w:pPr>
        <w:spacing w:line="360" w:lineRule="auto"/>
        <w:ind w:firstLine="549" w:firstLineChars="229"/>
        <w:rPr>
          <w:rFonts w:hint="eastAsia" w:ascii="宋体" w:hAnsi="宋体" w:cs="宋体"/>
          <w:sz w:val="24"/>
        </w:rPr>
      </w:pPr>
    </w:p>
    <w:p w14:paraId="158B51A7">
      <w:pPr>
        <w:spacing w:line="360" w:lineRule="auto"/>
        <w:ind w:firstLine="549" w:firstLineChars="229"/>
        <w:rPr>
          <w:rFonts w:hint="eastAsia" w:ascii="宋体" w:hAnsi="宋体" w:cs="宋体"/>
          <w:sz w:val="24"/>
        </w:rPr>
      </w:pPr>
    </w:p>
    <w:p w14:paraId="1EC617B9">
      <w:pPr>
        <w:spacing w:line="360" w:lineRule="auto"/>
        <w:ind w:firstLine="549" w:firstLineChars="229"/>
        <w:rPr>
          <w:rFonts w:hint="eastAsia" w:ascii="宋体" w:hAnsi="宋体" w:cs="宋体"/>
          <w:sz w:val="24"/>
        </w:rPr>
      </w:pPr>
    </w:p>
    <w:p w14:paraId="76AAFF16">
      <w:pPr>
        <w:spacing w:line="360" w:lineRule="auto"/>
        <w:ind w:firstLine="549" w:firstLineChars="229"/>
        <w:rPr>
          <w:rFonts w:hint="eastAsia" w:ascii="宋体" w:hAnsi="宋体" w:cs="宋体"/>
          <w:sz w:val="24"/>
        </w:rPr>
      </w:pPr>
    </w:p>
    <w:p w14:paraId="17CA0422">
      <w:pPr>
        <w:spacing w:line="360" w:lineRule="auto"/>
        <w:ind w:firstLine="549" w:firstLineChars="229"/>
        <w:rPr>
          <w:rFonts w:hint="eastAsia" w:ascii="宋体" w:hAnsi="宋体" w:cs="宋体"/>
          <w:sz w:val="24"/>
        </w:rPr>
      </w:pPr>
    </w:p>
    <w:p w14:paraId="789FB1AB">
      <w:pPr>
        <w:spacing w:line="360" w:lineRule="auto"/>
        <w:ind w:firstLine="549" w:firstLineChars="229"/>
        <w:rPr>
          <w:rFonts w:hint="eastAsia" w:ascii="宋体" w:hAnsi="宋体" w:cs="宋体"/>
          <w:sz w:val="24"/>
        </w:rPr>
      </w:pPr>
    </w:p>
    <w:p w14:paraId="4579B463">
      <w:pPr>
        <w:spacing w:line="360" w:lineRule="auto"/>
        <w:ind w:firstLine="549" w:firstLineChars="229"/>
        <w:rPr>
          <w:rFonts w:hint="eastAsia" w:ascii="宋体" w:hAnsi="宋体" w:cs="宋体"/>
          <w:sz w:val="24"/>
        </w:rPr>
      </w:pPr>
    </w:p>
    <w:p w14:paraId="29CD6A50">
      <w:pPr>
        <w:spacing w:line="360" w:lineRule="auto"/>
        <w:ind w:firstLine="549" w:firstLineChars="229"/>
        <w:rPr>
          <w:rFonts w:hint="eastAsia" w:ascii="宋体" w:hAnsi="宋体" w:cs="宋体"/>
          <w:sz w:val="24"/>
        </w:rPr>
      </w:pPr>
    </w:p>
    <w:p w14:paraId="0F7F1B54">
      <w:pPr>
        <w:spacing w:line="360" w:lineRule="auto"/>
        <w:rPr>
          <w:rFonts w:hint="eastAsia" w:ascii="宋体" w:hAnsi="宋体" w:cs="宋体"/>
          <w:sz w:val="24"/>
        </w:rPr>
      </w:pPr>
    </w:p>
    <w:bookmarkEnd w:id="2"/>
    <w:p w14:paraId="164615E2">
      <w:pPr>
        <w:rPr>
          <w:rFonts w:hint="eastAsia" w:ascii="宋体" w:hAnsi="宋体" w:cs="宋体"/>
          <w:b/>
          <w:sz w:val="36"/>
          <w:szCs w:val="20"/>
        </w:rPr>
      </w:pPr>
      <w:bookmarkStart w:id="3" w:name="_Hlt74707423"/>
      <w:bookmarkEnd w:id="3"/>
      <w:bookmarkStart w:id="4" w:name="_Hlt74728647"/>
      <w:bookmarkEnd w:id="4"/>
      <w:bookmarkStart w:id="5" w:name="_Hlt74649545"/>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br w:type="page"/>
      </w:r>
    </w:p>
    <w:p w14:paraId="2000EE8C">
      <w:r>
        <w:rPr>
          <w:rFonts w:hint="eastAsia"/>
        </w:rPr>
        <w:br w:type="page"/>
      </w:r>
    </w:p>
    <w:p w14:paraId="06E7406A">
      <w:p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ECC8DE8">
      <w:pPr>
        <w:adjustRightInd/>
        <w:spacing w:line="360" w:lineRule="auto"/>
        <w:jc w:val="center"/>
        <w:outlineLvl w:val="0"/>
        <w:rPr>
          <w:rFonts w:hint="eastAsia" w:ascii="宋体" w:hAnsi="宋体" w:cs="宋体"/>
          <w:b/>
          <w:sz w:val="36"/>
          <w:szCs w:val="20"/>
        </w:rPr>
      </w:pPr>
      <w:bookmarkStart w:id="10" w:name="_Toc9238"/>
      <w:r>
        <w:rPr>
          <w:rFonts w:hint="eastAsia" w:ascii="宋体" w:hAnsi="宋体" w:cs="宋体"/>
          <w:b/>
          <w:sz w:val="36"/>
          <w:szCs w:val="20"/>
        </w:rPr>
        <w:t>第一部分 招标公告</w:t>
      </w:r>
      <w:bookmarkEnd w:id="10"/>
    </w:p>
    <w:p w14:paraId="335CF7C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项目概况</w:t>
      </w:r>
    </w:p>
    <w:p w14:paraId="2BB51C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sz w:val="24"/>
          <w:u w:val="single"/>
        </w:rPr>
      </w:pPr>
      <w:r>
        <w:rPr>
          <w:rFonts w:hint="eastAsia" w:cs="仿宋_GB2312" w:asciiTheme="minorEastAsia" w:hAnsiTheme="minorEastAsia" w:eastAsiaTheme="minorEastAsia"/>
          <w:sz w:val="24"/>
          <w:u w:val="single"/>
        </w:rPr>
        <w:t>（宁海县教育局下属学校一职高等网络改造项目）</w:t>
      </w:r>
      <w:r>
        <w:rPr>
          <w:rFonts w:hint="eastAsia" w:asciiTheme="minorEastAsia" w:hAnsiTheme="minorEastAsia" w:eastAsiaTheme="minorEastAsia"/>
          <w:sz w:val="24"/>
        </w:rPr>
        <w:t>招标项目的潜在供应商应在政采云平台（</w:t>
      </w:r>
      <w:r>
        <w:fldChar w:fldCharType="begin"/>
      </w:r>
      <w:r>
        <w:instrText xml:space="preserve"> HYPERLINK "https://www.zcygov.cn/）获取（下载）招标文件，并于202%20年%20月%20日%20点%20分00秒" </w:instrText>
      </w:r>
      <w:r>
        <w:fldChar w:fldCharType="separate"/>
      </w:r>
      <w:r>
        <w:rPr>
          <w:rStyle w:val="77"/>
          <w:rFonts w:cs="Times New Roman" w:asciiTheme="minorEastAsia" w:hAnsiTheme="minorEastAsia" w:eastAsiaTheme="minorEastAsia"/>
          <w:snapToGrid/>
          <w:color w:val="auto"/>
          <w:kern w:val="2"/>
          <w:sz w:val="24"/>
          <w:szCs w:val="24"/>
        </w:rPr>
        <w:t>https://www.zcygov.cn/）获取（下载）招标文件，并于</w:t>
      </w:r>
      <w:r>
        <w:rPr>
          <w:rStyle w:val="77"/>
          <w:rFonts w:hint="eastAsia" w:cs="Times New Roman" w:asciiTheme="minorEastAsia" w:hAnsiTheme="minorEastAsia" w:eastAsiaTheme="minorEastAsia"/>
          <w:snapToGrid/>
          <w:color w:val="auto"/>
          <w:kern w:val="2"/>
          <w:sz w:val="24"/>
          <w:szCs w:val="24"/>
        </w:rPr>
        <w:t>2025</w:t>
      </w:r>
      <w:r>
        <w:rPr>
          <w:rStyle w:val="77"/>
          <w:rFonts w:cs="Times New Roman" w:asciiTheme="minorEastAsia" w:hAnsiTheme="minorEastAsia" w:eastAsiaTheme="minorEastAsia"/>
          <w:snapToGrid/>
          <w:color w:val="auto"/>
          <w:kern w:val="2"/>
          <w:sz w:val="24"/>
          <w:szCs w:val="24"/>
        </w:rPr>
        <w:t>年</w:t>
      </w:r>
      <w:r>
        <w:rPr>
          <w:rStyle w:val="77"/>
          <w:rFonts w:hint="eastAsia" w:cs="Times New Roman" w:asciiTheme="minorEastAsia" w:hAnsiTheme="minorEastAsia" w:eastAsiaTheme="minorEastAsia"/>
          <w:snapToGrid/>
          <w:color w:val="auto"/>
          <w:kern w:val="2"/>
          <w:sz w:val="24"/>
          <w:szCs w:val="24"/>
        </w:rPr>
        <w:t xml:space="preserve"> 月  日13点30分</w:t>
      </w:r>
      <w:r>
        <w:rPr>
          <w:rStyle w:val="77"/>
          <w:rFonts w:hint="eastAsia" w:cs="Times New Roman" w:asciiTheme="minorEastAsia" w:hAnsiTheme="minorEastAsia" w:eastAsiaTheme="minorEastAsia"/>
          <w:bCs/>
          <w:snapToGrid/>
          <w:color w:val="auto"/>
          <w:kern w:val="2"/>
          <w:sz w:val="24"/>
          <w:szCs w:val="24"/>
        </w:rPr>
        <w:t>00秒</w:t>
      </w:r>
      <w:r>
        <w:rPr>
          <w:rStyle w:val="77"/>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38CEE3D0">
      <w:pPr>
        <w:spacing w:line="336" w:lineRule="auto"/>
        <w:rPr>
          <w:rFonts w:hint="eastAsia" w:ascii="宋体" w:hAnsi="宋体" w:cs="宋体"/>
          <w:b/>
          <w:sz w:val="24"/>
        </w:rPr>
      </w:pPr>
      <w:r>
        <w:rPr>
          <w:rFonts w:hint="eastAsia" w:ascii="宋体" w:hAnsi="宋体" w:cs="宋体"/>
          <w:b/>
          <w:sz w:val="24"/>
        </w:rPr>
        <w:t xml:space="preserve">一、项目基本情况                                            </w:t>
      </w:r>
    </w:p>
    <w:p w14:paraId="47DE48D1">
      <w:pPr>
        <w:spacing w:line="336"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CBZJ-20256046G</w:t>
      </w:r>
    </w:p>
    <w:p w14:paraId="675769A5">
      <w:pPr>
        <w:spacing w:line="336"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宁海县教育局下属学校一职高等网络改造项目</w:t>
      </w:r>
    </w:p>
    <w:p w14:paraId="6FCF938F">
      <w:pPr>
        <w:spacing w:line="336" w:lineRule="auto"/>
        <w:rPr>
          <w:rFonts w:hint="eastAsia" w:ascii="宋体" w:hAnsi="宋体" w:cs="宋体"/>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sz w:val="24"/>
        </w:rPr>
        <w:t>886368.00</w:t>
      </w:r>
    </w:p>
    <w:p w14:paraId="1A7EE944">
      <w:pPr>
        <w:spacing w:line="336" w:lineRule="auto"/>
        <w:ind w:firstLine="480"/>
        <w:rPr>
          <w:rFonts w:hint="eastAsia" w:ascii="宋体" w:hAnsi="宋体" w:cs="宋体"/>
          <w:sz w:val="24"/>
        </w:rPr>
      </w:pPr>
      <w:r>
        <w:rPr>
          <w:rFonts w:hint="eastAsia" w:ascii="宋体" w:hAnsi="宋体" w:cs="宋体"/>
          <w:b/>
          <w:sz w:val="24"/>
        </w:rPr>
        <w:t>最高限价（元）：</w:t>
      </w:r>
      <w:r>
        <w:rPr>
          <w:rFonts w:hint="eastAsia" w:ascii="宋体" w:hAnsi="宋体" w:cs="宋体"/>
          <w:sz w:val="24"/>
        </w:rPr>
        <w:t>886368.00</w:t>
      </w:r>
    </w:p>
    <w:p w14:paraId="21703F8C">
      <w:pPr>
        <w:pStyle w:val="5"/>
        <w:spacing w:line="336" w:lineRule="auto"/>
        <w:ind w:firstLine="480"/>
        <w:rPr>
          <w:rFonts w:hint="eastAsia" w:hAnsi="宋体" w:cs="宋体"/>
          <w:b/>
          <w:color w:val="auto"/>
          <w:sz w:val="24"/>
        </w:rPr>
      </w:pPr>
      <w:r>
        <w:rPr>
          <w:rFonts w:hint="eastAsia" w:hAnsi="宋体" w:cs="宋体"/>
          <w:b/>
          <w:color w:val="auto"/>
          <w:sz w:val="24"/>
        </w:rPr>
        <w:t>采购需求：</w:t>
      </w:r>
    </w:p>
    <w:p w14:paraId="7F3ABD4E">
      <w:pPr>
        <w:widowControl/>
        <w:adjustRightInd/>
        <w:spacing w:line="336" w:lineRule="auto"/>
        <w:ind w:firstLine="960" w:firstLineChars="400"/>
        <w:jc w:val="left"/>
        <w:rPr>
          <w:rFonts w:hint="eastAsia" w:ascii="宋体" w:hAnsi="宋体" w:cs="宋体"/>
          <w:kern w:val="0"/>
          <w:sz w:val="24"/>
        </w:rPr>
      </w:pPr>
      <w:r>
        <w:rPr>
          <w:rFonts w:hint="eastAsia" w:ascii="宋体" w:hAnsi="宋体" w:cs="宋体"/>
          <w:kern w:val="0"/>
          <w:sz w:val="24"/>
        </w:rPr>
        <w:t>标项名称：</w:t>
      </w:r>
      <w:r>
        <w:rPr>
          <w:rFonts w:hint="eastAsia" w:ascii="宋体" w:hAnsi="宋体" w:cs="宋体"/>
          <w:sz w:val="24"/>
        </w:rPr>
        <w:t>宁海县教育局下属学校一职高等网络改造项目</w:t>
      </w:r>
    </w:p>
    <w:p w14:paraId="1DA3408A">
      <w:pPr>
        <w:widowControl/>
        <w:adjustRightInd/>
        <w:spacing w:line="336" w:lineRule="auto"/>
        <w:ind w:firstLine="960" w:firstLineChars="400"/>
        <w:jc w:val="left"/>
        <w:rPr>
          <w:rFonts w:hint="eastAsia" w:ascii="宋体" w:hAnsi="宋体" w:cs="宋体"/>
          <w:kern w:val="0"/>
          <w:sz w:val="24"/>
        </w:rPr>
      </w:pPr>
      <w:r>
        <w:rPr>
          <w:rFonts w:hint="eastAsia" w:ascii="宋体" w:hAnsi="宋体" w:cs="宋体"/>
          <w:kern w:val="0"/>
          <w:sz w:val="24"/>
        </w:rPr>
        <w:t>数量：1批</w:t>
      </w:r>
    </w:p>
    <w:p w14:paraId="31E83518">
      <w:pPr>
        <w:widowControl/>
        <w:adjustRightInd/>
        <w:spacing w:line="336" w:lineRule="auto"/>
        <w:ind w:firstLine="960" w:firstLineChars="400"/>
        <w:jc w:val="left"/>
        <w:rPr>
          <w:rFonts w:hint="eastAsia" w:ascii="宋体" w:hAnsi="宋体" w:cs="宋体"/>
          <w:kern w:val="0"/>
          <w:sz w:val="24"/>
        </w:rPr>
      </w:pPr>
      <w:r>
        <w:rPr>
          <w:rFonts w:hint="eastAsia" w:ascii="宋体" w:hAnsi="宋体" w:cs="宋体"/>
          <w:kern w:val="0"/>
          <w:sz w:val="24"/>
        </w:rPr>
        <w:t>预算金额（元）：</w:t>
      </w:r>
      <w:r>
        <w:rPr>
          <w:rFonts w:hint="eastAsia" w:ascii="宋体" w:hAnsi="宋体" w:cs="宋体"/>
          <w:sz w:val="24"/>
        </w:rPr>
        <w:t>886368.00</w:t>
      </w:r>
    </w:p>
    <w:p w14:paraId="46AD22DF">
      <w:pPr>
        <w:widowControl/>
        <w:adjustRightInd/>
        <w:spacing w:line="336" w:lineRule="auto"/>
        <w:ind w:firstLine="960" w:firstLineChars="400"/>
        <w:jc w:val="left"/>
        <w:rPr>
          <w:rFonts w:hint="eastAsia" w:ascii="宋体" w:hAnsi="宋体" w:cs="宋体"/>
          <w:kern w:val="0"/>
          <w:sz w:val="24"/>
        </w:rPr>
      </w:pPr>
      <w:r>
        <w:rPr>
          <w:rFonts w:hint="eastAsia" w:ascii="宋体" w:hAnsi="宋体" w:cs="宋体"/>
          <w:kern w:val="0"/>
          <w:sz w:val="24"/>
        </w:rPr>
        <w:t>简要规格描述或项目基本概况介绍、用途：具体以招标文件第三部分采购需求为准，供应商可点击本公告下方“浏览采购文件”查看采购需求。</w:t>
      </w:r>
    </w:p>
    <w:p w14:paraId="3A63EF87">
      <w:pPr>
        <w:pStyle w:val="134"/>
        <w:spacing w:before="0" w:line="336" w:lineRule="auto"/>
        <w:ind w:firstLine="482"/>
        <w:rPr>
          <w:rFonts w:hint="eastAsia" w:ascii="宋体" w:hAnsi="宋体" w:cs="宋体"/>
        </w:rPr>
      </w:pPr>
      <w:r>
        <w:rPr>
          <w:rFonts w:hint="eastAsia" w:ascii="宋体" w:hAnsi="宋体" w:cs="宋体"/>
          <w:b/>
        </w:rPr>
        <w:t>合同履约期限：</w:t>
      </w:r>
      <w:r>
        <w:rPr>
          <w:rFonts w:hint="eastAsia" w:ascii="宋体" w:hAnsi="宋体" w:cs="宋体"/>
          <w:szCs w:val="21"/>
        </w:rPr>
        <w:t>2025年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底前</w:t>
      </w:r>
      <w:r>
        <w:rPr>
          <w:rFonts w:hint="eastAsia" w:ascii="宋体" w:hAnsi="宋体" w:cs="宋体"/>
          <w:szCs w:val="21"/>
        </w:rPr>
        <w:t>完成项目</w:t>
      </w:r>
      <w:r>
        <w:rPr>
          <w:rFonts w:hint="eastAsia" w:ascii="宋体" w:hAnsi="宋体" w:cs="宋体"/>
          <w:szCs w:val="21"/>
          <w:lang w:val="en-US" w:eastAsia="zh-CN"/>
        </w:rPr>
        <w:t>供货、</w:t>
      </w:r>
      <w:r>
        <w:rPr>
          <w:rFonts w:hint="eastAsia" w:ascii="宋体" w:hAnsi="宋体" w:cs="宋体"/>
          <w:szCs w:val="21"/>
        </w:rPr>
        <w:t>安装、调试</w:t>
      </w:r>
      <w:r>
        <w:rPr>
          <w:rFonts w:hint="eastAsia" w:ascii="宋体" w:hAnsi="宋体" w:cs="宋体"/>
          <w:szCs w:val="21"/>
          <w:lang w:eastAsia="zh-CN"/>
        </w:rPr>
        <w:t>，</w:t>
      </w:r>
      <w:r>
        <w:rPr>
          <w:rFonts w:hint="eastAsia" w:ascii="宋体" w:hAnsi="宋体" w:cs="宋体"/>
          <w:szCs w:val="21"/>
        </w:rPr>
        <w:t>进行试运行测试，试运行期一个月后，由采购人进行统一验收。</w:t>
      </w:r>
    </w:p>
    <w:p w14:paraId="2A33F8B9">
      <w:pPr>
        <w:pStyle w:val="5"/>
        <w:spacing w:line="336" w:lineRule="auto"/>
        <w:ind w:firstLine="480"/>
        <w:rPr>
          <w:rFonts w:hint="eastAsia"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cs="宋体"/>
              <w:color w:val="auto"/>
              <w:kern w:val="0"/>
              <w:sz w:val="24"/>
            </w:rPr>
            <w:t>þ</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61512949">
      <w:pPr>
        <w:spacing w:line="336" w:lineRule="auto"/>
        <w:rPr>
          <w:rFonts w:hint="eastAsia"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7A4AF9E">
      <w:pPr>
        <w:spacing w:line="336"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1629F56">
      <w:pPr>
        <w:spacing w:line="336" w:lineRule="auto"/>
        <w:ind w:firstLine="480"/>
        <w:rPr>
          <w:rFonts w:hint="eastAsia"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w:t>
      </w:r>
    </w:p>
    <w:p w14:paraId="0ADB671A">
      <w:pPr>
        <w:spacing w:line="336" w:lineRule="auto"/>
        <w:ind w:firstLine="480" w:firstLineChars="200"/>
        <w:rPr>
          <w:rFonts w:hint="eastAsia"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 落实政府采购政策需满足的资格要求：</w:t>
      </w:r>
    </w:p>
    <w:p w14:paraId="39AEB748">
      <w:pPr>
        <w:spacing w:line="336" w:lineRule="auto"/>
        <w:ind w:firstLine="480" w:firstLineChars="200"/>
        <w:rPr>
          <w:rFonts w:hint="eastAsia"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sz w:val="24"/>
        </w:rPr>
        <w:t>无；</w:t>
      </w:r>
    </w:p>
    <w:p w14:paraId="3AF96F29">
      <w:pPr>
        <w:spacing w:line="336" w:lineRule="auto"/>
        <w:ind w:firstLine="480" w:firstLineChars="200"/>
        <w:rPr>
          <w:rFonts w:hint="eastAsia" w:ascii="宋体" w:hAnsi="宋体" w:cs="宋体"/>
          <w:sz w:val="24"/>
        </w:rPr>
      </w:pPr>
      <w:sdt>
        <w:sdtPr>
          <w:rPr>
            <w:rFonts w:hint="eastAsia" w:ascii="宋体" w:hAnsi="宋体" w:cs="宋体"/>
            <w:kern w:val="0"/>
            <w:sz w:val="24"/>
          </w:rPr>
          <w:id w:val="-102470430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专</w:t>
      </w:r>
      <w:r>
        <w:rPr>
          <w:rFonts w:hint="eastAsia" w:ascii="宋体" w:hAnsi="宋体" w:cs="宋体"/>
          <w:sz w:val="24"/>
        </w:rPr>
        <w:t>门面向中小企业</w:t>
      </w:r>
    </w:p>
    <w:p w14:paraId="085E0A6D">
      <w:pPr>
        <w:spacing w:line="336" w:lineRule="auto"/>
        <w:ind w:firstLine="897" w:firstLineChars="374"/>
        <w:rPr>
          <w:rFonts w:hint="eastAsia" w:ascii="宋体" w:hAnsi="宋体" w:cs="宋体"/>
          <w:sz w:val="24"/>
          <w:u w:val="single"/>
        </w:rPr>
      </w:pPr>
      <w:sdt>
        <w:sdtPr>
          <w:rPr>
            <w:rFonts w:hint="eastAsia" w:ascii="宋体" w:hAnsi="宋体" w:cs="宋体"/>
            <w:kern w:val="0"/>
            <w:sz w:val="24"/>
          </w:rPr>
          <w:id w:val="-9247305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sz w:val="24"/>
        </w:rPr>
        <w:t>货物全部由符合政策要求的中小企业制造，提供中小企业声明函；</w:t>
      </w:r>
    </w:p>
    <w:p w14:paraId="5ED9499B">
      <w:pPr>
        <w:spacing w:line="336" w:lineRule="auto"/>
        <w:ind w:firstLine="897" w:firstLineChars="374"/>
        <w:rPr>
          <w:rFonts w:hint="eastAsia"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货物全部由符合政策要求的小微企业制造，提供中小企业声明函；</w:t>
      </w:r>
    </w:p>
    <w:p w14:paraId="0BBE16AD">
      <w:pPr>
        <w:spacing w:line="336" w:lineRule="auto"/>
        <w:ind w:firstLine="480" w:firstLineChars="200"/>
        <w:rPr>
          <w:rFonts w:hint="eastAsia"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2"/>
    <w:p w14:paraId="2709B393">
      <w:pPr>
        <w:spacing w:line="336" w:lineRule="auto"/>
        <w:ind w:firstLine="480" w:firstLineChars="200"/>
        <w:rPr>
          <w:rFonts w:hint="eastAsia"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要求合同分包，提供分包意向协议和中小企业声明函，分包意向协议中中小企业合同金额应当达到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6B9A52EB">
      <w:pPr>
        <w:widowControl/>
        <w:numPr>
          <w:ilvl w:val="0"/>
          <w:numId w:val="1"/>
        </w:numPr>
        <w:adjustRightInd/>
        <w:spacing w:line="336" w:lineRule="auto"/>
        <w:ind w:firstLine="480" w:firstLineChars="200"/>
        <w:jc w:val="left"/>
        <w:rPr>
          <w:rFonts w:hint="eastAsia" w:ascii="宋体" w:hAnsi="宋体" w:cs="宋体"/>
          <w:sz w:val="24"/>
        </w:rPr>
      </w:pPr>
      <w:r>
        <w:rPr>
          <w:rFonts w:hint="eastAsia" w:ascii="宋体" w:hAnsi="宋体" w:cs="宋体"/>
          <w:sz w:val="24"/>
        </w:rPr>
        <w:t>本项目的特定资格要求：无；</w:t>
      </w:r>
    </w:p>
    <w:p w14:paraId="0AE3DD0C">
      <w:pPr>
        <w:widowControl/>
        <w:numPr>
          <w:ilvl w:val="0"/>
          <w:numId w:val="1"/>
        </w:numPr>
        <w:adjustRightInd/>
        <w:spacing w:line="336" w:lineRule="auto"/>
        <w:ind w:firstLine="480" w:firstLineChars="200"/>
        <w:jc w:val="left"/>
        <w:rPr>
          <w:rFonts w:hint="eastAsia" w:ascii="宋体" w:hAnsi="宋体" w:cs="宋体"/>
          <w:sz w:val="24"/>
        </w:rPr>
      </w:pPr>
      <w:r>
        <w:rPr>
          <w:rFonts w:hint="eastAsia" w:ascii="宋体" w:hAnsi="宋体" w:cs="宋体"/>
          <w:sz w:val="24"/>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373218E9">
      <w:pPr>
        <w:spacing w:line="336" w:lineRule="auto"/>
        <w:rPr>
          <w:rFonts w:hint="eastAsia" w:ascii="宋体" w:hAnsi="宋体" w:cs="宋体"/>
          <w:b/>
          <w:sz w:val="24"/>
        </w:rPr>
      </w:pPr>
      <w:r>
        <w:rPr>
          <w:rFonts w:hint="eastAsia" w:ascii="宋体" w:hAnsi="宋体" w:cs="宋体"/>
          <w:b/>
          <w:sz w:val="24"/>
        </w:rPr>
        <w:t xml:space="preserve">三、获取招标文件 </w:t>
      </w:r>
    </w:p>
    <w:p w14:paraId="3315FEB3">
      <w:pPr>
        <w:spacing w:line="336" w:lineRule="auto"/>
        <w:ind w:firstLine="482" w:firstLineChars="200"/>
        <w:rPr>
          <w:rFonts w:hint="eastAsia" w:ascii="宋体" w:hAnsi="宋体" w:cs="宋体"/>
          <w:sz w:val="24"/>
        </w:rPr>
      </w:pPr>
      <w:r>
        <w:rPr>
          <w:rFonts w:hint="eastAsia" w:ascii="宋体" w:hAnsi="宋体" w:cs="宋体"/>
          <w:b/>
          <w:sz w:val="24"/>
        </w:rPr>
        <w:t>时间：</w:t>
      </w:r>
      <w:r>
        <w:rPr>
          <w:rFonts w:hint="eastAsia" w:cs="宋体" w:asciiTheme="minorEastAsia" w:hAnsiTheme="minorEastAsia" w:eastAsiaTheme="minorEastAsia"/>
          <w:bCs/>
          <w:sz w:val="24"/>
        </w:rPr>
        <w:t>2025年  月  日至2025年  月  日</w:t>
      </w:r>
      <w:r>
        <w:rPr>
          <w:rFonts w:hint="eastAsia" w:cs="宋体" w:asciiTheme="minorEastAsia" w:hAnsiTheme="minorEastAsia" w:eastAsiaTheme="minorEastAsia"/>
          <w:sz w:val="24"/>
        </w:rPr>
        <w:t>，</w:t>
      </w:r>
      <w:r>
        <w:rPr>
          <w:rFonts w:hint="eastAsia" w:ascii="宋体" w:hAnsi="宋体" w:cs="宋体"/>
          <w:sz w:val="24"/>
        </w:rPr>
        <w:t>每天上午00:00至12:00 ，下午12:00至23:59（北京时间，线上获取法定节假日均可，线下获取文件法定节假日除外）</w:t>
      </w:r>
    </w:p>
    <w:p w14:paraId="465C8884">
      <w:pPr>
        <w:spacing w:line="336" w:lineRule="auto"/>
        <w:ind w:firstLine="482" w:firstLineChars="200"/>
        <w:rPr>
          <w:rFonts w:hint="eastAsia"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35B2C46D">
      <w:pPr>
        <w:spacing w:line="336" w:lineRule="auto"/>
        <w:ind w:firstLine="482" w:firstLineChars="200"/>
        <w:rPr>
          <w:rFonts w:hint="eastAsia"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供应商登录政采云平台https://www.zcygov.cn/在线申请获取招标文件（进入“项目采购”应用，在获取招标文件菜单中选择项目，申请获取招标文件）。 </w:t>
      </w:r>
    </w:p>
    <w:p w14:paraId="33F3CB91">
      <w:pPr>
        <w:spacing w:line="336" w:lineRule="auto"/>
        <w:ind w:firstLine="482" w:firstLineChars="200"/>
        <w:rPr>
          <w:rFonts w:hint="eastAsia" w:ascii="宋体" w:hAnsi="宋体" w:cs="宋体"/>
          <w:sz w:val="24"/>
        </w:rPr>
      </w:pPr>
      <w:r>
        <w:rPr>
          <w:rFonts w:hint="eastAsia" w:ascii="宋体" w:hAnsi="宋体" w:cs="宋体"/>
          <w:b/>
          <w:sz w:val="24"/>
        </w:rPr>
        <w:t>售价（元）：</w:t>
      </w:r>
      <w:r>
        <w:rPr>
          <w:rFonts w:hint="eastAsia" w:ascii="宋体" w:hAnsi="宋体" w:cs="宋体"/>
          <w:sz w:val="24"/>
        </w:rPr>
        <w:t xml:space="preserve">0 </w:t>
      </w:r>
    </w:p>
    <w:p w14:paraId="0FCFBF61">
      <w:pPr>
        <w:spacing w:line="336" w:lineRule="auto"/>
        <w:rPr>
          <w:rFonts w:hint="eastAsia" w:ascii="宋体" w:hAnsi="宋体" w:cs="宋体"/>
          <w:b/>
          <w:sz w:val="24"/>
        </w:rPr>
      </w:pPr>
      <w:r>
        <w:rPr>
          <w:rFonts w:hint="eastAsia" w:ascii="宋体" w:hAnsi="宋体" w:cs="宋体"/>
          <w:b/>
          <w:sz w:val="24"/>
        </w:rPr>
        <w:t>四、提交投标文件截止时间、开标时间和地点</w:t>
      </w:r>
    </w:p>
    <w:p w14:paraId="4D5AA81B">
      <w:pPr>
        <w:spacing w:line="336" w:lineRule="auto"/>
        <w:ind w:firstLine="482" w:firstLineChars="200"/>
        <w:rPr>
          <w:rFonts w:hint="eastAsia" w:ascii="宋体" w:hAnsi="宋体" w:cs="宋体"/>
          <w:sz w:val="24"/>
        </w:rPr>
      </w:pPr>
      <w:r>
        <w:rPr>
          <w:rFonts w:hint="eastAsia" w:ascii="宋体" w:hAnsi="宋体" w:cs="宋体"/>
          <w:b/>
          <w:sz w:val="24"/>
        </w:rPr>
        <w:t>提交投标文件截止时间：</w:t>
      </w:r>
      <w:r>
        <w:rPr>
          <w:rFonts w:hint="eastAsia" w:ascii="宋体" w:hAnsi="宋体" w:cs="宋体"/>
          <w:sz w:val="24"/>
          <w:u w:val="single"/>
        </w:rPr>
        <w:t>2025年  月  日13点30分00秒</w:t>
      </w:r>
      <w:r>
        <w:rPr>
          <w:rFonts w:hint="eastAsia" w:ascii="宋体" w:hAnsi="宋体" w:cs="宋体"/>
          <w:sz w:val="24"/>
        </w:rPr>
        <w:t>（北京时间）</w:t>
      </w:r>
    </w:p>
    <w:p w14:paraId="62615515">
      <w:pPr>
        <w:spacing w:line="336" w:lineRule="auto"/>
        <w:ind w:firstLine="482" w:firstLineChars="200"/>
        <w:rPr>
          <w:rFonts w:hint="eastAsia" w:ascii="宋体" w:hAnsi="宋体" w:cs="宋体"/>
          <w:b/>
          <w:sz w:val="24"/>
        </w:rPr>
      </w:pPr>
      <w:r>
        <w:rPr>
          <w:rFonts w:hint="eastAsia" w:ascii="宋体" w:hAnsi="宋体" w:cs="宋体"/>
          <w:b/>
          <w:sz w:val="24"/>
        </w:rPr>
        <w:t>投标地点（网址）：</w:t>
      </w:r>
      <w:r>
        <w:rPr>
          <w:rFonts w:hint="eastAsia" w:asciiTheme="minorEastAsia" w:hAnsiTheme="minorEastAsia" w:eastAsiaTheme="minorEastAsia"/>
          <w:sz w:val="24"/>
        </w:rPr>
        <w:t>政府采购云平台（http://www.zcygov.cn/）。</w:t>
      </w:r>
    </w:p>
    <w:p w14:paraId="13843B8D">
      <w:pPr>
        <w:spacing w:line="336" w:lineRule="auto"/>
        <w:ind w:firstLine="482" w:firstLineChars="200"/>
        <w:rPr>
          <w:rFonts w:hint="eastAsia"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2025年  月  日13点30分00秒</w:t>
      </w:r>
    </w:p>
    <w:p w14:paraId="5031C97E">
      <w:pPr>
        <w:spacing w:line="336"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Theme="minorEastAsia" w:hAnsiTheme="minorEastAsia" w:eastAsiaTheme="minorEastAsia"/>
          <w:sz w:val="24"/>
        </w:rPr>
        <w:t>政府采购云平台（http://www.zcygov.cn/）。</w:t>
      </w:r>
    </w:p>
    <w:p w14:paraId="60453BAA">
      <w:pPr>
        <w:spacing w:line="336" w:lineRule="auto"/>
        <w:rPr>
          <w:rFonts w:hint="eastAsia" w:ascii="宋体" w:hAnsi="宋体" w:cs="宋体"/>
          <w:sz w:val="24"/>
        </w:rPr>
      </w:pPr>
      <w:r>
        <w:rPr>
          <w:rFonts w:hint="eastAsia" w:ascii="宋体" w:hAnsi="宋体" w:cs="宋体"/>
          <w:b/>
          <w:sz w:val="24"/>
        </w:rPr>
        <w:t xml:space="preserve">五、公告期限 </w:t>
      </w:r>
    </w:p>
    <w:p w14:paraId="016DE73B">
      <w:pPr>
        <w:spacing w:line="336" w:lineRule="auto"/>
        <w:ind w:firstLine="480" w:firstLineChars="200"/>
        <w:rPr>
          <w:rFonts w:hint="eastAsia" w:ascii="宋体" w:hAnsi="宋体" w:cs="宋体"/>
          <w:sz w:val="24"/>
        </w:rPr>
      </w:pPr>
      <w:r>
        <w:rPr>
          <w:rFonts w:hint="eastAsia" w:ascii="宋体" w:hAnsi="宋体" w:cs="宋体"/>
          <w:sz w:val="24"/>
        </w:rPr>
        <w:t>自本公告发布之日起5个工作日。</w:t>
      </w:r>
    </w:p>
    <w:p w14:paraId="46BB0B34">
      <w:pPr>
        <w:spacing w:line="336" w:lineRule="auto"/>
        <w:rPr>
          <w:rFonts w:hint="eastAsia" w:ascii="宋体" w:hAnsi="宋体" w:cs="宋体"/>
          <w:b/>
          <w:sz w:val="24"/>
        </w:rPr>
      </w:pPr>
      <w:r>
        <w:rPr>
          <w:rFonts w:hint="eastAsia" w:ascii="宋体" w:hAnsi="宋体" w:cs="宋体"/>
          <w:b/>
          <w:sz w:val="24"/>
        </w:rPr>
        <w:t>六、其他补充事宜</w:t>
      </w:r>
    </w:p>
    <w:p w14:paraId="5511C780">
      <w:pPr>
        <w:spacing w:line="336" w:lineRule="auto"/>
        <w:ind w:firstLine="480" w:firstLineChars="200"/>
        <w:rPr>
          <w:rFonts w:hint="eastAsia"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490D2A6D">
      <w:pPr>
        <w:spacing w:line="336" w:lineRule="auto"/>
        <w:ind w:firstLine="480" w:firstLineChars="200"/>
        <w:rPr>
          <w:rFonts w:hint="eastAsia"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C7998">
      <w:pPr>
        <w:spacing w:line="336" w:lineRule="auto"/>
        <w:ind w:firstLine="480" w:firstLineChars="200"/>
        <w:rPr>
          <w:rFonts w:hint="eastAsia"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F79B05">
      <w:pPr>
        <w:spacing w:line="336" w:lineRule="auto"/>
        <w:ind w:firstLine="480" w:firstLineChars="200"/>
        <w:rPr>
          <w:rFonts w:hint="eastAsia" w:ascii="宋体" w:hAnsi="宋体" w:cs="宋体"/>
          <w:sz w:val="24"/>
        </w:rPr>
      </w:pPr>
      <w:r>
        <w:rPr>
          <w:rFonts w:hint="eastAsia" w:ascii="宋体" w:hAnsi="宋体" w:cs="宋体"/>
          <w:sz w:val="24"/>
        </w:rPr>
        <w:t>4.其他事项：</w:t>
      </w:r>
    </w:p>
    <w:p w14:paraId="552B484D">
      <w:pPr>
        <w:spacing w:line="336" w:lineRule="auto"/>
        <w:ind w:firstLine="480" w:firstLineChars="200"/>
        <w:rPr>
          <w:rFonts w:hint="eastAsia" w:ascii="宋体" w:hAnsi="宋体" w:cs="宋体"/>
          <w:sz w:val="24"/>
        </w:rPr>
      </w:pPr>
      <w:r>
        <w:rPr>
          <w:rFonts w:hint="eastAsia" w:ascii="宋体" w:hAnsi="宋体" w:cs="宋体"/>
          <w:sz w:val="24"/>
        </w:rPr>
        <w:t>（1）需要落实的政府采购政策：包括节约资源、保护环境、支持创新、促进中小企业发展等。详见招标文件的第二部分总则。</w:t>
      </w:r>
    </w:p>
    <w:p w14:paraId="778429E6">
      <w:pPr>
        <w:spacing w:line="336" w:lineRule="auto"/>
        <w:ind w:firstLine="480" w:firstLineChars="200"/>
        <w:rPr>
          <w:rFonts w:hint="eastAsia" w:ascii="宋体" w:hAnsi="宋体" w:cs="宋体"/>
          <w:sz w:val="24"/>
        </w:rPr>
      </w:pPr>
      <w:r>
        <w:rPr>
          <w:rFonts w:hint="eastAsia" w:ascii="宋体" w:hAnsi="宋体" w:cs="宋体"/>
          <w:sz w:val="24"/>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sz w:val="24"/>
        </w:rPr>
        <w:t>（文件后缀为：jmbs）</w:t>
      </w:r>
      <w:r>
        <w:rPr>
          <w:rFonts w:hint="eastAsia" w:ascii="宋体" w:hAnsi="宋体" w:cs="宋体"/>
          <w:sz w:val="24"/>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42A8F28">
      <w:pPr>
        <w:spacing w:line="336" w:lineRule="auto"/>
        <w:ind w:firstLine="480" w:firstLineChars="200"/>
        <w:rPr>
          <w:rFonts w:hint="eastAsia" w:ascii="宋体" w:hAnsi="宋体" w:cs="宋体"/>
          <w:sz w:val="24"/>
        </w:rPr>
      </w:pPr>
      <w:r>
        <w:rPr>
          <w:rFonts w:hint="eastAsia" w:ascii="宋体" w:hAnsi="宋体" w:cs="宋体"/>
          <w:sz w:val="24"/>
        </w:rPr>
        <w:t>（3）招标文件公告期限与招标公告的公告期限一致。</w:t>
      </w:r>
    </w:p>
    <w:p w14:paraId="01F28494">
      <w:pPr>
        <w:spacing w:line="336" w:lineRule="auto"/>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（4）《第一部分  招标公告》中二、申请人的资格要求：第一条中的“重大税收违法案件当事人名单”即为“重大税收违法失信主体”。</w:t>
      </w:r>
      <w:r>
        <w:rPr>
          <w:rFonts w:hint="eastAsia" w:cs="宋体" w:asciiTheme="minorEastAsia" w:hAnsiTheme="minorEastAsia" w:eastAsiaTheme="minorEastAsia"/>
          <w:sz w:val="24"/>
        </w:rPr>
        <w:br w:type="textWrapping"/>
      </w:r>
      <w:r>
        <w:rPr>
          <w:rFonts w:hint="eastAsia" w:cs="宋体" w:asciiTheme="minorEastAsia" w:hAnsiTheme="minorEastAsia" w:eastAsiaTheme="minorEastAsia"/>
          <w:sz w:val="24"/>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E836B">
      <w:pPr>
        <w:spacing w:line="336" w:lineRule="auto"/>
        <w:rPr>
          <w:rFonts w:hint="eastAsia" w:ascii="宋体" w:hAnsi="宋体" w:cs="宋体"/>
          <w:b/>
          <w:sz w:val="24"/>
        </w:rPr>
      </w:pPr>
      <w:r>
        <w:rPr>
          <w:rFonts w:hint="eastAsia" w:ascii="宋体" w:hAnsi="宋体" w:cs="宋体"/>
          <w:b/>
          <w:sz w:val="24"/>
        </w:rPr>
        <w:t>七、对本次采购提出询问、质疑、投诉，请按以下方式联系</w:t>
      </w:r>
    </w:p>
    <w:p w14:paraId="22F6FB3C">
      <w:pPr>
        <w:spacing w:line="336" w:lineRule="auto"/>
        <w:ind w:firstLine="480"/>
        <w:rPr>
          <w:rFonts w:hint="eastAsia" w:ascii="宋体" w:hAnsi="宋体" w:cs="宋体"/>
          <w:sz w:val="24"/>
        </w:rPr>
      </w:pPr>
      <w:r>
        <w:rPr>
          <w:rFonts w:hint="eastAsia" w:ascii="宋体" w:hAnsi="宋体" w:cs="宋体"/>
          <w:sz w:val="24"/>
        </w:rPr>
        <w:t>1.采购人信息</w:t>
      </w:r>
    </w:p>
    <w:p w14:paraId="73334D35">
      <w:pPr>
        <w:spacing w:line="336" w:lineRule="auto"/>
        <w:ind w:firstLine="480"/>
        <w:rPr>
          <w:rFonts w:hint="eastAsia" w:ascii="宋体" w:hAnsi="宋体" w:cs="宋体"/>
          <w:sz w:val="24"/>
        </w:rPr>
      </w:pPr>
      <w:r>
        <w:rPr>
          <w:rFonts w:hint="eastAsia" w:ascii="宋体" w:hAnsi="宋体" w:cs="宋体"/>
          <w:sz w:val="24"/>
        </w:rPr>
        <w:t>名    称：宁海县教育局装备与信息管理中心</w:t>
      </w:r>
    </w:p>
    <w:p w14:paraId="58A1D56F">
      <w:pPr>
        <w:spacing w:line="336" w:lineRule="auto"/>
        <w:ind w:firstLine="480"/>
        <w:rPr>
          <w:rFonts w:hint="eastAsia" w:ascii="宋体" w:hAnsi="宋体" w:cs="宋体"/>
          <w:sz w:val="24"/>
        </w:rPr>
      </w:pPr>
      <w:r>
        <w:rPr>
          <w:rFonts w:hint="eastAsia" w:ascii="宋体" w:hAnsi="宋体" w:cs="宋体"/>
          <w:sz w:val="24"/>
        </w:rPr>
        <w:t>地    址：宁海县人民路290号</w:t>
      </w:r>
    </w:p>
    <w:p w14:paraId="6826033F">
      <w:pPr>
        <w:spacing w:line="336" w:lineRule="auto"/>
        <w:ind w:firstLine="480"/>
        <w:rPr>
          <w:rFonts w:hint="eastAsia" w:ascii="宋体" w:hAnsi="宋体" w:cs="宋体"/>
          <w:sz w:val="24"/>
        </w:rPr>
      </w:pPr>
      <w:r>
        <w:rPr>
          <w:rFonts w:hint="eastAsia" w:ascii="宋体" w:hAnsi="宋体" w:cs="宋体"/>
          <w:sz w:val="24"/>
        </w:rPr>
        <w:t>传    真：/</w:t>
      </w:r>
    </w:p>
    <w:p w14:paraId="048BED22">
      <w:pPr>
        <w:spacing w:line="336" w:lineRule="auto"/>
        <w:ind w:firstLine="480"/>
        <w:rPr>
          <w:rFonts w:hint="eastAsia" w:ascii="宋体" w:hAnsi="宋体" w:cs="宋体"/>
          <w:sz w:val="24"/>
        </w:rPr>
      </w:pPr>
      <w:r>
        <w:rPr>
          <w:rFonts w:hint="eastAsia" w:ascii="宋体" w:hAnsi="宋体" w:cs="宋体"/>
          <w:sz w:val="24"/>
        </w:rPr>
        <w:t>项目联系人（询问）：孙老师</w:t>
      </w:r>
    </w:p>
    <w:p w14:paraId="200D4CF8">
      <w:pPr>
        <w:spacing w:line="336" w:lineRule="auto"/>
        <w:ind w:firstLine="480"/>
        <w:rPr>
          <w:rFonts w:hint="eastAsia" w:ascii="宋体" w:hAnsi="宋体" w:cs="宋体"/>
          <w:sz w:val="24"/>
        </w:rPr>
      </w:pPr>
      <w:r>
        <w:rPr>
          <w:rFonts w:hint="eastAsia" w:ascii="宋体" w:hAnsi="宋体" w:cs="宋体"/>
          <w:sz w:val="24"/>
        </w:rPr>
        <w:t>项目联系方式（询问）：0574-65259635</w:t>
      </w:r>
    </w:p>
    <w:p w14:paraId="740E1A9E">
      <w:pPr>
        <w:spacing w:line="336" w:lineRule="auto"/>
        <w:ind w:firstLine="480"/>
        <w:rPr>
          <w:rFonts w:hint="eastAsia" w:ascii="宋体" w:hAnsi="宋体" w:cs="宋体"/>
          <w:sz w:val="24"/>
        </w:rPr>
      </w:pPr>
      <w:r>
        <w:rPr>
          <w:rFonts w:hint="eastAsia" w:ascii="宋体" w:hAnsi="宋体" w:cs="宋体"/>
          <w:sz w:val="24"/>
        </w:rPr>
        <w:t>质疑联系人：华老师</w:t>
      </w:r>
    </w:p>
    <w:p w14:paraId="4BBDA205">
      <w:pPr>
        <w:spacing w:line="336" w:lineRule="auto"/>
        <w:ind w:firstLine="480"/>
        <w:rPr>
          <w:rFonts w:hint="eastAsia" w:ascii="宋体" w:hAnsi="宋体" w:cs="宋体"/>
          <w:sz w:val="24"/>
        </w:rPr>
      </w:pPr>
      <w:r>
        <w:rPr>
          <w:rFonts w:hint="eastAsia" w:ascii="宋体" w:hAnsi="宋体" w:cs="宋体"/>
          <w:sz w:val="24"/>
        </w:rPr>
        <w:t>质疑联系方式：13646619878</w:t>
      </w:r>
    </w:p>
    <w:p w14:paraId="4B03CD81">
      <w:pPr>
        <w:spacing w:line="336" w:lineRule="auto"/>
        <w:ind w:firstLine="480"/>
        <w:rPr>
          <w:rFonts w:hint="eastAsia" w:ascii="宋体" w:hAnsi="宋体" w:cs="宋体"/>
          <w:sz w:val="24"/>
        </w:rPr>
      </w:pPr>
    </w:p>
    <w:p w14:paraId="5A6CC19E">
      <w:pPr>
        <w:spacing w:line="336" w:lineRule="auto"/>
        <w:ind w:firstLine="480"/>
        <w:rPr>
          <w:rFonts w:hint="eastAsia" w:ascii="宋体" w:hAnsi="宋体" w:cs="宋体"/>
          <w:sz w:val="24"/>
        </w:rPr>
      </w:pPr>
      <w:r>
        <w:rPr>
          <w:rFonts w:hint="eastAsia" w:ascii="宋体" w:hAnsi="宋体" w:cs="宋体"/>
          <w:sz w:val="24"/>
        </w:rPr>
        <w:t>2.采购代理机构信息</w:t>
      </w:r>
    </w:p>
    <w:p w14:paraId="471DBE99">
      <w:pPr>
        <w:spacing w:line="336" w:lineRule="auto"/>
        <w:ind w:firstLine="480"/>
        <w:rPr>
          <w:rFonts w:hint="eastAsia" w:ascii="宋体" w:hAnsi="宋体" w:cs="宋体"/>
          <w:sz w:val="24"/>
        </w:rPr>
      </w:pPr>
      <w:r>
        <w:rPr>
          <w:rFonts w:hint="eastAsia" w:ascii="宋体" w:hAnsi="宋体" w:cs="宋体"/>
          <w:sz w:val="24"/>
        </w:rPr>
        <w:t>名    称：浙江中基正采管理咨询有限公司</w:t>
      </w:r>
    </w:p>
    <w:p w14:paraId="6EE4C503">
      <w:pPr>
        <w:spacing w:line="336" w:lineRule="auto"/>
        <w:ind w:firstLine="480"/>
        <w:rPr>
          <w:rFonts w:hint="eastAsia" w:ascii="宋体" w:hAnsi="宋体" w:cs="宋体"/>
          <w:sz w:val="24"/>
        </w:rPr>
      </w:pPr>
      <w:r>
        <w:rPr>
          <w:rFonts w:hint="eastAsia" w:ascii="宋体" w:hAnsi="宋体" w:cs="宋体"/>
          <w:sz w:val="24"/>
        </w:rPr>
        <w:t>地    址：宁波市鄞州区天童南路666号中基大厦19楼</w:t>
      </w:r>
    </w:p>
    <w:p w14:paraId="7E409FDD">
      <w:pPr>
        <w:spacing w:line="336" w:lineRule="auto"/>
        <w:ind w:firstLine="480"/>
        <w:rPr>
          <w:rFonts w:hint="eastAsia" w:ascii="宋体" w:hAnsi="宋体" w:cs="宋体"/>
          <w:sz w:val="24"/>
        </w:rPr>
      </w:pPr>
      <w:r>
        <w:rPr>
          <w:rFonts w:hint="eastAsia" w:ascii="宋体" w:hAnsi="宋体" w:cs="宋体"/>
          <w:sz w:val="24"/>
        </w:rPr>
        <w:t>传    真：0574-87425373</w:t>
      </w:r>
    </w:p>
    <w:p w14:paraId="61A7895C">
      <w:pPr>
        <w:spacing w:line="336" w:lineRule="auto"/>
        <w:ind w:firstLine="480"/>
        <w:rPr>
          <w:rFonts w:hint="eastAsia" w:ascii="宋体" w:hAnsi="宋体" w:cs="宋体"/>
          <w:sz w:val="24"/>
        </w:rPr>
      </w:pPr>
      <w:r>
        <w:rPr>
          <w:rFonts w:hint="eastAsia" w:ascii="宋体" w:hAnsi="宋体" w:cs="宋体"/>
          <w:sz w:val="24"/>
        </w:rPr>
        <w:t>项目联系人（询问）：朱贤东、史宇骁</w:t>
      </w:r>
    </w:p>
    <w:p w14:paraId="675C6B0B">
      <w:pPr>
        <w:spacing w:line="336" w:lineRule="auto"/>
        <w:ind w:firstLine="480"/>
        <w:rPr>
          <w:rFonts w:hint="eastAsia" w:ascii="宋体" w:hAnsi="宋体" w:cs="宋体"/>
          <w:sz w:val="24"/>
        </w:rPr>
      </w:pPr>
      <w:r>
        <w:rPr>
          <w:rFonts w:hint="eastAsia" w:ascii="宋体" w:hAnsi="宋体" w:cs="宋体"/>
          <w:sz w:val="24"/>
        </w:rPr>
        <w:t>项目联系方式（询问）：0574-87425279</w:t>
      </w:r>
    </w:p>
    <w:p w14:paraId="09B18BEC">
      <w:pPr>
        <w:spacing w:line="336" w:lineRule="auto"/>
        <w:ind w:firstLine="480"/>
        <w:rPr>
          <w:rFonts w:hint="eastAsia" w:ascii="宋体" w:hAnsi="宋体" w:cs="宋体"/>
          <w:sz w:val="24"/>
        </w:rPr>
      </w:pPr>
      <w:r>
        <w:rPr>
          <w:rFonts w:hint="eastAsia" w:ascii="宋体" w:hAnsi="宋体" w:cs="宋体"/>
          <w:sz w:val="24"/>
        </w:rPr>
        <w:t>质疑联系人：王近娜</w:t>
      </w:r>
    </w:p>
    <w:p w14:paraId="3B49672E">
      <w:pPr>
        <w:spacing w:line="336" w:lineRule="auto"/>
        <w:ind w:firstLine="480"/>
        <w:rPr>
          <w:rFonts w:hint="eastAsia" w:ascii="宋体" w:hAnsi="宋体" w:cs="宋体"/>
          <w:sz w:val="24"/>
        </w:rPr>
      </w:pPr>
      <w:r>
        <w:rPr>
          <w:rFonts w:hint="eastAsia" w:ascii="宋体" w:hAnsi="宋体" w:cs="宋体"/>
          <w:sz w:val="24"/>
        </w:rPr>
        <w:t>质疑联系方式：0574-87425570</w:t>
      </w:r>
    </w:p>
    <w:p w14:paraId="01C667E4">
      <w:pPr>
        <w:spacing w:line="336" w:lineRule="auto"/>
        <w:ind w:firstLine="480"/>
        <w:rPr>
          <w:rFonts w:hint="eastAsia" w:ascii="宋体" w:hAnsi="宋体" w:cs="宋体"/>
          <w:sz w:val="24"/>
        </w:rPr>
      </w:pPr>
    </w:p>
    <w:p w14:paraId="79E462D9">
      <w:pPr>
        <w:spacing w:line="336" w:lineRule="auto"/>
        <w:ind w:firstLine="480"/>
        <w:rPr>
          <w:rFonts w:hint="eastAsia" w:ascii="宋体" w:hAnsi="宋体" w:cs="宋体"/>
          <w:sz w:val="24"/>
        </w:rPr>
      </w:pPr>
    </w:p>
    <w:p w14:paraId="1173806C">
      <w:pPr>
        <w:spacing w:line="336" w:lineRule="auto"/>
        <w:ind w:firstLine="480"/>
        <w:rPr>
          <w:rFonts w:hint="eastAsia" w:ascii="宋体" w:hAnsi="宋体" w:cs="宋体"/>
          <w:sz w:val="24"/>
        </w:rPr>
      </w:pPr>
      <w:r>
        <w:rPr>
          <w:rFonts w:hint="eastAsia" w:ascii="宋体" w:hAnsi="宋体" w:cs="宋体"/>
          <w:sz w:val="24"/>
        </w:rPr>
        <w:t>3.同级政府采购监督管理部门：</w:t>
      </w:r>
    </w:p>
    <w:p w14:paraId="5F97AA1B">
      <w:pPr>
        <w:spacing w:line="336" w:lineRule="auto"/>
        <w:ind w:firstLine="480"/>
        <w:rPr>
          <w:rFonts w:hint="eastAsia" w:ascii="宋体" w:hAnsi="宋体" w:cs="宋体"/>
          <w:sz w:val="24"/>
        </w:rPr>
      </w:pPr>
      <w:r>
        <w:rPr>
          <w:rFonts w:hint="eastAsia" w:ascii="宋体" w:hAnsi="宋体" w:cs="宋体"/>
          <w:sz w:val="24"/>
        </w:rPr>
        <w:t xml:space="preserve">名    称：宁海县政府采购管理办公室             </w:t>
      </w:r>
    </w:p>
    <w:p w14:paraId="1887642D">
      <w:pPr>
        <w:spacing w:line="336" w:lineRule="auto"/>
        <w:ind w:firstLine="480"/>
        <w:rPr>
          <w:rFonts w:hint="eastAsia" w:ascii="宋体" w:hAnsi="宋体" w:cs="宋体"/>
          <w:sz w:val="24"/>
        </w:rPr>
      </w:pPr>
      <w:r>
        <w:rPr>
          <w:rFonts w:hint="eastAsia" w:ascii="宋体" w:hAnsi="宋体" w:cs="宋体"/>
          <w:sz w:val="24"/>
        </w:rPr>
        <w:t xml:space="preserve">地    址：宁海县跃龙街道桃源中路218号            </w:t>
      </w:r>
    </w:p>
    <w:p w14:paraId="579A199C">
      <w:pPr>
        <w:spacing w:line="336" w:lineRule="auto"/>
        <w:ind w:firstLine="480"/>
        <w:rPr>
          <w:rFonts w:hint="eastAsia" w:ascii="宋体" w:hAnsi="宋体" w:cs="宋体"/>
          <w:sz w:val="24"/>
        </w:rPr>
      </w:pPr>
      <w:r>
        <w:rPr>
          <w:rFonts w:hint="eastAsia" w:ascii="宋体" w:hAnsi="宋体" w:cs="宋体"/>
          <w:sz w:val="24"/>
        </w:rPr>
        <w:t xml:space="preserve">传    真：0574-65265612            </w:t>
      </w:r>
    </w:p>
    <w:p w14:paraId="7DF01EB6">
      <w:pPr>
        <w:spacing w:line="336" w:lineRule="auto"/>
        <w:ind w:firstLine="480"/>
        <w:rPr>
          <w:rFonts w:hint="eastAsia" w:ascii="宋体" w:hAnsi="宋体" w:cs="宋体"/>
          <w:sz w:val="24"/>
        </w:rPr>
      </w:pPr>
      <w:r>
        <w:rPr>
          <w:rFonts w:hint="eastAsia" w:ascii="宋体" w:hAnsi="宋体" w:cs="宋体"/>
          <w:sz w:val="24"/>
        </w:rPr>
        <w:t xml:space="preserve">联系人 ：王老师             </w:t>
      </w:r>
    </w:p>
    <w:p w14:paraId="00503B53">
      <w:pPr>
        <w:spacing w:line="336" w:lineRule="auto"/>
        <w:ind w:firstLine="480"/>
        <w:rPr>
          <w:rFonts w:hint="eastAsia" w:ascii="宋体" w:hAnsi="宋体" w:cs="宋体"/>
          <w:sz w:val="24"/>
        </w:rPr>
      </w:pPr>
      <w:r>
        <w:rPr>
          <w:rFonts w:hint="eastAsia" w:ascii="宋体" w:hAnsi="宋体" w:cs="宋体"/>
          <w:sz w:val="24"/>
        </w:rPr>
        <w:t xml:space="preserve">投诉电话：0574-65265668 </w:t>
      </w:r>
    </w:p>
    <w:p w14:paraId="71846484">
      <w:pPr>
        <w:spacing w:line="336" w:lineRule="auto"/>
        <w:ind w:firstLine="480"/>
        <w:rPr>
          <w:rFonts w:hint="eastAsia" w:ascii="宋体" w:hAnsi="宋体" w:cs="宋体"/>
          <w:sz w:val="24"/>
        </w:rPr>
      </w:pPr>
      <w:r>
        <w:rPr>
          <w:rFonts w:hint="eastAsia" w:ascii="宋体" w:hAnsi="宋体" w:cs="宋体"/>
          <w:sz w:val="24"/>
        </w:rPr>
        <w:t xml:space="preserve">    </w:t>
      </w:r>
    </w:p>
    <w:p w14:paraId="1C9C9693">
      <w:pPr>
        <w:spacing w:line="336" w:lineRule="auto"/>
        <w:ind w:firstLine="480" w:firstLineChars="200"/>
        <w:rPr>
          <w:rFonts w:hint="eastAsia"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E04B3A3">
      <w:pPr>
        <w:spacing w:line="336" w:lineRule="auto"/>
        <w:ind w:firstLine="480" w:firstLineChars="200"/>
        <w:rPr>
          <w:rFonts w:hint="eastAsia" w:ascii="宋体" w:hAnsi="宋体" w:cs="宋体"/>
          <w:sz w:val="24"/>
        </w:rPr>
      </w:pPr>
      <w:r>
        <w:rPr>
          <w:rFonts w:hint="eastAsia" w:ascii="宋体" w:hAnsi="宋体" w:cs="宋体"/>
          <w:sz w:val="24"/>
        </w:rPr>
        <w:t>CA问题联系电话（人工）：汇信CA 400-888-4636；天谷CA 400-087-8198。</w:t>
      </w:r>
    </w:p>
    <w:p w14:paraId="13C35705">
      <w:pPr>
        <w:pStyle w:val="32"/>
        <w:spacing w:line="360" w:lineRule="auto"/>
        <w:rPr>
          <w:rFonts w:hint="eastAsia" w:hAnsi="宋体" w:cs="宋体"/>
          <w:b/>
          <w:sz w:val="36"/>
          <w:szCs w:val="20"/>
        </w:rPr>
      </w:pPr>
    </w:p>
    <w:p w14:paraId="0A7109C1">
      <w:pPr>
        <w:tabs>
          <w:tab w:val="left" w:pos="432"/>
        </w:tabs>
        <w:rPr>
          <w:rFonts w:ascii="宋体"/>
          <w:snapToGrid w:val="0"/>
        </w:rPr>
      </w:pPr>
      <w:r>
        <w:br w:type="page"/>
      </w:r>
    </w:p>
    <w:p w14:paraId="1DBA228D">
      <w:pPr>
        <w:adjustRightInd/>
        <w:spacing w:line="360" w:lineRule="auto"/>
        <w:jc w:val="center"/>
        <w:outlineLvl w:val="0"/>
        <w:rPr>
          <w:rFonts w:hint="eastAsia" w:ascii="宋体" w:hAnsi="宋体" w:cs="宋体"/>
          <w:b/>
          <w:sz w:val="36"/>
          <w:szCs w:val="20"/>
        </w:rPr>
      </w:pPr>
      <w:bookmarkStart w:id="13" w:name="_Toc29691"/>
      <w:r>
        <w:rPr>
          <w:rFonts w:hint="eastAsia" w:ascii="宋体" w:hAnsi="宋体" w:cs="宋体"/>
          <w:b/>
          <w:sz w:val="36"/>
          <w:szCs w:val="20"/>
        </w:rPr>
        <w:t>第二部分</w:t>
      </w:r>
      <w:bookmarkEnd w:id="7"/>
      <w:r>
        <w:rPr>
          <w:rFonts w:hint="eastAsia" w:ascii="宋体" w:hAnsi="宋体" w:cs="宋体"/>
          <w:b/>
          <w:sz w:val="36"/>
          <w:szCs w:val="20"/>
        </w:rPr>
        <w:t xml:space="preserve"> 供应商须知</w:t>
      </w:r>
      <w:bookmarkEnd w:id="8"/>
      <w:bookmarkEnd w:id="13"/>
    </w:p>
    <w:p w14:paraId="7FBA2872">
      <w:pPr>
        <w:adjustRightInd/>
        <w:spacing w:line="360" w:lineRule="auto"/>
        <w:ind w:firstLine="3845" w:firstLineChars="1197"/>
        <w:rPr>
          <w:rFonts w:hint="eastAsia" w:ascii="宋体" w:hAnsi="宋体" w:cs="宋体"/>
          <w:b/>
          <w:sz w:val="32"/>
          <w:szCs w:val="20"/>
        </w:rPr>
      </w:pPr>
      <w:r>
        <w:rPr>
          <w:rFonts w:hint="eastAsia" w:ascii="宋体" w:hAnsi="宋体" w:cs="宋体"/>
          <w:b/>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BD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4B31EC3B">
            <w:pPr>
              <w:snapToGrid w:val="0"/>
              <w:spacing w:line="288" w:lineRule="auto"/>
              <w:jc w:val="center"/>
              <w:rPr>
                <w:rFonts w:hint="eastAsia" w:ascii="宋体" w:hAnsi="宋体" w:cs="宋体"/>
                <w:b/>
                <w:sz w:val="24"/>
              </w:rPr>
            </w:pPr>
            <w:r>
              <w:rPr>
                <w:rFonts w:hint="eastAsia" w:ascii="宋体" w:hAnsi="宋体" w:cs="宋体"/>
                <w:b/>
                <w:sz w:val="24"/>
              </w:rPr>
              <w:t>序号</w:t>
            </w:r>
          </w:p>
        </w:tc>
        <w:tc>
          <w:tcPr>
            <w:tcW w:w="1843" w:type="dxa"/>
            <w:vAlign w:val="center"/>
          </w:tcPr>
          <w:p w14:paraId="796869F1">
            <w:pPr>
              <w:snapToGrid w:val="0"/>
              <w:spacing w:line="288" w:lineRule="auto"/>
              <w:jc w:val="center"/>
              <w:rPr>
                <w:rFonts w:hint="eastAsia" w:ascii="宋体" w:hAnsi="宋体" w:cs="宋体"/>
                <w:b/>
                <w:sz w:val="24"/>
              </w:rPr>
            </w:pPr>
            <w:r>
              <w:rPr>
                <w:rFonts w:hint="eastAsia" w:ascii="宋体" w:hAnsi="宋体" w:cs="宋体"/>
                <w:b/>
                <w:sz w:val="24"/>
              </w:rPr>
              <w:t>事项</w:t>
            </w:r>
          </w:p>
        </w:tc>
        <w:tc>
          <w:tcPr>
            <w:tcW w:w="6095" w:type="dxa"/>
            <w:vAlign w:val="center"/>
          </w:tcPr>
          <w:p w14:paraId="55DFEF5A">
            <w:pPr>
              <w:snapToGrid w:val="0"/>
              <w:spacing w:line="288" w:lineRule="auto"/>
              <w:jc w:val="center"/>
              <w:rPr>
                <w:rFonts w:hint="eastAsia" w:ascii="宋体" w:hAnsi="宋体" w:cs="宋体"/>
                <w:b/>
                <w:sz w:val="24"/>
              </w:rPr>
            </w:pPr>
            <w:r>
              <w:rPr>
                <w:rFonts w:hint="eastAsia" w:ascii="宋体" w:hAnsi="宋体" w:cs="宋体"/>
                <w:b/>
                <w:sz w:val="24"/>
              </w:rPr>
              <w:t>本项目的特别规定</w:t>
            </w:r>
          </w:p>
        </w:tc>
      </w:tr>
      <w:tr w14:paraId="772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8B2F12F">
            <w:pPr>
              <w:snapToGrid w:val="0"/>
              <w:spacing w:line="288" w:lineRule="auto"/>
              <w:jc w:val="center"/>
              <w:rPr>
                <w:rFonts w:hint="eastAsia" w:ascii="宋体" w:hAnsi="宋体" w:cs="宋体"/>
                <w:sz w:val="24"/>
              </w:rPr>
            </w:pPr>
            <w:r>
              <w:rPr>
                <w:rFonts w:hint="eastAsia" w:ascii="宋体" w:hAnsi="宋体" w:cs="宋体"/>
                <w:sz w:val="24"/>
              </w:rPr>
              <w:t>1</w:t>
            </w:r>
          </w:p>
        </w:tc>
        <w:tc>
          <w:tcPr>
            <w:tcW w:w="1843" w:type="dxa"/>
            <w:vAlign w:val="center"/>
          </w:tcPr>
          <w:p w14:paraId="21FD0119">
            <w:pPr>
              <w:snapToGrid w:val="0"/>
              <w:spacing w:line="288" w:lineRule="auto"/>
              <w:jc w:val="center"/>
              <w:rPr>
                <w:rFonts w:hint="eastAsia" w:ascii="宋体" w:hAnsi="宋体" w:cs="宋体"/>
                <w:b/>
                <w:sz w:val="24"/>
              </w:rPr>
            </w:pPr>
            <w:r>
              <w:rPr>
                <w:rFonts w:hint="eastAsia" w:ascii="宋体" w:hAnsi="宋体" w:cs="宋体"/>
                <w:b/>
                <w:sz w:val="24"/>
              </w:rPr>
              <w:t>项目属性与核心产品</w:t>
            </w:r>
          </w:p>
        </w:tc>
        <w:tc>
          <w:tcPr>
            <w:tcW w:w="6095" w:type="dxa"/>
            <w:vAlign w:val="center"/>
          </w:tcPr>
          <w:p w14:paraId="3D499726">
            <w:pPr>
              <w:spacing w:line="288" w:lineRule="auto"/>
              <w:rPr>
                <w:rFonts w:hint="eastAsia" w:ascii="宋体" w:hAnsi="宋体" w:cs="宋体"/>
                <w:sz w:val="24"/>
              </w:rPr>
            </w:pPr>
            <w:r>
              <w:rPr>
                <w:rFonts w:hint="eastAsia" w:ascii="宋体" w:hAnsi="宋体" w:cs="宋体"/>
                <w:sz w:val="24"/>
              </w:rPr>
              <w:t>货物类，单一产品或核心产品为：</w:t>
            </w:r>
            <w:r>
              <w:rPr>
                <w:rFonts w:hint="eastAsia" w:ascii="宋体" w:hAnsi="宋体" w:cs="宋体"/>
                <w:sz w:val="24"/>
                <w:u w:val="single"/>
              </w:rPr>
              <w:t xml:space="preserve"> 核心交换机、6类非屏蔽双绞线    </w:t>
            </w:r>
            <w:r>
              <w:rPr>
                <w:rFonts w:hint="eastAsia" w:ascii="宋体" w:hAnsi="宋体" w:cs="宋体"/>
                <w:sz w:val="24"/>
              </w:rPr>
              <w:t>。</w:t>
            </w:r>
          </w:p>
        </w:tc>
      </w:tr>
      <w:tr w14:paraId="09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92C00B">
            <w:pPr>
              <w:snapToGrid w:val="0"/>
              <w:spacing w:line="288" w:lineRule="auto"/>
              <w:jc w:val="center"/>
              <w:rPr>
                <w:rFonts w:hint="eastAsia" w:ascii="宋体" w:hAnsi="宋体" w:cs="宋体"/>
                <w:sz w:val="24"/>
              </w:rPr>
            </w:pPr>
            <w:r>
              <w:rPr>
                <w:rFonts w:hint="eastAsia" w:ascii="宋体" w:hAnsi="宋体" w:cs="宋体"/>
                <w:sz w:val="24"/>
              </w:rPr>
              <w:t>2</w:t>
            </w:r>
          </w:p>
        </w:tc>
        <w:tc>
          <w:tcPr>
            <w:tcW w:w="1843" w:type="dxa"/>
            <w:vAlign w:val="center"/>
          </w:tcPr>
          <w:p w14:paraId="67689E25">
            <w:pPr>
              <w:snapToGrid w:val="0"/>
              <w:spacing w:line="288" w:lineRule="auto"/>
              <w:jc w:val="center"/>
              <w:rPr>
                <w:rFonts w:hint="eastAsia" w:ascii="宋体" w:hAnsi="宋体" w:cs="宋体"/>
                <w:b/>
                <w:sz w:val="24"/>
              </w:rPr>
            </w:pPr>
            <w:r>
              <w:rPr>
                <w:rFonts w:hint="eastAsia" w:ascii="宋体" w:hAnsi="宋体" w:cs="宋体"/>
                <w:b/>
                <w:sz w:val="24"/>
              </w:rPr>
              <w:t>采购标的及其对应的中小企业划分标准所属行业</w:t>
            </w:r>
          </w:p>
        </w:tc>
        <w:tc>
          <w:tcPr>
            <w:tcW w:w="6095" w:type="dxa"/>
            <w:vAlign w:val="center"/>
          </w:tcPr>
          <w:p w14:paraId="0DB57189">
            <w:pPr>
              <w:numPr>
                <w:ilvl w:val="0"/>
                <w:numId w:val="2"/>
              </w:numPr>
              <w:snapToGrid w:val="0"/>
              <w:spacing w:line="288" w:lineRule="auto"/>
              <w:rPr>
                <w:rFonts w:hint="eastAsia" w:ascii="宋体" w:hAnsi="宋体" w:cs="宋体"/>
                <w:kern w:val="0"/>
                <w:sz w:val="24"/>
              </w:rPr>
            </w:pPr>
            <w:r>
              <w:rPr>
                <w:rFonts w:hint="eastAsia" w:ascii="宋体" w:hAnsi="宋体" w:cs="宋体"/>
                <w:kern w:val="0"/>
                <w:sz w:val="24"/>
              </w:rPr>
              <w:t>标的：</w:t>
            </w:r>
            <w:r>
              <w:rPr>
                <w:rFonts w:hint="eastAsia" w:ascii="宋体" w:hAnsi="宋体" w:cs="宋体"/>
                <w:kern w:val="0"/>
                <w:sz w:val="24"/>
                <w:u w:val="single"/>
              </w:rPr>
              <w:t xml:space="preserve"> 宁海县教育局下属学校一职高等网络改造 </w:t>
            </w:r>
            <w:r>
              <w:rPr>
                <w:rFonts w:hint="eastAsia" w:ascii="宋体" w:hAnsi="宋体" w:cs="宋体"/>
                <w:kern w:val="0"/>
                <w:sz w:val="24"/>
              </w:rPr>
              <w:t>，属于</w:t>
            </w:r>
            <w:r>
              <w:rPr>
                <w:rFonts w:hint="eastAsia" w:ascii="宋体" w:hAnsi="宋体" w:cs="宋体"/>
                <w:kern w:val="0"/>
                <w:sz w:val="24"/>
                <w:u w:val="single"/>
              </w:rPr>
              <w:t xml:space="preserve"> 工业 </w:t>
            </w:r>
            <w:r>
              <w:rPr>
                <w:rFonts w:hint="eastAsia" w:ascii="宋体" w:hAnsi="宋体" w:cs="宋体"/>
                <w:kern w:val="0"/>
                <w:sz w:val="24"/>
              </w:rPr>
              <w:t>行业；</w:t>
            </w:r>
          </w:p>
          <w:p w14:paraId="6BB1F436">
            <w:pPr>
              <w:numPr>
                <w:ilvl w:val="0"/>
                <w:numId w:val="2"/>
              </w:numPr>
              <w:snapToGrid w:val="0"/>
              <w:spacing w:line="288" w:lineRule="auto"/>
              <w:rPr>
                <w:rFonts w:hint="eastAsia" w:ascii="宋体" w:hAnsi="宋体" w:cs="宋体"/>
                <w:kern w:val="0"/>
                <w:sz w:val="24"/>
              </w:rPr>
            </w:pPr>
            <w:r>
              <w:rPr>
                <w:rFonts w:hint="eastAsia" w:ascii="宋体" w:hAnsi="宋体" w:cs="宋体"/>
                <w:kern w:val="0"/>
                <w:sz w:val="24"/>
              </w:rPr>
              <w:t>本项目非专门面向中小企业。</w:t>
            </w:r>
          </w:p>
        </w:tc>
      </w:tr>
      <w:tr w14:paraId="515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14881F">
            <w:pPr>
              <w:snapToGrid w:val="0"/>
              <w:spacing w:line="288" w:lineRule="auto"/>
              <w:jc w:val="center"/>
              <w:rPr>
                <w:rFonts w:hint="eastAsia" w:ascii="宋体" w:hAnsi="宋体" w:cs="宋体"/>
                <w:sz w:val="24"/>
              </w:rPr>
            </w:pPr>
            <w:r>
              <w:rPr>
                <w:rFonts w:hint="eastAsia" w:ascii="宋体" w:hAnsi="宋体" w:cs="宋体"/>
                <w:sz w:val="24"/>
              </w:rPr>
              <w:t>3</w:t>
            </w:r>
          </w:p>
        </w:tc>
        <w:tc>
          <w:tcPr>
            <w:tcW w:w="1843" w:type="dxa"/>
            <w:vAlign w:val="center"/>
          </w:tcPr>
          <w:p w14:paraId="5576E990">
            <w:pPr>
              <w:snapToGrid w:val="0"/>
              <w:spacing w:line="288" w:lineRule="auto"/>
              <w:jc w:val="center"/>
              <w:rPr>
                <w:rFonts w:hint="eastAsia" w:ascii="宋体" w:hAnsi="宋体" w:cs="宋体"/>
                <w:b/>
                <w:sz w:val="24"/>
              </w:rPr>
            </w:pPr>
            <w:r>
              <w:rPr>
                <w:rFonts w:hint="eastAsia" w:ascii="宋体" w:hAnsi="宋体" w:cs="宋体"/>
                <w:b/>
                <w:sz w:val="24"/>
              </w:rPr>
              <w:t>是否允许采购进口产品</w:t>
            </w:r>
          </w:p>
        </w:tc>
        <w:tc>
          <w:tcPr>
            <w:tcW w:w="6095" w:type="dxa"/>
            <w:vAlign w:val="center"/>
          </w:tcPr>
          <w:p w14:paraId="19CC357D">
            <w:pPr>
              <w:spacing w:line="288" w:lineRule="auto"/>
              <w:rPr>
                <w:rFonts w:hint="eastAsia" w:ascii="宋体" w:hAnsi="宋体" w:cs="宋体"/>
                <w:kern w:val="0"/>
                <w:sz w:val="24"/>
              </w:rPr>
            </w:pPr>
            <w:sdt>
              <w:sdtPr>
                <w:rPr>
                  <w:rFonts w:hint="eastAsia" w:ascii="宋体" w:hAnsi="宋体" w:cs="宋体"/>
                  <w:kern w:val="0"/>
                  <w:sz w:val="24"/>
                </w:rPr>
                <w:id w:val="-182842570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本项目不允许采购进口产品。</w:t>
            </w:r>
          </w:p>
          <w:p w14:paraId="3704C095">
            <w:pPr>
              <w:spacing w:line="288" w:lineRule="auto"/>
              <w:rPr>
                <w:rFonts w:hint="eastAsia" w:ascii="宋体" w:hAnsi="宋体" w:cs="宋体"/>
              </w:rPr>
            </w:pPr>
            <w:sdt>
              <w:sdtPr>
                <w:rPr>
                  <w:rFonts w:hint="eastAsia" w:ascii="宋体" w:hAnsi="宋体" w:cs="宋体"/>
                  <w:kern w:val="0"/>
                  <w:sz w:val="24"/>
                </w:rPr>
                <w:id w:val="-5285282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93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246FFE8">
            <w:pPr>
              <w:snapToGrid w:val="0"/>
              <w:spacing w:line="288" w:lineRule="auto"/>
              <w:jc w:val="center"/>
              <w:rPr>
                <w:rFonts w:hint="eastAsia" w:ascii="宋体" w:hAnsi="宋体" w:cs="宋体"/>
                <w:sz w:val="24"/>
              </w:rPr>
            </w:pPr>
            <w:r>
              <w:rPr>
                <w:rFonts w:hint="eastAsia" w:ascii="宋体" w:hAnsi="宋体" w:cs="宋体"/>
                <w:sz w:val="24"/>
              </w:rPr>
              <w:t>4</w:t>
            </w:r>
          </w:p>
        </w:tc>
        <w:tc>
          <w:tcPr>
            <w:tcW w:w="1843" w:type="dxa"/>
            <w:vAlign w:val="center"/>
          </w:tcPr>
          <w:p w14:paraId="21A1C378">
            <w:pPr>
              <w:snapToGrid w:val="0"/>
              <w:spacing w:line="288" w:lineRule="auto"/>
              <w:ind w:firstLine="482" w:firstLineChars="200"/>
              <w:rPr>
                <w:rFonts w:hint="eastAsia" w:ascii="宋体" w:hAnsi="宋体" w:cs="宋体"/>
                <w:b/>
                <w:sz w:val="24"/>
              </w:rPr>
            </w:pPr>
            <w:r>
              <w:rPr>
                <w:rFonts w:hint="eastAsia" w:ascii="宋体" w:hAnsi="宋体" w:cs="宋体"/>
                <w:b/>
                <w:sz w:val="24"/>
              </w:rPr>
              <w:t>分包</w:t>
            </w:r>
          </w:p>
        </w:tc>
        <w:tc>
          <w:tcPr>
            <w:tcW w:w="6095" w:type="dxa"/>
            <w:vAlign w:val="center"/>
          </w:tcPr>
          <w:p w14:paraId="018B229E">
            <w:pPr>
              <w:spacing w:line="288" w:lineRule="auto"/>
              <w:rPr>
                <w:rFonts w:hint="eastAsia"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þ</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安装、培训等 </w:t>
            </w:r>
            <w:r>
              <w:rPr>
                <w:rFonts w:hint="eastAsia" w:ascii="宋体" w:hAnsi="宋体" w:cs="宋体"/>
                <w:sz w:val="24"/>
              </w:rPr>
              <w:t>工作分包。</w:t>
            </w:r>
          </w:p>
          <w:p w14:paraId="15367086">
            <w:pPr>
              <w:spacing w:line="288" w:lineRule="auto"/>
              <w:rPr>
                <w:rFonts w:hint="eastAsia" w:ascii="宋体" w:hAnsi="宋体" w:cs="宋体"/>
                <w:sz w:val="24"/>
              </w:rPr>
            </w:pP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14:paraId="4C021AE0">
            <w:pPr>
              <w:spacing w:line="288" w:lineRule="auto"/>
              <w:rPr>
                <w:rFonts w:hint="eastAsia" w:ascii="宋体" w:hAnsi="宋体" w:cs="宋体"/>
                <w:sz w:val="24"/>
              </w:rPr>
            </w:pPr>
            <w:r>
              <w:rPr>
                <w:rFonts w:hint="eastAsia" w:ascii="宋体" w:hAnsi="宋体" w:cs="宋体"/>
                <w:sz w:val="24"/>
              </w:rPr>
              <w:t>注：不得限制大中型企业向小微企业合理分包。</w:t>
            </w:r>
          </w:p>
        </w:tc>
      </w:tr>
      <w:tr w14:paraId="210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F3C06F9">
            <w:pPr>
              <w:snapToGrid w:val="0"/>
              <w:spacing w:line="288" w:lineRule="auto"/>
              <w:jc w:val="center"/>
              <w:rPr>
                <w:rFonts w:hint="eastAsia" w:ascii="宋体" w:hAnsi="宋体" w:cs="宋体"/>
                <w:sz w:val="24"/>
              </w:rPr>
            </w:pPr>
            <w:r>
              <w:rPr>
                <w:rFonts w:hint="eastAsia" w:ascii="宋体" w:hAnsi="宋体" w:cs="宋体"/>
                <w:sz w:val="24"/>
              </w:rPr>
              <w:t>5</w:t>
            </w:r>
          </w:p>
        </w:tc>
        <w:tc>
          <w:tcPr>
            <w:tcW w:w="1843" w:type="dxa"/>
            <w:vAlign w:val="center"/>
          </w:tcPr>
          <w:p w14:paraId="62BD7317">
            <w:pPr>
              <w:snapToGrid w:val="0"/>
              <w:spacing w:line="288" w:lineRule="auto"/>
              <w:jc w:val="center"/>
              <w:rPr>
                <w:rFonts w:hint="eastAsia" w:ascii="宋体" w:hAnsi="宋体" w:cs="宋体"/>
                <w:b/>
                <w:sz w:val="24"/>
              </w:rPr>
            </w:pPr>
            <w:r>
              <w:rPr>
                <w:rFonts w:hint="eastAsia" w:ascii="宋体" w:hAnsi="宋体" w:cs="宋体"/>
                <w:b/>
                <w:sz w:val="24"/>
              </w:rPr>
              <w:t>开标前答疑会或现场考察</w:t>
            </w:r>
          </w:p>
        </w:tc>
        <w:tc>
          <w:tcPr>
            <w:tcW w:w="6095" w:type="dxa"/>
            <w:vAlign w:val="center"/>
          </w:tcPr>
          <w:p w14:paraId="555B5118">
            <w:pPr>
              <w:spacing w:line="288" w:lineRule="auto"/>
              <w:rPr>
                <w:rFonts w:hint="eastAsia"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179300B1">
            <w:pPr>
              <w:spacing w:line="288" w:lineRule="auto"/>
              <w:rPr>
                <w:rFonts w:hint="eastAsia"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403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B37A197">
            <w:pPr>
              <w:snapToGrid w:val="0"/>
              <w:spacing w:line="288" w:lineRule="auto"/>
              <w:jc w:val="center"/>
              <w:rPr>
                <w:rFonts w:hint="eastAsia" w:ascii="宋体" w:hAnsi="宋体" w:cs="宋体"/>
                <w:sz w:val="24"/>
              </w:rPr>
            </w:pPr>
            <w:r>
              <w:rPr>
                <w:rFonts w:hint="eastAsia" w:ascii="宋体" w:hAnsi="宋体" w:cs="宋体"/>
                <w:sz w:val="24"/>
              </w:rPr>
              <w:t>6</w:t>
            </w:r>
          </w:p>
        </w:tc>
        <w:tc>
          <w:tcPr>
            <w:tcW w:w="1843" w:type="dxa"/>
            <w:vAlign w:val="center"/>
          </w:tcPr>
          <w:p w14:paraId="67789EDF">
            <w:pPr>
              <w:snapToGrid w:val="0"/>
              <w:spacing w:line="288" w:lineRule="auto"/>
              <w:jc w:val="center"/>
              <w:rPr>
                <w:rFonts w:hint="eastAsia" w:ascii="宋体" w:hAnsi="宋体" w:cs="宋体"/>
                <w:b/>
                <w:sz w:val="24"/>
              </w:rPr>
            </w:pPr>
            <w:r>
              <w:rPr>
                <w:rFonts w:hint="eastAsia" w:ascii="宋体" w:hAnsi="宋体" w:cs="宋体"/>
                <w:b/>
                <w:sz w:val="24"/>
              </w:rPr>
              <w:t>样品提供</w:t>
            </w:r>
          </w:p>
        </w:tc>
        <w:tc>
          <w:tcPr>
            <w:tcW w:w="6095" w:type="dxa"/>
            <w:vAlign w:val="center"/>
          </w:tcPr>
          <w:p w14:paraId="7541A568">
            <w:pPr>
              <w:spacing w:line="288" w:lineRule="auto"/>
              <w:rPr>
                <w:rFonts w:hint="eastAsia"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cs="宋体"/>
                    <w:kern w:val="0"/>
                    <w:sz w:val="24"/>
                  </w:rPr>
                  <w:t>þ</w:t>
                </w:r>
              </w:sdtContent>
            </w:sdt>
            <w:r>
              <w:rPr>
                <w:rFonts w:hint="eastAsia" w:ascii="宋体" w:hAnsi="宋体" w:cs="宋体"/>
                <w:kern w:val="0"/>
                <w:sz w:val="24"/>
              </w:rPr>
              <w:t>A</w:t>
            </w:r>
            <w:r>
              <w:rPr>
                <w:rFonts w:hint="eastAsia" w:ascii="宋体" w:hAnsi="宋体" w:cs="宋体"/>
                <w:sz w:val="24"/>
              </w:rPr>
              <w:t>不要求提供。</w:t>
            </w:r>
          </w:p>
          <w:p w14:paraId="75F874E9">
            <w:pPr>
              <w:spacing w:line="288" w:lineRule="auto"/>
              <w:rPr>
                <w:rFonts w:hint="eastAsia"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7FEC8638">
            <w:pPr>
              <w:spacing w:line="288" w:lineRule="auto"/>
              <w:rPr>
                <w:rFonts w:hint="eastAsia"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84670EA">
            <w:pPr>
              <w:spacing w:line="288" w:lineRule="auto"/>
              <w:rPr>
                <w:rFonts w:hint="eastAsia"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AEAF725">
            <w:pPr>
              <w:spacing w:line="288" w:lineRule="auto"/>
              <w:rPr>
                <w:rFonts w:hint="eastAsia"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3DA74EE">
            <w:pPr>
              <w:spacing w:line="288" w:lineRule="auto"/>
              <w:rPr>
                <w:rFonts w:hint="eastAsia"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1283C075">
            <w:pPr>
              <w:spacing w:line="288" w:lineRule="auto"/>
              <w:rPr>
                <w:rFonts w:hint="eastAsia"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78119A19">
            <w:pPr>
              <w:spacing w:line="288" w:lineRule="auto"/>
              <w:rPr>
                <w:rFonts w:hint="eastAsia" w:ascii="宋体" w:hAnsi="宋体" w:cs="宋体"/>
                <w:sz w:val="24"/>
              </w:rPr>
            </w:pPr>
            <w:r>
              <w:rPr>
                <w:rFonts w:hint="eastAsia" w:ascii="宋体" w:hAnsi="宋体" w:cs="宋体"/>
                <w:sz w:val="24"/>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F26A5AE">
            <w:pPr>
              <w:spacing w:line="288" w:lineRule="auto"/>
              <w:rPr>
                <w:rFonts w:hint="eastAsia" w:ascii="宋体" w:hAnsi="宋体" w:cs="宋体"/>
                <w:b/>
                <w:sz w:val="24"/>
              </w:rPr>
            </w:pPr>
            <w:r>
              <w:rPr>
                <w:rFonts w:hint="eastAsia" w:ascii="宋体" w:hAnsi="宋体" w:cs="宋体"/>
                <w:sz w:val="24"/>
              </w:rPr>
              <w:t>（7）制作、运输、安装和保管样品所发生的一切费用由供应商自理。</w:t>
            </w:r>
          </w:p>
        </w:tc>
      </w:tr>
      <w:tr w14:paraId="44D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0D8DA8">
            <w:pPr>
              <w:snapToGrid w:val="0"/>
              <w:spacing w:line="288" w:lineRule="auto"/>
              <w:jc w:val="center"/>
              <w:rPr>
                <w:rFonts w:hint="eastAsia" w:ascii="宋体" w:hAnsi="宋体" w:cs="宋体"/>
                <w:sz w:val="24"/>
              </w:rPr>
            </w:pPr>
            <w:r>
              <w:rPr>
                <w:rFonts w:hint="eastAsia" w:ascii="宋体" w:hAnsi="宋体" w:cs="宋体"/>
                <w:sz w:val="24"/>
              </w:rPr>
              <w:t>7</w:t>
            </w:r>
          </w:p>
        </w:tc>
        <w:tc>
          <w:tcPr>
            <w:tcW w:w="1843" w:type="dxa"/>
            <w:vAlign w:val="center"/>
          </w:tcPr>
          <w:p w14:paraId="5DD8FBC1">
            <w:pPr>
              <w:snapToGrid w:val="0"/>
              <w:spacing w:line="288" w:lineRule="auto"/>
              <w:jc w:val="center"/>
              <w:rPr>
                <w:rFonts w:hint="eastAsia" w:ascii="宋体" w:hAnsi="宋体" w:cs="宋体"/>
                <w:bCs/>
                <w:sz w:val="24"/>
              </w:rPr>
            </w:pPr>
            <w:r>
              <w:rPr>
                <w:rFonts w:hint="eastAsia" w:ascii="宋体" w:hAnsi="宋体" w:cs="宋体"/>
                <w:b/>
                <w:sz w:val="24"/>
              </w:rPr>
              <w:t>方案讲解演示</w:t>
            </w:r>
          </w:p>
        </w:tc>
        <w:tc>
          <w:tcPr>
            <w:tcW w:w="6095" w:type="dxa"/>
            <w:vAlign w:val="center"/>
          </w:tcPr>
          <w:p w14:paraId="658F66E7">
            <w:pPr>
              <w:spacing w:line="288" w:lineRule="auto"/>
              <w:rPr>
                <w:rFonts w:hint="eastAsia" w:ascii="宋体" w:hAnsi="宋体" w:cs="宋体"/>
                <w:sz w:val="24"/>
              </w:rPr>
            </w:pPr>
            <w:sdt>
              <w:sdtPr>
                <w:rPr>
                  <w:rFonts w:hint="eastAsia" w:ascii="宋体" w:hAnsi="宋体" w:cs="宋体"/>
                  <w:kern w:val="0"/>
                  <w:sz w:val="24"/>
                </w:rPr>
                <w:id w:val="-185934854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rPr>
                  <w:t>þ</w:t>
                </w:r>
              </w:sdtContent>
            </w:sdt>
            <w:r>
              <w:rPr>
                <w:rFonts w:hint="eastAsia" w:ascii="宋体" w:hAnsi="宋体" w:cs="宋体"/>
                <w:kern w:val="0"/>
                <w:sz w:val="24"/>
              </w:rPr>
              <w:t>A</w:t>
            </w:r>
            <w:r>
              <w:rPr>
                <w:rFonts w:hint="eastAsia" w:ascii="宋体" w:hAnsi="宋体" w:cs="宋体"/>
                <w:sz w:val="24"/>
              </w:rPr>
              <w:t>不组织。</w:t>
            </w:r>
          </w:p>
          <w:p w14:paraId="2079DE66">
            <w:pPr>
              <w:spacing w:line="288" w:lineRule="auto"/>
              <w:rPr>
                <w:rFonts w:hint="eastAsia"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2EDEFE6D">
            <w:pPr>
              <w:snapToGrid w:val="0"/>
              <w:spacing w:line="288" w:lineRule="auto"/>
              <w:rPr>
                <w:rFonts w:hint="eastAsia" w:ascii="宋体" w:hAnsi="宋体" w:cs="宋体"/>
                <w:kern w:val="0"/>
                <w:sz w:val="24"/>
              </w:rPr>
            </w:pPr>
            <w:r>
              <w:rPr>
                <w:rFonts w:hint="eastAsia" w:ascii="宋体" w:hAnsi="宋体" w:cs="宋体"/>
                <w:kern w:val="0"/>
                <w:sz w:val="24"/>
              </w:rPr>
              <w:t>（1）在评标时安排每个供应商进行方案讲解演示。每个供应商时间不超过</w:t>
            </w:r>
            <w:r>
              <w:rPr>
                <w:rFonts w:hint="eastAsia" w:ascii="宋体" w:hAnsi="宋体" w:cs="宋体"/>
                <w:kern w:val="0"/>
                <w:sz w:val="24"/>
                <w:u w:val="single"/>
              </w:rPr>
              <w:t>20（编制时可根据项目情况进行调整）</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3（编制时可根据项目情况进行调整）</w:t>
            </w:r>
            <w:r>
              <w:rPr>
                <w:rFonts w:hint="eastAsia" w:ascii="宋体" w:hAnsi="宋体" w:cs="宋体"/>
                <w:kern w:val="0"/>
                <w:sz w:val="24"/>
              </w:rPr>
              <w:t>人。讲解演示结束后按要求解答评标委员会提问。</w:t>
            </w:r>
          </w:p>
          <w:p w14:paraId="485F66CC">
            <w:pPr>
              <w:snapToGrid w:val="0"/>
              <w:spacing w:line="288" w:lineRule="auto"/>
              <w:rPr>
                <w:rFonts w:hint="eastAsia" w:ascii="宋体" w:hAnsi="宋体" w:cs="宋体"/>
                <w:kern w:val="0"/>
                <w:sz w:val="24"/>
              </w:rPr>
            </w:pPr>
            <w:r>
              <w:rPr>
                <w:rFonts w:hint="eastAsia" w:ascii="宋体" w:hAnsi="宋体" w:cs="宋体"/>
                <w:kern w:val="0"/>
                <w:sz w:val="24"/>
              </w:rPr>
              <w:t>（2）方案讲解演示可选择以下其中一种方式：</w:t>
            </w:r>
          </w:p>
          <w:p w14:paraId="3DA78B58">
            <w:pPr>
              <w:snapToGrid w:val="0"/>
              <w:spacing w:line="288" w:lineRule="auto"/>
              <w:rPr>
                <w:rFonts w:hint="eastAsia"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509BC82D">
            <w:pPr>
              <w:snapToGrid w:val="0"/>
              <w:spacing w:line="288" w:lineRule="auto"/>
              <w:rPr>
                <w:rFonts w:hint="eastAsia" w:ascii="宋体" w:hAnsi="宋体" w:cs="宋体"/>
                <w:kern w:val="0"/>
                <w:sz w:val="24"/>
              </w:rPr>
            </w:pPr>
            <w:r>
              <w:rPr>
                <w:rFonts w:hint="eastAsia" w:ascii="宋体" w:hAnsi="宋体" w:cs="宋体"/>
                <w:kern w:val="0"/>
                <w:sz w:val="24"/>
              </w:rPr>
              <w:t>方式二：评标现场讲解演示。现场讲解地点为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52B59949">
            <w:pPr>
              <w:snapToGrid w:val="0"/>
              <w:spacing w:line="288" w:lineRule="auto"/>
              <w:rPr>
                <w:rFonts w:hint="eastAsia"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69C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3CF4C9D4">
            <w:pPr>
              <w:snapToGrid w:val="0"/>
              <w:spacing w:line="288" w:lineRule="auto"/>
              <w:jc w:val="center"/>
              <w:rPr>
                <w:rFonts w:hint="eastAsia" w:ascii="宋体" w:hAnsi="宋体" w:cs="宋体"/>
                <w:sz w:val="24"/>
              </w:rPr>
            </w:pPr>
            <w:r>
              <w:rPr>
                <w:rFonts w:hint="eastAsia" w:ascii="宋体" w:hAnsi="宋体" w:cs="宋体"/>
                <w:sz w:val="24"/>
              </w:rPr>
              <w:t>8</w:t>
            </w:r>
          </w:p>
        </w:tc>
        <w:tc>
          <w:tcPr>
            <w:tcW w:w="1843" w:type="dxa"/>
            <w:vMerge w:val="restart"/>
            <w:vAlign w:val="center"/>
          </w:tcPr>
          <w:p w14:paraId="5343FACE">
            <w:pPr>
              <w:snapToGrid w:val="0"/>
              <w:spacing w:line="288" w:lineRule="auto"/>
              <w:jc w:val="center"/>
              <w:rPr>
                <w:rFonts w:hint="eastAsia" w:ascii="宋体" w:hAnsi="宋体" w:cs="宋体"/>
                <w:b/>
                <w:sz w:val="24"/>
              </w:rPr>
            </w:pPr>
            <w:r>
              <w:rPr>
                <w:rFonts w:hint="eastAsia" w:ascii="宋体" w:hAnsi="宋体" w:cs="宋体"/>
                <w:b/>
                <w:sz w:val="24"/>
              </w:rPr>
              <w:t>供应商应当提供的资格、资信证明文件</w:t>
            </w:r>
          </w:p>
        </w:tc>
        <w:tc>
          <w:tcPr>
            <w:tcW w:w="6095" w:type="dxa"/>
            <w:vAlign w:val="center"/>
          </w:tcPr>
          <w:p w14:paraId="6CE262D4">
            <w:pPr>
              <w:spacing w:line="288" w:lineRule="auto"/>
              <w:rPr>
                <w:rFonts w:hint="eastAsia" w:ascii="宋体" w:hAnsi="宋体" w:cs="宋体"/>
                <w:sz w:val="24"/>
              </w:rPr>
            </w:pPr>
            <w:r>
              <w:rPr>
                <w:rFonts w:hint="eastAsia" w:ascii="宋体" w:hAnsi="宋体" w:cs="宋体"/>
                <w:sz w:val="24"/>
              </w:rPr>
              <w:t>（1）资格证明文件：见招标文件第二部分11.1。</w:t>
            </w:r>
          </w:p>
          <w:p w14:paraId="16C4F89E">
            <w:pPr>
              <w:spacing w:line="288" w:lineRule="auto"/>
              <w:rPr>
                <w:rFonts w:hint="eastAsia" w:ascii="宋体" w:hAnsi="宋体" w:cs="宋体"/>
                <w:snapToGrid w:val="0"/>
                <w:kern w:val="0"/>
                <w:szCs w:val="21"/>
              </w:rPr>
            </w:pPr>
            <w:r>
              <w:rPr>
                <w:rFonts w:hint="eastAsia" w:ascii="宋体" w:hAnsi="宋体" w:cs="宋体"/>
                <w:kern w:val="0"/>
                <w:sz w:val="24"/>
                <w:lang w:val="zh-CN"/>
              </w:rPr>
              <w:t>供应商未提供有效的资格证明文件的，视为供应商不具备招标文件中规定的资格要求，投标无效。</w:t>
            </w:r>
          </w:p>
        </w:tc>
      </w:tr>
      <w:tr w14:paraId="7BA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500752D2">
            <w:pPr>
              <w:snapToGrid w:val="0"/>
              <w:spacing w:line="288" w:lineRule="auto"/>
              <w:jc w:val="center"/>
              <w:rPr>
                <w:rFonts w:hint="eastAsia" w:ascii="宋体" w:hAnsi="宋体" w:cs="宋体"/>
                <w:sz w:val="24"/>
              </w:rPr>
            </w:pPr>
          </w:p>
        </w:tc>
        <w:tc>
          <w:tcPr>
            <w:tcW w:w="1843" w:type="dxa"/>
            <w:vMerge w:val="continue"/>
            <w:vAlign w:val="center"/>
          </w:tcPr>
          <w:p w14:paraId="3F51E2E6">
            <w:pPr>
              <w:snapToGrid w:val="0"/>
              <w:spacing w:line="288" w:lineRule="auto"/>
              <w:jc w:val="center"/>
              <w:rPr>
                <w:rFonts w:hint="eastAsia" w:ascii="宋体" w:hAnsi="宋体" w:cs="宋体"/>
                <w:b/>
                <w:sz w:val="24"/>
              </w:rPr>
            </w:pPr>
          </w:p>
        </w:tc>
        <w:tc>
          <w:tcPr>
            <w:tcW w:w="6095" w:type="dxa"/>
            <w:vAlign w:val="center"/>
          </w:tcPr>
          <w:p w14:paraId="32B0DF8C">
            <w:pPr>
              <w:spacing w:line="288" w:lineRule="auto"/>
              <w:rPr>
                <w:rFonts w:hint="eastAsia" w:ascii="宋体" w:hAnsi="宋体" w:cs="宋体"/>
                <w:sz w:val="24"/>
              </w:rPr>
            </w:pPr>
            <w:r>
              <w:rPr>
                <w:rFonts w:hint="eastAsia" w:ascii="宋体" w:hAnsi="宋体" w:cs="宋体"/>
                <w:sz w:val="24"/>
              </w:rPr>
              <w:t>（2）资信证明文件：根据招标文件第四部分评标标准提供。</w:t>
            </w:r>
          </w:p>
        </w:tc>
      </w:tr>
      <w:tr w14:paraId="07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9076BD1">
            <w:pPr>
              <w:snapToGrid w:val="0"/>
              <w:spacing w:line="288" w:lineRule="auto"/>
              <w:jc w:val="center"/>
              <w:rPr>
                <w:rFonts w:hint="eastAsia" w:ascii="宋体" w:hAnsi="宋体" w:cs="宋体"/>
                <w:sz w:val="24"/>
              </w:rPr>
            </w:pPr>
            <w:r>
              <w:rPr>
                <w:rFonts w:hint="eastAsia" w:ascii="宋体" w:hAnsi="宋体" w:cs="宋体"/>
                <w:sz w:val="24"/>
              </w:rPr>
              <w:t>9</w:t>
            </w:r>
          </w:p>
        </w:tc>
        <w:tc>
          <w:tcPr>
            <w:tcW w:w="1843" w:type="dxa"/>
            <w:vAlign w:val="center"/>
          </w:tcPr>
          <w:p w14:paraId="3B0BB2D0">
            <w:pPr>
              <w:snapToGrid w:val="0"/>
              <w:spacing w:line="288" w:lineRule="auto"/>
              <w:jc w:val="center"/>
              <w:rPr>
                <w:rFonts w:hint="eastAsia" w:ascii="宋体" w:hAnsi="宋体" w:cs="宋体"/>
                <w:b/>
                <w:sz w:val="24"/>
              </w:rPr>
            </w:pPr>
            <w:r>
              <w:rPr>
                <w:rFonts w:hint="eastAsia" w:ascii="宋体" w:hAnsi="宋体" w:cs="宋体"/>
                <w:b/>
                <w:sz w:val="24"/>
              </w:rPr>
              <w:t>节能产品、环境标志产品</w:t>
            </w:r>
          </w:p>
        </w:tc>
        <w:tc>
          <w:tcPr>
            <w:tcW w:w="6095" w:type="dxa"/>
            <w:vAlign w:val="center"/>
          </w:tcPr>
          <w:p w14:paraId="08742968">
            <w:pPr>
              <w:snapToGrid w:val="0"/>
              <w:spacing w:line="288" w:lineRule="auto"/>
              <w:rPr>
                <w:rFonts w:hint="eastAsia"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F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146C9F9">
            <w:pPr>
              <w:snapToGrid w:val="0"/>
              <w:spacing w:line="288" w:lineRule="auto"/>
              <w:jc w:val="center"/>
              <w:rPr>
                <w:rFonts w:hint="eastAsia" w:ascii="宋体" w:hAnsi="宋体" w:cs="宋体"/>
                <w:sz w:val="24"/>
              </w:rPr>
            </w:pPr>
            <w:r>
              <w:rPr>
                <w:rFonts w:hint="eastAsia" w:ascii="宋体" w:hAnsi="宋体" w:cs="宋体"/>
                <w:sz w:val="24"/>
              </w:rPr>
              <w:t>10</w:t>
            </w:r>
          </w:p>
        </w:tc>
        <w:tc>
          <w:tcPr>
            <w:tcW w:w="1843" w:type="dxa"/>
            <w:vAlign w:val="center"/>
          </w:tcPr>
          <w:p w14:paraId="7E501FE5">
            <w:pPr>
              <w:snapToGrid w:val="0"/>
              <w:spacing w:line="288" w:lineRule="auto"/>
              <w:jc w:val="center"/>
              <w:rPr>
                <w:rFonts w:hint="eastAsia" w:ascii="宋体" w:hAnsi="宋体" w:cs="宋体"/>
                <w:b/>
                <w:sz w:val="24"/>
              </w:rPr>
            </w:pPr>
            <w:r>
              <w:rPr>
                <w:rFonts w:hint="eastAsia" w:ascii="宋体" w:hAnsi="宋体" w:cs="宋体"/>
                <w:b/>
                <w:sz w:val="24"/>
              </w:rPr>
              <w:t>报价要求</w:t>
            </w:r>
          </w:p>
        </w:tc>
        <w:tc>
          <w:tcPr>
            <w:tcW w:w="6095" w:type="dxa"/>
            <w:vAlign w:val="center"/>
          </w:tcPr>
          <w:p w14:paraId="5BC03F0B">
            <w:pPr>
              <w:snapToGrid w:val="0"/>
              <w:spacing w:line="288" w:lineRule="auto"/>
              <w:jc w:val="left"/>
              <w:rPr>
                <w:rFonts w:hint="eastAsia"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kern w:val="0"/>
                <w:sz w:val="24"/>
                <w:lang w:val="zh-CN"/>
              </w:rPr>
              <w:t>招标文件未列明，而供应商认为必需的费用也需列入报价。</w:t>
            </w:r>
          </w:p>
          <w:p w14:paraId="2BD8C2B3">
            <w:pPr>
              <w:snapToGrid w:val="0"/>
              <w:spacing w:line="288" w:lineRule="auto"/>
              <w:ind w:firstLine="241" w:firstLineChars="100"/>
              <w:jc w:val="left"/>
              <w:rPr>
                <w:rFonts w:hint="eastAsia" w:ascii="宋体" w:hAnsi="宋体" w:cs="宋体"/>
                <w:b/>
                <w:kern w:val="0"/>
                <w:sz w:val="24"/>
                <w:lang w:val="zh-CN"/>
              </w:rPr>
            </w:pPr>
            <w:r>
              <w:rPr>
                <w:rFonts w:hint="eastAsia" w:ascii="宋体" w:hAnsi="宋体" w:cs="宋体"/>
                <w:b/>
                <w:kern w:val="0"/>
                <w:sz w:val="24"/>
              </w:rPr>
              <w:t>本项目</w:t>
            </w:r>
            <w:r>
              <w:rPr>
                <w:rFonts w:hint="eastAsia" w:ascii="宋体" w:hAnsi="宋体" w:cs="宋体"/>
                <w:b/>
                <w:kern w:val="0"/>
                <w:sz w:val="24"/>
                <w:lang w:val="zh-CN"/>
              </w:rPr>
              <w:t>采用</w:t>
            </w:r>
            <w:r>
              <w:rPr>
                <w:rFonts w:hint="eastAsia" w:ascii="宋体" w:hAnsi="宋体" w:cs="宋体"/>
                <w:b/>
                <w:kern w:val="0"/>
                <w:sz w:val="24"/>
              </w:rPr>
              <w:t>人民币</w:t>
            </w:r>
            <w:r>
              <w:rPr>
                <w:rFonts w:hint="eastAsia" w:ascii="宋体" w:hAnsi="宋体" w:cs="宋体"/>
                <w:b/>
                <w:kern w:val="0"/>
                <w:sz w:val="24"/>
                <w:lang w:val="zh-CN"/>
              </w:rPr>
              <w:t>报价。</w:t>
            </w:r>
          </w:p>
          <w:p w14:paraId="3FC9826C">
            <w:pPr>
              <w:snapToGrid w:val="0"/>
              <w:spacing w:line="288"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投标报价须是完成本项目的所有费用，应当包含设备价、零备件和专用工具价、运输费、保险费、安装调试费、检测费、</w:t>
            </w:r>
            <w:r>
              <w:rPr>
                <w:rFonts w:hint="eastAsia" w:ascii="宋体" w:hAnsi="宋体" w:cs="宋体"/>
                <w:b/>
                <w:kern w:val="0"/>
                <w:sz w:val="24"/>
              </w:rPr>
              <w:t>验收费、</w:t>
            </w:r>
            <w:r>
              <w:rPr>
                <w:rFonts w:hint="eastAsia" w:ascii="宋体" w:hAnsi="宋体" w:cs="宋体"/>
                <w:b/>
                <w:kern w:val="0"/>
                <w:sz w:val="24"/>
                <w:lang w:val="zh-CN"/>
              </w:rPr>
              <w:t>技术培训费、质保期服务、利润、税金等一切与本次采购相关的费用。</w:t>
            </w:r>
          </w:p>
          <w:p w14:paraId="13E81C64">
            <w:pPr>
              <w:snapToGrid w:val="0"/>
              <w:spacing w:line="288" w:lineRule="auto"/>
              <w:jc w:val="left"/>
              <w:rPr>
                <w:rFonts w:hint="eastAsia" w:ascii="宋体" w:hAnsi="宋体" w:cs="宋体"/>
                <w:b/>
                <w:kern w:val="0"/>
                <w:sz w:val="24"/>
                <w:lang w:val="zh-CN"/>
              </w:rPr>
            </w:pPr>
            <w:r>
              <w:rPr>
                <w:rFonts w:hint="eastAsia" w:ascii="宋体" w:hAnsi="宋体" w:cs="宋体"/>
                <w:b/>
                <w:kern w:val="0"/>
                <w:sz w:val="24"/>
                <w:lang w:val="zh-CN"/>
              </w:rPr>
              <w:t>不论投标结果如何，供应商均应自行承担所有与投标有关的全部费用。</w:t>
            </w:r>
          </w:p>
          <w:p w14:paraId="50CF490C">
            <w:pPr>
              <w:snapToGrid w:val="0"/>
              <w:spacing w:line="288" w:lineRule="auto"/>
              <w:jc w:val="left"/>
              <w:rPr>
                <w:rFonts w:hint="eastAsia" w:ascii="宋体" w:hAnsi="宋体" w:cs="宋体"/>
                <w:b/>
                <w:kern w:val="0"/>
                <w:sz w:val="24"/>
                <w:lang w:val="zh-CN"/>
              </w:rPr>
            </w:pPr>
            <w:r>
              <w:rPr>
                <w:rFonts w:hint="eastAsia" w:ascii="宋体" w:hAnsi="宋体" w:cs="宋体"/>
                <w:b/>
                <w:kern w:val="0"/>
                <w:sz w:val="24"/>
                <w:lang w:val="zh-CN"/>
              </w:rPr>
              <w:t>投标报价出现下列情形的，投标无效：</w:t>
            </w:r>
          </w:p>
          <w:p w14:paraId="445E30FD">
            <w:pPr>
              <w:snapToGrid w:val="0"/>
              <w:spacing w:line="288" w:lineRule="auto"/>
              <w:ind w:firstLine="241" w:firstLineChars="100"/>
              <w:jc w:val="left"/>
              <w:rPr>
                <w:rFonts w:hint="eastAsia"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29A4544A">
            <w:pPr>
              <w:snapToGrid w:val="0"/>
              <w:spacing w:line="288" w:lineRule="auto"/>
              <w:ind w:firstLine="241" w:firstLineChars="100"/>
              <w:jc w:val="left"/>
              <w:rPr>
                <w:rFonts w:hint="eastAsia"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362EA382">
            <w:pPr>
              <w:spacing w:line="288" w:lineRule="auto"/>
              <w:ind w:firstLine="241" w:firstLineChars="100"/>
              <w:rPr>
                <w:rFonts w:hint="eastAsia" w:ascii="宋体" w:hAnsi="宋体" w:cs="宋体"/>
                <w:b/>
                <w:sz w:val="24"/>
              </w:rPr>
            </w:pPr>
            <w:r>
              <w:rPr>
                <w:rFonts w:hint="eastAsia" w:ascii="宋体" w:hAnsi="宋体" w:cs="宋体"/>
                <w:b/>
                <w:kern w:val="0"/>
                <w:sz w:val="24"/>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sz w:val="24"/>
                <w:szCs w:val="21"/>
              </w:rPr>
              <w:t>；</w:t>
            </w:r>
          </w:p>
          <w:p w14:paraId="7B113042">
            <w:pPr>
              <w:spacing w:line="288" w:lineRule="auto"/>
              <w:ind w:firstLine="241" w:firstLineChars="100"/>
              <w:rPr>
                <w:rFonts w:hint="eastAsia"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4C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CB71E">
            <w:pPr>
              <w:snapToGrid w:val="0"/>
              <w:spacing w:line="288" w:lineRule="auto"/>
              <w:jc w:val="center"/>
              <w:rPr>
                <w:rFonts w:hint="eastAsia" w:ascii="宋体" w:hAnsi="宋体" w:cs="宋体"/>
                <w:sz w:val="24"/>
              </w:rPr>
            </w:pPr>
            <w:r>
              <w:rPr>
                <w:rFonts w:hint="eastAsia" w:ascii="宋体" w:hAnsi="宋体" w:cs="宋体"/>
                <w:sz w:val="24"/>
              </w:rPr>
              <w:t>11</w:t>
            </w:r>
          </w:p>
        </w:tc>
        <w:tc>
          <w:tcPr>
            <w:tcW w:w="1843" w:type="dxa"/>
            <w:vAlign w:val="center"/>
          </w:tcPr>
          <w:p w14:paraId="70870371">
            <w:pPr>
              <w:snapToGrid w:val="0"/>
              <w:spacing w:line="288" w:lineRule="auto"/>
              <w:jc w:val="center"/>
              <w:rPr>
                <w:rFonts w:hint="eastAsia" w:ascii="宋体" w:hAnsi="宋体" w:cs="宋体"/>
                <w:b/>
                <w:sz w:val="24"/>
              </w:rPr>
            </w:pPr>
            <w:r>
              <w:rPr>
                <w:rFonts w:hint="eastAsia" w:ascii="宋体" w:hAnsi="宋体" w:cs="宋体"/>
                <w:b/>
                <w:sz w:val="24"/>
              </w:rPr>
              <w:t>中小企业信用融资</w:t>
            </w:r>
          </w:p>
        </w:tc>
        <w:tc>
          <w:tcPr>
            <w:tcW w:w="6095" w:type="dxa"/>
            <w:vAlign w:val="center"/>
          </w:tcPr>
          <w:p w14:paraId="61E9A89C">
            <w:pPr>
              <w:spacing w:line="288" w:lineRule="auto"/>
              <w:ind w:firstLine="240" w:firstLineChars="100"/>
              <w:rPr>
                <w:rFonts w:hint="eastAsia" w:ascii="宋体" w:hAnsi="宋体" w:cs="宋体"/>
                <w:sz w:val="24"/>
              </w:rPr>
            </w:pPr>
            <w:r>
              <w:rPr>
                <w:rFonts w:hint="eastAsia" w:ascii="宋体" w:hAnsi="宋体" w:cs="宋体"/>
                <w:snapToGrid w:val="0"/>
                <w:kern w:val="28"/>
                <w:sz w:val="24"/>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1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2BD167">
            <w:pPr>
              <w:snapToGrid w:val="0"/>
              <w:spacing w:line="288" w:lineRule="auto"/>
              <w:jc w:val="center"/>
              <w:rPr>
                <w:rFonts w:hint="eastAsia" w:ascii="宋体" w:hAnsi="宋体" w:cs="宋体"/>
                <w:sz w:val="24"/>
              </w:rPr>
            </w:pPr>
            <w:r>
              <w:rPr>
                <w:rFonts w:hint="eastAsia" w:ascii="宋体" w:hAnsi="宋体" w:cs="宋体"/>
                <w:sz w:val="24"/>
              </w:rPr>
              <w:t>12</w:t>
            </w:r>
          </w:p>
        </w:tc>
        <w:tc>
          <w:tcPr>
            <w:tcW w:w="1843" w:type="dxa"/>
            <w:vAlign w:val="center"/>
          </w:tcPr>
          <w:p w14:paraId="792131B5">
            <w:pPr>
              <w:snapToGrid w:val="0"/>
              <w:spacing w:line="288" w:lineRule="auto"/>
              <w:jc w:val="center"/>
              <w:rPr>
                <w:rFonts w:hint="eastAsia" w:ascii="宋体" w:hAnsi="宋体" w:cs="宋体"/>
                <w:b/>
                <w:sz w:val="24"/>
              </w:rPr>
            </w:pPr>
            <w:r>
              <w:rPr>
                <w:rFonts w:hint="eastAsia" w:ascii="宋体" w:hAnsi="宋体" w:cs="宋体"/>
                <w:b/>
                <w:sz w:val="24"/>
              </w:rPr>
              <w:t xml:space="preserve">备份投标文件送达地点和签收人员 </w:t>
            </w:r>
          </w:p>
        </w:tc>
        <w:tc>
          <w:tcPr>
            <w:tcW w:w="6095" w:type="dxa"/>
            <w:vAlign w:val="center"/>
          </w:tcPr>
          <w:p w14:paraId="737BDB5A">
            <w:pPr>
              <w:pStyle w:val="32"/>
              <w:spacing w:line="288"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供应商可以准备U盘存储的电子备份投标文件1份，按政府采购云平台要求制作的电子备份投标文件，以用于异常情况处理。</w:t>
            </w:r>
          </w:p>
          <w:p w14:paraId="5B70343B">
            <w:pPr>
              <w:pStyle w:val="32"/>
              <w:spacing w:line="288"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u w:val="single"/>
              </w:rPr>
              <w:t>宁海县公共资源交易中心（宁海县桃源街道金水东路5号五楼）</w:t>
            </w:r>
            <w:r>
              <w:rPr>
                <w:rFonts w:hint="eastAsia" w:cs="宋体" w:asciiTheme="minorEastAsia" w:hAnsiTheme="minorEastAsia" w:eastAsiaTheme="minorEastAsia"/>
                <w:kern w:val="28"/>
                <w:sz w:val="24"/>
                <w:szCs w:val="24"/>
              </w:rPr>
              <w:t>，逾期送达或未密封将予以拒收。</w:t>
            </w:r>
          </w:p>
          <w:p w14:paraId="77AA78E5">
            <w:pPr>
              <w:pStyle w:val="32"/>
              <w:spacing w:line="288" w:lineRule="auto"/>
              <w:rPr>
                <w:rFonts w:hint="eastAsia" w:cs="宋体" w:asciiTheme="minorEastAsia" w:hAnsiTheme="minorEastAsia" w:eastAsiaTheme="minorEastAsia"/>
                <w:b/>
                <w:bCs/>
                <w:kern w:val="28"/>
                <w:sz w:val="24"/>
                <w:szCs w:val="24"/>
              </w:rPr>
            </w:pPr>
            <w:r>
              <w:rPr>
                <w:rFonts w:hint="eastAsia" w:cs="宋体" w:asciiTheme="minorEastAsia" w:hAnsiTheme="minorEastAsia" w:eastAsiaTheme="minorEastAsia"/>
                <w:b/>
                <w:bCs/>
                <w:kern w:val="28"/>
                <w:sz w:val="24"/>
                <w:szCs w:val="24"/>
              </w:rPr>
              <w:t>供应商可采用邮寄（含快递）方式递交备份投标文件。</w:t>
            </w:r>
          </w:p>
          <w:p w14:paraId="3AE33F26">
            <w:pPr>
              <w:pStyle w:val="32"/>
              <w:spacing w:line="288"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0142">
            <w:pPr>
              <w:pStyle w:val="32"/>
              <w:spacing w:line="288"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拟在开标前一个工作日16:00前到件的邮寄地址为：宁波市鄞州区天童南路666号中基大厦19楼业务六部；</w:t>
            </w:r>
          </w:p>
          <w:p w14:paraId="5D786AD5">
            <w:pPr>
              <w:pStyle w:val="32"/>
              <w:spacing w:line="288"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收件人：孔工   联系方式：0574-87425279</w:t>
            </w:r>
          </w:p>
          <w:p w14:paraId="74C0F8C8">
            <w:pPr>
              <w:pStyle w:val="32"/>
              <w:spacing w:line="288" w:lineRule="auto"/>
              <w:rPr>
                <w:rFonts w:hint="eastAsia" w:cs="宋体" w:asciiTheme="minorEastAsia" w:hAnsiTheme="minorEastAsia" w:eastAsiaTheme="minorEastAsia"/>
                <w:kern w:val="28"/>
                <w:sz w:val="24"/>
                <w:szCs w:val="24"/>
              </w:rPr>
            </w:pPr>
            <w:r>
              <w:rPr>
                <w:rFonts w:hint="eastAsia" w:cs="宋体" w:asciiTheme="minorEastAsia" w:hAnsiTheme="minorEastAsia" w:eastAsiaTheme="minorEastAsia"/>
                <w:kern w:val="28"/>
                <w:sz w:val="24"/>
                <w:szCs w:val="24"/>
              </w:rPr>
              <w:t>请各供应商确保密封包装在邮寄过程密封包装完好，因邮寄过程的密封破损造成不符合开标要求的，本采购代理及采购人概不负责。</w:t>
            </w:r>
          </w:p>
          <w:p w14:paraId="6FCAC32E">
            <w:pPr>
              <w:pStyle w:val="32"/>
              <w:spacing w:line="288" w:lineRule="auto"/>
              <w:rPr>
                <w:rFonts w:hint="eastAsia" w:hAnsi="宋体" w:cs="宋体"/>
                <w:kern w:val="28"/>
                <w:sz w:val="24"/>
              </w:rPr>
            </w:pPr>
            <w:r>
              <w:rPr>
                <w:rFonts w:hint="eastAsia" w:cs="宋体" w:asciiTheme="minorEastAsia" w:hAnsiTheme="minorEastAsia" w:eastAsiaTheme="minorEastAsia"/>
                <w:b/>
                <w:sz w:val="24"/>
                <w:szCs w:val="24"/>
              </w:rPr>
              <w:t>采购人、采购代理机构不强制或变相强制供应商提交备份投标文件。</w:t>
            </w:r>
          </w:p>
        </w:tc>
      </w:tr>
      <w:tr w14:paraId="36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AA928F">
            <w:pPr>
              <w:snapToGrid w:val="0"/>
              <w:spacing w:line="288" w:lineRule="auto"/>
              <w:jc w:val="center"/>
              <w:rPr>
                <w:rFonts w:hint="eastAsia" w:ascii="宋体" w:hAnsi="宋体" w:cs="宋体"/>
                <w:sz w:val="24"/>
              </w:rPr>
            </w:pPr>
            <w:r>
              <w:rPr>
                <w:rFonts w:hint="eastAsia" w:ascii="宋体" w:hAnsi="宋体" w:cs="宋体"/>
                <w:sz w:val="24"/>
              </w:rPr>
              <w:t>13</w:t>
            </w:r>
          </w:p>
        </w:tc>
        <w:tc>
          <w:tcPr>
            <w:tcW w:w="1843" w:type="dxa"/>
            <w:vMerge w:val="restart"/>
            <w:vAlign w:val="center"/>
          </w:tcPr>
          <w:p w14:paraId="112A3BE0">
            <w:pPr>
              <w:snapToGrid w:val="0"/>
              <w:spacing w:line="288" w:lineRule="auto"/>
              <w:jc w:val="center"/>
              <w:rPr>
                <w:rFonts w:hint="eastAsia" w:ascii="宋体" w:hAnsi="宋体" w:cs="宋体"/>
                <w:b/>
                <w:sz w:val="24"/>
              </w:rPr>
            </w:pPr>
            <w:r>
              <w:rPr>
                <w:rFonts w:hint="eastAsia" w:cs="仿宋_GB2312" w:asciiTheme="minorEastAsia" w:hAnsiTheme="minorEastAsia" w:eastAsiaTheme="minorEastAsia"/>
                <w:b/>
                <w:sz w:val="24"/>
              </w:rPr>
              <w:t>特别说明</w:t>
            </w:r>
          </w:p>
        </w:tc>
        <w:tc>
          <w:tcPr>
            <w:tcW w:w="6095" w:type="dxa"/>
            <w:vAlign w:val="center"/>
          </w:tcPr>
          <w:p w14:paraId="7603D90A">
            <w:pPr>
              <w:spacing w:line="288" w:lineRule="auto"/>
              <w:rPr>
                <w:rFonts w:hint="eastAsia"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63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1FDAA284">
            <w:pPr>
              <w:snapToGrid w:val="0"/>
              <w:spacing w:line="288" w:lineRule="auto"/>
              <w:jc w:val="center"/>
              <w:rPr>
                <w:rFonts w:hint="eastAsia" w:ascii="宋体" w:hAnsi="宋体" w:cs="宋体"/>
                <w:sz w:val="24"/>
              </w:rPr>
            </w:pPr>
          </w:p>
        </w:tc>
        <w:tc>
          <w:tcPr>
            <w:tcW w:w="1843" w:type="dxa"/>
            <w:vMerge w:val="continue"/>
            <w:vAlign w:val="center"/>
          </w:tcPr>
          <w:p w14:paraId="0FC8D4B9">
            <w:pPr>
              <w:snapToGrid w:val="0"/>
              <w:spacing w:line="288" w:lineRule="auto"/>
              <w:jc w:val="center"/>
              <w:rPr>
                <w:rFonts w:hint="eastAsia" w:ascii="宋体" w:hAnsi="宋体" w:cs="宋体"/>
                <w:b/>
                <w:sz w:val="24"/>
              </w:rPr>
            </w:pPr>
          </w:p>
        </w:tc>
        <w:tc>
          <w:tcPr>
            <w:tcW w:w="6095" w:type="dxa"/>
            <w:vAlign w:val="center"/>
          </w:tcPr>
          <w:p w14:paraId="5969EC5D">
            <w:pPr>
              <w:spacing w:line="288"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Gothic" w:hAnsi="MS Gothic"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0702C800">
            <w:pPr>
              <w:spacing w:line="288" w:lineRule="auto"/>
              <w:rPr>
                <w:rFonts w:hint="eastAsia"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Wingdings" w:hAnsi="Wingdings" w:cs="Arial" w:eastAsiaTheme="minorEastAsia"/>
                    <w:kern w:val="0"/>
                    <w:sz w:val="24"/>
                  </w:rPr>
                  <w:t>þ</w:t>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381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B3D985">
            <w:pPr>
              <w:snapToGrid w:val="0"/>
              <w:spacing w:line="288" w:lineRule="auto"/>
              <w:jc w:val="center"/>
              <w:rPr>
                <w:rFonts w:hint="eastAsia" w:cs="宋体" w:asciiTheme="minorEastAsia" w:hAnsiTheme="minorEastAsia" w:eastAsiaTheme="minorEastAsia"/>
                <w:sz w:val="24"/>
              </w:rPr>
            </w:pPr>
            <w:r>
              <w:rPr>
                <w:rFonts w:hint="eastAsia" w:cs="宋体" w:asciiTheme="minorEastAsia" w:hAnsiTheme="minorEastAsia" w:eastAsiaTheme="minorEastAsia"/>
                <w:sz w:val="24"/>
              </w:rPr>
              <w:t>14</w:t>
            </w:r>
          </w:p>
        </w:tc>
        <w:tc>
          <w:tcPr>
            <w:tcW w:w="1843" w:type="dxa"/>
            <w:vAlign w:val="center"/>
          </w:tcPr>
          <w:p w14:paraId="7B548C03">
            <w:pPr>
              <w:snapToGrid w:val="0"/>
              <w:spacing w:line="288" w:lineRule="auto"/>
              <w:jc w:val="center"/>
              <w:rPr>
                <w:rFonts w:hint="eastAsia" w:cs="宋体" w:asciiTheme="minorEastAsia" w:hAnsiTheme="minorEastAsia" w:eastAsiaTheme="minorEastAsia"/>
                <w:b/>
                <w:sz w:val="24"/>
              </w:rPr>
            </w:pPr>
            <w:r>
              <w:rPr>
                <w:rFonts w:hint="eastAsia" w:cs="宋体" w:asciiTheme="minorEastAsia" w:hAnsiTheme="minorEastAsia" w:eastAsiaTheme="minorEastAsia"/>
                <w:b/>
                <w:sz w:val="24"/>
              </w:rPr>
              <w:t>其他说明</w:t>
            </w:r>
          </w:p>
        </w:tc>
        <w:tc>
          <w:tcPr>
            <w:tcW w:w="6095" w:type="dxa"/>
            <w:vAlign w:val="center"/>
          </w:tcPr>
          <w:p w14:paraId="4952E75C">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招标代理服务费的收取标准：代理机构按下表中服务招标的标准（按差额定率累进法计算），根据中标总金额，向中标人收取招标代理服务费。</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20CD9BE1">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130AC304">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1DE0DE25">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7262D86">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D2A5240">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15E1270">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27B54EC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FF92065">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A074F6">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7B8634E">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35405A">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2C28CCA1">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352F678">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2E4360E">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C4774A">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4FC38A2">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34DB6D6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4990181">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BCB1DF">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323AE54">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88786B">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082092C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645FB2">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9AC97B">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146558">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61FF75">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5E2E4B6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21F8332">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8488E2">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AB9C028">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270AE95">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r w14:paraId="130C7A2B">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61643">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218F834">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8A45E0F">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0B1771">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0.05%</w:t>
                  </w:r>
                </w:p>
              </w:tc>
            </w:tr>
          </w:tbl>
          <w:p w14:paraId="6D6A854D">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中标服务费只收现金、银行票汇款、电汇款。汇入以下账户：</w:t>
            </w:r>
          </w:p>
          <w:p w14:paraId="24BFF400">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开户银行：宁波银行股份有限公司鄞州中心区支行</w:t>
            </w:r>
          </w:p>
          <w:p w14:paraId="39D40FD8">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账    号：30010122001229488</w:t>
            </w:r>
          </w:p>
          <w:p w14:paraId="62C6D30D">
            <w:pPr>
              <w:spacing w:line="288" w:lineRule="auto"/>
              <w:rPr>
                <w:rFonts w:hint="eastAsia" w:cs="Arial" w:asciiTheme="minorEastAsia" w:hAnsiTheme="minorEastAsia" w:eastAsiaTheme="minorEastAsia"/>
                <w:kern w:val="0"/>
                <w:sz w:val="24"/>
              </w:rPr>
            </w:pPr>
            <w:r>
              <w:rPr>
                <w:rFonts w:hint="eastAsia" w:cs="Arial" w:asciiTheme="minorEastAsia" w:hAnsiTheme="minorEastAsia" w:eastAsiaTheme="minorEastAsia"/>
                <w:kern w:val="0"/>
                <w:sz w:val="24"/>
              </w:rPr>
              <w:t>户    名：浙江中基正采管理咨询有限公司</w:t>
            </w:r>
          </w:p>
        </w:tc>
      </w:tr>
      <w:bookmarkEnd w:id="9"/>
    </w:tbl>
    <w:p w14:paraId="02B0E363">
      <w:pPr>
        <w:rPr>
          <w:rFonts w:hint="eastAsia" w:ascii="宋体" w:hAnsi="宋体" w:cs="宋体"/>
          <w:b/>
          <w:sz w:val="32"/>
          <w:szCs w:val="20"/>
        </w:rPr>
      </w:pPr>
      <w:bookmarkStart w:id="14" w:name="第三部分"/>
      <w:bookmarkStart w:id="15" w:name="_Toc164416483"/>
      <w:r>
        <w:rPr>
          <w:rFonts w:hint="eastAsia" w:ascii="宋体" w:hAnsi="宋体" w:cs="宋体"/>
          <w:b/>
          <w:sz w:val="32"/>
          <w:szCs w:val="20"/>
        </w:rPr>
        <w:br w:type="page"/>
      </w:r>
    </w:p>
    <w:p w14:paraId="57FD40A1">
      <w:pPr>
        <w:adjustRightInd/>
        <w:spacing w:line="348" w:lineRule="auto"/>
        <w:ind w:firstLine="3845" w:firstLineChars="1197"/>
        <w:rPr>
          <w:rFonts w:hint="eastAsia" w:ascii="宋体" w:hAnsi="宋体" w:cs="宋体"/>
          <w:b/>
          <w:sz w:val="32"/>
          <w:szCs w:val="20"/>
        </w:rPr>
      </w:pPr>
      <w:r>
        <w:rPr>
          <w:rFonts w:hint="eastAsia" w:ascii="宋体" w:hAnsi="宋体" w:cs="宋体"/>
          <w:b/>
          <w:sz w:val="32"/>
          <w:szCs w:val="20"/>
        </w:rPr>
        <w:t>一、总则</w:t>
      </w:r>
    </w:p>
    <w:p w14:paraId="3E8D25CD">
      <w:pPr>
        <w:snapToGrid w:val="0"/>
        <w:spacing w:line="348" w:lineRule="auto"/>
        <w:ind w:firstLine="361" w:firstLineChars="150"/>
        <w:jc w:val="left"/>
        <w:rPr>
          <w:rFonts w:hint="eastAsia" w:ascii="宋体" w:hAnsi="宋体" w:cs="宋体"/>
          <w:b/>
          <w:sz w:val="24"/>
        </w:rPr>
      </w:pPr>
      <w:r>
        <w:rPr>
          <w:rFonts w:hint="eastAsia" w:ascii="宋体" w:hAnsi="宋体" w:cs="宋体"/>
          <w:b/>
          <w:sz w:val="24"/>
        </w:rPr>
        <w:t>1. 适用范围</w:t>
      </w:r>
    </w:p>
    <w:p w14:paraId="36843FCA">
      <w:pPr>
        <w:snapToGrid w:val="0"/>
        <w:spacing w:line="348" w:lineRule="auto"/>
        <w:ind w:firstLine="480" w:firstLineChars="200"/>
        <w:jc w:val="left"/>
        <w:rPr>
          <w:rFonts w:hint="eastAsia"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0AE8146F">
      <w:pPr>
        <w:adjustRightInd/>
        <w:spacing w:line="348" w:lineRule="auto"/>
        <w:rPr>
          <w:rFonts w:hint="eastAsia" w:ascii="宋体" w:hAnsi="宋体" w:cs="宋体"/>
          <w:b/>
          <w:sz w:val="24"/>
        </w:rPr>
      </w:pPr>
      <w:r>
        <w:rPr>
          <w:rFonts w:hint="eastAsia" w:ascii="宋体" w:hAnsi="宋体" w:cs="宋体"/>
          <w:b/>
          <w:sz w:val="24"/>
        </w:rPr>
        <w:t xml:space="preserve">   2.定义</w:t>
      </w:r>
    </w:p>
    <w:p w14:paraId="19BB7FAB">
      <w:pPr>
        <w:spacing w:line="348" w:lineRule="auto"/>
        <w:ind w:firstLine="480" w:firstLineChars="200"/>
        <w:rPr>
          <w:rFonts w:hint="eastAsia" w:ascii="宋体" w:hAnsi="宋体" w:cs="宋体"/>
          <w:sz w:val="24"/>
        </w:rPr>
      </w:pPr>
      <w:r>
        <w:rPr>
          <w:rFonts w:hint="eastAsia" w:ascii="宋体" w:hAnsi="宋体" w:cs="宋体"/>
          <w:sz w:val="24"/>
        </w:rPr>
        <w:t>2.1 “采购人”系指招标公告中载明的本项目的采购人。</w:t>
      </w:r>
    </w:p>
    <w:p w14:paraId="6726A350">
      <w:pPr>
        <w:spacing w:line="348" w:lineRule="auto"/>
        <w:ind w:firstLine="480" w:firstLineChars="200"/>
        <w:rPr>
          <w:rFonts w:hint="eastAsia" w:ascii="宋体" w:hAnsi="宋体" w:cs="宋体"/>
          <w:sz w:val="24"/>
        </w:rPr>
      </w:pPr>
      <w:r>
        <w:rPr>
          <w:rFonts w:hint="eastAsia" w:ascii="宋体" w:hAnsi="宋体" w:cs="宋体"/>
          <w:sz w:val="24"/>
        </w:rPr>
        <w:t>2.2 “采购代理机构”系指招标公告中载明的本项目的采购代理机构。</w:t>
      </w:r>
    </w:p>
    <w:p w14:paraId="44725A19">
      <w:pPr>
        <w:spacing w:line="348" w:lineRule="auto"/>
        <w:ind w:firstLine="480" w:firstLineChars="200"/>
        <w:rPr>
          <w:rFonts w:hint="eastAsia" w:ascii="宋体" w:hAnsi="宋体" w:cs="宋体"/>
          <w:sz w:val="24"/>
        </w:rPr>
      </w:pPr>
      <w:r>
        <w:rPr>
          <w:rFonts w:hint="eastAsia" w:ascii="宋体" w:hAnsi="宋体" w:cs="宋体"/>
          <w:sz w:val="24"/>
        </w:rPr>
        <w:t>2.3 “供应商”系指是指响应招标、参加投标竞争的法人、其他组织或者自然人。</w:t>
      </w:r>
    </w:p>
    <w:p w14:paraId="33C8E530">
      <w:pPr>
        <w:spacing w:line="348" w:lineRule="auto"/>
        <w:ind w:firstLine="480" w:firstLineChars="200"/>
        <w:rPr>
          <w:rFonts w:hint="eastAsia"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B1B76F9">
      <w:pPr>
        <w:spacing w:line="348" w:lineRule="auto"/>
        <w:ind w:firstLine="480" w:firstLineChars="200"/>
        <w:rPr>
          <w:rFonts w:hint="eastAsia"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89542">
      <w:pPr>
        <w:spacing w:line="348" w:lineRule="auto"/>
        <w:ind w:firstLine="480" w:firstLineChars="200"/>
        <w:rPr>
          <w:rFonts w:hint="eastAsia" w:ascii="宋体" w:hAnsi="宋体" w:cs="宋体"/>
          <w:sz w:val="24"/>
        </w:rPr>
      </w:pPr>
      <w:r>
        <w:rPr>
          <w:rFonts w:hint="eastAsia" w:ascii="宋体" w:hAnsi="宋体" w:cs="宋体"/>
          <w:sz w:val="24"/>
        </w:rPr>
        <w:t>2.6“电子交易平台”系指本项目政府采购活动所依托的政府采购云平台（https://www.zcygov.cn/）。</w:t>
      </w:r>
    </w:p>
    <w:p w14:paraId="46D70E46">
      <w:pPr>
        <w:spacing w:line="348" w:lineRule="auto"/>
        <w:ind w:firstLine="480" w:firstLineChars="200"/>
        <w:rPr>
          <w:rFonts w:hint="eastAsia"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FEC2081">
      <w:pPr>
        <w:spacing w:line="348" w:lineRule="auto"/>
        <w:ind w:firstLine="241" w:firstLineChars="100"/>
        <w:rPr>
          <w:rFonts w:hint="eastAsia"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F3E69B9">
      <w:pPr>
        <w:spacing w:line="348" w:lineRule="auto"/>
        <w:ind w:firstLine="240" w:firstLineChars="100"/>
        <w:rPr>
          <w:rFonts w:hint="eastAsia"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30F1099C">
      <w:pPr>
        <w:spacing w:line="348" w:lineRule="auto"/>
        <w:ind w:firstLine="240" w:firstLineChars="100"/>
        <w:rPr>
          <w:rFonts w:hint="eastAsia" w:ascii="宋体" w:hAnsi="宋体" w:cs="宋体"/>
          <w:sz w:val="24"/>
        </w:rPr>
      </w:pPr>
      <w:r>
        <w:rPr>
          <w:rFonts w:hint="eastAsia" w:ascii="宋体" w:hAnsi="宋体" w:cs="宋体"/>
          <w:sz w:val="24"/>
        </w:rPr>
        <w:t>3.2 支持绿色发展</w:t>
      </w:r>
    </w:p>
    <w:p w14:paraId="6477CC8B">
      <w:pPr>
        <w:spacing w:line="348" w:lineRule="auto"/>
        <w:ind w:firstLine="480" w:firstLineChars="200"/>
        <w:rPr>
          <w:rFonts w:hint="eastAsia"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748427BD">
      <w:pPr>
        <w:spacing w:line="348" w:lineRule="auto"/>
        <w:ind w:firstLine="480" w:firstLineChars="200"/>
        <w:rPr>
          <w:rFonts w:hint="eastAsia"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3.2.2纳入政府采购管理的修缮、装修类项目采购建材的，鼓励采购单位将绿色建材性能、指标等作为实质性条件纳入招标文件和合同，具体性能指标要求参考相关绿色建材政府采购需求标准。</w:t>
      </w:r>
    </w:p>
    <w:p w14:paraId="432B3BA8">
      <w:pPr>
        <w:spacing w:line="348" w:lineRule="auto"/>
        <w:ind w:firstLine="480" w:firstLineChars="200"/>
        <w:rPr>
          <w:rFonts w:hint="eastAsia"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sz w:val="24"/>
        </w:rPr>
        <w:t>鼓励采购单位优先采购秸秆环保板材等资源综合利用产品。鼓励采购单位优先采购绿色物流配送服务、提供新能源交通工具的租赁服务。</w:t>
      </w:r>
    </w:p>
    <w:p w14:paraId="0FAF457F">
      <w:pPr>
        <w:spacing w:line="348" w:lineRule="auto"/>
        <w:ind w:firstLine="480" w:firstLineChars="200"/>
        <w:rPr>
          <w:rFonts w:hint="eastAsia" w:ascii="宋体" w:hAnsi="宋体" w:cs="宋体"/>
          <w:sz w:val="24"/>
        </w:rPr>
      </w:pPr>
      <w:r>
        <w:rPr>
          <w:rFonts w:hint="eastAsia" w:ascii="宋体" w:hAnsi="宋体" w:cs="宋体"/>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CF6AB7B">
      <w:pPr>
        <w:spacing w:line="348" w:lineRule="auto"/>
        <w:ind w:firstLine="240" w:firstLineChars="100"/>
        <w:rPr>
          <w:rFonts w:hint="eastAsia" w:ascii="宋体" w:hAnsi="宋体" w:cs="宋体"/>
          <w:sz w:val="24"/>
        </w:rPr>
      </w:pPr>
      <w:r>
        <w:rPr>
          <w:rFonts w:hint="eastAsia" w:ascii="宋体" w:hAnsi="宋体" w:cs="宋体"/>
          <w:sz w:val="24"/>
        </w:rPr>
        <w:t>3.3支持中小企业发展</w:t>
      </w:r>
    </w:p>
    <w:p w14:paraId="1B76AEAF">
      <w:pPr>
        <w:spacing w:line="348" w:lineRule="auto"/>
        <w:ind w:firstLine="480" w:firstLineChars="200"/>
        <w:rPr>
          <w:rFonts w:hint="eastAsia"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C1276F">
      <w:pPr>
        <w:spacing w:line="348" w:lineRule="auto"/>
        <w:ind w:firstLine="480" w:firstLineChars="200"/>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579AE8AF">
      <w:pPr>
        <w:widowControl/>
        <w:spacing w:line="348" w:lineRule="auto"/>
        <w:ind w:firstLine="480" w:firstLineChars="200"/>
        <w:jc w:val="left"/>
        <w:rPr>
          <w:rFonts w:hint="eastAsia" w:ascii="宋体" w:hAnsi="宋体" w:cs="宋体"/>
          <w:kern w:val="0"/>
          <w:sz w:val="24"/>
        </w:rPr>
      </w:pPr>
      <w:r>
        <w:rPr>
          <w:rFonts w:ascii="宋体" w:hAnsi="宋体" w:cs="宋体"/>
          <w:bCs/>
          <w:sz w:val="24"/>
        </w:rPr>
        <w:t>3.3.2</w:t>
      </w:r>
      <w:r>
        <w:rPr>
          <w:rFonts w:hint="eastAsia" w:ascii="宋体" w:hAnsi="宋体" w:cs="宋体"/>
          <w:kern w:val="0"/>
          <w:sz w:val="24"/>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5EBCE072">
      <w:pPr>
        <w:widowControl/>
        <w:spacing w:line="348" w:lineRule="auto"/>
        <w:ind w:firstLine="480" w:firstLineChars="200"/>
        <w:jc w:val="left"/>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0E7B46D1">
      <w:pPr>
        <w:spacing w:line="348"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rPr>
        <w:t>联合协议或者分包意向协议约定小微企业的合同份额占到合同总金额30%以上的</w:t>
      </w:r>
      <w:bookmarkEnd w:id="17"/>
      <w:r>
        <w:rPr>
          <w:rFonts w:hint="eastAsia" w:ascii="宋体" w:hAnsi="宋体" w:cs="宋体"/>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DC4159F">
      <w:pPr>
        <w:spacing w:line="348" w:lineRule="auto"/>
        <w:ind w:firstLine="480" w:firstLineChars="200"/>
        <w:rPr>
          <w:rFonts w:hint="eastAsia"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700004DE">
      <w:pPr>
        <w:spacing w:line="348" w:lineRule="auto"/>
        <w:ind w:firstLine="480" w:firstLineChars="200"/>
        <w:rPr>
          <w:rFonts w:hint="eastAsia"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89CE7">
      <w:pPr>
        <w:spacing w:line="348" w:lineRule="auto"/>
        <w:ind w:firstLine="480" w:firstLineChars="200"/>
        <w:rPr>
          <w:rFonts w:hint="eastAsia" w:ascii="宋体" w:hAnsi="宋体" w:cs="宋体"/>
          <w:sz w:val="24"/>
        </w:rPr>
      </w:pPr>
      <w:r>
        <w:rPr>
          <w:rFonts w:hint="eastAsia" w:ascii="宋体" w:hAnsi="宋体" w:cs="宋体"/>
          <w:sz w:val="24"/>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0E750178">
      <w:pPr>
        <w:spacing w:line="348" w:lineRule="auto"/>
        <w:ind w:firstLine="480" w:firstLineChars="200"/>
        <w:rPr>
          <w:rFonts w:hint="eastAsia"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FC70ABE">
      <w:pPr>
        <w:spacing w:line="348" w:lineRule="auto"/>
        <w:ind w:firstLine="240" w:firstLineChars="100"/>
        <w:rPr>
          <w:rFonts w:hint="eastAsia" w:ascii="宋体" w:hAnsi="宋体" w:cs="宋体"/>
          <w:sz w:val="24"/>
        </w:rPr>
      </w:pPr>
      <w:r>
        <w:rPr>
          <w:rFonts w:hint="eastAsia" w:ascii="宋体" w:hAnsi="宋体" w:cs="宋体"/>
          <w:sz w:val="24"/>
        </w:rPr>
        <w:t>3.4</w:t>
      </w:r>
      <w:r>
        <w:rPr>
          <w:rFonts w:hint="eastAsia" w:ascii="宋体" w:hAnsi="宋体" w:cs="宋体"/>
          <w:bCs/>
          <w:sz w:val="24"/>
        </w:rPr>
        <w:t>支持创新发展</w:t>
      </w:r>
    </w:p>
    <w:p w14:paraId="24B9904E">
      <w:pPr>
        <w:spacing w:line="348" w:lineRule="auto"/>
        <w:ind w:firstLine="480" w:firstLineChars="200"/>
        <w:rPr>
          <w:rFonts w:hint="eastAsia" w:ascii="宋体" w:hAnsi="宋体" w:cs="宋体"/>
          <w:sz w:val="24"/>
        </w:rPr>
      </w:pPr>
      <w:r>
        <w:rPr>
          <w:rFonts w:hint="eastAsia" w:ascii="宋体" w:hAnsi="宋体" w:cs="宋体"/>
          <w:sz w:val="24"/>
        </w:rPr>
        <w:t>3.4.1 对省级以上主管部门认定的首台套产品，自纳入《省推广应用指导目录》起三年内参加政府采购活动，视同已具备相应销售业绩，业绩分为满分。</w:t>
      </w:r>
    </w:p>
    <w:p w14:paraId="2CE6417A">
      <w:pPr>
        <w:spacing w:line="348" w:lineRule="auto"/>
        <w:ind w:firstLine="240" w:firstLineChars="100"/>
        <w:rPr>
          <w:rFonts w:hint="eastAsia" w:ascii="宋体" w:hAnsi="宋体" w:cs="宋体"/>
          <w:sz w:val="24"/>
        </w:rPr>
      </w:pPr>
      <w:r>
        <w:rPr>
          <w:rFonts w:hint="eastAsia" w:ascii="宋体" w:hAnsi="宋体" w:cs="宋体"/>
          <w:sz w:val="24"/>
        </w:rPr>
        <w:t>3.5平等对待内外资企业和符合条件的破产重整企业</w:t>
      </w:r>
    </w:p>
    <w:p w14:paraId="0327F2D4">
      <w:pPr>
        <w:spacing w:line="348" w:lineRule="auto"/>
        <w:ind w:firstLine="480" w:firstLineChars="200"/>
        <w:rPr>
          <w:b/>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1351F772">
      <w:pPr>
        <w:pStyle w:val="887"/>
        <w:snapToGrid w:val="0"/>
        <w:spacing w:before="0" w:beforeAutospacing="0" w:after="0" w:afterAutospacing="0" w:line="348" w:lineRule="auto"/>
        <w:ind w:firstLine="400"/>
        <w:contextualSpacing/>
        <w:rPr>
          <w:rFonts w:hint="eastAsia"/>
          <w:lang w:val="zh-CN"/>
        </w:rPr>
      </w:pPr>
      <w:r>
        <w:rPr>
          <w:rFonts w:hint="eastAsia"/>
          <w:lang w:val="zh-CN"/>
        </w:rPr>
        <w:t>4.1在线询问、质疑、投诉</w:t>
      </w:r>
    </w:p>
    <w:p w14:paraId="5A8A7F8D">
      <w:pPr>
        <w:pStyle w:val="887"/>
        <w:snapToGrid w:val="0"/>
        <w:spacing w:before="0" w:beforeAutospacing="0" w:after="0" w:afterAutospacing="0" w:line="348" w:lineRule="auto"/>
        <w:ind w:firstLine="400"/>
        <w:contextualSpacing/>
        <w:rPr>
          <w:rFonts w:hint="eastAsia"/>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A07B">
      <w:pPr>
        <w:autoSpaceDE w:val="0"/>
        <w:autoSpaceDN w:val="0"/>
        <w:spacing w:line="348"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4.2供应商询问</w:t>
      </w:r>
    </w:p>
    <w:p w14:paraId="4715DC1A">
      <w:pPr>
        <w:autoSpaceDE w:val="0"/>
        <w:autoSpaceDN w:val="0"/>
        <w:spacing w:line="348"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4E5F4">
      <w:pPr>
        <w:autoSpaceDE w:val="0"/>
        <w:autoSpaceDN w:val="0"/>
        <w:spacing w:line="348" w:lineRule="auto"/>
        <w:ind w:firstLine="240" w:firstLineChars="100"/>
        <w:jc w:val="left"/>
        <w:rPr>
          <w:rFonts w:hint="eastAsia" w:ascii="宋体" w:hAnsi="宋体" w:cs="宋体"/>
          <w:kern w:val="0"/>
          <w:sz w:val="24"/>
          <w:lang w:val="zh-CN"/>
        </w:rPr>
      </w:pPr>
      <w:r>
        <w:rPr>
          <w:rFonts w:hint="eastAsia" w:ascii="宋体" w:hAnsi="宋体" w:cs="宋体"/>
          <w:kern w:val="0"/>
          <w:sz w:val="24"/>
          <w:lang w:val="zh-CN"/>
        </w:rPr>
        <w:t>4.3供应商质疑</w:t>
      </w:r>
    </w:p>
    <w:p w14:paraId="22E649D6">
      <w:pPr>
        <w:pStyle w:val="32"/>
        <w:spacing w:line="348"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5B5FE5E">
      <w:pPr>
        <w:pStyle w:val="32"/>
        <w:spacing w:line="348" w:lineRule="auto"/>
        <w:ind w:firstLine="480" w:firstLineChars="200"/>
        <w:rPr>
          <w:rFonts w:hint="eastAsia"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116F86">
      <w:pPr>
        <w:pStyle w:val="5"/>
        <w:spacing w:line="348" w:lineRule="auto"/>
        <w:ind w:firstLine="480" w:firstLineChars="200"/>
        <w:rPr>
          <w:rFonts w:hint="eastAsia"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3D977AA">
      <w:pPr>
        <w:pStyle w:val="32"/>
        <w:spacing w:line="348" w:lineRule="auto"/>
        <w:ind w:left="479" w:leftChars="228"/>
        <w:rPr>
          <w:rFonts w:hint="eastAsia"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5BA69C68">
      <w:pPr>
        <w:pStyle w:val="32"/>
        <w:spacing w:line="348" w:lineRule="auto"/>
        <w:ind w:firstLine="480" w:firstLineChars="200"/>
        <w:rPr>
          <w:rFonts w:hint="eastAsia"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75854886">
      <w:pPr>
        <w:pStyle w:val="32"/>
        <w:spacing w:line="348" w:lineRule="auto"/>
        <w:ind w:firstLine="480" w:firstLineChars="200"/>
        <w:rPr>
          <w:rFonts w:hint="eastAsia" w:hAnsi="宋体" w:cs="宋体"/>
          <w:kern w:val="0"/>
          <w:sz w:val="24"/>
          <w:lang w:val="zh-CN"/>
        </w:rPr>
      </w:pPr>
      <w:r>
        <w:rPr>
          <w:rFonts w:hint="eastAsia" w:hAnsi="宋体" w:cs="宋体"/>
          <w:kern w:val="0"/>
          <w:sz w:val="24"/>
          <w:lang w:val="zh-CN"/>
        </w:rPr>
        <w:t>　　4.3.3.1供应商的姓名或者名称、地址、邮编、联系人及联系电话；</w:t>
      </w:r>
    </w:p>
    <w:p w14:paraId="60A08FAA">
      <w:pPr>
        <w:pStyle w:val="32"/>
        <w:spacing w:line="348" w:lineRule="auto"/>
        <w:ind w:firstLine="480" w:firstLineChars="200"/>
        <w:rPr>
          <w:rFonts w:hint="eastAsia" w:hAnsi="宋体" w:cs="宋体"/>
          <w:kern w:val="0"/>
          <w:sz w:val="24"/>
          <w:lang w:val="zh-CN"/>
        </w:rPr>
      </w:pPr>
      <w:r>
        <w:rPr>
          <w:rFonts w:hint="eastAsia" w:hAnsi="宋体" w:cs="宋体"/>
          <w:kern w:val="0"/>
          <w:sz w:val="24"/>
          <w:lang w:val="zh-CN"/>
        </w:rPr>
        <w:t>　　4.3.3.2质疑项目的名称、编号；</w:t>
      </w:r>
    </w:p>
    <w:p w14:paraId="38517256">
      <w:pPr>
        <w:pStyle w:val="32"/>
        <w:spacing w:line="348" w:lineRule="auto"/>
        <w:ind w:firstLine="480" w:firstLineChars="200"/>
        <w:rPr>
          <w:rFonts w:hint="eastAsia" w:hAnsi="宋体" w:cs="宋体"/>
          <w:kern w:val="0"/>
          <w:sz w:val="24"/>
          <w:lang w:val="zh-CN"/>
        </w:rPr>
      </w:pPr>
      <w:r>
        <w:rPr>
          <w:rFonts w:hint="eastAsia" w:hAnsi="宋体" w:cs="宋体"/>
          <w:kern w:val="0"/>
          <w:sz w:val="24"/>
          <w:lang w:val="zh-CN"/>
        </w:rPr>
        <w:t>　　4.3.3.3具体、明确的质疑事项和与质疑事项相关的请求；</w:t>
      </w:r>
    </w:p>
    <w:p w14:paraId="328991D3">
      <w:pPr>
        <w:pStyle w:val="32"/>
        <w:spacing w:line="348" w:lineRule="auto"/>
        <w:ind w:firstLine="480" w:firstLineChars="200"/>
        <w:rPr>
          <w:rFonts w:hint="eastAsia" w:hAnsi="宋体" w:cs="宋体"/>
          <w:kern w:val="0"/>
          <w:sz w:val="24"/>
          <w:lang w:val="zh-CN"/>
        </w:rPr>
      </w:pPr>
      <w:r>
        <w:rPr>
          <w:rFonts w:hint="eastAsia" w:hAnsi="宋体" w:cs="宋体"/>
          <w:kern w:val="0"/>
          <w:sz w:val="24"/>
          <w:lang w:val="zh-CN"/>
        </w:rPr>
        <w:t>　　4.3.3.4事实依据；</w:t>
      </w:r>
    </w:p>
    <w:p w14:paraId="1673EEA9">
      <w:pPr>
        <w:pStyle w:val="32"/>
        <w:spacing w:line="348" w:lineRule="auto"/>
        <w:ind w:firstLine="480" w:firstLineChars="200"/>
        <w:rPr>
          <w:rFonts w:hint="eastAsia" w:hAnsi="宋体" w:cs="宋体"/>
          <w:kern w:val="0"/>
          <w:sz w:val="24"/>
          <w:lang w:val="zh-CN"/>
        </w:rPr>
      </w:pPr>
      <w:r>
        <w:rPr>
          <w:rFonts w:hint="eastAsia" w:hAnsi="宋体" w:cs="宋体"/>
          <w:kern w:val="0"/>
          <w:sz w:val="24"/>
          <w:lang w:val="zh-CN"/>
        </w:rPr>
        <w:t>　　4.3.3.5必要的法律依据；</w:t>
      </w:r>
    </w:p>
    <w:p w14:paraId="2F349EF8">
      <w:pPr>
        <w:pStyle w:val="32"/>
        <w:spacing w:line="348" w:lineRule="auto"/>
        <w:ind w:firstLine="960" w:firstLineChars="400"/>
        <w:rPr>
          <w:rFonts w:hint="eastAsia" w:hAnsi="宋体" w:cs="宋体"/>
          <w:kern w:val="0"/>
          <w:sz w:val="24"/>
          <w:lang w:val="zh-CN"/>
        </w:rPr>
      </w:pPr>
      <w:r>
        <w:rPr>
          <w:rFonts w:hint="eastAsia" w:hAnsi="宋体" w:cs="宋体"/>
          <w:kern w:val="0"/>
          <w:sz w:val="24"/>
          <w:lang w:val="zh-CN"/>
        </w:rPr>
        <w:t>4.3.3.6提出质疑的日期。</w:t>
      </w:r>
    </w:p>
    <w:p w14:paraId="2C14DFE2">
      <w:pPr>
        <w:pStyle w:val="887"/>
        <w:snapToGrid w:val="0"/>
        <w:spacing w:before="0" w:beforeAutospacing="0" w:after="0" w:afterAutospacing="0" w:line="348" w:lineRule="auto"/>
        <w:ind w:firstLine="400"/>
        <w:contextualSpacing/>
        <w:rPr>
          <w:rFonts w:hint="eastAsia"/>
        </w:rPr>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A8C7A87">
      <w:pPr>
        <w:pStyle w:val="887"/>
        <w:snapToGrid w:val="0"/>
        <w:spacing w:before="0" w:beforeAutospacing="0" w:after="0" w:afterAutospacing="0" w:line="348" w:lineRule="auto"/>
        <w:ind w:firstLine="400"/>
        <w:contextualSpacing/>
        <w:rPr>
          <w:rFonts w:hint="eastAsia"/>
        </w:rPr>
      </w:pPr>
      <w:r>
        <w:rPr>
          <w:rFonts w:hint="eastAsia"/>
        </w:rPr>
        <w:t>质疑函范本及制作说明详见附件2。</w:t>
      </w:r>
    </w:p>
    <w:p w14:paraId="2927C2E2">
      <w:pPr>
        <w:pStyle w:val="887"/>
        <w:snapToGrid w:val="0"/>
        <w:spacing w:before="0" w:beforeAutospacing="0" w:after="0" w:afterAutospacing="0" w:line="348" w:lineRule="auto"/>
        <w:ind w:firstLine="400"/>
        <w:contextualSpacing/>
        <w:rPr>
          <w:rFonts w:hint="eastAsia"/>
        </w:rPr>
      </w:pPr>
      <w:r>
        <w:rPr>
          <w:rFonts w:hint="eastAsia"/>
        </w:rPr>
        <w:t>4.3.4对同一采购程序环节的质疑，供应商须在法定质疑期内一次性提出。</w:t>
      </w:r>
    </w:p>
    <w:p w14:paraId="0DB8027E">
      <w:pPr>
        <w:pStyle w:val="887"/>
        <w:snapToGrid w:val="0"/>
        <w:spacing w:before="0" w:beforeAutospacing="0" w:after="0" w:afterAutospacing="0" w:line="348"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rPr>
        <w:t>根据《浙江省财政厅关于进一步加强政府采购公平竞争打造最优营商环境的通知》（浙财采监〔</w:t>
      </w:r>
      <w:r>
        <w:rPr>
          <w:rFonts w:asciiTheme="minorEastAsia" w:hAnsiTheme="minorEastAsia" w:eastAsiaTheme="minorEastAsia"/>
        </w:rPr>
        <w:t>2021〕</w:t>
      </w:r>
      <w:r>
        <w:rPr>
          <w:rFonts w:hint="eastAsia" w:asciiTheme="minorEastAsia" w:hAnsiTheme="minorEastAsia" w:eastAsiaTheme="minorEastAsia"/>
        </w:rPr>
        <w:t>22</w:t>
      </w:r>
      <w:r>
        <w:rPr>
          <w:rFonts w:asciiTheme="minorEastAsia" w:hAnsiTheme="minorEastAsia" w:eastAsiaTheme="minorEastAsia"/>
        </w:rPr>
        <w:t>号）</w:t>
      </w:r>
      <w:r>
        <w:rPr>
          <w:rFonts w:hint="eastAsia" w:asciiTheme="minorEastAsia" w:hAnsiTheme="minorEastAsia" w:eastAsiaTheme="minorEastAsia"/>
        </w:rPr>
        <w:t>，</w:t>
      </w:r>
      <w:r>
        <w:rPr>
          <w:rFonts w:hint="eastAsia"/>
        </w:rPr>
        <w:t>采购人或者采购代理机构在质疑回复后5个工作日内，在浙江政府采购网的“其他公告”栏目公开质疑答复，答复内容应当完整。质疑函作为附件上传。</w:t>
      </w:r>
    </w:p>
    <w:p w14:paraId="454DC554">
      <w:pPr>
        <w:pStyle w:val="887"/>
        <w:snapToGrid w:val="0"/>
        <w:spacing w:before="0" w:beforeAutospacing="0" w:after="0" w:afterAutospacing="0" w:line="348" w:lineRule="auto"/>
        <w:ind w:firstLine="40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2D212EE8">
      <w:pPr>
        <w:pStyle w:val="887"/>
        <w:snapToGrid w:val="0"/>
        <w:spacing w:before="0" w:beforeAutospacing="0" w:after="0" w:afterAutospacing="0" w:line="348" w:lineRule="auto"/>
        <w:ind w:firstLine="480" w:firstLineChars="200"/>
        <w:contextualSpacing/>
        <w:rPr>
          <w:rFonts w:hint="eastAsia"/>
          <w:lang w:val="zh-CN"/>
        </w:rPr>
      </w:pPr>
      <w:r>
        <w:rPr>
          <w:rFonts w:hint="eastAsia"/>
          <w:lang w:val="zh-CN"/>
        </w:rPr>
        <w:t>4.4供应商投诉</w:t>
      </w:r>
    </w:p>
    <w:p w14:paraId="3EFEE7AD">
      <w:pPr>
        <w:pStyle w:val="887"/>
        <w:snapToGrid w:val="0"/>
        <w:spacing w:before="0" w:beforeAutospacing="0" w:after="0" w:afterAutospacing="0" w:line="348" w:lineRule="auto"/>
        <w:ind w:firstLine="400"/>
        <w:contextualSpacing/>
        <w:rPr>
          <w:rFonts w:hint="eastAsia"/>
        </w:rPr>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76297466">
      <w:pPr>
        <w:pStyle w:val="887"/>
        <w:snapToGrid w:val="0"/>
        <w:spacing w:before="0" w:beforeAutospacing="0" w:after="0" w:afterAutospacing="0" w:line="348" w:lineRule="auto"/>
        <w:ind w:firstLine="400"/>
        <w:contextualSpacing/>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0AFBF27D">
      <w:pPr>
        <w:pStyle w:val="887"/>
        <w:snapToGrid w:val="0"/>
        <w:spacing w:before="0" w:beforeAutospacing="0" w:after="0" w:afterAutospacing="0" w:line="348" w:lineRule="auto"/>
        <w:ind w:firstLine="400"/>
        <w:contextualSpacing/>
        <w:rPr>
          <w:rFonts w:hint="eastAsia"/>
        </w:rPr>
      </w:pPr>
      <w:r>
        <w:rPr>
          <w:rFonts w:hint="eastAsia"/>
        </w:rPr>
        <w:t>4.4.3供应商投诉应当有明确的请求和必要的证明材料。</w:t>
      </w:r>
    </w:p>
    <w:p w14:paraId="3AF8AB2D">
      <w:pPr>
        <w:pStyle w:val="887"/>
        <w:snapToGrid w:val="0"/>
        <w:spacing w:before="0" w:beforeAutospacing="0" w:after="0" w:afterAutospacing="0" w:line="348" w:lineRule="auto"/>
        <w:ind w:firstLine="400"/>
        <w:contextualSpacing/>
        <w:rPr>
          <w:rFonts w:hint="eastAsia"/>
        </w:rPr>
      </w:pPr>
      <w:r>
        <w:rPr>
          <w:rFonts w:hint="eastAsia"/>
        </w:rPr>
        <w:t>4.4.4以联合体形式参加政府采购活动的，其投诉应当由组成联合体的所有供应商共同提出。</w:t>
      </w:r>
    </w:p>
    <w:p w14:paraId="55A28C48">
      <w:pPr>
        <w:pStyle w:val="887"/>
        <w:snapToGrid w:val="0"/>
        <w:spacing w:before="0" w:beforeAutospacing="0" w:after="0" w:afterAutospacing="0" w:line="348" w:lineRule="auto"/>
        <w:ind w:firstLine="480" w:firstLineChars="200"/>
        <w:contextualSpacing/>
        <w:rPr>
          <w:rFonts w:hint="eastAsia"/>
        </w:rPr>
      </w:pPr>
      <w:r>
        <w:rPr>
          <w:rFonts w:hint="eastAsia"/>
        </w:rPr>
        <w:t>4.4.5投诉材料</w:t>
      </w:r>
      <w:r>
        <w:rPr>
          <w:rFonts w:hint="eastAsia" w:hAnsi="Courier New"/>
        </w:rPr>
        <w:t>寄送</w:t>
      </w:r>
      <w:r>
        <w:rPr>
          <w:rFonts w:hint="eastAsia"/>
        </w:rPr>
        <w:t>相关信息详见《第一部分  招标公告》。</w:t>
      </w:r>
    </w:p>
    <w:p w14:paraId="516AA881">
      <w:pPr>
        <w:pStyle w:val="887"/>
        <w:snapToGrid w:val="0"/>
        <w:spacing w:before="0" w:beforeAutospacing="0" w:after="0" w:afterAutospacing="0" w:line="348" w:lineRule="auto"/>
        <w:ind w:firstLine="400"/>
        <w:contextualSpacing/>
        <w:rPr>
          <w:rFonts w:hint="eastAsia"/>
        </w:rPr>
      </w:pPr>
      <w:r>
        <w:rPr>
          <w:rFonts w:hint="eastAsia"/>
        </w:rPr>
        <w:t>投诉书范本及制作说明详见附件3。</w:t>
      </w:r>
    </w:p>
    <w:p w14:paraId="496B4C8A">
      <w:pPr>
        <w:adjustRightInd/>
        <w:spacing w:line="348" w:lineRule="auto"/>
        <w:jc w:val="center"/>
        <w:rPr>
          <w:rFonts w:hint="eastAsia" w:ascii="宋体" w:hAnsi="宋体" w:cs="宋体"/>
          <w:b/>
          <w:sz w:val="32"/>
          <w:szCs w:val="20"/>
        </w:rPr>
      </w:pPr>
      <w:r>
        <w:rPr>
          <w:rFonts w:hint="eastAsia" w:ascii="宋体" w:hAnsi="宋体" w:cs="宋体"/>
          <w:b/>
          <w:sz w:val="32"/>
          <w:szCs w:val="20"/>
        </w:rPr>
        <w:t>二、招标文件的构成、澄清、修改</w:t>
      </w:r>
    </w:p>
    <w:p w14:paraId="2821A8E2">
      <w:pPr>
        <w:pStyle w:val="32"/>
        <w:spacing w:line="348" w:lineRule="auto"/>
        <w:rPr>
          <w:rFonts w:hint="eastAsia" w:hAnsi="宋体" w:cs="宋体"/>
          <w:b/>
          <w:sz w:val="24"/>
          <w:szCs w:val="24"/>
        </w:rPr>
      </w:pPr>
      <w:r>
        <w:rPr>
          <w:rFonts w:hint="eastAsia" w:hAnsi="宋体" w:cs="宋体"/>
          <w:b/>
          <w:sz w:val="24"/>
          <w:szCs w:val="24"/>
        </w:rPr>
        <w:t>5．招标文件的构成</w:t>
      </w:r>
    </w:p>
    <w:p w14:paraId="7667665F">
      <w:pPr>
        <w:pStyle w:val="32"/>
        <w:spacing w:line="348" w:lineRule="auto"/>
        <w:ind w:firstLine="480" w:firstLineChars="200"/>
        <w:rPr>
          <w:rFonts w:hint="eastAsia" w:hAnsi="宋体" w:cs="宋体"/>
          <w:sz w:val="24"/>
          <w:szCs w:val="24"/>
        </w:rPr>
      </w:pPr>
      <w:r>
        <w:rPr>
          <w:rFonts w:hint="eastAsia" w:hAnsi="宋体" w:cs="宋体"/>
          <w:sz w:val="24"/>
          <w:szCs w:val="24"/>
        </w:rPr>
        <w:t>5.1 招标文件包括下列文件及附件：</w:t>
      </w:r>
    </w:p>
    <w:p w14:paraId="2A0FEF81">
      <w:pPr>
        <w:pStyle w:val="32"/>
        <w:tabs>
          <w:tab w:val="left" w:pos="840"/>
        </w:tabs>
        <w:spacing w:line="348" w:lineRule="auto"/>
        <w:ind w:firstLine="960" w:firstLineChars="400"/>
        <w:rPr>
          <w:rFonts w:hint="eastAsia" w:hAnsi="宋体" w:cs="宋体"/>
          <w:sz w:val="24"/>
          <w:szCs w:val="24"/>
        </w:rPr>
      </w:pPr>
      <w:r>
        <w:rPr>
          <w:rFonts w:hint="eastAsia" w:hAnsi="宋体" w:cs="宋体"/>
          <w:sz w:val="24"/>
          <w:szCs w:val="24"/>
        </w:rPr>
        <w:t>5.1.1招标公告；</w:t>
      </w:r>
    </w:p>
    <w:p w14:paraId="25A1BBCD">
      <w:pPr>
        <w:pStyle w:val="32"/>
        <w:tabs>
          <w:tab w:val="left" w:pos="840"/>
        </w:tabs>
        <w:spacing w:line="348" w:lineRule="auto"/>
        <w:ind w:firstLine="960" w:firstLineChars="400"/>
        <w:rPr>
          <w:rFonts w:hint="eastAsia" w:hAnsi="宋体" w:cs="宋体"/>
          <w:sz w:val="24"/>
          <w:szCs w:val="24"/>
        </w:rPr>
      </w:pPr>
      <w:r>
        <w:rPr>
          <w:rFonts w:hint="eastAsia" w:hAnsi="宋体" w:cs="宋体"/>
          <w:sz w:val="24"/>
          <w:szCs w:val="24"/>
        </w:rPr>
        <w:t>5.1.2供应商须知；</w:t>
      </w:r>
    </w:p>
    <w:p w14:paraId="4488B6FB">
      <w:pPr>
        <w:pStyle w:val="32"/>
        <w:tabs>
          <w:tab w:val="left" w:pos="840"/>
        </w:tabs>
        <w:spacing w:line="348" w:lineRule="auto"/>
        <w:ind w:firstLine="960" w:firstLineChars="400"/>
        <w:rPr>
          <w:rFonts w:hint="eastAsia" w:hAnsi="宋体" w:cs="宋体"/>
          <w:sz w:val="24"/>
          <w:szCs w:val="24"/>
        </w:rPr>
      </w:pPr>
      <w:r>
        <w:rPr>
          <w:rFonts w:hint="eastAsia" w:hAnsi="宋体" w:cs="宋体"/>
          <w:sz w:val="24"/>
          <w:szCs w:val="24"/>
        </w:rPr>
        <w:t>5.1.3采购需求；</w:t>
      </w:r>
    </w:p>
    <w:p w14:paraId="3B431926">
      <w:pPr>
        <w:pStyle w:val="32"/>
        <w:tabs>
          <w:tab w:val="left" w:pos="840"/>
        </w:tabs>
        <w:spacing w:line="348" w:lineRule="auto"/>
        <w:ind w:firstLine="960" w:firstLineChars="400"/>
        <w:rPr>
          <w:rFonts w:hint="eastAsia" w:hAnsi="宋体" w:cs="宋体"/>
          <w:sz w:val="24"/>
          <w:szCs w:val="24"/>
        </w:rPr>
      </w:pPr>
      <w:r>
        <w:rPr>
          <w:rFonts w:hint="eastAsia" w:hAnsi="宋体" w:cs="宋体"/>
          <w:sz w:val="24"/>
          <w:szCs w:val="24"/>
        </w:rPr>
        <w:t>5.1.4评标办法；</w:t>
      </w:r>
    </w:p>
    <w:p w14:paraId="6E251C5D">
      <w:pPr>
        <w:pStyle w:val="32"/>
        <w:tabs>
          <w:tab w:val="left" w:pos="840"/>
        </w:tabs>
        <w:spacing w:line="348" w:lineRule="auto"/>
        <w:ind w:firstLine="960" w:firstLineChars="400"/>
        <w:rPr>
          <w:rFonts w:hint="eastAsia" w:hAnsi="宋体" w:cs="宋体"/>
          <w:sz w:val="24"/>
          <w:szCs w:val="24"/>
        </w:rPr>
      </w:pPr>
      <w:r>
        <w:rPr>
          <w:rFonts w:hint="eastAsia" w:hAnsi="宋体" w:cs="宋体"/>
          <w:sz w:val="24"/>
          <w:szCs w:val="24"/>
        </w:rPr>
        <w:t>5.1.5拟签订的合同文本；</w:t>
      </w:r>
    </w:p>
    <w:p w14:paraId="721F02D7">
      <w:pPr>
        <w:pStyle w:val="32"/>
        <w:tabs>
          <w:tab w:val="left" w:pos="840"/>
        </w:tabs>
        <w:spacing w:line="348" w:lineRule="auto"/>
        <w:ind w:firstLine="960" w:firstLineChars="400"/>
        <w:rPr>
          <w:rFonts w:hint="eastAsia" w:hAnsi="宋体" w:cs="宋体"/>
          <w:sz w:val="24"/>
          <w:szCs w:val="24"/>
        </w:rPr>
      </w:pPr>
      <w:r>
        <w:rPr>
          <w:rFonts w:hint="eastAsia" w:hAnsi="宋体" w:cs="宋体"/>
          <w:sz w:val="24"/>
        </w:rPr>
        <w:t>5.1.6</w:t>
      </w:r>
      <w:r>
        <w:rPr>
          <w:rFonts w:hint="eastAsia" w:hAnsi="宋体" w:cs="宋体"/>
          <w:sz w:val="24"/>
          <w:szCs w:val="24"/>
        </w:rPr>
        <w:t>应提交的有关格式范例。</w:t>
      </w:r>
    </w:p>
    <w:p w14:paraId="768463C2">
      <w:pPr>
        <w:spacing w:line="348" w:lineRule="auto"/>
        <w:ind w:firstLine="480" w:firstLineChars="200"/>
        <w:rPr>
          <w:rFonts w:hint="eastAsia"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3EAF0B6F">
      <w:pPr>
        <w:pStyle w:val="32"/>
        <w:spacing w:line="348" w:lineRule="auto"/>
        <w:rPr>
          <w:rFonts w:hint="eastAsia" w:hAnsi="宋体" w:cs="宋体"/>
          <w:b/>
          <w:sz w:val="24"/>
          <w:szCs w:val="24"/>
        </w:rPr>
      </w:pPr>
      <w:r>
        <w:rPr>
          <w:rFonts w:hint="eastAsia" w:hAnsi="宋体" w:cs="宋体"/>
          <w:b/>
          <w:sz w:val="24"/>
          <w:szCs w:val="24"/>
        </w:rPr>
        <w:t>6.招标文件的澄清、修改</w:t>
      </w:r>
    </w:p>
    <w:p w14:paraId="10F273DD">
      <w:pPr>
        <w:pStyle w:val="134"/>
        <w:snapToGrid w:val="0"/>
        <w:spacing w:before="0" w:line="348" w:lineRule="auto"/>
        <w:ind w:firstLine="480"/>
        <w:rPr>
          <w:rFonts w:hint="eastAsia" w:ascii="宋体" w:hAnsi="宋体" w:cs="宋体"/>
        </w:rPr>
      </w:pPr>
      <w:r>
        <w:rPr>
          <w:rFonts w:hint="eastAsia" w:ascii="宋体" w:hAnsi="宋体" w:cs="宋体"/>
        </w:rPr>
        <w:t>6.1已获取招标文件的潜在供应商，若有问题需要澄清，应于投标截止时间前，以书面形式向采购代理机构提出。</w:t>
      </w:r>
    </w:p>
    <w:p w14:paraId="7CAFA02B">
      <w:pPr>
        <w:pStyle w:val="134"/>
        <w:snapToGrid w:val="0"/>
        <w:spacing w:before="0" w:line="348" w:lineRule="auto"/>
        <w:ind w:firstLine="480"/>
        <w:rPr>
          <w:rFonts w:hint="eastAsia" w:ascii="宋体" w:hAnsi="宋体" w:cs="宋体"/>
        </w:rPr>
      </w:pPr>
      <w:r>
        <w:rPr>
          <w:rFonts w:hint="eastAsia" w:ascii="宋体" w:hAnsi="宋体" w:cs="宋体"/>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34B0624C">
      <w:pPr>
        <w:adjustRightInd/>
        <w:spacing w:line="348" w:lineRule="auto"/>
        <w:jc w:val="center"/>
        <w:rPr>
          <w:rFonts w:hint="eastAsia" w:ascii="宋体" w:hAnsi="宋体" w:cs="宋体"/>
          <w:b/>
          <w:sz w:val="30"/>
          <w:szCs w:val="20"/>
        </w:rPr>
      </w:pPr>
      <w:r>
        <w:rPr>
          <w:rFonts w:hint="eastAsia" w:ascii="宋体" w:hAnsi="宋体" w:cs="宋体"/>
          <w:b/>
          <w:sz w:val="30"/>
          <w:szCs w:val="20"/>
        </w:rPr>
        <w:t>三、投标</w:t>
      </w:r>
    </w:p>
    <w:p w14:paraId="6AF99940">
      <w:pPr>
        <w:pStyle w:val="32"/>
        <w:spacing w:line="348" w:lineRule="auto"/>
        <w:rPr>
          <w:rFonts w:hint="eastAsia" w:hAnsi="宋体" w:cs="宋体"/>
          <w:b/>
          <w:sz w:val="24"/>
          <w:szCs w:val="24"/>
        </w:rPr>
      </w:pPr>
      <w:r>
        <w:rPr>
          <w:rFonts w:hint="eastAsia" w:hAnsi="宋体" w:cs="宋体"/>
          <w:b/>
          <w:sz w:val="24"/>
          <w:szCs w:val="24"/>
        </w:rPr>
        <w:t>7.招标文件的获取</w:t>
      </w:r>
    </w:p>
    <w:p w14:paraId="19CE1F1C">
      <w:pPr>
        <w:spacing w:line="348"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A0F96B9">
      <w:pPr>
        <w:pStyle w:val="32"/>
        <w:spacing w:line="348" w:lineRule="auto"/>
        <w:rPr>
          <w:rFonts w:hint="eastAsia" w:hAnsi="宋体" w:cs="宋体"/>
          <w:b/>
          <w:sz w:val="24"/>
          <w:szCs w:val="24"/>
        </w:rPr>
      </w:pPr>
      <w:r>
        <w:rPr>
          <w:rFonts w:hint="eastAsia" w:hAnsi="宋体" w:cs="宋体"/>
          <w:b/>
          <w:sz w:val="24"/>
          <w:szCs w:val="24"/>
        </w:rPr>
        <w:t>8.开标前答疑会或现场考察</w:t>
      </w:r>
    </w:p>
    <w:p w14:paraId="55C4D387">
      <w:pPr>
        <w:pStyle w:val="32"/>
        <w:spacing w:line="348" w:lineRule="auto"/>
        <w:ind w:firstLine="480" w:firstLineChars="200"/>
        <w:rPr>
          <w:rFonts w:hint="eastAsia" w:hAnsi="宋体" w:cs="宋体"/>
          <w:sz w:val="24"/>
          <w:szCs w:val="24"/>
        </w:rPr>
      </w:pPr>
      <w:r>
        <w:rPr>
          <w:rFonts w:hint="eastAsia" w:hAnsi="宋体" w:cs="宋体"/>
          <w:sz w:val="24"/>
          <w:szCs w:val="24"/>
        </w:rPr>
        <w:t>采购人组织潜在供应商现场考察或者召开开标前答疑会的，潜在供应商按第二部分供应商须知前附表的规定参加现场考察或者开标前答疑会。</w:t>
      </w:r>
    </w:p>
    <w:p w14:paraId="0A51CB61">
      <w:pPr>
        <w:pStyle w:val="32"/>
        <w:spacing w:line="348" w:lineRule="auto"/>
        <w:rPr>
          <w:rFonts w:hint="eastAsia" w:hAnsi="宋体" w:cs="宋体"/>
          <w:b/>
          <w:szCs w:val="24"/>
        </w:rPr>
      </w:pPr>
      <w:r>
        <w:rPr>
          <w:rFonts w:hint="eastAsia" w:hAnsi="宋体" w:cs="宋体"/>
          <w:b/>
          <w:kern w:val="28"/>
          <w:sz w:val="24"/>
          <w:szCs w:val="24"/>
        </w:rPr>
        <w:t>9.投标保证金</w:t>
      </w:r>
    </w:p>
    <w:p w14:paraId="4AE29936">
      <w:pPr>
        <w:pStyle w:val="5"/>
        <w:spacing w:line="348"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6EDB901">
      <w:pPr>
        <w:pStyle w:val="32"/>
        <w:spacing w:line="348" w:lineRule="auto"/>
        <w:rPr>
          <w:rFonts w:hint="eastAsia" w:hAnsi="宋体" w:cs="宋体"/>
          <w:b/>
          <w:sz w:val="24"/>
          <w:szCs w:val="24"/>
        </w:rPr>
      </w:pPr>
      <w:r>
        <w:rPr>
          <w:rFonts w:hint="eastAsia" w:hAnsi="宋体" w:cs="宋体"/>
          <w:b/>
          <w:sz w:val="24"/>
          <w:szCs w:val="24"/>
        </w:rPr>
        <w:t>10. 投标文件的语言</w:t>
      </w:r>
    </w:p>
    <w:p w14:paraId="0CEA67CE">
      <w:pPr>
        <w:autoSpaceDE w:val="0"/>
        <w:autoSpaceDN w:val="0"/>
        <w:spacing w:line="348" w:lineRule="auto"/>
        <w:ind w:firstLine="480" w:firstLineChars="200"/>
        <w:rPr>
          <w:rFonts w:hint="eastAsia" w:ascii="宋体" w:hAnsi="宋体" w:cs="宋体"/>
          <w:sz w:val="24"/>
          <w:lang w:val="zh-CN"/>
        </w:rPr>
      </w:pPr>
      <w:r>
        <w:rPr>
          <w:rFonts w:hint="eastAsia" w:ascii="宋体" w:hAnsi="宋体" w:cs="宋体"/>
          <w:sz w:val="24"/>
        </w:rPr>
        <w:t>投标文件及供应商与采购有关的来往通知、函件和文件均应使用中文。</w:t>
      </w:r>
    </w:p>
    <w:p w14:paraId="45EF406A">
      <w:pPr>
        <w:pStyle w:val="32"/>
        <w:spacing w:line="348" w:lineRule="auto"/>
        <w:rPr>
          <w:rFonts w:hint="eastAsia" w:hAnsi="宋体" w:cs="宋体"/>
          <w:b/>
          <w:sz w:val="24"/>
          <w:szCs w:val="24"/>
        </w:rPr>
      </w:pPr>
      <w:r>
        <w:rPr>
          <w:rFonts w:hint="eastAsia" w:hAnsi="宋体" w:cs="宋体"/>
          <w:b/>
          <w:sz w:val="24"/>
          <w:szCs w:val="24"/>
        </w:rPr>
        <w:t>11. 投标文件的组成</w:t>
      </w:r>
    </w:p>
    <w:p w14:paraId="6642A3A8">
      <w:pPr>
        <w:snapToGrid w:val="0"/>
        <w:spacing w:line="348" w:lineRule="auto"/>
        <w:ind w:firstLine="482" w:firstLineChars="200"/>
        <w:rPr>
          <w:rFonts w:hint="eastAsia" w:ascii="宋体" w:hAnsi="宋体" w:cs="宋体"/>
          <w:b/>
          <w:bCs/>
          <w:sz w:val="24"/>
        </w:rPr>
      </w:pPr>
      <w:r>
        <w:rPr>
          <w:rFonts w:hint="eastAsia" w:ascii="宋体" w:hAnsi="宋体" w:cs="宋体"/>
          <w:b/>
          <w:bCs/>
          <w:sz w:val="24"/>
        </w:rPr>
        <w:t>11.1资格文件：</w:t>
      </w:r>
    </w:p>
    <w:p w14:paraId="36FABEA5">
      <w:pPr>
        <w:snapToGrid w:val="0"/>
        <w:spacing w:line="348" w:lineRule="auto"/>
        <w:ind w:firstLine="960" w:firstLineChars="400"/>
        <w:rPr>
          <w:rFonts w:hint="eastAsia" w:ascii="宋体" w:hAnsi="宋体" w:cs="宋体"/>
          <w:sz w:val="24"/>
        </w:rPr>
      </w:pPr>
      <w:r>
        <w:rPr>
          <w:rFonts w:hint="eastAsia" w:ascii="宋体" w:hAnsi="宋体" w:cs="宋体"/>
          <w:sz w:val="24"/>
        </w:rPr>
        <w:t>11.1.1符合参加政府采购活动应当具备的一般条件的承诺函；</w:t>
      </w:r>
    </w:p>
    <w:p w14:paraId="503715FF">
      <w:pPr>
        <w:snapToGrid w:val="0"/>
        <w:spacing w:line="348" w:lineRule="auto"/>
        <w:ind w:firstLine="960" w:firstLineChars="400"/>
        <w:rPr>
          <w:rFonts w:hint="eastAsia" w:ascii="宋体" w:hAnsi="宋体" w:cs="宋体"/>
          <w:sz w:val="24"/>
        </w:rPr>
      </w:pPr>
      <w:r>
        <w:rPr>
          <w:rFonts w:hint="eastAsia" w:ascii="宋体" w:hAnsi="宋体" w:cs="宋体"/>
          <w:sz w:val="24"/>
        </w:rPr>
        <w:t>1</w:t>
      </w:r>
      <w:r>
        <w:rPr>
          <w:rFonts w:ascii="宋体" w:hAnsi="宋体" w:cs="宋体"/>
          <w:sz w:val="24"/>
        </w:rPr>
        <w:t>1.1.2</w:t>
      </w:r>
      <w:bookmarkStart w:id="18" w:name="_Hlk101259339"/>
      <w:r>
        <w:rPr>
          <w:rFonts w:hint="eastAsia" w:ascii="宋体" w:hAnsi="宋体" w:cs="宋体"/>
          <w:snapToGrid w:val="0"/>
          <w:kern w:val="28"/>
          <w:sz w:val="24"/>
          <w:szCs w:val="20"/>
        </w:rPr>
        <w:t>联合协议</w:t>
      </w:r>
      <w:bookmarkEnd w:id="18"/>
      <w:r>
        <w:rPr>
          <w:rFonts w:hint="eastAsia" w:ascii="宋体" w:hAnsi="宋体" w:cs="宋体"/>
          <w:snapToGrid w:val="0"/>
          <w:kern w:val="28"/>
          <w:sz w:val="24"/>
          <w:szCs w:val="20"/>
        </w:rPr>
        <w:t>（如果有）；</w:t>
      </w:r>
    </w:p>
    <w:p w14:paraId="49D8F129">
      <w:pPr>
        <w:snapToGrid w:val="0"/>
        <w:spacing w:line="348"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5FA0C42">
      <w:pPr>
        <w:snapToGrid w:val="0"/>
        <w:spacing w:line="348" w:lineRule="auto"/>
        <w:ind w:firstLine="960" w:firstLineChars="400"/>
        <w:rPr>
          <w:rFonts w:hint="eastAsia"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EF16895">
      <w:pPr>
        <w:snapToGrid w:val="0"/>
        <w:spacing w:line="348" w:lineRule="auto"/>
        <w:ind w:firstLine="482" w:firstLineChars="200"/>
        <w:rPr>
          <w:rFonts w:hint="eastAsia"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2商务技术</w:t>
      </w:r>
      <w:r>
        <w:rPr>
          <w:rFonts w:hint="eastAsia" w:ascii="宋体" w:hAnsi="宋体" w:cs="宋体"/>
          <w:b/>
          <w:bCs/>
          <w:sz w:val="24"/>
          <w:lang w:val="zh-CN"/>
        </w:rPr>
        <w:t>文件：</w:t>
      </w:r>
    </w:p>
    <w:p w14:paraId="062E06F4">
      <w:pPr>
        <w:snapToGrid w:val="0"/>
        <w:spacing w:line="348" w:lineRule="auto"/>
        <w:ind w:firstLine="960" w:firstLineChars="400"/>
        <w:rPr>
          <w:rFonts w:hint="eastAsia" w:ascii="宋体" w:hAnsi="宋体" w:cs="宋体"/>
          <w:sz w:val="24"/>
        </w:rPr>
      </w:pPr>
      <w:r>
        <w:rPr>
          <w:rFonts w:hint="eastAsia" w:ascii="宋体" w:hAnsi="宋体" w:cs="宋体"/>
          <w:sz w:val="24"/>
        </w:rPr>
        <w:t>11.2.1投标函；</w:t>
      </w:r>
    </w:p>
    <w:p w14:paraId="42EB71B3">
      <w:pPr>
        <w:snapToGrid w:val="0"/>
        <w:spacing w:line="348" w:lineRule="auto"/>
        <w:ind w:firstLine="960" w:firstLineChars="400"/>
        <w:rPr>
          <w:rFonts w:hint="eastAsia" w:ascii="宋体" w:hAnsi="宋体" w:cs="宋体"/>
          <w:sz w:val="24"/>
        </w:rPr>
      </w:pPr>
      <w:r>
        <w:rPr>
          <w:rFonts w:hint="eastAsia" w:ascii="宋体" w:hAnsi="宋体" w:cs="宋体"/>
          <w:sz w:val="24"/>
        </w:rPr>
        <w:t>11.2.2授权委托书或法定代表人（单位负责人、自然人本人）身份证明；</w:t>
      </w:r>
    </w:p>
    <w:p w14:paraId="5FD385A8">
      <w:pPr>
        <w:snapToGrid w:val="0"/>
        <w:spacing w:line="348"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9506E61">
      <w:pPr>
        <w:snapToGrid w:val="0"/>
        <w:spacing w:line="348"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1D9601EB">
      <w:pPr>
        <w:snapToGrid w:val="0"/>
        <w:spacing w:line="348"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4C29AED8">
      <w:pPr>
        <w:snapToGrid w:val="0"/>
        <w:spacing w:line="348" w:lineRule="auto"/>
        <w:ind w:firstLine="960" w:firstLineChars="400"/>
        <w:rPr>
          <w:rFonts w:hint="eastAsia"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商务技术偏离表；</w:t>
      </w:r>
    </w:p>
    <w:p w14:paraId="500200B8">
      <w:pPr>
        <w:snapToGrid w:val="0"/>
        <w:spacing w:line="348" w:lineRule="auto"/>
        <w:ind w:firstLine="960" w:firstLineChars="400"/>
        <w:rPr>
          <w:rFonts w:hint="eastAsia"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68E22A8F">
      <w:pPr>
        <w:snapToGrid w:val="0"/>
        <w:spacing w:line="348" w:lineRule="auto"/>
        <w:ind w:firstLine="482" w:firstLineChars="200"/>
        <w:rPr>
          <w:rFonts w:hint="eastAsia" w:ascii="宋体" w:hAnsi="宋体" w:cs="宋体"/>
          <w:b/>
          <w:bCs/>
          <w:sz w:val="24"/>
          <w:u w:val="single"/>
          <w:lang w:val="zh-CN"/>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48BC68B6">
      <w:pPr>
        <w:snapToGrid w:val="0"/>
        <w:spacing w:line="348" w:lineRule="auto"/>
        <w:ind w:firstLine="960" w:firstLineChars="400"/>
        <w:rPr>
          <w:rFonts w:hint="eastAsia" w:ascii="宋体" w:hAnsi="宋体" w:cs="宋体"/>
          <w:sz w:val="24"/>
        </w:rPr>
      </w:pPr>
      <w:r>
        <w:rPr>
          <w:rFonts w:hint="eastAsia" w:ascii="宋体" w:hAnsi="宋体" w:cs="宋体"/>
          <w:sz w:val="24"/>
        </w:rPr>
        <w:t>11.3.1开标一览表（报价表）、投标分项报价表；</w:t>
      </w:r>
    </w:p>
    <w:p w14:paraId="588D0FE9">
      <w:pPr>
        <w:snapToGrid w:val="0"/>
        <w:spacing w:line="348" w:lineRule="auto"/>
        <w:ind w:firstLine="960" w:firstLineChars="400"/>
        <w:rPr>
          <w:rFonts w:hint="eastAsia" w:ascii="宋体" w:hAnsi="宋体" w:cs="宋体"/>
          <w:sz w:val="24"/>
        </w:rPr>
      </w:pPr>
      <w:r>
        <w:rPr>
          <w:rFonts w:hint="eastAsia" w:ascii="宋体" w:hAnsi="宋体" w:cs="宋体"/>
          <w:sz w:val="24"/>
        </w:rPr>
        <w:t>11.3.2中小企业声明函。</w:t>
      </w:r>
    </w:p>
    <w:p w14:paraId="7FCA539D">
      <w:pPr>
        <w:spacing w:line="348" w:lineRule="auto"/>
        <w:ind w:firstLine="964" w:firstLineChars="400"/>
        <w:rPr>
          <w:rFonts w:hint="eastAsia" w:ascii="宋体" w:hAnsi="宋体" w:cs="宋体"/>
          <w:b/>
          <w:sz w:val="24"/>
        </w:rPr>
      </w:pPr>
      <w:r>
        <w:rPr>
          <w:rFonts w:hint="eastAsia" w:ascii="宋体" w:hAnsi="宋体" w:cs="宋体"/>
          <w:b/>
          <w:sz w:val="24"/>
        </w:rPr>
        <w:t>11.3.3报价情况说明（如供应商报价低于项目预算50%的，应当提交本文档，详细阐述不影响产品质量或者诚信履约的具体原因。</w:t>
      </w:r>
    </w:p>
    <w:p w14:paraId="72A7D777">
      <w:pPr>
        <w:spacing w:line="348" w:lineRule="auto"/>
        <w:ind w:firstLine="964" w:firstLineChars="400"/>
        <w:rPr>
          <w:rFonts w:hint="eastAsia" w:ascii="宋体" w:hAnsi="宋体" w:cs="宋体"/>
          <w:b/>
          <w:sz w:val="24"/>
        </w:rPr>
      </w:pPr>
      <w:r>
        <w:rPr>
          <w:rFonts w:hint="eastAsia" w:ascii="宋体" w:hAnsi="宋体" w:cs="宋体"/>
          <w:b/>
          <w:sz w:val="24"/>
        </w:rPr>
        <w:t>投标文件含有采购人不能接受的附加条件的，投标无效；</w:t>
      </w:r>
    </w:p>
    <w:p w14:paraId="3C1B2E0C">
      <w:pPr>
        <w:spacing w:line="348" w:lineRule="auto"/>
        <w:ind w:firstLine="964" w:firstLineChars="400"/>
        <w:rPr>
          <w:rFonts w:hint="eastAsia" w:ascii="宋体" w:hAnsi="宋体" w:cs="宋体"/>
          <w:b/>
          <w:sz w:val="24"/>
        </w:rPr>
      </w:pPr>
      <w:r>
        <w:rPr>
          <w:rFonts w:hint="eastAsia" w:ascii="宋体" w:hAnsi="宋体" w:cs="宋体"/>
          <w:b/>
          <w:sz w:val="24"/>
        </w:rPr>
        <w:t>投标人提供虚假材料投标的，投标无效。</w:t>
      </w:r>
    </w:p>
    <w:p w14:paraId="30B0AF3E">
      <w:pPr>
        <w:spacing w:line="348" w:lineRule="auto"/>
        <w:ind w:firstLine="964" w:firstLineChars="400"/>
        <w:rPr>
          <w:rFonts w:hint="eastAsia" w:ascii="宋体" w:hAnsi="宋体" w:cs="宋体"/>
          <w:b/>
          <w:sz w:val="24"/>
        </w:rPr>
      </w:pPr>
      <w:r>
        <w:rPr>
          <w:rFonts w:hint="eastAsia" w:ascii="宋体" w:hAnsi="宋体" w:cs="宋体"/>
          <w:b/>
          <w:sz w:val="24"/>
        </w:rPr>
        <w:t>注：投标人可事先在公开官网查询、核对相关证书和报告内容，确保投标（响应）文件资料准确无误。投标人应对投标文件中材料的真实性、合法性负责。</w:t>
      </w:r>
    </w:p>
    <w:p w14:paraId="5416A5EF">
      <w:pPr>
        <w:pStyle w:val="134"/>
        <w:snapToGrid w:val="0"/>
        <w:spacing w:before="0" w:line="348" w:lineRule="auto"/>
        <w:ind w:firstLine="0" w:firstLineChars="0"/>
        <w:rPr>
          <w:rFonts w:hint="eastAsia"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5F3C1CF8">
      <w:pPr>
        <w:spacing w:line="348" w:lineRule="auto"/>
        <w:ind w:firstLine="480" w:firstLineChars="200"/>
        <w:rPr>
          <w:rFonts w:hint="eastAsia" w:ascii="宋体" w:hAnsi="宋体" w:cs="宋体"/>
          <w:b/>
          <w:sz w:val="24"/>
        </w:rPr>
      </w:pPr>
      <w:r>
        <w:rPr>
          <w:rFonts w:hint="eastAsia" w:ascii="宋体" w:hAnsi="宋体" w:cs="宋体"/>
          <w:kern w:val="0"/>
          <w:sz w:val="24"/>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E110B22">
      <w:pPr>
        <w:spacing w:line="348" w:lineRule="auto"/>
        <w:ind w:firstLine="480" w:firstLineChars="200"/>
        <w:rPr>
          <w:rFonts w:hint="eastAsia" w:ascii="宋体" w:hAnsi="宋体" w:cs="宋体"/>
          <w:kern w:val="0"/>
          <w:sz w:val="24"/>
          <w:lang w:val="zh-CN"/>
        </w:rPr>
      </w:pPr>
      <w:r>
        <w:rPr>
          <w:rFonts w:hint="eastAsia" w:ascii="宋体" w:hAnsi="宋体" w:cs="宋体"/>
          <w:kern w:val="0"/>
          <w:sz w:val="24"/>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2F7FDAD">
      <w:pPr>
        <w:spacing w:line="348" w:lineRule="auto"/>
        <w:ind w:firstLine="480" w:firstLineChars="200"/>
        <w:rPr>
          <w:rFonts w:hint="eastAsia"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AF01222">
      <w:pPr>
        <w:snapToGrid w:val="0"/>
        <w:spacing w:line="348" w:lineRule="auto"/>
        <w:rPr>
          <w:rFonts w:hint="eastAsia" w:ascii="宋体" w:hAnsi="宋体" w:cs="宋体"/>
          <w:b/>
          <w:sz w:val="24"/>
        </w:rPr>
      </w:pPr>
      <w:r>
        <w:rPr>
          <w:rFonts w:hint="eastAsia" w:ascii="宋体" w:hAnsi="宋体" w:cs="宋体"/>
          <w:b/>
          <w:sz w:val="24"/>
        </w:rPr>
        <w:t>13.投标文件的签署、盖章</w:t>
      </w:r>
    </w:p>
    <w:p w14:paraId="1EC6BC23">
      <w:pPr>
        <w:pStyle w:val="134"/>
        <w:snapToGrid w:val="0"/>
        <w:spacing w:before="0" w:line="348" w:lineRule="auto"/>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▲供应商的投标文件未按照招标文件要求签署、盖章的，其投标无效</w:t>
      </w:r>
      <w:r>
        <w:rPr>
          <w:rFonts w:hint="eastAsia" w:ascii="宋体" w:hAnsi="宋体" w:cs="宋体"/>
          <w:szCs w:val="24"/>
        </w:rPr>
        <w:t>。</w:t>
      </w:r>
    </w:p>
    <w:p w14:paraId="39724924">
      <w:pPr>
        <w:pStyle w:val="134"/>
        <w:snapToGrid w:val="0"/>
        <w:spacing w:before="0" w:line="348" w:lineRule="auto"/>
        <w:ind w:firstLine="480"/>
        <w:rPr>
          <w:rFonts w:hint="eastAsia" w:ascii="宋体" w:hAnsi="宋体" w:cs="宋体"/>
        </w:rPr>
      </w:pPr>
      <w:r>
        <w:rPr>
          <w:rFonts w:hint="eastAsia" w:ascii="宋体" w:hAnsi="宋体" w:cs="宋体"/>
        </w:rPr>
        <w:t>13.2为确保网上操作合法、有效和安全，供应商应当在投标截止时间前完成在“政府采购云平台”的身份认证，确保在电子投标过程中能够对相关数据电文进行加密和使用电子签名。</w:t>
      </w:r>
    </w:p>
    <w:p w14:paraId="15AA64DD">
      <w:pPr>
        <w:pStyle w:val="134"/>
        <w:snapToGrid w:val="0"/>
        <w:spacing w:before="0" w:line="348" w:lineRule="auto"/>
        <w:ind w:firstLine="480"/>
        <w:rPr>
          <w:rFonts w:hint="eastAsia" w:ascii="宋体" w:hAnsi="宋体" w:cs="宋体"/>
          <w:szCs w:val="24"/>
        </w:rPr>
      </w:pPr>
      <w:r>
        <w:rPr>
          <w:rFonts w:hint="eastAsia" w:ascii="宋体" w:hAnsi="宋体" w:cs="宋体"/>
        </w:rPr>
        <w:t>13.3招标文件对投标文件签署、盖章的要求适用于电子签名。</w:t>
      </w:r>
    </w:p>
    <w:p w14:paraId="61BD7F55">
      <w:pPr>
        <w:pStyle w:val="134"/>
        <w:spacing w:before="0" w:line="348" w:lineRule="auto"/>
        <w:ind w:firstLine="0" w:firstLineChars="0"/>
        <w:rPr>
          <w:rFonts w:hint="eastAsia" w:ascii="宋体" w:hAnsi="宋体" w:cs="宋体"/>
          <w:b/>
          <w:szCs w:val="24"/>
        </w:rPr>
      </w:pPr>
      <w:r>
        <w:rPr>
          <w:rFonts w:hint="eastAsia" w:ascii="宋体" w:hAnsi="宋体" w:cs="宋体"/>
          <w:b/>
          <w:szCs w:val="24"/>
        </w:rPr>
        <w:t>14. 投标文件的提交、补充、修改、撤回</w:t>
      </w:r>
    </w:p>
    <w:p w14:paraId="15618FB1">
      <w:pPr>
        <w:pStyle w:val="134"/>
        <w:spacing w:before="0" w:line="348" w:lineRule="auto"/>
        <w:ind w:firstLine="480"/>
        <w:rPr>
          <w:rFonts w:hint="eastAsia" w:ascii="宋体" w:hAnsi="宋体" w:cs="宋体"/>
          <w:szCs w:val="24"/>
        </w:rPr>
      </w:pPr>
      <w:r>
        <w:rPr>
          <w:rFonts w:hint="eastAsia" w:ascii="宋体" w:hAnsi="宋体" w:cs="宋体"/>
          <w:szCs w:val="24"/>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71721">
      <w:pPr>
        <w:pStyle w:val="134"/>
        <w:spacing w:before="0" w:line="348" w:lineRule="auto"/>
        <w:ind w:firstLine="480"/>
        <w:rPr>
          <w:rFonts w:hint="eastAsia"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1198BA3C">
      <w:pPr>
        <w:pStyle w:val="134"/>
        <w:spacing w:before="0" w:line="348" w:lineRule="auto"/>
        <w:ind w:firstLine="480"/>
        <w:rPr>
          <w:rFonts w:hint="eastAsia" w:ascii="宋体" w:hAnsi="宋体" w:cs="宋体"/>
          <w:szCs w:val="24"/>
        </w:rPr>
      </w:pPr>
      <w:r>
        <w:rPr>
          <w:rFonts w:hint="eastAsia" w:ascii="宋体" w:hAnsi="宋体" w:cs="宋体"/>
          <w:szCs w:val="24"/>
        </w:rPr>
        <w:t>14.3采购人、采购代理机构可以视情况延长投标文件提交的截止时间。在上述情况下，采购代理机构与供应商以前在投标截止期方面的全部权利、责任和义务，将适用于延长至新的投标截止期。</w:t>
      </w:r>
    </w:p>
    <w:p w14:paraId="510A8DF0">
      <w:pPr>
        <w:pStyle w:val="32"/>
        <w:spacing w:line="348" w:lineRule="auto"/>
        <w:rPr>
          <w:rFonts w:hint="eastAsia" w:hAnsi="宋体" w:cs="宋体"/>
          <w:b/>
          <w:sz w:val="24"/>
          <w:szCs w:val="24"/>
        </w:rPr>
      </w:pPr>
      <w:r>
        <w:rPr>
          <w:rFonts w:hint="eastAsia" w:hAnsi="宋体" w:cs="宋体"/>
          <w:b/>
          <w:sz w:val="24"/>
          <w:szCs w:val="24"/>
        </w:rPr>
        <w:t>15.备份投标文件（文件后缀为：bfbs）</w:t>
      </w:r>
    </w:p>
    <w:p w14:paraId="6482BD68">
      <w:pPr>
        <w:pStyle w:val="32"/>
        <w:spacing w:line="348" w:lineRule="auto"/>
        <w:ind w:firstLine="360" w:firstLineChars="150"/>
        <w:rPr>
          <w:rFonts w:hint="eastAsia" w:hAnsi="宋体" w:cs="宋体"/>
          <w:b/>
          <w:sz w:val="24"/>
          <w:szCs w:val="24"/>
        </w:rPr>
      </w:pPr>
      <w:r>
        <w:rPr>
          <w:rFonts w:hint="eastAsia" w:hAnsi="宋体" w:cs="宋体"/>
          <w:sz w:val="24"/>
          <w:szCs w:val="24"/>
        </w:rPr>
        <w:t>15.1供应商在电子交易平台传输递交投标文件后，还可以在投标截止时间前直接提交或者以邮政快递方式递交备份投标文件1份，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但采购人、采购代理机构不强制或变相强制供应商提交备份投标文件。</w:t>
      </w:r>
    </w:p>
    <w:p w14:paraId="4E96DAE3">
      <w:pPr>
        <w:pStyle w:val="32"/>
        <w:spacing w:line="348" w:lineRule="auto"/>
        <w:ind w:firstLine="480" w:firstLineChars="200"/>
        <w:rPr>
          <w:rFonts w:hint="eastAsia"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3F727DE3">
      <w:pPr>
        <w:pStyle w:val="32"/>
        <w:spacing w:line="348" w:lineRule="auto"/>
        <w:ind w:firstLine="480" w:firstLineChars="200"/>
        <w:rPr>
          <w:rFonts w:hint="eastAsia" w:hAnsi="宋体" w:cs="宋体"/>
          <w:sz w:val="24"/>
          <w:szCs w:val="24"/>
        </w:rPr>
      </w:pPr>
      <w:r>
        <w:rPr>
          <w:rFonts w:hint="eastAsia" w:hAnsi="宋体" w:cs="宋体"/>
          <w:sz w:val="24"/>
          <w:szCs w:val="24"/>
        </w:rPr>
        <w:t>15.3直接提交备份投标文件的，供应商应于投标截止时间前在招标公告中载明的开标地点将备份投标文件提交给采购代理机构，采购代理机构将拒绝接受逾期送达的备份投标文件。</w:t>
      </w:r>
    </w:p>
    <w:p w14:paraId="63D44972">
      <w:pPr>
        <w:pStyle w:val="32"/>
        <w:spacing w:line="348" w:lineRule="auto"/>
        <w:ind w:firstLine="480" w:firstLineChars="200"/>
        <w:rPr>
          <w:rFonts w:hint="eastAsia" w:hAnsi="宋体" w:cs="宋体"/>
          <w:sz w:val="24"/>
          <w:szCs w:val="24"/>
        </w:rPr>
      </w:pPr>
      <w:r>
        <w:rPr>
          <w:rFonts w:hint="eastAsia" w:hAnsi="宋体" w:cs="宋体"/>
          <w:sz w:val="24"/>
          <w:szCs w:val="24"/>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sz w:val="24"/>
          <w:szCs w:val="24"/>
        </w:rPr>
        <w:t>招标文件第二部分供应商须知前附表规定的备份投标文件送达地点；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送达时间以签收人签收时间为准。采购代理机构将拒绝接受逾期送达的备份投标文件。邮寄过程中，电子备份投标文件发生泄露、遗失、损坏或延期送达等情况的，由供应商自行负责。</w:t>
      </w:r>
    </w:p>
    <w:p w14:paraId="7A2F929C">
      <w:pPr>
        <w:pStyle w:val="32"/>
        <w:spacing w:line="348" w:lineRule="auto"/>
        <w:ind w:firstLine="479" w:firstLineChars="199"/>
        <w:rPr>
          <w:rFonts w:hint="eastAsia" w:hAnsi="宋体" w:cs="宋体"/>
          <w:b/>
          <w:sz w:val="24"/>
          <w:szCs w:val="24"/>
        </w:rPr>
      </w:pPr>
      <w:r>
        <w:rPr>
          <w:rFonts w:hint="eastAsia" w:hAnsi="宋体" w:cs="宋体"/>
          <w:b/>
          <w:sz w:val="24"/>
          <w:szCs w:val="24"/>
        </w:rPr>
        <w:t>15.5供应商仅提交备份投标文件，未在电子交易平台传输递交投标文件的，投标无效。</w:t>
      </w:r>
    </w:p>
    <w:p w14:paraId="4E0E6FDD">
      <w:pPr>
        <w:pStyle w:val="134"/>
        <w:spacing w:before="0" w:line="348" w:lineRule="auto"/>
        <w:ind w:firstLine="0" w:firstLineChars="0"/>
        <w:rPr>
          <w:rFonts w:hint="eastAsia" w:ascii="宋体" w:hAnsi="宋体" w:cs="宋体"/>
          <w:b/>
          <w:szCs w:val="24"/>
        </w:rPr>
      </w:pPr>
      <w:r>
        <w:rPr>
          <w:rFonts w:hint="eastAsia" w:ascii="宋体" w:hAnsi="宋体" w:cs="宋体"/>
          <w:b/>
          <w:szCs w:val="24"/>
        </w:rPr>
        <w:t>16.投标文件的无效处理</w:t>
      </w:r>
    </w:p>
    <w:p w14:paraId="4F447E68">
      <w:pPr>
        <w:pStyle w:val="25"/>
        <w:spacing w:line="348" w:lineRule="auto"/>
        <w:ind w:firstLine="360" w:firstLineChars="150"/>
        <w:rPr>
          <w:rFonts w:hint="eastAsia"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75481399">
      <w:pPr>
        <w:pStyle w:val="134"/>
        <w:spacing w:before="0" w:line="348" w:lineRule="auto"/>
        <w:ind w:firstLine="0" w:firstLineChars="0"/>
        <w:rPr>
          <w:rFonts w:hint="eastAsia" w:ascii="宋体" w:hAnsi="宋体" w:cs="宋体"/>
          <w:b/>
          <w:szCs w:val="24"/>
        </w:rPr>
      </w:pPr>
      <w:r>
        <w:rPr>
          <w:rFonts w:hint="eastAsia" w:ascii="宋体" w:hAnsi="宋体" w:cs="宋体"/>
          <w:b/>
          <w:szCs w:val="24"/>
        </w:rPr>
        <w:t>17.投标有效期</w:t>
      </w:r>
    </w:p>
    <w:p w14:paraId="1855ACAF">
      <w:pPr>
        <w:spacing w:line="348" w:lineRule="auto"/>
        <w:ind w:firstLine="480" w:firstLineChars="200"/>
        <w:rPr>
          <w:rFonts w:hint="eastAsia"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供应商的投标文件中承</w:t>
      </w:r>
      <w:r>
        <w:rPr>
          <w:rFonts w:hint="eastAsia" w:ascii="宋体" w:hAnsi="宋体" w:cs="宋体"/>
          <w:b/>
          <w:sz w:val="24"/>
          <w:szCs w:val="21"/>
        </w:rPr>
        <w:t>诺的投标有效期少于招标文件中载明的投标有效期的，投标无效。</w:t>
      </w:r>
    </w:p>
    <w:p w14:paraId="4D0A254B">
      <w:pPr>
        <w:pStyle w:val="134"/>
        <w:spacing w:before="0" w:line="348" w:lineRule="auto"/>
        <w:ind w:firstLine="480"/>
        <w:rPr>
          <w:rFonts w:hint="eastAsia" w:ascii="宋体" w:hAnsi="宋体" w:cs="宋体"/>
        </w:rPr>
      </w:pPr>
      <w:r>
        <w:rPr>
          <w:rFonts w:hint="eastAsia" w:ascii="宋体" w:hAnsi="宋体" w:cs="宋体"/>
        </w:rPr>
        <w:t>17.2投标文件合格投递后，自投标截止日期起，在投标有效期内有效。</w:t>
      </w:r>
    </w:p>
    <w:p w14:paraId="507DF802">
      <w:pPr>
        <w:pStyle w:val="134"/>
        <w:spacing w:before="0" w:line="348" w:lineRule="auto"/>
        <w:ind w:firstLine="480"/>
        <w:rPr>
          <w:rFonts w:hint="eastAsia" w:ascii="宋体" w:hAnsi="宋体" w:cs="宋体"/>
        </w:rPr>
      </w:pPr>
      <w:r>
        <w:rPr>
          <w:rFonts w:hint="eastAsia" w:ascii="宋体" w:hAnsi="宋体" w:cs="宋体"/>
        </w:rPr>
        <w:t>17.3在原定投标有效期满之前，如果出现特殊情况，采购代理机构可以以书面形式通知供应商延长投标有效期。供应商同意延长的，不得要求或被允许修改其投标文件，供应商拒绝延长的，其投标无效。</w:t>
      </w:r>
    </w:p>
    <w:p w14:paraId="78BF79B8">
      <w:pPr>
        <w:pStyle w:val="134"/>
        <w:spacing w:before="0" w:line="348" w:lineRule="auto"/>
        <w:ind w:firstLine="1928" w:firstLineChars="600"/>
        <w:rPr>
          <w:rFonts w:hint="eastAsia" w:ascii="宋体" w:hAnsi="宋体" w:cs="宋体"/>
          <w:b/>
          <w:sz w:val="32"/>
        </w:rPr>
      </w:pPr>
      <w:r>
        <w:rPr>
          <w:rFonts w:hint="eastAsia" w:ascii="宋体" w:hAnsi="宋体" w:cs="宋体"/>
          <w:b/>
          <w:sz w:val="32"/>
        </w:rPr>
        <w:t>四、开标、资格审查与信用信息查询</w:t>
      </w:r>
    </w:p>
    <w:p w14:paraId="2689EF3C">
      <w:pPr>
        <w:pStyle w:val="555"/>
        <w:spacing w:before="0" w:line="348" w:lineRule="auto"/>
        <w:ind w:left="0" w:firstLine="241" w:firstLineChars="100"/>
        <w:contextualSpacing/>
        <w:rPr>
          <w:rFonts w:hint="eastAsia"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C37D2BB">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18.1采购代理机构按照招标文件规定的时间通过电子交易平台组织开标，所有供应商均应当准时在线参加。供应商不足3家的，不得开标。</w:t>
      </w:r>
    </w:p>
    <w:p w14:paraId="23C10BC3">
      <w:pPr>
        <w:pStyle w:val="555"/>
        <w:spacing w:before="0" w:line="348"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18.2开标时，电子交易平台按开标时间自动提取所有投标文件。采购代理机构依托电子交易平台发起开始解密指令，供应商按照平台提示和招标文件的规定在半小时内完成在线解密。</w:t>
      </w:r>
    </w:p>
    <w:p w14:paraId="052BB8CA">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18.2.1具体开标程序：</w:t>
      </w:r>
    </w:p>
    <w:p w14:paraId="2BAB41C9">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第一阶段：</w:t>
      </w:r>
    </w:p>
    <w:p w14:paraId="5E1FB3D1">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（1）投标截止时间后，供应商登录政府采购云平台，用“项目采购－开标评标”功能对电子投标文件进行在线解密，在线解密电子投标文件时间为开标时间后30分钟内。</w:t>
      </w:r>
    </w:p>
    <w:p w14:paraId="5DE5EBB0">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（2）在政府采购云平台开启已解密供应商的“资格文件、商务技术文件”，并做开标记录；</w:t>
      </w:r>
    </w:p>
    <w:p w14:paraId="3E7A434B">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第二阶段：</w:t>
      </w:r>
    </w:p>
    <w:p w14:paraId="4563B70A">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（1）在政府采购云平台宣告第一阶段评审无效供应商名单及理由；</w:t>
      </w:r>
    </w:p>
    <w:p w14:paraId="08A8B543">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（2）公布经第一阶段评审符合招标文件要求的供应商的商务技术得分情况；</w:t>
      </w:r>
    </w:p>
    <w:p w14:paraId="61D325D8">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（3）在政府采购云平台开启除第一阶段无效标外的供应商的“报价文件”，并做开标记录；</w:t>
      </w:r>
    </w:p>
    <w:p w14:paraId="37B9D012">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（4）在政府采购云平台公布评审结果。</w:t>
      </w:r>
    </w:p>
    <w:p w14:paraId="63D518A1">
      <w:pPr>
        <w:pStyle w:val="555"/>
        <w:spacing w:before="0" w:line="348" w:lineRule="auto"/>
        <w:ind w:left="0" w:firstLine="480" w:firstLineChars="200"/>
        <w:contextualSpacing/>
        <w:rPr>
          <w:rFonts w:hint="eastAsia" w:ascii="宋体" w:hAnsi="宋体" w:cs="宋体"/>
          <w:sz w:val="24"/>
        </w:rPr>
      </w:pPr>
      <w:r>
        <w:rPr>
          <w:rFonts w:hint="eastAsia" w:ascii="宋体" w:hAnsi="宋体" w:cs="宋体"/>
          <w:sz w:val="24"/>
        </w:rPr>
        <w:t>（5）开标会议结束。</w:t>
      </w:r>
    </w:p>
    <w:p w14:paraId="75465538">
      <w:pPr>
        <w:pStyle w:val="555"/>
        <w:spacing w:before="0" w:line="348"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投标文件未按时解密，供应商提供了备份投标文件的，以备份投标文件作为依据，否则视为投标文件撤回。投标文件已按时解密的，备份投标文件自动失效。</w:t>
      </w:r>
    </w:p>
    <w:p w14:paraId="3B7FEC08">
      <w:pPr>
        <w:widowControl/>
        <w:spacing w:line="348" w:lineRule="auto"/>
        <w:jc w:val="left"/>
        <w:rPr>
          <w:rFonts w:hint="eastAsia" w:ascii="宋体" w:hAnsi="宋体" w:cs="宋体"/>
          <w:b/>
          <w:sz w:val="24"/>
          <w:szCs w:val="20"/>
        </w:rPr>
      </w:pPr>
      <w:r>
        <w:rPr>
          <w:rFonts w:hint="eastAsia" w:ascii="宋体" w:hAnsi="宋体" w:cs="宋体"/>
          <w:b/>
          <w:sz w:val="24"/>
          <w:szCs w:val="20"/>
        </w:rPr>
        <w:t>　19、资格审查</w:t>
      </w:r>
    </w:p>
    <w:p w14:paraId="6AEB90DC">
      <w:pPr>
        <w:snapToGrid w:val="0"/>
        <w:spacing w:line="348" w:lineRule="auto"/>
        <w:ind w:firstLine="480" w:firstLineChars="200"/>
        <w:rPr>
          <w:rFonts w:hint="eastAsia"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采购人或采购代理机构依据法律法规和招标文件的规定，对供应商的资格进行审查。</w:t>
      </w:r>
    </w:p>
    <w:p w14:paraId="753A7A32">
      <w:pPr>
        <w:pStyle w:val="134"/>
        <w:spacing w:before="0" w:line="348" w:lineRule="auto"/>
        <w:ind w:firstLine="480"/>
        <w:rPr>
          <w:rFonts w:hint="eastAsia" w:ascii="宋体" w:hAnsi="宋体" w:cs="宋体"/>
        </w:rPr>
      </w:pPr>
      <w:r>
        <w:rPr>
          <w:rFonts w:hint="eastAsia" w:ascii="宋体" w:hAnsi="宋体" w:cs="宋体"/>
          <w:kern w:val="0"/>
          <w:szCs w:val="24"/>
        </w:rPr>
        <w:t>19.2供应商未按照招标文件要求提供与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供应商不具备招标文件中规定的资格要求，其投标无效。</w:t>
      </w:r>
    </w:p>
    <w:p w14:paraId="517B91F0">
      <w:pPr>
        <w:pStyle w:val="134"/>
        <w:spacing w:before="0" w:line="348" w:lineRule="auto"/>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3对未通过资格审查的供应商，采购人或采购代理机构告知其未通过的原因。</w:t>
      </w:r>
    </w:p>
    <w:p w14:paraId="49CBDC1A">
      <w:pPr>
        <w:pStyle w:val="134"/>
        <w:spacing w:before="0" w:line="348" w:lineRule="auto"/>
        <w:ind w:firstLine="480"/>
        <w:rPr>
          <w:rFonts w:hint="eastAsia" w:ascii="宋体" w:hAnsi="宋体" w:cs="宋体"/>
        </w:rPr>
      </w:pPr>
      <w:r>
        <w:rPr>
          <w:rFonts w:hint="eastAsia" w:ascii="宋体" w:hAnsi="宋体" w:cs="宋体"/>
          <w:kern w:val="0"/>
          <w:szCs w:val="24"/>
        </w:rPr>
        <w:t>19.</w:t>
      </w:r>
      <w:r>
        <w:rPr>
          <w:rFonts w:hint="eastAsia" w:ascii="宋体" w:hAnsi="宋体" w:cs="宋体"/>
        </w:rPr>
        <w:t>4合格供应商不足3家的，不再评标。</w:t>
      </w:r>
    </w:p>
    <w:p w14:paraId="5FA61AE4">
      <w:pPr>
        <w:pStyle w:val="134"/>
        <w:spacing w:before="0" w:line="348" w:lineRule="auto"/>
        <w:ind w:firstLine="0" w:firstLineChars="0"/>
        <w:rPr>
          <w:rFonts w:hint="eastAsia" w:ascii="宋体" w:hAnsi="宋体" w:cs="宋体"/>
          <w:b/>
          <w:szCs w:val="24"/>
        </w:rPr>
      </w:pPr>
      <w:r>
        <w:rPr>
          <w:rFonts w:hint="eastAsia" w:ascii="宋体" w:hAnsi="宋体" w:cs="宋体"/>
          <w:b/>
          <w:szCs w:val="24"/>
        </w:rPr>
        <w:t>20、信用信息查询</w:t>
      </w:r>
    </w:p>
    <w:p w14:paraId="035532F5">
      <w:pPr>
        <w:pStyle w:val="134"/>
        <w:spacing w:before="0" w:line="348" w:lineRule="auto"/>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20.1信用信息查询渠道及截止时间：采购代理机构将在资格审查时通过“信用中国”网站（www.creditchina.gov.cn）、中国政府采购网（www.ccgp.gov.cn）渠道查询供应商接受资格审查时的信用记录。</w:t>
      </w:r>
    </w:p>
    <w:p w14:paraId="325DC334">
      <w:pPr>
        <w:pStyle w:val="134"/>
        <w:spacing w:before="0" w:line="348" w:lineRule="auto"/>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20.2信用信息查询记录和证据留存的具体方式：现场查询的供应商的信用记录、查询结果经确认后将与招标文件一起存档。</w:t>
      </w:r>
    </w:p>
    <w:p w14:paraId="4DBDC24A">
      <w:pPr>
        <w:pStyle w:val="134"/>
        <w:spacing w:before="0" w:line="348" w:lineRule="auto"/>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w:t>
      </w:r>
      <w:r>
        <w:rPr>
          <w:rFonts w:hint="eastAsia" w:ascii="宋体" w:hAnsi="宋体" w:cs="宋体"/>
          <w:snapToGrid w:val="0"/>
          <w:kern w:val="28"/>
        </w:rPr>
        <w:t>（重大税收违法失信主体）</w:t>
      </w:r>
      <w:r>
        <w:rPr>
          <w:rFonts w:hint="eastAsia" w:ascii="宋体" w:hAnsi="宋体" w:cs="宋体"/>
          <w:kern w:val="0"/>
          <w:szCs w:val="24"/>
        </w:rPr>
        <w:t>、政府采购严重违法失信行为记录名单的供应商将被拒绝参与政府采购活动。</w:t>
      </w:r>
    </w:p>
    <w:p w14:paraId="09A1C15D">
      <w:pPr>
        <w:pStyle w:val="134"/>
        <w:spacing w:before="0" w:line="348" w:lineRule="auto"/>
        <w:ind w:firstLine="480"/>
        <w:rPr>
          <w:rFonts w:hint="eastAsia"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463B8618">
      <w:pPr>
        <w:snapToGrid w:val="0"/>
        <w:spacing w:line="348" w:lineRule="auto"/>
        <w:jc w:val="center"/>
        <w:rPr>
          <w:rFonts w:hint="eastAsia" w:ascii="宋体" w:hAnsi="宋体" w:cs="宋体"/>
          <w:b/>
          <w:sz w:val="36"/>
          <w:szCs w:val="36"/>
        </w:rPr>
      </w:pPr>
      <w:r>
        <w:rPr>
          <w:rFonts w:hint="eastAsia" w:ascii="宋体" w:hAnsi="宋体" w:cs="宋体"/>
          <w:b/>
          <w:sz w:val="36"/>
          <w:szCs w:val="36"/>
        </w:rPr>
        <w:t>五、评标</w:t>
      </w:r>
    </w:p>
    <w:p w14:paraId="4D8AE91F">
      <w:pPr>
        <w:spacing w:line="348" w:lineRule="auto"/>
        <w:rPr>
          <w:rFonts w:hint="eastAsia" w:ascii="宋体" w:hAnsi="宋体" w:cs="宋体"/>
          <w:b/>
          <w:sz w:val="24"/>
        </w:rPr>
      </w:pPr>
      <w:bookmarkStart w:id="19"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sz w:val="24"/>
        </w:rPr>
        <w:t>详见招标文件第四部分评标办法。</w:t>
      </w:r>
    </w:p>
    <w:p w14:paraId="5A22C0C0">
      <w:pPr>
        <w:snapToGrid w:val="0"/>
        <w:spacing w:line="348" w:lineRule="auto"/>
        <w:jc w:val="center"/>
        <w:rPr>
          <w:rFonts w:hint="eastAsia" w:ascii="宋体" w:hAnsi="宋体" w:cs="宋体"/>
          <w:b/>
          <w:sz w:val="36"/>
          <w:szCs w:val="36"/>
        </w:rPr>
      </w:pPr>
    </w:p>
    <w:p w14:paraId="5C69749E">
      <w:pPr>
        <w:snapToGrid w:val="0"/>
        <w:spacing w:line="348" w:lineRule="auto"/>
        <w:jc w:val="center"/>
        <w:rPr>
          <w:rFonts w:hint="eastAsia" w:ascii="宋体" w:hAnsi="宋体" w:cs="宋体"/>
          <w:b/>
          <w:sz w:val="36"/>
          <w:szCs w:val="36"/>
        </w:rPr>
      </w:pPr>
      <w:r>
        <w:rPr>
          <w:rFonts w:hint="eastAsia" w:ascii="宋体" w:hAnsi="宋体" w:cs="宋体"/>
          <w:b/>
          <w:sz w:val="36"/>
          <w:szCs w:val="36"/>
        </w:rPr>
        <w:t>六、定 标</w:t>
      </w:r>
    </w:p>
    <w:p w14:paraId="39EF40D8">
      <w:pPr>
        <w:pStyle w:val="25"/>
        <w:spacing w:line="348" w:lineRule="auto"/>
        <w:ind w:left="479" w:hanging="479" w:hangingChars="199"/>
        <w:rPr>
          <w:rFonts w:hint="eastAsia" w:cs="宋体"/>
          <w:b/>
        </w:rPr>
      </w:pPr>
      <w:r>
        <w:rPr>
          <w:rFonts w:hint="eastAsia" w:cs="宋体"/>
          <w:b/>
        </w:rPr>
        <w:t>22. 确定中标供应商</w:t>
      </w:r>
    </w:p>
    <w:p w14:paraId="527E0BD2">
      <w:pPr>
        <w:pStyle w:val="134"/>
        <w:snapToGrid w:val="0"/>
        <w:spacing w:before="0" w:line="348" w:lineRule="auto"/>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44B1FB">
      <w:pPr>
        <w:pStyle w:val="134"/>
        <w:snapToGrid w:val="0"/>
        <w:spacing w:before="0" w:line="348" w:lineRule="auto"/>
        <w:ind w:firstLine="0" w:firstLineChars="0"/>
        <w:rPr>
          <w:rFonts w:hint="eastAsia" w:ascii="宋体" w:hAnsi="宋体" w:cs="宋体"/>
          <w:b/>
          <w:szCs w:val="24"/>
        </w:rPr>
      </w:pPr>
      <w:r>
        <w:rPr>
          <w:rFonts w:hint="eastAsia" w:ascii="宋体" w:hAnsi="宋体" w:cs="宋体"/>
          <w:b/>
          <w:szCs w:val="24"/>
        </w:rPr>
        <w:t>23. 中标通知与中标结果公告</w:t>
      </w:r>
    </w:p>
    <w:p w14:paraId="5D1BA83F">
      <w:pPr>
        <w:widowControl/>
        <w:spacing w:line="348" w:lineRule="auto"/>
        <w:ind w:firstLine="480"/>
        <w:jc w:val="left"/>
        <w:rPr>
          <w:rFonts w:hint="eastAsia"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17A85222">
      <w:pPr>
        <w:widowControl/>
        <w:spacing w:line="348" w:lineRule="auto"/>
        <w:ind w:firstLine="480"/>
        <w:jc w:val="left"/>
        <w:rPr>
          <w:rFonts w:hint="eastAsia"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42B59F">
      <w:pPr>
        <w:widowControl/>
        <w:spacing w:line="348" w:lineRule="auto"/>
        <w:ind w:firstLine="480"/>
        <w:jc w:val="left"/>
        <w:rPr>
          <w:rFonts w:hint="eastAsia" w:ascii="宋体" w:hAnsi="宋体" w:cs="宋体"/>
          <w:sz w:val="24"/>
        </w:rPr>
      </w:pPr>
      <w:r>
        <w:rPr>
          <w:rFonts w:hint="eastAsia" w:ascii="宋体" w:hAnsi="宋体" w:cs="宋体"/>
          <w:sz w:val="24"/>
        </w:rPr>
        <w:t>23.3公告期限为1个工作日。</w:t>
      </w:r>
    </w:p>
    <w:p w14:paraId="0B8B8785">
      <w:pPr>
        <w:snapToGrid w:val="0"/>
        <w:spacing w:line="348" w:lineRule="auto"/>
        <w:ind w:left="120" w:leftChars="57" w:firstLine="482" w:firstLineChars="150"/>
        <w:jc w:val="center"/>
        <w:rPr>
          <w:rFonts w:hint="eastAsia" w:ascii="宋体" w:hAnsi="宋体" w:cs="宋体"/>
          <w:b/>
          <w:sz w:val="32"/>
        </w:rPr>
      </w:pPr>
      <w:r>
        <w:rPr>
          <w:rFonts w:hint="eastAsia" w:ascii="宋体" w:hAnsi="宋体" w:cs="宋体"/>
          <w:b/>
          <w:sz w:val="32"/>
        </w:rPr>
        <w:t>七、合同授予</w:t>
      </w:r>
    </w:p>
    <w:p w14:paraId="3D0AAD45">
      <w:pPr>
        <w:pStyle w:val="25"/>
        <w:spacing w:line="348"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17C65132">
      <w:pPr>
        <w:pStyle w:val="25"/>
        <w:spacing w:line="348" w:lineRule="auto"/>
        <w:ind w:left="479" w:hanging="479" w:hangingChars="199"/>
        <w:rPr>
          <w:rFonts w:hint="eastAsia" w:cs="宋体"/>
          <w:b/>
        </w:rPr>
      </w:pPr>
      <w:r>
        <w:rPr>
          <w:rFonts w:hint="eastAsia" w:cs="宋体"/>
          <w:b/>
        </w:rPr>
        <w:t>25. 合同的签订</w:t>
      </w:r>
    </w:p>
    <w:p w14:paraId="6BB0C445">
      <w:pPr>
        <w:widowControl/>
        <w:spacing w:line="348" w:lineRule="auto"/>
        <w:ind w:firstLine="480"/>
        <w:jc w:val="left"/>
        <w:rPr>
          <w:rFonts w:hint="eastAsia"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3ADDD003">
      <w:pPr>
        <w:pStyle w:val="134"/>
        <w:snapToGrid w:val="0"/>
        <w:spacing w:before="0" w:line="348" w:lineRule="auto"/>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D17AB17">
      <w:pPr>
        <w:pStyle w:val="134"/>
        <w:snapToGrid w:val="0"/>
        <w:spacing w:before="0" w:line="348" w:lineRule="auto"/>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0E3D33DC">
      <w:pPr>
        <w:pStyle w:val="134"/>
        <w:snapToGrid w:val="0"/>
        <w:spacing w:before="0" w:line="348" w:lineRule="auto"/>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7A5AE89">
      <w:pPr>
        <w:pStyle w:val="134"/>
        <w:snapToGrid w:val="0"/>
        <w:spacing w:before="0" w:line="348" w:lineRule="auto"/>
        <w:ind w:firstLine="480"/>
        <w:rPr>
          <w:rFonts w:hint="eastAsia"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90C57CD">
      <w:pPr>
        <w:pStyle w:val="25"/>
        <w:spacing w:line="348" w:lineRule="auto"/>
        <w:ind w:left="479" w:hanging="479" w:hangingChars="199"/>
        <w:rPr>
          <w:rFonts w:hint="eastAsia" w:cs="宋体"/>
          <w:b/>
        </w:rPr>
      </w:pPr>
      <w:r>
        <w:rPr>
          <w:rFonts w:hint="eastAsia" w:cs="宋体"/>
          <w:b/>
        </w:rPr>
        <w:t>26. 履约保证金</w:t>
      </w:r>
    </w:p>
    <w:p w14:paraId="7FFAED7A">
      <w:pPr>
        <w:tabs>
          <w:tab w:val="left" w:pos="0"/>
        </w:tabs>
        <w:spacing w:line="348" w:lineRule="auto"/>
        <w:ind w:firstLine="482"/>
        <w:rPr>
          <w:rFonts w:hint="eastAsia"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2D089ACC">
      <w:pPr>
        <w:tabs>
          <w:tab w:val="left" w:pos="432"/>
        </w:tabs>
        <w:spacing w:line="348" w:lineRule="auto"/>
        <w:ind w:firstLine="480" w:firstLineChars="200"/>
        <w:rPr>
          <w:rFonts w:hint="eastAsia" w:ascii="宋体" w:hAnsi="宋体" w:cs="宋体"/>
          <w:snapToGrid w:val="0"/>
          <w:kern w:val="28"/>
          <w:sz w:val="24"/>
        </w:rPr>
      </w:pPr>
      <w:r>
        <w:rPr>
          <w:rFonts w:hint="eastAsia" w:ascii="宋体" w:hAnsi="宋体" w:cs="宋体"/>
          <w:snapToGrid w:val="0"/>
          <w:kern w:val="28"/>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239BCD">
      <w:pPr>
        <w:tabs>
          <w:tab w:val="left" w:pos="432"/>
        </w:tabs>
        <w:spacing w:line="348" w:lineRule="auto"/>
      </w:pPr>
      <w:r>
        <w:rPr>
          <w:rFonts w:ascii="宋体" w:hAnsi="宋体"/>
          <w:b/>
          <w:bCs/>
          <w:sz w:val="24"/>
          <w:szCs w:val="32"/>
        </w:rPr>
        <w:t>27.预付款</w:t>
      </w:r>
    </w:p>
    <w:p w14:paraId="03F0E55C">
      <w:pPr>
        <w:adjustRightInd/>
        <w:spacing w:line="348"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5201AAAB">
      <w:pPr>
        <w:snapToGrid w:val="0"/>
        <w:spacing w:line="348" w:lineRule="auto"/>
        <w:ind w:firstLine="3357" w:firstLineChars="1045"/>
        <w:rPr>
          <w:rFonts w:hint="eastAsia" w:ascii="宋体" w:hAnsi="宋体" w:cs="宋体"/>
          <w:b/>
          <w:sz w:val="24"/>
        </w:rPr>
      </w:pPr>
      <w:r>
        <w:rPr>
          <w:rFonts w:hint="eastAsia" w:ascii="宋体" w:hAnsi="宋体" w:cs="宋体"/>
          <w:b/>
          <w:sz w:val="32"/>
        </w:rPr>
        <w:t>八、电子交易活动的中止</w:t>
      </w:r>
    </w:p>
    <w:p w14:paraId="77C864B7">
      <w:pPr>
        <w:pStyle w:val="134"/>
        <w:snapToGrid w:val="0"/>
        <w:spacing w:before="0" w:line="348" w:lineRule="auto"/>
        <w:ind w:firstLine="0" w:firstLineChars="0"/>
        <w:rPr>
          <w:rFonts w:hint="eastAsia"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2B44CF0B">
      <w:pPr>
        <w:pStyle w:val="134"/>
        <w:snapToGrid w:val="0"/>
        <w:spacing w:before="0" w:line="348" w:lineRule="auto"/>
        <w:ind w:firstLine="480"/>
        <w:rPr>
          <w:rFonts w:hint="eastAsia" w:ascii="宋体" w:hAnsi="宋体" w:cs="宋体"/>
        </w:rPr>
      </w:pPr>
      <w:r>
        <w:rPr>
          <w:rFonts w:hint="eastAsia" w:ascii="宋体" w:hAnsi="宋体" w:cs="宋体"/>
        </w:rPr>
        <w:t xml:space="preserve">28.1电子交易平台发生故障而无法登录访问的； </w:t>
      </w:r>
    </w:p>
    <w:p w14:paraId="2E7A00A5">
      <w:pPr>
        <w:pStyle w:val="134"/>
        <w:snapToGrid w:val="0"/>
        <w:spacing w:before="0" w:line="348" w:lineRule="auto"/>
        <w:ind w:firstLine="480"/>
        <w:rPr>
          <w:rFonts w:hint="eastAsia" w:ascii="宋体" w:hAnsi="宋体" w:cs="宋体"/>
        </w:rPr>
      </w:pPr>
      <w:r>
        <w:rPr>
          <w:rFonts w:hint="eastAsia" w:ascii="宋体" w:hAnsi="宋体" w:cs="宋体"/>
        </w:rPr>
        <w:t>28.2电子交易平台应用或数据库出现错误，不能进行正常操作的；</w:t>
      </w:r>
    </w:p>
    <w:p w14:paraId="3DE77A3F">
      <w:pPr>
        <w:pStyle w:val="134"/>
        <w:snapToGrid w:val="0"/>
        <w:spacing w:before="0" w:line="348" w:lineRule="auto"/>
        <w:ind w:firstLine="480"/>
        <w:rPr>
          <w:rFonts w:hint="eastAsia" w:ascii="宋体" w:hAnsi="宋体" w:cs="宋体"/>
        </w:rPr>
      </w:pPr>
      <w:r>
        <w:rPr>
          <w:rFonts w:hint="eastAsia" w:ascii="宋体" w:hAnsi="宋体" w:cs="宋体"/>
        </w:rPr>
        <w:t>28.3电子交易平台发现严重安全漏洞，有潜在泄密危险的；</w:t>
      </w:r>
    </w:p>
    <w:p w14:paraId="3CBE8F33">
      <w:pPr>
        <w:pStyle w:val="134"/>
        <w:snapToGrid w:val="0"/>
        <w:spacing w:before="0" w:line="348" w:lineRule="auto"/>
        <w:ind w:firstLine="480"/>
        <w:rPr>
          <w:rFonts w:hint="eastAsia" w:ascii="宋体" w:hAnsi="宋体" w:cs="宋体"/>
        </w:rPr>
      </w:pPr>
      <w:r>
        <w:rPr>
          <w:rFonts w:hint="eastAsia" w:ascii="宋体" w:hAnsi="宋体" w:cs="宋体"/>
        </w:rPr>
        <w:t xml:space="preserve">28.4病毒发作导致不能进行正常操作的； </w:t>
      </w:r>
    </w:p>
    <w:p w14:paraId="61AFD985">
      <w:pPr>
        <w:pStyle w:val="134"/>
        <w:snapToGrid w:val="0"/>
        <w:spacing w:before="0" w:line="348" w:lineRule="auto"/>
        <w:ind w:firstLine="480"/>
        <w:rPr>
          <w:rFonts w:hint="eastAsia" w:ascii="宋体" w:hAnsi="宋体" w:cs="宋体"/>
        </w:rPr>
      </w:pPr>
      <w:r>
        <w:rPr>
          <w:rFonts w:hint="eastAsia" w:ascii="宋体" w:hAnsi="宋体" w:cs="宋体"/>
        </w:rPr>
        <w:t>28.5其他无法保证电子交易的公平、公正和安全的情况。</w:t>
      </w:r>
    </w:p>
    <w:p w14:paraId="6CBABC35">
      <w:pPr>
        <w:pStyle w:val="134"/>
        <w:snapToGrid w:val="0"/>
        <w:spacing w:before="0" w:line="348" w:lineRule="auto"/>
        <w:ind w:firstLine="0" w:firstLineChars="0"/>
        <w:rPr>
          <w:rFonts w:hint="eastAsia" w:ascii="宋体" w:hAnsi="宋体" w:cs="宋体"/>
        </w:rPr>
      </w:pPr>
      <w:r>
        <w:rPr>
          <w:rFonts w:hint="eastAsia" w:ascii="宋体" w:hAnsi="宋体" w:cs="宋体"/>
        </w:rPr>
        <w:t xml:space="preserve"> 29.出现以上情形，不影响采购公平、公正性的，采购组织机构可以待上述情形消除后继续组织电子交易活动；影响或可能影响采购公平、公正性的，应当重新采购。</w:t>
      </w:r>
    </w:p>
    <w:p w14:paraId="00530578">
      <w:pPr>
        <w:snapToGrid w:val="0"/>
        <w:spacing w:line="348" w:lineRule="auto"/>
        <w:ind w:left="120" w:leftChars="57"/>
        <w:jc w:val="center"/>
        <w:rPr>
          <w:rFonts w:hint="eastAsia" w:ascii="宋体" w:hAnsi="宋体" w:cs="宋体"/>
          <w:b/>
          <w:sz w:val="32"/>
        </w:rPr>
      </w:pPr>
      <w:r>
        <w:rPr>
          <w:rFonts w:hint="eastAsia" w:ascii="宋体" w:hAnsi="宋体" w:cs="宋体"/>
          <w:b/>
          <w:sz w:val="32"/>
        </w:rPr>
        <w:t>九、验收</w:t>
      </w:r>
    </w:p>
    <w:p w14:paraId="4C8EA96E">
      <w:pPr>
        <w:pStyle w:val="25"/>
        <w:spacing w:line="348" w:lineRule="auto"/>
        <w:ind w:firstLine="0" w:firstLineChars="0"/>
        <w:rPr>
          <w:rFonts w:hint="eastAsia" w:cs="宋体"/>
          <w:b/>
        </w:rPr>
      </w:pPr>
      <w:r>
        <w:rPr>
          <w:rFonts w:hint="eastAsia" w:cs="宋体"/>
          <w:b/>
        </w:rPr>
        <w:t>30.验收</w:t>
      </w:r>
    </w:p>
    <w:p w14:paraId="3E925332">
      <w:pPr>
        <w:tabs>
          <w:tab w:val="left" w:pos="0"/>
        </w:tabs>
        <w:spacing w:line="348" w:lineRule="auto"/>
        <w:ind w:firstLine="480"/>
        <w:rPr>
          <w:rFonts w:hint="eastAsia"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78473">
      <w:pPr>
        <w:tabs>
          <w:tab w:val="left" w:pos="0"/>
        </w:tabs>
        <w:spacing w:line="348" w:lineRule="auto"/>
        <w:ind w:firstLine="480"/>
        <w:rPr>
          <w:rFonts w:hint="eastAsia" w:ascii="宋体" w:hAnsi="宋体" w:cs="宋体"/>
          <w:kern w:val="0"/>
          <w:sz w:val="24"/>
        </w:rPr>
      </w:pPr>
      <w:r>
        <w:rPr>
          <w:rFonts w:hint="eastAsia" w:ascii="宋体" w:hAnsi="宋体" w:cs="宋体"/>
          <w:kern w:val="0"/>
          <w:sz w:val="24"/>
        </w:rPr>
        <w:t>30.2采购人可以邀请参加本项目的其他供应商或者第三方机构参与验收。参与验收的供应商或者第三方机构的意见作为验收书的参考资料一并存档。</w:t>
      </w:r>
    </w:p>
    <w:p w14:paraId="1759E971">
      <w:pPr>
        <w:tabs>
          <w:tab w:val="left" w:pos="0"/>
        </w:tabs>
        <w:spacing w:line="348" w:lineRule="auto"/>
        <w:ind w:firstLine="480"/>
        <w:rPr>
          <w:rFonts w:hint="eastAsia"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B3FF4">
      <w:pPr>
        <w:tabs>
          <w:tab w:val="left" w:pos="0"/>
        </w:tabs>
        <w:spacing w:line="348" w:lineRule="auto"/>
        <w:ind w:firstLine="480"/>
        <w:rPr>
          <w:rFonts w:hint="eastAsia"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9DEA9D1">
      <w:pPr>
        <w:rPr>
          <w:rFonts w:hint="eastAsia" w:ascii="宋体" w:hAnsi="宋体" w:cs="宋体"/>
          <w:kern w:val="0"/>
          <w:sz w:val="24"/>
        </w:rPr>
      </w:pPr>
      <w:bookmarkStart w:id="20" w:name="_Hlt75236290"/>
      <w:bookmarkEnd w:id="20"/>
      <w:bookmarkStart w:id="21" w:name="_Hlt75236101"/>
      <w:bookmarkEnd w:id="21"/>
      <w:bookmarkStart w:id="22" w:name="_Hlt74729768"/>
      <w:bookmarkEnd w:id="22"/>
      <w:bookmarkStart w:id="23" w:name="_Hlt68057669"/>
      <w:bookmarkEnd w:id="23"/>
      <w:bookmarkStart w:id="24" w:name="_Hlt75236011"/>
      <w:bookmarkEnd w:id="24"/>
      <w:bookmarkStart w:id="25" w:name="_Hlt68072990"/>
      <w:bookmarkEnd w:id="25"/>
      <w:bookmarkStart w:id="26" w:name="_Hlt74730295"/>
      <w:bookmarkEnd w:id="26"/>
      <w:bookmarkStart w:id="27" w:name="_Hlt68073093"/>
      <w:bookmarkEnd w:id="27"/>
      <w:bookmarkStart w:id="28" w:name="_Hlt68403820"/>
      <w:bookmarkEnd w:id="28"/>
      <w:bookmarkStart w:id="29" w:name="_Hlt74714665"/>
      <w:bookmarkEnd w:id="29"/>
      <w:bookmarkStart w:id="30" w:name="_Hlt74707468"/>
      <w:bookmarkEnd w:id="30"/>
      <w:bookmarkStart w:id="31" w:name="_Hlt68072998"/>
      <w:bookmarkEnd w:id="31"/>
    </w:p>
    <w:p w14:paraId="498588F7">
      <w:p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bookmarkEnd w:id="14"/>
    <w:bookmarkEnd w:id="15"/>
    <w:p w14:paraId="277B0E7A">
      <w:pPr>
        <w:spacing w:line="360" w:lineRule="auto"/>
        <w:jc w:val="center"/>
        <w:outlineLvl w:val="0"/>
        <w:rPr>
          <w:rFonts w:hint="eastAsia" w:ascii="宋体" w:hAnsi="宋体" w:cs="宋体"/>
          <w:b/>
          <w:sz w:val="36"/>
          <w:szCs w:val="36"/>
        </w:rPr>
      </w:pPr>
      <w:bookmarkStart w:id="32" w:name="_Toc26044"/>
      <w:bookmarkStart w:id="33" w:name="第四部分"/>
      <w:r>
        <w:rPr>
          <w:rFonts w:hint="eastAsia" w:ascii="宋体" w:hAnsi="宋体" w:cs="宋体"/>
          <w:b/>
          <w:sz w:val="36"/>
          <w:szCs w:val="36"/>
        </w:rPr>
        <w:t>第三部分   采购需求</w:t>
      </w:r>
      <w:bookmarkEnd w:id="32"/>
    </w:p>
    <w:p w14:paraId="2740A27D">
      <w:pPr>
        <w:widowControl/>
        <w:adjustRightInd/>
        <w:spacing w:line="360" w:lineRule="auto"/>
        <w:jc w:val="left"/>
        <w:rPr>
          <w:rFonts w:hint="eastAsia" w:ascii="宋体" w:hAnsi="宋体" w:cs="宋体"/>
          <w:b/>
          <w:kern w:val="0"/>
          <w:sz w:val="24"/>
        </w:rPr>
      </w:pPr>
      <w:bookmarkStart w:id="34" w:name="_Toc329697494"/>
      <w:bookmarkStart w:id="35" w:name="_Toc317685548"/>
      <w:r>
        <w:rPr>
          <w:rFonts w:hint="eastAsia" w:ascii="宋体" w:hAnsi="宋体" w:cs="宋体"/>
          <w:b/>
          <w:kern w:val="0"/>
          <w:sz w:val="24"/>
        </w:rPr>
        <w:t>一、重要商务要求一览表</w:t>
      </w:r>
    </w:p>
    <w:bookmarkEnd w:id="34"/>
    <w:bookmarkEnd w:id="35"/>
    <w:tbl>
      <w:tblPr>
        <w:tblStyle w:val="63"/>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7642"/>
      </w:tblGrid>
      <w:tr w14:paraId="06122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1779" w:type="dxa"/>
            <w:vAlign w:val="center"/>
          </w:tcPr>
          <w:p w14:paraId="6F1A1E55">
            <w:pPr>
              <w:widowControl/>
              <w:adjustRightInd/>
              <w:spacing w:line="348" w:lineRule="auto"/>
              <w:jc w:val="center"/>
              <w:rPr>
                <w:rFonts w:hint="eastAsia" w:ascii="宋体" w:hAnsi="宋体" w:cs="宋体"/>
                <w:kern w:val="0"/>
                <w:sz w:val="24"/>
              </w:rPr>
            </w:pPr>
            <w:r>
              <w:rPr>
                <w:rFonts w:hint="eastAsia" w:ascii="宋体" w:hAnsi="宋体" w:cs="宋体"/>
                <w:kern w:val="0"/>
                <w:sz w:val="24"/>
              </w:rPr>
              <w:t>产品及服务</w:t>
            </w:r>
          </w:p>
          <w:p w14:paraId="0656444B">
            <w:pPr>
              <w:widowControl/>
              <w:adjustRightInd/>
              <w:spacing w:line="348" w:lineRule="auto"/>
              <w:jc w:val="center"/>
              <w:rPr>
                <w:rFonts w:hint="eastAsia" w:ascii="宋体" w:hAnsi="宋体" w:cs="宋体"/>
                <w:kern w:val="0"/>
                <w:sz w:val="24"/>
              </w:rPr>
            </w:pPr>
            <w:r>
              <w:rPr>
                <w:rFonts w:hint="eastAsia" w:ascii="宋体" w:hAnsi="宋体" w:cs="宋体"/>
                <w:kern w:val="0"/>
                <w:sz w:val="24"/>
              </w:rPr>
              <w:t>质量保证</w:t>
            </w:r>
          </w:p>
        </w:tc>
        <w:tc>
          <w:tcPr>
            <w:tcW w:w="7642" w:type="dxa"/>
            <w:vAlign w:val="center"/>
          </w:tcPr>
          <w:p w14:paraId="7324042F">
            <w:pPr>
              <w:widowControl/>
              <w:adjustRightInd/>
              <w:spacing w:line="348" w:lineRule="auto"/>
              <w:jc w:val="left"/>
              <w:rPr>
                <w:rFonts w:hint="eastAsia" w:ascii="宋体" w:hAnsi="宋体" w:cs="宋体"/>
                <w:kern w:val="0"/>
                <w:sz w:val="24"/>
              </w:rPr>
            </w:pPr>
            <w:r>
              <w:rPr>
                <w:rFonts w:hint="eastAsia" w:ascii="宋体" w:hAnsi="宋体" w:cs="宋体"/>
                <w:kern w:val="0"/>
                <w:sz w:val="24"/>
              </w:rPr>
              <w:t>1、供应商保证所供的设备必须是出厂原装合格产品，如发生所供的设备与合同不符，采购人有权拒收或退货，由此产生的一切责任和后果由供应商承担。质保期自货物验收合格之日起计。</w:t>
            </w:r>
          </w:p>
          <w:p w14:paraId="75BB8B47">
            <w:pPr>
              <w:widowControl/>
              <w:adjustRightInd/>
              <w:spacing w:line="348" w:lineRule="auto"/>
              <w:jc w:val="left"/>
              <w:rPr>
                <w:rFonts w:hint="eastAsia" w:ascii="宋体" w:hAnsi="宋体" w:cs="宋体"/>
                <w:kern w:val="0"/>
                <w:sz w:val="24"/>
              </w:rPr>
            </w:pPr>
            <w:r>
              <w:rPr>
                <w:rFonts w:hint="eastAsia" w:ascii="宋体" w:hAnsi="宋体" w:cs="宋体"/>
                <w:kern w:val="0"/>
                <w:sz w:val="24"/>
              </w:rPr>
              <w:t>2、在所供设备交付时，供应商应向采购人提供产品说明书、质量保证书、保修卡及招标文件要求的其他证明材料等必须具备的资料和必备附件。</w:t>
            </w:r>
          </w:p>
          <w:p w14:paraId="0F86DAED">
            <w:pPr>
              <w:widowControl/>
              <w:adjustRightInd/>
              <w:spacing w:line="348" w:lineRule="auto"/>
              <w:jc w:val="left"/>
              <w:rPr>
                <w:rFonts w:hint="eastAsia" w:ascii="宋体" w:hAnsi="宋体" w:cs="宋体"/>
                <w:szCs w:val="21"/>
              </w:rPr>
            </w:pPr>
            <w:r>
              <w:rPr>
                <w:rFonts w:hint="eastAsia" w:ascii="宋体" w:hAnsi="宋体" w:cs="宋体"/>
                <w:kern w:val="0"/>
                <w:sz w:val="24"/>
              </w:rPr>
              <w:t>3、质保期内需确保设备能通过各级质控检测、计量部门检定（如有），若无法通过，中标人需承担相应检测费用，并免费维修直至通过检测。</w:t>
            </w:r>
          </w:p>
        </w:tc>
      </w:tr>
      <w:tr w14:paraId="47750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restart"/>
            <w:vAlign w:val="center"/>
          </w:tcPr>
          <w:p w14:paraId="10E28E18">
            <w:pPr>
              <w:widowControl/>
              <w:adjustRightInd/>
              <w:spacing w:line="348" w:lineRule="auto"/>
              <w:jc w:val="center"/>
              <w:rPr>
                <w:rFonts w:hint="eastAsia" w:ascii="宋体" w:hAnsi="宋体" w:cs="宋体"/>
                <w:kern w:val="0"/>
                <w:sz w:val="24"/>
              </w:rPr>
            </w:pPr>
            <w:r>
              <w:rPr>
                <w:rFonts w:hint="eastAsia" w:ascii="宋体" w:hAnsi="宋体" w:cs="宋体"/>
                <w:kern w:val="0"/>
                <w:sz w:val="24"/>
              </w:rPr>
              <w:t>交货（安装）</w:t>
            </w:r>
          </w:p>
          <w:p w14:paraId="50B07562">
            <w:pPr>
              <w:widowControl/>
              <w:adjustRightInd/>
              <w:spacing w:line="348" w:lineRule="auto"/>
              <w:jc w:val="center"/>
              <w:rPr>
                <w:rFonts w:hint="eastAsia" w:ascii="宋体" w:hAnsi="宋体" w:cs="宋体"/>
                <w:kern w:val="0"/>
                <w:sz w:val="24"/>
              </w:rPr>
            </w:pPr>
            <w:r>
              <w:rPr>
                <w:rFonts w:hint="eastAsia" w:ascii="宋体" w:hAnsi="宋体" w:cs="宋体"/>
                <w:kern w:val="0"/>
                <w:sz w:val="24"/>
              </w:rPr>
              <w:t>时间及地点</w:t>
            </w:r>
          </w:p>
        </w:tc>
        <w:tc>
          <w:tcPr>
            <w:tcW w:w="7642" w:type="dxa"/>
            <w:vAlign w:val="center"/>
          </w:tcPr>
          <w:p w14:paraId="734A8E80">
            <w:pPr>
              <w:widowControl/>
              <w:adjustRightInd/>
              <w:spacing w:line="348" w:lineRule="auto"/>
              <w:jc w:val="left"/>
              <w:rPr>
                <w:rFonts w:hint="eastAsia" w:ascii="宋体" w:hAnsi="宋体" w:cs="宋体"/>
                <w:kern w:val="0"/>
                <w:sz w:val="24"/>
              </w:rPr>
            </w:pPr>
            <w:r>
              <w:rPr>
                <w:rFonts w:hint="eastAsia" w:ascii="宋体" w:hAnsi="宋体" w:cs="宋体"/>
                <w:kern w:val="0"/>
                <w:sz w:val="24"/>
              </w:rPr>
              <w:t>交货时间（合同履约期限）：2025年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底前</w:t>
            </w:r>
            <w:r>
              <w:rPr>
                <w:rFonts w:hint="eastAsia" w:ascii="宋体" w:hAnsi="宋体" w:cs="宋体"/>
                <w:kern w:val="0"/>
                <w:sz w:val="24"/>
              </w:rPr>
              <w:t>完成项目</w:t>
            </w:r>
            <w:r>
              <w:rPr>
                <w:rFonts w:hint="eastAsia" w:ascii="宋体" w:hAnsi="宋体" w:cs="宋体"/>
                <w:kern w:val="0"/>
                <w:sz w:val="24"/>
                <w:lang w:val="en-US" w:eastAsia="zh-CN"/>
              </w:rPr>
              <w:t>供货、</w:t>
            </w:r>
            <w:r>
              <w:rPr>
                <w:rFonts w:hint="eastAsia" w:ascii="宋体" w:hAnsi="宋体" w:cs="宋体"/>
                <w:kern w:val="0"/>
                <w:sz w:val="24"/>
              </w:rPr>
              <w:t>安装、调试</w:t>
            </w:r>
            <w:r>
              <w:rPr>
                <w:rFonts w:hint="eastAsia" w:ascii="宋体" w:hAnsi="宋体" w:cs="宋体"/>
                <w:kern w:val="0"/>
                <w:sz w:val="24"/>
                <w:lang w:eastAsia="zh-CN"/>
              </w:rPr>
              <w:t>，</w:t>
            </w:r>
            <w:r>
              <w:rPr>
                <w:rFonts w:hint="eastAsia" w:ascii="宋体" w:hAnsi="宋体" w:cs="宋体"/>
                <w:kern w:val="0"/>
                <w:sz w:val="24"/>
              </w:rPr>
              <w:t>进行试运行测试，试运行期一个月后，由采购人进行统一验收。</w:t>
            </w:r>
          </w:p>
        </w:tc>
      </w:tr>
      <w:tr w14:paraId="4F49B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79" w:type="dxa"/>
            <w:vMerge w:val="continue"/>
            <w:vAlign w:val="center"/>
          </w:tcPr>
          <w:p w14:paraId="4DACF193">
            <w:pPr>
              <w:widowControl/>
              <w:adjustRightInd/>
              <w:spacing w:line="348" w:lineRule="auto"/>
              <w:jc w:val="center"/>
              <w:rPr>
                <w:rFonts w:hint="eastAsia" w:ascii="宋体" w:hAnsi="宋体" w:cs="宋体"/>
                <w:kern w:val="0"/>
                <w:sz w:val="24"/>
              </w:rPr>
            </w:pPr>
          </w:p>
        </w:tc>
        <w:tc>
          <w:tcPr>
            <w:tcW w:w="7642" w:type="dxa"/>
            <w:tcBorders/>
            <w:vAlign w:val="center"/>
          </w:tcPr>
          <w:p w14:paraId="0B21F1F6">
            <w:pPr>
              <w:widowControl/>
              <w:adjustRightInd/>
              <w:spacing w:line="348" w:lineRule="auto"/>
              <w:jc w:val="left"/>
              <w:rPr>
                <w:rFonts w:hint="eastAsia" w:ascii="宋体" w:hAnsi="宋体" w:cs="宋体"/>
                <w:kern w:val="0"/>
                <w:sz w:val="24"/>
              </w:rPr>
            </w:pPr>
            <w:r>
              <w:rPr>
                <w:rFonts w:hint="eastAsia" w:ascii="宋体" w:hAnsi="宋体" w:cs="宋体"/>
                <w:kern w:val="0"/>
                <w:sz w:val="24"/>
              </w:rPr>
              <w:t>安装地点：宁海县桃源中学辛岭校区、宁海县星海小学、宁海县第一职业中学指定地点。</w:t>
            </w:r>
          </w:p>
        </w:tc>
      </w:tr>
      <w:tr w14:paraId="6757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77061BBF">
            <w:pPr>
              <w:widowControl/>
              <w:adjustRightInd/>
              <w:spacing w:line="348" w:lineRule="auto"/>
              <w:jc w:val="center"/>
              <w:rPr>
                <w:rFonts w:hint="eastAsia" w:ascii="宋体" w:hAnsi="宋体" w:cs="宋体"/>
                <w:kern w:val="0"/>
                <w:sz w:val="24"/>
              </w:rPr>
            </w:pPr>
          </w:p>
        </w:tc>
        <w:tc>
          <w:tcPr>
            <w:tcW w:w="7642" w:type="dxa"/>
            <w:vAlign w:val="center"/>
          </w:tcPr>
          <w:p w14:paraId="47D8E878">
            <w:pPr>
              <w:widowControl/>
              <w:adjustRightInd/>
              <w:spacing w:line="348" w:lineRule="auto"/>
              <w:jc w:val="left"/>
              <w:rPr>
                <w:rFonts w:hint="eastAsia" w:ascii="宋体" w:hAnsi="宋体" w:cs="宋体"/>
                <w:kern w:val="0"/>
                <w:sz w:val="24"/>
              </w:rPr>
            </w:pPr>
            <w:r>
              <w:rPr>
                <w:rFonts w:hint="eastAsia" w:ascii="宋体" w:hAnsi="宋体" w:cs="宋体"/>
                <w:kern w:val="0"/>
                <w:sz w:val="24"/>
              </w:rPr>
              <w:t>安装标准：达到国家、行业、地方及采购需求中的验收标准要求。</w:t>
            </w:r>
          </w:p>
        </w:tc>
      </w:tr>
      <w:tr w14:paraId="2A3F2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5580ED85">
            <w:pPr>
              <w:widowControl/>
              <w:adjustRightInd/>
              <w:spacing w:line="348" w:lineRule="auto"/>
              <w:jc w:val="center"/>
              <w:rPr>
                <w:rFonts w:hint="eastAsia" w:ascii="宋体" w:hAnsi="宋体" w:cs="宋体"/>
                <w:kern w:val="0"/>
                <w:sz w:val="24"/>
              </w:rPr>
            </w:pPr>
          </w:p>
        </w:tc>
        <w:tc>
          <w:tcPr>
            <w:tcW w:w="7642" w:type="dxa"/>
            <w:vAlign w:val="center"/>
          </w:tcPr>
          <w:p w14:paraId="6417F661">
            <w:pPr>
              <w:widowControl/>
              <w:adjustRightInd/>
              <w:spacing w:line="348" w:lineRule="auto"/>
              <w:jc w:val="left"/>
              <w:rPr>
                <w:rFonts w:hint="eastAsia" w:ascii="宋体" w:hAnsi="宋体" w:cs="宋体"/>
                <w:kern w:val="0"/>
                <w:sz w:val="24"/>
              </w:rPr>
            </w:pPr>
            <w:r>
              <w:rPr>
                <w:rFonts w:hint="eastAsia" w:ascii="宋体" w:hAnsi="宋体" w:cs="宋体"/>
                <w:kern w:val="0"/>
                <w:sz w:val="24"/>
              </w:rPr>
              <w:t>验收标准：与产品技术数据及标书技术文件一致，符合国家有关技术规范和技术标准。</w:t>
            </w:r>
          </w:p>
        </w:tc>
      </w:tr>
      <w:tr w14:paraId="22F5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Merge w:val="continue"/>
            <w:vAlign w:val="center"/>
          </w:tcPr>
          <w:p w14:paraId="6BA60682">
            <w:pPr>
              <w:widowControl/>
              <w:adjustRightInd/>
              <w:spacing w:line="348" w:lineRule="auto"/>
              <w:jc w:val="center"/>
              <w:rPr>
                <w:rFonts w:hint="eastAsia" w:ascii="宋体" w:hAnsi="宋体" w:cs="宋体"/>
                <w:kern w:val="0"/>
                <w:sz w:val="24"/>
              </w:rPr>
            </w:pPr>
          </w:p>
        </w:tc>
        <w:tc>
          <w:tcPr>
            <w:tcW w:w="7642" w:type="dxa"/>
            <w:vAlign w:val="center"/>
          </w:tcPr>
          <w:p w14:paraId="7B227D63">
            <w:pPr>
              <w:widowControl/>
              <w:adjustRightInd/>
              <w:spacing w:line="348" w:lineRule="auto"/>
              <w:jc w:val="left"/>
              <w:rPr>
                <w:rFonts w:hint="eastAsia" w:ascii="宋体" w:hAnsi="宋体" w:cs="宋体"/>
                <w:kern w:val="0"/>
                <w:sz w:val="24"/>
              </w:rPr>
            </w:pPr>
            <w:r>
              <w:rPr>
                <w:rFonts w:hint="eastAsia" w:ascii="宋体" w:hAnsi="宋体" w:cs="宋体"/>
                <w:kern w:val="0"/>
                <w:sz w:val="24"/>
              </w:rPr>
              <w:t>安装、验收所产生的一切费用（包括卸货、搬运费等）由中标人负责。</w:t>
            </w:r>
          </w:p>
        </w:tc>
      </w:tr>
      <w:tr w14:paraId="30B2A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79" w:type="dxa"/>
            <w:vAlign w:val="center"/>
          </w:tcPr>
          <w:p w14:paraId="22B1EA4F">
            <w:pPr>
              <w:widowControl/>
              <w:adjustRightInd/>
              <w:spacing w:line="348" w:lineRule="auto"/>
              <w:jc w:val="center"/>
              <w:rPr>
                <w:rFonts w:hint="eastAsia" w:ascii="宋体" w:hAnsi="宋体" w:cs="宋体"/>
                <w:kern w:val="0"/>
                <w:sz w:val="24"/>
              </w:rPr>
            </w:pPr>
            <w:r>
              <w:rPr>
                <w:rFonts w:hint="eastAsia" w:ascii="宋体" w:hAnsi="宋体" w:cs="宋体"/>
                <w:kern w:val="0"/>
                <w:sz w:val="24"/>
              </w:rPr>
              <w:t>履约保证金</w:t>
            </w:r>
          </w:p>
        </w:tc>
        <w:tc>
          <w:tcPr>
            <w:tcW w:w="7642" w:type="dxa"/>
            <w:vAlign w:val="center"/>
          </w:tcPr>
          <w:p w14:paraId="722EA5A3">
            <w:pPr>
              <w:widowControl/>
              <w:adjustRightInd/>
              <w:spacing w:line="348" w:lineRule="auto"/>
              <w:jc w:val="left"/>
              <w:rPr>
                <w:rFonts w:hint="eastAsia" w:ascii="宋体" w:hAnsi="宋体" w:cs="宋体"/>
                <w:kern w:val="0"/>
                <w:sz w:val="24"/>
              </w:rPr>
            </w:pPr>
            <w:r>
              <w:rPr>
                <w:rFonts w:hint="eastAsia" w:ascii="宋体" w:hAnsi="宋体" w:cs="宋体"/>
                <w:kern w:val="0"/>
                <w:sz w:val="24"/>
              </w:rPr>
              <w:t>本项目不适用。</w:t>
            </w:r>
          </w:p>
        </w:tc>
      </w:tr>
      <w:tr w14:paraId="2C984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99" w:hRule="atLeast"/>
        </w:trPr>
        <w:tc>
          <w:tcPr>
            <w:tcW w:w="1779" w:type="dxa"/>
            <w:vAlign w:val="center"/>
          </w:tcPr>
          <w:p w14:paraId="6994D346">
            <w:pPr>
              <w:widowControl/>
              <w:adjustRightInd/>
              <w:spacing w:line="348" w:lineRule="auto"/>
              <w:jc w:val="center"/>
              <w:rPr>
                <w:rFonts w:hint="eastAsia" w:ascii="宋体" w:hAnsi="宋体" w:cs="宋体"/>
                <w:kern w:val="0"/>
                <w:sz w:val="24"/>
              </w:rPr>
            </w:pPr>
            <w:r>
              <w:rPr>
                <w:rFonts w:hint="eastAsia" w:ascii="宋体" w:hAnsi="宋体" w:cs="宋体"/>
                <w:kern w:val="0"/>
                <w:sz w:val="24"/>
              </w:rPr>
              <w:t>▲付款条件</w:t>
            </w:r>
          </w:p>
        </w:tc>
        <w:tc>
          <w:tcPr>
            <w:tcW w:w="7642" w:type="dxa"/>
            <w:vAlign w:val="center"/>
          </w:tcPr>
          <w:p w14:paraId="59A46D0C">
            <w:pPr>
              <w:widowControl/>
              <w:adjustRightInd/>
              <w:spacing w:line="348" w:lineRule="auto"/>
              <w:jc w:val="left"/>
              <w:rPr>
                <w:rFonts w:hint="eastAsia" w:ascii="宋体" w:hAnsi="宋体" w:cs="宋体"/>
                <w:b/>
                <w:bCs/>
                <w:kern w:val="0"/>
                <w:sz w:val="24"/>
              </w:rPr>
            </w:pPr>
            <w:r>
              <w:rPr>
                <w:rFonts w:hint="eastAsia" w:ascii="宋体" w:hAnsi="宋体" w:cs="宋体"/>
                <w:b/>
                <w:bCs/>
                <w:kern w:val="0"/>
                <w:sz w:val="24"/>
              </w:rPr>
              <w:t>适用于中小微企业：</w:t>
            </w:r>
          </w:p>
          <w:p w14:paraId="1AE5DB80">
            <w:pPr>
              <w:widowControl/>
              <w:adjustRightInd/>
              <w:spacing w:line="348" w:lineRule="auto"/>
              <w:jc w:val="left"/>
              <w:rPr>
                <w:rFonts w:hint="eastAsia" w:ascii="宋体" w:hAnsi="宋体" w:cs="宋体"/>
                <w:kern w:val="0"/>
                <w:sz w:val="24"/>
              </w:rPr>
            </w:pPr>
            <w:r>
              <w:rPr>
                <w:rFonts w:hint="eastAsia" w:ascii="宋体" w:hAnsi="宋体" w:cs="宋体"/>
                <w:kern w:val="0"/>
                <w:sz w:val="24"/>
              </w:rPr>
              <w:t>①合同生效且具备实施条件后，七个工作日内支付合同总额的40%作为预付款；（合同签订时中标人主动要求不需要预付款的采购人可以不支付）；</w:t>
            </w:r>
          </w:p>
          <w:p w14:paraId="2814881A">
            <w:pPr>
              <w:widowControl/>
              <w:adjustRightInd/>
              <w:spacing w:line="348" w:lineRule="auto"/>
              <w:jc w:val="left"/>
              <w:rPr>
                <w:rFonts w:hint="eastAsia" w:ascii="宋体" w:hAnsi="宋体" w:cs="宋体"/>
                <w:kern w:val="0"/>
                <w:sz w:val="24"/>
              </w:rPr>
            </w:pPr>
            <w:r>
              <w:rPr>
                <w:rFonts w:hint="eastAsia" w:ascii="宋体" w:hAnsi="宋体" w:cs="宋体"/>
                <w:kern w:val="0"/>
                <w:sz w:val="24"/>
              </w:rPr>
              <w:t>②设备安装调试、系统对接完毕并验收合格后，采购人在七个工作日内向中标人付清余款。</w:t>
            </w:r>
          </w:p>
          <w:p w14:paraId="6389B3A9">
            <w:pPr>
              <w:widowControl/>
              <w:adjustRightInd/>
              <w:spacing w:line="348" w:lineRule="auto"/>
              <w:jc w:val="left"/>
              <w:rPr>
                <w:rFonts w:hint="eastAsia" w:ascii="宋体" w:hAnsi="宋体" w:cs="宋体"/>
                <w:b/>
                <w:bCs/>
                <w:kern w:val="0"/>
                <w:sz w:val="24"/>
              </w:rPr>
            </w:pPr>
            <w:r>
              <w:rPr>
                <w:rFonts w:hint="eastAsia" w:ascii="宋体" w:hAnsi="宋体" w:cs="宋体"/>
                <w:b/>
                <w:bCs/>
                <w:kern w:val="0"/>
                <w:sz w:val="24"/>
              </w:rPr>
              <w:t>适用于大型企业：</w:t>
            </w:r>
          </w:p>
          <w:p w14:paraId="416EE3B4">
            <w:pPr>
              <w:widowControl/>
              <w:adjustRightInd/>
              <w:spacing w:line="348" w:lineRule="auto"/>
              <w:jc w:val="left"/>
              <w:rPr>
                <w:rFonts w:hint="eastAsia" w:ascii="宋体" w:hAnsi="宋体" w:cs="宋体"/>
                <w:kern w:val="0"/>
                <w:sz w:val="24"/>
              </w:rPr>
            </w:pPr>
            <w:r>
              <w:rPr>
                <w:rFonts w:hint="eastAsia" w:ascii="宋体" w:hAnsi="宋体" w:cs="宋体"/>
                <w:kern w:val="0"/>
                <w:sz w:val="24"/>
              </w:rPr>
              <w:t>①货到验收合格且采购人收到合法有效的发票后七个工作日内付清全款。</w:t>
            </w:r>
          </w:p>
        </w:tc>
      </w:tr>
      <w:tr w14:paraId="11BCF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79" w:type="dxa"/>
            <w:vAlign w:val="center"/>
          </w:tcPr>
          <w:p w14:paraId="27161509">
            <w:pPr>
              <w:widowControl/>
              <w:adjustRightInd/>
              <w:spacing w:line="348" w:lineRule="auto"/>
              <w:jc w:val="center"/>
              <w:rPr>
                <w:rFonts w:hint="eastAsia" w:ascii="宋体" w:hAnsi="宋体" w:cs="宋体"/>
                <w:kern w:val="0"/>
                <w:sz w:val="24"/>
              </w:rPr>
            </w:pPr>
            <w:r>
              <w:rPr>
                <w:rFonts w:hint="eastAsia" w:ascii="宋体" w:hAnsi="宋体" w:cs="宋体"/>
                <w:kern w:val="0"/>
                <w:sz w:val="24"/>
              </w:rPr>
              <w:t>售后服务</w:t>
            </w:r>
          </w:p>
        </w:tc>
        <w:tc>
          <w:tcPr>
            <w:tcW w:w="7642" w:type="dxa"/>
            <w:vAlign w:val="center"/>
          </w:tcPr>
          <w:p w14:paraId="17E422FB">
            <w:pPr>
              <w:widowControl/>
              <w:numPr>
                <w:ilvl w:val="0"/>
                <w:numId w:val="3"/>
              </w:numPr>
              <w:adjustRightInd/>
              <w:spacing w:line="348" w:lineRule="auto"/>
              <w:jc w:val="left"/>
              <w:rPr>
                <w:rFonts w:hint="eastAsia" w:ascii="宋体" w:hAnsi="宋体" w:cs="宋体"/>
                <w:kern w:val="0"/>
                <w:sz w:val="24"/>
              </w:rPr>
            </w:pPr>
            <w:r>
              <w:rPr>
                <w:rFonts w:hint="eastAsia" w:ascii="宋体" w:hAnsi="宋体" w:cs="宋体"/>
                <w:kern w:val="0"/>
                <w:sz w:val="24"/>
              </w:rPr>
              <w:t>质保期限：自项目终验（竣工验收）合格之日起3年。</w:t>
            </w:r>
          </w:p>
          <w:p w14:paraId="3AA53D66">
            <w:pPr>
              <w:widowControl/>
              <w:adjustRightInd/>
              <w:spacing w:line="348" w:lineRule="auto"/>
              <w:jc w:val="left"/>
              <w:rPr>
                <w:rFonts w:hint="eastAsia" w:ascii="宋体" w:hAnsi="宋体" w:cs="宋体"/>
                <w:kern w:val="0"/>
                <w:sz w:val="24"/>
              </w:rPr>
            </w:pPr>
            <w:r>
              <w:rPr>
                <w:rFonts w:hint="eastAsia" w:ascii="宋体" w:hAnsi="宋体" w:cs="宋体"/>
                <w:kern w:val="0"/>
                <w:sz w:val="24"/>
              </w:rPr>
              <w:t>2、质保期内免费服务内容包括但不限于技术咨询、故障排除、定期巡检、性能优化、软件升级、功能完善等。免费提供7×24技术服务，有任何问题和故障，及时响应并到达现场，提供不间断的服务直到系统恢复正常。</w:t>
            </w:r>
          </w:p>
        </w:tc>
      </w:tr>
      <w:tr w14:paraId="7FF33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Align w:val="center"/>
          </w:tcPr>
          <w:p w14:paraId="41B27163">
            <w:pPr>
              <w:widowControl/>
              <w:adjustRightInd/>
              <w:spacing w:line="348" w:lineRule="auto"/>
              <w:jc w:val="center"/>
              <w:rPr>
                <w:rFonts w:hint="eastAsia" w:ascii="宋体" w:hAnsi="宋体" w:cs="宋体"/>
                <w:kern w:val="0"/>
                <w:sz w:val="24"/>
              </w:rPr>
            </w:pPr>
            <w:r>
              <w:rPr>
                <w:rFonts w:hint="eastAsia" w:ascii="宋体" w:hAnsi="宋体" w:cs="宋体"/>
                <w:kern w:val="0"/>
                <w:sz w:val="24"/>
              </w:rPr>
              <w:t>培训</w:t>
            </w:r>
          </w:p>
        </w:tc>
        <w:tc>
          <w:tcPr>
            <w:tcW w:w="7642" w:type="dxa"/>
            <w:vAlign w:val="center"/>
          </w:tcPr>
          <w:p w14:paraId="29AB6562">
            <w:pPr>
              <w:widowControl/>
              <w:adjustRightInd/>
              <w:spacing w:line="348" w:lineRule="auto"/>
              <w:jc w:val="left"/>
              <w:rPr>
                <w:rFonts w:hint="eastAsia" w:ascii="宋体" w:hAnsi="宋体" w:cs="宋体"/>
                <w:kern w:val="0"/>
                <w:sz w:val="24"/>
              </w:rPr>
            </w:pPr>
            <w:r>
              <w:rPr>
                <w:rFonts w:hint="eastAsia" w:ascii="宋体" w:hAnsi="宋体" w:cs="宋体"/>
                <w:kern w:val="0"/>
                <w:sz w:val="24"/>
              </w:rPr>
              <w:t>中标人需为采购人提供专业技术培训，并提供技术指导和咨询，通过多种方式解决需求，提供支持，确保采购人相关工作人员可以正确使用。技术培训费用应包含在投标总价中，技术培训要求在验收前完成。</w:t>
            </w:r>
          </w:p>
        </w:tc>
      </w:tr>
      <w:tr w14:paraId="41EAD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vAlign w:val="center"/>
          </w:tcPr>
          <w:p w14:paraId="48B22CC0">
            <w:pPr>
              <w:widowControl/>
              <w:adjustRightInd/>
              <w:spacing w:line="348" w:lineRule="auto"/>
              <w:jc w:val="center"/>
              <w:rPr>
                <w:rFonts w:hint="eastAsia" w:ascii="宋体" w:hAnsi="宋体" w:cs="宋体"/>
                <w:kern w:val="0"/>
                <w:sz w:val="24"/>
              </w:rPr>
            </w:pPr>
            <w:r>
              <w:rPr>
                <w:rFonts w:hint="eastAsia" w:ascii="宋体" w:hAnsi="宋体" w:cs="宋体"/>
                <w:kern w:val="0"/>
                <w:sz w:val="24"/>
              </w:rPr>
              <w:t>知识产权</w:t>
            </w:r>
          </w:p>
        </w:tc>
        <w:tc>
          <w:tcPr>
            <w:tcW w:w="7642" w:type="dxa"/>
            <w:vAlign w:val="center"/>
          </w:tcPr>
          <w:p w14:paraId="5388D186">
            <w:pPr>
              <w:widowControl/>
              <w:adjustRightInd/>
              <w:spacing w:line="348" w:lineRule="auto"/>
              <w:jc w:val="left"/>
              <w:rPr>
                <w:rFonts w:hint="eastAsia" w:ascii="宋体" w:hAnsi="宋体" w:cs="宋体"/>
                <w:kern w:val="0"/>
                <w:sz w:val="24"/>
              </w:rPr>
            </w:pPr>
            <w:r>
              <w:rPr>
                <w:rFonts w:hint="eastAsia" w:ascii="宋体" w:hAnsi="宋体" w:cs="宋体"/>
                <w:kern w:val="0"/>
                <w:sz w:val="24"/>
              </w:rPr>
              <w:t>在项目实施过程中，中标人不得侵犯第三方的知识产权（包括但不限于著作权、专利权、商标权），同时，在交付本合同成果中也不得涉及或非法使用第三方的知识产权（包括但不限于著作权、专利权、商标权）。</w:t>
            </w:r>
          </w:p>
        </w:tc>
      </w:tr>
      <w:tr w14:paraId="7C751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shd w:val="clear" w:color="auto" w:fill="auto"/>
            <w:vAlign w:val="center"/>
          </w:tcPr>
          <w:p w14:paraId="0DB11FDC">
            <w:pPr>
              <w:adjustRightInd/>
              <w:spacing w:line="288" w:lineRule="auto"/>
              <w:jc w:val="center"/>
              <w:rPr>
                <w:rFonts w:hint="eastAsia" w:ascii="宋体" w:hAnsi="宋体" w:cs="宋体"/>
                <w:sz w:val="24"/>
              </w:rPr>
            </w:pPr>
            <w:r>
              <w:rPr>
                <w:rFonts w:hint="eastAsia" w:ascii="宋体" w:hAnsi="宋体" w:cs="宋体"/>
                <w:sz w:val="24"/>
              </w:rPr>
              <w:t>其他说明</w:t>
            </w:r>
          </w:p>
        </w:tc>
        <w:tc>
          <w:tcPr>
            <w:tcW w:w="7642" w:type="dxa"/>
            <w:shd w:val="clear" w:color="auto" w:fill="auto"/>
            <w:vAlign w:val="center"/>
          </w:tcPr>
          <w:p w14:paraId="29BBD431">
            <w:pPr>
              <w:widowControl/>
              <w:adjustRightInd/>
              <w:spacing w:line="348" w:lineRule="auto"/>
              <w:jc w:val="left"/>
              <w:rPr>
                <w:rFonts w:hint="eastAsia" w:ascii="宋体" w:hAnsi="宋体" w:cs="宋体"/>
                <w:kern w:val="0"/>
                <w:sz w:val="24"/>
              </w:rPr>
            </w:pPr>
            <w:r>
              <w:rPr>
                <w:rFonts w:hint="eastAsia" w:ascii="宋体" w:hAnsi="宋体" w:cs="宋体"/>
                <w:kern w:val="0"/>
                <w:sz w:val="24"/>
              </w:rPr>
              <w:t>1、本招标所提的要求仅为主要要求，不应作为完整的详细的要求；</w:t>
            </w:r>
          </w:p>
          <w:p w14:paraId="59DC0DCF">
            <w:pPr>
              <w:widowControl/>
              <w:adjustRightInd/>
              <w:spacing w:line="348" w:lineRule="auto"/>
              <w:jc w:val="left"/>
              <w:rPr>
                <w:rFonts w:hint="eastAsia" w:ascii="宋体" w:hAnsi="宋体" w:cs="宋体"/>
                <w:kern w:val="0"/>
                <w:sz w:val="24"/>
              </w:rPr>
            </w:pPr>
            <w:r>
              <w:rPr>
                <w:rFonts w:hint="eastAsia" w:ascii="宋体" w:hAnsi="宋体" w:cs="宋体"/>
                <w:kern w:val="0"/>
                <w:sz w:val="24"/>
              </w:rPr>
              <w:t>2、供应商应对投标材料的一切专利承担责任，并负责保护采购人的利益不受损害；一切由于文字、商标和技术专利侵权引起的法律裁决、诉讼及其费用均与采购人无关。</w:t>
            </w:r>
          </w:p>
        </w:tc>
      </w:tr>
      <w:tr w14:paraId="0C3A1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shd w:val="clear" w:color="auto" w:fill="auto"/>
            <w:vAlign w:val="center"/>
          </w:tcPr>
          <w:p w14:paraId="01AB9CBC">
            <w:pPr>
              <w:adjustRightInd/>
              <w:spacing w:line="360" w:lineRule="auto"/>
              <w:contextualSpacing/>
              <w:jc w:val="center"/>
              <w:rPr>
                <w:rFonts w:hint="eastAsia" w:ascii="宋体" w:hAnsi="宋体" w:cs="宋体"/>
                <w:sz w:val="24"/>
              </w:rPr>
            </w:pPr>
            <w:r>
              <w:rPr>
                <w:rFonts w:hint="eastAsia" w:ascii="宋体" w:hAnsi="宋体" w:cs="宋体"/>
                <w:sz w:val="24"/>
              </w:rPr>
              <w:t>合同终止</w:t>
            </w:r>
          </w:p>
        </w:tc>
        <w:tc>
          <w:tcPr>
            <w:tcW w:w="7642" w:type="dxa"/>
            <w:shd w:val="clear" w:color="auto" w:fill="auto"/>
            <w:vAlign w:val="center"/>
          </w:tcPr>
          <w:p w14:paraId="48744673">
            <w:pPr>
              <w:widowControl/>
              <w:adjustRightInd/>
              <w:spacing w:line="348" w:lineRule="auto"/>
              <w:jc w:val="left"/>
              <w:rPr>
                <w:rFonts w:hint="eastAsia" w:ascii="宋体" w:hAnsi="宋体" w:cs="宋体"/>
                <w:kern w:val="0"/>
                <w:sz w:val="24"/>
              </w:rPr>
            </w:pPr>
            <w:r>
              <w:rPr>
                <w:rFonts w:hint="eastAsia" w:ascii="宋体" w:hAnsi="宋体" w:cs="宋体"/>
                <w:kern w:val="0"/>
                <w:sz w:val="24"/>
              </w:rPr>
              <w:t>中标人在合同有效期内，不得无理由终止合同，确有特殊情况的，须提前两个月向采购人提出书面申请，经采购人同意后，方可终止合同。因中标人不能保证工作质量，或发生重大差错事故的，采购人可有权终止协议，中标人承担全部责任。</w:t>
            </w:r>
          </w:p>
        </w:tc>
      </w:tr>
      <w:tr w14:paraId="59EBF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79" w:type="dxa"/>
            <w:shd w:val="clear" w:color="auto" w:fill="auto"/>
            <w:vAlign w:val="center"/>
          </w:tcPr>
          <w:p w14:paraId="404950EF">
            <w:pPr>
              <w:adjustRightInd/>
              <w:spacing w:line="360" w:lineRule="auto"/>
              <w:contextualSpacing/>
              <w:jc w:val="center"/>
              <w:rPr>
                <w:rFonts w:hint="eastAsia" w:ascii="宋体" w:hAnsi="宋体" w:cs="宋体"/>
                <w:sz w:val="24"/>
              </w:rPr>
            </w:pPr>
            <w:r>
              <w:rPr>
                <w:rFonts w:hint="eastAsia" w:ascii="宋体" w:hAnsi="宋体" w:cs="宋体"/>
                <w:sz w:val="24"/>
              </w:rPr>
              <w:t>数据保密要求</w:t>
            </w:r>
          </w:p>
        </w:tc>
        <w:tc>
          <w:tcPr>
            <w:tcW w:w="7642" w:type="dxa"/>
            <w:shd w:val="clear" w:color="auto" w:fill="auto"/>
            <w:vAlign w:val="center"/>
          </w:tcPr>
          <w:p w14:paraId="20D3763D">
            <w:pPr>
              <w:widowControl/>
              <w:adjustRightInd/>
              <w:spacing w:line="348" w:lineRule="auto"/>
              <w:jc w:val="left"/>
              <w:rPr>
                <w:rFonts w:hint="eastAsia" w:ascii="宋体" w:hAnsi="宋体" w:cs="宋体"/>
                <w:kern w:val="0"/>
                <w:sz w:val="24"/>
              </w:rPr>
            </w:pPr>
            <w:r>
              <w:rPr>
                <w:rFonts w:hint="eastAsia" w:ascii="宋体" w:hAnsi="宋体" w:cs="宋体"/>
                <w:kern w:val="0"/>
                <w:sz w:val="24"/>
              </w:rPr>
              <w:t>1、在本项目履行期间获悉的所有系统内的信息、资料等，均为采购人秘密，供应商及其雇员负有严格保密义务，未经采购人书面同意不得向任何第三人泄露，且保密责任不因合同的终止或解除而失效。如采购人提出要求，供应商须无条件与采购人签订保密协议。项目完成后，供应商必须把采购人提供的所有资料、数据完整归还采购人，并不得留存任何形式的复制品，并归还所有含保密信息的文件或媒体或其复制件或摘要且不得就此要求经济补偿。所有因项目实施而获得的采购人及系统中所有的人员的资料及数据，未经采购人书面同意，供应商不得向第三方提供保密信息或由保密信息衍生的信息。</w:t>
            </w:r>
          </w:p>
          <w:p w14:paraId="30CFB3F8">
            <w:pPr>
              <w:widowControl/>
              <w:adjustRightInd/>
              <w:spacing w:line="348" w:lineRule="auto"/>
              <w:jc w:val="left"/>
              <w:rPr>
                <w:rFonts w:hint="eastAsia" w:ascii="宋体" w:hAnsi="宋体" w:cs="宋体"/>
                <w:kern w:val="0"/>
                <w:sz w:val="24"/>
              </w:rPr>
            </w:pPr>
            <w:r>
              <w:rPr>
                <w:rFonts w:hint="eastAsia" w:ascii="宋体" w:hAnsi="宋体" w:cs="宋体"/>
                <w:kern w:val="0"/>
                <w:sz w:val="24"/>
              </w:rPr>
              <w:t>2、如发生任何因供应商及其雇员原因造成的数据泄露，供应商承担全部责任。</w:t>
            </w:r>
          </w:p>
        </w:tc>
      </w:tr>
    </w:tbl>
    <w:p w14:paraId="7662289D">
      <w:pPr>
        <w:rPr>
          <w:rFonts w:hint="eastAsia" w:ascii="宋体" w:hAnsi="宋体" w:cs="宋体"/>
          <w:b/>
          <w:bCs/>
          <w:kern w:val="0"/>
          <w:sz w:val="24"/>
        </w:rPr>
      </w:pPr>
      <w:r>
        <w:rPr>
          <w:rFonts w:hint="eastAsia" w:ascii="宋体" w:hAnsi="宋体" w:cs="宋体"/>
          <w:b/>
          <w:bCs/>
          <w:kern w:val="0"/>
          <w:sz w:val="24"/>
        </w:rPr>
        <w:br w:type="page"/>
      </w:r>
    </w:p>
    <w:p w14:paraId="2A103FFE">
      <w:pPr>
        <w:numPr>
          <w:ilvl w:val="0"/>
          <w:numId w:val="4"/>
        </w:numPr>
        <w:adjustRightInd/>
        <w:spacing w:line="360" w:lineRule="auto"/>
        <w:rPr>
          <w:rFonts w:hint="eastAsia" w:ascii="宋体" w:hAnsi="宋体" w:cs="宋体"/>
          <w:b/>
          <w:sz w:val="24"/>
        </w:rPr>
      </w:pPr>
      <w:r>
        <w:rPr>
          <w:rFonts w:hint="eastAsia" w:ascii="宋体" w:hAnsi="宋体" w:cs="宋体"/>
          <w:b/>
          <w:sz w:val="24"/>
        </w:rPr>
        <w:t>改造内容</w:t>
      </w:r>
    </w:p>
    <w:p w14:paraId="6CB81B3C">
      <w:pPr>
        <w:numPr>
          <w:numId w:val="0"/>
        </w:numPr>
        <w:adjustRightInd/>
        <w:spacing w:line="360" w:lineRule="auto"/>
        <w:rPr>
          <w:rFonts w:hint="default" w:ascii="宋体" w:hAnsi="宋体" w:eastAsia="宋体" w:cs="宋体"/>
          <w:b/>
          <w:sz w:val="24"/>
          <w:lang w:val="en-US" w:eastAsia="zh-CN"/>
        </w:rPr>
      </w:pPr>
      <w:r>
        <w:rPr>
          <w:rFonts w:hint="eastAsia" w:ascii="宋体" w:hAnsi="宋体" w:cs="宋体"/>
          <w:b/>
          <w:sz w:val="24"/>
          <w:lang w:val="en-US" w:eastAsia="zh-CN"/>
        </w:rPr>
        <w:t>1、改造清单</w:t>
      </w:r>
    </w:p>
    <w:tbl>
      <w:tblPr>
        <w:tblStyle w:val="63"/>
        <w:tblW w:w="451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42"/>
        <w:gridCol w:w="4415"/>
        <w:gridCol w:w="883"/>
        <w:gridCol w:w="1222"/>
      </w:tblGrid>
      <w:tr w14:paraId="0D37B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E280D11">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2879" w:type="pct"/>
            <w:tcBorders>
              <w:tl2br w:val="nil"/>
              <w:tr2bl w:val="nil"/>
            </w:tcBorders>
            <w:shd w:val="clear" w:color="auto" w:fill="auto"/>
            <w:vAlign w:val="center"/>
          </w:tcPr>
          <w:p w14:paraId="26A90C5D">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产品名称</w:t>
            </w:r>
          </w:p>
        </w:tc>
        <w:tc>
          <w:tcPr>
            <w:tcW w:w="576" w:type="pct"/>
            <w:tcBorders>
              <w:tl2br w:val="nil"/>
              <w:tr2bl w:val="nil"/>
            </w:tcBorders>
            <w:shd w:val="clear" w:color="auto" w:fill="auto"/>
            <w:vAlign w:val="center"/>
          </w:tcPr>
          <w:p w14:paraId="0C633906">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797" w:type="pct"/>
            <w:tcBorders>
              <w:tl2br w:val="nil"/>
              <w:tr2bl w:val="nil"/>
            </w:tcBorders>
            <w:shd w:val="clear" w:color="auto" w:fill="auto"/>
            <w:vAlign w:val="center"/>
          </w:tcPr>
          <w:p w14:paraId="32E23371">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r>
      <w:tr w14:paraId="43960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08942FED">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宁海县桃源中学</w:t>
            </w:r>
            <w:r>
              <w:rPr>
                <w:rFonts w:hint="eastAsia" w:ascii="宋体" w:hAnsi="宋体" w:eastAsia="宋体" w:cs="宋体"/>
                <w:b/>
                <w:bCs/>
                <w:color w:val="000000"/>
                <w:kern w:val="0"/>
                <w:sz w:val="20"/>
                <w:szCs w:val="20"/>
                <w:lang w:eastAsia="zh-CN" w:bidi="ar"/>
              </w:rPr>
              <w:t>辛岭</w:t>
            </w:r>
            <w:r>
              <w:rPr>
                <w:rFonts w:hint="eastAsia" w:ascii="宋体" w:hAnsi="宋体" w:eastAsia="宋体" w:cs="宋体"/>
                <w:b/>
                <w:bCs/>
                <w:color w:val="000000"/>
                <w:kern w:val="0"/>
                <w:sz w:val="20"/>
                <w:szCs w:val="20"/>
                <w:lang w:bidi="ar"/>
              </w:rPr>
              <w:t>校区网络改造</w:t>
            </w:r>
          </w:p>
        </w:tc>
        <w:tc>
          <w:tcPr>
            <w:tcW w:w="576" w:type="pct"/>
            <w:tcBorders>
              <w:tl2br w:val="nil"/>
              <w:tr2bl w:val="nil"/>
            </w:tcBorders>
            <w:shd w:val="clear" w:color="auto" w:fill="auto"/>
            <w:vAlign w:val="center"/>
          </w:tcPr>
          <w:p w14:paraId="638BCD10">
            <w:pPr>
              <w:adjustRightInd/>
              <w:jc w:val="center"/>
              <w:rPr>
                <w:rFonts w:hint="eastAsia" w:ascii="宋体" w:hAnsi="宋体" w:eastAsia="宋体" w:cs="宋体"/>
                <w:b/>
                <w:bCs/>
                <w:color w:val="000000"/>
                <w:sz w:val="20"/>
                <w:szCs w:val="20"/>
              </w:rPr>
            </w:pPr>
          </w:p>
        </w:tc>
        <w:tc>
          <w:tcPr>
            <w:tcW w:w="797" w:type="pct"/>
            <w:tcBorders>
              <w:tl2br w:val="nil"/>
              <w:tr2bl w:val="nil"/>
            </w:tcBorders>
            <w:shd w:val="clear" w:color="auto" w:fill="auto"/>
            <w:vAlign w:val="center"/>
          </w:tcPr>
          <w:p w14:paraId="67E43CD2">
            <w:pPr>
              <w:adjustRightInd/>
              <w:jc w:val="center"/>
              <w:rPr>
                <w:rFonts w:hint="eastAsia" w:ascii="宋体" w:hAnsi="宋体" w:eastAsia="宋体" w:cs="宋体"/>
                <w:b/>
                <w:bCs/>
                <w:color w:val="000000"/>
                <w:sz w:val="20"/>
                <w:szCs w:val="20"/>
              </w:rPr>
            </w:pPr>
          </w:p>
        </w:tc>
      </w:tr>
      <w:tr w14:paraId="26B8C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2167A940">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一、综合布线</w:t>
            </w:r>
          </w:p>
        </w:tc>
        <w:tc>
          <w:tcPr>
            <w:tcW w:w="576" w:type="pct"/>
            <w:tcBorders>
              <w:tl2br w:val="nil"/>
              <w:tr2bl w:val="nil"/>
            </w:tcBorders>
            <w:shd w:val="clear" w:color="auto" w:fill="auto"/>
            <w:vAlign w:val="center"/>
          </w:tcPr>
          <w:p w14:paraId="5693CC40">
            <w:pPr>
              <w:adjustRightInd/>
              <w:jc w:val="center"/>
              <w:rPr>
                <w:rFonts w:hint="eastAsia" w:ascii="宋体" w:hAnsi="宋体" w:eastAsia="宋体" w:cs="宋体"/>
                <w:b/>
                <w:bCs/>
                <w:color w:val="000000"/>
                <w:sz w:val="20"/>
                <w:szCs w:val="20"/>
              </w:rPr>
            </w:pPr>
          </w:p>
        </w:tc>
        <w:tc>
          <w:tcPr>
            <w:tcW w:w="797" w:type="pct"/>
            <w:tcBorders>
              <w:tl2br w:val="nil"/>
              <w:tr2bl w:val="nil"/>
            </w:tcBorders>
            <w:shd w:val="clear" w:color="auto" w:fill="auto"/>
            <w:vAlign w:val="center"/>
          </w:tcPr>
          <w:p w14:paraId="3A1A6AB5">
            <w:pPr>
              <w:adjustRightInd/>
              <w:jc w:val="center"/>
              <w:rPr>
                <w:rFonts w:hint="eastAsia" w:ascii="宋体" w:hAnsi="宋体" w:eastAsia="宋体" w:cs="宋体"/>
                <w:b/>
                <w:bCs/>
                <w:color w:val="000000"/>
                <w:sz w:val="20"/>
                <w:szCs w:val="20"/>
              </w:rPr>
            </w:pPr>
          </w:p>
        </w:tc>
      </w:tr>
      <w:tr w14:paraId="0A10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5F389D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auto"/>
            <w:vAlign w:val="center"/>
          </w:tcPr>
          <w:p w14:paraId="7F2B742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6类非屏蔽模块</w:t>
            </w:r>
          </w:p>
        </w:tc>
        <w:tc>
          <w:tcPr>
            <w:tcW w:w="576" w:type="pct"/>
            <w:tcBorders>
              <w:tl2br w:val="nil"/>
              <w:tr2bl w:val="nil"/>
            </w:tcBorders>
            <w:shd w:val="clear" w:color="auto" w:fill="auto"/>
            <w:vAlign w:val="center"/>
          </w:tcPr>
          <w:p w14:paraId="1FBF554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84</w:t>
            </w:r>
          </w:p>
        </w:tc>
        <w:tc>
          <w:tcPr>
            <w:tcW w:w="797" w:type="pct"/>
            <w:tcBorders>
              <w:tl2br w:val="nil"/>
              <w:tr2bl w:val="nil"/>
            </w:tcBorders>
            <w:shd w:val="clear" w:color="auto" w:fill="auto"/>
            <w:vAlign w:val="center"/>
          </w:tcPr>
          <w:p w14:paraId="41BDFB3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41562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69DA40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auto"/>
            <w:vAlign w:val="center"/>
          </w:tcPr>
          <w:p w14:paraId="6F768DF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单孔信息面板</w:t>
            </w:r>
          </w:p>
        </w:tc>
        <w:tc>
          <w:tcPr>
            <w:tcW w:w="576" w:type="pct"/>
            <w:tcBorders>
              <w:tl2br w:val="nil"/>
              <w:tr2bl w:val="nil"/>
            </w:tcBorders>
            <w:shd w:val="clear" w:color="auto" w:fill="auto"/>
            <w:vAlign w:val="center"/>
          </w:tcPr>
          <w:p w14:paraId="484AB74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97" w:type="pct"/>
            <w:tcBorders>
              <w:tl2br w:val="nil"/>
              <w:tr2bl w:val="nil"/>
            </w:tcBorders>
            <w:shd w:val="clear" w:color="auto" w:fill="auto"/>
            <w:vAlign w:val="center"/>
          </w:tcPr>
          <w:p w14:paraId="02A3A27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724DB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063224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auto"/>
            <w:vAlign w:val="center"/>
          </w:tcPr>
          <w:p w14:paraId="29A2193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双孔信息面板</w:t>
            </w:r>
          </w:p>
        </w:tc>
        <w:tc>
          <w:tcPr>
            <w:tcW w:w="576" w:type="pct"/>
            <w:tcBorders>
              <w:tl2br w:val="nil"/>
              <w:tr2bl w:val="nil"/>
            </w:tcBorders>
            <w:shd w:val="clear" w:color="auto" w:fill="auto"/>
            <w:vAlign w:val="center"/>
          </w:tcPr>
          <w:p w14:paraId="0A0CB61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40</w:t>
            </w:r>
          </w:p>
        </w:tc>
        <w:tc>
          <w:tcPr>
            <w:tcW w:w="797" w:type="pct"/>
            <w:tcBorders>
              <w:tl2br w:val="nil"/>
              <w:tr2bl w:val="nil"/>
            </w:tcBorders>
            <w:shd w:val="clear" w:color="auto" w:fill="auto"/>
            <w:vAlign w:val="center"/>
          </w:tcPr>
          <w:p w14:paraId="09B9C44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7A61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A0D392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auto"/>
            <w:vAlign w:val="center"/>
          </w:tcPr>
          <w:p w14:paraId="696883B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配套底盒</w:t>
            </w:r>
          </w:p>
        </w:tc>
        <w:tc>
          <w:tcPr>
            <w:tcW w:w="576" w:type="pct"/>
            <w:tcBorders>
              <w:tl2br w:val="nil"/>
              <w:tr2bl w:val="nil"/>
            </w:tcBorders>
            <w:shd w:val="clear" w:color="auto" w:fill="auto"/>
            <w:vAlign w:val="center"/>
          </w:tcPr>
          <w:p w14:paraId="32CC027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44</w:t>
            </w:r>
          </w:p>
        </w:tc>
        <w:tc>
          <w:tcPr>
            <w:tcW w:w="797" w:type="pct"/>
            <w:tcBorders>
              <w:tl2br w:val="nil"/>
              <w:tr2bl w:val="nil"/>
            </w:tcBorders>
            <w:shd w:val="clear" w:color="auto" w:fill="auto"/>
            <w:vAlign w:val="center"/>
          </w:tcPr>
          <w:p w14:paraId="1D10A69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1B170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BEC7D6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244FBEA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6类RJ45跳线，3米</w:t>
            </w:r>
          </w:p>
        </w:tc>
        <w:tc>
          <w:tcPr>
            <w:tcW w:w="576" w:type="pct"/>
            <w:tcBorders>
              <w:tl2br w:val="nil"/>
              <w:tr2bl w:val="nil"/>
            </w:tcBorders>
            <w:shd w:val="clear" w:color="auto" w:fill="auto"/>
            <w:vAlign w:val="center"/>
          </w:tcPr>
          <w:p w14:paraId="43CC01B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797" w:type="pct"/>
            <w:tcBorders>
              <w:tl2br w:val="nil"/>
              <w:tr2bl w:val="nil"/>
            </w:tcBorders>
            <w:shd w:val="clear" w:color="auto" w:fill="auto"/>
            <w:vAlign w:val="center"/>
          </w:tcPr>
          <w:p w14:paraId="4A6E25D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r>
      <w:tr w14:paraId="4BD9C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2F1BA9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18122D7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6类非屏蔽双绞线</w:t>
            </w:r>
          </w:p>
        </w:tc>
        <w:tc>
          <w:tcPr>
            <w:tcW w:w="576" w:type="pct"/>
            <w:tcBorders>
              <w:tl2br w:val="nil"/>
              <w:tr2bl w:val="nil"/>
            </w:tcBorders>
            <w:shd w:val="clear" w:color="auto" w:fill="auto"/>
            <w:vAlign w:val="center"/>
          </w:tcPr>
          <w:p w14:paraId="7BFA2F6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797" w:type="pct"/>
            <w:tcBorders>
              <w:tl2br w:val="nil"/>
              <w:tr2bl w:val="nil"/>
            </w:tcBorders>
            <w:shd w:val="clear" w:color="auto" w:fill="auto"/>
            <w:vAlign w:val="center"/>
          </w:tcPr>
          <w:p w14:paraId="5373CC3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305米/箱</w:t>
            </w:r>
          </w:p>
        </w:tc>
      </w:tr>
      <w:tr w14:paraId="1C881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A5126A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879" w:type="pct"/>
            <w:tcBorders>
              <w:tl2br w:val="nil"/>
              <w:tr2bl w:val="nil"/>
            </w:tcBorders>
            <w:shd w:val="clear" w:color="auto" w:fill="auto"/>
            <w:vAlign w:val="center"/>
          </w:tcPr>
          <w:p w14:paraId="0A6F703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室外6芯单模光缆</w:t>
            </w:r>
          </w:p>
        </w:tc>
        <w:tc>
          <w:tcPr>
            <w:tcW w:w="576" w:type="pct"/>
            <w:tcBorders>
              <w:tl2br w:val="nil"/>
              <w:tr2bl w:val="nil"/>
            </w:tcBorders>
            <w:shd w:val="clear" w:color="auto" w:fill="auto"/>
            <w:vAlign w:val="center"/>
          </w:tcPr>
          <w:p w14:paraId="151A04A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100</w:t>
            </w:r>
          </w:p>
        </w:tc>
        <w:tc>
          <w:tcPr>
            <w:tcW w:w="797" w:type="pct"/>
            <w:tcBorders>
              <w:tl2br w:val="nil"/>
              <w:tr2bl w:val="nil"/>
            </w:tcBorders>
            <w:shd w:val="clear" w:color="auto" w:fill="auto"/>
            <w:vAlign w:val="center"/>
          </w:tcPr>
          <w:p w14:paraId="548BCFB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32CA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27929A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879" w:type="pct"/>
            <w:tcBorders>
              <w:tl2br w:val="nil"/>
              <w:tr2bl w:val="nil"/>
            </w:tcBorders>
            <w:shd w:val="clear" w:color="auto" w:fill="auto"/>
            <w:vAlign w:val="center"/>
          </w:tcPr>
          <w:p w14:paraId="758A070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桥架</w:t>
            </w:r>
          </w:p>
        </w:tc>
        <w:tc>
          <w:tcPr>
            <w:tcW w:w="576" w:type="pct"/>
            <w:tcBorders>
              <w:tl2br w:val="nil"/>
              <w:tr2bl w:val="nil"/>
            </w:tcBorders>
            <w:shd w:val="clear" w:color="auto" w:fill="auto"/>
            <w:vAlign w:val="center"/>
          </w:tcPr>
          <w:p w14:paraId="371BE5C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797" w:type="pct"/>
            <w:tcBorders>
              <w:tl2br w:val="nil"/>
              <w:tr2bl w:val="nil"/>
            </w:tcBorders>
            <w:shd w:val="clear" w:color="auto" w:fill="auto"/>
            <w:vAlign w:val="center"/>
          </w:tcPr>
          <w:p w14:paraId="7966487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2025C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09F1F5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2879" w:type="pct"/>
            <w:tcBorders>
              <w:tl2br w:val="nil"/>
              <w:tr2bl w:val="nil"/>
            </w:tcBorders>
            <w:shd w:val="clear" w:color="auto" w:fill="auto"/>
            <w:vAlign w:val="center"/>
          </w:tcPr>
          <w:p w14:paraId="09A8369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桥架辅材</w:t>
            </w:r>
          </w:p>
        </w:tc>
        <w:tc>
          <w:tcPr>
            <w:tcW w:w="576" w:type="pct"/>
            <w:tcBorders>
              <w:tl2br w:val="nil"/>
              <w:tr2bl w:val="nil"/>
            </w:tcBorders>
            <w:shd w:val="clear" w:color="auto" w:fill="auto"/>
            <w:vAlign w:val="center"/>
          </w:tcPr>
          <w:p w14:paraId="6C98B9F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210</w:t>
            </w:r>
          </w:p>
        </w:tc>
        <w:tc>
          <w:tcPr>
            <w:tcW w:w="797" w:type="pct"/>
            <w:tcBorders>
              <w:tl2br w:val="nil"/>
              <w:tr2bl w:val="nil"/>
            </w:tcBorders>
            <w:shd w:val="clear" w:color="auto" w:fill="auto"/>
            <w:vAlign w:val="center"/>
          </w:tcPr>
          <w:p w14:paraId="195307C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2614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3194D8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2879" w:type="pct"/>
            <w:tcBorders>
              <w:tl2br w:val="nil"/>
              <w:tr2bl w:val="nil"/>
            </w:tcBorders>
            <w:shd w:val="clear" w:color="auto" w:fill="auto"/>
            <w:vAlign w:val="center"/>
          </w:tcPr>
          <w:p w14:paraId="3ED21A1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塑料线槽</w:t>
            </w:r>
          </w:p>
        </w:tc>
        <w:tc>
          <w:tcPr>
            <w:tcW w:w="576" w:type="pct"/>
            <w:tcBorders>
              <w:tl2br w:val="nil"/>
              <w:tr2bl w:val="nil"/>
            </w:tcBorders>
            <w:shd w:val="clear" w:color="auto" w:fill="auto"/>
            <w:vAlign w:val="center"/>
          </w:tcPr>
          <w:p w14:paraId="4443E0A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620</w:t>
            </w:r>
          </w:p>
        </w:tc>
        <w:tc>
          <w:tcPr>
            <w:tcW w:w="797" w:type="pct"/>
            <w:tcBorders>
              <w:tl2br w:val="nil"/>
              <w:tr2bl w:val="nil"/>
            </w:tcBorders>
            <w:shd w:val="clear" w:color="auto" w:fill="auto"/>
            <w:vAlign w:val="center"/>
          </w:tcPr>
          <w:p w14:paraId="5F209CF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36355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8EC16A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2879" w:type="pct"/>
            <w:tcBorders>
              <w:tl2br w:val="nil"/>
              <w:tr2bl w:val="nil"/>
            </w:tcBorders>
            <w:shd w:val="clear" w:color="auto" w:fill="auto"/>
            <w:vAlign w:val="center"/>
          </w:tcPr>
          <w:p w14:paraId="7FA505A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PVC25塑料管</w:t>
            </w:r>
          </w:p>
        </w:tc>
        <w:tc>
          <w:tcPr>
            <w:tcW w:w="576" w:type="pct"/>
            <w:tcBorders>
              <w:tl2br w:val="nil"/>
              <w:tr2bl w:val="nil"/>
            </w:tcBorders>
            <w:shd w:val="clear" w:color="auto" w:fill="auto"/>
            <w:vAlign w:val="center"/>
          </w:tcPr>
          <w:p w14:paraId="6195A39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80</w:t>
            </w:r>
          </w:p>
        </w:tc>
        <w:tc>
          <w:tcPr>
            <w:tcW w:w="797" w:type="pct"/>
            <w:tcBorders>
              <w:tl2br w:val="nil"/>
              <w:tr2bl w:val="nil"/>
            </w:tcBorders>
            <w:shd w:val="clear" w:color="auto" w:fill="auto"/>
            <w:vAlign w:val="center"/>
          </w:tcPr>
          <w:p w14:paraId="0848A4D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7C56F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A0F15A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2879" w:type="pct"/>
            <w:tcBorders>
              <w:tl2br w:val="nil"/>
              <w:tr2bl w:val="nil"/>
            </w:tcBorders>
            <w:shd w:val="clear" w:color="auto" w:fill="auto"/>
            <w:vAlign w:val="center"/>
          </w:tcPr>
          <w:p w14:paraId="1A16724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SC32室外管路</w:t>
            </w:r>
          </w:p>
        </w:tc>
        <w:tc>
          <w:tcPr>
            <w:tcW w:w="576" w:type="pct"/>
            <w:tcBorders>
              <w:tl2br w:val="nil"/>
              <w:tr2bl w:val="nil"/>
            </w:tcBorders>
            <w:shd w:val="clear" w:color="auto" w:fill="auto"/>
            <w:vAlign w:val="center"/>
          </w:tcPr>
          <w:p w14:paraId="0A2128F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797" w:type="pct"/>
            <w:tcBorders>
              <w:tl2br w:val="nil"/>
              <w:tr2bl w:val="nil"/>
            </w:tcBorders>
            <w:shd w:val="clear" w:color="auto" w:fill="auto"/>
            <w:vAlign w:val="center"/>
          </w:tcPr>
          <w:p w14:paraId="384833D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5DE82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CFC89E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13</w:t>
            </w:r>
          </w:p>
        </w:tc>
        <w:tc>
          <w:tcPr>
            <w:tcW w:w="2879" w:type="pct"/>
            <w:tcBorders>
              <w:tl2br w:val="nil"/>
              <w:tr2bl w:val="nil"/>
            </w:tcBorders>
            <w:shd w:val="clear" w:color="auto" w:fill="auto"/>
            <w:vAlign w:val="center"/>
          </w:tcPr>
          <w:p w14:paraId="5F13F80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PE32室外管路</w:t>
            </w:r>
          </w:p>
        </w:tc>
        <w:tc>
          <w:tcPr>
            <w:tcW w:w="576" w:type="pct"/>
            <w:tcBorders>
              <w:tl2br w:val="nil"/>
              <w:tr2bl w:val="nil"/>
            </w:tcBorders>
            <w:shd w:val="clear" w:color="auto" w:fill="auto"/>
            <w:vAlign w:val="center"/>
          </w:tcPr>
          <w:p w14:paraId="65A2004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797" w:type="pct"/>
            <w:tcBorders>
              <w:tl2br w:val="nil"/>
              <w:tr2bl w:val="nil"/>
            </w:tcBorders>
            <w:shd w:val="clear" w:color="auto" w:fill="auto"/>
            <w:vAlign w:val="center"/>
          </w:tcPr>
          <w:p w14:paraId="2740B30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7EA91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0C542C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2879" w:type="pct"/>
            <w:tcBorders>
              <w:tl2br w:val="nil"/>
              <w:tr2bl w:val="nil"/>
            </w:tcBorders>
            <w:shd w:val="clear" w:color="auto" w:fill="auto"/>
            <w:vAlign w:val="center"/>
          </w:tcPr>
          <w:p w14:paraId="0678D66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窨井</w:t>
            </w:r>
          </w:p>
        </w:tc>
        <w:tc>
          <w:tcPr>
            <w:tcW w:w="576" w:type="pct"/>
            <w:tcBorders>
              <w:tl2br w:val="nil"/>
              <w:tr2bl w:val="nil"/>
            </w:tcBorders>
            <w:shd w:val="clear" w:color="auto" w:fill="auto"/>
            <w:vAlign w:val="center"/>
          </w:tcPr>
          <w:p w14:paraId="6830FB0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797" w:type="pct"/>
            <w:tcBorders>
              <w:tl2br w:val="nil"/>
              <w:tr2bl w:val="nil"/>
            </w:tcBorders>
            <w:shd w:val="clear" w:color="auto" w:fill="auto"/>
            <w:vAlign w:val="center"/>
          </w:tcPr>
          <w:p w14:paraId="2027212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29792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5719F5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2879" w:type="pct"/>
            <w:tcBorders>
              <w:tl2br w:val="nil"/>
              <w:tr2bl w:val="nil"/>
            </w:tcBorders>
            <w:shd w:val="clear" w:color="auto" w:fill="auto"/>
            <w:vAlign w:val="center"/>
          </w:tcPr>
          <w:p w14:paraId="4960A00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波纹软管</w:t>
            </w:r>
          </w:p>
        </w:tc>
        <w:tc>
          <w:tcPr>
            <w:tcW w:w="576" w:type="pct"/>
            <w:tcBorders>
              <w:tl2br w:val="nil"/>
              <w:tr2bl w:val="nil"/>
            </w:tcBorders>
            <w:shd w:val="clear" w:color="auto" w:fill="auto"/>
            <w:vAlign w:val="center"/>
          </w:tcPr>
          <w:p w14:paraId="26EF327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14</w:t>
            </w:r>
          </w:p>
        </w:tc>
        <w:tc>
          <w:tcPr>
            <w:tcW w:w="797" w:type="pct"/>
            <w:tcBorders>
              <w:tl2br w:val="nil"/>
              <w:tr2bl w:val="nil"/>
            </w:tcBorders>
            <w:shd w:val="clear" w:color="auto" w:fill="auto"/>
            <w:vAlign w:val="center"/>
          </w:tcPr>
          <w:p w14:paraId="70D3F39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米</w:t>
            </w:r>
          </w:p>
        </w:tc>
      </w:tr>
      <w:tr w14:paraId="70CB3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4FCF4A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16</w:t>
            </w:r>
          </w:p>
        </w:tc>
        <w:tc>
          <w:tcPr>
            <w:tcW w:w="2879" w:type="pct"/>
            <w:tcBorders>
              <w:tl2br w:val="nil"/>
              <w:tr2bl w:val="nil"/>
            </w:tcBorders>
            <w:shd w:val="clear" w:color="auto" w:fill="auto"/>
            <w:vAlign w:val="center"/>
          </w:tcPr>
          <w:p w14:paraId="20D5392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12U机柜</w:t>
            </w:r>
          </w:p>
        </w:tc>
        <w:tc>
          <w:tcPr>
            <w:tcW w:w="576" w:type="pct"/>
            <w:tcBorders>
              <w:tl2br w:val="nil"/>
              <w:tr2bl w:val="nil"/>
            </w:tcBorders>
            <w:shd w:val="clear" w:color="auto" w:fill="auto"/>
            <w:vAlign w:val="center"/>
          </w:tcPr>
          <w:p w14:paraId="27E79E6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61A7A85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5986D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F6F963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2879" w:type="pct"/>
            <w:tcBorders>
              <w:tl2br w:val="nil"/>
              <w:tr2bl w:val="nil"/>
            </w:tcBorders>
            <w:shd w:val="clear" w:color="auto" w:fill="auto"/>
            <w:vAlign w:val="center"/>
          </w:tcPr>
          <w:p w14:paraId="10168E6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8口光纤终端盒</w:t>
            </w:r>
          </w:p>
        </w:tc>
        <w:tc>
          <w:tcPr>
            <w:tcW w:w="576" w:type="pct"/>
            <w:tcBorders>
              <w:tl2br w:val="nil"/>
              <w:tr2bl w:val="nil"/>
            </w:tcBorders>
            <w:shd w:val="clear" w:color="auto" w:fill="auto"/>
            <w:vAlign w:val="center"/>
          </w:tcPr>
          <w:p w14:paraId="0A9B9CD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3D9925D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76D8B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968584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2879" w:type="pct"/>
            <w:tcBorders>
              <w:tl2br w:val="nil"/>
              <w:tr2bl w:val="nil"/>
            </w:tcBorders>
            <w:shd w:val="clear" w:color="auto" w:fill="auto"/>
            <w:vAlign w:val="center"/>
          </w:tcPr>
          <w:p w14:paraId="4D2308C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24口光纤配线架</w:t>
            </w:r>
          </w:p>
        </w:tc>
        <w:tc>
          <w:tcPr>
            <w:tcW w:w="576" w:type="pct"/>
            <w:tcBorders>
              <w:tl2br w:val="nil"/>
              <w:tr2bl w:val="nil"/>
            </w:tcBorders>
            <w:shd w:val="clear" w:color="auto" w:fill="auto"/>
            <w:vAlign w:val="center"/>
          </w:tcPr>
          <w:p w14:paraId="0FFA213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7ECA7C4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668E4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5B3D69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19</w:t>
            </w:r>
          </w:p>
        </w:tc>
        <w:tc>
          <w:tcPr>
            <w:tcW w:w="2879" w:type="pct"/>
            <w:tcBorders>
              <w:tl2br w:val="nil"/>
              <w:tr2bl w:val="nil"/>
            </w:tcBorders>
            <w:shd w:val="clear" w:color="auto" w:fill="auto"/>
            <w:vAlign w:val="center"/>
          </w:tcPr>
          <w:p w14:paraId="52E9BD5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理线器</w:t>
            </w:r>
          </w:p>
        </w:tc>
        <w:tc>
          <w:tcPr>
            <w:tcW w:w="576" w:type="pct"/>
            <w:tcBorders>
              <w:tl2br w:val="nil"/>
              <w:tr2bl w:val="nil"/>
            </w:tcBorders>
            <w:shd w:val="clear" w:color="auto" w:fill="auto"/>
            <w:vAlign w:val="center"/>
          </w:tcPr>
          <w:p w14:paraId="69955AF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97" w:type="pct"/>
            <w:tcBorders>
              <w:tl2br w:val="nil"/>
              <w:tr2bl w:val="nil"/>
            </w:tcBorders>
            <w:shd w:val="clear" w:color="auto" w:fill="auto"/>
            <w:vAlign w:val="center"/>
          </w:tcPr>
          <w:p w14:paraId="7D0A511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06C89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4B307B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2879" w:type="pct"/>
            <w:tcBorders>
              <w:tl2br w:val="nil"/>
              <w:tr2bl w:val="nil"/>
            </w:tcBorders>
            <w:shd w:val="clear" w:color="auto" w:fill="auto"/>
            <w:vAlign w:val="center"/>
          </w:tcPr>
          <w:p w14:paraId="76B3BAB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SC适配器</w:t>
            </w:r>
          </w:p>
        </w:tc>
        <w:tc>
          <w:tcPr>
            <w:tcW w:w="576" w:type="pct"/>
            <w:tcBorders>
              <w:tl2br w:val="nil"/>
              <w:tr2bl w:val="nil"/>
            </w:tcBorders>
            <w:shd w:val="clear" w:color="auto" w:fill="auto"/>
            <w:vAlign w:val="center"/>
          </w:tcPr>
          <w:p w14:paraId="7735C3E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797" w:type="pct"/>
            <w:tcBorders>
              <w:tl2br w:val="nil"/>
              <w:tr2bl w:val="nil"/>
            </w:tcBorders>
            <w:shd w:val="clear" w:color="auto" w:fill="auto"/>
            <w:vAlign w:val="center"/>
          </w:tcPr>
          <w:p w14:paraId="5EDF730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61F0B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CBB707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21</w:t>
            </w:r>
          </w:p>
        </w:tc>
        <w:tc>
          <w:tcPr>
            <w:tcW w:w="2879" w:type="pct"/>
            <w:tcBorders>
              <w:tl2br w:val="nil"/>
              <w:tr2bl w:val="nil"/>
            </w:tcBorders>
            <w:shd w:val="clear" w:color="auto" w:fill="auto"/>
            <w:vAlign w:val="center"/>
          </w:tcPr>
          <w:p w14:paraId="4A2FD0D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SC单模尾纤，1米</w:t>
            </w:r>
          </w:p>
        </w:tc>
        <w:tc>
          <w:tcPr>
            <w:tcW w:w="576" w:type="pct"/>
            <w:tcBorders>
              <w:tl2br w:val="nil"/>
              <w:tr2bl w:val="nil"/>
            </w:tcBorders>
            <w:shd w:val="clear" w:color="auto" w:fill="auto"/>
            <w:vAlign w:val="center"/>
          </w:tcPr>
          <w:p w14:paraId="1515D8E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797" w:type="pct"/>
            <w:tcBorders>
              <w:tl2br w:val="nil"/>
              <w:tr2bl w:val="nil"/>
            </w:tcBorders>
            <w:shd w:val="clear" w:color="auto" w:fill="auto"/>
            <w:vAlign w:val="center"/>
          </w:tcPr>
          <w:p w14:paraId="184C08F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r>
      <w:tr w14:paraId="405C4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02452E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2879" w:type="pct"/>
            <w:tcBorders>
              <w:tl2br w:val="nil"/>
              <w:tr2bl w:val="nil"/>
            </w:tcBorders>
            <w:shd w:val="clear" w:color="auto" w:fill="auto"/>
            <w:vAlign w:val="center"/>
          </w:tcPr>
          <w:p w14:paraId="1EA5504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SC-LC双芯单模跳线，2米</w:t>
            </w:r>
          </w:p>
        </w:tc>
        <w:tc>
          <w:tcPr>
            <w:tcW w:w="576" w:type="pct"/>
            <w:tcBorders>
              <w:tl2br w:val="nil"/>
              <w:tr2bl w:val="nil"/>
            </w:tcBorders>
            <w:shd w:val="clear" w:color="auto" w:fill="auto"/>
            <w:vAlign w:val="center"/>
          </w:tcPr>
          <w:p w14:paraId="7D07736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73875E2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根</w:t>
            </w:r>
          </w:p>
        </w:tc>
      </w:tr>
      <w:tr w14:paraId="31A41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7F01A8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2879" w:type="pct"/>
            <w:tcBorders>
              <w:tl2br w:val="nil"/>
              <w:tr2bl w:val="nil"/>
            </w:tcBorders>
            <w:shd w:val="clear" w:color="auto" w:fill="auto"/>
            <w:vAlign w:val="center"/>
          </w:tcPr>
          <w:p w14:paraId="44906B5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光纤熔接</w:t>
            </w:r>
          </w:p>
        </w:tc>
        <w:tc>
          <w:tcPr>
            <w:tcW w:w="576" w:type="pct"/>
            <w:tcBorders>
              <w:tl2br w:val="nil"/>
              <w:tr2bl w:val="nil"/>
            </w:tcBorders>
            <w:shd w:val="clear" w:color="auto" w:fill="auto"/>
            <w:vAlign w:val="center"/>
          </w:tcPr>
          <w:p w14:paraId="62CB79A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797" w:type="pct"/>
            <w:tcBorders>
              <w:tl2br w:val="nil"/>
              <w:tr2bl w:val="nil"/>
            </w:tcBorders>
            <w:shd w:val="clear" w:color="auto" w:fill="auto"/>
            <w:vAlign w:val="center"/>
          </w:tcPr>
          <w:p w14:paraId="0FC3622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点</w:t>
            </w:r>
          </w:p>
        </w:tc>
      </w:tr>
      <w:tr w14:paraId="7F485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96E7B0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w:t>
            </w:r>
          </w:p>
        </w:tc>
        <w:tc>
          <w:tcPr>
            <w:tcW w:w="2879" w:type="pct"/>
            <w:tcBorders>
              <w:tl2br w:val="nil"/>
              <w:tr2bl w:val="nil"/>
            </w:tcBorders>
            <w:shd w:val="clear" w:color="auto" w:fill="auto"/>
            <w:vAlign w:val="center"/>
          </w:tcPr>
          <w:p w14:paraId="13D851B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42U机柜</w:t>
            </w:r>
          </w:p>
        </w:tc>
        <w:tc>
          <w:tcPr>
            <w:tcW w:w="576" w:type="pct"/>
            <w:tcBorders>
              <w:tl2br w:val="nil"/>
              <w:tr2bl w:val="nil"/>
            </w:tcBorders>
            <w:shd w:val="clear" w:color="auto" w:fill="auto"/>
            <w:vAlign w:val="center"/>
          </w:tcPr>
          <w:p w14:paraId="6AF8835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5F88852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1396A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43D57123">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二、计算机网络系统</w:t>
            </w:r>
          </w:p>
        </w:tc>
        <w:tc>
          <w:tcPr>
            <w:tcW w:w="576" w:type="pct"/>
            <w:tcBorders>
              <w:tl2br w:val="nil"/>
              <w:tr2bl w:val="nil"/>
            </w:tcBorders>
            <w:shd w:val="clear" w:color="auto" w:fill="auto"/>
            <w:vAlign w:val="center"/>
          </w:tcPr>
          <w:p w14:paraId="01A1450A">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1B2A52C5">
            <w:pPr>
              <w:adjustRightInd/>
              <w:jc w:val="center"/>
              <w:rPr>
                <w:rFonts w:hint="eastAsia" w:ascii="宋体" w:hAnsi="宋体" w:eastAsia="宋体" w:cs="宋体"/>
                <w:color w:val="000000"/>
                <w:sz w:val="20"/>
                <w:szCs w:val="20"/>
              </w:rPr>
            </w:pPr>
          </w:p>
        </w:tc>
      </w:tr>
      <w:tr w14:paraId="5A8B7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1EB507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auto"/>
            <w:vAlign w:val="center"/>
          </w:tcPr>
          <w:p w14:paraId="14FED8D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小型学校核心交换机</w:t>
            </w:r>
          </w:p>
        </w:tc>
        <w:tc>
          <w:tcPr>
            <w:tcW w:w="576" w:type="pct"/>
            <w:tcBorders>
              <w:tl2br w:val="nil"/>
              <w:tr2bl w:val="nil"/>
            </w:tcBorders>
            <w:shd w:val="clear" w:color="auto" w:fill="auto"/>
            <w:vAlign w:val="center"/>
          </w:tcPr>
          <w:p w14:paraId="30C9398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0378D6D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1430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278CC0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auto"/>
            <w:vAlign w:val="center"/>
          </w:tcPr>
          <w:p w14:paraId="3642CEF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48口交换机</w:t>
            </w:r>
          </w:p>
        </w:tc>
        <w:tc>
          <w:tcPr>
            <w:tcW w:w="576" w:type="pct"/>
            <w:tcBorders>
              <w:tl2br w:val="nil"/>
              <w:tr2bl w:val="nil"/>
            </w:tcBorders>
            <w:shd w:val="clear" w:color="auto" w:fill="auto"/>
            <w:vAlign w:val="center"/>
          </w:tcPr>
          <w:p w14:paraId="6ACDB7E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6381BEC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23AC0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4C0777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auto"/>
            <w:vAlign w:val="center"/>
          </w:tcPr>
          <w:p w14:paraId="68C177B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24口poe交换机</w:t>
            </w:r>
          </w:p>
        </w:tc>
        <w:tc>
          <w:tcPr>
            <w:tcW w:w="576" w:type="pct"/>
            <w:tcBorders>
              <w:tl2br w:val="nil"/>
              <w:tr2bl w:val="nil"/>
            </w:tcBorders>
            <w:shd w:val="clear" w:color="auto" w:fill="auto"/>
            <w:vAlign w:val="center"/>
          </w:tcPr>
          <w:p w14:paraId="7B8919F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124E92D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2F80D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58CB47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auto"/>
            <w:vAlign w:val="center"/>
          </w:tcPr>
          <w:p w14:paraId="66921E3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万兆光模块</w:t>
            </w:r>
          </w:p>
        </w:tc>
        <w:tc>
          <w:tcPr>
            <w:tcW w:w="576" w:type="pct"/>
            <w:tcBorders>
              <w:tl2br w:val="nil"/>
              <w:tr2bl w:val="nil"/>
            </w:tcBorders>
            <w:shd w:val="clear" w:color="auto" w:fill="auto"/>
            <w:vAlign w:val="center"/>
          </w:tcPr>
          <w:p w14:paraId="7228A6A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6F5D166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3F2AB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FE3018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293EB0A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auto"/>
            <w:vAlign w:val="center"/>
          </w:tcPr>
          <w:p w14:paraId="269274C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18</w:t>
            </w:r>
          </w:p>
        </w:tc>
        <w:tc>
          <w:tcPr>
            <w:tcW w:w="797" w:type="pct"/>
            <w:tcBorders>
              <w:tl2br w:val="nil"/>
              <w:tr2bl w:val="nil"/>
            </w:tcBorders>
            <w:shd w:val="clear" w:color="auto" w:fill="auto"/>
            <w:vAlign w:val="center"/>
          </w:tcPr>
          <w:p w14:paraId="321021E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8B98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984B8E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55683C3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auto"/>
            <w:vAlign w:val="center"/>
          </w:tcPr>
          <w:p w14:paraId="5285C03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97" w:type="pct"/>
            <w:tcBorders>
              <w:tl2br w:val="nil"/>
              <w:tr2bl w:val="nil"/>
            </w:tcBorders>
            <w:shd w:val="clear" w:color="auto" w:fill="auto"/>
            <w:vAlign w:val="center"/>
          </w:tcPr>
          <w:p w14:paraId="1C2319C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B24A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D9414E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879" w:type="pct"/>
            <w:tcBorders>
              <w:tl2br w:val="nil"/>
              <w:tr2bl w:val="nil"/>
            </w:tcBorders>
            <w:shd w:val="clear" w:color="auto" w:fill="auto"/>
            <w:vAlign w:val="center"/>
          </w:tcPr>
          <w:p w14:paraId="7868A51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千兆光模块</w:t>
            </w:r>
          </w:p>
        </w:tc>
        <w:tc>
          <w:tcPr>
            <w:tcW w:w="576" w:type="pct"/>
            <w:tcBorders>
              <w:tl2br w:val="nil"/>
              <w:tr2bl w:val="nil"/>
            </w:tcBorders>
            <w:shd w:val="clear" w:color="auto" w:fill="auto"/>
            <w:vAlign w:val="center"/>
          </w:tcPr>
          <w:p w14:paraId="6BC381C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0876BBB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个</w:t>
            </w:r>
          </w:p>
        </w:tc>
      </w:tr>
      <w:tr w14:paraId="46B72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499290EC">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二、集成及安装</w:t>
            </w:r>
          </w:p>
        </w:tc>
        <w:tc>
          <w:tcPr>
            <w:tcW w:w="576" w:type="pct"/>
            <w:tcBorders>
              <w:tl2br w:val="nil"/>
              <w:tr2bl w:val="nil"/>
            </w:tcBorders>
            <w:shd w:val="clear" w:color="auto" w:fill="auto"/>
            <w:vAlign w:val="center"/>
          </w:tcPr>
          <w:p w14:paraId="30C8E883">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396E394B">
            <w:pPr>
              <w:adjustRightInd/>
              <w:jc w:val="center"/>
              <w:rPr>
                <w:rFonts w:hint="eastAsia" w:ascii="宋体" w:hAnsi="宋体" w:eastAsia="宋体" w:cs="宋体"/>
                <w:color w:val="000000"/>
                <w:sz w:val="20"/>
                <w:szCs w:val="20"/>
              </w:rPr>
            </w:pPr>
          </w:p>
        </w:tc>
      </w:tr>
      <w:tr w14:paraId="3AD41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C33889C">
            <w:pPr>
              <w:widowControl/>
              <w:adjustRightInd/>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2879" w:type="pct"/>
            <w:tcBorders>
              <w:tl2br w:val="nil"/>
              <w:tr2bl w:val="nil"/>
            </w:tcBorders>
            <w:shd w:val="clear" w:color="auto" w:fill="auto"/>
            <w:vAlign w:val="center"/>
          </w:tcPr>
          <w:p w14:paraId="65B3EF8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安装集成费</w:t>
            </w:r>
          </w:p>
        </w:tc>
        <w:tc>
          <w:tcPr>
            <w:tcW w:w="576" w:type="pct"/>
            <w:tcBorders>
              <w:tl2br w:val="nil"/>
              <w:tr2bl w:val="nil"/>
            </w:tcBorders>
            <w:shd w:val="clear" w:color="auto" w:fill="auto"/>
            <w:vAlign w:val="center"/>
          </w:tcPr>
          <w:p w14:paraId="1D1943C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5A1F38E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3CA26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6F11E17D">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宁海县星海小学线网络改造</w:t>
            </w:r>
          </w:p>
        </w:tc>
        <w:tc>
          <w:tcPr>
            <w:tcW w:w="576" w:type="pct"/>
            <w:tcBorders>
              <w:tl2br w:val="nil"/>
              <w:tr2bl w:val="nil"/>
            </w:tcBorders>
            <w:shd w:val="clear" w:color="auto" w:fill="auto"/>
            <w:vAlign w:val="center"/>
          </w:tcPr>
          <w:p w14:paraId="53A71EE5">
            <w:pPr>
              <w:adjustRightInd/>
              <w:jc w:val="center"/>
              <w:rPr>
                <w:rFonts w:hint="eastAsia" w:ascii="宋体" w:hAnsi="宋体" w:eastAsia="宋体" w:cs="宋体"/>
                <w:b/>
                <w:bCs/>
                <w:color w:val="000000"/>
                <w:sz w:val="20"/>
                <w:szCs w:val="20"/>
              </w:rPr>
            </w:pPr>
          </w:p>
        </w:tc>
        <w:tc>
          <w:tcPr>
            <w:tcW w:w="797" w:type="pct"/>
            <w:tcBorders>
              <w:tl2br w:val="nil"/>
              <w:tr2bl w:val="nil"/>
            </w:tcBorders>
            <w:shd w:val="clear" w:color="auto" w:fill="auto"/>
            <w:vAlign w:val="center"/>
          </w:tcPr>
          <w:p w14:paraId="2685EAE4">
            <w:pPr>
              <w:adjustRightInd/>
              <w:jc w:val="center"/>
              <w:rPr>
                <w:rFonts w:hint="eastAsia" w:ascii="宋体" w:hAnsi="宋体" w:eastAsia="宋体" w:cs="宋体"/>
                <w:b/>
                <w:bCs/>
                <w:color w:val="000000"/>
                <w:sz w:val="20"/>
                <w:szCs w:val="20"/>
              </w:rPr>
            </w:pPr>
          </w:p>
        </w:tc>
      </w:tr>
      <w:tr w14:paraId="20F2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0885EBC1">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一、无线网络设备</w:t>
            </w:r>
          </w:p>
        </w:tc>
        <w:tc>
          <w:tcPr>
            <w:tcW w:w="576" w:type="pct"/>
            <w:tcBorders>
              <w:tl2br w:val="nil"/>
              <w:tr2bl w:val="nil"/>
            </w:tcBorders>
            <w:shd w:val="clear" w:color="auto" w:fill="auto"/>
            <w:vAlign w:val="center"/>
          </w:tcPr>
          <w:p w14:paraId="04E8DE9A">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044FBD9E">
            <w:pPr>
              <w:adjustRightInd/>
              <w:jc w:val="center"/>
              <w:rPr>
                <w:rFonts w:hint="eastAsia" w:ascii="宋体" w:hAnsi="宋体" w:eastAsia="宋体" w:cs="宋体"/>
                <w:color w:val="000000"/>
                <w:sz w:val="20"/>
                <w:szCs w:val="20"/>
              </w:rPr>
            </w:pPr>
          </w:p>
        </w:tc>
      </w:tr>
      <w:tr w14:paraId="2AC6E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C4373B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D7D7D7"/>
            <w:vAlign w:val="center"/>
          </w:tcPr>
          <w:p w14:paraId="5CD115E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FFFFFF"/>
            <w:vAlign w:val="center"/>
          </w:tcPr>
          <w:p w14:paraId="08CEF85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797" w:type="pct"/>
            <w:tcBorders>
              <w:tl2br w:val="nil"/>
              <w:tr2bl w:val="nil"/>
            </w:tcBorders>
            <w:shd w:val="clear" w:color="auto" w:fill="FFFFFF"/>
            <w:vAlign w:val="center"/>
          </w:tcPr>
          <w:p w14:paraId="23EF783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0C8E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8AFFC4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D7D7D7"/>
            <w:vAlign w:val="center"/>
          </w:tcPr>
          <w:p w14:paraId="2112031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FFFFFF"/>
            <w:vAlign w:val="center"/>
          </w:tcPr>
          <w:p w14:paraId="423F4BF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52</w:t>
            </w:r>
          </w:p>
        </w:tc>
        <w:tc>
          <w:tcPr>
            <w:tcW w:w="797" w:type="pct"/>
            <w:tcBorders>
              <w:tl2br w:val="nil"/>
              <w:tr2bl w:val="nil"/>
            </w:tcBorders>
            <w:shd w:val="clear" w:color="auto" w:fill="FFFFFF"/>
            <w:vAlign w:val="center"/>
          </w:tcPr>
          <w:p w14:paraId="5A81B64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2E43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290AC3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auto"/>
            <w:vAlign w:val="center"/>
          </w:tcPr>
          <w:p w14:paraId="5354576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高密AP</w:t>
            </w:r>
          </w:p>
        </w:tc>
        <w:tc>
          <w:tcPr>
            <w:tcW w:w="576" w:type="pct"/>
            <w:tcBorders>
              <w:tl2br w:val="nil"/>
              <w:tr2bl w:val="nil"/>
            </w:tcBorders>
            <w:shd w:val="clear" w:color="auto" w:fill="auto"/>
            <w:vAlign w:val="center"/>
          </w:tcPr>
          <w:p w14:paraId="6CDFAC1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3</w:t>
            </w:r>
          </w:p>
        </w:tc>
        <w:tc>
          <w:tcPr>
            <w:tcW w:w="797" w:type="pct"/>
            <w:tcBorders>
              <w:tl2br w:val="nil"/>
              <w:tr2bl w:val="nil"/>
            </w:tcBorders>
            <w:shd w:val="clear" w:color="auto" w:fill="FFFFFF"/>
            <w:vAlign w:val="center"/>
          </w:tcPr>
          <w:p w14:paraId="2AEFF28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8A03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F85BF3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D7D7D7"/>
            <w:vAlign w:val="center"/>
          </w:tcPr>
          <w:p w14:paraId="11D0437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shd w:val="clear" w:fill="D7D7D7"/>
                <w:lang w:bidi="ar"/>
              </w:rPr>
              <w:t>24口POE交换机</w:t>
            </w:r>
          </w:p>
        </w:tc>
        <w:tc>
          <w:tcPr>
            <w:tcW w:w="576" w:type="pct"/>
            <w:tcBorders>
              <w:tl2br w:val="nil"/>
              <w:tr2bl w:val="nil"/>
            </w:tcBorders>
            <w:shd w:val="clear" w:color="auto" w:fill="FFFFFF"/>
            <w:vAlign w:val="center"/>
          </w:tcPr>
          <w:p w14:paraId="467091F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797" w:type="pct"/>
            <w:tcBorders>
              <w:tl2br w:val="nil"/>
              <w:tr2bl w:val="nil"/>
            </w:tcBorders>
            <w:shd w:val="clear" w:color="auto" w:fill="FFFFFF"/>
            <w:vAlign w:val="center"/>
          </w:tcPr>
          <w:p w14:paraId="7EE6400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1F314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1ACFBF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4AFD944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8口交换机</w:t>
            </w:r>
          </w:p>
        </w:tc>
        <w:tc>
          <w:tcPr>
            <w:tcW w:w="576" w:type="pct"/>
            <w:tcBorders>
              <w:tl2br w:val="nil"/>
              <w:tr2bl w:val="nil"/>
            </w:tcBorders>
            <w:shd w:val="clear" w:color="auto" w:fill="FFFFFF"/>
            <w:vAlign w:val="center"/>
          </w:tcPr>
          <w:p w14:paraId="67CB040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FFFFFF"/>
            <w:vAlign w:val="center"/>
          </w:tcPr>
          <w:p w14:paraId="214B944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60522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42D515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4499C71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576" w:type="pct"/>
            <w:tcBorders>
              <w:tl2br w:val="nil"/>
              <w:tr2bl w:val="nil"/>
            </w:tcBorders>
            <w:shd w:val="clear" w:color="auto" w:fill="FFFFFF"/>
            <w:vAlign w:val="center"/>
          </w:tcPr>
          <w:p w14:paraId="08A6B9D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797" w:type="pct"/>
            <w:tcBorders>
              <w:tl2br w:val="nil"/>
              <w:tr2bl w:val="nil"/>
            </w:tcBorders>
            <w:shd w:val="clear" w:color="auto" w:fill="FFFFFF"/>
            <w:vAlign w:val="center"/>
          </w:tcPr>
          <w:p w14:paraId="56A3ED0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r>
      <w:tr w14:paraId="4B6B1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22906A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879" w:type="pct"/>
            <w:tcBorders>
              <w:tl2br w:val="nil"/>
              <w:tr2bl w:val="nil"/>
            </w:tcBorders>
            <w:shd w:val="clear" w:color="auto" w:fill="auto"/>
            <w:vAlign w:val="center"/>
          </w:tcPr>
          <w:p w14:paraId="4535FC8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6类非屏蔽双绞线</w:t>
            </w:r>
          </w:p>
        </w:tc>
        <w:tc>
          <w:tcPr>
            <w:tcW w:w="576" w:type="pct"/>
            <w:tcBorders>
              <w:tl2br w:val="nil"/>
              <w:tr2bl w:val="nil"/>
            </w:tcBorders>
            <w:shd w:val="clear" w:color="auto" w:fill="auto"/>
            <w:vAlign w:val="center"/>
          </w:tcPr>
          <w:p w14:paraId="4824532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17</w:t>
            </w:r>
          </w:p>
        </w:tc>
        <w:tc>
          <w:tcPr>
            <w:tcW w:w="797" w:type="pct"/>
            <w:tcBorders>
              <w:tl2br w:val="nil"/>
              <w:tr2bl w:val="nil"/>
            </w:tcBorders>
            <w:shd w:val="clear" w:color="auto" w:fill="auto"/>
            <w:vAlign w:val="center"/>
          </w:tcPr>
          <w:p w14:paraId="1EFFD6D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r>
      <w:tr w14:paraId="433C0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5887BE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8</w:t>
            </w:r>
          </w:p>
        </w:tc>
        <w:tc>
          <w:tcPr>
            <w:tcW w:w="2879" w:type="pct"/>
            <w:tcBorders>
              <w:tl2br w:val="nil"/>
              <w:tr2bl w:val="nil"/>
            </w:tcBorders>
            <w:shd w:val="clear" w:color="auto" w:fill="auto"/>
            <w:vAlign w:val="center"/>
          </w:tcPr>
          <w:p w14:paraId="3CEAF55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安装辅材</w:t>
            </w:r>
          </w:p>
        </w:tc>
        <w:tc>
          <w:tcPr>
            <w:tcW w:w="576" w:type="pct"/>
            <w:tcBorders>
              <w:tl2br w:val="nil"/>
              <w:tr2bl w:val="nil"/>
            </w:tcBorders>
            <w:shd w:val="clear" w:color="auto" w:fill="auto"/>
            <w:vAlign w:val="center"/>
          </w:tcPr>
          <w:p w14:paraId="7D0693C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6709F49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61C84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34C3C51D">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二、集成及安装</w:t>
            </w:r>
          </w:p>
        </w:tc>
        <w:tc>
          <w:tcPr>
            <w:tcW w:w="576" w:type="pct"/>
            <w:tcBorders>
              <w:tl2br w:val="nil"/>
              <w:tr2bl w:val="nil"/>
            </w:tcBorders>
            <w:shd w:val="clear" w:color="auto" w:fill="auto"/>
            <w:vAlign w:val="center"/>
          </w:tcPr>
          <w:p w14:paraId="13D69CF8">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3A25E4D8">
            <w:pPr>
              <w:adjustRightInd/>
              <w:jc w:val="center"/>
              <w:rPr>
                <w:rFonts w:hint="eastAsia" w:ascii="宋体" w:hAnsi="宋体" w:eastAsia="宋体" w:cs="宋体"/>
                <w:color w:val="000000"/>
                <w:sz w:val="20"/>
                <w:szCs w:val="20"/>
              </w:rPr>
            </w:pPr>
          </w:p>
        </w:tc>
      </w:tr>
      <w:tr w14:paraId="4EB10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E03327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auto"/>
            <w:vAlign w:val="center"/>
          </w:tcPr>
          <w:p w14:paraId="1A5FBE8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安装集成费</w:t>
            </w:r>
          </w:p>
        </w:tc>
        <w:tc>
          <w:tcPr>
            <w:tcW w:w="576" w:type="pct"/>
            <w:tcBorders>
              <w:tl2br w:val="nil"/>
              <w:tr2bl w:val="nil"/>
            </w:tcBorders>
            <w:shd w:val="clear" w:color="auto" w:fill="auto"/>
            <w:vAlign w:val="center"/>
          </w:tcPr>
          <w:p w14:paraId="023396E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35E8FEB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3E746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29E21E33">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宁海县第一职业中学线网络改造</w:t>
            </w:r>
          </w:p>
        </w:tc>
        <w:tc>
          <w:tcPr>
            <w:tcW w:w="576" w:type="pct"/>
            <w:tcBorders>
              <w:tl2br w:val="nil"/>
              <w:tr2bl w:val="nil"/>
            </w:tcBorders>
            <w:shd w:val="clear" w:color="auto" w:fill="auto"/>
            <w:vAlign w:val="center"/>
          </w:tcPr>
          <w:p w14:paraId="2737B606">
            <w:pPr>
              <w:adjustRightInd/>
              <w:jc w:val="center"/>
              <w:rPr>
                <w:rFonts w:hint="eastAsia" w:ascii="宋体" w:hAnsi="宋体" w:eastAsia="宋体" w:cs="宋体"/>
                <w:b/>
                <w:bCs/>
                <w:color w:val="000000"/>
                <w:sz w:val="20"/>
                <w:szCs w:val="20"/>
              </w:rPr>
            </w:pPr>
          </w:p>
        </w:tc>
        <w:tc>
          <w:tcPr>
            <w:tcW w:w="797" w:type="pct"/>
            <w:tcBorders>
              <w:tl2br w:val="nil"/>
              <w:tr2bl w:val="nil"/>
            </w:tcBorders>
            <w:shd w:val="clear" w:color="auto" w:fill="auto"/>
            <w:vAlign w:val="center"/>
          </w:tcPr>
          <w:p w14:paraId="273300FC">
            <w:pPr>
              <w:adjustRightInd/>
              <w:jc w:val="center"/>
              <w:rPr>
                <w:rFonts w:hint="eastAsia" w:ascii="宋体" w:hAnsi="宋体" w:eastAsia="宋体" w:cs="宋体"/>
                <w:b/>
                <w:bCs/>
                <w:color w:val="000000"/>
                <w:sz w:val="20"/>
                <w:szCs w:val="20"/>
              </w:rPr>
            </w:pPr>
          </w:p>
        </w:tc>
      </w:tr>
      <w:tr w14:paraId="17C28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6774DC8A">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一、行政楼设备清单</w:t>
            </w:r>
          </w:p>
        </w:tc>
        <w:tc>
          <w:tcPr>
            <w:tcW w:w="576" w:type="pct"/>
            <w:tcBorders>
              <w:tl2br w:val="nil"/>
              <w:tr2bl w:val="nil"/>
            </w:tcBorders>
            <w:shd w:val="clear" w:color="auto" w:fill="auto"/>
            <w:vAlign w:val="center"/>
          </w:tcPr>
          <w:p w14:paraId="48B87771">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35AB6831">
            <w:pPr>
              <w:adjustRightInd/>
              <w:jc w:val="center"/>
              <w:rPr>
                <w:rFonts w:hint="eastAsia" w:ascii="宋体" w:hAnsi="宋体" w:eastAsia="宋体" w:cs="宋体"/>
                <w:color w:val="000000"/>
                <w:sz w:val="20"/>
                <w:szCs w:val="20"/>
              </w:rPr>
            </w:pPr>
          </w:p>
        </w:tc>
      </w:tr>
      <w:tr w14:paraId="32D73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CBDC6B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D7D7D7"/>
            <w:vAlign w:val="center"/>
          </w:tcPr>
          <w:p w14:paraId="60C9FAE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auto"/>
            <w:vAlign w:val="center"/>
          </w:tcPr>
          <w:p w14:paraId="6792023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97" w:type="pct"/>
            <w:tcBorders>
              <w:tl2br w:val="nil"/>
              <w:tr2bl w:val="nil"/>
            </w:tcBorders>
            <w:shd w:val="clear" w:color="auto" w:fill="auto"/>
            <w:vAlign w:val="center"/>
          </w:tcPr>
          <w:p w14:paraId="7B9567C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0C30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A28234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D7D7D7"/>
            <w:vAlign w:val="center"/>
          </w:tcPr>
          <w:p w14:paraId="28BBCA2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auto"/>
            <w:vAlign w:val="center"/>
          </w:tcPr>
          <w:p w14:paraId="14FAF3A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23</w:t>
            </w:r>
          </w:p>
        </w:tc>
        <w:tc>
          <w:tcPr>
            <w:tcW w:w="797" w:type="pct"/>
            <w:tcBorders>
              <w:tl2br w:val="nil"/>
              <w:tr2bl w:val="nil"/>
            </w:tcBorders>
            <w:shd w:val="clear" w:color="auto" w:fill="auto"/>
            <w:vAlign w:val="center"/>
          </w:tcPr>
          <w:p w14:paraId="4D78DCD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1AE74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424BC9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D7D7D7"/>
            <w:vAlign w:val="center"/>
          </w:tcPr>
          <w:p w14:paraId="057C6E6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24口POE交换机</w:t>
            </w:r>
          </w:p>
        </w:tc>
        <w:tc>
          <w:tcPr>
            <w:tcW w:w="576" w:type="pct"/>
            <w:tcBorders>
              <w:tl2br w:val="nil"/>
              <w:tr2bl w:val="nil"/>
            </w:tcBorders>
            <w:shd w:val="clear" w:color="auto" w:fill="auto"/>
            <w:vAlign w:val="center"/>
          </w:tcPr>
          <w:p w14:paraId="77BEBC9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3533FF0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9D71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D224BC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auto"/>
            <w:vAlign w:val="center"/>
          </w:tcPr>
          <w:p w14:paraId="369F32C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576" w:type="pct"/>
            <w:tcBorders>
              <w:tl2br w:val="nil"/>
              <w:tr2bl w:val="nil"/>
            </w:tcBorders>
            <w:shd w:val="clear" w:color="auto" w:fill="auto"/>
            <w:vAlign w:val="center"/>
          </w:tcPr>
          <w:p w14:paraId="09C54C7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3407801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r>
      <w:tr w14:paraId="654C2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22F6A7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63F7969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6类非屏蔽双绞线</w:t>
            </w:r>
          </w:p>
        </w:tc>
        <w:tc>
          <w:tcPr>
            <w:tcW w:w="576" w:type="pct"/>
            <w:tcBorders>
              <w:tl2br w:val="nil"/>
              <w:tr2bl w:val="nil"/>
            </w:tcBorders>
            <w:shd w:val="clear" w:color="auto" w:fill="auto"/>
            <w:vAlign w:val="center"/>
          </w:tcPr>
          <w:p w14:paraId="0A1B0A9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97" w:type="pct"/>
            <w:tcBorders>
              <w:tl2br w:val="nil"/>
              <w:tr2bl w:val="nil"/>
            </w:tcBorders>
            <w:shd w:val="clear" w:color="auto" w:fill="auto"/>
            <w:vAlign w:val="center"/>
          </w:tcPr>
          <w:p w14:paraId="45286C2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r>
      <w:tr w14:paraId="3B7AB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65D047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2315F5A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安装辅材</w:t>
            </w:r>
          </w:p>
        </w:tc>
        <w:tc>
          <w:tcPr>
            <w:tcW w:w="576" w:type="pct"/>
            <w:tcBorders>
              <w:tl2br w:val="nil"/>
              <w:tr2bl w:val="nil"/>
            </w:tcBorders>
            <w:shd w:val="clear" w:color="auto" w:fill="auto"/>
            <w:vAlign w:val="center"/>
          </w:tcPr>
          <w:p w14:paraId="23930BB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0B51A30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1C7CF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18286CF7">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二、教学楼1设备清单</w:t>
            </w:r>
          </w:p>
        </w:tc>
        <w:tc>
          <w:tcPr>
            <w:tcW w:w="576" w:type="pct"/>
            <w:tcBorders>
              <w:tl2br w:val="nil"/>
              <w:tr2bl w:val="nil"/>
            </w:tcBorders>
            <w:shd w:val="clear" w:color="auto" w:fill="auto"/>
            <w:vAlign w:val="center"/>
          </w:tcPr>
          <w:p w14:paraId="2859E5EA">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3075723A">
            <w:pPr>
              <w:adjustRightInd/>
              <w:jc w:val="center"/>
              <w:rPr>
                <w:rFonts w:hint="eastAsia" w:ascii="宋体" w:hAnsi="宋体" w:eastAsia="宋体" w:cs="宋体"/>
                <w:color w:val="000000"/>
                <w:sz w:val="20"/>
                <w:szCs w:val="20"/>
              </w:rPr>
            </w:pPr>
          </w:p>
        </w:tc>
      </w:tr>
      <w:tr w14:paraId="40088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5F8947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D7D7D7"/>
            <w:vAlign w:val="center"/>
          </w:tcPr>
          <w:p w14:paraId="3F733F7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auto"/>
            <w:vAlign w:val="center"/>
          </w:tcPr>
          <w:p w14:paraId="6F92450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797" w:type="pct"/>
            <w:tcBorders>
              <w:tl2br w:val="nil"/>
              <w:tr2bl w:val="nil"/>
            </w:tcBorders>
            <w:shd w:val="clear" w:color="auto" w:fill="auto"/>
            <w:vAlign w:val="center"/>
          </w:tcPr>
          <w:p w14:paraId="6FEC6E2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E095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3139E8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D7D7D7"/>
            <w:vAlign w:val="center"/>
          </w:tcPr>
          <w:p w14:paraId="66A7D29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auto"/>
            <w:vAlign w:val="center"/>
          </w:tcPr>
          <w:p w14:paraId="7A64AA3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797" w:type="pct"/>
            <w:tcBorders>
              <w:tl2br w:val="nil"/>
              <w:tr2bl w:val="nil"/>
            </w:tcBorders>
            <w:shd w:val="clear" w:color="auto" w:fill="auto"/>
            <w:vAlign w:val="center"/>
          </w:tcPr>
          <w:p w14:paraId="17DBD61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3F22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4A4BB8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D7D7D7"/>
            <w:vAlign w:val="center"/>
          </w:tcPr>
          <w:p w14:paraId="506D043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24口POE交换机</w:t>
            </w:r>
          </w:p>
        </w:tc>
        <w:tc>
          <w:tcPr>
            <w:tcW w:w="576" w:type="pct"/>
            <w:tcBorders>
              <w:tl2br w:val="nil"/>
              <w:tr2bl w:val="nil"/>
            </w:tcBorders>
            <w:shd w:val="clear" w:color="auto" w:fill="auto"/>
            <w:vAlign w:val="center"/>
          </w:tcPr>
          <w:p w14:paraId="2C73374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6D52D33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E2D3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B9B542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auto"/>
            <w:vAlign w:val="center"/>
          </w:tcPr>
          <w:p w14:paraId="2FA3B57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576" w:type="pct"/>
            <w:tcBorders>
              <w:tl2br w:val="nil"/>
              <w:tr2bl w:val="nil"/>
            </w:tcBorders>
            <w:shd w:val="clear" w:color="auto" w:fill="auto"/>
            <w:vAlign w:val="center"/>
          </w:tcPr>
          <w:p w14:paraId="532AEFC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0AAFECA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r>
      <w:tr w14:paraId="608C5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72B74E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42DB8C4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6类非屏蔽双绞线</w:t>
            </w:r>
          </w:p>
        </w:tc>
        <w:tc>
          <w:tcPr>
            <w:tcW w:w="576" w:type="pct"/>
            <w:tcBorders>
              <w:tl2br w:val="nil"/>
              <w:tr2bl w:val="nil"/>
            </w:tcBorders>
            <w:shd w:val="clear" w:color="auto" w:fill="auto"/>
            <w:vAlign w:val="center"/>
          </w:tcPr>
          <w:p w14:paraId="646E10A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97" w:type="pct"/>
            <w:tcBorders>
              <w:tl2br w:val="nil"/>
              <w:tr2bl w:val="nil"/>
            </w:tcBorders>
            <w:shd w:val="clear" w:color="auto" w:fill="auto"/>
            <w:vAlign w:val="center"/>
          </w:tcPr>
          <w:p w14:paraId="3A732C7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r>
      <w:tr w14:paraId="2F2F2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A55785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570E15B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安装辅材</w:t>
            </w:r>
          </w:p>
        </w:tc>
        <w:tc>
          <w:tcPr>
            <w:tcW w:w="576" w:type="pct"/>
            <w:tcBorders>
              <w:tl2br w:val="nil"/>
              <w:tr2bl w:val="nil"/>
            </w:tcBorders>
            <w:shd w:val="clear" w:color="auto" w:fill="auto"/>
            <w:vAlign w:val="center"/>
          </w:tcPr>
          <w:p w14:paraId="38E791F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5F2505D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2E6C4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7913C302">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三、教学楼2设备清单</w:t>
            </w:r>
          </w:p>
        </w:tc>
        <w:tc>
          <w:tcPr>
            <w:tcW w:w="576" w:type="pct"/>
            <w:tcBorders>
              <w:tl2br w:val="nil"/>
              <w:tr2bl w:val="nil"/>
            </w:tcBorders>
            <w:shd w:val="clear" w:color="auto" w:fill="auto"/>
            <w:vAlign w:val="center"/>
          </w:tcPr>
          <w:p w14:paraId="083E218D">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7D19B12A">
            <w:pPr>
              <w:adjustRightInd/>
              <w:jc w:val="center"/>
              <w:rPr>
                <w:rFonts w:hint="eastAsia" w:ascii="宋体" w:hAnsi="宋体" w:eastAsia="宋体" w:cs="宋体"/>
                <w:color w:val="000000"/>
                <w:sz w:val="20"/>
                <w:szCs w:val="20"/>
              </w:rPr>
            </w:pPr>
          </w:p>
        </w:tc>
      </w:tr>
      <w:tr w14:paraId="4D041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8E63D3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D7D7D7"/>
            <w:vAlign w:val="center"/>
          </w:tcPr>
          <w:p w14:paraId="1595061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auto"/>
            <w:vAlign w:val="center"/>
          </w:tcPr>
          <w:p w14:paraId="1B132B5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10</w:t>
            </w:r>
          </w:p>
        </w:tc>
        <w:tc>
          <w:tcPr>
            <w:tcW w:w="797" w:type="pct"/>
            <w:tcBorders>
              <w:tl2br w:val="nil"/>
              <w:tr2bl w:val="nil"/>
            </w:tcBorders>
            <w:shd w:val="clear" w:color="auto" w:fill="auto"/>
            <w:vAlign w:val="center"/>
          </w:tcPr>
          <w:p w14:paraId="43C10C8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358B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548259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D7D7D7"/>
            <w:vAlign w:val="center"/>
          </w:tcPr>
          <w:p w14:paraId="1320C77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auto"/>
            <w:vAlign w:val="center"/>
          </w:tcPr>
          <w:p w14:paraId="7FCF53E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797" w:type="pct"/>
            <w:tcBorders>
              <w:tl2br w:val="nil"/>
              <w:tr2bl w:val="nil"/>
            </w:tcBorders>
            <w:shd w:val="clear" w:color="auto" w:fill="auto"/>
            <w:vAlign w:val="center"/>
          </w:tcPr>
          <w:p w14:paraId="5FA6400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61B34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111D6C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D7D7D7"/>
            <w:vAlign w:val="center"/>
          </w:tcPr>
          <w:p w14:paraId="30316FC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24口POE交换机</w:t>
            </w:r>
          </w:p>
        </w:tc>
        <w:tc>
          <w:tcPr>
            <w:tcW w:w="576" w:type="pct"/>
            <w:tcBorders>
              <w:tl2br w:val="nil"/>
              <w:tr2bl w:val="nil"/>
            </w:tcBorders>
            <w:shd w:val="clear" w:color="auto" w:fill="auto"/>
            <w:vAlign w:val="center"/>
          </w:tcPr>
          <w:p w14:paraId="6ECED4D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48A6FF0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50ED9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36F153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62AAB36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576" w:type="pct"/>
            <w:tcBorders>
              <w:tl2br w:val="nil"/>
              <w:tr2bl w:val="nil"/>
            </w:tcBorders>
            <w:shd w:val="clear" w:color="auto" w:fill="auto"/>
            <w:vAlign w:val="center"/>
          </w:tcPr>
          <w:p w14:paraId="22673EC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2BAB9F6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r>
      <w:tr w14:paraId="383CD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5A1142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382AB45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6类非屏蔽双绞线</w:t>
            </w:r>
          </w:p>
        </w:tc>
        <w:tc>
          <w:tcPr>
            <w:tcW w:w="576" w:type="pct"/>
            <w:tcBorders>
              <w:tl2br w:val="nil"/>
              <w:tr2bl w:val="nil"/>
            </w:tcBorders>
            <w:shd w:val="clear" w:color="auto" w:fill="auto"/>
            <w:vAlign w:val="center"/>
          </w:tcPr>
          <w:p w14:paraId="5694BD2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97" w:type="pct"/>
            <w:tcBorders>
              <w:tl2br w:val="nil"/>
              <w:tr2bl w:val="nil"/>
            </w:tcBorders>
            <w:shd w:val="clear" w:color="auto" w:fill="auto"/>
            <w:vAlign w:val="center"/>
          </w:tcPr>
          <w:p w14:paraId="5DDA3A3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r>
      <w:tr w14:paraId="5E5A7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302577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879" w:type="pct"/>
            <w:tcBorders>
              <w:tl2br w:val="nil"/>
              <w:tr2bl w:val="nil"/>
            </w:tcBorders>
            <w:shd w:val="clear" w:color="auto" w:fill="auto"/>
            <w:vAlign w:val="center"/>
          </w:tcPr>
          <w:p w14:paraId="3ED96B0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安装辅材</w:t>
            </w:r>
          </w:p>
        </w:tc>
        <w:tc>
          <w:tcPr>
            <w:tcW w:w="576" w:type="pct"/>
            <w:tcBorders>
              <w:tl2br w:val="nil"/>
              <w:tr2bl w:val="nil"/>
            </w:tcBorders>
            <w:shd w:val="clear" w:color="auto" w:fill="auto"/>
            <w:vAlign w:val="center"/>
          </w:tcPr>
          <w:p w14:paraId="3A50A07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32F9693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2E089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02B88E4B">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四、实训楼设备清单</w:t>
            </w:r>
          </w:p>
        </w:tc>
        <w:tc>
          <w:tcPr>
            <w:tcW w:w="576" w:type="pct"/>
            <w:tcBorders>
              <w:tl2br w:val="nil"/>
              <w:tr2bl w:val="nil"/>
            </w:tcBorders>
            <w:shd w:val="clear" w:color="auto" w:fill="auto"/>
            <w:vAlign w:val="center"/>
          </w:tcPr>
          <w:p w14:paraId="623A9358">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5435B83B">
            <w:pPr>
              <w:adjustRightInd/>
              <w:jc w:val="center"/>
              <w:rPr>
                <w:rFonts w:hint="eastAsia" w:ascii="宋体" w:hAnsi="宋体" w:eastAsia="宋体" w:cs="宋体"/>
                <w:color w:val="000000"/>
                <w:sz w:val="20"/>
                <w:szCs w:val="20"/>
              </w:rPr>
            </w:pPr>
          </w:p>
        </w:tc>
      </w:tr>
      <w:tr w14:paraId="1E338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D75DBF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D7D7D7"/>
            <w:vAlign w:val="center"/>
          </w:tcPr>
          <w:p w14:paraId="1779076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auto"/>
            <w:vAlign w:val="center"/>
          </w:tcPr>
          <w:p w14:paraId="45E09AC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15</w:t>
            </w:r>
          </w:p>
        </w:tc>
        <w:tc>
          <w:tcPr>
            <w:tcW w:w="797" w:type="pct"/>
            <w:tcBorders>
              <w:tl2br w:val="nil"/>
              <w:tr2bl w:val="nil"/>
            </w:tcBorders>
            <w:shd w:val="clear" w:color="auto" w:fill="auto"/>
            <w:vAlign w:val="center"/>
          </w:tcPr>
          <w:p w14:paraId="206BD78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6ED46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A926CC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D7D7D7"/>
            <w:vAlign w:val="center"/>
          </w:tcPr>
          <w:p w14:paraId="6A5F20C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auto"/>
            <w:vAlign w:val="center"/>
          </w:tcPr>
          <w:p w14:paraId="196296C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9</w:t>
            </w:r>
          </w:p>
        </w:tc>
        <w:tc>
          <w:tcPr>
            <w:tcW w:w="797" w:type="pct"/>
            <w:tcBorders>
              <w:tl2br w:val="nil"/>
              <w:tr2bl w:val="nil"/>
            </w:tcBorders>
            <w:shd w:val="clear" w:color="auto" w:fill="auto"/>
            <w:vAlign w:val="center"/>
          </w:tcPr>
          <w:p w14:paraId="0FB6E8B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FA60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3854E0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D7D7D7"/>
            <w:vAlign w:val="center"/>
          </w:tcPr>
          <w:p w14:paraId="5045B11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24口POE交换机</w:t>
            </w:r>
          </w:p>
        </w:tc>
        <w:tc>
          <w:tcPr>
            <w:tcW w:w="576" w:type="pct"/>
            <w:tcBorders>
              <w:tl2br w:val="nil"/>
              <w:tr2bl w:val="nil"/>
            </w:tcBorders>
            <w:shd w:val="clear" w:color="auto" w:fill="auto"/>
            <w:vAlign w:val="center"/>
          </w:tcPr>
          <w:p w14:paraId="5BB1B98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29FFCC9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E2BE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FF9A87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auto"/>
            <w:vAlign w:val="center"/>
          </w:tcPr>
          <w:p w14:paraId="7ACEC71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576" w:type="pct"/>
            <w:tcBorders>
              <w:tl2br w:val="nil"/>
              <w:tr2bl w:val="nil"/>
            </w:tcBorders>
            <w:shd w:val="clear" w:color="auto" w:fill="auto"/>
            <w:vAlign w:val="center"/>
          </w:tcPr>
          <w:p w14:paraId="747B953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1C19429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r>
      <w:tr w14:paraId="3633D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673FD8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3E419C3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6类非屏蔽双绞线</w:t>
            </w:r>
          </w:p>
        </w:tc>
        <w:tc>
          <w:tcPr>
            <w:tcW w:w="576" w:type="pct"/>
            <w:tcBorders>
              <w:tl2br w:val="nil"/>
              <w:tr2bl w:val="nil"/>
            </w:tcBorders>
            <w:shd w:val="clear" w:color="auto" w:fill="auto"/>
            <w:vAlign w:val="center"/>
          </w:tcPr>
          <w:p w14:paraId="4D02F78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97" w:type="pct"/>
            <w:tcBorders>
              <w:tl2br w:val="nil"/>
              <w:tr2bl w:val="nil"/>
            </w:tcBorders>
            <w:shd w:val="clear" w:color="auto" w:fill="auto"/>
            <w:vAlign w:val="center"/>
          </w:tcPr>
          <w:p w14:paraId="0624E50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r>
      <w:tr w14:paraId="6E081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565C2A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1A0F25B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安装辅材</w:t>
            </w:r>
          </w:p>
        </w:tc>
        <w:tc>
          <w:tcPr>
            <w:tcW w:w="576" w:type="pct"/>
            <w:tcBorders>
              <w:tl2br w:val="nil"/>
              <w:tr2bl w:val="nil"/>
            </w:tcBorders>
            <w:shd w:val="clear" w:color="auto" w:fill="auto"/>
            <w:vAlign w:val="center"/>
          </w:tcPr>
          <w:p w14:paraId="5E3391D1">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453E908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3113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2F0E437A">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五、图书馆设备清单</w:t>
            </w:r>
          </w:p>
        </w:tc>
        <w:tc>
          <w:tcPr>
            <w:tcW w:w="576" w:type="pct"/>
            <w:tcBorders>
              <w:tl2br w:val="nil"/>
              <w:tr2bl w:val="nil"/>
            </w:tcBorders>
            <w:shd w:val="clear" w:color="auto" w:fill="auto"/>
            <w:vAlign w:val="center"/>
          </w:tcPr>
          <w:p w14:paraId="67CC58FD">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331F9BCC">
            <w:pPr>
              <w:adjustRightInd/>
              <w:jc w:val="center"/>
              <w:rPr>
                <w:rFonts w:hint="eastAsia" w:ascii="宋体" w:hAnsi="宋体" w:eastAsia="宋体" w:cs="宋体"/>
                <w:color w:val="000000"/>
                <w:sz w:val="20"/>
                <w:szCs w:val="20"/>
              </w:rPr>
            </w:pPr>
          </w:p>
        </w:tc>
      </w:tr>
      <w:tr w14:paraId="239E2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2C5B15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D7D7D7"/>
            <w:vAlign w:val="center"/>
          </w:tcPr>
          <w:p w14:paraId="78A8763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auto"/>
            <w:vAlign w:val="center"/>
          </w:tcPr>
          <w:p w14:paraId="45F7EE2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797" w:type="pct"/>
            <w:tcBorders>
              <w:tl2br w:val="nil"/>
              <w:tr2bl w:val="nil"/>
            </w:tcBorders>
            <w:shd w:val="clear" w:color="auto" w:fill="auto"/>
            <w:vAlign w:val="center"/>
          </w:tcPr>
          <w:p w14:paraId="7A1A93D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425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2FEA9AC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D7D7D7"/>
            <w:vAlign w:val="center"/>
          </w:tcPr>
          <w:p w14:paraId="04ADA86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auto"/>
            <w:vAlign w:val="center"/>
          </w:tcPr>
          <w:p w14:paraId="75D2F22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11</w:t>
            </w:r>
          </w:p>
        </w:tc>
        <w:tc>
          <w:tcPr>
            <w:tcW w:w="797" w:type="pct"/>
            <w:tcBorders>
              <w:tl2br w:val="nil"/>
              <w:tr2bl w:val="nil"/>
            </w:tcBorders>
            <w:shd w:val="clear" w:color="auto" w:fill="auto"/>
            <w:vAlign w:val="center"/>
          </w:tcPr>
          <w:p w14:paraId="43C00B4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05E09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68AEBE7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D7D7D7"/>
            <w:vAlign w:val="center"/>
          </w:tcPr>
          <w:p w14:paraId="2DF5AB7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高密AP</w:t>
            </w:r>
          </w:p>
        </w:tc>
        <w:tc>
          <w:tcPr>
            <w:tcW w:w="576" w:type="pct"/>
            <w:tcBorders>
              <w:tl2br w:val="nil"/>
              <w:tr2bl w:val="nil"/>
            </w:tcBorders>
            <w:shd w:val="clear" w:color="auto" w:fill="auto"/>
            <w:vAlign w:val="center"/>
          </w:tcPr>
          <w:p w14:paraId="11D37BF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FFFFFF"/>
            <w:vAlign w:val="center"/>
          </w:tcPr>
          <w:p w14:paraId="7D96DB50">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797E5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35AD995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D7D7D7"/>
            <w:vAlign w:val="center"/>
          </w:tcPr>
          <w:p w14:paraId="706BB17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24口POE交换机</w:t>
            </w:r>
          </w:p>
        </w:tc>
        <w:tc>
          <w:tcPr>
            <w:tcW w:w="576" w:type="pct"/>
            <w:tcBorders>
              <w:tl2br w:val="nil"/>
              <w:tr2bl w:val="nil"/>
            </w:tcBorders>
            <w:shd w:val="clear" w:color="auto" w:fill="auto"/>
            <w:vAlign w:val="center"/>
          </w:tcPr>
          <w:p w14:paraId="2B87CEE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6E731B9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1B26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3B43DC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2879" w:type="pct"/>
            <w:tcBorders>
              <w:tl2br w:val="nil"/>
              <w:tr2bl w:val="nil"/>
            </w:tcBorders>
            <w:shd w:val="clear" w:color="auto" w:fill="auto"/>
            <w:vAlign w:val="center"/>
          </w:tcPr>
          <w:p w14:paraId="17A7BE82">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576" w:type="pct"/>
            <w:tcBorders>
              <w:tl2br w:val="nil"/>
              <w:tr2bl w:val="nil"/>
            </w:tcBorders>
            <w:shd w:val="clear" w:color="auto" w:fill="auto"/>
            <w:vAlign w:val="center"/>
          </w:tcPr>
          <w:p w14:paraId="3D19C43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461F165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r>
      <w:tr w14:paraId="0020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6193F0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2879" w:type="pct"/>
            <w:tcBorders>
              <w:tl2br w:val="nil"/>
              <w:tr2bl w:val="nil"/>
            </w:tcBorders>
            <w:shd w:val="clear" w:color="auto" w:fill="auto"/>
            <w:vAlign w:val="center"/>
          </w:tcPr>
          <w:p w14:paraId="257E62B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6类非屏蔽双绞线</w:t>
            </w:r>
          </w:p>
        </w:tc>
        <w:tc>
          <w:tcPr>
            <w:tcW w:w="576" w:type="pct"/>
            <w:tcBorders>
              <w:tl2br w:val="nil"/>
              <w:tr2bl w:val="nil"/>
            </w:tcBorders>
            <w:shd w:val="clear" w:color="auto" w:fill="auto"/>
            <w:vAlign w:val="center"/>
          </w:tcPr>
          <w:p w14:paraId="2FB9E9C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5</w:t>
            </w:r>
          </w:p>
        </w:tc>
        <w:tc>
          <w:tcPr>
            <w:tcW w:w="797" w:type="pct"/>
            <w:tcBorders>
              <w:tl2br w:val="nil"/>
              <w:tr2bl w:val="nil"/>
            </w:tcBorders>
            <w:shd w:val="clear" w:color="auto" w:fill="auto"/>
            <w:vAlign w:val="center"/>
          </w:tcPr>
          <w:p w14:paraId="44D2654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箱</w:t>
            </w:r>
          </w:p>
        </w:tc>
      </w:tr>
      <w:tr w14:paraId="4D7EE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B00CD9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7</w:t>
            </w:r>
          </w:p>
        </w:tc>
        <w:tc>
          <w:tcPr>
            <w:tcW w:w="2879" w:type="pct"/>
            <w:tcBorders>
              <w:tl2br w:val="nil"/>
              <w:tr2bl w:val="nil"/>
            </w:tcBorders>
            <w:shd w:val="clear" w:color="auto" w:fill="auto"/>
            <w:vAlign w:val="center"/>
          </w:tcPr>
          <w:p w14:paraId="5E8B567F">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安装辅材</w:t>
            </w:r>
          </w:p>
        </w:tc>
        <w:tc>
          <w:tcPr>
            <w:tcW w:w="576" w:type="pct"/>
            <w:tcBorders>
              <w:tl2br w:val="nil"/>
              <w:tr2bl w:val="nil"/>
            </w:tcBorders>
            <w:shd w:val="clear" w:color="auto" w:fill="auto"/>
            <w:vAlign w:val="center"/>
          </w:tcPr>
          <w:p w14:paraId="43D4AEFA">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54B14D1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批</w:t>
            </w:r>
          </w:p>
        </w:tc>
      </w:tr>
      <w:tr w14:paraId="1CA09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72014CA5">
            <w:pPr>
              <w:widowControl/>
              <w:adjustRightInd/>
              <w:jc w:val="center"/>
              <w:textAlignment w:val="center"/>
              <w:rPr>
                <w:rFonts w:hint="eastAsia" w:ascii="宋体" w:hAnsi="宋体" w:eastAsia="宋体" w:cs="宋体"/>
                <w:b/>
                <w:bCs/>
                <w:color w:val="000000"/>
                <w:sz w:val="20"/>
                <w:szCs w:val="20"/>
              </w:rPr>
            </w:pPr>
            <w:r>
              <w:rPr>
                <w:rFonts w:hint="eastAsia" w:ascii="宋体" w:hAnsi="宋体" w:eastAsia="宋体" w:cs="宋体"/>
                <w:b/>
                <w:bCs/>
                <w:color w:val="000000"/>
                <w:kern w:val="0"/>
                <w:sz w:val="20"/>
                <w:szCs w:val="20"/>
                <w:lang w:bidi="ar"/>
              </w:rPr>
              <w:t>六、实习工厂设备清单</w:t>
            </w:r>
          </w:p>
        </w:tc>
        <w:tc>
          <w:tcPr>
            <w:tcW w:w="576" w:type="pct"/>
            <w:tcBorders>
              <w:tl2br w:val="nil"/>
              <w:tr2bl w:val="nil"/>
            </w:tcBorders>
            <w:shd w:val="clear" w:color="auto" w:fill="auto"/>
            <w:vAlign w:val="center"/>
          </w:tcPr>
          <w:p w14:paraId="0FC0C3FA">
            <w:pPr>
              <w:adjustRightInd/>
              <w:jc w:val="center"/>
              <w:rPr>
                <w:rFonts w:hint="eastAsia" w:ascii="宋体" w:hAnsi="宋体" w:eastAsia="宋体" w:cs="宋体"/>
                <w:color w:val="000000"/>
                <w:sz w:val="20"/>
                <w:szCs w:val="20"/>
              </w:rPr>
            </w:pPr>
          </w:p>
        </w:tc>
        <w:tc>
          <w:tcPr>
            <w:tcW w:w="797" w:type="pct"/>
            <w:tcBorders>
              <w:tl2br w:val="nil"/>
              <w:tr2bl w:val="nil"/>
            </w:tcBorders>
            <w:shd w:val="clear" w:color="auto" w:fill="auto"/>
            <w:vAlign w:val="center"/>
          </w:tcPr>
          <w:p w14:paraId="124E3F3D">
            <w:pPr>
              <w:adjustRightInd/>
              <w:jc w:val="center"/>
              <w:rPr>
                <w:rFonts w:hint="eastAsia" w:ascii="宋体" w:hAnsi="宋体" w:eastAsia="宋体" w:cs="宋体"/>
                <w:color w:val="000000"/>
                <w:sz w:val="20"/>
                <w:szCs w:val="20"/>
              </w:rPr>
            </w:pPr>
          </w:p>
        </w:tc>
      </w:tr>
      <w:tr w14:paraId="49072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A0DC3A7">
            <w:pPr>
              <w:widowControl/>
              <w:adjustRightInd/>
              <w:jc w:val="center"/>
              <w:textAlignment w:val="center"/>
              <w:rPr>
                <w:rFonts w:hint="eastAsia" w:ascii="宋体" w:hAnsi="宋体" w:eastAsia="宋体" w:cs="宋体"/>
                <w:color w:val="000000"/>
                <w:sz w:val="20"/>
                <w:szCs w:val="20"/>
              </w:rPr>
            </w:pPr>
            <w:r>
              <w:rPr>
                <w:rFonts w:hint="eastAsia" w:ascii="宋体" w:hAnsi="宋体" w:cs="宋体"/>
                <w:color w:val="000000"/>
                <w:kern w:val="0"/>
                <w:sz w:val="20"/>
                <w:szCs w:val="20"/>
                <w:lang w:val="en-US" w:eastAsia="zh-CN" w:bidi="ar"/>
              </w:rPr>
              <w:t>*</w:t>
            </w:r>
            <w:r>
              <w:rPr>
                <w:rFonts w:hint="eastAsia" w:ascii="宋体" w:hAnsi="宋体" w:eastAsia="宋体" w:cs="宋体"/>
                <w:color w:val="000000"/>
                <w:kern w:val="0"/>
                <w:sz w:val="20"/>
                <w:szCs w:val="20"/>
                <w:lang w:bidi="ar"/>
              </w:rPr>
              <w:t>1</w:t>
            </w:r>
          </w:p>
        </w:tc>
        <w:tc>
          <w:tcPr>
            <w:tcW w:w="2879" w:type="pct"/>
            <w:tcBorders>
              <w:tl2br w:val="nil"/>
              <w:tr2bl w:val="nil"/>
            </w:tcBorders>
            <w:shd w:val="clear" w:color="auto" w:fill="D7D7D7"/>
            <w:vAlign w:val="center"/>
          </w:tcPr>
          <w:p w14:paraId="2D9BDE5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放装式无线AP</w:t>
            </w:r>
          </w:p>
        </w:tc>
        <w:tc>
          <w:tcPr>
            <w:tcW w:w="576" w:type="pct"/>
            <w:tcBorders>
              <w:tl2br w:val="nil"/>
              <w:tr2bl w:val="nil"/>
            </w:tcBorders>
            <w:shd w:val="clear" w:color="auto" w:fill="auto"/>
            <w:vAlign w:val="center"/>
          </w:tcPr>
          <w:p w14:paraId="6050022D">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97" w:type="pct"/>
            <w:tcBorders>
              <w:tl2br w:val="nil"/>
              <w:tr2bl w:val="nil"/>
            </w:tcBorders>
            <w:shd w:val="clear" w:color="auto" w:fill="auto"/>
            <w:vAlign w:val="center"/>
          </w:tcPr>
          <w:p w14:paraId="3BF04A9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604AD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512D5F7">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2</w:t>
            </w:r>
          </w:p>
        </w:tc>
        <w:tc>
          <w:tcPr>
            <w:tcW w:w="2879" w:type="pct"/>
            <w:tcBorders>
              <w:tl2br w:val="nil"/>
              <w:tr2bl w:val="nil"/>
            </w:tcBorders>
            <w:shd w:val="clear" w:color="auto" w:fill="D7D7D7"/>
            <w:vAlign w:val="center"/>
          </w:tcPr>
          <w:p w14:paraId="31499FB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面板式无线AP</w:t>
            </w:r>
          </w:p>
        </w:tc>
        <w:tc>
          <w:tcPr>
            <w:tcW w:w="576" w:type="pct"/>
            <w:tcBorders>
              <w:tl2br w:val="nil"/>
              <w:tr2bl w:val="nil"/>
            </w:tcBorders>
            <w:shd w:val="clear" w:color="auto" w:fill="auto"/>
            <w:vAlign w:val="center"/>
          </w:tcPr>
          <w:p w14:paraId="7470F054">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797" w:type="pct"/>
            <w:tcBorders>
              <w:tl2br w:val="nil"/>
              <w:tr2bl w:val="nil"/>
            </w:tcBorders>
            <w:shd w:val="clear" w:color="auto" w:fill="auto"/>
            <w:vAlign w:val="center"/>
          </w:tcPr>
          <w:p w14:paraId="4B244BDB">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C3A0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08D36E36">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w:t>
            </w:r>
            <w:r>
              <w:rPr>
                <w:rFonts w:hint="eastAsia" w:ascii="宋体" w:hAnsi="宋体" w:eastAsia="宋体" w:cs="宋体"/>
                <w:color w:val="000000"/>
                <w:kern w:val="0"/>
                <w:sz w:val="20"/>
                <w:szCs w:val="20"/>
                <w:lang w:bidi="ar"/>
              </w:rPr>
              <w:t>3</w:t>
            </w:r>
          </w:p>
        </w:tc>
        <w:tc>
          <w:tcPr>
            <w:tcW w:w="2879" w:type="pct"/>
            <w:tcBorders>
              <w:tl2br w:val="nil"/>
              <w:tr2bl w:val="nil"/>
            </w:tcBorders>
            <w:shd w:val="clear" w:color="auto" w:fill="D7D7D7"/>
            <w:vAlign w:val="center"/>
          </w:tcPr>
          <w:p w14:paraId="72A8182C">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24口POE交换机</w:t>
            </w:r>
          </w:p>
        </w:tc>
        <w:tc>
          <w:tcPr>
            <w:tcW w:w="576" w:type="pct"/>
            <w:tcBorders>
              <w:tl2br w:val="nil"/>
              <w:tr2bl w:val="nil"/>
            </w:tcBorders>
            <w:shd w:val="clear" w:color="auto" w:fill="auto"/>
            <w:vAlign w:val="center"/>
          </w:tcPr>
          <w:p w14:paraId="3024C519">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797" w:type="pct"/>
            <w:tcBorders>
              <w:tl2br w:val="nil"/>
              <w:tr2bl w:val="nil"/>
            </w:tcBorders>
            <w:shd w:val="clear" w:color="auto" w:fill="auto"/>
            <w:vAlign w:val="center"/>
          </w:tcPr>
          <w:p w14:paraId="527F0C18">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台</w:t>
            </w:r>
          </w:p>
        </w:tc>
      </w:tr>
      <w:tr w14:paraId="43ABB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13D73CD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4</w:t>
            </w:r>
          </w:p>
        </w:tc>
        <w:tc>
          <w:tcPr>
            <w:tcW w:w="2879" w:type="pct"/>
            <w:tcBorders>
              <w:tl2br w:val="nil"/>
              <w:tr2bl w:val="nil"/>
            </w:tcBorders>
            <w:shd w:val="clear" w:color="auto" w:fill="auto"/>
            <w:vAlign w:val="center"/>
          </w:tcPr>
          <w:p w14:paraId="15466A53">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光模块</w:t>
            </w:r>
          </w:p>
        </w:tc>
        <w:tc>
          <w:tcPr>
            <w:tcW w:w="576" w:type="pct"/>
            <w:tcBorders>
              <w:tl2br w:val="nil"/>
              <w:tr2bl w:val="nil"/>
            </w:tcBorders>
            <w:shd w:val="clear" w:color="auto" w:fill="auto"/>
            <w:vAlign w:val="center"/>
          </w:tcPr>
          <w:p w14:paraId="2F8F7C4E">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2</w:t>
            </w:r>
          </w:p>
        </w:tc>
        <w:tc>
          <w:tcPr>
            <w:tcW w:w="797" w:type="pct"/>
            <w:tcBorders>
              <w:tl2br w:val="nil"/>
              <w:tr2bl w:val="nil"/>
            </w:tcBorders>
            <w:shd w:val="clear" w:color="auto" w:fill="auto"/>
            <w:vAlign w:val="center"/>
          </w:tcPr>
          <w:p w14:paraId="604EEA15">
            <w:pPr>
              <w:widowControl/>
              <w:adjustRightInd/>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只</w:t>
            </w:r>
          </w:p>
        </w:tc>
      </w:tr>
      <w:tr w14:paraId="38B6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D95FF6B">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5</w:t>
            </w:r>
          </w:p>
        </w:tc>
        <w:tc>
          <w:tcPr>
            <w:tcW w:w="2879" w:type="pct"/>
            <w:tcBorders>
              <w:tl2br w:val="nil"/>
              <w:tr2bl w:val="nil"/>
            </w:tcBorders>
            <w:shd w:val="clear" w:color="auto" w:fill="auto"/>
            <w:vAlign w:val="center"/>
          </w:tcPr>
          <w:p w14:paraId="53C3D0C9">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6类非屏蔽双绞线</w:t>
            </w:r>
          </w:p>
        </w:tc>
        <w:tc>
          <w:tcPr>
            <w:tcW w:w="576" w:type="pct"/>
            <w:tcBorders>
              <w:tl2br w:val="nil"/>
              <w:tr2bl w:val="nil"/>
            </w:tcBorders>
            <w:shd w:val="clear" w:color="auto" w:fill="auto"/>
            <w:vAlign w:val="center"/>
          </w:tcPr>
          <w:p w14:paraId="6FA40E0D">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797" w:type="pct"/>
            <w:tcBorders>
              <w:tl2br w:val="nil"/>
              <w:tr2bl w:val="nil"/>
            </w:tcBorders>
            <w:shd w:val="clear" w:color="auto" w:fill="auto"/>
            <w:vAlign w:val="center"/>
          </w:tcPr>
          <w:p w14:paraId="41764400">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箱</w:t>
            </w:r>
          </w:p>
        </w:tc>
      </w:tr>
      <w:tr w14:paraId="3A76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77453815">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6</w:t>
            </w:r>
          </w:p>
        </w:tc>
        <w:tc>
          <w:tcPr>
            <w:tcW w:w="2879" w:type="pct"/>
            <w:tcBorders>
              <w:tl2br w:val="nil"/>
              <w:tr2bl w:val="nil"/>
            </w:tcBorders>
            <w:shd w:val="clear" w:color="auto" w:fill="auto"/>
            <w:vAlign w:val="center"/>
          </w:tcPr>
          <w:p w14:paraId="51E0FC0D">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安装辅材</w:t>
            </w:r>
          </w:p>
        </w:tc>
        <w:tc>
          <w:tcPr>
            <w:tcW w:w="576" w:type="pct"/>
            <w:tcBorders>
              <w:tl2br w:val="nil"/>
              <w:tr2bl w:val="nil"/>
            </w:tcBorders>
            <w:shd w:val="clear" w:color="auto" w:fill="auto"/>
            <w:vAlign w:val="center"/>
          </w:tcPr>
          <w:p w14:paraId="5A7FB6AD">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797" w:type="pct"/>
            <w:tcBorders>
              <w:tl2br w:val="nil"/>
              <w:tr2bl w:val="nil"/>
            </w:tcBorders>
            <w:shd w:val="clear" w:color="auto" w:fill="auto"/>
            <w:vAlign w:val="center"/>
          </w:tcPr>
          <w:p w14:paraId="0C1FBB60">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批</w:t>
            </w:r>
          </w:p>
        </w:tc>
      </w:tr>
      <w:tr w14:paraId="55A26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6C0B881C">
            <w:pPr>
              <w:widowControl/>
              <w:adjustRightInd/>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七、集成及安装</w:t>
            </w:r>
          </w:p>
        </w:tc>
        <w:tc>
          <w:tcPr>
            <w:tcW w:w="576" w:type="pct"/>
            <w:tcBorders>
              <w:tl2br w:val="nil"/>
              <w:tr2bl w:val="nil"/>
            </w:tcBorders>
            <w:shd w:val="clear" w:color="auto" w:fill="auto"/>
            <w:vAlign w:val="center"/>
          </w:tcPr>
          <w:p w14:paraId="4707D112">
            <w:pPr>
              <w:adjustRightInd/>
              <w:jc w:val="center"/>
              <w:rPr>
                <w:rFonts w:hint="eastAsia" w:ascii="宋体" w:hAnsi="宋体" w:eastAsia="宋体" w:cs="宋体"/>
                <w:sz w:val="20"/>
                <w:szCs w:val="20"/>
              </w:rPr>
            </w:pPr>
          </w:p>
        </w:tc>
        <w:tc>
          <w:tcPr>
            <w:tcW w:w="797" w:type="pct"/>
            <w:tcBorders>
              <w:tl2br w:val="nil"/>
              <w:tr2bl w:val="nil"/>
            </w:tcBorders>
            <w:shd w:val="clear" w:color="auto" w:fill="auto"/>
            <w:vAlign w:val="center"/>
          </w:tcPr>
          <w:p w14:paraId="744AD6C5">
            <w:pPr>
              <w:adjustRightInd/>
              <w:jc w:val="center"/>
              <w:rPr>
                <w:rFonts w:hint="eastAsia" w:ascii="宋体" w:hAnsi="宋体" w:eastAsia="宋体" w:cs="宋体"/>
                <w:sz w:val="20"/>
                <w:szCs w:val="20"/>
              </w:rPr>
            </w:pPr>
          </w:p>
        </w:tc>
      </w:tr>
      <w:tr w14:paraId="700B6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55A821D8">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2879" w:type="pct"/>
            <w:tcBorders>
              <w:tl2br w:val="nil"/>
              <w:tr2bl w:val="nil"/>
            </w:tcBorders>
            <w:shd w:val="clear" w:color="auto" w:fill="auto"/>
            <w:vAlign w:val="center"/>
          </w:tcPr>
          <w:p w14:paraId="5376031A">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安装集成费</w:t>
            </w:r>
          </w:p>
        </w:tc>
        <w:tc>
          <w:tcPr>
            <w:tcW w:w="576" w:type="pct"/>
            <w:tcBorders>
              <w:tl2br w:val="nil"/>
              <w:tr2bl w:val="nil"/>
            </w:tcBorders>
            <w:shd w:val="clear" w:color="auto" w:fill="auto"/>
            <w:vAlign w:val="center"/>
          </w:tcPr>
          <w:p w14:paraId="7EAA7E09">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797" w:type="pct"/>
            <w:tcBorders>
              <w:tl2br w:val="nil"/>
              <w:tr2bl w:val="nil"/>
            </w:tcBorders>
            <w:shd w:val="clear" w:color="auto" w:fill="auto"/>
            <w:vAlign w:val="center"/>
          </w:tcPr>
          <w:p w14:paraId="60D84D09">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批</w:t>
            </w:r>
          </w:p>
        </w:tc>
      </w:tr>
      <w:tr w14:paraId="3B349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3625" w:type="pct"/>
            <w:gridSpan w:val="2"/>
            <w:tcBorders>
              <w:tl2br w:val="nil"/>
              <w:tr2bl w:val="nil"/>
            </w:tcBorders>
            <w:shd w:val="clear" w:color="auto" w:fill="auto"/>
            <w:vAlign w:val="center"/>
          </w:tcPr>
          <w:p w14:paraId="6F85D0F2">
            <w:pPr>
              <w:widowControl/>
              <w:adjustRightInd/>
              <w:jc w:val="center"/>
              <w:textAlignment w:val="center"/>
              <w:rPr>
                <w:rFonts w:hint="eastAsia" w:ascii="宋体" w:hAnsi="宋体" w:eastAsia="宋体" w:cs="宋体"/>
                <w:b/>
                <w:bCs/>
                <w:sz w:val="20"/>
                <w:szCs w:val="20"/>
              </w:rPr>
            </w:pPr>
            <w:r>
              <w:rPr>
                <w:rFonts w:hint="eastAsia" w:ascii="宋体" w:hAnsi="宋体" w:eastAsia="宋体" w:cs="宋体"/>
                <w:b/>
                <w:bCs/>
                <w:kern w:val="0"/>
                <w:sz w:val="20"/>
                <w:szCs w:val="20"/>
                <w:lang w:bidi="ar"/>
              </w:rPr>
              <w:t>八、无线授权</w:t>
            </w:r>
          </w:p>
        </w:tc>
        <w:tc>
          <w:tcPr>
            <w:tcW w:w="576" w:type="pct"/>
            <w:tcBorders>
              <w:tl2br w:val="nil"/>
              <w:tr2bl w:val="nil"/>
            </w:tcBorders>
            <w:shd w:val="clear" w:color="auto" w:fill="auto"/>
            <w:vAlign w:val="center"/>
          </w:tcPr>
          <w:p w14:paraId="44249CF0">
            <w:pPr>
              <w:adjustRightInd/>
              <w:jc w:val="center"/>
              <w:rPr>
                <w:rFonts w:hint="eastAsia" w:ascii="宋体" w:hAnsi="宋体" w:eastAsia="宋体" w:cs="宋体"/>
                <w:sz w:val="20"/>
                <w:szCs w:val="20"/>
              </w:rPr>
            </w:pPr>
          </w:p>
        </w:tc>
        <w:tc>
          <w:tcPr>
            <w:tcW w:w="797" w:type="pct"/>
            <w:tcBorders>
              <w:tl2br w:val="nil"/>
              <w:tr2bl w:val="nil"/>
            </w:tcBorders>
            <w:shd w:val="clear" w:color="auto" w:fill="auto"/>
            <w:vAlign w:val="center"/>
          </w:tcPr>
          <w:p w14:paraId="5532DE4F">
            <w:pPr>
              <w:adjustRightInd/>
              <w:jc w:val="center"/>
              <w:rPr>
                <w:rFonts w:hint="eastAsia" w:ascii="宋体" w:hAnsi="宋体" w:eastAsia="宋体" w:cs="宋体"/>
                <w:sz w:val="20"/>
                <w:szCs w:val="20"/>
              </w:rPr>
            </w:pPr>
          </w:p>
        </w:tc>
      </w:tr>
      <w:tr w14:paraId="73A6C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45" w:type="pct"/>
            <w:tcBorders>
              <w:tl2br w:val="nil"/>
              <w:tr2bl w:val="nil"/>
            </w:tcBorders>
            <w:shd w:val="clear" w:color="auto" w:fill="auto"/>
            <w:vAlign w:val="center"/>
          </w:tcPr>
          <w:p w14:paraId="4D4D2D30">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2879" w:type="pct"/>
            <w:tcBorders>
              <w:tl2br w:val="nil"/>
              <w:tr2bl w:val="nil"/>
            </w:tcBorders>
            <w:shd w:val="clear" w:color="auto" w:fill="auto"/>
            <w:vAlign w:val="center"/>
          </w:tcPr>
          <w:p w14:paraId="4B0F0745">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License</w:t>
            </w:r>
          </w:p>
        </w:tc>
        <w:tc>
          <w:tcPr>
            <w:tcW w:w="576" w:type="pct"/>
            <w:tcBorders>
              <w:tl2br w:val="nil"/>
              <w:tr2bl w:val="nil"/>
            </w:tcBorders>
            <w:shd w:val="clear" w:color="auto" w:fill="auto"/>
            <w:vAlign w:val="center"/>
          </w:tcPr>
          <w:p w14:paraId="7D7D46AF">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797" w:type="pct"/>
            <w:tcBorders>
              <w:tl2br w:val="nil"/>
              <w:tr2bl w:val="nil"/>
            </w:tcBorders>
            <w:shd w:val="clear" w:color="auto" w:fill="auto"/>
            <w:vAlign w:val="center"/>
          </w:tcPr>
          <w:p w14:paraId="7179010C">
            <w:pPr>
              <w:widowControl/>
              <w:adjustRightIn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套</w:t>
            </w:r>
          </w:p>
        </w:tc>
      </w:tr>
    </w:tbl>
    <w:p w14:paraId="191FCD00">
      <w:pPr>
        <w:numPr>
          <w:numId w:val="0"/>
        </w:numPr>
        <w:adjustRightInd/>
        <w:spacing w:line="360" w:lineRule="auto"/>
        <w:rPr>
          <w:rFonts w:hint="default" w:ascii="宋体" w:hAnsi="宋体" w:cs="宋体"/>
          <w:b/>
          <w:sz w:val="24"/>
          <w:lang w:val="en-US" w:eastAsia="zh-CN"/>
        </w:rPr>
      </w:pPr>
      <w:r>
        <w:rPr>
          <w:rFonts w:hint="eastAsia" w:ascii="宋体" w:hAnsi="宋体" w:cs="宋体"/>
          <w:b/>
          <w:sz w:val="21"/>
          <w:szCs w:val="21"/>
          <w:lang w:val="en-US" w:eastAsia="zh-CN"/>
        </w:rPr>
        <w:t>注：清单中*设备无需重复提供证明材料。技术响应评审时如负偏离也只按一项扣分，不重复扣分。</w:t>
      </w:r>
      <w:bookmarkStart w:id="566" w:name="_GoBack"/>
      <w:bookmarkEnd w:id="566"/>
    </w:p>
    <w:p w14:paraId="215B92F6">
      <w:pPr>
        <w:numPr>
          <w:numId w:val="0"/>
        </w:numPr>
        <w:adjustRightInd/>
        <w:spacing w:line="360" w:lineRule="auto"/>
        <w:rPr>
          <w:rFonts w:hint="default" w:ascii="宋体" w:hAnsi="宋体" w:eastAsia="宋体" w:cs="宋体"/>
          <w:b/>
          <w:sz w:val="24"/>
          <w:lang w:val="en-US" w:eastAsia="zh-CN"/>
        </w:rPr>
      </w:pPr>
      <w:r>
        <w:rPr>
          <w:rFonts w:hint="eastAsia" w:ascii="宋体" w:hAnsi="宋体" w:cs="宋体"/>
          <w:b/>
          <w:sz w:val="24"/>
          <w:lang w:val="en-US" w:eastAsia="zh-CN"/>
        </w:rPr>
        <w:t>2</w:t>
      </w:r>
      <w:r>
        <w:rPr>
          <w:rFonts w:hint="default" w:ascii="宋体" w:hAnsi="宋体" w:eastAsia="宋体" w:cs="宋体"/>
          <w:b/>
          <w:sz w:val="24"/>
          <w:lang w:val="en-US" w:eastAsia="zh-CN"/>
        </w:rPr>
        <w:t>、</w:t>
      </w:r>
      <w:r>
        <w:rPr>
          <w:rFonts w:hint="eastAsia" w:ascii="宋体" w:hAnsi="宋体" w:cs="宋体"/>
          <w:b/>
          <w:sz w:val="24"/>
          <w:lang w:val="en-US" w:eastAsia="zh-CN"/>
        </w:rPr>
        <w:t>技术要求</w:t>
      </w:r>
    </w:p>
    <w:tbl>
      <w:tblPr>
        <w:tblStyle w:val="63"/>
        <w:tblW w:w="594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8"/>
        <w:gridCol w:w="1478"/>
        <w:gridCol w:w="5713"/>
        <w:gridCol w:w="776"/>
        <w:gridCol w:w="862"/>
        <w:gridCol w:w="647"/>
      </w:tblGrid>
      <w:tr w14:paraId="00375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2512CEB1">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732" w:type="pct"/>
            <w:tcBorders>
              <w:tl2br w:val="nil"/>
              <w:tr2bl w:val="nil"/>
            </w:tcBorders>
            <w:shd w:val="clear" w:color="auto" w:fill="auto"/>
            <w:vAlign w:val="center"/>
          </w:tcPr>
          <w:p w14:paraId="4441A612">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2829" w:type="pct"/>
            <w:tcBorders>
              <w:tl2br w:val="nil"/>
              <w:tr2bl w:val="nil"/>
            </w:tcBorders>
            <w:shd w:val="clear" w:color="auto" w:fill="auto"/>
            <w:vAlign w:val="center"/>
          </w:tcPr>
          <w:p w14:paraId="7227BB00">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技术参数</w:t>
            </w:r>
          </w:p>
        </w:tc>
        <w:tc>
          <w:tcPr>
            <w:tcW w:w="384" w:type="pct"/>
            <w:tcBorders>
              <w:tl2br w:val="nil"/>
              <w:tr2bl w:val="nil"/>
            </w:tcBorders>
            <w:shd w:val="clear" w:color="auto" w:fill="auto"/>
            <w:vAlign w:val="center"/>
          </w:tcPr>
          <w:p w14:paraId="3AB2374D">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427" w:type="pct"/>
            <w:tcBorders>
              <w:tl2br w:val="nil"/>
              <w:tr2bl w:val="nil"/>
            </w:tcBorders>
            <w:shd w:val="clear" w:color="auto" w:fill="auto"/>
            <w:vAlign w:val="center"/>
          </w:tcPr>
          <w:p w14:paraId="30355C61">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320" w:type="pct"/>
            <w:tcBorders>
              <w:tl2br w:val="nil"/>
              <w:tr2bl w:val="nil"/>
            </w:tcBorders>
            <w:shd w:val="clear" w:color="auto" w:fill="auto"/>
            <w:vAlign w:val="center"/>
          </w:tcPr>
          <w:p w14:paraId="2BD147F9">
            <w:pPr>
              <w:widowControl/>
              <w:adjustRightInd/>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投标</w:t>
            </w:r>
          </w:p>
          <w:p w14:paraId="619A67F0">
            <w:pPr>
              <w:widowControl/>
              <w:adjustRightInd/>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响应</w:t>
            </w:r>
          </w:p>
        </w:tc>
      </w:tr>
      <w:tr w14:paraId="7F3DB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4442DA5E">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宁海县桃源中学</w:t>
            </w:r>
            <w:r>
              <w:rPr>
                <w:rFonts w:hint="eastAsia" w:ascii="宋体" w:hAnsi="宋体" w:cs="宋体"/>
                <w:b/>
                <w:bCs/>
                <w:color w:val="000000"/>
                <w:kern w:val="0"/>
                <w:sz w:val="20"/>
                <w:szCs w:val="20"/>
                <w:lang w:eastAsia="zh-CN" w:bidi="ar"/>
              </w:rPr>
              <w:t>辛岭</w:t>
            </w:r>
            <w:r>
              <w:rPr>
                <w:rFonts w:hint="eastAsia" w:ascii="宋体" w:hAnsi="宋体" w:cs="宋体"/>
                <w:b/>
                <w:bCs/>
                <w:color w:val="000000"/>
                <w:kern w:val="0"/>
                <w:sz w:val="20"/>
                <w:szCs w:val="20"/>
                <w:lang w:bidi="ar"/>
              </w:rPr>
              <w:t>校区网络改造</w:t>
            </w:r>
          </w:p>
        </w:tc>
        <w:tc>
          <w:tcPr>
            <w:tcW w:w="384" w:type="pct"/>
            <w:tcBorders>
              <w:tl2br w:val="nil"/>
              <w:tr2bl w:val="nil"/>
            </w:tcBorders>
            <w:shd w:val="clear" w:color="auto" w:fill="auto"/>
            <w:vAlign w:val="center"/>
          </w:tcPr>
          <w:p w14:paraId="182635DB">
            <w:pPr>
              <w:adjustRightInd/>
              <w:jc w:val="center"/>
              <w:rPr>
                <w:rFonts w:hint="eastAsia" w:ascii="宋体" w:hAnsi="宋体" w:cs="宋体"/>
                <w:b/>
                <w:bCs/>
                <w:color w:val="000000"/>
                <w:sz w:val="20"/>
                <w:szCs w:val="20"/>
              </w:rPr>
            </w:pPr>
          </w:p>
        </w:tc>
        <w:tc>
          <w:tcPr>
            <w:tcW w:w="427" w:type="pct"/>
            <w:tcBorders>
              <w:tl2br w:val="nil"/>
              <w:tr2bl w:val="nil"/>
            </w:tcBorders>
            <w:shd w:val="clear" w:color="auto" w:fill="auto"/>
            <w:vAlign w:val="center"/>
          </w:tcPr>
          <w:p w14:paraId="06EB1E54">
            <w:pPr>
              <w:adjustRightInd/>
              <w:jc w:val="center"/>
              <w:rPr>
                <w:rFonts w:hint="eastAsia" w:ascii="宋体" w:hAnsi="宋体" w:cs="宋体"/>
                <w:b/>
                <w:bCs/>
                <w:color w:val="000000"/>
                <w:sz w:val="20"/>
                <w:szCs w:val="20"/>
              </w:rPr>
            </w:pPr>
          </w:p>
        </w:tc>
        <w:tc>
          <w:tcPr>
            <w:tcW w:w="320" w:type="pct"/>
            <w:tcBorders>
              <w:tl2br w:val="nil"/>
              <w:tr2bl w:val="nil"/>
            </w:tcBorders>
            <w:shd w:val="clear" w:color="auto" w:fill="auto"/>
            <w:vAlign w:val="center"/>
          </w:tcPr>
          <w:p w14:paraId="366EF6DA">
            <w:pPr>
              <w:adjustRightInd/>
              <w:jc w:val="center"/>
              <w:rPr>
                <w:rFonts w:hint="eastAsia" w:ascii="宋体" w:hAnsi="宋体" w:cs="宋体"/>
                <w:b/>
                <w:bCs/>
                <w:color w:val="000000"/>
                <w:sz w:val="20"/>
                <w:szCs w:val="20"/>
              </w:rPr>
            </w:pPr>
          </w:p>
        </w:tc>
      </w:tr>
      <w:tr w14:paraId="414C0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5273ACED">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一、综合布线</w:t>
            </w:r>
          </w:p>
        </w:tc>
        <w:tc>
          <w:tcPr>
            <w:tcW w:w="384" w:type="pct"/>
            <w:tcBorders>
              <w:tl2br w:val="nil"/>
              <w:tr2bl w:val="nil"/>
            </w:tcBorders>
            <w:shd w:val="clear" w:color="auto" w:fill="auto"/>
            <w:vAlign w:val="center"/>
          </w:tcPr>
          <w:p w14:paraId="3A589DA1">
            <w:pPr>
              <w:adjustRightInd/>
              <w:jc w:val="center"/>
              <w:rPr>
                <w:rFonts w:hint="eastAsia" w:ascii="宋体" w:hAnsi="宋体" w:cs="宋体"/>
                <w:b/>
                <w:bCs/>
                <w:color w:val="000000"/>
                <w:sz w:val="20"/>
                <w:szCs w:val="20"/>
              </w:rPr>
            </w:pPr>
          </w:p>
        </w:tc>
        <w:tc>
          <w:tcPr>
            <w:tcW w:w="427" w:type="pct"/>
            <w:tcBorders>
              <w:tl2br w:val="nil"/>
              <w:tr2bl w:val="nil"/>
            </w:tcBorders>
            <w:shd w:val="clear" w:color="auto" w:fill="auto"/>
            <w:vAlign w:val="center"/>
          </w:tcPr>
          <w:p w14:paraId="56E4F7F8">
            <w:pPr>
              <w:adjustRightInd/>
              <w:jc w:val="center"/>
              <w:rPr>
                <w:rFonts w:hint="eastAsia" w:ascii="宋体" w:hAnsi="宋体" w:cs="宋体"/>
                <w:b/>
                <w:bCs/>
                <w:color w:val="000000"/>
                <w:sz w:val="20"/>
                <w:szCs w:val="20"/>
              </w:rPr>
            </w:pPr>
          </w:p>
        </w:tc>
        <w:tc>
          <w:tcPr>
            <w:tcW w:w="320" w:type="pct"/>
            <w:tcBorders>
              <w:tl2br w:val="nil"/>
              <w:tr2bl w:val="nil"/>
            </w:tcBorders>
            <w:shd w:val="clear" w:color="auto" w:fill="auto"/>
            <w:vAlign w:val="center"/>
          </w:tcPr>
          <w:p w14:paraId="40E46D5A">
            <w:pPr>
              <w:adjustRightInd/>
              <w:jc w:val="center"/>
              <w:rPr>
                <w:rFonts w:hint="eastAsia" w:ascii="宋体" w:hAnsi="宋体" w:cs="宋体"/>
                <w:b/>
                <w:bCs/>
                <w:color w:val="000000"/>
                <w:sz w:val="20"/>
                <w:szCs w:val="20"/>
              </w:rPr>
            </w:pPr>
          </w:p>
        </w:tc>
      </w:tr>
      <w:tr w14:paraId="71593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0" w:hRule="atLeast"/>
          <w:jc w:val="center"/>
        </w:trPr>
        <w:tc>
          <w:tcPr>
            <w:tcW w:w="306" w:type="pct"/>
            <w:tcBorders>
              <w:tl2br w:val="nil"/>
              <w:tr2bl w:val="nil"/>
            </w:tcBorders>
            <w:shd w:val="clear" w:color="auto" w:fill="auto"/>
            <w:vAlign w:val="center"/>
          </w:tcPr>
          <w:p w14:paraId="39F6846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4319273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6类非屏蔽模块</w:t>
            </w:r>
          </w:p>
        </w:tc>
        <w:tc>
          <w:tcPr>
            <w:tcW w:w="2829" w:type="pct"/>
            <w:tcBorders>
              <w:tl2br w:val="nil"/>
              <w:tr2bl w:val="nil"/>
            </w:tcBorders>
            <w:shd w:val="clear" w:color="auto" w:fill="auto"/>
            <w:vAlign w:val="center"/>
          </w:tcPr>
          <w:p w14:paraId="231E70ED">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符合标准：ISO/IEC 11801:2008；YD/T 926.3-2009</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IDC 采用45度自锁式结构交叉设计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IDC材料：磷青铜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金针：磷青铜表面镀金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防尘盖：透明PC材料</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插头与插座插合次数：≥750次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导线端接次数：≥20次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打线方式：110工具端接方式，兼容T568A/B两种端接方式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卡接导体线径：0.5mm~0.65mm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工作环境温度：-10℃～+60℃</w:t>
            </w:r>
          </w:p>
        </w:tc>
        <w:tc>
          <w:tcPr>
            <w:tcW w:w="384" w:type="pct"/>
            <w:tcBorders>
              <w:tl2br w:val="nil"/>
              <w:tr2bl w:val="nil"/>
            </w:tcBorders>
            <w:shd w:val="clear" w:color="auto" w:fill="auto"/>
            <w:vAlign w:val="center"/>
          </w:tcPr>
          <w:p w14:paraId="5627477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84</w:t>
            </w:r>
          </w:p>
        </w:tc>
        <w:tc>
          <w:tcPr>
            <w:tcW w:w="427" w:type="pct"/>
            <w:tcBorders>
              <w:tl2br w:val="nil"/>
              <w:tr2bl w:val="nil"/>
            </w:tcBorders>
            <w:shd w:val="clear" w:color="auto" w:fill="auto"/>
            <w:vAlign w:val="center"/>
          </w:tcPr>
          <w:p w14:paraId="7398C76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4E739FE7">
            <w:pPr>
              <w:widowControl/>
              <w:adjustRightInd/>
              <w:jc w:val="center"/>
              <w:textAlignment w:val="center"/>
              <w:rPr>
                <w:rFonts w:hint="eastAsia" w:ascii="宋体" w:hAnsi="宋体" w:cs="宋体"/>
                <w:color w:val="000000"/>
                <w:kern w:val="0"/>
                <w:sz w:val="20"/>
                <w:szCs w:val="20"/>
                <w:lang w:bidi="ar"/>
              </w:rPr>
            </w:pPr>
          </w:p>
        </w:tc>
      </w:tr>
      <w:tr w14:paraId="59AF7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06" w:type="pct"/>
            <w:tcBorders>
              <w:tl2br w:val="nil"/>
              <w:tr2bl w:val="nil"/>
            </w:tcBorders>
            <w:shd w:val="clear" w:color="auto" w:fill="auto"/>
            <w:vAlign w:val="center"/>
          </w:tcPr>
          <w:p w14:paraId="55C5EE1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1FB0503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单孔信息面板</w:t>
            </w:r>
          </w:p>
        </w:tc>
        <w:tc>
          <w:tcPr>
            <w:tcW w:w="2829" w:type="pct"/>
            <w:tcBorders>
              <w:tl2br w:val="nil"/>
              <w:tr2bl w:val="nil"/>
            </w:tcBorders>
            <w:shd w:val="clear" w:color="auto" w:fill="auto"/>
            <w:vAlign w:val="center"/>
          </w:tcPr>
          <w:p w14:paraId="37FF573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带防尘门，模块可拆装，外形尺寸：86×86mm。材料：环保型PC料，瓷白色；表面略带弧度，带嵌入式识别图表及标签位置。</w:t>
            </w:r>
          </w:p>
        </w:tc>
        <w:tc>
          <w:tcPr>
            <w:tcW w:w="384" w:type="pct"/>
            <w:tcBorders>
              <w:tl2br w:val="nil"/>
              <w:tr2bl w:val="nil"/>
            </w:tcBorders>
            <w:shd w:val="clear" w:color="auto" w:fill="auto"/>
            <w:vAlign w:val="center"/>
          </w:tcPr>
          <w:p w14:paraId="5D542D0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27" w:type="pct"/>
            <w:tcBorders>
              <w:tl2br w:val="nil"/>
              <w:tr2bl w:val="nil"/>
            </w:tcBorders>
            <w:shd w:val="clear" w:color="auto" w:fill="auto"/>
            <w:vAlign w:val="center"/>
          </w:tcPr>
          <w:p w14:paraId="7C192A4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50E30A5F">
            <w:pPr>
              <w:widowControl/>
              <w:adjustRightInd/>
              <w:jc w:val="center"/>
              <w:textAlignment w:val="center"/>
              <w:rPr>
                <w:rFonts w:hint="eastAsia" w:ascii="宋体" w:hAnsi="宋体" w:cs="宋体"/>
                <w:color w:val="000000"/>
                <w:kern w:val="0"/>
                <w:sz w:val="20"/>
                <w:szCs w:val="20"/>
                <w:lang w:bidi="ar"/>
              </w:rPr>
            </w:pPr>
          </w:p>
        </w:tc>
      </w:tr>
      <w:tr w14:paraId="63EBE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06" w:type="pct"/>
            <w:tcBorders>
              <w:tl2br w:val="nil"/>
              <w:tr2bl w:val="nil"/>
            </w:tcBorders>
            <w:shd w:val="clear" w:color="auto" w:fill="auto"/>
            <w:vAlign w:val="center"/>
          </w:tcPr>
          <w:p w14:paraId="216EC46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0C32BF1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双孔信息面板</w:t>
            </w:r>
          </w:p>
        </w:tc>
        <w:tc>
          <w:tcPr>
            <w:tcW w:w="2829" w:type="pct"/>
            <w:tcBorders>
              <w:tl2br w:val="nil"/>
              <w:tr2bl w:val="nil"/>
            </w:tcBorders>
            <w:shd w:val="clear" w:color="auto" w:fill="auto"/>
            <w:vAlign w:val="center"/>
          </w:tcPr>
          <w:p w14:paraId="7993EFF5">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带防尘门，模块可拆装，外形尺寸：86×86mm。材料：环保型PC料，瓷白色；表面略带弧度，带嵌入式识别图表及标签位置。</w:t>
            </w:r>
          </w:p>
        </w:tc>
        <w:tc>
          <w:tcPr>
            <w:tcW w:w="384" w:type="pct"/>
            <w:tcBorders>
              <w:tl2br w:val="nil"/>
              <w:tr2bl w:val="nil"/>
            </w:tcBorders>
            <w:shd w:val="clear" w:color="auto" w:fill="auto"/>
            <w:vAlign w:val="center"/>
          </w:tcPr>
          <w:p w14:paraId="1DB8DFF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w:t>
            </w:r>
          </w:p>
        </w:tc>
        <w:tc>
          <w:tcPr>
            <w:tcW w:w="427" w:type="pct"/>
            <w:tcBorders>
              <w:tl2br w:val="nil"/>
              <w:tr2bl w:val="nil"/>
            </w:tcBorders>
            <w:shd w:val="clear" w:color="auto" w:fill="auto"/>
            <w:vAlign w:val="center"/>
          </w:tcPr>
          <w:p w14:paraId="48801F4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6DFCD6A5">
            <w:pPr>
              <w:widowControl/>
              <w:adjustRightInd/>
              <w:jc w:val="center"/>
              <w:textAlignment w:val="center"/>
              <w:rPr>
                <w:rFonts w:hint="eastAsia" w:ascii="宋体" w:hAnsi="宋体" w:cs="宋体"/>
                <w:color w:val="000000"/>
                <w:kern w:val="0"/>
                <w:sz w:val="20"/>
                <w:szCs w:val="20"/>
                <w:lang w:bidi="ar"/>
              </w:rPr>
            </w:pPr>
          </w:p>
        </w:tc>
      </w:tr>
      <w:tr w14:paraId="70127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2FAE589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18087D7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配套底盒</w:t>
            </w:r>
          </w:p>
        </w:tc>
        <w:tc>
          <w:tcPr>
            <w:tcW w:w="2829" w:type="pct"/>
            <w:tcBorders>
              <w:tl2br w:val="nil"/>
              <w:tr2bl w:val="nil"/>
            </w:tcBorders>
            <w:shd w:val="clear" w:color="auto" w:fill="auto"/>
            <w:vAlign w:val="center"/>
          </w:tcPr>
          <w:p w14:paraId="76DFCCC4">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ABS材料一次注塑而成，86×86×45mm</w:t>
            </w:r>
          </w:p>
        </w:tc>
        <w:tc>
          <w:tcPr>
            <w:tcW w:w="384" w:type="pct"/>
            <w:tcBorders>
              <w:tl2br w:val="nil"/>
              <w:tr2bl w:val="nil"/>
            </w:tcBorders>
            <w:shd w:val="clear" w:color="auto" w:fill="auto"/>
            <w:vAlign w:val="center"/>
          </w:tcPr>
          <w:p w14:paraId="56A167F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44</w:t>
            </w:r>
          </w:p>
        </w:tc>
        <w:tc>
          <w:tcPr>
            <w:tcW w:w="427" w:type="pct"/>
            <w:tcBorders>
              <w:tl2br w:val="nil"/>
              <w:tr2bl w:val="nil"/>
            </w:tcBorders>
            <w:shd w:val="clear" w:color="auto" w:fill="auto"/>
            <w:vAlign w:val="center"/>
          </w:tcPr>
          <w:p w14:paraId="037F4A6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4CE799DA">
            <w:pPr>
              <w:widowControl/>
              <w:adjustRightInd/>
              <w:jc w:val="center"/>
              <w:textAlignment w:val="center"/>
              <w:rPr>
                <w:rFonts w:hint="eastAsia" w:ascii="宋体" w:hAnsi="宋体" w:cs="宋体"/>
                <w:color w:val="000000"/>
                <w:kern w:val="0"/>
                <w:sz w:val="20"/>
                <w:szCs w:val="20"/>
                <w:lang w:bidi="ar"/>
              </w:rPr>
            </w:pPr>
          </w:p>
        </w:tc>
      </w:tr>
      <w:tr w14:paraId="1B0E9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306" w:type="pct"/>
            <w:tcBorders>
              <w:tl2br w:val="nil"/>
              <w:tr2bl w:val="nil"/>
            </w:tcBorders>
            <w:shd w:val="clear" w:color="auto" w:fill="auto"/>
            <w:vAlign w:val="center"/>
          </w:tcPr>
          <w:p w14:paraId="2D88740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005DB3D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6类RJ45跳线，3米</w:t>
            </w:r>
          </w:p>
        </w:tc>
        <w:tc>
          <w:tcPr>
            <w:tcW w:w="2829" w:type="pct"/>
            <w:tcBorders>
              <w:tl2br w:val="nil"/>
              <w:tr2bl w:val="nil"/>
            </w:tcBorders>
            <w:shd w:val="clear" w:color="auto" w:fill="auto"/>
            <w:vAlign w:val="center"/>
          </w:tcPr>
          <w:p w14:paraId="2FDBD2D2">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多股纯铜丝导体，铝箔屏蔽，PE绝缘，低烟无卤护套，十字骨架，机制，插拔次数≥1000次。</w:t>
            </w:r>
          </w:p>
        </w:tc>
        <w:tc>
          <w:tcPr>
            <w:tcW w:w="384" w:type="pct"/>
            <w:tcBorders>
              <w:tl2br w:val="nil"/>
              <w:tr2bl w:val="nil"/>
            </w:tcBorders>
            <w:shd w:val="clear" w:color="auto" w:fill="auto"/>
            <w:vAlign w:val="center"/>
          </w:tcPr>
          <w:p w14:paraId="77ACBDE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w:t>
            </w:r>
          </w:p>
        </w:tc>
        <w:tc>
          <w:tcPr>
            <w:tcW w:w="427" w:type="pct"/>
            <w:tcBorders>
              <w:tl2br w:val="nil"/>
              <w:tr2bl w:val="nil"/>
            </w:tcBorders>
            <w:shd w:val="clear" w:color="auto" w:fill="auto"/>
            <w:vAlign w:val="center"/>
          </w:tcPr>
          <w:p w14:paraId="3E33EC5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320" w:type="pct"/>
            <w:tcBorders>
              <w:tl2br w:val="nil"/>
              <w:tr2bl w:val="nil"/>
            </w:tcBorders>
            <w:shd w:val="clear" w:color="auto" w:fill="auto"/>
            <w:vAlign w:val="center"/>
          </w:tcPr>
          <w:p w14:paraId="6B1E222D">
            <w:pPr>
              <w:widowControl/>
              <w:adjustRightInd/>
              <w:jc w:val="center"/>
              <w:textAlignment w:val="center"/>
              <w:rPr>
                <w:rFonts w:hint="eastAsia" w:ascii="宋体" w:hAnsi="宋体" w:cs="宋体"/>
                <w:color w:val="000000"/>
                <w:kern w:val="0"/>
                <w:sz w:val="20"/>
                <w:szCs w:val="20"/>
                <w:lang w:bidi="ar"/>
              </w:rPr>
            </w:pPr>
          </w:p>
        </w:tc>
      </w:tr>
      <w:tr w14:paraId="74B9B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306" w:type="pct"/>
            <w:tcBorders>
              <w:tl2br w:val="nil"/>
              <w:tr2bl w:val="nil"/>
            </w:tcBorders>
            <w:shd w:val="clear" w:color="auto" w:fill="auto"/>
            <w:vAlign w:val="center"/>
          </w:tcPr>
          <w:p w14:paraId="0BF0005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005BDE3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6类非屏蔽双绞线</w:t>
            </w:r>
          </w:p>
        </w:tc>
        <w:tc>
          <w:tcPr>
            <w:tcW w:w="2829" w:type="pct"/>
            <w:tcBorders>
              <w:tl2br w:val="nil"/>
              <w:tr2bl w:val="nil"/>
            </w:tcBorders>
            <w:shd w:val="clear" w:color="auto" w:fill="auto"/>
            <w:vAlign w:val="center"/>
          </w:tcPr>
          <w:p w14:paraId="52AAB71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符合标准：ISO/IEC 11801：2017；YD/T 1019-2013</w:t>
            </w:r>
          </w:p>
          <w:p w14:paraId="0A4D28E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通过标准250MHz带宽测试要求 可扩展到550MHz带宽</w:t>
            </w:r>
          </w:p>
          <w:p w14:paraId="1F4C6D9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单根导体直流电阻：≤9.5Ω/100m</w:t>
            </w:r>
          </w:p>
          <w:p w14:paraId="1BD5AAF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额定传输速率(NVP)：≥69%</w:t>
            </w:r>
          </w:p>
          <w:p w14:paraId="112A73F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电缆对数：4对</w:t>
            </w:r>
          </w:p>
          <w:p w14:paraId="537FDE4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十字骨架材料：PE混合物</w:t>
            </w:r>
          </w:p>
          <w:p w14:paraId="2A85880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导体材料：无氧圆铜（纯度99.99%）</w:t>
            </w:r>
          </w:p>
          <w:p w14:paraId="02A8E37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最小弯曲半径：10倍电缆外径</w:t>
            </w:r>
          </w:p>
          <w:p w14:paraId="75F760B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导体线规：23AWG</w:t>
            </w:r>
          </w:p>
          <w:p w14:paraId="5C9D07C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绝缘材料：HDPE</w:t>
            </w:r>
          </w:p>
          <w:p w14:paraId="0547C08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屏蔽方式：U/UTP</w:t>
            </w:r>
          </w:p>
          <w:p w14:paraId="73A219C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外护套材料：LSZH低烟无卤</w:t>
            </w:r>
          </w:p>
          <w:p w14:paraId="56CB6C3A">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工作温度：-20℃～+60℃</w:t>
            </w:r>
          </w:p>
        </w:tc>
        <w:tc>
          <w:tcPr>
            <w:tcW w:w="384" w:type="pct"/>
            <w:tcBorders>
              <w:tl2br w:val="nil"/>
              <w:tr2bl w:val="nil"/>
            </w:tcBorders>
            <w:shd w:val="clear" w:color="auto" w:fill="auto"/>
            <w:vAlign w:val="center"/>
          </w:tcPr>
          <w:p w14:paraId="5281747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427" w:type="pct"/>
            <w:tcBorders>
              <w:tl2br w:val="nil"/>
              <w:tr2bl w:val="nil"/>
            </w:tcBorders>
            <w:shd w:val="clear" w:color="auto" w:fill="auto"/>
            <w:vAlign w:val="center"/>
          </w:tcPr>
          <w:p w14:paraId="3023CA8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305米/箱</w:t>
            </w:r>
          </w:p>
        </w:tc>
        <w:tc>
          <w:tcPr>
            <w:tcW w:w="320" w:type="pct"/>
            <w:tcBorders>
              <w:tl2br w:val="nil"/>
              <w:tr2bl w:val="nil"/>
            </w:tcBorders>
            <w:shd w:val="clear" w:color="auto" w:fill="auto"/>
            <w:vAlign w:val="center"/>
          </w:tcPr>
          <w:p w14:paraId="27913808">
            <w:pPr>
              <w:widowControl/>
              <w:adjustRightInd/>
              <w:jc w:val="center"/>
              <w:textAlignment w:val="center"/>
              <w:rPr>
                <w:rFonts w:hint="eastAsia" w:ascii="宋体" w:hAnsi="宋体" w:cs="宋体"/>
                <w:color w:val="000000"/>
                <w:kern w:val="0"/>
                <w:sz w:val="20"/>
                <w:szCs w:val="20"/>
                <w:lang w:bidi="ar"/>
              </w:rPr>
            </w:pPr>
          </w:p>
        </w:tc>
      </w:tr>
      <w:tr w14:paraId="47C92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306" w:type="pct"/>
            <w:tcBorders>
              <w:tl2br w:val="nil"/>
              <w:tr2bl w:val="nil"/>
            </w:tcBorders>
            <w:shd w:val="clear" w:color="auto" w:fill="auto"/>
            <w:vAlign w:val="center"/>
          </w:tcPr>
          <w:p w14:paraId="68A673C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732" w:type="pct"/>
            <w:tcBorders>
              <w:tl2br w:val="nil"/>
              <w:tr2bl w:val="nil"/>
            </w:tcBorders>
            <w:shd w:val="clear" w:color="auto" w:fill="auto"/>
            <w:vAlign w:val="center"/>
          </w:tcPr>
          <w:p w14:paraId="78C8D59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室外6芯单模光缆</w:t>
            </w:r>
          </w:p>
        </w:tc>
        <w:tc>
          <w:tcPr>
            <w:tcW w:w="2829" w:type="pct"/>
            <w:tcBorders>
              <w:tl2br w:val="nil"/>
              <w:tr2bl w:val="nil"/>
            </w:tcBorders>
            <w:shd w:val="clear" w:color="auto" w:fill="auto"/>
            <w:vAlign w:val="center"/>
          </w:tcPr>
          <w:p w14:paraId="43DAC6A4">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6芯单模铠装，光纤芯径：9/125µm单模光纤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可在1280nm-1625nm全波段内传输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13010nm衰减系数为0.7db/km，传输距离为10KM；1550nm衰减系数为0.5db/km，传输距离为40KM。</w:t>
            </w:r>
          </w:p>
        </w:tc>
        <w:tc>
          <w:tcPr>
            <w:tcW w:w="384" w:type="pct"/>
            <w:tcBorders>
              <w:tl2br w:val="nil"/>
              <w:tr2bl w:val="nil"/>
            </w:tcBorders>
            <w:shd w:val="clear" w:color="auto" w:fill="auto"/>
            <w:vAlign w:val="center"/>
          </w:tcPr>
          <w:p w14:paraId="487C62A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427" w:type="pct"/>
            <w:tcBorders>
              <w:tl2br w:val="nil"/>
              <w:tr2bl w:val="nil"/>
            </w:tcBorders>
            <w:shd w:val="clear" w:color="auto" w:fill="auto"/>
            <w:vAlign w:val="center"/>
          </w:tcPr>
          <w:p w14:paraId="6285720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46C9E5D1">
            <w:pPr>
              <w:widowControl/>
              <w:adjustRightInd/>
              <w:jc w:val="center"/>
              <w:textAlignment w:val="center"/>
              <w:rPr>
                <w:rFonts w:hint="eastAsia" w:ascii="宋体" w:hAnsi="宋体" w:cs="宋体"/>
                <w:color w:val="000000"/>
                <w:kern w:val="0"/>
                <w:sz w:val="20"/>
                <w:szCs w:val="20"/>
                <w:lang w:bidi="ar"/>
              </w:rPr>
            </w:pPr>
          </w:p>
        </w:tc>
      </w:tr>
      <w:tr w14:paraId="5D8A5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403DB8A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732" w:type="pct"/>
            <w:tcBorders>
              <w:tl2br w:val="nil"/>
              <w:tr2bl w:val="nil"/>
            </w:tcBorders>
            <w:shd w:val="clear" w:color="auto" w:fill="auto"/>
            <w:vAlign w:val="center"/>
          </w:tcPr>
          <w:p w14:paraId="5F4C006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桥架</w:t>
            </w:r>
          </w:p>
        </w:tc>
        <w:tc>
          <w:tcPr>
            <w:tcW w:w="2829" w:type="pct"/>
            <w:tcBorders>
              <w:tl2br w:val="nil"/>
              <w:tr2bl w:val="nil"/>
            </w:tcBorders>
            <w:shd w:val="clear" w:color="auto" w:fill="auto"/>
            <w:vAlign w:val="center"/>
          </w:tcPr>
          <w:p w14:paraId="4828C880">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CT200×100桥架，热镀锌桥架</w:t>
            </w:r>
          </w:p>
        </w:tc>
        <w:tc>
          <w:tcPr>
            <w:tcW w:w="384" w:type="pct"/>
            <w:tcBorders>
              <w:tl2br w:val="nil"/>
              <w:tr2bl w:val="nil"/>
            </w:tcBorders>
            <w:shd w:val="clear" w:color="auto" w:fill="auto"/>
            <w:vAlign w:val="center"/>
          </w:tcPr>
          <w:p w14:paraId="11D61E4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427" w:type="pct"/>
            <w:tcBorders>
              <w:tl2br w:val="nil"/>
              <w:tr2bl w:val="nil"/>
            </w:tcBorders>
            <w:shd w:val="clear" w:color="auto" w:fill="auto"/>
            <w:vAlign w:val="center"/>
          </w:tcPr>
          <w:p w14:paraId="53069A0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12598E09">
            <w:pPr>
              <w:widowControl/>
              <w:adjustRightInd/>
              <w:jc w:val="center"/>
              <w:textAlignment w:val="center"/>
              <w:rPr>
                <w:rFonts w:hint="eastAsia" w:ascii="宋体" w:hAnsi="宋体" w:cs="宋体"/>
                <w:color w:val="000000"/>
                <w:kern w:val="0"/>
                <w:sz w:val="20"/>
                <w:szCs w:val="20"/>
                <w:lang w:bidi="ar"/>
              </w:rPr>
            </w:pPr>
          </w:p>
        </w:tc>
      </w:tr>
      <w:tr w14:paraId="3A79D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182FC05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732" w:type="pct"/>
            <w:tcBorders>
              <w:tl2br w:val="nil"/>
              <w:tr2bl w:val="nil"/>
            </w:tcBorders>
            <w:shd w:val="clear" w:color="auto" w:fill="auto"/>
            <w:vAlign w:val="center"/>
          </w:tcPr>
          <w:p w14:paraId="297CAD1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桥架辅材</w:t>
            </w:r>
          </w:p>
        </w:tc>
        <w:tc>
          <w:tcPr>
            <w:tcW w:w="2829" w:type="pct"/>
            <w:tcBorders>
              <w:tl2br w:val="nil"/>
              <w:tr2bl w:val="nil"/>
            </w:tcBorders>
            <w:shd w:val="clear" w:color="auto" w:fill="auto"/>
            <w:vAlign w:val="center"/>
          </w:tcPr>
          <w:p w14:paraId="4DC06606">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桥架支架、角钢吊架等</w:t>
            </w:r>
          </w:p>
        </w:tc>
        <w:tc>
          <w:tcPr>
            <w:tcW w:w="384" w:type="pct"/>
            <w:tcBorders>
              <w:tl2br w:val="nil"/>
              <w:tr2bl w:val="nil"/>
            </w:tcBorders>
            <w:shd w:val="clear" w:color="auto" w:fill="auto"/>
            <w:vAlign w:val="center"/>
          </w:tcPr>
          <w:p w14:paraId="4BBD79B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210</w:t>
            </w:r>
          </w:p>
        </w:tc>
        <w:tc>
          <w:tcPr>
            <w:tcW w:w="427" w:type="pct"/>
            <w:tcBorders>
              <w:tl2br w:val="nil"/>
              <w:tr2bl w:val="nil"/>
            </w:tcBorders>
            <w:shd w:val="clear" w:color="auto" w:fill="auto"/>
            <w:vAlign w:val="center"/>
          </w:tcPr>
          <w:p w14:paraId="70A6D52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06359B68">
            <w:pPr>
              <w:widowControl/>
              <w:adjustRightInd/>
              <w:jc w:val="center"/>
              <w:textAlignment w:val="center"/>
              <w:rPr>
                <w:rFonts w:hint="eastAsia" w:ascii="宋体" w:hAnsi="宋体" w:cs="宋体"/>
                <w:color w:val="000000"/>
                <w:kern w:val="0"/>
                <w:sz w:val="20"/>
                <w:szCs w:val="20"/>
                <w:lang w:bidi="ar"/>
              </w:rPr>
            </w:pPr>
          </w:p>
        </w:tc>
      </w:tr>
      <w:tr w14:paraId="20379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58094EE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732" w:type="pct"/>
            <w:tcBorders>
              <w:tl2br w:val="nil"/>
              <w:tr2bl w:val="nil"/>
            </w:tcBorders>
            <w:shd w:val="clear" w:color="auto" w:fill="auto"/>
            <w:vAlign w:val="center"/>
          </w:tcPr>
          <w:p w14:paraId="6E2F198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塑料线槽</w:t>
            </w:r>
          </w:p>
        </w:tc>
        <w:tc>
          <w:tcPr>
            <w:tcW w:w="2829" w:type="pct"/>
            <w:tcBorders>
              <w:tl2br w:val="nil"/>
              <w:tr2bl w:val="nil"/>
            </w:tcBorders>
            <w:shd w:val="clear" w:color="auto" w:fill="auto"/>
            <w:vAlign w:val="center"/>
          </w:tcPr>
          <w:p w14:paraId="34A20FCC">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50mm×30mm线槽、角钢吊架等</w:t>
            </w:r>
          </w:p>
        </w:tc>
        <w:tc>
          <w:tcPr>
            <w:tcW w:w="384" w:type="pct"/>
            <w:tcBorders>
              <w:tl2br w:val="nil"/>
              <w:tr2bl w:val="nil"/>
            </w:tcBorders>
            <w:shd w:val="clear" w:color="auto" w:fill="auto"/>
            <w:vAlign w:val="center"/>
          </w:tcPr>
          <w:p w14:paraId="7E54087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620</w:t>
            </w:r>
          </w:p>
        </w:tc>
        <w:tc>
          <w:tcPr>
            <w:tcW w:w="427" w:type="pct"/>
            <w:tcBorders>
              <w:tl2br w:val="nil"/>
              <w:tr2bl w:val="nil"/>
            </w:tcBorders>
            <w:shd w:val="clear" w:color="auto" w:fill="auto"/>
            <w:vAlign w:val="center"/>
          </w:tcPr>
          <w:p w14:paraId="4DE1525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481A929A">
            <w:pPr>
              <w:widowControl/>
              <w:adjustRightInd/>
              <w:jc w:val="center"/>
              <w:textAlignment w:val="center"/>
              <w:rPr>
                <w:rFonts w:hint="eastAsia" w:ascii="宋体" w:hAnsi="宋体" w:cs="宋体"/>
                <w:color w:val="000000"/>
                <w:kern w:val="0"/>
                <w:sz w:val="20"/>
                <w:szCs w:val="20"/>
                <w:lang w:bidi="ar"/>
              </w:rPr>
            </w:pPr>
          </w:p>
        </w:tc>
      </w:tr>
      <w:tr w14:paraId="1509D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0B938CF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732" w:type="pct"/>
            <w:tcBorders>
              <w:tl2br w:val="nil"/>
              <w:tr2bl w:val="nil"/>
            </w:tcBorders>
            <w:shd w:val="clear" w:color="auto" w:fill="auto"/>
            <w:vAlign w:val="center"/>
          </w:tcPr>
          <w:p w14:paraId="5525A48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PVC25塑料管</w:t>
            </w:r>
          </w:p>
        </w:tc>
        <w:tc>
          <w:tcPr>
            <w:tcW w:w="2829" w:type="pct"/>
            <w:tcBorders>
              <w:tl2br w:val="nil"/>
              <w:tr2bl w:val="nil"/>
            </w:tcBorders>
            <w:shd w:val="clear" w:color="auto" w:fill="auto"/>
            <w:vAlign w:val="center"/>
          </w:tcPr>
          <w:p w14:paraId="0E75F1E3">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PVC25塑料管，国标</w:t>
            </w:r>
          </w:p>
        </w:tc>
        <w:tc>
          <w:tcPr>
            <w:tcW w:w="384" w:type="pct"/>
            <w:tcBorders>
              <w:tl2br w:val="nil"/>
              <w:tr2bl w:val="nil"/>
            </w:tcBorders>
            <w:shd w:val="clear" w:color="auto" w:fill="auto"/>
            <w:vAlign w:val="center"/>
          </w:tcPr>
          <w:p w14:paraId="3812209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80</w:t>
            </w:r>
          </w:p>
        </w:tc>
        <w:tc>
          <w:tcPr>
            <w:tcW w:w="427" w:type="pct"/>
            <w:tcBorders>
              <w:tl2br w:val="nil"/>
              <w:tr2bl w:val="nil"/>
            </w:tcBorders>
            <w:shd w:val="clear" w:color="auto" w:fill="auto"/>
            <w:vAlign w:val="center"/>
          </w:tcPr>
          <w:p w14:paraId="2DE7AC7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261FEA5F">
            <w:pPr>
              <w:widowControl/>
              <w:adjustRightInd/>
              <w:jc w:val="center"/>
              <w:textAlignment w:val="center"/>
              <w:rPr>
                <w:rFonts w:hint="eastAsia" w:ascii="宋体" w:hAnsi="宋体" w:cs="宋体"/>
                <w:color w:val="000000"/>
                <w:kern w:val="0"/>
                <w:sz w:val="20"/>
                <w:szCs w:val="20"/>
                <w:lang w:bidi="ar"/>
              </w:rPr>
            </w:pPr>
          </w:p>
        </w:tc>
      </w:tr>
      <w:tr w14:paraId="61EF1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1A70F3D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732" w:type="pct"/>
            <w:tcBorders>
              <w:tl2br w:val="nil"/>
              <w:tr2bl w:val="nil"/>
            </w:tcBorders>
            <w:shd w:val="clear" w:color="auto" w:fill="auto"/>
            <w:vAlign w:val="center"/>
          </w:tcPr>
          <w:p w14:paraId="4F902A6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SC32室外管路</w:t>
            </w:r>
          </w:p>
        </w:tc>
        <w:tc>
          <w:tcPr>
            <w:tcW w:w="2829" w:type="pct"/>
            <w:tcBorders>
              <w:tl2br w:val="nil"/>
              <w:tr2bl w:val="nil"/>
            </w:tcBorders>
            <w:shd w:val="clear" w:color="auto" w:fill="auto"/>
            <w:vAlign w:val="center"/>
          </w:tcPr>
          <w:p w14:paraId="143BEC85">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SC32镀锌钢管，国标</w:t>
            </w:r>
          </w:p>
        </w:tc>
        <w:tc>
          <w:tcPr>
            <w:tcW w:w="384" w:type="pct"/>
            <w:tcBorders>
              <w:tl2br w:val="nil"/>
              <w:tr2bl w:val="nil"/>
            </w:tcBorders>
            <w:shd w:val="clear" w:color="auto" w:fill="auto"/>
            <w:vAlign w:val="center"/>
          </w:tcPr>
          <w:p w14:paraId="73C30C7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427" w:type="pct"/>
            <w:tcBorders>
              <w:tl2br w:val="nil"/>
              <w:tr2bl w:val="nil"/>
            </w:tcBorders>
            <w:shd w:val="clear" w:color="auto" w:fill="auto"/>
            <w:vAlign w:val="center"/>
          </w:tcPr>
          <w:p w14:paraId="463B2F4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3FF9D5E5">
            <w:pPr>
              <w:widowControl/>
              <w:adjustRightInd/>
              <w:jc w:val="center"/>
              <w:textAlignment w:val="center"/>
              <w:rPr>
                <w:rFonts w:hint="eastAsia" w:ascii="宋体" w:hAnsi="宋体" w:cs="宋体"/>
                <w:color w:val="000000"/>
                <w:kern w:val="0"/>
                <w:sz w:val="20"/>
                <w:szCs w:val="20"/>
                <w:lang w:bidi="ar"/>
              </w:rPr>
            </w:pPr>
          </w:p>
        </w:tc>
      </w:tr>
      <w:tr w14:paraId="2DDA4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11904E5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732" w:type="pct"/>
            <w:tcBorders>
              <w:tl2br w:val="nil"/>
              <w:tr2bl w:val="nil"/>
            </w:tcBorders>
            <w:shd w:val="clear" w:color="auto" w:fill="auto"/>
            <w:vAlign w:val="center"/>
          </w:tcPr>
          <w:p w14:paraId="11F1DAB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PE32室外管路</w:t>
            </w:r>
          </w:p>
        </w:tc>
        <w:tc>
          <w:tcPr>
            <w:tcW w:w="2829" w:type="pct"/>
            <w:tcBorders>
              <w:tl2br w:val="nil"/>
              <w:tr2bl w:val="nil"/>
            </w:tcBorders>
            <w:shd w:val="clear" w:color="auto" w:fill="auto"/>
            <w:vAlign w:val="center"/>
          </w:tcPr>
          <w:p w14:paraId="17840BF3">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PE32塑料管，国标</w:t>
            </w:r>
          </w:p>
        </w:tc>
        <w:tc>
          <w:tcPr>
            <w:tcW w:w="384" w:type="pct"/>
            <w:tcBorders>
              <w:tl2br w:val="nil"/>
              <w:tr2bl w:val="nil"/>
            </w:tcBorders>
            <w:shd w:val="clear" w:color="auto" w:fill="auto"/>
            <w:vAlign w:val="center"/>
          </w:tcPr>
          <w:p w14:paraId="6445AFD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427" w:type="pct"/>
            <w:tcBorders>
              <w:tl2br w:val="nil"/>
              <w:tr2bl w:val="nil"/>
            </w:tcBorders>
            <w:shd w:val="clear" w:color="auto" w:fill="auto"/>
            <w:vAlign w:val="center"/>
          </w:tcPr>
          <w:p w14:paraId="1B1ED24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0CB93FEE">
            <w:pPr>
              <w:widowControl/>
              <w:adjustRightInd/>
              <w:jc w:val="center"/>
              <w:textAlignment w:val="center"/>
              <w:rPr>
                <w:rFonts w:hint="eastAsia" w:ascii="宋体" w:hAnsi="宋体" w:cs="宋体"/>
                <w:color w:val="000000"/>
                <w:kern w:val="0"/>
                <w:sz w:val="20"/>
                <w:szCs w:val="20"/>
                <w:lang w:bidi="ar"/>
              </w:rPr>
            </w:pPr>
          </w:p>
        </w:tc>
      </w:tr>
      <w:tr w14:paraId="468A9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417AC6C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732" w:type="pct"/>
            <w:tcBorders>
              <w:tl2br w:val="nil"/>
              <w:tr2bl w:val="nil"/>
            </w:tcBorders>
            <w:shd w:val="clear" w:color="auto" w:fill="auto"/>
            <w:vAlign w:val="center"/>
          </w:tcPr>
          <w:p w14:paraId="1883724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窨井</w:t>
            </w:r>
          </w:p>
        </w:tc>
        <w:tc>
          <w:tcPr>
            <w:tcW w:w="2829" w:type="pct"/>
            <w:tcBorders>
              <w:tl2br w:val="nil"/>
              <w:tr2bl w:val="nil"/>
            </w:tcBorders>
            <w:shd w:val="clear" w:color="auto" w:fill="auto"/>
            <w:vAlign w:val="center"/>
          </w:tcPr>
          <w:p w14:paraId="4586F96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400×400×600mm，带盖</w:t>
            </w:r>
          </w:p>
        </w:tc>
        <w:tc>
          <w:tcPr>
            <w:tcW w:w="384" w:type="pct"/>
            <w:tcBorders>
              <w:tl2br w:val="nil"/>
              <w:tr2bl w:val="nil"/>
            </w:tcBorders>
            <w:shd w:val="clear" w:color="auto" w:fill="auto"/>
            <w:vAlign w:val="center"/>
          </w:tcPr>
          <w:p w14:paraId="4D0F2CC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27" w:type="pct"/>
            <w:tcBorders>
              <w:tl2br w:val="nil"/>
              <w:tr2bl w:val="nil"/>
            </w:tcBorders>
            <w:shd w:val="clear" w:color="auto" w:fill="auto"/>
            <w:vAlign w:val="center"/>
          </w:tcPr>
          <w:p w14:paraId="52D9611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38B7BC28">
            <w:pPr>
              <w:widowControl/>
              <w:adjustRightInd/>
              <w:jc w:val="center"/>
              <w:textAlignment w:val="center"/>
              <w:rPr>
                <w:rFonts w:hint="eastAsia" w:ascii="宋体" w:hAnsi="宋体" w:cs="宋体"/>
                <w:color w:val="000000"/>
                <w:kern w:val="0"/>
                <w:sz w:val="20"/>
                <w:szCs w:val="20"/>
                <w:lang w:bidi="ar"/>
              </w:rPr>
            </w:pPr>
          </w:p>
        </w:tc>
      </w:tr>
      <w:tr w14:paraId="68660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470D626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732" w:type="pct"/>
            <w:tcBorders>
              <w:tl2br w:val="nil"/>
              <w:tr2bl w:val="nil"/>
            </w:tcBorders>
            <w:shd w:val="clear" w:color="auto" w:fill="auto"/>
            <w:vAlign w:val="center"/>
          </w:tcPr>
          <w:p w14:paraId="5895DE0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波纹软管</w:t>
            </w:r>
          </w:p>
        </w:tc>
        <w:tc>
          <w:tcPr>
            <w:tcW w:w="2829" w:type="pct"/>
            <w:tcBorders>
              <w:tl2br w:val="nil"/>
              <w:tr2bl w:val="nil"/>
            </w:tcBorders>
            <w:shd w:val="clear" w:color="auto" w:fill="auto"/>
            <w:vAlign w:val="center"/>
          </w:tcPr>
          <w:p w14:paraId="2E11581D">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DN25波纹连接软管，国标，尼龙波纹管塑料软管防火防水护线管</w:t>
            </w:r>
          </w:p>
        </w:tc>
        <w:tc>
          <w:tcPr>
            <w:tcW w:w="384" w:type="pct"/>
            <w:tcBorders>
              <w:tl2br w:val="nil"/>
              <w:tr2bl w:val="nil"/>
            </w:tcBorders>
            <w:shd w:val="clear" w:color="auto" w:fill="auto"/>
            <w:vAlign w:val="center"/>
          </w:tcPr>
          <w:p w14:paraId="520C474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427" w:type="pct"/>
            <w:tcBorders>
              <w:tl2br w:val="nil"/>
              <w:tr2bl w:val="nil"/>
            </w:tcBorders>
            <w:shd w:val="clear" w:color="auto" w:fill="auto"/>
            <w:vAlign w:val="center"/>
          </w:tcPr>
          <w:p w14:paraId="1094FC9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320" w:type="pct"/>
            <w:tcBorders>
              <w:tl2br w:val="nil"/>
              <w:tr2bl w:val="nil"/>
            </w:tcBorders>
            <w:shd w:val="clear" w:color="auto" w:fill="auto"/>
            <w:vAlign w:val="center"/>
          </w:tcPr>
          <w:p w14:paraId="678B5F1B">
            <w:pPr>
              <w:widowControl/>
              <w:adjustRightInd/>
              <w:jc w:val="center"/>
              <w:textAlignment w:val="center"/>
              <w:rPr>
                <w:rFonts w:hint="eastAsia" w:ascii="宋体" w:hAnsi="宋体" w:cs="宋体"/>
                <w:color w:val="000000"/>
                <w:kern w:val="0"/>
                <w:sz w:val="20"/>
                <w:szCs w:val="20"/>
                <w:lang w:bidi="ar"/>
              </w:rPr>
            </w:pPr>
          </w:p>
        </w:tc>
      </w:tr>
      <w:tr w14:paraId="5E416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306" w:type="pct"/>
            <w:tcBorders>
              <w:tl2br w:val="nil"/>
              <w:tr2bl w:val="nil"/>
            </w:tcBorders>
            <w:shd w:val="clear" w:color="auto" w:fill="auto"/>
            <w:vAlign w:val="center"/>
          </w:tcPr>
          <w:p w14:paraId="4DA4CAC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732" w:type="pct"/>
            <w:tcBorders>
              <w:tl2br w:val="nil"/>
              <w:tr2bl w:val="nil"/>
            </w:tcBorders>
            <w:shd w:val="clear" w:color="auto" w:fill="auto"/>
            <w:vAlign w:val="center"/>
          </w:tcPr>
          <w:p w14:paraId="4760F1B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12U机柜</w:t>
            </w:r>
          </w:p>
        </w:tc>
        <w:tc>
          <w:tcPr>
            <w:tcW w:w="2829" w:type="pct"/>
            <w:tcBorders>
              <w:tl2br w:val="nil"/>
              <w:tr2bl w:val="nil"/>
            </w:tcBorders>
            <w:shd w:val="clear" w:color="auto" w:fill="auto"/>
            <w:vAlign w:val="center"/>
          </w:tcPr>
          <w:p w14:paraId="422F4C3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可上下后三处走线，带框钢化玻璃前门，快开式侧门，角规深度可调，含侧通风孔，预留接地柱，尺寸≥600×450×635mm，角规厚度≥2.0mm，其他厚度≥1.2mm，承重≥60KG。</w:t>
            </w:r>
          </w:p>
        </w:tc>
        <w:tc>
          <w:tcPr>
            <w:tcW w:w="384" w:type="pct"/>
            <w:tcBorders>
              <w:tl2br w:val="nil"/>
              <w:tr2bl w:val="nil"/>
            </w:tcBorders>
            <w:shd w:val="clear" w:color="auto" w:fill="auto"/>
            <w:vAlign w:val="center"/>
          </w:tcPr>
          <w:p w14:paraId="34928E6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5BDCA64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240CE2ED">
            <w:pPr>
              <w:widowControl/>
              <w:adjustRightInd/>
              <w:jc w:val="center"/>
              <w:textAlignment w:val="center"/>
              <w:rPr>
                <w:rFonts w:hint="eastAsia" w:ascii="宋体" w:hAnsi="宋体" w:cs="宋体"/>
                <w:color w:val="000000"/>
                <w:kern w:val="0"/>
                <w:sz w:val="20"/>
                <w:szCs w:val="20"/>
                <w:lang w:bidi="ar"/>
              </w:rPr>
            </w:pPr>
          </w:p>
        </w:tc>
      </w:tr>
      <w:tr w14:paraId="3B219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306" w:type="pct"/>
            <w:tcBorders>
              <w:tl2br w:val="nil"/>
              <w:tr2bl w:val="nil"/>
            </w:tcBorders>
            <w:shd w:val="clear" w:color="auto" w:fill="auto"/>
            <w:vAlign w:val="center"/>
          </w:tcPr>
          <w:p w14:paraId="01B083C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732" w:type="pct"/>
            <w:tcBorders>
              <w:tl2br w:val="nil"/>
              <w:tr2bl w:val="nil"/>
            </w:tcBorders>
            <w:shd w:val="clear" w:color="auto" w:fill="auto"/>
            <w:vAlign w:val="center"/>
          </w:tcPr>
          <w:p w14:paraId="6C346D9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8口光纤终端盒</w:t>
            </w:r>
          </w:p>
        </w:tc>
        <w:tc>
          <w:tcPr>
            <w:tcW w:w="2829" w:type="pct"/>
            <w:tcBorders>
              <w:tl2br w:val="nil"/>
              <w:tr2bl w:val="nil"/>
            </w:tcBorders>
            <w:shd w:val="clear" w:color="auto" w:fill="auto"/>
            <w:vAlign w:val="center"/>
          </w:tcPr>
          <w:p w14:paraId="298494B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适用于管理间水平成垂直光纤的端接。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金属外盖，保护光纤避免尘土和其它损害。</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翻盖固定式，方便不同环境的施工维护。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灵活的连接器条形板，可根据实际需求来配置相应的耦合器。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适用于与ST/SC/LC/FC等耦合器的端接。锁扣式设计，方便安装维护。</w:t>
            </w:r>
          </w:p>
        </w:tc>
        <w:tc>
          <w:tcPr>
            <w:tcW w:w="384" w:type="pct"/>
            <w:tcBorders>
              <w:tl2br w:val="nil"/>
              <w:tr2bl w:val="nil"/>
            </w:tcBorders>
            <w:shd w:val="clear" w:color="auto" w:fill="auto"/>
            <w:vAlign w:val="center"/>
          </w:tcPr>
          <w:p w14:paraId="338D98A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68272F3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7DF90E8A">
            <w:pPr>
              <w:widowControl/>
              <w:adjustRightInd/>
              <w:jc w:val="center"/>
              <w:textAlignment w:val="center"/>
              <w:rPr>
                <w:rFonts w:hint="eastAsia" w:ascii="宋体" w:hAnsi="宋体" w:cs="宋体"/>
                <w:color w:val="000000"/>
                <w:kern w:val="0"/>
                <w:sz w:val="20"/>
                <w:szCs w:val="20"/>
                <w:lang w:bidi="ar"/>
              </w:rPr>
            </w:pPr>
          </w:p>
        </w:tc>
      </w:tr>
      <w:tr w14:paraId="4E066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0" w:hRule="atLeast"/>
          <w:jc w:val="center"/>
        </w:trPr>
        <w:tc>
          <w:tcPr>
            <w:tcW w:w="306" w:type="pct"/>
            <w:tcBorders>
              <w:tl2br w:val="nil"/>
              <w:tr2bl w:val="nil"/>
            </w:tcBorders>
            <w:shd w:val="clear" w:color="auto" w:fill="auto"/>
            <w:vAlign w:val="center"/>
          </w:tcPr>
          <w:p w14:paraId="58AA0A1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732" w:type="pct"/>
            <w:tcBorders>
              <w:tl2br w:val="nil"/>
              <w:tr2bl w:val="nil"/>
            </w:tcBorders>
            <w:shd w:val="clear" w:color="auto" w:fill="auto"/>
            <w:vAlign w:val="center"/>
          </w:tcPr>
          <w:p w14:paraId="4B7AFEC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24口光纤配线架</w:t>
            </w:r>
          </w:p>
        </w:tc>
        <w:tc>
          <w:tcPr>
            <w:tcW w:w="2829" w:type="pct"/>
            <w:tcBorders>
              <w:tl2br w:val="nil"/>
              <w:tr2bl w:val="nil"/>
            </w:tcBorders>
            <w:shd w:val="clear" w:color="auto" w:fill="auto"/>
            <w:vAlign w:val="center"/>
          </w:tcPr>
          <w:p w14:paraId="77972566">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符合标准：ISO/IEC  11801:2008；YD/T778-2006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端口数量：12位、24位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端口类型：ST 、FC、SC、LC双工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表面处理：静电喷塑</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安装方式：19″机架式安装</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材料：优质钢板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表面颜色：黑色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工作温度：-25℃～+60℃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进出光纤方便灵活，有充裕的光纤盘存空间，光纤和尾纤弯曲半径不小于30mm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环境条件：工作温度：-5℃~+40℃，贮存温度：-25℃~55℃相对湿度：≤85%（+30℃），大气压力：70~106kPa</w:t>
            </w:r>
          </w:p>
        </w:tc>
        <w:tc>
          <w:tcPr>
            <w:tcW w:w="384" w:type="pct"/>
            <w:tcBorders>
              <w:tl2br w:val="nil"/>
              <w:tr2bl w:val="nil"/>
            </w:tcBorders>
            <w:shd w:val="clear" w:color="auto" w:fill="auto"/>
            <w:vAlign w:val="center"/>
          </w:tcPr>
          <w:p w14:paraId="0ACFCDB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55C367E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5A96E88F">
            <w:pPr>
              <w:widowControl/>
              <w:adjustRightInd/>
              <w:jc w:val="center"/>
              <w:textAlignment w:val="center"/>
              <w:rPr>
                <w:rFonts w:hint="eastAsia" w:ascii="宋体" w:hAnsi="宋体" w:cs="宋体"/>
                <w:color w:val="000000"/>
                <w:kern w:val="0"/>
                <w:sz w:val="20"/>
                <w:szCs w:val="20"/>
                <w:lang w:bidi="ar"/>
              </w:rPr>
            </w:pPr>
          </w:p>
        </w:tc>
      </w:tr>
      <w:tr w14:paraId="68C2B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06" w:type="pct"/>
            <w:tcBorders>
              <w:tl2br w:val="nil"/>
              <w:tr2bl w:val="nil"/>
            </w:tcBorders>
            <w:shd w:val="clear" w:color="auto" w:fill="auto"/>
            <w:vAlign w:val="center"/>
          </w:tcPr>
          <w:p w14:paraId="5A10141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w:t>
            </w:r>
          </w:p>
        </w:tc>
        <w:tc>
          <w:tcPr>
            <w:tcW w:w="732" w:type="pct"/>
            <w:tcBorders>
              <w:tl2br w:val="nil"/>
              <w:tr2bl w:val="nil"/>
            </w:tcBorders>
            <w:shd w:val="clear" w:color="auto" w:fill="auto"/>
            <w:vAlign w:val="center"/>
          </w:tcPr>
          <w:p w14:paraId="55B9655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理线器</w:t>
            </w:r>
          </w:p>
        </w:tc>
        <w:tc>
          <w:tcPr>
            <w:tcW w:w="2829" w:type="pct"/>
            <w:tcBorders>
              <w:tl2br w:val="nil"/>
              <w:tr2bl w:val="nil"/>
            </w:tcBorders>
            <w:shd w:val="clear" w:color="auto" w:fill="auto"/>
            <w:vAlign w:val="center"/>
          </w:tcPr>
          <w:p w14:paraId="2FD310FB">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采用优质冷轧钢板材料，确保产品的坚固耐用。大容量设计，有助于布线的条理性；标准19英寸机架安装；</w:t>
            </w:r>
          </w:p>
        </w:tc>
        <w:tc>
          <w:tcPr>
            <w:tcW w:w="384" w:type="pct"/>
            <w:tcBorders>
              <w:tl2br w:val="nil"/>
              <w:tr2bl w:val="nil"/>
            </w:tcBorders>
            <w:shd w:val="clear" w:color="auto" w:fill="auto"/>
            <w:vAlign w:val="center"/>
          </w:tcPr>
          <w:p w14:paraId="7272C3E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27" w:type="pct"/>
            <w:tcBorders>
              <w:tl2br w:val="nil"/>
              <w:tr2bl w:val="nil"/>
            </w:tcBorders>
            <w:shd w:val="clear" w:color="auto" w:fill="auto"/>
            <w:vAlign w:val="center"/>
          </w:tcPr>
          <w:p w14:paraId="5F7E2E4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50033FCB">
            <w:pPr>
              <w:widowControl/>
              <w:adjustRightInd/>
              <w:jc w:val="center"/>
              <w:textAlignment w:val="center"/>
              <w:rPr>
                <w:rFonts w:hint="eastAsia" w:ascii="宋体" w:hAnsi="宋体" w:cs="宋体"/>
                <w:color w:val="000000"/>
                <w:kern w:val="0"/>
                <w:sz w:val="20"/>
                <w:szCs w:val="20"/>
                <w:lang w:bidi="ar"/>
              </w:rPr>
            </w:pPr>
          </w:p>
        </w:tc>
      </w:tr>
      <w:tr w14:paraId="7121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306" w:type="pct"/>
            <w:tcBorders>
              <w:tl2br w:val="nil"/>
              <w:tr2bl w:val="nil"/>
            </w:tcBorders>
            <w:shd w:val="clear" w:color="auto" w:fill="auto"/>
            <w:vAlign w:val="center"/>
          </w:tcPr>
          <w:p w14:paraId="51AF265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732" w:type="pct"/>
            <w:tcBorders>
              <w:tl2br w:val="nil"/>
              <w:tr2bl w:val="nil"/>
            </w:tcBorders>
            <w:shd w:val="clear" w:color="auto" w:fill="auto"/>
            <w:vAlign w:val="center"/>
          </w:tcPr>
          <w:p w14:paraId="01C38DD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SC适配器</w:t>
            </w:r>
          </w:p>
        </w:tc>
        <w:tc>
          <w:tcPr>
            <w:tcW w:w="2829" w:type="pct"/>
            <w:tcBorders>
              <w:tl2br w:val="nil"/>
              <w:tr2bl w:val="nil"/>
            </w:tcBorders>
            <w:shd w:val="clear" w:color="auto" w:fill="auto"/>
            <w:vAlign w:val="center"/>
          </w:tcPr>
          <w:p w14:paraId="69B8AC8D">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插入损耗低于0.3dB，重复插拔次数大于1000次，优质陶瓷芯结构，单模/多模/千兆/万兆通用。</w:t>
            </w:r>
          </w:p>
        </w:tc>
        <w:tc>
          <w:tcPr>
            <w:tcW w:w="384" w:type="pct"/>
            <w:tcBorders>
              <w:tl2br w:val="nil"/>
              <w:tr2bl w:val="nil"/>
            </w:tcBorders>
            <w:shd w:val="clear" w:color="auto" w:fill="auto"/>
            <w:vAlign w:val="center"/>
          </w:tcPr>
          <w:p w14:paraId="095AE80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427" w:type="pct"/>
            <w:tcBorders>
              <w:tl2br w:val="nil"/>
              <w:tr2bl w:val="nil"/>
            </w:tcBorders>
            <w:shd w:val="clear" w:color="auto" w:fill="auto"/>
            <w:vAlign w:val="center"/>
          </w:tcPr>
          <w:p w14:paraId="7F713B4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205D4FA4">
            <w:pPr>
              <w:widowControl/>
              <w:adjustRightInd/>
              <w:jc w:val="center"/>
              <w:textAlignment w:val="center"/>
              <w:rPr>
                <w:rFonts w:hint="eastAsia" w:ascii="宋体" w:hAnsi="宋体" w:cs="宋体"/>
                <w:color w:val="000000"/>
                <w:kern w:val="0"/>
                <w:sz w:val="20"/>
                <w:szCs w:val="20"/>
                <w:lang w:bidi="ar"/>
              </w:rPr>
            </w:pPr>
          </w:p>
        </w:tc>
      </w:tr>
      <w:tr w14:paraId="01F98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62F6D10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21</w:t>
            </w:r>
          </w:p>
        </w:tc>
        <w:tc>
          <w:tcPr>
            <w:tcW w:w="732" w:type="pct"/>
            <w:tcBorders>
              <w:tl2br w:val="nil"/>
              <w:tr2bl w:val="nil"/>
            </w:tcBorders>
            <w:shd w:val="clear" w:color="auto" w:fill="auto"/>
            <w:vAlign w:val="center"/>
          </w:tcPr>
          <w:p w14:paraId="5790B85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SC单模尾纤，1米</w:t>
            </w:r>
          </w:p>
        </w:tc>
        <w:tc>
          <w:tcPr>
            <w:tcW w:w="2829" w:type="pct"/>
            <w:tcBorders>
              <w:tl2br w:val="nil"/>
              <w:tr2bl w:val="nil"/>
            </w:tcBorders>
            <w:shd w:val="clear" w:color="auto" w:fill="auto"/>
            <w:vAlign w:val="center"/>
          </w:tcPr>
          <w:p w14:paraId="40415551">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1米，OS2零水峰纤芯，OFNR阻燃护套，插入损耗小于0.3dB，工作温度-40~75度。</w:t>
            </w:r>
          </w:p>
        </w:tc>
        <w:tc>
          <w:tcPr>
            <w:tcW w:w="384" w:type="pct"/>
            <w:tcBorders>
              <w:tl2br w:val="nil"/>
              <w:tr2bl w:val="nil"/>
            </w:tcBorders>
            <w:shd w:val="clear" w:color="auto" w:fill="auto"/>
            <w:vAlign w:val="center"/>
          </w:tcPr>
          <w:p w14:paraId="03226CF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427" w:type="pct"/>
            <w:tcBorders>
              <w:tl2br w:val="nil"/>
              <w:tr2bl w:val="nil"/>
            </w:tcBorders>
            <w:shd w:val="clear" w:color="auto" w:fill="auto"/>
            <w:vAlign w:val="center"/>
          </w:tcPr>
          <w:p w14:paraId="4BC41FB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320" w:type="pct"/>
            <w:tcBorders>
              <w:tl2br w:val="nil"/>
              <w:tr2bl w:val="nil"/>
            </w:tcBorders>
            <w:shd w:val="clear" w:color="auto" w:fill="auto"/>
            <w:vAlign w:val="center"/>
          </w:tcPr>
          <w:p w14:paraId="49F61707">
            <w:pPr>
              <w:widowControl/>
              <w:adjustRightInd/>
              <w:jc w:val="center"/>
              <w:textAlignment w:val="center"/>
              <w:rPr>
                <w:rFonts w:hint="eastAsia" w:ascii="宋体" w:hAnsi="宋体" w:cs="宋体"/>
                <w:color w:val="000000"/>
                <w:kern w:val="0"/>
                <w:sz w:val="20"/>
                <w:szCs w:val="20"/>
                <w:lang w:bidi="ar"/>
              </w:rPr>
            </w:pPr>
          </w:p>
        </w:tc>
      </w:tr>
      <w:tr w14:paraId="45E0A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5426BE9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22</w:t>
            </w:r>
          </w:p>
        </w:tc>
        <w:tc>
          <w:tcPr>
            <w:tcW w:w="732" w:type="pct"/>
            <w:tcBorders>
              <w:tl2br w:val="nil"/>
              <w:tr2bl w:val="nil"/>
            </w:tcBorders>
            <w:shd w:val="clear" w:color="auto" w:fill="auto"/>
            <w:vAlign w:val="center"/>
          </w:tcPr>
          <w:p w14:paraId="6D78774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SC-LC双芯单模跳线，2米</w:t>
            </w:r>
          </w:p>
        </w:tc>
        <w:tc>
          <w:tcPr>
            <w:tcW w:w="2829" w:type="pct"/>
            <w:tcBorders>
              <w:tl2br w:val="nil"/>
              <w:tr2bl w:val="nil"/>
            </w:tcBorders>
            <w:shd w:val="clear" w:color="auto" w:fill="auto"/>
            <w:vAlign w:val="center"/>
          </w:tcPr>
          <w:p w14:paraId="5ED6FE23">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2米，OS2零水峰纤芯，OFNR阻燃护套，插入损耗小于0.3dB，工作温度-40~75度。</w:t>
            </w:r>
          </w:p>
        </w:tc>
        <w:tc>
          <w:tcPr>
            <w:tcW w:w="384" w:type="pct"/>
            <w:tcBorders>
              <w:tl2br w:val="nil"/>
              <w:tr2bl w:val="nil"/>
            </w:tcBorders>
            <w:shd w:val="clear" w:color="auto" w:fill="auto"/>
            <w:vAlign w:val="center"/>
          </w:tcPr>
          <w:p w14:paraId="05AF948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4B426DD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根</w:t>
            </w:r>
          </w:p>
        </w:tc>
        <w:tc>
          <w:tcPr>
            <w:tcW w:w="320" w:type="pct"/>
            <w:tcBorders>
              <w:tl2br w:val="nil"/>
              <w:tr2bl w:val="nil"/>
            </w:tcBorders>
            <w:shd w:val="clear" w:color="auto" w:fill="auto"/>
            <w:vAlign w:val="center"/>
          </w:tcPr>
          <w:p w14:paraId="0912047C">
            <w:pPr>
              <w:widowControl/>
              <w:adjustRightInd/>
              <w:jc w:val="center"/>
              <w:textAlignment w:val="center"/>
              <w:rPr>
                <w:rFonts w:hint="eastAsia" w:ascii="宋体" w:hAnsi="宋体" w:cs="宋体"/>
                <w:color w:val="000000"/>
                <w:kern w:val="0"/>
                <w:sz w:val="20"/>
                <w:szCs w:val="20"/>
                <w:lang w:bidi="ar"/>
              </w:rPr>
            </w:pPr>
          </w:p>
        </w:tc>
      </w:tr>
      <w:tr w14:paraId="32F4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29E0F11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732" w:type="pct"/>
            <w:tcBorders>
              <w:tl2br w:val="nil"/>
              <w:tr2bl w:val="nil"/>
            </w:tcBorders>
            <w:shd w:val="clear" w:color="auto" w:fill="auto"/>
            <w:vAlign w:val="center"/>
          </w:tcPr>
          <w:p w14:paraId="09BA406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光纤熔接</w:t>
            </w:r>
          </w:p>
        </w:tc>
        <w:tc>
          <w:tcPr>
            <w:tcW w:w="2829" w:type="pct"/>
            <w:tcBorders>
              <w:tl2br w:val="nil"/>
              <w:tr2bl w:val="nil"/>
            </w:tcBorders>
            <w:shd w:val="clear" w:color="auto" w:fill="auto"/>
            <w:vAlign w:val="center"/>
          </w:tcPr>
          <w:p w14:paraId="53FEB0E7">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熔接点</w:t>
            </w:r>
          </w:p>
        </w:tc>
        <w:tc>
          <w:tcPr>
            <w:tcW w:w="384" w:type="pct"/>
            <w:tcBorders>
              <w:tl2br w:val="nil"/>
              <w:tr2bl w:val="nil"/>
            </w:tcBorders>
            <w:shd w:val="clear" w:color="auto" w:fill="auto"/>
            <w:vAlign w:val="center"/>
          </w:tcPr>
          <w:p w14:paraId="72CC5C4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427" w:type="pct"/>
            <w:tcBorders>
              <w:tl2br w:val="nil"/>
              <w:tr2bl w:val="nil"/>
            </w:tcBorders>
            <w:shd w:val="clear" w:color="auto" w:fill="auto"/>
            <w:vAlign w:val="center"/>
          </w:tcPr>
          <w:p w14:paraId="35DE682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点</w:t>
            </w:r>
          </w:p>
        </w:tc>
        <w:tc>
          <w:tcPr>
            <w:tcW w:w="320" w:type="pct"/>
            <w:tcBorders>
              <w:tl2br w:val="nil"/>
              <w:tr2bl w:val="nil"/>
            </w:tcBorders>
            <w:shd w:val="clear" w:color="auto" w:fill="auto"/>
            <w:vAlign w:val="center"/>
          </w:tcPr>
          <w:p w14:paraId="23944379">
            <w:pPr>
              <w:widowControl/>
              <w:adjustRightInd/>
              <w:jc w:val="center"/>
              <w:textAlignment w:val="center"/>
              <w:rPr>
                <w:rFonts w:hint="eastAsia" w:ascii="宋体" w:hAnsi="宋体" w:cs="宋体"/>
                <w:color w:val="000000"/>
                <w:kern w:val="0"/>
                <w:sz w:val="20"/>
                <w:szCs w:val="20"/>
                <w:lang w:bidi="ar"/>
              </w:rPr>
            </w:pPr>
          </w:p>
        </w:tc>
      </w:tr>
      <w:tr w14:paraId="43D34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306" w:type="pct"/>
            <w:tcBorders>
              <w:tl2br w:val="nil"/>
              <w:tr2bl w:val="nil"/>
            </w:tcBorders>
            <w:shd w:val="clear" w:color="auto" w:fill="auto"/>
            <w:vAlign w:val="center"/>
          </w:tcPr>
          <w:p w14:paraId="436537B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732" w:type="pct"/>
            <w:tcBorders>
              <w:tl2br w:val="nil"/>
              <w:tr2bl w:val="nil"/>
            </w:tcBorders>
            <w:shd w:val="clear" w:color="auto" w:fill="auto"/>
            <w:vAlign w:val="center"/>
          </w:tcPr>
          <w:p w14:paraId="436F392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42U机柜</w:t>
            </w:r>
          </w:p>
        </w:tc>
        <w:tc>
          <w:tcPr>
            <w:tcW w:w="2829" w:type="pct"/>
            <w:tcBorders>
              <w:tl2br w:val="nil"/>
              <w:tr2bl w:val="nil"/>
            </w:tcBorders>
            <w:shd w:val="clear" w:color="auto" w:fill="auto"/>
            <w:vAlign w:val="center"/>
          </w:tcPr>
          <w:p w14:paraId="03251174">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规格：≥600×600×2000mm，钢化玻璃带网孔条前门，分段式网孔后门，快开式侧板。</w:t>
            </w:r>
          </w:p>
        </w:tc>
        <w:tc>
          <w:tcPr>
            <w:tcW w:w="384" w:type="pct"/>
            <w:tcBorders>
              <w:tl2br w:val="nil"/>
              <w:tr2bl w:val="nil"/>
            </w:tcBorders>
            <w:shd w:val="clear" w:color="auto" w:fill="auto"/>
            <w:vAlign w:val="center"/>
          </w:tcPr>
          <w:p w14:paraId="7EB71A7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3CC24D7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30F11211">
            <w:pPr>
              <w:widowControl/>
              <w:adjustRightInd/>
              <w:jc w:val="center"/>
              <w:textAlignment w:val="center"/>
              <w:rPr>
                <w:rFonts w:hint="eastAsia" w:ascii="宋体" w:hAnsi="宋体" w:cs="宋体"/>
                <w:color w:val="000000"/>
                <w:kern w:val="0"/>
                <w:sz w:val="20"/>
                <w:szCs w:val="20"/>
                <w:lang w:bidi="ar"/>
              </w:rPr>
            </w:pPr>
          </w:p>
        </w:tc>
      </w:tr>
      <w:tr w14:paraId="02194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675118CC">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二、计算机网络系统</w:t>
            </w:r>
          </w:p>
        </w:tc>
        <w:tc>
          <w:tcPr>
            <w:tcW w:w="384" w:type="pct"/>
            <w:tcBorders>
              <w:tl2br w:val="nil"/>
              <w:tr2bl w:val="nil"/>
            </w:tcBorders>
            <w:shd w:val="clear" w:color="auto" w:fill="auto"/>
            <w:vAlign w:val="center"/>
          </w:tcPr>
          <w:p w14:paraId="24751437">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10FF4B90">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242116E6">
            <w:pPr>
              <w:adjustRightInd/>
              <w:jc w:val="center"/>
              <w:rPr>
                <w:rFonts w:hint="eastAsia" w:ascii="宋体" w:hAnsi="宋体" w:cs="宋体"/>
                <w:color w:val="000000"/>
                <w:sz w:val="20"/>
                <w:szCs w:val="20"/>
              </w:rPr>
            </w:pPr>
          </w:p>
        </w:tc>
      </w:tr>
      <w:tr w14:paraId="533D3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0" w:hRule="atLeast"/>
          <w:jc w:val="center"/>
        </w:trPr>
        <w:tc>
          <w:tcPr>
            <w:tcW w:w="306" w:type="pct"/>
            <w:tcBorders>
              <w:tl2br w:val="nil"/>
              <w:tr2bl w:val="nil"/>
            </w:tcBorders>
            <w:shd w:val="clear" w:color="auto" w:fill="auto"/>
            <w:vAlign w:val="center"/>
          </w:tcPr>
          <w:p w14:paraId="480E586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22874AC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小型学校核心交换机</w:t>
            </w:r>
          </w:p>
        </w:tc>
        <w:tc>
          <w:tcPr>
            <w:tcW w:w="2829" w:type="pct"/>
            <w:tcBorders>
              <w:tl2br w:val="nil"/>
              <w:tr2bl w:val="nil"/>
            </w:tcBorders>
            <w:shd w:val="clear" w:color="auto" w:fill="auto"/>
            <w:vAlign w:val="center"/>
          </w:tcPr>
          <w:p w14:paraId="6F29B7DA">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1.交换容量≥24Tbps，包转发率≥762Mpps。固化1000M SFP光接口≥24个，复用的10/100/1000M电口≥8个，1G/10G SFP+光口≥8个；支持在64/128/256/512/1024/1280/1518Bytes下线速转发。</w:t>
            </w:r>
          </w:p>
          <w:p w14:paraId="7B553C41">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★2.设备可提供1个业务扩展槽，可支持扩展4个10G或2个100G端口，</w:t>
            </w:r>
            <w:r>
              <w:rPr>
                <w:rFonts w:hint="eastAsia" w:ascii="宋体" w:hAnsi="宋体" w:cs="宋体"/>
                <w:b/>
                <w:bCs/>
                <w:color w:val="000000"/>
                <w:sz w:val="20"/>
                <w:szCs w:val="20"/>
              </w:rPr>
              <w:t>提供官网截图和链接证明</w:t>
            </w:r>
            <w:r>
              <w:rPr>
                <w:rFonts w:hint="eastAsia" w:ascii="宋体" w:hAnsi="宋体" w:cs="宋体"/>
                <w:color w:val="000000"/>
                <w:sz w:val="20"/>
                <w:szCs w:val="20"/>
              </w:rPr>
              <w:t>。</w:t>
            </w:r>
          </w:p>
          <w:p w14:paraId="1FB5E17D">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3.支持2个模块化电源插槽，可实现1+1冗余。</w:t>
            </w:r>
          </w:p>
          <w:p w14:paraId="13FAA02F">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4.采用两个FLASH芯片存储BOOT软件（系统引导程序），实现硬件级BOOT冗余备份，避免因FLASH芯片故障导致交换机无法启动。</w:t>
            </w:r>
          </w:p>
          <w:p w14:paraId="109A1679">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5.为保证设备在受到外界机械碰撞时能够正常运行，要求所投交换机IK防护测试级别至少达到IK05。</w:t>
            </w:r>
          </w:p>
          <w:p w14:paraId="783D4C85">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6.支持RIP/RIPng，OSPFv2/v3，BGP4/4+，IS-ISv4/v6，支持IGMP v1/v2/v3，PIM-SM等组播协议，支持基于IPv4/IPv6五元组、基于源/目的MAC、基于VLAN、基于802.1P优先级的ACL。</w:t>
            </w:r>
          </w:p>
          <w:p w14:paraId="1EA38925">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7.支持特有的CPU保护策略，对发往CPU的数据流，进行流区分和优先级队列分级处理，并根据需要实施带宽限速，充分保护CPU不被非法流量占用、恶意攻击和资源消耗。</w:t>
            </w:r>
          </w:p>
          <w:p w14:paraId="01D37BB7">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8.支持基础网络保护策略，限制用户向网络中发送ARP报文、ICMP请求报文、DHCP请求报文的数率，对超过限速阈值的报文进行丢弃处理，能够识别攻击行为，对有攻击行为的用户进行隔离。</w:t>
            </w:r>
          </w:p>
          <w:p w14:paraId="2B3CBA2C">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9.支持VXLAN二层网桥、VXLAN三层网关，支持EVPN VXLAN</w:t>
            </w:r>
          </w:p>
          <w:p w14:paraId="78546563">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★10.支持基于流的采样功能，对所选数据流包头中的源IP地址、目的IP地址、协议号、源端口号、包长等信息进行采样，并发送至网管主机，</w:t>
            </w:r>
            <w:r>
              <w:rPr>
                <w:rFonts w:hint="eastAsia" w:ascii="宋体" w:hAnsi="宋体" w:cs="宋体"/>
                <w:b/>
                <w:bCs/>
                <w:color w:val="000000"/>
                <w:sz w:val="20"/>
                <w:szCs w:val="20"/>
              </w:rPr>
              <w:t>提供具有 CMA或CNAS认证章的第三方权威机构检验报告证明</w:t>
            </w:r>
            <w:r>
              <w:rPr>
                <w:rFonts w:hint="eastAsia" w:ascii="宋体" w:hAnsi="宋体" w:cs="宋体"/>
                <w:color w:val="000000"/>
                <w:sz w:val="20"/>
                <w:szCs w:val="20"/>
              </w:rPr>
              <w:t>。</w:t>
            </w:r>
          </w:p>
          <w:p w14:paraId="57B5F3FF">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11.支持虚拟化功能，可将多台物理设备虚拟化为一台逻辑设备统一管理，并且链路故障的收敛时间达到毫秒级。</w:t>
            </w:r>
          </w:p>
          <w:p w14:paraId="10DE2A17">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12.为保证IPv6的可部署性和应用性，所投交换机需具备IPv6 Ready Phase2认证证书，要求投标产品型号与获证产品型号一致。</w:t>
            </w:r>
          </w:p>
        </w:tc>
        <w:tc>
          <w:tcPr>
            <w:tcW w:w="384" w:type="pct"/>
            <w:tcBorders>
              <w:tl2br w:val="nil"/>
              <w:tr2bl w:val="nil"/>
            </w:tcBorders>
            <w:shd w:val="clear" w:color="auto" w:fill="auto"/>
            <w:vAlign w:val="center"/>
          </w:tcPr>
          <w:p w14:paraId="0B55383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698071D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7B263B79">
            <w:pPr>
              <w:widowControl/>
              <w:adjustRightInd/>
              <w:jc w:val="center"/>
              <w:textAlignment w:val="center"/>
              <w:rPr>
                <w:rFonts w:hint="eastAsia" w:ascii="宋体" w:hAnsi="宋体" w:cs="宋体"/>
                <w:color w:val="000000"/>
                <w:kern w:val="0"/>
                <w:sz w:val="20"/>
                <w:szCs w:val="20"/>
                <w:lang w:bidi="ar"/>
              </w:rPr>
            </w:pPr>
          </w:p>
        </w:tc>
      </w:tr>
      <w:tr w14:paraId="4E38F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2F3C886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6F51A85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48口交换机</w:t>
            </w:r>
          </w:p>
        </w:tc>
        <w:tc>
          <w:tcPr>
            <w:tcW w:w="2829" w:type="pct"/>
            <w:tcBorders>
              <w:tl2br w:val="nil"/>
              <w:tr2bl w:val="nil"/>
            </w:tcBorders>
            <w:shd w:val="clear" w:color="auto" w:fill="auto"/>
            <w:vAlign w:val="center"/>
          </w:tcPr>
          <w:p w14:paraId="2507E99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1.交换容量≥3.3Tbps，包转发率≥144Mpps。固化10/100/1000M以太网电口≥48，1000M/2.5G SFP千兆光接口≥4个。</w:t>
            </w:r>
          </w:p>
          <w:p w14:paraId="278E4AB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2.绿色节能：要求支持高效节能以太网特性。端口如果在连续一段时间之内空闲，系统会将该端口设置为节能模式，当有报文收发时再通过定时发送的监听码流唤醒端口恢复业务，达到节能的效果。</w:t>
            </w:r>
          </w:p>
          <w:p w14:paraId="2F1EC2F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127B1E2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★4.要求所投产品端口浪涌抗扰度≥10KV（即具备10KV的防雷能力），</w:t>
            </w:r>
            <w:r>
              <w:rPr>
                <w:rFonts w:hint="eastAsia" w:ascii="宋体" w:hAnsi="宋体" w:cs="宋体"/>
                <w:b/>
                <w:bCs/>
                <w:color w:val="000000"/>
                <w:kern w:val="0"/>
                <w:sz w:val="20"/>
                <w:szCs w:val="20"/>
                <w:lang w:bidi="ar"/>
              </w:rPr>
              <w:t>提供官网截图和链接证明</w:t>
            </w:r>
          </w:p>
          <w:p w14:paraId="58B3D4F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5.支持专门针对CPU的保护机制，能够针对发往CPU处理的各种报文进行流区分和优先级队列分级处理，保护交换机在各种环境下稳定工作</w:t>
            </w:r>
          </w:p>
          <w:p w14:paraId="69C8177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6.支持基础网络保护策略，能够限制用户向网络中发送ARP报文、ICMP请求报文、DHCP请求报文等数据包的数率，对超过限速阈值的报文进行丢弃处理，甚至能够识别攻击行为，对有攻击行为的用户进行隔离。</w:t>
            </w:r>
          </w:p>
          <w:p w14:paraId="1DF5768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7.配合云管平台支持基于网关的网络拓扑自动发现，并以图形化形式呈现；支持基于云的工具箱功能（配置下发、配置备份、配置恢复、命令调试、访问eWeb、访问Telnet、访问SSH、重启、设备升级）；</w:t>
            </w:r>
          </w:p>
          <w:p w14:paraId="01817F6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8.支持快速以太网链路检测协议，可快速检测链路的通断和光纤链路的单向性，并支持端口下的环路检测功能，防止端口下因私接Hub等设备形成的环路而导致网络故障的现象。</w:t>
            </w:r>
          </w:p>
          <w:p w14:paraId="214E18B2">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9.支持SNMP、CLI(Telnet/Console)、Syslog、NTP、TFTP、Web。</w:t>
            </w:r>
          </w:p>
        </w:tc>
        <w:tc>
          <w:tcPr>
            <w:tcW w:w="384" w:type="pct"/>
            <w:tcBorders>
              <w:tl2br w:val="nil"/>
              <w:tr2bl w:val="nil"/>
            </w:tcBorders>
            <w:shd w:val="clear" w:color="auto" w:fill="auto"/>
            <w:vAlign w:val="center"/>
          </w:tcPr>
          <w:p w14:paraId="344F021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39C0DF2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2CB92D69">
            <w:pPr>
              <w:widowControl/>
              <w:adjustRightInd/>
              <w:jc w:val="center"/>
              <w:textAlignment w:val="center"/>
              <w:rPr>
                <w:rFonts w:hint="eastAsia" w:ascii="宋体" w:hAnsi="宋体" w:cs="宋体"/>
                <w:color w:val="000000"/>
                <w:kern w:val="0"/>
                <w:sz w:val="20"/>
                <w:szCs w:val="20"/>
                <w:lang w:bidi="ar"/>
              </w:rPr>
            </w:pPr>
          </w:p>
        </w:tc>
      </w:tr>
      <w:tr w14:paraId="12A9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4CDEF9E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5B2E2DB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3468CBE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1.交换容量≥3.3Tbps，包转发率≥126Mpps。固化10/100/1000M以太网电口≥24，1000M/2.5G SFP千兆光接口≥4个。</w:t>
            </w:r>
          </w:p>
          <w:p w14:paraId="19BBBF6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★2.支持POE和POE+，同时可POE供电端口≥24个，POE最大输出功率≥370W，PoE满载下整机最大功耗403W。</w:t>
            </w:r>
          </w:p>
          <w:p w14:paraId="00DD05B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3D21AB3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4.绿色节能：要求支持高效节能以太网特性。端口如果在连续一段时间之内空闲，系统会将该端口设置为节能模式，当有报文收发时再通过定时发送的监听码流唤醒端口恢复业务，达到节能的效果。</w:t>
            </w:r>
          </w:p>
          <w:p w14:paraId="184DF50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★5.要求所投产品端口浪涌抗扰度≥10KV（即具备10KV的防雷能力），</w:t>
            </w:r>
            <w:r>
              <w:rPr>
                <w:rFonts w:hint="eastAsia" w:ascii="宋体" w:hAnsi="宋体" w:cs="宋体"/>
                <w:b/>
                <w:bCs/>
                <w:color w:val="000000"/>
                <w:kern w:val="0"/>
                <w:sz w:val="20"/>
                <w:szCs w:val="20"/>
                <w:lang w:bidi="ar"/>
              </w:rPr>
              <w:t>提供官网截图和链接证明。</w:t>
            </w:r>
          </w:p>
          <w:p w14:paraId="0C696FF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39F004D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1C14239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8.配合云管平台支持基于网关的网络拓扑自动发现，并以图形化形式呈现；支持基于云的工具箱功能（配置下发、配置备份、配置恢复、命令调试、访问eWeb、访问Telnet、访问SSH、重启、设备升级）；</w:t>
            </w:r>
          </w:p>
          <w:p w14:paraId="05C2C48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0BAEEBF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auto"/>
            <w:vAlign w:val="center"/>
          </w:tcPr>
          <w:p w14:paraId="0CA6642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2BFED00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58E067EF">
            <w:pPr>
              <w:widowControl/>
              <w:adjustRightInd/>
              <w:jc w:val="center"/>
              <w:textAlignment w:val="center"/>
              <w:rPr>
                <w:rFonts w:hint="eastAsia" w:ascii="宋体" w:hAnsi="宋体" w:cs="宋体"/>
                <w:color w:val="000000"/>
                <w:kern w:val="0"/>
                <w:sz w:val="20"/>
                <w:szCs w:val="20"/>
                <w:lang w:bidi="ar"/>
              </w:rPr>
            </w:pPr>
          </w:p>
        </w:tc>
      </w:tr>
      <w:tr w14:paraId="36633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6143B99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2E39F39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万兆光模块</w:t>
            </w:r>
          </w:p>
        </w:tc>
        <w:tc>
          <w:tcPr>
            <w:tcW w:w="2829" w:type="pct"/>
            <w:tcBorders>
              <w:tl2br w:val="nil"/>
              <w:tr2bl w:val="nil"/>
            </w:tcBorders>
            <w:shd w:val="clear" w:color="auto" w:fill="auto"/>
            <w:vAlign w:val="center"/>
          </w:tcPr>
          <w:p w14:paraId="4525A892">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万兆LC接口模块（1310nm），20km，适用于SFP+接口</w:t>
            </w:r>
          </w:p>
        </w:tc>
        <w:tc>
          <w:tcPr>
            <w:tcW w:w="384" w:type="pct"/>
            <w:tcBorders>
              <w:tl2br w:val="nil"/>
              <w:tr2bl w:val="nil"/>
            </w:tcBorders>
            <w:shd w:val="clear" w:color="auto" w:fill="auto"/>
            <w:vAlign w:val="center"/>
          </w:tcPr>
          <w:p w14:paraId="0890581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277EFA2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7CC2A90A">
            <w:pPr>
              <w:widowControl/>
              <w:adjustRightInd/>
              <w:jc w:val="center"/>
              <w:textAlignment w:val="center"/>
              <w:rPr>
                <w:rFonts w:hint="eastAsia" w:ascii="宋体" w:hAnsi="宋体" w:cs="宋体"/>
                <w:color w:val="000000"/>
                <w:kern w:val="0"/>
                <w:sz w:val="20"/>
                <w:szCs w:val="20"/>
                <w:lang w:bidi="ar"/>
              </w:rPr>
            </w:pPr>
          </w:p>
        </w:tc>
      </w:tr>
      <w:tr w14:paraId="49DF1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0" w:hRule="atLeast"/>
          <w:jc w:val="center"/>
        </w:trPr>
        <w:tc>
          <w:tcPr>
            <w:tcW w:w="306" w:type="pct"/>
            <w:tcBorders>
              <w:tl2br w:val="nil"/>
              <w:tr2bl w:val="nil"/>
            </w:tcBorders>
            <w:shd w:val="clear" w:color="auto" w:fill="auto"/>
            <w:vAlign w:val="center"/>
          </w:tcPr>
          <w:p w14:paraId="77DBC79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40DFA1B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1C2BF80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5E70E9F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r>
              <w:rPr>
                <w:rFonts w:hint="eastAsia" w:ascii="宋体" w:hAnsi="宋体" w:cs="宋体"/>
                <w:b/>
                <w:bCs/>
                <w:color w:val="000000"/>
                <w:kern w:val="0"/>
                <w:sz w:val="20"/>
                <w:szCs w:val="20"/>
                <w:lang w:bidi="ar"/>
              </w:rPr>
              <w:t>提供官网截图和链接证明。</w:t>
            </w:r>
          </w:p>
          <w:p w14:paraId="47D80DF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371A81A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r>
              <w:rPr>
                <w:rFonts w:hint="eastAsia" w:ascii="宋体" w:hAnsi="宋体" w:cs="宋体"/>
                <w:b/>
                <w:bCs/>
                <w:color w:val="000000"/>
                <w:kern w:val="0"/>
                <w:sz w:val="20"/>
                <w:szCs w:val="20"/>
                <w:lang w:bidi="ar"/>
              </w:rPr>
              <w:t>提供官网截图和链接证明</w:t>
            </w:r>
            <w:r>
              <w:rPr>
                <w:rFonts w:hint="eastAsia" w:ascii="宋体" w:hAnsi="宋体" w:cs="宋体"/>
                <w:color w:val="000000"/>
                <w:kern w:val="0"/>
                <w:sz w:val="20"/>
                <w:szCs w:val="20"/>
                <w:lang w:bidi="ar"/>
              </w:rPr>
              <w:t>。</w:t>
            </w:r>
          </w:p>
          <w:p w14:paraId="6C1C806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53E050A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71C25ACC">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auto"/>
            <w:vAlign w:val="center"/>
          </w:tcPr>
          <w:p w14:paraId="11D6038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18</w:t>
            </w:r>
          </w:p>
        </w:tc>
        <w:tc>
          <w:tcPr>
            <w:tcW w:w="427" w:type="pct"/>
            <w:tcBorders>
              <w:tl2br w:val="nil"/>
              <w:tr2bl w:val="nil"/>
            </w:tcBorders>
            <w:shd w:val="clear" w:color="auto" w:fill="auto"/>
            <w:vAlign w:val="center"/>
          </w:tcPr>
          <w:p w14:paraId="3E08DA2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59CD16C2">
            <w:pPr>
              <w:widowControl/>
              <w:adjustRightInd/>
              <w:jc w:val="center"/>
              <w:textAlignment w:val="center"/>
              <w:rPr>
                <w:rFonts w:hint="eastAsia" w:ascii="宋体" w:hAnsi="宋体" w:cs="宋体"/>
                <w:color w:val="000000"/>
                <w:kern w:val="0"/>
                <w:sz w:val="20"/>
                <w:szCs w:val="20"/>
                <w:lang w:bidi="ar"/>
              </w:rPr>
            </w:pPr>
          </w:p>
        </w:tc>
      </w:tr>
      <w:tr w14:paraId="673F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5" w:hRule="atLeast"/>
          <w:jc w:val="center"/>
        </w:trPr>
        <w:tc>
          <w:tcPr>
            <w:tcW w:w="306" w:type="pct"/>
            <w:tcBorders>
              <w:tl2br w:val="nil"/>
              <w:tr2bl w:val="nil"/>
            </w:tcBorders>
            <w:shd w:val="clear" w:color="auto" w:fill="auto"/>
            <w:vAlign w:val="center"/>
          </w:tcPr>
          <w:p w14:paraId="2907221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27385C8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37827213">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b/>
                <w:bCs/>
                <w:color w:val="000000"/>
                <w:kern w:val="0"/>
                <w:sz w:val="20"/>
                <w:szCs w:val="20"/>
                <w:lang w:bidi="ar"/>
              </w:rPr>
              <w:t>提供官网截图和链接证明</w:t>
            </w:r>
            <w:r>
              <w:rPr>
                <w:rFonts w:hint="eastAsia" w:ascii="宋体" w:hAnsi="宋体" w:cs="宋体"/>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具有</w:t>
            </w:r>
            <w:r>
              <w:rPr>
                <w:rFonts w:hint="eastAsia" w:ascii="宋体" w:hAnsi="宋体" w:cs="宋体"/>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auto"/>
            <w:vAlign w:val="center"/>
          </w:tcPr>
          <w:p w14:paraId="0209E0D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427" w:type="pct"/>
            <w:tcBorders>
              <w:tl2br w:val="nil"/>
              <w:tr2bl w:val="nil"/>
            </w:tcBorders>
            <w:shd w:val="clear" w:color="auto" w:fill="auto"/>
            <w:vAlign w:val="center"/>
          </w:tcPr>
          <w:p w14:paraId="7DDFD31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22A1CB9A">
            <w:pPr>
              <w:widowControl/>
              <w:adjustRightInd/>
              <w:jc w:val="center"/>
              <w:textAlignment w:val="center"/>
              <w:rPr>
                <w:rFonts w:hint="eastAsia" w:ascii="宋体" w:hAnsi="宋体" w:cs="宋体"/>
                <w:color w:val="000000"/>
                <w:kern w:val="0"/>
                <w:sz w:val="20"/>
                <w:szCs w:val="20"/>
                <w:lang w:bidi="ar"/>
              </w:rPr>
            </w:pPr>
          </w:p>
        </w:tc>
      </w:tr>
      <w:tr w14:paraId="1889A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6043240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732" w:type="pct"/>
            <w:tcBorders>
              <w:tl2br w:val="nil"/>
              <w:tr2bl w:val="nil"/>
            </w:tcBorders>
            <w:shd w:val="clear" w:color="auto" w:fill="auto"/>
            <w:vAlign w:val="center"/>
          </w:tcPr>
          <w:p w14:paraId="07FD03B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千兆光模块</w:t>
            </w:r>
          </w:p>
        </w:tc>
        <w:tc>
          <w:tcPr>
            <w:tcW w:w="2829" w:type="pct"/>
            <w:tcBorders>
              <w:tl2br w:val="nil"/>
              <w:tr2bl w:val="nil"/>
            </w:tcBorders>
            <w:shd w:val="clear" w:color="auto" w:fill="auto"/>
            <w:vAlign w:val="center"/>
          </w:tcPr>
          <w:p w14:paraId="41B99EF1">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auto"/>
            <w:vAlign w:val="center"/>
          </w:tcPr>
          <w:p w14:paraId="1F29064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23F676A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320" w:type="pct"/>
            <w:tcBorders>
              <w:tl2br w:val="nil"/>
              <w:tr2bl w:val="nil"/>
            </w:tcBorders>
            <w:shd w:val="clear" w:color="auto" w:fill="auto"/>
            <w:vAlign w:val="center"/>
          </w:tcPr>
          <w:p w14:paraId="0C9DEF19">
            <w:pPr>
              <w:widowControl/>
              <w:adjustRightInd/>
              <w:jc w:val="center"/>
              <w:textAlignment w:val="center"/>
              <w:rPr>
                <w:rFonts w:hint="eastAsia" w:ascii="宋体" w:hAnsi="宋体" w:cs="宋体"/>
                <w:color w:val="000000"/>
                <w:kern w:val="0"/>
                <w:sz w:val="20"/>
                <w:szCs w:val="20"/>
                <w:lang w:bidi="ar"/>
              </w:rPr>
            </w:pPr>
          </w:p>
        </w:tc>
      </w:tr>
      <w:tr w14:paraId="7DAC2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39C61872">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二、集成及安装</w:t>
            </w:r>
          </w:p>
        </w:tc>
        <w:tc>
          <w:tcPr>
            <w:tcW w:w="384" w:type="pct"/>
            <w:tcBorders>
              <w:tl2br w:val="nil"/>
              <w:tr2bl w:val="nil"/>
            </w:tcBorders>
            <w:shd w:val="clear" w:color="auto" w:fill="auto"/>
            <w:vAlign w:val="center"/>
          </w:tcPr>
          <w:p w14:paraId="7DC76DE2">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68CF1016">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363C82A5">
            <w:pPr>
              <w:adjustRightInd/>
              <w:jc w:val="center"/>
              <w:rPr>
                <w:rFonts w:hint="eastAsia" w:ascii="宋体" w:hAnsi="宋体" w:cs="宋体"/>
                <w:color w:val="000000"/>
                <w:sz w:val="20"/>
                <w:szCs w:val="20"/>
              </w:rPr>
            </w:pPr>
          </w:p>
        </w:tc>
      </w:tr>
      <w:tr w14:paraId="3335B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7A540F12">
            <w:pPr>
              <w:widowControl/>
              <w:adjustRightInd/>
              <w:jc w:val="center"/>
              <w:textAlignment w:val="center"/>
              <w:rPr>
                <w:rFonts w:hint="eastAsia" w:ascii="宋体" w:hAnsi="宋体" w:eastAsia="宋体" w:cs="宋体"/>
                <w:color w:val="000000"/>
                <w:sz w:val="20"/>
                <w:szCs w:val="20"/>
                <w:lang w:eastAsia="zh-CN"/>
              </w:rPr>
            </w:pPr>
            <w:r>
              <w:rPr>
                <w:rFonts w:hint="eastAsia" w:ascii="宋体" w:hAnsi="宋体" w:cs="宋体"/>
                <w:color w:val="000000"/>
                <w:kern w:val="0"/>
                <w:sz w:val="20"/>
                <w:szCs w:val="20"/>
                <w:lang w:val="en-US" w:eastAsia="zh-CN" w:bidi="ar"/>
              </w:rPr>
              <w:t>1</w:t>
            </w:r>
          </w:p>
        </w:tc>
        <w:tc>
          <w:tcPr>
            <w:tcW w:w="732" w:type="pct"/>
            <w:tcBorders>
              <w:tl2br w:val="nil"/>
              <w:tr2bl w:val="nil"/>
            </w:tcBorders>
            <w:shd w:val="clear" w:color="auto" w:fill="auto"/>
            <w:vAlign w:val="center"/>
          </w:tcPr>
          <w:p w14:paraId="7BF153D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安装集成费</w:t>
            </w:r>
          </w:p>
        </w:tc>
        <w:tc>
          <w:tcPr>
            <w:tcW w:w="2829" w:type="pct"/>
            <w:tcBorders>
              <w:tl2br w:val="nil"/>
              <w:tr2bl w:val="nil"/>
            </w:tcBorders>
            <w:shd w:val="clear" w:color="auto" w:fill="auto"/>
            <w:vAlign w:val="center"/>
          </w:tcPr>
          <w:p w14:paraId="29A155CA">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保证系统正常运行使用，及其后续维护工作。</w:t>
            </w:r>
          </w:p>
        </w:tc>
        <w:tc>
          <w:tcPr>
            <w:tcW w:w="384" w:type="pct"/>
            <w:tcBorders>
              <w:tl2br w:val="nil"/>
              <w:tr2bl w:val="nil"/>
            </w:tcBorders>
            <w:shd w:val="clear" w:color="auto" w:fill="auto"/>
            <w:vAlign w:val="center"/>
          </w:tcPr>
          <w:p w14:paraId="6D91429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5345A53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6DBD4417">
            <w:pPr>
              <w:widowControl/>
              <w:adjustRightInd/>
              <w:jc w:val="center"/>
              <w:textAlignment w:val="center"/>
              <w:rPr>
                <w:rFonts w:hint="eastAsia" w:ascii="宋体" w:hAnsi="宋体" w:cs="宋体"/>
                <w:color w:val="000000"/>
                <w:kern w:val="0"/>
                <w:sz w:val="20"/>
                <w:szCs w:val="20"/>
                <w:lang w:bidi="ar"/>
              </w:rPr>
            </w:pPr>
          </w:p>
        </w:tc>
      </w:tr>
      <w:tr w14:paraId="2E894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7A44AB59">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宁海县星海小学线网络改造</w:t>
            </w:r>
          </w:p>
        </w:tc>
        <w:tc>
          <w:tcPr>
            <w:tcW w:w="384" w:type="pct"/>
            <w:tcBorders>
              <w:tl2br w:val="nil"/>
              <w:tr2bl w:val="nil"/>
            </w:tcBorders>
            <w:shd w:val="clear" w:color="auto" w:fill="auto"/>
            <w:vAlign w:val="center"/>
          </w:tcPr>
          <w:p w14:paraId="66C13AAC">
            <w:pPr>
              <w:adjustRightInd/>
              <w:jc w:val="center"/>
              <w:rPr>
                <w:rFonts w:hint="eastAsia" w:ascii="宋体" w:hAnsi="宋体" w:cs="宋体"/>
                <w:b/>
                <w:bCs/>
                <w:color w:val="000000"/>
                <w:sz w:val="20"/>
                <w:szCs w:val="20"/>
              </w:rPr>
            </w:pPr>
          </w:p>
        </w:tc>
        <w:tc>
          <w:tcPr>
            <w:tcW w:w="427" w:type="pct"/>
            <w:tcBorders>
              <w:tl2br w:val="nil"/>
              <w:tr2bl w:val="nil"/>
            </w:tcBorders>
            <w:shd w:val="clear" w:color="auto" w:fill="auto"/>
            <w:vAlign w:val="center"/>
          </w:tcPr>
          <w:p w14:paraId="378B073B">
            <w:pPr>
              <w:adjustRightInd/>
              <w:jc w:val="center"/>
              <w:rPr>
                <w:rFonts w:hint="eastAsia" w:ascii="宋体" w:hAnsi="宋体" w:cs="宋体"/>
                <w:b/>
                <w:bCs/>
                <w:color w:val="000000"/>
                <w:sz w:val="20"/>
                <w:szCs w:val="20"/>
              </w:rPr>
            </w:pPr>
          </w:p>
        </w:tc>
        <w:tc>
          <w:tcPr>
            <w:tcW w:w="320" w:type="pct"/>
            <w:tcBorders>
              <w:tl2br w:val="nil"/>
              <w:tr2bl w:val="nil"/>
            </w:tcBorders>
            <w:shd w:val="clear" w:color="auto" w:fill="auto"/>
            <w:vAlign w:val="center"/>
          </w:tcPr>
          <w:p w14:paraId="0F1675B4">
            <w:pPr>
              <w:adjustRightInd/>
              <w:jc w:val="center"/>
              <w:rPr>
                <w:rFonts w:hint="eastAsia" w:ascii="宋体" w:hAnsi="宋体" w:cs="宋体"/>
                <w:b/>
                <w:bCs/>
                <w:color w:val="000000"/>
                <w:sz w:val="20"/>
                <w:szCs w:val="20"/>
              </w:rPr>
            </w:pPr>
          </w:p>
        </w:tc>
      </w:tr>
      <w:tr w14:paraId="3AAA8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07DBE208">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一、无线网络设备</w:t>
            </w:r>
          </w:p>
        </w:tc>
        <w:tc>
          <w:tcPr>
            <w:tcW w:w="384" w:type="pct"/>
            <w:tcBorders>
              <w:tl2br w:val="nil"/>
              <w:tr2bl w:val="nil"/>
            </w:tcBorders>
            <w:shd w:val="clear" w:color="auto" w:fill="auto"/>
            <w:vAlign w:val="center"/>
          </w:tcPr>
          <w:p w14:paraId="0500A00E">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7E7077F6">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33134937">
            <w:pPr>
              <w:adjustRightInd/>
              <w:jc w:val="center"/>
              <w:rPr>
                <w:rFonts w:hint="eastAsia" w:ascii="宋体" w:hAnsi="宋体" w:cs="宋体"/>
                <w:color w:val="000000"/>
                <w:sz w:val="20"/>
                <w:szCs w:val="20"/>
              </w:rPr>
            </w:pPr>
          </w:p>
        </w:tc>
      </w:tr>
      <w:tr w14:paraId="29606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0" w:hRule="atLeast"/>
          <w:jc w:val="center"/>
        </w:trPr>
        <w:tc>
          <w:tcPr>
            <w:tcW w:w="306" w:type="pct"/>
            <w:tcBorders>
              <w:tl2br w:val="nil"/>
              <w:tr2bl w:val="nil"/>
            </w:tcBorders>
            <w:shd w:val="clear" w:color="auto" w:fill="auto"/>
            <w:vAlign w:val="center"/>
          </w:tcPr>
          <w:p w14:paraId="0762233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5AD8C89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72FADDA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2103F0D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p>
          <w:p w14:paraId="24A52C9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1A56D8D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p>
          <w:p w14:paraId="6541390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33FB8E3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6F4EB25F">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FFFFFF"/>
            <w:vAlign w:val="center"/>
          </w:tcPr>
          <w:p w14:paraId="3F2E7F0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46</w:t>
            </w:r>
          </w:p>
        </w:tc>
        <w:tc>
          <w:tcPr>
            <w:tcW w:w="427" w:type="pct"/>
            <w:tcBorders>
              <w:tl2br w:val="nil"/>
              <w:tr2bl w:val="nil"/>
            </w:tcBorders>
            <w:shd w:val="clear" w:color="auto" w:fill="FFFFFF"/>
            <w:vAlign w:val="center"/>
          </w:tcPr>
          <w:p w14:paraId="0806066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FFFFFF"/>
            <w:vAlign w:val="center"/>
          </w:tcPr>
          <w:p w14:paraId="0EBC6A8C">
            <w:pPr>
              <w:widowControl/>
              <w:adjustRightInd/>
              <w:jc w:val="center"/>
              <w:textAlignment w:val="center"/>
              <w:rPr>
                <w:rFonts w:hint="eastAsia" w:ascii="宋体" w:hAnsi="宋体" w:cs="宋体"/>
                <w:color w:val="000000"/>
                <w:kern w:val="0"/>
                <w:sz w:val="20"/>
                <w:szCs w:val="20"/>
                <w:lang w:bidi="ar"/>
              </w:rPr>
            </w:pPr>
          </w:p>
        </w:tc>
      </w:tr>
      <w:tr w14:paraId="48821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306" w:type="pct"/>
            <w:tcBorders>
              <w:tl2br w:val="nil"/>
              <w:tr2bl w:val="nil"/>
            </w:tcBorders>
            <w:shd w:val="clear" w:color="auto" w:fill="auto"/>
            <w:vAlign w:val="center"/>
          </w:tcPr>
          <w:p w14:paraId="3161D91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1D2F3C0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48843ADA">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具有</w:t>
            </w:r>
            <w:r>
              <w:rPr>
                <w:rFonts w:hint="eastAsia" w:ascii="宋体" w:hAnsi="宋体" w:cs="宋体"/>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FFFFFF"/>
            <w:vAlign w:val="center"/>
          </w:tcPr>
          <w:p w14:paraId="43E74FD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52</w:t>
            </w:r>
          </w:p>
        </w:tc>
        <w:tc>
          <w:tcPr>
            <w:tcW w:w="427" w:type="pct"/>
            <w:tcBorders>
              <w:tl2br w:val="nil"/>
              <w:tr2bl w:val="nil"/>
            </w:tcBorders>
            <w:shd w:val="clear" w:color="auto" w:fill="FFFFFF"/>
            <w:vAlign w:val="center"/>
          </w:tcPr>
          <w:p w14:paraId="063E35E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FFFFFF"/>
            <w:vAlign w:val="center"/>
          </w:tcPr>
          <w:p w14:paraId="0C317CFD">
            <w:pPr>
              <w:widowControl/>
              <w:adjustRightInd/>
              <w:jc w:val="center"/>
              <w:textAlignment w:val="center"/>
              <w:rPr>
                <w:rFonts w:hint="eastAsia" w:ascii="宋体" w:hAnsi="宋体" w:cs="宋体"/>
                <w:color w:val="000000"/>
                <w:kern w:val="0"/>
                <w:sz w:val="20"/>
                <w:szCs w:val="20"/>
                <w:lang w:bidi="ar"/>
              </w:rPr>
            </w:pPr>
          </w:p>
        </w:tc>
      </w:tr>
      <w:tr w14:paraId="7C1BC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306" w:type="pct"/>
            <w:tcBorders>
              <w:tl2br w:val="nil"/>
              <w:tr2bl w:val="nil"/>
            </w:tcBorders>
            <w:shd w:val="clear" w:color="auto" w:fill="auto"/>
            <w:vAlign w:val="center"/>
          </w:tcPr>
          <w:p w14:paraId="7D03AC1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2306902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高密AP</w:t>
            </w:r>
          </w:p>
        </w:tc>
        <w:tc>
          <w:tcPr>
            <w:tcW w:w="2829" w:type="pct"/>
            <w:tcBorders>
              <w:tl2br w:val="nil"/>
              <w:tr2bl w:val="nil"/>
            </w:tcBorders>
            <w:shd w:val="clear" w:color="auto" w:fill="auto"/>
            <w:vAlign w:val="center"/>
          </w:tcPr>
          <w:p w14:paraId="05CD80A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★1、支持802.11ax标准；采用三射频设计，一个2.4GHz射频卡，两个5GHz射频卡；整机最大无线速率≥5.375Gbps。整机空间流≥6条。至少支持1个1G以太网接口、1个5G SFP光口。</w:t>
            </w:r>
            <w:r>
              <w:rPr>
                <w:rFonts w:hint="eastAsia" w:ascii="宋体" w:hAnsi="宋体" w:cs="宋体"/>
                <w:b/>
                <w:bCs/>
                <w:color w:val="000000"/>
                <w:kern w:val="0"/>
                <w:sz w:val="20"/>
                <w:szCs w:val="20"/>
                <w:lang w:bidi="ar"/>
              </w:rPr>
              <w:t>提供官网截图和链接证明。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2、支持内置蓝牙5.1。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3、整机功耗≤40W。整机最大接入用户数≥1536。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b/>
                <w:bCs/>
                <w:color w:val="000000"/>
                <w:kern w:val="0"/>
                <w:sz w:val="20"/>
                <w:szCs w:val="20"/>
                <w:lang w:bidi="ar"/>
              </w:rPr>
              <w:t>提供无线电发射设备型号核准证及工信部官网的查询截图。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5、支持PoE/本地DC48V电源两种供电模式。</w:t>
            </w:r>
          </w:p>
        </w:tc>
        <w:tc>
          <w:tcPr>
            <w:tcW w:w="384" w:type="pct"/>
            <w:tcBorders>
              <w:tl2br w:val="nil"/>
              <w:tr2bl w:val="nil"/>
            </w:tcBorders>
            <w:shd w:val="clear" w:color="auto" w:fill="auto"/>
            <w:vAlign w:val="center"/>
          </w:tcPr>
          <w:p w14:paraId="25D5551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427" w:type="pct"/>
            <w:tcBorders>
              <w:tl2br w:val="nil"/>
              <w:tr2bl w:val="nil"/>
            </w:tcBorders>
            <w:shd w:val="clear" w:color="auto" w:fill="FFFFFF"/>
            <w:vAlign w:val="center"/>
          </w:tcPr>
          <w:p w14:paraId="2BF77EF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FFFFFF"/>
            <w:vAlign w:val="center"/>
          </w:tcPr>
          <w:p w14:paraId="48771482">
            <w:pPr>
              <w:widowControl/>
              <w:adjustRightInd/>
              <w:jc w:val="center"/>
              <w:textAlignment w:val="center"/>
              <w:rPr>
                <w:rFonts w:hint="eastAsia" w:ascii="宋体" w:hAnsi="宋体" w:cs="宋体"/>
                <w:color w:val="000000"/>
                <w:kern w:val="0"/>
                <w:sz w:val="20"/>
                <w:szCs w:val="20"/>
                <w:lang w:bidi="ar"/>
              </w:rPr>
            </w:pPr>
          </w:p>
        </w:tc>
      </w:tr>
      <w:tr w14:paraId="15B23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0" w:hRule="atLeast"/>
          <w:jc w:val="center"/>
        </w:trPr>
        <w:tc>
          <w:tcPr>
            <w:tcW w:w="306" w:type="pct"/>
            <w:tcBorders>
              <w:tl2br w:val="nil"/>
              <w:tr2bl w:val="nil"/>
            </w:tcBorders>
            <w:shd w:val="clear" w:color="auto" w:fill="auto"/>
            <w:vAlign w:val="center"/>
          </w:tcPr>
          <w:p w14:paraId="6CEAD17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712B435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6EB5FC9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1.交换容量≥3.3Tbps，包转发率≥126Mpps。固化10/100/1000M以太网电口≥24，1000M/2.5G SFP千兆光接口≥4个。</w:t>
            </w:r>
          </w:p>
          <w:p w14:paraId="596E53F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2.支持POE和POE+，同时可POE供电端口≥24个，POE最大输出功率≥370W，PoE满载下整机最大功耗403W。</w:t>
            </w:r>
          </w:p>
          <w:p w14:paraId="5DB6A31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62E5701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4.绿色节能：要求支持高效节能以太网特性。端口如果在连续一段时间之内空闲，系统会将该端口设置为节能模式，当有报文收发时再通过定时发送的监听码流唤醒端口恢复业务，达到节能的效果。</w:t>
            </w:r>
          </w:p>
          <w:p w14:paraId="62C03A88">
            <w:pPr>
              <w:widowControl/>
              <w:adjustRightInd/>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5.要求所投产品端口浪涌抗扰度≥10KV（即具备10KV的防雷能力）</w:t>
            </w:r>
            <w:r>
              <w:rPr>
                <w:rFonts w:hint="eastAsia" w:ascii="宋体" w:hAnsi="宋体" w:cs="宋体"/>
                <w:color w:val="000000"/>
                <w:kern w:val="0"/>
                <w:sz w:val="20"/>
                <w:szCs w:val="20"/>
                <w:lang w:eastAsia="zh-CN" w:bidi="ar"/>
              </w:rPr>
              <w:t>。</w:t>
            </w:r>
          </w:p>
          <w:p w14:paraId="6EB80EA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55DD39F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09BBC5A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8.配合云管平台支持基于网关的网络拓扑自动发现，并以图形化形式呈现；支持基于云的工具箱功能（配置下发、配置备份、配置恢复、命令调试、访问eWeb、访问Telnet、访问SSH、重启、设备升级）；</w:t>
            </w:r>
          </w:p>
          <w:p w14:paraId="4490122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2759179E">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FFFFFF"/>
            <w:vAlign w:val="center"/>
          </w:tcPr>
          <w:p w14:paraId="0493F67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427" w:type="pct"/>
            <w:tcBorders>
              <w:tl2br w:val="nil"/>
              <w:tr2bl w:val="nil"/>
            </w:tcBorders>
            <w:shd w:val="clear" w:color="auto" w:fill="FFFFFF"/>
            <w:vAlign w:val="center"/>
          </w:tcPr>
          <w:p w14:paraId="37C0EEA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FFFFFF"/>
            <w:vAlign w:val="center"/>
          </w:tcPr>
          <w:p w14:paraId="781F214E">
            <w:pPr>
              <w:widowControl/>
              <w:adjustRightInd/>
              <w:jc w:val="center"/>
              <w:textAlignment w:val="center"/>
              <w:rPr>
                <w:rFonts w:hint="eastAsia" w:ascii="宋体" w:hAnsi="宋体" w:cs="宋体"/>
                <w:color w:val="000000"/>
                <w:kern w:val="0"/>
                <w:sz w:val="20"/>
                <w:szCs w:val="20"/>
                <w:lang w:bidi="ar"/>
              </w:rPr>
            </w:pPr>
          </w:p>
        </w:tc>
      </w:tr>
      <w:tr w14:paraId="576E9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306" w:type="pct"/>
            <w:tcBorders>
              <w:tl2br w:val="nil"/>
              <w:tr2bl w:val="nil"/>
            </w:tcBorders>
            <w:shd w:val="clear" w:color="auto" w:fill="auto"/>
            <w:vAlign w:val="center"/>
          </w:tcPr>
          <w:p w14:paraId="27BE768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1788AF9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8口交换机</w:t>
            </w:r>
          </w:p>
        </w:tc>
        <w:tc>
          <w:tcPr>
            <w:tcW w:w="2829" w:type="pct"/>
            <w:tcBorders>
              <w:tl2br w:val="nil"/>
              <w:tr2bl w:val="nil"/>
            </w:tcBorders>
            <w:shd w:val="clear" w:color="auto" w:fill="auto"/>
            <w:vAlign w:val="center"/>
          </w:tcPr>
          <w:p w14:paraId="2BB036F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1.交换容量≥3.3Tbps，包转发率≥80Mpps，固化10/100/1000M以太网电口≥10，1000M/2.5G SFP千兆光接口≥2个</w:t>
            </w:r>
          </w:p>
          <w:p w14:paraId="575BFAC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2.支持POE和POE+，同时可POE供电端口≥8个，POE最大输出功率≥125W，PoE满载下整机最大功耗141W</w:t>
            </w:r>
          </w:p>
          <w:p w14:paraId="4D1782B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3.绿色节能：要求支持高效节能以太网特性。端口如果在连续一段时间之内空闲，系统会将该端口设置为节能模式，当有报文收发时再通过定时发送的监听码流唤醒端口恢复业务，达到节能的效果。</w:t>
            </w:r>
          </w:p>
          <w:p w14:paraId="0DF63B6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4.为保证设备在受到外界机械碰撞时能够正常运行，要求所投交换机IK防护测试级别至少达到IK05。</w:t>
            </w:r>
          </w:p>
          <w:p w14:paraId="053C7A78">
            <w:pPr>
              <w:widowControl/>
              <w:adjustRightInd/>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5.要求所投产品端口浪涌抗扰度≥10KV（即具备10KV的防雷能力）</w:t>
            </w:r>
            <w:r>
              <w:rPr>
                <w:rFonts w:hint="eastAsia" w:ascii="宋体" w:hAnsi="宋体" w:cs="宋体"/>
                <w:color w:val="000000"/>
                <w:kern w:val="0"/>
                <w:sz w:val="20"/>
                <w:szCs w:val="20"/>
                <w:lang w:eastAsia="zh-CN" w:bidi="ar"/>
              </w:rPr>
              <w:t>。</w:t>
            </w:r>
          </w:p>
          <w:p w14:paraId="42D2A2A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0D978C2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3FF7C4D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w:t>
            </w:r>
            <w:r>
              <w:rPr>
                <w:rFonts w:hint="eastAsia" w:ascii="宋体" w:hAnsi="宋体" w:cs="宋体"/>
                <w:color w:val="000000"/>
                <w:kern w:val="0"/>
                <w:sz w:val="20"/>
                <w:szCs w:val="20"/>
                <w:lang w:bidi="ar"/>
              </w:rPr>
              <w:tab/>
            </w:r>
            <w:r>
              <w:rPr>
                <w:rFonts w:hint="eastAsia" w:ascii="宋体" w:hAnsi="宋体" w:cs="宋体"/>
                <w:color w:val="000000"/>
                <w:kern w:val="0"/>
                <w:sz w:val="20"/>
                <w:szCs w:val="20"/>
                <w:lang w:bidi="ar"/>
              </w:rPr>
              <w:t>配合云管平台支持基于网关的网络拓扑自动发现，并以图形化形式呈现；支持基于云的工具箱功能（配置下发、配置备份、配置恢复、命令调试、访问eWeb、访问Telnet、访问SSH、重启、设备升级）；</w:t>
            </w:r>
          </w:p>
          <w:p w14:paraId="5F2D5ED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0F2790FF">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FFFFFF"/>
            <w:vAlign w:val="center"/>
          </w:tcPr>
          <w:p w14:paraId="351731B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FFFFFF"/>
            <w:vAlign w:val="center"/>
          </w:tcPr>
          <w:p w14:paraId="19648EB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FFFFFF"/>
            <w:vAlign w:val="center"/>
          </w:tcPr>
          <w:p w14:paraId="3C3EEF32">
            <w:pPr>
              <w:widowControl/>
              <w:adjustRightInd/>
              <w:jc w:val="center"/>
              <w:textAlignment w:val="center"/>
              <w:rPr>
                <w:rFonts w:hint="eastAsia" w:ascii="宋体" w:hAnsi="宋体" w:cs="宋体"/>
                <w:color w:val="000000"/>
                <w:kern w:val="0"/>
                <w:sz w:val="20"/>
                <w:szCs w:val="20"/>
                <w:lang w:bidi="ar"/>
              </w:rPr>
            </w:pPr>
          </w:p>
        </w:tc>
      </w:tr>
      <w:tr w14:paraId="28F33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13B133C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5856FE0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2829" w:type="pct"/>
            <w:tcBorders>
              <w:tl2br w:val="nil"/>
              <w:tr2bl w:val="nil"/>
            </w:tcBorders>
            <w:shd w:val="clear" w:color="auto" w:fill="auto"/>
            <w:vAlign w:val="center"/>
          </w:tcPr>
          <w:p w14:paraId="01F09378">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FFFFFF"/>
            <w:vAlign w:val="center"/>
          </w:tcPr>
          <w:p w14:paraId="2CF3927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427" w:type="pct"/>
            <w:tcBorders>
              <w:tl2br w:val="nil"/>
              <w:tr2bl w:val="nil"/>
            </w:tcBorders>
            <w:shd w:val="clear" w:color="auto" w:fill="FFFFFF"/>
            <w:vAlign w:val="center"/>
          </w:tcPr>
          <w:p w14:paraId="13BDDFB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320" w:type="pct"/>
            <w:tcBorders>
              <w:tl2br w:val="nil"/>
              <w:tr2bl w:val="nil"/>
            </w:tcBorders>
            <w:shd w:val="clear" w:color="auto" w:fill="FFFFFF"/>
            <w:vAlign w:val="center"/>
          </w:tcPr>
          <w:p w14:paraId="765BF676">
            <w:pPr>
              <w:widowControl/>
              <w:adjustRightInd/>
              <w:jc w:val="center"/>
              <w:textAlignment w:val="center"/>
              <w:rPr>
                <w:rFonts w:hint="eastAsia" w:ascii="宋体" w:hAnsi="宋体" w:cs="宋体"/>
                <w:color w:val="000000"/>
                <w:kern w:val="0"/>
                <w:sz w:val="20"/>
                <w:szCs w:val="20"/>
                <w:lang w:bidi="ar"/>
              </w:rPr>
            </w:pPr>
          </w:p>
        </w:tc>
      </w:tr>
      <w:tr w14:paraId="3CF9F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jc w:val="center"/>
        </w:trPr>
        <w:tc>
          <w:tcPr>
            <w:tcW w:w="306" w:type="pct"/>
            <w:tcBorders>
              <w:tl2br w:val="nil"/>
              <w:tr2bl w:val="nil"/>
            </w:tcBorders>
            <w:shd w:val="clear" w:color="auto" w:fill="auto"/>
            <w:vAlign w:val="center"/>
          </w:tcPr>
          <w:p w14:paraId="34CA4F8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732" w:type="pct"/>
            <w:tcBorders>
              <w:tl2br w:val="nil"/>
              <w:tr2bl w:val="nil"/>
            </w:tcBorders>
            <w:shd w:val="clear" w:color="auto" w:fill="auto"/>
            <w:vAlign w:val="center"/>
          </w:tcPr>
          <w:p w14:paraId="1C9A4D2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6类非屏蔽双绞线</w:t>
            </w:r>
          </w:p>
        </w:tc>
        <w:tc>
          <w:tcPr>
            <w:tcW w:w="2829" w:type="pct"/>
            <w:tcBorders>
              <w:tl2br w:val="nil"/>
              <w:tr2bl w:val="nil"/>
            </w:tcBorders>
            <w:shd w:val="clear" w:color="auto" w:fill="auto"/>
            <w:vAlign w:val="center"/>
          </w:tcPr>
          <w:p w14:paraId="3147DD1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符合标准：ISO/IEC 11801：2017；YD/T 1019-2013</w:t>
            </w:r>
          </w:p>
          <w:p w14:paraId="045D674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通过标准250MHz带宽测试要求 可扩展到550MHz带宽</w:t>
            </w:r>
          </w:p>
          <w:p w14:paraId="179D939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单根导体直流电阻：≤9.5Ω/100m</w:t>
            </w:r>
          </w:p>
          <w:p w14:paraId="02595FE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额定传输速率(NVP)：≥69%</w:t>
            </w:r>
          </w:p>
          <w:p w14:paraId="20987C6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电缆对数：4对</w:t>
            </w:r>
          </w:p>
          <w:p w14:paraId="29237F8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十字骨架材料：PE混合物</w:t>
            </w:r>
          </w:p>
          <w:p w14:paraId="61594E1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导体材料：无氧圆铜（纯度99.99%）</w:t>
            </w:r>
          </w:p>
          <w:p w14:paraId="60BC61E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最小弯曲半径：10倍电缆外径</w:t>
            </w:r>
          </w:p>
          <w:p w14:paraId="7D86A09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导体线规：23AWG</w:t>
            </w:r>
          </w:p>
          <w:p w14:paraId="706EA6B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绝缘材料：HDPE</w:t>
            </w:r>
          </w:p>
          <w:p w14:paraId="235F59A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屏蔽方式：U/UTP</w:t>
            </w:r>
          </w:p>
          <w:p w14:paraId="3E0DA39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外护套材料：LSZH低烟无卤</w:t>
            </w:r>
          </w:p>
          <w:p w14:paraId="75B9E31D">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工作温度：-20℃～+60℃</w:t>
            </w:r>
          </w:p>
        </w:tc>
        <w:tc>
          <w:tcPr>
            <w:tcW w:w="384" w:type="pct"/>
            <w:tcBorders>
              <w:tl2br w:val="nil"/>
              <w:tr2bl w:val="nil"/>
            </w:tcBorders>
            <w:shd w:val="clear" w:color="auto" w:fill="auto"/>
            <w:vAlign w:val="center"/>
          </w:tcPr>
          <w:p w14:paraId="5B22C9E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17</w:t>
            </w:r>
          </w:p>
        </w:tc>
        <w:tc>
          <w:tcPr>
            <w:tcW w:w="427" w:type="pct"/>
            <w:tcBorders>
              <w:tl2br w:val="nil"/>
              <w:tr2bl w:val="nil"/>
            </w:tcBorders>
            <w:shd w:val="clear" w:color="auto" w:fill="auto"/>
            <w:vAlign w:val="center"/>
          </w:tcPr>
          <w:p w14:paraId="13D2BD0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320" w:type="pct"/>
            <w:tcBorders>
              <w:tl2br w:val="nil"/>
              <w:tr2bl w:val="nil"/>
            </w:tcBorders>
            <w:shd w:val="clear" w:color="auto" w:fill="auto"/>
            <w:vAlign w:val="center"/>
          </w:tcPr>
          <w:p w14:paraId="20239E3D">
            <w:pPr>
              <w:widowControl/>
              <w:adjustRightInd/>
              <w:jc w:val="center"/>
              <w:textAlignment w:val="center"/>
              <w:rPr>
                <w:rFonts w:hint="eastAsia" w:ascii="宋体" w:hAnsi="宋体" w:cs="宋体"/>
                <w:color w:val="000000"/>
                <w:kern w:val="0"/>
                <w:sz w:val="20"/>
                <w:szCs w:val="20"/>
                <w:lang w:bidi="ar"/>
              </w:rPr>
            </w:pPr>
          </w:p>
        </w:tc>
      </w:tr>
      <w:tr w14:paraId="10CE0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48AB616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732" w:type="pct"/>
            <w:tcBorders>
              <w:tl2br w:val="nil"/>
              <w:tr2bl w:val="nil"/>
            </w:tcBorders>
            <w:shd w:val="clear" w:color="auto" w:fill="auto"/>
            <w:vAlign w:val="center"/>
          </w:tcPr>
          <w:p w14:paraId="1F7C6D8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安装辅材</w:t>
            </w:r>
          </w:p>
        </w:tc>
        <w:tc>
          <w:tcPr>
            <w:tcW w:w="2829" w:type="pct"/>
            <w:tcBorders>
              <w:tl2br w:val="nil"/>
              <w:tr2bl w:val="nil"/>
            </w:tcBorders>
            <w:shd w:val="clear" w:color="auto" w:fill="auto"/>
            <w:vAlign w:val="center"/>
          </w:tcPr>
          <w:p w14:paraId="0109738F">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PVC线槽、光纤跳线、网头等</w:t>
            </w:r>
          </w:p>
        </w:tc>
        <w:tc>
          <w:tcPr>
            <w:tcW w:w="384" w:type="pct"/>
            <w:tcBorders>
              <w:tl2br w:val="nil"/>
              <w:tr2bl w:val="nil"/>
            </w:tcBorders>
            <w:shd w:val="clear" w:color="auto" w:fill="auto"/>
            <w:vAlign w:val="center"/>
          </w:tcPr>
          <w:p w14:paraId="7AF22FA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76C4439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44BD6715">
            <w:pPr>
              <w:widowControl/>
              <w:adjustRightInd/>
              <w:jc w:val="center"/>
              <w:textAlignment w:val="center"/>
              <w:rPr>
                <w:rFonts w:hint="eastAsia" w:ascii="宋体" w:hAnsi="宋体" w:cs="宋体"/>
                <w:color w:val="000000"/>
                <w:kern w:val="0"/>
                <w:sz w:val="20"/>
                <w:szCs w:val="20"/>
                <w:lang w:bidi="ar"/>
              </w:rPr>
            </w:pPr>
          </w:p>
        </w:tc>
      </w:tr>
      <w:tr w14:paraId="7D8C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686F319E">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二、集成及安装</w:t>
            </w:r>
          </w:p>
        </w:tc>
        <w:tc>
          <w:tcPr>
            <w:tcW w:w="384" w:type="pct"/>
            <w:tcBorders>
              <w:tl2br w:val="nil"/>
              <w:tr2bl w:val="nil"/>
            </w:tcBorders>
            <w:shd w:val="clear" w:color="auto" w:fill="auto"/>
            <w:vAlign w:val="center"/>
          </w:tcPr>
          <w:p w14:paraId="2EAB2464">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4518771D">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2D75BF24">
            <w:pPr>
              <w:adjustRightInd/>
              <w:jc w:val="center"/>
              <w:rPr>
                <w:rFonts w:hint="eastAsia" w:ascii="宋体" w:hAnsi="宋体" w:cs="宋体"/>
                <w:color w:val="000000"/>
                <w:sz w:val="20"/>
                <w:szCs w:val="20"/>
              </w:rPr>
            </w:pPr>
          </w:p>
        </w:tc>
      </w:tr>
      <w:tr w14:paraId="3C1D1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236A86C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48B9F6C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安装集成费</w:t>
            </w:r>
          </w:p>
        </w:tc>
        <w:tc>
          <w:tcPr>
            <w:tcW w:w="2829" w:type="pct"/>
            <w:tcBorders>
              <w:tl2br w:val="nil"/>
              <w:tr2bl w:val="nil"/>
            </w:tcBorders>
            <w:shd w:val="clear" w:color="auto" w:fill="auto"/>
            <w:vAlign w:val="center"/>
          </w:tcPr>
          <w:p w14:paraId="3C6E76EF">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保证系统正常运行使用，及其后续维护工作。</w:t>
            </w:r>
          </w:p>
        </w:tc>
        <w:tc>
          <w:tcPr>
            <w:tcW w:w="384" w:type="pct"/>
            <w:tcBorders>
              <w:tl2br w:val="nil"/>
              <w:tr2bl w:val="nil"/>
            </w:tcBorders>
            <w:shd w:val="clear" w:color="auto" w:fill="auto"/>
            <w:vAlign w:val="center"/>
          </w:tcPr>
          <w:p w14:paraId="4533043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1C01D8A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15B58097">
            <w:pPr>
              <w:widowControl/>
              <w:adjustRightInd/>
              <w:jc w:val="center"/>
              <w:textAlignment w:val="center"/>
              <w:rPr>
                <w:rFonts w:hint="eastAsia" w:ascii="宋体" w:hAnsi="宋体" w:cs="宋体"/>
                <w:color w:val="000000"/>
                <w:kern w:val="0"/>
                <w:sz w:val="20"/>
                <w:szCs w:val="20"/>
                <w:lang w:bidi="ar"/>
              </w:rPr>
            </w:pPr>
          </w:p>
        </w:tc>
      </w:tr>
      <w:tr w14:paraId="51275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147F52E1">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宁海县第一职业中学线网络改造</w:t>
            </w:r>
          </w:p>
        </w:tc>
        <w:tc>
          <w:tcPr>
            <w:tcW w:w="384" w:type="pct"/>
            <w:tcBorders>
              <w:tl2br w:val="nil"/>
              <w:tr2bl w:val="nil"/>
            </w:tcBorders>
            <w:shd w:val="clear" w:color="auto" w:fill="auto"/>
            <w:vAlign w:val="center"/>
          </w:tcPr>
          <w:p w14:paraId="69CE378F">
            <w:pPr>
              <w:adjustRightInd/>
              <w:jc w:val="center"/>
              <w:rPr>
                <w:rFonts w:hint="eastAsia" w:ascii="宋体" w:hAnsi="宋体" w:cs="宋体"/>
                <w:b/>
                <w:bCs/>
                <w:color w:val="000000"/>
                <w:sz w:val="20"/>
                <w:szCs w:val="20"/>
              </w:rPr>
            </w:pPr>
          </w:p>
        </w:tc>
        <w:tc>
          <w:tcPr>
            <w:tcW w:w="427" w:type="pct"/>
            <w:tcBorders>
              <w:tl2br w:val="nil"/>
              <w:tr2bl w:val="nil"/>
            </w:tcBorders>
            <w:shd w:val="clear" w:color="auto" w:fill="auto"/>
            <w:vAlign w:val="center"/>
          </w:tcPr>
          <w:p w14:paraId="31571B41">
            <w:pPr>
              <w:adjustRightInd/>
              <w:jc w:val="center"/>
              <w:rPr>
                <w:rFonts w:hint="eastAsia" w:ascii="宋体" w:hAnsi="宋体" w:cs="宋体"/>
                <w:b/>
                <w:bCs/>
                <w:color w:val="000000"/>
                <w:sz w:val="20"/>
                <w:szCs w:val="20"/>
              </w:rPr>
            </w:pPr>
          </w:p>
        </w:tc>
        <w:tc>
          <w:tcPr>
            <w:tcW w:w="320" w:type="pct"/>
            <w:tcBorders>
              <w:tl2br w:val="nil"/>
              <w:tr2bl w:val="nil"/>
            </w:tcBorders>
            <w:shd w:val="clear" w:color="auto" w:fill="auto"/>
            <w:vAlign w:val="center"/>
          </w:tcPr>
          <w:p w14:paraId="168042E0">
            <w:pPr>
              <w:adjustRightInd/>
              <w:jc w:val="center"/>
              <w:rPr>
                <w:rFonts w:hint="eastAsia" w:ascii="宋体" w:hAnsi="宋体" w:cs="宋体"/>
                <w:b/>
                <w:bCs/>
                <w:color w:val="000000"/>
                <w:sz w:val="20"/>
                <w:szCs w:val="20"/>
              </w:rPr>
            </w:pPr>
          </w:p>
        </w:tc>
      </w:tr>
      <w:tr w14:paraId="63785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3B2597B6">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一、行政楼设备清单</w:t>
            </w:r>
          </w:p>
        </w:tc>
        <w:tc>
          <w:tcPr>
            <w:tcW w:w="384" w:type="pct"/>
            <w:tcBorders>
              <w:tl2br w:val="nil"/>
              <w:tr2bl w:val="nil"/>
            </w:tcBorders>
            <w:shd w:val="clear" w:color="auto" w:fill="auto"/>
            <w:vAlign w:val="center"/>
          </w:tcPr>
          <w:p w14:paraId="428FF7A1">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4BB7C28C">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1CEA562C">
            <w:pPr>
              <w:adjustRightInd/>
              <w:jc w:val="center"/>
              <w:rPr>
                <w:rFonts w:hint="eastAsia" w:ascii="宋体" w:hAnsi="宋体" w:cs="宋体"/>
                <w:color w:val="000000"/>
                <w:sz w:val="20"/>
                <w:szCs w:val="20"/>
              </w:rPr>
            </w:pPr>
          </w:p>
        </w:tc>
      </w:tr>
      <w:tr w14:paraId="7AB2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2" w:hRule="atLeast"/>
          <w:jc w:val="center"/>
        </w:trPr>
        <w:tc>
          <w:tcPr>
            <w:tcW w:w="306" w:type="pct"/>
            <w:tcBorders>
              <w:tl2br w:val="nil"/>
              <w:tr2bl w:val="nil"/>
            </w:tcBorders>
            <w:shd w:val="clear" w:color="auto" w:fill="auto"/>
            <w:vAlign w:val="center"/>
          </w:tcPr>
          <w:p w14:paraId="5E7F141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10F1D75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0973047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2A21394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p>
          <w:p w14:paraId="00492FE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070A77A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p>
          <w:p w14:paraId="3AC67F1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5121D48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4DE8AF7F">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auto"/>
            <w:vAlign w:val="center"/>
          </w:tcPr>
          <w:p w14:paraId="67A1DB7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427" w:type="pct"/>
            <w:tcBorders>
              <w:tl2br w:val="nil"/>
              <w:tr2bl w:val="nil"/>
            </w:tcBorders>
            <w:shd w:val="clear" w:color="auto" w:fill="auto"/>
            <w:vAlign w:val="center"/>
          </w:tcPr>
          <w:p w14:paraId="0FD32B2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116EE1B5">
            <w:pPr>
              <w:widowControl/>
              <w:adjustRightInd/>
              <w:jc w:val="center"/>
              <w:textAlignment w:val="center"/>
              <w:rPr>
                <w:rFonts w:hint="eastAsia" w:ascii="宋体" w:hAnsi="宋体" w:cs="宋体"/>
                <w:color w:val="000000"/>
                <w:kern w:val="0"/>
                <w:sz w:val="20"/>
                <w:szCs w:val="20"/>
                <w:lang w:bidi="ar"/>
              </w:rPr>
            </w:pPr>
          </w:p>
        </w:tc>
      </w:tr>
      <w:tr w14:paraId="012F6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06" w:type="pct"/>
            <w:tcBorders>
              <w:tl2br w:val="nil"/>
              <w:tr2bl w:val="nil"/>
            </w:tcBorders>
            <w:shd w:val="clear" w:color="auto" w:fill="auto"/>
            <w:vAlign w:val="center"/>
          </w:tcPr>
          <w:p w14:paraId="47D7ED2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511AC97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42D00A05">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具有</w:t>
            </w:r>
            <w:r>
              <w:rPr>
                <w:rFonts w:hint="eastAsia" w:ascii="宋体" w:hAnsi="宋体" w:cs="宋体"/>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auto"/>
            <w:vAlign w:val="center"/>
          </w:tcPr>
          <w:p w14:paraId="7DC226A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23</w:t>
            </w:r>
          </w:p>
        </w:tc>
        <w:tc>
          <w:tcPr>
            <w:tcW w:w="427" w:type="pct"/>
            <w:tcBorders>
              <w:tl2br w:val="nil"/>
              <w:tr2bl w:val="nil"/>
            </w:tcBorders>
            <w:shd w:val="clear" w:color="auto" w:fill="auto"/>
            <w:vAlign w:val="center"/>
          </w:tcPr>
          <w:p w14:paraId="7834E0C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70D42011">
            <w:pPr>
              <w:widowControl/>
              <w:adjustRightInd/>
              <w:jc w:val="center"/>
              <w:textAlignment w:val="center"/>
              <w:rPr>
                <w:rFonts w:hint="eastAsia" w:ascii="宋体" w:hAnsi="宋体" w:cs="宋体"/>
                <w:color w:val="000000"/>
                <w:kern w:val="0"/>
                <w:sz w:val="20"/>
                <w:szCs w:val="20"/>
                <w:lang w:bidi="ar"/>
              </w:rPr>
            </w:pPr>
          </w:p>
        </w:tc>
      </w:tr>
      <w:tr w14:paraId="6470A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0" w:hRule="atLeast"/>
          <w:jc w:val="center"/>
        </w:trPr>
        <w:tc>
          <w:tcPr>
            <w:tcW w:w="306" w:type="pct"/>
            <w:tcBorders>
              <w:tl2br w:val="nil"/>
              <w:tr2bl w:val="nil"/>
            </w:tcBorders>
            <w:shd w:val="clear" w:color="auto" w:fill="auto"/>
            <w:vAlign w:val="center"/>
          </w:tcPr>
          <w:p w14:paraId="3F8D0CE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082372A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3DE3CF2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1.交换容量≥3.3Tbps，包转发率≥126Mpps。固化10/100/1000M以太网电口≥24，1000M/2.5G SFP千兆光接口≥4个。</w:t>
            </w:r>
          </w:p>
          <w:p w14:paraId="29F8D47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2.支持POE和POE+，同时可POE供电端口≥24个，POE最大输出功率≥370W，PoE满载下整机最大功耗403W。</w:t>
            </w:r>
          </w:p>
          <w:p w14:paraId="0DC2FB5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4B3AA1A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4.绿色节能：要求支持高效节能以太网特性。端口如果在连续一段时间之内空闲，系统会将该端口设置为节能模式，当有报文收发时再通过定时发送的监听码流唤醒端口恢复业务，达到节能的效果。</w:t>
            </w:r>
          </w:p>
          <w:p w14:paraId="62F5B9E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5.要求所投产品端口浪涌抗扰度≥10KV（即具备10KV的防雷能力）</w:t>
            </w:r>
            <w:r>
              <w:rPr>
                <w:rFonts w:hint="eastAsia" w:ascii="宋体" w:hAnsi="宋体" w:cs="宋体"/>
                <w:b/>
                <w:bCs/>
                <w:color w:val="000000"/>
                <w:kern w:val="0"/>
                <w:sz w:val="20"/>
                <w:szCs w:val="20"/>
                <w:lang w:bidi="ar"/>
              </w:rPr>
              <w:t>。</w:t>
            </w:r>
          </w:p>
          <w:p w14:paraId="2E8189A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4D6599B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53FBF37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8.配合云管平台支持基于网关的网络拓扑自动发现，并以图形化形式呈现；支持基于云的工具箱功能（配置下发、配置备份、配置恢复、命令调试、访问eWeb、访问Telnet、访问SSH、重启、设备升级）；</w:t>
            </w:r>
          </w:p>
          <w:p w14:paraId="1FD2656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2823791A">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auto"/>
            <w:vAlign w:val="center"/>
          </w:tcPr>
          <w:p w14:paraId="6DB9CA7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631EA2F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44554058">
            <w:pPr>
              <w:widowControl/>
              <w:adjustRightInd/>
              <w:jc w:val="center"/>
              <w:textAlignment w:val="center"/>
              <w:rPr>
                <w:rFonts w:hint="eastAsia" w:ascii="宋体" w:hAnsi="宋体" w:cs="宋体"/>
                <w:color w:val="000000"/>
                <w:kern w:val="0"/>
                <w:sz w:val="20"/>
                <w:szCs w:val="20"/>
                <w:lang w:bidi="ar"/>
              </w:rPr>
            </w:pPr>
          </w:p>
        </w:tc>
      </w:tr>
      <w:tr w14:paraId="4A2F0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5D722F8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19E9819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2829" w:type="pct"/>
            <w:tcBorders>
              <w:tl2br w:val="nil"/>
              <w:tr2bl w:val="nil"/>
            </w:tcBorders>
            <w:shd w:val="clear" w:color="auto" w:fill="auto"/>
            <w:vAlign w:val="center"/>
          </w:tcPr>
          <w:p w14:paraId="1C1D1B9D">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auto"/>
            <w:vAlign w:val="center"/>
          </w:tcPr>
          <w:p w14:paraId="3B12B87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2FAC5B3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320" w:type="pct"/>
            <w:tcBorders>
              <w:tl2br w:val="nil"/>
              <w:tr2bl w:val="nil"/>
            </w:tcBorders>
            <w:shd w:val="clear" w:color="auto" w:fill="auto"/>
            <w:vAlign w:val="center"/>
          </w:tcPr>
          <w:p w14:paraId="4580879F">
            <w:pPr>
              <w:widowControl/>
              <w:adjustRightInd/>
              <w:jc w:val="center"/>
              <w:textAlignment w:val="center"/>
              <w:rPr>
                <w:rFonts w:hint="eastAsia" w:ascii="宋体" w:hAnsi="宋体" w:cs="宋体"/>
                <w:color w:val="000000"/>
                <w:kern w:val="0"/>
                <w:sz w:val="20"/>
                <w:szCs w:val="20"/>
                <w:lang w:bidi="ar"/>
              </w:rPr>
            </w:pPr>
          </w:p>
        </w:tc>
      </w:tr>
      <w:tr w14:paraId="61736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306" w:type="pct"/>
            <w:tcBorders>
              <w:tl2br w:val="nil"/>
              <w:tr2bl w:val="nil"/>
            </w:tcBorders>
            <w:shd w:val="clear" w:color="auto" w:fill="auto"/>
            <w:vAlign w:val="center"/>
          </w:tcPr>
          <w:p w14:paraId="08D81B1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31B248B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6类非屏蔽双绞线</w:t>
            </w:r>
          </w:p>
        </w:tc>
        <w:tc>
          <w:tcPr>
            <w:tcW w:w="2829" w:type="pct"/>
            <w:tcBorders>
              <w:tl2br w:val="nil"/>
              <w:tr2bl w:val="nil"/>
            </w:tcBorders>
            <w:shd w:val="clear" w:color="auto" w:fill="auto"/>
            <w:vAlign w:val="center"/>
          </w:tcPr>
          <w:p w14:paraId="7012DD1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符合标准：ISO/IEC 11801：2017；YD/T 1019-2013</w:t>
            </w:r>
          </w:p>
          <w:p w14:paraId="734D215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通过标准250MHz带宽测试要求 可扩展到550MHz带宽</w:t>
            </w:r>
          </w:p>
          <w:p w14:paraId="418E6EC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单根导体直流电阻：≤9.5Ω/100m</w:t>
            </w:r>
          </w:p>
          <w:p w14:paraId="0762B73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额定传输速率(NVP)：≥69%</w:t>
            </w:r>
          </w:p>
          <w:p w14:paraId="7CAD6BB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电缆对数：4对</w:t>
            </w:r>
          </w:p>
          <w:p w14:paraId="3272754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十字骨架材料：PE混合物</w:t>
            </w:r>
          </w:p>
          <w:p w14:paraId="19CED67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导体材料：无氧圆铜（纯度99.99%）</w:t>
            </w:r>
          </w:p>
          <w:p w14:paraId="291A841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最小弯曲半径：10倍电缆外径</w:t>
            </w:r>
          </w:p>
          <w:p w14:paraId="18BA40C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导体线规：23AWG</w:t>
            </w:r>
          </w:p>
          <w:p w14:paraId="7D0C1A9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绝缘材料：HDPE</w:t>
            </w:r>
          </w:p>
          <w:p w14:paraId="76AC2F8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屏蔽方式：U/UTP</w:t>
            </w:r>
          </w:p>
          <w:p w14:paraId="47983B1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外护套材料：LSZH低烟无卤</w:t>
            </w:r>
          </w:p>
          <w:p w14:paraId="714BAC47">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工作温度：-20℃～+60℃</w:t>
            </w:r>
          </w:p>
        </w:tc>
        <w:tc>
          <w:tcPr>
            <w:tcW w:w="384" w:type="pct"/>
            <w:tcBorders>
              <w:tl2br w:val="nil"/>
              <w:tr2bl w:val="nil"/>
            </w:tcBorders>
            <w:shd w:val="clear" w:color="auto" w:fill="auto"/>
            <w:vAlign w:val="center"/>
          </w:tcPr>
          <w:p w14:paraId="74636CE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27" w:type="pct"/>
            <w:tcBorders>
              <w:tl2br w:val="nil"/>
              <w:tr2bl w:val="nil"/>
            </w:tcBorders>
            <w:shd w:val="clear" w:color="auto" w:fill="auto"/>
            <w:vAlign w:val="center"/>
          </w:tcPr>
          <w:p w14:paraId="185F99F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320" w:type="pct"/>
            <w:tcBorders>
              <w:tl2br w:val="nil"/>
              <w:tr2bl w:val="nil"/>
            </w:tcBorders>
            <w:shd w:val="clear" w:color="auto" w:fill="auto"/>
            <w:vAlign w:val="center"/>
          </w:tcPr>
          <w:p w14:paraId="25B3D196">
            <w:pPr>
              <w:widowControl/>
              <w:adjustRightInd/>
              <w:jc w:val="center"/>
              <w:textAlignment w:val="center"/>
              <w:rPr>
                <w:rFonts w:hint="eastAsia" w:ascii="宋体" w:hAnsi="宋体" w:cs="宋体"/>
                <w:color w:val="000000"/>
                <w:kern w:val="0"/>
                <w:sz w:val="20"/>
                <w:szCs w:val="20"/>
                <w:lang w:bidi="ar"/>
              </w:rPr>
            </w:pPr>
          </w:p>
        </w:tc>
      </w:tr>
      <w:tr w14:paraId="3FB76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05C0712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63F54AB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安装辅材</w:t>
            </w:r>
          </w:p>
        </w:tc>
        <w:tc>
          <w:tcPr>
            <w:tcW w:w="2829" w:type="pct"/>
            <w:tcBorders>
              <w:tl2br w:val="nil"/>
              <w:tr2bl w:val="nil"/>
            </w:tcBorders>
            <w:shd w:val="clear" w:color="auto" w:fill="auto"/>
            <w:vAlign w:val="center"/>
          </w:tcPr>
          <w:p w14:paraId="0E0386A4">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PVC线槽、光纤跳线、网头等</w:t>
            </w:r>
          </w:p>
        </w:tc>
        <w:tc>
          <w:tcPr>
            <w:tcW w:w="384" w:type="pct"/>
            <w:tcBorders>
              <w:tl2br w:val="nil"/>
              <w:tr2bl w:val="nil"/>
            </w:tcBorders>
            <w:shd w:val="clear" w:color="auto" w:fill="auto"/>
            <w:vAlign w:val="center"/>
          </w:tcPr>
          <w:p w14:paraId="16D3FDB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778228E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26460E08">
            <w:pPr>
              <w:widowControl/>
              <w:adjustRightInd/>
              <w:jc w:val="center"/>
              <w:textAlignment w:val="center"/>
              <w:rPr>
                <w:rFonts w:hint="eastAsia" w:ascii="宋体" w:hAnsi="宋体" w:cs="宋体"/>
                <w:color w:val="000000"/>
                <w:kern w:val="0"/>
                <w:sz w:val="20"/>
                <w:szCs w:val="20"/>
                <w:lang w:bidi="ar"/>
              </w:rPr>
            </w:pPr>
          </w:p>
        </w:tc>
      </w:tr>
      <w:tr w14:paraId="6F774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1898703E">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二、教学楼1设备清单</w:t>
            </w:r>
          </w:p>
        </w:tc>
        <w:tc>
          <w:tcPr>
            <w:tcW w:w="384" w:type="pct"/>
            <w:tcBorders>
              <w:tl2br w:val="nil"/>
              <w:tr2bl w:val="nil"/>
            </w:tcBorders>
            <w:shd w:val="clear" w:color="auto" w:fill="auto"/>
            <w:vAlign w:val="center"/>
          </w:tcPr>
          <w:p w14:paraId="098B8F8A">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7F527531">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6DACFF66">
            <w:pPr>
              <w:adjustRightInd/>
              <w:jc w:val="center"/>
              <w:rPr>
                <w:rFonts w:hint="eastAsia" w:ascii="宋体" w:hAnsi="宋体" w:cs="宋体"/>
                <w:color w:val="000000"/>
                <w:sz w:val="20"/>
                <w:szCs w:val="20"/>
              </w:rPr>
            </w:pPr>
          </w:p>
        </w:tc>
      </w:tr>
      <w:tr w14:paraId="15736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8" w:hRule="atLeast"/>
          <w:jc w:val="center"/>
        </w:trPr>
        <w:tc>
          <w:tcPr>
            <w:tcW w:w="306" w:type="pct"/>
            <w:tcBorders>
              <w:tl2br w:val="nil"/>
              <w:tr2bl w:val="nil"/>
            </w:tcBorders>
            <w:shd w:val="clear" w:color="auto" w:fill="auto"/>
            <w:vAlign w:val="center"/>
          </w:tcPr>
          <w:p w14:paraId="73C897D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4F5111D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7E620B5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3D78494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p>
          <w:p w14:paraId="1718847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77009A4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p>
          <w:p w14:paraId="582A40D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300488A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0B01EFE2">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auto"/>
            <w:vAlign w:val="center"/>
          </w:tcPr>
          <w:p w14:paraId="5DB04A0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427" w:type="pct"/>
            <w:tcBorders>
              <w:tl2br w:val="nil"/>
              <w:tr2bl w:val="nil"/>
            </w:tcBorders>
            <w:shd w:val="clear" w:color="auto" w:fill="auto"/>
            <w:vAlign w:val="center"/>
          </w:tcPr>
          <w:p w14:paraId="44BFE8E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4BC19699">
            <w:pPr>
              <w:widowControl/>
              <w:adjustRightInd/>
              <w:jc w:val="center"/>
              <w:textAlignment w:val="center"/>
              <w:rPr>
                <w:rFonts w:hint="eastAsia" w:ascii="宋体" w:hAnsi="宋体" w:cs="宋体"/>
                <w:color w:val="000000"/>
                <w:kern w:val="0"/>
                <w:sz w:val="20"/>
                <w:szCs w:val="20"/>
                <w:lang w:bidi="ar"/>
              </w:rPr>
            </w:pPr>
          </w:p>
        </w:tc>
      </w:tr>
      <w:tr w14:paraId="5926D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306" w:type="pct"/>
            <w:tcBorders>
              <w:tl2br w:val="nil"/>
              <w:tr2bl w:val="nil"/>
            </w:tcBorders>
            <w:shd w:val="clear" w:color="auto" w:fill="auto"/>
            <w:vAlign w:val="center"/>
          </w:tcPr>
          <w:p w14:paraId="304B91E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573DEB6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161A2716">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具有</w:t>
            </w:r>
            <w:r>
              <w:rPr>
                <w:rFonts w:hint="eastAsia" w:ascii="宋体" w:hAnsi="宋体" w:cs="宋体"/>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auto"/>
            <w:vAlign w:val="center"/>
          </w:tcPr>
          <w:p w14:paraId="7AC9C3F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427" w:type="pct"/>
            <w:tcBorders>
              <w:tl2br w:val="nil"/>
              <w:tr2bl w:val="nil"/>
            </w:tcBorders>
            <w:shd w:val="clear" w:color="auto" w:fill="auto"/>
            <w:vAlign w:val="center"/>
          </w:tcPr>
          <w:p w14:paraId="100E780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2CAAD347">
            <w:pPr>
              <w:widowControl/>
              <w:adjustRightInd/>
              <w:jc w:val="center"/>
              <w:textAlignment w:val="center"/>
              <w:rPr>
                <w:rFonts w:hint="eastAsia" w:ascii="宋体" w:hAnsi="宋体" w:cs="宋体"/>
                <w:color w:val="000000"/>
                <w:kern w:val="0"/>
                <w:sz w:val="20"/>
                <w:szCs w:val="20"/>
                <w:lang w:bidi="ar"/>
              </w:rPr>
            </w:pPr>
          </w:p>
        </w:tc>
      </w:tr>
      <w:tr w14:paraId="1585B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771DFD9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031ECD9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125482C2">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1.交换容量≥3.3Tbps，包转发率≥126Mpps。固化10/100/1000M以太网电口≥24，1000M/2.5G SFP千兆光接口≥4个。</w:t>
            </w:r>
          </w:p>
          <w:p w14:paraId="17228070">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2.支持POE和POE+，同时可POE供电端口≥24个，POE最大输出功率≥370W，PoE满载下整机最大功耗403W。</w:t>
            </w:r>
          </w:p>
          <w:p w14:paraId="391CB86F">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3.为保证设备在受到外界机械碰撞时能够正常运行，要求所投交换机IK防护测试级别至少达到IK05。</w:t>
            </w:r>
          </w:p>
          <w:p w14:paraId="6262653D">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4.绿色节能：要求支持高效节能以太网特性。端口如果在连续一段时间之内空闲，系统会将该端口设置为节能模式，当有报文收发时再通过定时发送的监听码流唤醒端口恢复业务，达到节能的效果。</w:t>
            </w:r>
          </w:p>
          <w:p w14:paraId="308DBA9E">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5.要求所投产品端口浪涌抗扰度≥10KV（即具备10KV的防雷能力），提供官网截图和链接证明。</w:t>
            </w:r>
          </w:p>
          <w:p w14:paraId="4A8B2C11">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6.支持专门针对CPU的保护机制，能够针对发往CPU处理的各种报文进行流区分和优先级队列分级处理，保护交换机在各种环境下稳定工作</w:t>
            </w:r>
          </w:p>
          <w:p w14:paraId="61DBDA89">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7.支持基础网络保护策略，能够限制用户向网络中发送ARP报文、ICMP请求报文、DHCP请求报文等数据包的数率，对超过限速阈值的报文进行丢弃处理，甚至能够识别攻击行为，对有攻击行为的用户进行隔离。</w:t>
            </w:r>
          </w:p>
          <w:p w14:paraId="79D05A2A">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8.配合云管平台支持基于网关的网络拓扑自动发现，并以图形化形式呈现；支持基于云的工具箱功能（配置下发、配置备份、配置恢复、命令调试、访问eWeb、访问Telnet、访问SSH、重启、设备升级）；</w:t>
            </w:r>
          </w:p>
          <w:p w14:paraId="5A8362AC">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9.支持快速以太网链路检测协议，可快速检测链路的通断和光纤链路的单向性，并支持端口下的环路检测功能，防止端口下因私接Hub等设备形成的环路而导致网络故障的现象。</w:t>
            </w:r>
          </w:p>
          <w:p w14:paraId="2D8EBA5C">
            <w:pPr>
              <w:widowControl/>
              <w:adjustRightInd/>
              <w:jc w:val="left"/>
              <w:textAlignment w:val="center"/>
              <w:rPr>
                <w:rFonts w:hint="eastAsia" w:ascii="宋体" w:hAnsi="宋体" w:cs="宋体"/>
                <w:color w:val="000000"/>
                <w:sz w:val="20"/>
                <w:szCs w:val="20"/>
              </w:rPr>
            </w:pPr>
            <w:r>
              <w:rPr>
                <w:rFonts w:hint="eastAsia" w:ascii="宋体" w:hAnsi="宋体" w:cs="宋体"/>
                <w:color w:val="000000"/>
                <w:sz w:val="20"/>
                <w:szCs w:val="20"/>
              </w:rPr>
              <w:t>10.支持SNMP、CLI(Telnet/Console)、Syslog、NTP、TFTP、Web。</w:t>
            </w:r>
          </w:p>
        </w:tc>
        <w:tc>
          <w:tcPr>
            <w:tcW w:w="384" w:type="pct"/>
            <w:tcBorders>
              <w:tl2br w:val="nil"/>
              <w:tr2bl w:val="nil"/>
            </w:tcBorders>
            <w:shd w:val="clear" w:color="auto" w:fill="auto"/>
            <w:vAlign w:val="center"/>
          </w:tcPr>
          <w:p w14:paraId="54E3624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6A969F4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44B27359">
            <w:pPr>
              <w:widowControl/>
              <w:adjustRightInd/>
              <w:jc w:val="center"/>
              <w:textAlignment w:val="center"/>
              <w:rPr>
                <w:rFonts w:hint="eastAsia" w:ascii="宋体" w:hAnsi="宋体" w:cs="宋体"/>
                <w:color w:val="000000"/>
                <w:kern w:val="0"/>
                <w:sz w:val="20"/>
                <w:szCs w:val="20"/>
                <w:lang w:bidi="ar"/>
              </w:rPr>
            </w:pPr>
          </w:p>
        </w:tc>
      </w:tr>
      <w:tr w14:paraId="59B5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673DDEB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2DAEE74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2829" w:type="pct"/>
            <w:tcBorders>
              <w:tl2br w:val="nil"/>
              <w:tr2bl w:val="nil"/>
            </w:tcBorders>
            <w:shd w:val="clear" w:color="auto" w:fill="auto"/>
            <w:vAlign w:val="center"/>
          </w:tcPr>
          <w:p w14:paraId="01F19C6A">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auto"/>
            <w:vAlign w:val="center"/>
          </w:tcPr>
          <w:p w14:paraId="425013D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7652453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320" w:type="pct"/>
            <w:tcBorders>
              <w:tl2br w:val="nil"/>
              <w:tr2bl w:val="nil"/>
            </w:tcBorders>
            <w:shd w:val="clear" w:color="auto" w:fill="auto"/>
            <w:vAlign w:val="center"/>
          </w:tcPr>
          <w:p w14:paraId="03EEF5DE">
            <w:pPr>
              <w:widowControl/>
              <w:adjustRightInd/>
              <w:jc w:val="center"/>
              <w:textAlignment w:val="center"/>
              <w:rPr>
                <w:rFonts w:hint="eastAsia" w:ascii="宋体" w:hAnsi="宋体" w:cs="宋体"/>
                <w:color w:val="000000"/>
                <w:kern w:val="0"/>
                <w:sz w:val="20"/>
                <w:szCs w:val="20"/>
                <w:lang w:bidi="ar"/>
              </w:rPr>
            </w:pPr>
          </w:p>
        </w:tc>
      </w:tr>
      <w:tr w14:paraId="1268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306" w:type="pct"/>
            <w:tcBorders>
              <w:tl2br w:val="nil"/>
              <w:tr2bl w:val="nil"/>
            </w:tcBorders>
            <w:shd w:val="clear" w:color="auto" w:fill="auto"/>
            <w:vAlign w:val="center"/>
          </w:tcPr>
          <w:p w14:paraId="481754C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7048E6E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6类非屏蔽双绞线</w:t>
            </w:r>
          </w:p>
        </w:tc>
        <w:tc>
          <w:tcPr>
            <w:tcW w:w="2829" w:type="pct"/>
            <w:tcBorders>
              <w:tl2br w:val="nil"/>
              <w:tr2bl w:val="nil"/>
            </w:tcBorders>
            <w:shd w:val="clear" w:color="auto" w:fill="auto"/>
            <w:vAlign w:val="center"/>
          </w:tcPr>
          <w:p w14:paraId="425540A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符合标准：ISO/IEC 11801：2017；YD/T 1019-2013</w:t>
            </w:r>
          </w:p>
          <w:p w14:paraId="67B25DE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通过标准250MHz带宽测试要求 可扩展到550MHz带宽</w:t>
            </w:r>
          </w:p>
          <w:p w14:paraId="790E712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单根导体直流电阻：≤9.5Ω/100m</w:t>
            </w:r>
          </w:p>
          <w:p w14:paraId="406A43C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额定传输速率(NVP)：≥69%</w:t>
            </w:r>
          </w:p>
          <w:p w14:paraId="6EDADD1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电缆对数：4对</w:t>
            </w:r>
          </w:p>
          <w:p w14:paraId="7E9E135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十字骨架材料：PE混合物</w:t>
            </w:r>
          </w:p>
          <w:p w14:paraId="11C81B6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导体材料：无氧圆铜（纯度99.99%）</w:t>
            </w:r>
          </w:p>
          <w:p w14:paraId="57BEC15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最小弯曲半径：10倍电缆外径</w:t>
            </w:r>
          </w:p>
          <w:p w14:paraId="39C2FD9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导体线规：23AWG</w:t>
            </w:r>
          </w:p>
          <w:p w14:paraId="2C6F6A6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绝缘材料：HDPE</w:t>
            </w:r>
          </w:p>
          <w:p w14:paraId="77B04FB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屏蔽方式：U/UTP</w:t>
            </w:r>
          </w:p>
          <w:p w14:paraId="40A5C12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外护套材料：LSZH低烟无卤</w:t>
            </w:r>
          </w:p>
          <w:p w14:paraId="1916F867">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工作温度：-20℃～+60℃</w:t>
            </w:r>
          </w:p>
        </w:tc>
        <w:tc>
          <w:tcPr>
            <w:tcW w:w="384" w:type="pct"/>
            <w:tcBorders>
              <w:tl2br w:val="nil"/>
              <w:tr2bl w:val="nil"/>
            </w:tcBorders>
            <w:shd w:val="clear" w:color="auto" w:fill="auto"/>
            <w:vAlign w:val="center"/>
          </w:tcPr>
          <w:p w14:paraId="28A5192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27" w:type="pct"/>
            <w:tcBorders>
              <w:tl2br w:val="nil"/>
              <w:tr2bl w:val="nil"/>
            </w:tcBorders>
            <w:shd w:val="clear" w:color="auto" w:fill="auto"/>
            <w:vAlign w:val="center"/>
          </w:tcPr>
          <w:p w14:paraId="3DB31F5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320" w:type="pct"/>
            <w:tcBorders>
              <w:tl2br w:val="nil"/>
              <w:tr2bl w:val="nil"/>
            </w:tcBorders>
            <w:shd w:val="clear" w:color="auto" w:fill="auto"/>
            <w:vAlign w:val="center"/>
          </w:tcPr>
          <w:p w14:paraId="7258FDEF">
            <w:pPr>
              <w:widowControl/>
              <w:adjustRightInd/>
              <w:jc w:val="center"/>
              <w:textAlignment w:val="center"/>
              <w:rPr>
                <w:rFonts w:hint="eastAsia" w:ascii="宋体" w:hAnsi="宋体" w:cs="宋体"/>
                <w:color w:val="000000"/>
                <w:kern w:val="0"/>
                <w:sz w:val="20"/>
                <w:szCs w:val="20"/>
                <w:lang w:bidi="ar"/>
              </w:rPr>
            </w:pPr>
          </w:p>
        </w:tc>
      </w:tr>
      <w:tr w14:paraId="5AD33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4082078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3FC5101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安装辅材</w:t>
            </w:r>
          </w:p>
        </w:tc>
        <w:tc>
          <w:tcPr>
            <w:tcW w:w="2829" w:type="pct"/>
            <w:tcBorders>
              <w:tl2br w:val="nil"/>
              <w:tr2bl w:val="nil"/>
            </w:tcBorders>
            <w:shd w:val="clear" w:color="auto" w:fill="auto"/>
            <w:vAlign w:val="center"/>
          </w:tcPr>
          <w:p w14:paraId="79A8D0AC">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PVC线槽、光纤跳线、网头等</w:t>
            </w:r>
          </w:p>
        </w:tc>
        <w:tc>
          <w:tcPr>
            <w:tcW w:w="384" w:type="pct"/>
            <w:tcBorders>
              <w:tl2br w:val="nil"/>
              <w:tr2bl w:val="nil"/>
            </w:tcBorders>
            <w:shd w:val="clear" w:color="auto" w:fill="auto"/>
            <w:vAlign w:val="center"/>
          </w:tcPr>
          <w:p w14:paraId="2FCF79E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403CE74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3F094560">
            <w:pPr>
              <w:widowControl/>
              <w:adjustRightInd/>
              <w:jc w:val="center"/>
              <w:textAlignment w:val="center"/>
              <w:rPr>
                <w:rFonts w:hint="eastAsia" w:ascii="宋体" w:hAnsi="宋体" w:cs="宋体"/>
                <w:color w:val="000000"/>
                <w:kern w:val="0"/>
                <w:sz w:val="20"/>
                <w:szCs w:val="20"/>
                <w:lang w:bidi="ar"/>
              </w:rPr>
            </w:pPr>
          </w:p>
        </w:tc>
      </w:tr>
      <w:tr w14:paraId="7ED37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2DBE2C64">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三、教学楼2设备清单</w:t>
            </w:r>
          </w:p>
        </w:tc>
        <w:tc>
          <w:tcPr>
            <w:tcW w:w="384" w:type="pct"/>
            <w:tcBorders>
              <w:tl2br w:val="nil"/>
              <w:tr2bl w:val="nil"/>
            </w:tcBorders>
            <w:shd w:val="clear" w:color="auto" w:fill="auto"/>
            <w:vAlign w:val="center"/>
          </w:tcPr>
          <w:p w14:paraId="1442930D">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7CDD9F0D">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12516DAE">
            <w:pPr>
              <w:adjustRightInd/>
              <w:jc w:val="center"/>
              <w:rPr>
                <w:rFonts w:hint="eastAsia" w:ascii="宋体" w:hAnsi="宋体" w:cs="宋体"/>
                <w:color w:val="000000"/>
                <w:sz w:val="20"/>
                <w:szCs w:val="20"/>
              </w:rPr>
            </w:pPr>
          </w:p>
        </w:tc>
      </w:tr>
      <w:tr w14:paraId="056B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jc w:val="center"/>
        </w:trPr>
        <w:tc>
          <w:tcPr>
            <w:tcW w:w="306" w:type="pct"/>
            <w:tcBorders>
              <w:tl2br w:val="nil"/>
              <w:tr2bl w:val="nil"/>
            </w:tcBorders>
            <w:shd w:val="clear" w:color="auto" w:fill="auto"/>
            <w:vAlign w:val="center"/>
          </w:tcPr>
          <w:p w14:paraId="041F402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199E54A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20B3D59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71550C0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p>
          <w:p w14:paraId="0DF4CDC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401FC31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p>
          <w:p w14:paraId="25D24D2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0F269E9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77B4685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auto"/>
            <w:vAlign w:val="center"/>
          </w:tcPr>
          <w:p w14:paraId="4B249E9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427" w:type="pct"/>
            <w:tcBorders>
              <w:tl2br w:val="nil"/>
              <w:tr2bl w:val="nil"/>
            </w:tcBorders>
            <w:shd w:val="clear" w:color="auto" w:fill="auto"/>
            <w:vAlign w:val="center"/>
          </w:tcPr>
          <w:p w14:paraId="7B5C3AE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6C0456F5">
            <w:pPr>
              <w:widowControl/>
              <w:adjustRightInd/>
              <w:jc w:val="center"/>
              <w:textAlignment w:val="center"/>
              <w:rPr>
                <w:rFonts w:hint="eastAsia" w:ascii="宋体" w:hAnsi="宋体" w:cs="宋体"/>
                <w:color w:val="000000"/>
                <w:kern w:val="0"/>
                <w:sz w:val="20"/>
                <w:szCs w:val="20"/>
                <w:lang w:bidi="ar"/>
              </w:rPr>
            </w:pPr>
          </w:p>
        </w:tc>
      </w:tr>
      <w:tr w14:paraId="2731C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5E1C866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513B603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3AD4AE70">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具有</w:t>
            </w:r>
            <w:r>
              <w:rPr>
                <w:rFonts w:hint="eastAsia" w:ascii="宋体" w:hAnsi="宋体" w:cs="宋体"/>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auto"/>
            <w:vAlign w:val="center"/>
          </w:tcPr>
          <w:p w14:paraId="5AEAB46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427" w:type="pct"/>
            <w:tcBorders>
              <w:tl2br w:val="nil"/>
              <w:tr2bl w:val="nil"/>
            </w:tcBorders>
            <w:shd w:val="clear" w:color="auto" w:fill="auto"/>
            <w:vAlign w:val="center"/>
          </w:tcPr>
          <w:p w14:paraId="4653EBF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023F58B8">
            <w:pPr>
              <w:widowControl/>
              <w:adjustRightInd/>
              <w:jc w:val="center"/>
              <w:textAlignment w:val="center"/>
              <w:rPr>
                <w:rFonts w:hint="eastAsia" w:ascii="宋体" w:hAnsi="宋体" w:cs="宋体"/>
                <w:color w:val="000000"/>
                <w:kern w:val="0"/>
                <w:sz w:val="20"/>
                <w:szCs w:val="20"/>
                <w:lang w:bidi="ar"/>
              </w:rPr>
            </w:pPr>
          </w:p>
        </w:tc>
      </w:tr>
      <w:tr w14:paraId="7CE7A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0" w:hRule="atLeast"/>
          <w:jc w:val="center"/>
        </w:trPr>
        <w:tc>
          <w:tcPr>
            <w:tcW w:w="306" w:type="pct"/>
            <w:tcBorders>
              <w:tl2br w:val="nil"/>
              <w:tr2bl w:val="nil"/>
            </w:tcBorders>
            <w:shd w:val="clear" w:color="auto" w:fill="auto"/>
            <w:vAlign w:val="center"/>
          </w:tcPr>
          <w:p w14:paraId="0F60D89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11A3CBF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17CDE7C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1.交换容量≥3.3Tbps，包转发率≥126Mpps。固化10/100/1000M以太网电口≥24，1000M/2.5G SFP千兆光接口≥4个。</w:t>
            </w:r>
          </w:p>
          <w:p w14:paraId="77B60D2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2.支持POE和POE+，同时可POE供电端口≥24个，POE最大输出功率≥370W，PoE满载下整机最大功耗403W。</w:t>
            </w:r>
          </w:p>
          <w:p w14:paraId="5079A63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5DE8CFB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4.绿色节能：要求支持高效节能以太网特性。端口如果在连续一段时间之内空闲，系统会将该端口设置为节能模式，当有报文收发时再通过定时发送的监听码流唤醒端口恢复业务，达到节能的效果。</w:t>
            </w:r>
          </w:p>
          <w:p w14:paraId="16595CB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5.要求所投产品端口浪涌抗扰度≥10KV（即具备10KV的防雷能力）。</w:t>
            </w:r>
          </w:p>
          <w:p w14:paraId="7B81929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01F8818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072BD7D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8.配合云管平台支持基于网关的网络拓扑自动发现，并以图形化形式呈现；支持基于云的工具箱功能（配置下发、配置备份、配置恢复、命令调试、访问eWeb、访问Telnet、访问SSH、重启、设备升级）；</w:t>
            </w:r>
          </w:p>
          <w:p w14:paraId="6296601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0A3DAE13">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auto"/>
            <w:vAlign w:val="center"/>
          </w:tcPr>
          <w:p w14:paraId="51500F5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059EB18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1DE5B166">
            <w:pPr>
              <w:widowControl/>
              <w:adjustRightInd/>
              <w:jc w:val="center"/>
              <w:textAlignment w:val="center"/>
              <w:rPr>
                <w:rFonts w:hint="eastAsia" w:ascii="宋体" w:hAnsi="宋体" w:cs="宋体"/>
                <w:color w:val="000000"/>
                <w:kern w:val="0"/>
                <w:sz w:val="20"/>
                <w:szCs w:val="20"/>
                <w:lang w:bidi="ar"/>
              </w:rPr>
            </w:pPr>
          </w:p>
        </w:tc>
      </w:tr>
      <w:tr w14:paraId="56814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75C3331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4EEB3D3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2829" w:type="pct"/>
            <w:tcBorders>
              <w:tl2br w:val="nil"/>
              <w:tr2bl w:val="nil"/>
            </w:tcBorders>
            <w:shd w:val="clear" w:color="auto" w:fill="auto"/>
            <w:vAlign w:val="center"/>
          </w:tcPr>
          <w:p w14:paraId="684BBC6B">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auto"/>
            <w:vAlign w:val="center"/>
          </w:tcPr>
          <w:p w14:paraId="3FF4B1E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4BBC2A4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320" w:type="pct"/>
            <w:tcBorders>
              <w:tl2br w:val="nil"/>
              <w:tr2bl w:val="nil"/>
            </w:tcBorders>
            <w:shd w:val="clear" w:color="auto" w:fill="auto"/>
            <w:vAlign w:val="center"/>
          </w:tcPr>
          <w:p w14:paraId="7347FA78">
            <w:pPr>
              <w:widowControl/>
              <w:adjustRightInd/>
              <w:jc w:val="center"/>
              <w:textAlignment w:val="center"/>
              <w:rPr>
                <w:rFonts w:hint="eastAsia" w:ascii="宋体" w:hAnsi="宋体" w:cs="宋体"/>
                <w:color w:val="000000"/>
                <w:kern w:val="0"/>
                <w:sz w:val="20"/>
                <w:szCs w:val="20"/>
                <w:lang w:bidi="ar"/>
              </w:rPr>
            </w:pPr>
          </w:p>
        </w:tc>
      </w:tr>
      <w:tr w14:paraId="4313D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6" w:type="pct"/>
            <w:tcBorders>
              <w:tl2br w:val="nil"/>
              <w:tr2bl w:val="nil"/>
            </w:tcBorders>
            <w:shd w:val="clear" w:color="auto" w:fill="auto"/>
            <w:vAlign w:val="center"/>
          </w:tcPr>
          <w:p w14:paraId="047A72A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0E7442D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6类非屏蔽双绞线</w:t>
            </w:r>
          </w:p>
        </w:tc>
        <w:tc>
          <w:tcPr>
            <w:tcW w:w="2829" w:type="pct"/>
            <w:tcBorders>
              <w:tl2br w:val="nil"/>
              <w:tr2bl w:val="nil"/>
            </w:tcBorders>
            <w:shd w:val="clear" w:color="auto" w:fill="auto"/>
            <w:vAlign w:val="center"/>
          </w:tcPr>
          <w:p w14:paraId="60E660E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符合标准：ISO/IEC 11801：2017；YD/T 1019-2013</w:t>
            </w:r>
          </w:p>
          <w:p w14:paraId="3A1DCD9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通过标准250MHz带宽测试要求 可扩展到550MHz带宽</w:t>
            </w:r>
          </w:p>
          <w:p w14:paraId="29D6BDF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单根导体直流电阻：≤9.5Ω/100m</w:t>
            </w:r>
          </w:p>
          <w:p w14:paraId="5D4FFF8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额定传输速率(NVP)：≥69%</w:t>
            </w:r>
          </w:p>
          <w:p w14:paraId="3564FBF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电缆对数：4对</w:t>
            </w:r>
          </w:p>
          <w:p w14:paraId="215DCC5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十字骨架材料：PE混合物</w:t>
            </w:r>
          </w:p>
          <w:p w14:paraId="0FA74AC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导体材料：无氧圆铜（纯度99.99%）</w:t>
            </w:r>
          </w:p>
          <w:p w14:paraId="521BCD0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最小弯曲半径：10倍电缆外径</w:t>
            </w:r>
          </w:p>
          <w:p w14:paraId="62A6D3E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导体线规：23AWG</w:t>
            </w:r>
          </w:p>
          <w:p w14:paraId="364C52C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绝缘材料：HDPE</w:t>
            </w:r>
          </w:p>
          <w:p w14:paraId="7C59FEA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屏蔽方式：U/UTP</w:t>
            </w:r>
          </w:p>
          <w:p w14:paraId="150B731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外护套材料：LSZH低烟无卤</w:t>
            </w:r>
          </w:p>
          <w:p w14:paraId="19A4FBFE">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工作温度：-20℃～+60℃</w:t>
            </w:r>
          </w:p>
        </w:tc>
        <w:tc>
          <w:tcPr>
            <w:tcW w:w="384" w:type="pct"/>
            <w:tcBorders>
              <w:tl2br w:val="nil"/>
              <w:tr2bl w:val="nil"/>
            </w:tcBorders>
            <w:shd w:val="clear" w:color="auto" w:fill="auto"/>
            <w:vAlign w:val="center"/>
          </w:tcPr>
          <w:p w14:paraId="3C60601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27" w:type="pct"/>
            <w:tcBorders>
              <w:tl2br w:val="nil"/>
              <w:tr2bl w:val="nil"/>
            </w:tcBorders>
            <w:shd w:val="clear" w:color="auto" w:fill="auto"/>
            <w:vAlign w:val="center"/>
          </w:tcPr>
          <w:p w14:paraId="2B2BA39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320" w:type="pct"/>
            <w:tcBorders>
              <w:tl2br w:val="nil"/>
              <w:tr2bl w:val="nil"/>
            </w:tcBorders>
            <w:shd w:val="clear" w:color="auto" w:fill="auto"/>
            <w:vAlign w:val="center"/>
          </w:tcPr>
          <w:p w14:paraId="1F8857C6">
            <w:pPr>
              <w:widowControl/>
              <w:adjustRightInd/>
              <w:jc w:val="center"/>
              <w:textAlignment w:val="center"/>
              <w:rPr>
                <w:rFonts w:hint="eastAsia" w:ascii="宋体" w:hAnsi="宋体" w:cs="宋体"/>
                <w:color w:val="000000"/>
                <w:kern w:val="0"/>
                <w:sz w:val="20"/>
                <w:szCs w:val="20"/>
                <w:lang w:bidi="ar"/>
              </w:rPr>
            </w:pPr>
          </w:p>
        </w:tc>
      </w:tr>
      <w:tr w14:paraId="09061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2BCE146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732" w:type="pct"/>
            <w:tcBorders>
              <w:tl2br w:val="nil"/>
              <w:tr2bl w:val="nil"/>
            </w:tcBorders>
            <w:shd w:val="clear" w:color="auto" w:fill="auto"/>
            <w:vAlign w:val="center"/>
          </w:tcPr>
          <w:p w14:paraId="066432A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安装辅材</w:t>
            </w:r>
          </w:p>
        </w:tc>
        <w:tc>
          <w:tcPr>
            <w:tcW w:w="2829" w:type="pct"/>
            <w:tcBorders>
              <w:tl2br w:val="nil"/>
              <w:tr2bl w:val="nil"/>
            </w:tcBorders>
            <w:shd w:val="clear" w:color="auto" w:fill="auto"/>
            <w:vAlign w:val="center"/>
          </w:tcPr>
          <w:p w14:paraId="23DCC2AA">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PVC线槽、光纤跳线、网头等</w:t>
            </w:r>
          </w:p>
        </w:tc>
        <w:tc>
          <w:tcPr>
            <w:tcW w:w="384" w:type="pct"/>
            <w:tcBorders>
              <w:tl2br w:val="nil"/>
              <w:tr2bl w:val="nil"/>
            </w:tcBorders>
            <w:shd w:val="clear" w:color="auto" w:fill="auto"/>
            <w:vAlign w:val="center"/>
          </w:tcPr>
          <w:p w14:paraId="702C49B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123083C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5B22B160">
            <w:pPr>
              <w:widowControl/>
              <w:adjustRightInd/>
              <w:jc w:val="center"/>
              <w:textAlignment w:val="center"/>
              <w:rPr>
                <w:rFonts w:hint="eastAsia" w:ascii="宋体" w:hAnsi="宋体" w:cs="宋体"/>
                <w:color w:val="000000"/>
                <w:kern w:val="0"/>
                <w:sz w:val="20"/>
                <w:szCs w:val="20"/>
                <w:lang w:bidi="ar"/>
              </w:rPr>
            </w:pPr>
          </w:p>
        </w:tc>
      </w:tr>
      <w:tr w14:paraId="4D149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7B1C6720">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四、实训楼设备清单</w:t>
            </w:r>
          </w:p>
        </w:tc>
        <w:tc>
          <w:tcPr>
            <w:tcW w:w="384" w:type="pct"/>
            <w:tcBorders>
              <w:tl2br w:val="nil"/>
              <w:tr2bl w:val="nil"/>
            </w:tcBorders>
            <w:shd w:val="clear" w:color="auto" w:fill="auto"/>
            <w:vAlign w:val="center"/>
          </w:tcPr>
          <w:p w14:paraId="4BECFBAD">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427B9401">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58A8860E">
            <w:pPr>
              <w:adjustRightInd/>
              <w:jc w:val="center"/>
              <w:rPr>
                <w:rFonts w:hint="eastAsia" w:ascii="宋体" w:hAnsi="宋体" w:cs="宋体"/>
                <w:color w:val="000000"/>
                <w:sz w:val="20"/>
                <w:szCs w:val="20"/>
              </w:rPr>
            </w:pPr>
          </w:p>
        </w:tc>
      </w:tr>
      <w:tr w14:paraId="79020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6" w:hRule="atLeast"/>
          <w:jc w:val="center"/>
        </w:trPr>
        <w:tc>
          <w:tcPr>
            <w:tcW w:w="306" w:type="pct"/>
            <w:tcBorders>
              <w:tl2br w:val="nil"/>
              <w:tr2bl w:val="nil"/>
            </w:tcBorders>
            <w:shd w:val="clear" w:color="auto" w:fill="auto"/>
            <w:vAlign w:val="center"/>
          </w:tcPr>
          <w:p w14:paraId="0CB36B2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29BFDF5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008E89A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29A132E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p>
          <w:p w14:paraId="20C0EFA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455A294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p>
          <w:p w14:paraId="3C23A56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6F5440C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31539334">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auto"/>
            <w:vAlign w:val="center"/>
          </w:tcPr>
          <w:p w14:paraId="5A7EF2D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427" w:type="pct"/>
            <w:tcBorders>
              <w:tl2br w:val="nil"/>
              <w:tr2bl w:val="nil"/>
            </w:tcBorders>
            <w:shd w:val="clear" w:color="auto" w:fill="auto"/>
            <w:vAlign w:val="center"/>
          </w:tcPr>
          <w:p w14:paraId="352C616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21C37DDB">
            <w:pPr>
              <w:widowControl/>
              <w:adjustRightInd/>
              <w:jc w:val="center"/>
              <w:textAlignment w:val="center"/>
              <w:rPr>
                <w:rFonts w:hint="eastAsia" w:ascii="宋体" w:hAnsi="宋体" w:cs="宋体"/>
                <w:color w:val="000000"/>
                <w:kern w:val="0"/>
                <w:sz w:val="20"/>
                <w:szCs w:val="20"/>
                <w:lang w:bidi="ar"/>
              </w:rPr>
            </w:pPr>
          </w:p>
        </w:tc>
      </w:tr>
      <w:tr w14:paraId="598B2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306" w:type="pct"/>
            <w:tcBorders>
              <w:tl2br w:val="nil"/>
              <w:tr2bl w:val="nil"/>
            </w:tcBorders>
            <w:shd w:val="clear" w:color="auto" w:fill="auto"/>
            <w:vAlign w:val="center"/>
          </w:tcPr>
          <w:p w14:paraId="1638180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20DEEB7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76F4404E">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具有</w:t>
            </w:r>
            <w:r>
              <w:rPr>
                <w:rFonts w:hint="eastAsia" w:ascii="宋体" w:hAnsi="宋体" w:cs="宋体"/>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auto"/>
            <w:vAlign w:val="center"/>
          </w:tcPr>
          <w:p w14:paraId="2283E2C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427" w:type="pct"/>
            <w:tcBorders>
              <w:tl2br w:val="nil"/>
              <w:tr2bl w:val="nil"/>
            </w:tcBorders>
            <w:shd w:val="clear" w:color="auto" w:fill="auto"/>
            <w:vAlign w:val="center"/>
          </w:tcPr>
          <w:p w14:paraId="534D922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2177A4B9">
            <w:pPr>
              <w:widowControl/>
              <w:adjustRightInd/>
              <w:jc w:val="center"/>
              <w:textAlignment w:val="center"/>
              <w:rPr>
                <w:rFonts w:hint="eastAsia" w:ascii="宋体" w:hAnsi="宋体" w:cs="宋体"/>
                <w:color w:val="000000"/>
                <w:kern w:val="0"/>
                <w:sz w:val="20"/>
                <w:szCs w:val="20"/>
                <w:lang w:bidi="ar"/>
              </w:rPr>
            </w:pPr>
          </w:p>
        </w:tc>
      </w:tr>
      <w:tr w14:paraId="5FDFA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4A5E386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10F67B6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24BC844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1.交换容量≥3.3Tbps，包转发率≥126Mpps。固化10/100/1000M以太网电口≥24，1000M/2.5G SFP千兆光接口≥4个。</w:t>
            </w:r>
          </w:p>
          <w:p w14:paraId="3EA5FF8D">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2.支持POE和POE+，同时可POE供电端口≥24个，POE最大输出功率≥370W，PoE满载下整机最大功耗403W。</w:t>
            </w:r>
          </w:p>
          <w:p w14:paraId="1DF64A0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3E6D9C8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4.绿色节能：要求支持高效节能以太网特性。端口如果在连续一段时间之内空闲，系统会将该端口设置为节能模式，当有报文收发时再通过定时发送的监听码流唤醒端口恢复业务，达到节能的效果。</w:t>
            </w:r>
          </w:p>
          <w:p w14:paraId="02EFFFA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5.要求所投产品端口浪涌抗扰度≥10KV（即具备10KV的防雷能力）。</w:t>
            </w:r>
          </w:p>
          <w:p w14:paraId="379832F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1062C84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751C50C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8.配合云管平台支持基于网关的网络拓扑自动发现，并以图形化形式呈现；支持基于云的工具箱功能（配置下发、配置备份、配置恢复、命令调试、访问eWeb、访问Telnet、访问SSH、重启、设备升级）；</w:t>
            </w:r>
          </w:p>
          <w:p w14:paraId="18F09F3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101D79DA">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auto"/>
            <w:vAlign w:val="center"/>
          </w:tcPr>
          <w:p w14:paraId="5D707A1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1321D12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1D2C9D68">
            <w:pPr>
              <w:widowControl/>
              <w:adjustRightInd/>
              <w:jc w:val="center"/>
              <w:textAlignment w:val="center"/>
              <w:rPr>
                <w:rFonts w:hint="eastAsia" w:ascii="宋体" w:hAnsi="宋体" w:cs="宋体"/>
                <w:color w:val="000000"/>
                <w:kern w:val="0"/>
                <w:sz w:val="20"/>
                <w:szCs w:val="20"/>
                <w:lang w:bidi="ar"/>
              </w:rPr>
            </w:pPr>
          </w:p>
        </w:tc>
      </w:tr>
      <w:tr w14:paraId="51C23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4B94DD7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41C0BCE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2829" w:type="pct"/>
            <w:tcBorders>
              <w:tl2br w:val="nil"/>
              <w:tr2bl w:val="nil"/>
            </w:tcBorders>
            <w:shd w:val="clear" w:color="auto" w:fill="auto"/>
            <w:vAlign w:val="center"/>
          </w:tcPr>
          <w:p w14:paraId="0A3BD785">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auto"/>
            <w:vAlign w:val="center"/>
          </w:tcPr>
          <w:p w14:paraId="3008E0E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3F72408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320" w:type="pct"/>
            <w:tcBorders>
              <w:tl2br w:val="nil"/>
              <w:tr2bl w:val="nil"/>
            </w:tcBorders>
            <w:shd w:val="clear" w:color="auto" w:fill="auto"/>
            <w:vAlign w:val="center"/>
          </w:tcPr>
          <w:p w14:paraId="4298CB6E">
            <w:pPr>
              <w:widowControl/>
              <w:adjustRightInd/>
              <w:jc w:val="center"/>
              <w:textAlignment w:val="center"/>
              <w:rPr>
                <w:rFonts w:hint="eastAsia" w:ascii="宋体" w:hAnsi="宋体" w:cs="宋体"/>
                <w:color w:val="000000"/>
                <w:kern w:val="0"/>
                <w:sz w:val="20"/>
                <w:szCs w:val="20"/>
                <w:lang w:bidi="ar"/>
              </w:rPr>
            </w:pPr>
          </w:p>
        </w:tc>
      </w:tr>
      <w:tr w14:paraId="50782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306" w:type="pct"/>
            <w:tcBorders>
              <w:tl2br w:val="nil"/>
              <w:tr2bl w:val="nil"/>
            </w:tcBorders>
            <w:shd w:val="clear" w:color="auto" w:fill="auto"/>
            <w:vAlign w:val="center"/>
          </w:tcPr>
          <w:p w14:paraId="0579AC9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6B65D7E0">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6类非屏蔽双绞线</w:t>
            </w:r>
          </w:p>
        </w:tc>
        <w:tc>
          <w:tcPr>
            <w:tcW w:w="2829" w:type="pct"/>
            <w:tcBorders>
              <w:tl2br w:val="nil"/>
              <w:tr2bl w:val="nil"/>
            </w:tcBorders>
            <w:shd w:val="clear" w:color="auto" w:fill="auto"/>
            <w:vAlign w:val="center"/>
          </w:tcPr>
          <w:p w14:paraId="71EB54C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符合标准：ISO/IEC 11801：2017；YD/T 1019-2013</w:t>
            </w:r>
          </w:p>
          <w:p w14:paraId="0B984EB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通过标准250MHz带宽测试要求 可扩展到550MHz带宽</w:t>
            </w:r>
          </w:p>
          <w:p w14:paraId="5201CD7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单根导体直流电阻：≤9.5Ω/100m</w:t>
            </w:r>
          </w:p>
          <w:p w14:paraId="603C3B0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额定传输速率(NVP)：≥69%</w:t>
            </w:r>
          </w:p>
          <w:p w14:paraId="06247B5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电缆对数：4对</w:t>
            </w:r>
          </w:p>
          <w:p w14:paraId="4DC56CF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十字骨架材料：PE混合物</w:t>
            </w:r>
          </w:p>
          <w:p w14:paraId="5CD5892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导体材料：无氧圆铜（纯度99.99%）</w:t>
            </w:r>
          </w:p>
          <w:p w14:paraId="2FADCA6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最小弯曲半径：10倍电缆外径</w:t>
            </w:r>
          </w:p>
          <w:p w14:paraId="48E4B10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导体线规：23AWG</w:t>
            </w:r>
          </w:p>
          <w:p w14:paraId="423C53E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绝缘材料：HDPE</w:t>
            </w:r>
          </w:p>
          <w:p w14:paraId="39AFF9CE">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屏蔽方式：U/UTP</w:t>
            </w:r>
          </w:p>
          <w:p w14:paraId="042C8F7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外护套材料：LSZH低烟无卤</w:t>
            </w:r>
          </w:p>
          <w:p w14:paraId="7C21DA1C">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工作温度：-20℃～+60℃</w:t>
            </w:r>
          </w:p>
        </w:tc>
        <w:tc>
          <w:tcPr>
            <w:tcW w:w="384" w:type="pct"/>
            <w:tcBorders>
              <w:tl2br w:val="nil"/>
              <w:tr2bl w:val="nil"/>
            </w:tcBorders>
            <w:shd w:val="clear" w:color="auto" w:fill="auto"/>
            <w:vAlign w:val="center"/>
          </w:tcPr>
          <w:p w14:paraId="5F385F8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27" w:type="pct"/>
            <w:tcBorders>
              <w:tl2br w:val="nil"/>
              <w:tr2bl w:val="nil"/>
            </w:tcBorders>
            <w:shd w:val="clear" w:color="auto" w:fill="auto"/>
            <w:vAlign w:val="center"/>
          </w:tcPr>
          <w:p w14:paraId="7A2C36D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320" w:type="pct"/>
            <w:tcBorders>
              <w:tl2br w:val="nil"/>
              <w:tr2bl w:val="nil"/>
            </w:tcBorders>
            <w:shd w:val="clear" w:color="auto" w:fill="auto"/>
            <w:vAlign w:val="center"/>
          </w:tcPr>
          <w:p w14:paraId="6FFA17B8">
            <w:pPr>
              <w:widowControl/>
              <w:adjustRightInd/>
              <w:jc w:val="center"/>
              <w:textAlignment w:val="center"/>
              <w:rPr>
                <w:rFonts w:hint="eastAsia" w:ascii="宋体" w:hAnsi="宋体" w:cs="宋体"/>
                <w:color w:val="000000"/>
                <w:kern w:val="0"/>
                <w:sz w:val="20"/>
                <w:szCs w:val="20"/>
                <w:lang w:bidi="ar"/>
              </w:rPr>
            </w:pPr>
          </w:p>
        </w:tc>
      </w:tr>
      <w:tr w14:paraId="2057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53BB0DC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508A393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安装辅材</w:t>
            </w:r>
          </w:p>
        </w:tc>
        <w:tc>
          <w:tcPr>
            <w:tcW w:w="2829" w:type="pct"/>
            <w:tcBorders>
              <w:tl2br w:val="nil"/>
              <w:tr2bl w:val="nil"/>
            </w:tcBorders>
            <w:shd w:val="clear" w:color="auto" w:fill="auto"/>
            <w:vAlign w:val="center"/>
          </w:tcPr>
          <w:p w14:paraId="55014C9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PVC线槽、光纤跳线、网头等</w:t>
            </w:r>
          </w:p>
        </w:tc>
        <w:tc>
          <w:tcPr>
            <w:tcW w:w="384" w:type="pct"/>
            <w:tcBorders>
              <w:tl2br w:val="nil"/>
              <w:tr2bl w:val="nil"/>
            </w:tcBorders>
            <w:shd w:val="clear" w:color="auto" w:fill="auto"/>
            <w:vAlign w:val="center"/>
          </w:tcPr>
          <w:p w14:paraId="0C2684E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0098F42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17F91E87">
            <w:pPr>
              <w:widowControl/>
              <w:adjustRightInd/>
              <w:jc w:val="center"/>
              <w:textAlignment w:val="center"/>
              <w:rPr>
                <w:rFonts w:hint="eastAsia" w:ascii="宋体" w:hAnsi="宋体" w:cs="宋体"/>
                <w:color w:val="000000"/>
                <w:kern w:val="0"/>
                <w:sz w:val="20"/>
                <w:szCs w:val="20"/>
                <w:lang w:bidi="ar"/>
              </w:rPr>
            </w:pPr>
          </w:p>
        </w:tc>
      </w:tr>
      <w:tr w14:paraId="7F912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524BA04B">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五、图书馆设备清单</w:t>
            </w:r>
          </w:p>
        </w:tc>
        <w:tc>
          <w:tcPr>
            <w:tcW w:w="384" w:type="pct"/>
            <w:tcBorders>
              <w:tl2br w:val="nil"/>
              <w:tr2bl w:val="nil"/>
            </w:tcBorders>
            <w:shd w:val="clear" w:color="auto" w:fill="auto"/>
            <w:vAlign w:val="center"/>
          </w:tcPr>
          <w:p w14:paraId="53736FB2">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26EE7641">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6E2A01CC">
            <w:pPr>
              <w:adjustRightInd/>
              <w:jc w:val="center"/>
              <w:rPr>
                <w:rFonts w:hint="eastAsia" w:ascii="宋体" w:hAnsi="宋体" w:cs="宋体"/>
                <w:color w:val="000000"/>
                <w:sz w:val="20"/>
                <w:szCs w:val="20"/>
              </w:rPr>
            </w:pPr>
          </w:p>
        </w:tc>
      </w:tr>
      <w:tr w14:paraId="4ED47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3" w:hRule="atLeast"/>
          <w:jc w:val="center"/>
        </w:trPr>
        <w:tc>
          <w:tcPr>
            <w:tcW w:w="306" w:type="pct"/>
            <w:tcBorders>
              <w:tl2br w:val="nil"/>
              <w:tr2bl w:val="nil"/>
            </w:tcBorders>
            <w:shd w:val="clear" w:color="auto" w:fill="auto"/>
            <w:vAlign w:val="center"/>
          </w:tcPr>
          <w:p w14:paraId="2620C48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048C367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26F6B82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5EAD14D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p>
          <w:p w14:paraId="6A6BD0E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3F797C7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p>
          <w:p w14:paraId="15CB60C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73EB150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651A3EBC">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auto"/>
            <w:vAlign w:val="center"/>
          </w:tcPr>
          <w:p w14:paraId="5704924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20</w:t>
            </w:r>
          </w:p>
        </w:tc>
        <w:tc>
          <w:tcPr>
            <w:tcW w:w="427" w:type="pct"/>
            <w:tcBorders>
              <w:tl2br w:val="nil"/>
              <w:tr2bl w:val="nil"/>
            </w:tcBorders>
            <w:shd w:val="clear" w:color="auto" w:fill="auto"/>
            <w:vAlign w:val="center"/>
          </w:tcPr>
          <w:p w14:paraId="2AE9C5B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4B270B0D">
            <w:pPr>
              <w:widowControl/>
              <w:adjustRightInd/>
              <w:jc w:val="center"/>
              <w:textAlignment w:val="center"/>
              <w:rPr>
                <w:rFonts w:hint="eastAsia" w:ascii="宋体" w:hAnsi="宋体" w:cs="宋体"/>
                <w:color w:val="000000"/>
                <w:kern w:val="0"/>
                <w:sz w:val="20"/>
                <w:szCs w:val="20"/>
                <w:lang w:bidi="ar"/>
              </w:rPr>
            </w:pPr>
          </w:p>
        </w:tc>
      </w:tr>
      <w:tr w14:paraId="5000C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01DBEF5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5376541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378847FD">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具有</w:t>
            </w:r>
            <w:r>
              <w:rPr>
                <w:rFonts w:hint="eastAsia" w:ascii="宋体" w:hAnsi="宋体" w:cs="宋体"/>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auto"/>
            <w:vAlign w:val="center"/>
          </w:tcPr>
          <w:p w14:paraId="7FF708D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427" w:type="pct"/>
            <w:tcBorders>
              <w:tl2br w:val="nil"/>
              <w:tr2bl w:val="nil"/>
            </w:tcBorders>
            <w:shd w:val="clear" w:color="auto" w:fill="auto"/>
            <w:vAlign w:val="center"/>
          </w:tcPr>
          <w:p w14:paraId="2555479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681C2133">
            <w:pPr>
              <w:widowControl/>
              <w:adjustRightInd/>
              <w:jc w:val="center"/>
              <w:textAlignment w:val="center"/>
              <w:rPr>
                <w:rFonts w:hint="eastAsia" w:ascii="宋体" w:hAnsi="宋体" w:cs="宋体"/>
                <w:color w:val="000000"/>
                <w:kern w:val="0"/>
                <w:sz w:val="20"/>
                <w:szCs w:val="20"/>
                <w:lang w:bidi="ar"/>
              </w:rPr>
            </w:pPr>
          </w:p>
        </w:tc>
      </w:tr>
      <w:tr w14:paraId="7DAA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306" w:type="pct"/>
            <w:tcBorders>
              <w:tl2br w:val="nil"/>
              <w:tr2bl w:val="nil"/>
            </w:tcBorders>
            <w:shd w:val="clear" w:color="auto" w:fill="auto"/>
            <w:vAlign w:val="center"/>
          </w:tcPr>
          <w:p w14:paraId="1C69ACB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0E644E3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高密AP</w:t>
            </w:r>
          </w:p>
        </w:tc>
        <w:tc>
          <w:tcPr>
            <w:tcW w:w="2829" w:type="pct"/>
            <w:tcBorders>
              <w:tl2br w:val="nil"/>
              <w:tr2bl w:val="nil"/>
            </w:tcBorders>
            <w:shd w:val="clear" w:color="auto" w:fill="auto"/>
            <w:vAlign w:val="center"/>
          </w:tcPr>
          <w:p w14:paraId="3554BE11">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r>
              <w:rPr>
                <w:rFonts w:hint="eastAsia" w:ascii="宋体" w:hAnsi="宋体" w:cs="宋体"/>
                <w:color w:val="000000"/>
                <w:kern w:val="0"/>
                <w:sz w:val="20"/>
                <w:szCs w:val="20"/>
                <w:lang w:val="en-US" w:eastAsia="zh-CN" w:bidi="ar"/>
              </w:rPr>
              <w:t>.</w:t>
            </w:r>
            <w:r>
              <w:rPr>
                <w:rFonts w:hint="eastAsia" w:ascii="宋体" w:hAnsi="宋体" w:cs="宋体"/>
                <w:color w:val="000000"/>
                <w:kern w:val="0"/>
                <w:sz w:val="20"/>
                <w:szCs w:val="20"/>
                <w:lang w:bidi="ar"/>
              </w:rPr>
              <w:t>支持802.11ax标准；采用三射频设计，一个2.4GHz射频卡，两个5GHz射频卡；整机最大无线速率≥5.375Gbps。整机空间流≥6条。至少支持1个1G以太网接口、1个5G SFP光口。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w:t>
            </w:r>
            <w:r>
              <w:rPr>
                <w:rFonts w:hint="eastAsia" w:ascii="宋体" w:hAnsi="宋体" w:cs="宋体"/>
                <w:color w:val="000000"/>
                <w:kern w:val="0"/>
                <w:sz w:val="20"/>
                <w:szCs w:val="20"/>
                <w:lang w:bidi="ar"/>
              </w:rPr>
              <w:t>支持内置蓝牙5.1。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w:t>
            </w:r>
            <w:r>
              <w:rPr>
                <w:rFonts w:hint="eastAsia" w:ascii="宋体" w:hAnsi="宋体" w:cs="宋体"/>
                <w:color w:val="000000"/>
                <w:kern w:val="0"/>
                <w:sz w:val="20"/>
                <w:szCs w:val="20"/>
                <w:lang w:val="en-US" w:eastAsia="zh-CN" w:bidi="ar"/>
              </w:rPr>
              <w:t>.</w:t>
            </w:r>
            <w:r>
              <w:rPr>
                <w:rFonts w:hint="eastAsia" w:ascii="宋体" w:hAnsi="宋体" w:cs="宋体"/>
                <w:color w:val="000000"/>
                <w:kern w:val="0"/>
                <w:sz w:val="20"/>
                <w:szCs w:val="20"/>
                <w:lang w:bidi="ar"/>
              </w:rPr>
              <w:t>整机功耗≤40W。整机最大接入用户数≥1536。</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4</w:t>
            </w:r>
            <w:r>
              <w:rPr>
                <w:rFonts w:hint="eastAsia" w:ascii="宋体" w:hAnsi="宋体" w:cs="宋体"/>
                <w:color w:val="000000"/>
                <w:kern w:val="0"/>
                <w:sz w:val="20"/>
                <w:szCs w:val="20"/>
                <w:lang w:val="en-US" w:eastAsia="zh-CN" w:bidi="ar"/>
              </w:rPr>
              <w:t>.</w:t>
            </w:r>
            <w:r>
              <w:rPr>
                <w:rFonts w:hint="eastAsia" w:ascii="宋体" w:hAnsi="宋体" w:cs="宋体"/>
                <w:b w:val="0"/>
                <w:bCs w:val="0"/>
                <w:color w:val="000000"/>
                <w:kern w:val="0"/>
                <w:sz w:val="20"/>
                <w:szCs w:val="20"/>
                <w:lang w:bidi="ar"/>
              </w:rPr>
              <w:t>提供无线电发射设备型号核准证及工信部官网的查询截图。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w:t>
            </w:r>
            <w:r>
              <w:rPr>
                <w:rFonts w:hint="eastAsia" w:ascii="宋体" w:hAnsi="宋体" w:cs="宋体"/>
                <w:color w:val="000000"/>
                <w:kern w:val="0"/>
                <w:sz w:val="20"/>
                <w:szCs w:val="20"/>
                <w:lang w:val="en-US" w:eastAsia="zh-CN" w:bidi="ar"/>
              </w:rPr>
              <w:t>.</w:t>
            </w:r>
            <w:r>
              <w:rPr>
                <w:rFonts w:hint="eastAsia" w:ascii="宋体" w:hAnsi="宋体" w:cs="宋体"/>
                <w:color w:val="000000"/>
                <w:kern w:val="0"/>
                <w:sz w:val="20"/>
                <w:szCs w:val="20"/>
                <w:lang w:bidi="ar"/>
              </w:rPr>
              <w:t>支持PoE/本地DC48V电源两种供电模式。</w:t>
            </w:r>
          </w:p>
        </w:tc>
        <w:tc>
          <w:tcPr>
            <w:tcW w:w="384" w:type="pct"/>
            <w:tcBorders>
              <w:tl2br w:val="nil"/>
              <w:tr2bl w:val="nil"/>
            </w:tcBorders>
            <w:shd w:val="clear" w:color="auto" w:fill="auto"/>
            <w:vAlign w:val="center"/>
          </w:tcPr>
          <w:p w14:paraId="55D2051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FFFFFF"/>
            <w:vAlign w:val="center"/>
          </w:tcPr>
          <w:p w14:paraId="5EEEFB81">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FFFFFF"/>
            <w:vAlign w:val="center"/>
          </w:tcPr>
          <w:p w14:paraId="0A40358D">
            <w:pPr>
              <w:widowControl/>
              <w:adjustRightInd/>
              <w:jc w:val="center"/>
              <w:textAlignment w:val="center"/>
              <w:rPr>
                <w:rFonts w:hint="eastAsia" w:ascii="宋体" w:hAnsi="宋体" w:cs="宋体"/>
                <w:color w:val="000000"/>
                <w:kern w:val="0"/>
                <w:sz w:val="20"/>
                <w:szCs w:val="20"/>
                <w:lang w:bidi="ar"/>
              </w:rPr>
            </w:pPr>
          </w:p>
        </w:tc>
      </w:tr>
      <w:tr w14:paraId="3F60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0" w:hRule="atLeast"/>
          <w:jc w:val="center"/>
        </w:trPr>
        <w:tc>
          <w:tcPr>
            <w:tcW w:w="306" w:type="pct"/>
            <w:tcBorders>
              <w:tl2br w:val="nil"/>
              <w:tr2bl w:val="nil"/>
            </w:tcBorders>
            <w:shd w:val="clear" w:color="auto" w:fill="auto"/>
            <w:vAlign w:val="center"/>
          </w:tcPr>
          <w:p w14:paraId="6CA608E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2231A12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6DE3B20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1.交换容量≥3.3Tbps，包转发率≥126Mpps。固化10/100/1000M以太网电口≥24，1000M/2.5G SFP千兆光接口≥4个。</w:t>
            </w:r>
          </w:p>
          <w:p w14:paraId="5845CA0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2.支持POE和POE+，同时可POE供电端口≥24个，POE最大输出功率≥370W，PoE满载下整机最大功耗403W。</w:t>
            </w:r>
          </w:p>
          <w:p w14:paraId="0D2330C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5B03C6C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4.绿色节能：要求支持高效节能以太网特性。端口如果在连续一段时间之内空闲，系统会将该端口设置为节能模式，当有报文收发时再通过定时发送的监听码流唤醒端口恢复业务，达到节能的效果。</w:t>
            </w:r>
          </w:p>
          <w:p w14:paraId="2A9628D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5.要求所投产品端口浪涌抗扰度≥10KV（即具备10KV的防雷能力）。</w:t>
            </w:r>
          </w:p>
          <w:p w14:paraId="6E343A9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713A56F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794482B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8.配合云管平台支持基于网关的网络拓扑自动发现，并以图形化形式呈现；支持基于云的工具箱功能（配置下发、配置备份、配置恢复、命令调试、访问eWeb、访问Telnet、访问SSH、重启、设备升级）；</w:t>
            </w:r>
          </w:p>
          <w:p w14:paraId="737F669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271B444E">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auto"/>
            <w:vAlign w:val="center"/>
          </w:tcPr>
          <w:p w14:paraId="6E1C6C7C">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70462D9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476652BC">
            <w:pPr>
              <w:widowControl/>
              <w:adjustRightInd/>
              <w:jc w:val="center"/>
              <w:textAlignment w:val="center"/>
              <w:rPr>
                <w:rFonts w:hint="eastAsia" w:ascii="宋体" w:hAnsi="宋体" w:cs="宋体"/>
                <w:color w:val="000000"/>
                <w:kern w:val="0"/>
                <w:sz w:val="20"/>
                <w:szCs w:val="20"/>
                <w:lang w:bidi="ar"/>
              </w:rPr>
            </w:pPr>
          </w:p>
        </w:tc>
      </w:tr>
      <w:tr w14:paraId="211C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24F67B7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732" w:type="pct"/>
            <w:tcBorders>
              <w:tl2br w:val="nil"/>
              <w:tr2bl w:val="nil"/>
            </w:tcBorders>
            <w:shd w:val="clear" w:color="auto" w:fill="auto"/>
            <w:vAlign w:val="center"/>
          </w:tcPr>
          <w:p w14:paraId="22EAD62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2829" w:type="pct"/>
            <w:tcBorders>
              <w:tl2br w:val="nil"/>
              <w:tr2bl w:val="nil"/>
            </w:tcBorders>
            <w:shd w:val="clear" w:color="auto" w:fill="auto"/>
            <w:vAlign w:val="center"/>
          </w:tcPr>
          <w:p w14:paraId="00AF82B3">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auto"/>
            <w:vAlign w:val="center"/>
          </w:tcPr>
          <w:p w14:paraId="1BBA5C7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059808D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320" w:type="pct"/>
            <w:tcBorders>
              <w:tl2br w:val="nil"/>
              <w:tr2bl w:val="nil"/>
            </w:tcBorders>
            <w:shd w:val="clear" w:color="auto" w:fill="auto"/>
            <w:vAlign w:val="center"/>
          </w:tcPr>
          <w:p w14:paraId="601E83EE">
            <w:pPr>
              <w:widowControl/>
              <w:adjustRightInd/>
              <w:jc w:val="center"/>
              <w:textAlignment w:val="center"/>
              <w:rPr>
                <w:rFonts w:hint="eastAsia" w:ascii="宋体" w:hAnsi="宋体" w:cs="宋体"/>
                <w:color w:val="000000"/>
                <w:kern w:val="0"/>
                <w:sz w:val="20"/>
                <w:szCs w:val="20"/>
                <w:lang w:bidi="ar"/>
              </w:rPr>
            </w:pPr>
          </w:p>
        </w:tc>
      </w:tr>
      <w:tr w14:paraId="7A747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3" w:hRule="atLeast"/>
          <w:jc w:val="center"/>
        </w:trPr>
        <w:tc>
          <w:tcPr>
            <w:tcW w:w="306" w:type="pct"/>
            <w:tcBorders>
              <w:tl2br w:val="nil"/>
              <w:tr2bl w:val="nil"/>
            </w:tcBorders>
            <w:shd w:val="clear" w:color="auto" w:fill="auto"/>
            <w:vAlign w:val="center"/>
          </w:tcPr>
          <w:p w14:paraId="242FBA7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732" w:type="pct"/>
            <w:tcBorders>
              <w:tl2br w:val="nil"/>
              <w:tr2bl w:val="nil"/>
            </w:tcBorders>
            <w:shd w:val="clear" w:color="auto" w:fill="auto"/>
            <w:vAlign w:val="center"/>
          </w:tcPr>
          <w:p w14:paraId="72DAA08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6类非屏蔽双绞线</w:t>
            </w:r>
          </w:p>
        </w:tc>
        <w:tc>
          <w:tcPr>
            <w:tcW w:w="2829" w:type="pct"/>
            <w:tcBorders>
              <w:tl2br w:val="nil"/>
              <w:tr2bl w:val="nil"/>
            </w:tcBorders>
            <w:shd w:val="clear" w:color="auto" w:fill="auto"/>
            <w:vAlign w:val="center"/>
          </w:tcPr>
          <w:p w14:paraId="1569A6C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符合标准：ISO/IEC 11801：2017；YD/T 1019-2013</w:t>
            </w:r>
          </w:p>
          <w:p w14:paraId="779A31F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通过标准250MHz带宽测试要求 可扩展到550MHz带宽</w:t>
            </w:r>
          </w:p>
          <w:p w14:paraId="0B92610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单根导体直流电阻：≤9.5Ω/100m</w:t>
            </w:r>
          </w:p>
          <w:p w14:paraId="4C890AF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额定传输速率(NVP)：≥69%</w:t>
            </w:r>
          </w:p>
          <w:p w14:paraId="12EC27C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电缆对数：4对</w:t>
            </w:r>
          </w:p>
          <w:p w14:paraId="5D0B294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十字骨架材料：PE混合物</w:t>
            </w:r>
          </w:p>
          <w:p w14:paraId="613607B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导体材料：无氧圆铜（纯度99.99%）</w:t>
            </w:r>
          </w:p>
          <w:p w14:paraId="667ED62A">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最小弯曲半径：10倍电缆外径</w:t>
            </w:r>
          </w:p>
          <w:p w14:paraId="7FC04E57">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导体线规：23AWG</w:t>
            </w:r>
          </w:p>
          <w:p w14:paraId="17A17A4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绝缘材料：HDPE</w:t>
            </w:r>
          </w:p>
          <w:p w14:paraId="26B7860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屏蔽方式：U/UTP</w:t>
            </w:r>
          </w:p>
          <w:p w14:paraId="0F9AC9D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外护套材料：LSZH低烟无卤</w:t>
            </w:r>
          </w:p>
          <w:p w14:paraId="515BB2DF">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工作温度：-20℃～+60℃</w:t>
            </w:r>
          </w:p>
        </w:tc>
        <w:tc>
          <w:tcPr>
            <w:tcW w:w="384" w:type="pct"/>
            <w:tcBorders>
              <w:tl2br w:val="nil"/>
              <w:tr2bl w:val="nil"/>
            </w:tcBorders>
            <w:shd w:val="clear" w:color="auto" w:fill="auto"/>
            <w:vAlign w:val="center"/>
          </w:tcPr>
          <w:p w14:paraId="0FAEC06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427" w:type="pct"/>
            <w:tcBorders>
              <w:tl2br w:val="nil"/>
              <w:tr2bl w:val="nil"/>
            </w:tcBorders>
            <w:shd w:val="clear" w:color="auto" w:fill="auto"/>
            <w:vAlign w:val="center"/>
          </w:tcPr>
          <w:p w14:paraId="73D4C0CE">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320" w:type="pct"/>
            <w:tcBorders>
              <w:tl2br w:val="nil"/>
              <w:tr2bl w:val="nil"/>
            </w:tcBorders>
            <w:shd w:val="clear" w:color="auto" w:fill="auto"/>
            <w:vAlign w:val="center"/>
          </w:tcPr>
          <w:p w14:paraId="3FED0585">
            <w:pPr>
              <w:widowControl/>
              <w:adjustRightInd/>
              <w:jc w:val="center"/>
              <w:textAlignment w:val="center"/>
              <w:rPr>
                <w:rFonts w:hint="eastAsia" w:ascii="宋体" w:hAnsi="宋体" w:cs="宋体"/>
                <w:color w:val="000000"/>
                <w:kern w:val="0"/>
                <w:sz w:val="20"/>
                <w:szCs w:val="20"/>
                <w:lang w:bidi="ar"/>
              </w:rPr>
            </w:pPr>
          </w:p>
        </w:tc>
      </w:tr>
      <w:tr w14:paraId="6F48C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3620DB65">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732" w:type="pct"/>
            <w:tcBorders>
              <w:tl2br w:val="nil"/>
              <w:tr2bl w:val="nil"/>
            </w:tcBorders>
            <w:shd w:val="clear" w:color="auto" w:fill="auto"/>
            <w:vAlign w:val="center"/>
          </w:tcPr>
          <w:p w14:paraId="072CA4D9">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安装辅材</w:t>
            </w:r>
          </w:p>
        </w:tc>
        <w:tc>
          <w:tcPr>
            <w:tcW w:w="2829" w:type="pct"/>
            <w:tcBorders>
              <w:tl2br w:val="nil"/>
              <w:tr2bl w:val="nil"/>
            </w:tcBorders>
            <w:shd w:val="clear" w:color="auto" w:fill="auto"/>
            <w:vAlign w:val="center"/>
          </w:tcPr>
          <w:p w14:paraId="3E06EC1D">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PVC线槽、光纤跳线、网头等</w:t>
            </w:r>
          </w:p>
        </w:tc>
        <w:tc>
          <w:tcPr>
            <w:tcW w:w="384" w:type="pct"/>
            <w:tcBorders>
              <w:tl2br w:val="nil"/>
              <w:tr2bl w:val="nil"/>
            </w:tcBorders>
            <w:shd w:val="clear" w:color="auto" w:fill="auto"/>
            <w:vAlign w:val="center"/>
          </w:tcPr>
          <w:p w14:paraId="2A582DF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35464FB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320" w:type="pct"/>
            <w:tcBorders>
              <w:tl2br w:val="nil"/>
              <w:tr2bl w:val="nil"/>
            </w:tcBorders>
            <w:shd w:val="clear" w:color="auto" w:fill="auto"/>
            <w:vAlign w:val="center"/>
          </w:tcPr>
          <w:p w14:paraId="44F2F6BE">
            <w:pPr>
              <w:widowControl/>
              <w:adjustRightInd/>
              <w:jc w:val="center"/>
              <w:textAlignment w:val="center"/>
              <w:rPr>
                <w:rFonts w:hint="eastAsia" w:ascii="宋体" w:hAnsi="宋体" w:cs="宋体"/>
                <w:color w:val="000000"/>
                <w:kern w:val="0"/>
                <w:sz w:val="20"/>
                <w:szCs w:val="20"/>
                <w:lang w:bidi="ar"/>
              </w:rPr>
            </w:pPr>
          </w:p>
        </w:tc>
      </w:tr>
      <w:tr w14:paraId="70802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5BDC85F6">
            <w:pPr>
              <w:widowControl/>
              <w:adjustRightInd/>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六、实习工厂设备清单</w:t>
            </w:r>
          </w:p>
        </w:tc>
        <w:tc>
          <w:tcPr>
            <w:tcW w:w="384" w:type="pct"/>
            <w:tcBorders>
              <w:tl2br w:val="nil"/>
              <w:tr2bl w:val="nil"/>
            </w:tcBorders>
            <w:shd w:val="clear" w:color="auto" w:fill="auto"/>
            <w:vAlign w:val="center"/>
          </w:tcPr>
          <w:p w14:paraId="42806B16">
            <w:pPr>
              <w:adjustRightInd/>
              <w:jc w:val="center"/>
              <w:rPr>
                <w:rFonts w:hint="eastAsia" w:ascii="宋体" w:hAnsi="宋体" w:cs="宋体"/>
                <w:color w:val="000000"/>
                <w:sz w:val="20"/>
                <w:szCs w:val="20"/>
              </w:rPr>
            </w:pPr>
          </w:p>
        </w:tc>
        <w:tc>
          <w:tcPr>
            <w:tcW w:w="427" w:type="pct"/>
            <w:tcBorders>
              <w:tl2br w:val="nil"/>
              <w:tr2bl w:val="nil"/>
            </w:tcBorders>
            <w:shd w:val="clear" w:color="auto" w:fill="auto"/>
            <w:vAlign w:val="center"/>
          </w:tcPr>
          <w:p w14:paraId="3F65783E">
            <w:pPr>
              <w:adjustRightInd/>
              <w:jc w:val="center"/>
              <w:rPr>
                <w:rFonts w:hint="eastAsia" w:ascii="宋体" w:hAnsi="宋体" w:cs="宋体"/>
                <w:color w:val="000000"/>
                <w:sz w:val="20"/>
                <w:szCs w:val="20"/>
              </w:rPr>
            </w:pPr>
          </w:p>
        </w:tc>
        <w:tc>
          <w:tcPr>
            <w:tcW w:w="320" w:type="pct"/>
            <w:tcBorders>
              <w:tl2br w:val="nil"/>
              <w:tr2bl w:val="nil"/>
            </w:tcBorders>
            <w:shd w:val="clear" w:color="auto" w:fill="auto"/>
            <w:vAlign w:val="center"/>
          </w:tcPr>
          <w:p w14:paraId="4E82B646">
            <w:pPr>
              <w:adjustRightInd/>
              <w:jc w:val="center"/>
              <w:rPr>
                <w:rFonts w:hint="eastAsia" w:ascii="宋体" w:hAnsi="宋体" w:cs="宋体"/>
                <w:color w:val="000000"/>
                <w:sz w:val="20"/>
                <w:szCs w:val="20"/>
              </w:rPr>
            </w:pPr>
          </w:p>
        </w:tc>
      </w:tr>
      <w:tr w14:paraId="464B1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3" w:hRule="atLeast"/>
          <w:jc w:val="center"/>
        </w:trPr>
        <w:tc>
          <w:tcPr>
            <w:tcW w:w="306" w:type="pct"/>
            <w:tcBorders>
              <w:tl2br w:val="nil"/>
              <w:tr2bl w:val="nil"/>
            </w:tcBorders>
            <w:shd w:val="clear" w:color="auto" w:fill="auto"/>
            <w:vAlign w:val="center"/>
          </w:tcPr>
          <w:p w14:paraId="0FC9E07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732" w:type="pct"/>
            <w:tcBorders>
              <w:tl2br w:val="nil"/>
              <w:tr2bl w:val="nil"/>
            </w:tcBorders>
            <w:shd w:val="clear" w:color="auto" w:fill="auto"/>
            <w:vAlign w:val="center"/>
          </w:tcPr>
          <w:p w14:paraId="164398E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放装式无线AP</w:t>
            </w:r>
          </w:p>
        </w:tc>
        <w:tc>
          <w:tcPr>
            <w:tcW w:w="2829" w:type="pct"/>
            <w:tcBorders>
              <w:tl2br w:val="nil"/>
              <w:tr2bl w:val="nil"/>
            </w:tcBorders>
            <w:shd w:val="clear" w:color="auto" w:fill="auto"/>
            <w:vAlign w:val="center"/>
          </w:tcPr>
          <w:p w14:paraId="6FF8240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1.支持802.11ax标准；采用双射频设计，一个2.4GHz射频卡，一个5GHz射频卡；整机空间流≥4条。整机最大无线速率≥2.97Gbps。</w:t>
            </w:r>
          </w:p>
          <w:p w14:paraId="0C730221">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2.至少支持1个1G以太网接口、1个2.5G SFP光口。</w:t>
            </w:r>
          </w:p>
          <w:p w14:paraId="1E002238">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3.支持内置蓝牙5.1。</w:t>
            </w:r>
          </w:p>
          <w:p w14:paraId="658A9903">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4.整机功耗≤13W。</w:t>
            </w:r>
          </w:p>
          <w:p w14:paraId="76670BFB">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5.由于AP部署在高空环境，难以时常清洁，为保障设备堆积灰尘仍可以正常运行，要求所投无线接入点符合国标GB/T 4208-2017即《外壳防护等级（IP代码）》，至少达到防护等级IP51。</w:t>
            </w:r>
          </w:p>
          <w:p w14:paraId="4FCD32F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6.为了降低辐射对人体带来的潜在危害，保证设备电磁辐射对人体安全，所投产品SAR值不高于2.0W/kg。</w:t>
            </w:r>
          </w:p>
          <w:p w14:paraId="267ABC7F">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7.由于AP部署在开放环境中，为保障设备受到外部机械碰撞仍可以保持结构完整、功能完备，要求所投室内无线接入点符合国标GB/T 20138-2006即《电器设备外壳对外界机械碰撞的防护等级（IK代码）》标准，至少达到防护等级IK08。</w:t>
            </w:r>
          </w:p>
        </w:tc>
        <w:tc>
          <w:tcPr>
            <w:tcW w:w="384" w:type="pct"/>
            <w:tcBorders>
              <w:tl2br w:val="nil"/>
              <w:tr2bl w:val="nil"/>
            </w:tcBorders>
            <w:shd w:val="clear" w:color="auto" w:fill="auto"/>
            <w:vAlign w:val="center"/>
          </w:tcPr>
          <w:p w14:paraId="5C6770A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27" w:type="pct"/>
            <w:tcBorders>
              <w:tl2br w:val="nil"/>
              <w:tr2bl w:val="nil"/>
            </w:tcBorders>
            <w:shd w:val="clear" w:color="auto" w:fill="auto"/>
            <w:vAlign w:val="center"/>
          </w:tcPr>
          <w:p w14:paraId="4270B9B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3DF4E637">
            <w:pPr>
              <w:widowControl/>
              <w:adjustRightInd/>
              <w:jc w:val="center"/>
              <w:textAlignment w:val="center"/>
              <w:rPr>
                <w:rFonts w:hint="eastAsia" w:ascii="宋体" w:hAnsi="宋体" w:cs="宋体"/>
                <w:color w:val="000000"/>
                <w:kern w:val="0"/>
                <w:sz w:val="20"/>
                <w:szCs w:val="20"/>
                <w:lang w:bidi="ar"/>
              </w:rPr>
            </w:pPr>
          </w:p>
        </w:tc>
      </w:tr>
      <w:tr w14:paraId="2ABDA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306" w:type="pct"/>
            <w:tcBorders>
              <w:tl2br w:val="nil"/>
              <w:tr2bl w:val="nil"/>
            </w:tcBorders>
            <w:shd w:val="clear" w:color="auto" w:fill="auto"/>
            <w:vAlign w:val="center"/>
          </w:tcPr>
          <w:p w14:paraId="5017D228">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732" w:type="pct"/>
            <w:tcBorders>
              <w:tl2br w:val="nil"/>
              <w:tr2bl w:val="nil"/>
            </w:tcBorders>
            <w:shd w:val="clear" w:color="auto" w:fill="auto"/>
            <w:vAlign w:val="center"/>
          </w:tcPr>
          <w:p w14:paraId="08798CE7">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面板式无线AP</w:t>
            </w:r>
          </w:p>
        </w:tc>
        <w:tc>
          <w:tcPr>
            <w:tcW w:w="2829" w:type="pct"/>
            <w:tcBorders>
              <w:tl2br w:val="nil"/>
              <w:tr2bl w:val="nil"/>
            </w:tcBorders>
            <w:shd w:val="clear" w:color="auto" w:fill="auto"/>
            <w:vAlign w:val="center"/>
          </w:tcPr>
          <w:p w14:paraId="6F142A5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1.支持802.11ax标准，采用双射频频设计，整机空间流≥4条，整机最大接入速率≥2.975Gbps。至少支持1个1G以太网口上联，1个1G以太网口下联。</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2.整机功耗≤8W</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3.面板尺寸≤86mm×86mm，可嵌入86盒安装；入墙深度不超过38mm</w:t>
            </w:r>
            <w:r>
              <w:rPr>
                <w:rFonts w:hint="eastAsia" w:ascii="宋体" w:hAnsi="宋体" w:cs="宋体"/>
                <w:b/>
                <w:bCs/>
                <w:color w:val="000000"/>
                <w:kern w:val="0"/>
                <w:sz w:val="20"/>
                <w:szCs w:val="20"/>
                <w:lang w:bidi="ar"/>
              </w:rPr>
              <w:t>。</w:t>
            </w:r>
            <w:r>
              <w:rPr>
                <w:rFonts w:hint="eastAsia" w:ascii="宋体" w:hAnsi="宋体" w:cs="宋体"/>
                <w:color w:val="000000"/>
                <w:kern w:val="0"/>
                <w:sz w:val="20"/>
                <w:szCs w:val="20"/>
                <w:lang w:bidi="ar"/>
              </w:rPr>
              <w:t xml:space="preserve"> </w:t>
            </w:r>
            <w:r>
              <w:rPr>
                <w:rFonts w:hint="eastAsia" w:ascii="宋体" w:hAnsi="宋体" w:cs="宋体"/>
                <w:color w:val="000000"/>
                <w:kern w:val="0"/>
                <w:sz w:val="20"/>
                <w:szCs w:val="20"/>
                <w:lang w:bidi="ar"/>
              </w:rPr>
              <w:br w:type="textWrapping"/>
            </w:r>
            <w:r>
              <w:rPr>
                <w:rFonts w:hint="eastAsia" w:ascii="宋体" w:hAnsi="宋体" w:cs="宋体"/>
                <w:b w:val="0"/>
                <w:bCs w:val="0"/>
                <w:color w:val="000000"/>
                <w:kern w:val="0"/>
                <w:sz w:val="20"/>
                <w:szCs w:val="20"/>
                <w:lang w:bidi="ar"/>
              </w:rPr>
              <w:t>4.</w:t>
            </w:r>
            <w:r>
              <w:rPr>
                <w:rFonts w:hint="eastAsia" w:ascii="宋体" w:hAnsi="宋体" w:cs="宋体"/>
                <w:b w:val="0"/>
                <w:bCs w:val="0"/>
                <w:color w:val="000000"/>
                <w:kern w:val="0"/>
                <w:sz w:val="20"/>
                <w:szCs w:val="20"/>
                <w:lang w:val="en-US" w:eastAsia="zh-CN" w:bidi="ar"/>
              </w:rPr>
              <w:t>具有</w:t>
            </w:r>
            <w:r>
              <w:rPr>
                <w:rFonts w:hint="eastAsia" w:ascii="宋体" w:hAnsi="宋体" w:cs="宋体"/>
                <w:b w:val="0"/>
                <w:bCs w:val="0"/>
                <w:color w:val="000000"/>
                <w:kern w:val="0"/>
                <w:sz w:val="20"/>
                <w:szCs w:val="20"/>
                <w:lang w:bidi="ar"/>
              </w:rPr>
              <w:t>无线电发射设备型号核准证。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5.支持Fat/Fit模式切换。当工作在Fit（瘦）模式时，可通过AC系列无线控制器切换为Fat模式；当工作在Fat（胖）模式时，可通过本地控制口、Telnet方式切换为Fit模式。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6.为保证无线网络安全，支持PSK认证、Web认证、微信认证、二维码访客认证、短信认证、无感知认证等认证方式；支持WEP（64/128位）、WPA（TKIP）、WPA-PSK、WPA2（AES）、WPA3等数据加密方式。</w:t>
            </w:r>
          </w:p>
        </w:tc>
        <w:tc>
          <w:tcPr>
            <w:tcW w:w="384" w:type="pct"/>
            <w:tcBorders>
              <w:tl2br w:val="nil"/>
              <w:tr2bl w:val="nil"/>
            </w:tcBorders>
            <w:shd w:val="clear" w:color="auto" w:fill="auto"/>
            <w:vAlign w:val="center"/>
          </w:tcPr>
          <w:p w14:paraId="0984F536">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427" w:type="pct"/>
            <w:tcBorders>
              <w:tl2br w:val="nil"/>
              <w:tr2bl w:val="nil"/>
            </w:tcBorders>
            <w:shd w:val="clear" w:color="auto" w:fill="auto"/>
            <w:vAlign w:val="center"/>
          </w:tcPr>
          <w:p w14:paraId="583C05D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0EEEC834">
            <w:pPr>
              <w:widowControl/>
              <w:adjustRightInd/>
              <w:jc w:val="center"/>
              <w:textAlignment w:val="center"/>
              <w:rPr>
                <w:rFonts w:hint="eastAsia" w:ascii="宋体" w:hAnsi="宋体" w:cs="宋体"/>
                <w:color w:val="000000"/>
                <w:kern w:val="0"/>
                <w:sz w:val="20"/>
                <w:szCs w:val="20"/>
                <w:lang w:bidi="ar"/>
              </w:rPr>
            </w:pPr>
          </w:p>
        </w:tc>
      </w:tr>
      <w:tr w14:paraId="51212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64ACFDC3">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732" w:type="pct"/>
            <w:tcBorders>
              <w:tl2br w:val="nil"/>
              <w:tr2bl w:val="nil"/>
            </w:tcBorders>
            <w:shd w:val="clear" w:color="auto" w:fill="auto"/>
            <w:vAlign w:val="center"/>
          </w:tcPr>
          <w:p w14:paraId="5F00B38A">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24口POE交换机</w:t>
            </w:r>
          </w:p>
        </w:tc>
        <w:tc>
          <w:tcPr>
            <w:tcW w:w="2829" w:type="pct"/>
            <w:tcBorders>
              <w:tl2br w:val="nil"/>
              <w:tr2bl w:val="nil"/>
            </w:tcBorders>
            <w:shd w:val="clear" w:color="auto" w:fill="auto"/>
            <w:vAlign w:val="center"/>
          </w:tcPr>
          <w:p w14:paraId="02D9F926">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1.交换容量≥3.3Tbps，包转发率≥126Mpps。固化10/100/1000M以太网电口≥24，1000M/2.5G SFP千兆光接口≥4个。</w:t>
            </w:r>
          </w:p>
          <w:p w14:paraId="07E3EFD4">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2.支持POE和POE+，同时可POE供电端口≥24个，POE最大输出功率≥370W，PoE满载下整机最大功耗403W。</w:t>
            </w:r>
          </w:p>
          <w:p w14:paraId="2B37220C">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3.为保证设备在受到外界机械碰撞时能够正常运行，要求所投交换机IK防护测试级别至少达到IK05。</w:t>
            </w:r>
          </w:p>
          <w:p w14:paraId="12BB43D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4.绿色节能：要求支持高效节能以太网特性。端口如果在连续一段时间之内空闲，系统会将该端口设置为节能模式，当有报文收发时再通过定时发送的监听码流唤醒端口恢复业务，达到节能的效果。</w:t>
            </w:r>
          </w:p>
          <w:p w14:paraId="4CFE6002">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5.要求所投产品端口浪涌抗扰度≥10KV（即具备10KV的防雷能力）。</w:t>
            </w:r>
          </w:p>
          <w:p w14:paraId="372DF170">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6.支持专门针对CPU的保护机制，能够针对发往CPU处理的各种报文进行流区分和优先级队列分级处理，保护交换机在各种环境下稳定工作</w:t>
            </w:r>
          </w:p>
          <w:p w14:paraId="50F2218F">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7.支持基础网络保护策略，能够限制用户向网络中发送ARP报文、ICMP请求报文、DHCP请求报文等数据包的数率，对超过限速阈值的报文进行丢弃处理，甚至能够识别攻击行为，对有攻击行为的用户进行隔离。</w:t>
            </w:r>
          </w:p>
          <w:p w14:paraId="56474BB9">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8.配合云管平台支持基于网关的网络拓扑自动发现，并以图形化形式呈现；支持基于云的工具箱功能（配置下发、配置备份、配置恢复、命令调试、访问eWeb、访问Telnet、访问SSH、重启、设备升级）；</w:t>
            </w:r>
          </w:p>
          <w:p w14:paraId="5016ED85">
            <w:pPr>
              <w:widowControl/>
              <w:adjustRightInd/>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9.支持快速以太网链路检测协议，可快速检测链路的通断和光纤链路的单向性，并支持端口下的环路检测功能，防止端口下因私接Hub等设备形成的环路而导致网络故障的现象。</w:t>
            </w:r>
          </w:p>
          <w:p w14:paraId="0CCDB128">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10.支持SNMP、CLI(Telnet/Console)、Syslog、NTP、TFTP、Web。</w:t>
            </w:r>
          </w:p>
        </w:tc>
        <w:tc>
          <w:tcPr>
            <w:tcW w:w="384" w:type="pct"/>
            <w:tcBorders>
              <w:tl2br w:val="nil"/>
              <w:tr2bl w:val="nil"/>
            </w:tcBorders>
            <w:shd w:val="clear" w:color="auto" w:fill="auto"/>
            <w:vAlign w:val="center"/>
          </w:tcPr>
          <w:p w14:paraId="6B31B31F">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427" w:type="pct"/>
            <w:tcBorders>
              <w:tl2br w:val="nil"/>
              <w:tr2bl w:val="nil"/>
            </w:tcBorders>
            <w:shd w:val="clear" w:color="auto" w:fill="auto"/>
            <w:vAlign w:val="center"/>
          </w:tcPr>
          <w:p w14:paraId="0E6F2FC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320" w:type="pct"/>
            <w:tcBorders>
              <w:tl2br w:val="nil"/>
              <w:tr2bl w:val="nil"/>
            </w:tcBorders>
            <w:shd w:val="clear" w:color="auto" w:fill="auto"/>
            <w:vAlign w:val="center"/>
          </w:tcPr>
          <w:p w14:paraId="45CF28A2">
            <w:pPr>
              <w:widowControl/>
              <w:adjustRightInd/>
              <w:jc w:val="center"/>
              <w:textAlignment w:val="center"/>
              <w:rPr>
                <w:rFonts w:hint="eastAsia" w:ascii="宋体" w:hAnsi="宋体" w:cs="宋体"/>
                <w:color w:val="000000"/>
                <w:kern w:val="0"/>
                <w:sz w:val="20"/>
                <w:szCs w:val="20"/>
                <w:lang w:bidi="ar"/>
              </w:rPr>
            </w:pPr>
          </w:p>
        </w:tc>
      </w:tr>
      <w:tr w14:paraId="00A7E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68A27414">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732" w:type="pct"/>
            <w:tcBorders>
              <w:tl2br w:val="nil"/>
              <w:tr2bl w:val="nil"/>
            </w:tcBorders>
            <w:shd w:val="clear" w:color="auto" w:fill="auto"/>
            <w:vAlign w:val="center"/>
          </w:tcPr>
          <w:p w14:paraId="3A9BC40B">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w:t>
            </w:r>
          </w:p>
        </w:tc>
        <w:tc>
          <w:tcPr>
            <w:tcW w:w="2829" w:type="pct"/>
            <w:tcBorders>
              <w:tl2br w:val="nil"/>
              <w:tr2bl w:val="nil"/>
            </w:tcBorders>
            <w:shd w:val="clear" w:color="auto" w:fill="auto"/>
            <w:vAlign w:val="center"/>
          </w:tcPr>
          <w:p w14:paraId="66F24569">
            <w:pPr>
              <w:widowControl/>
              <w:adjustRightInd/>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光模块-eSFP-GE-单模模块（1310nm,20km,LC）</w:t>
            </w:r>
          </w:p>
        </w:tc>
        <w:tc>
          <w:tcPr>
            <w:tcW w:w="384" w:type="pct"/>
            <w:tcBorders>
              <w:tl2br w:val="nil"/>
              <w:tr2bl w:val="nil"/>
            </w:tcBorders>
            <w:shd w:val="clear" w:color="auto" w:fill="auto"/>
            <w:vAlign w:val="center"/>
          </w:tcPr>
          <w:p w14:paraId="109769BD">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427" w:type="pct"/>
            <w:tcBorders>
              <w:tl2br w:val="nil"/>
              <w:tr2bl w:val="nil"/>
            </w:tcBorders>
            <w:shd w:val="clear" w:color="auto" w:fill="auto"/>
            <w:vAlign w:val="center"/>
          </w:tcPr>
          <w:p w14:paraId="00AE2762">
            <w:pPr>
              <w:widowControl/>
              <w:adjustRightInd/>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只</w:t>
            </w:r>
          </w:p>
        </w:tc>
        <w:tc>
          <w:tcPr>
            <w:tcW w:w="320" w:type="pct"/>
            <w:tcBorders>
              <w:tl2br w:val="nil"/>
              <w:tr2bl w:val="nil"/>
            </w:tcBorders>
            <w:shd w:val="clear" w:color="auto" w:fill="auto"/>
            <w:vAlign w:val="center"/>
          </w:tcPr>
          <w:p w14:paraId="3EF48A73">
            <w:pPr>
              <w:widowControl/>
              <w:adjustRightInd/>
              <w:jc w:val="center"/>
              <w:textAlignment w:val="center"/>
              <w:rPr>
                <w:rFonts w:hint="eastAsia" w:ascii="宋体" w:hAnsi="宋体" w:cs="宋体"/>
                <w:color w:val="000000"/>
                <w:kern w:val="0"/>
                <w:sz w:val="20"/>
                <w:szCs w:val="20"/>
                <w:lang w:bidi="ar"/>
              </w:rPr>
            </w:pPr>
          </w:p>
        </w:tc>
      </w:tr>
      <w:tr w14:paraId="71A5C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306" w:type="pct"/>
            <w:tcBorders>
              <w:tl2br w:val="nil"/>
              <w:tr2bl w:val="nil"/>
            </w:tcBorders>
            <w:shd w:val="clear" w:color="auto" w:fill="auto"/>
            <w:vAlign w:val="center"/>
          </w:tcPr>
          <w:p w14:paraId="21A55960">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5</w:t>
            </w:r>
          </w:p>
        </w:tc>
        <w:tc>
          <w:tcPr>
            <w:tcW w:w="732" w:type="pct"/>
            <w:tcBorders>
              <w:tl2br w:val="nil"/>
              <w:tr2bl w:val="nil"/>
            </w:tcBorders>
            <w:shd w:val="clear" w:color="auto" w:fill="auto"/>
            <w:vAlign w:val="center"/>
          </w:tcPr>
          <w:p w14:paraId="041298E5">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6类非屏蔽双绞线</w:t>
            </w:r>
          </w:p>
        </w:tc>
        <w:tc>
          <w:tcPr>
            <w:tcW w:w="2829" w:type="pct"/>
            <w:tcBorders>
              <w:tl2br w:val="nil"/>
              <w:tr2bl w:val="nil"/>
            </w:tcBorders>
            <w:shd w:val="clear" w:color="auto" w:fill="auto"/>
            <w:vAlign w:val="center"/>
          </w:tcPr>
          <w:p w14:paraId="04FD2E7A">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符合标准：ISO/IEC 11801：2017；YD/T 1019-2013</w:t>
            </w:r>
          </w:p>
          <w:p w14:paraId="716F393A">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通过标准250MHz带宽测试要求 可扩展到550MHz带宽</w:t>
            </w:r>
          </w:p>
          <w:p w14:paraId="3C9827C2">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单根导体直流电阻：≤9.5Ω/100m</w:t>
            </w:r>
          </w:p>
          <w:p w14:paraId="2FA5309E">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额定传输速率(NVP)：≥69%</w:t>
            </w:r>
          </w:p>
          <w:p w14:paraId="477F0C67">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电缆对数：4对</w:t>
            </w:r>
          </w:p>
          <w:p w14:paraId="04BEABF1">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十字骨架材料：PE混合物</w:t>
            </w:r>
          </w:p>
          <w:p w14:paraId="5627DAF9">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导体材料：无氧圆铜（纯度99.99%）</w:t>
            </w:r>
          </w:p>
          <w:p w14:paraId="2ACB8DA3">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最小弯曲半径：10倍电缆外径</w:t>
            </w:r>
          </w:p>
          <w:p w14:paraId="7705C1E1">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导体线规：23AWG</w:t>
            </w:r>
          </w:p>
          <w:p w14:paraId="3E0ADA4B">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绝缘材料：HDPE</w:t>
            </w:r>
          </w:p>
          <w:p w14:paraId="2EEF54C2">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屏蔽方式：U/UTP</w:t>
            </w:r>
          </w:p>
          <w:p w14:paraId="10CE6045">
            <w:pPr>
              <w:widowControl/>
              <w:adjustRightInd/>
              <w:jc w:val="left"/>
              <w:textAlignment w:val="center"/>
              <w:rPr>
                <w:rFonts w:hint="eastAsia" w:ascii="宋体" w:hAnsi="宋体" w:cs="宋体"/>
                <w:kern w:val="0"/>
                <w:sz w:val="20"/>
                <w:szCs w:val="20"/>
                <w:lang w:bidi="ar"/>
              </w:rPr>
            </w:pPr>
            <w:r>
              <w:rPr>
                <w:rFonts w:hint="eastAsia" w:ascii="宋体" w:hAnsi="宋体" w:cs="宋体"/>
                <w:kern w:val="0"/>
                <w:sz w:val="20"/>
                <w:szCs w:val="20"/>
                <w:lang w:bidi="ar"/>
              </w:rPr>
              <w:t>外护套材料：LSZH低烟无卤</w:t>
            </w:r>
          </w:p>
          <w:p w14:paraId="3F4EEC9A">
            <w:pPr>
              <w:widowControl/>
              <w:adjustRightInd/>
              <w:jc w:val="left"/>
              <w:textAlignment w:val="center"/>
              <w:rPr>
                <w:rFonts w:hint="eastAsia" w:ascii="宋体" w:hAnsi="宋体" w:cs="宋体"/>
                <w:sz w:val="20"/>
                <w:szCs w:val="20"/>
              </w:rPr>
            </w:pPr>
            <w:r>
              <w:rPr>
                <w:rFonts w:hint="eastAsia" w:ascii="宋体" w:hAnsi="宋体" w:cs="宋体"/>
                <w:kern w:val="0"/>
                <w:sz w:val="20"/>
                <w:szCs w:val="20"/>
                <w:lang w:bidi="ar"/>
              </w:rPr>
              <w:t>工作温度：-20℃～+60℃</w:t>
            </w:r>
          </w:p>
        </w:tc>
        <w:tc>
          <w:tcPr>
            <w:tcW w:w="384" w:type="pct"/>
            <w:tcBorders>
              <w:tl2br w:val="nil"/>
              <w:tr2bl w:val="nil"/>
            </w:tcBorders>
            <w:shd w:val="clear" w:color="auto" w:fill="auto"/>
            <w:vAlign w:val="center"/>
          </w:tcPr>
          <w:p w14:paraId="4501CE00">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427" w:type="pct"/>
            <w:tcBorders>
              <w:tl2br w:val="nil"/>
              <w:tr2bl w:val="nil"/>
            </w:tcBorders>
            <w:shd w:val="clear" w:color="auto" w:fill="auto"/>
            <w:vAlign w:val="center"/>
          </w:tcPr>
          <w:p w14:paraId="6E804F2F">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箱</w:t>
            </w:r>
          </w:p>
        </w:tc>
        <w:tc>
          <w:tcPr>
            <w:tcW w:w="320" w:type="pct"/>
            <w:tcBorders>
              <w:tl2br w:val="nil"/>
              <w:tr2bl w:val="nil"/>
            </w:tcBorders>
            <w:shd w:val="clear" w:color="auto" w:fill="auto"/>
            <w:vAlign w:val="center"/>
          </w:tcPr>
          <w:p w14:paraId="3BDCD0EA">
            <w:pPr>
              <w:widowControl/>
              <w:adjustRightInd/>
              <w:jc w:val="center"/>
              <w:textAlignment w:val="center"/>
              <w:rPr>
                <w:rFonts w:hint="eastAsia" w:ascii="宋体" w:hAnsi="宋体" w:cs="宋体"/>
                <w:kern w:val="0"/>
                <w:sz w:val="20"/>
                <w:szCs w:val="20"/>
                <w:lang w:bidi="ar"/>
              </w:rPr>
            </w:pPr>
          </w:p>
        </w:tc>
      </w:tr>
      <w:tr w14:paraId="5E4DF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561EE804">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6</w:t>
            </w:r>
          </w:p>
        </w:tc>
        <w:tc>
          <w:tcPr>
            <w:tcW w:w="732" w:type="pct"/>
            <w:tcBorders>
              <w:tl2br w:val="nil"/>
              <w:tr2bl w:val="nil"/>
            </w:tcBorders>
            <w:shd w:val="clear" w:color="auto" w:fill="auto"/>
            <w:vAlign w:val="center"/>
          </w:tcPr>
          <w:p w14:paraId="458BB76A">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安装辅材</w:t>
            </w:r>
          </w:p>
        </w:tc>
        <w:tc>
          <w:tcPr>
            <w:tcW w:w="2829" w:type="pct"/>
            <w:tcBorders>
              <w:tl2br w:val="nil"/>
              <w:tr2bl w:val="nil"/>
            </w:tcBorders>
            <w:shd w:val="clear" w:color="auto" w:fill="auto"/>
            <w:vAlign w:val="center"/>
          </w:tcPr>
          <w:p w14:paraId="1072EE92">
            <w:pPr>
              <w:widowControl/>
              <w:adjustRightInd/>
              <w:jc w:val="left"/>
              <w:textAlignment w:val="center"/>
              <w:rPr>
                <w:rFonts w:hint="eastAsia" w:ascii="宋体" w:hAnsi="宋体" w:cs="宋体"/>
                <w:sz w:val="20"/>
                <w:szCs w:val="20"/>
              </w:rPr>
            </w:pPr>
            <w:r>
              <w:rPr>
                <w:rFonts w:hint="eastAsia" w:ascii="宋体" w:hAnsi="宋体" w:cs="宋体"/>
                <w:kern w:val="0"/>
                <w:sz w:val="20"/>
                <w:szCs w:val="20"/>
                <w:lang w:bidi="ar"/>
              </w:rPr>
              <w:t>PVC线槽、光纤跳线、网头等</w:t>
            </w:r>
          </w:p>
        </w:tc>
        <w:tc>
          <w:tcPr>
            <w:tcW w:w="384" w:type="pct"/>
            <w:tcBorders>
              <w:tl2br w:val="nil"/>
              <w:tr2bl w:val="nil"/>
            </w:tcBorders>
            <w:shd w:val="clear" w:color="auto" w:fill="auto"/>
            <w:vAlign w:val="center"/>
          </w:tcPr>
          <w:p w14:paraId="199BCD3B">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427" w:type="pct"/>
            <w:tcBorders>
              <w:tl2br w:val="nil"/>
              <w:tr2bl w:val="nil"/>
            </w:tcBorders>
            <w:shd w:val="clear" w:color="auto" w:fill="auto"/>
            <w:vAlign w:val="center"/>
          </w:tcPr>
          <w:p w14:paraId="4C8DAFCA">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批</w:t>
            </w:r>
          </w:p>
        </w:tc>
        <w:tc>
          <w:tcPr>
            <w:tcW w:w="320" w:type="pct"/>
            <w:tcBorders>
              <w:tl2br w:val="nil"/>
              <w:tr2bl w:val="nil"/>
            </w:tcBorders>
            <w:shd w:val="clear" w:color="auto" w:fill="auto"/>
            <w:vAlign w:val="center"/>
          </w:tcPr>
          <w:p w14:paraId="1D754CA0">
            <w:pPr>
              <w:widowControl/>
              <w:adjustRightInd/>
              <w:jc w:val="center"/>
              <w:textAlignment w:val="center"/>
              <w:rPr>
                <w:rFonts w:hint="eastAsia" w:ascii="宋体" w:hAnsi="宋体" w:cs="宋体"/>
                <w:kern w:val="0"/>
                <w:sz w:val="20"/>
                <w:szCs w:val="20"/>
                <w:lang w:bidi="ar"/>
              </w:rPr>
            </w:pPr>
          </w:p>
        </w:tc>
      </w:tr>
      <w:tr w14:paraId="3BC49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6838903D">
            <w:pPr>
              <w:widowControl/>
              <w:adjustRightInd/>
              <w:jc w:val="center"/>
              <w:textAlignment w:val="center"/>
              <w:rPr>
                <w:rFonts w:hint="eastAsia" w:ascii="宋体" w:hAnsi="宋体" w:cs="宋体"/>
                <w:b/>
                <w:bCs/>
                <w:sz w:val="20"/>
                <w:szCs w:val="20"/>
              </w:rPr>
            </w:pPr>
            <w:r>
              <w:rPr>
                <w:rFonts w:hint="eastAsia" w:ascii="宋体" w:hAnsi="宋体" w:cs="宋体"/>
                <w:b/>
                <w:bCs/>
                <w:kern w:val="0"/>
                <w:sz w:val="20"/>
                <w:szCs w:val="20"/>
                <w:lang w:bidi="ar"/>
              </w:rPr>
              <w:t>七、集成及安装</w:t>
            </w:r>
          </w:p>
        </w:tc>
        <w:tc>
          <w:tcPr>
            <w:tcW w:w="384" w:type="pct"/>
            <w:tcBorders>
              <w:tl2br w:val="nil"/>
              <w:tr2bl w:val="nil"/>
            </w:tcBorders>
            <w:shd w:val="clear" w:color="auto" w:fill="auto"/>
            <w:vAlign w:val="center"/>
          </w:tcPr>
          <w:p w14:paraId="4B7A91E9">
            <w:pPr>
              <w:adjustRightInd/>
              <w:jc w:val="center"/>
              <w:rPr>
                <w:rFonts w:hint="eastAsia" w:ascii="宋体" w:hAnsi="宋体" w:cs="宋体"/>
                <w:sz w:val="20"/>
                <w:szCs w:val="20"/>
              </w:rPr>
            </w:pPr>
          </w:p>
        </w:tc>
        <w:tc>
          <w:tcPr>
            <w:tcW w:w="427" w:type="pct"/>
            <w:tcBorders>
              <w:tl2br w:val="nil"/>
              <w:tr2bl w:val="nil"/>
            </w:tcBorders>
            <w:shd w:val="clear" w:color="auto" w:fill="auto"/>
            <w:vAlign w:val="center"/>
          </w:tcPr>
          <w:p w14:paraId="13608339">
            <w:pPr>
              <w:adjustRightInd/>
              <w:jc w:val="center"/>
              <w:rPr>
                <w:rFonts w:hint="eastAsia" w:ascii="宋体" w:hAnsi="宋体" w:cs="宋体"/>
                <w:sz w:val="20"/>
                <w:szCs w:val="20"/>
              </w:rPr>
            </w:pPr>
          </w:p>
        </w:tc>
        <w:tc>
          <w:tcPr>
            <w:tcW w:w="320" w:type="pct"/>
            <w:tcBorders>
              <w:tl2br w:val="nil"/>
              <w:tr2bl w:val="nil"/>
            </w:tcBorders>
            <w:shd w:val="clear" w:color="auto" w:fill="auto"/>
            <w:vAlign w:val="center"/>
          </w:tcPr>
          <w:p w14:paraId="15490552">
            <w:pPr>
              <w:adjustRightInd/>
              <w:jc w:val="center"/>
              <w:rPr>
                <w:rFonts w:hint="eastAsia" w:ascii="宋体" w:hAnsi="宋体" w:cs="宋体"/>
                <w:sz w:val="20"/>
                <w:szCs w:val="20"/>
              </w:rPr>
            </w:pPr>
          </w:p>
        </w:tc>
      </w:tr>
      <w:tr w14:paraId="0378E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06" w:type="pct"/>
            <w:tcBorders>
              <w:tl2br w:val="nil"/>
              <w:tr2bl w:val="nil"/>
            </w:tcBorders>
            <w:shd w:val="clear" w:color="auto" w:fill="auto"/>
            <w:vAlign w:val="center"/>
          </w:tcPr>
          <w:p w14:paraId="699BDF2C">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732" w:type="pct"/>
            <w:tcBorders>
              <w:tl2br w:val="nil"/>
              <w:tr2bl w:val="nil"/>
            </w:tcBorders>
            <w:shd w:val="clear" w:color="auto" w:fill="auto"/>
            <w:vAlign w:val="center"/>
          </w:tcPr>
          <w:p w14:paraId="6E7DC2A7">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安装集成费</w:t>
            </w:r>
          </w:p>
        </w:tc>
        <w:tc>
          <w:tcPr>
            <w:tcW w:w="2829" w:type="pct"/>
            <w:tcBorders>
              <w:tl2br w:val="nil"/>
              <w:tr2bl w:val="nil"/>
            </w:tcBorders>
            <w:shd w:val="clear" w:color="auto" w:fill="auto"/>
            <w:vAlign w:val="center"/>
          </w:tcPr>
          <w:p w14:paraId="68607AF8">
            <w:pPr>
              <w:widowControl/>
              <w:adjustRightInd/>
              <w:jc w:val="left"/>
              <w:textAlignment w:val="center"/>
              <w:rPr>
                <w:rFonts w:hint="eastAsia" w:ascii="宋体" w:hAnsi="宋体" w:cs="宋体"/>
                <w:sz w:val="20"/>
                <w:szCs w:val="20"/>
              </w:rPr>
            </w:pPr>
            <w:r>
              <w:rPr>
                <w:rFonts w:hint="eastAsia" w:ascii="宋体" w:hAnsi="宋体" w:cs="宋体"/>
                <w:kern w:val="0"/>
                <w:sz w:val="20"/>
                <w:szCs w:val="20"/>
                <w:lang w:bidi="ar"/>
              </w:rPr>
              <w:t>保证系统正常运行使用，及其后续维护工作。</w:t>
            </w:r>
          </w:p>
        </w:tc>
        <w:tc>
          <w:tcPr>
            <w:tcW w:w="384" w:type="pct"/>
            <w:tcBorders>
              <w:tl2br w:val="nil"/>
              <w:tr2bl w:val="nil"/>
            </w:tcBorders>
            <w:shd w:val="clear" w:color="auto" w:fill="auto"/>
            <w:vAlign w:val="center"/>
          </w:tcPr>
          <w:p w14:paraId="3FCC671A">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427" w:type="pct"/>
            <w:tcBorders>
              <w:tl2br w:val="nil"/>
              <w:tr2bl w:val="nil"/>
            </w:tcBorders>
            <w:shd w:val="clear" w:color="auto" w:fill="auto"/>
            <w:vAlign w:val="center"/>
          </w:tcPr>
          <w:p w14:paraId="4C0EC044">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批</w:t>
            </w:r>
          </w:p>
        </w:tc>
        <w:tc>
          <w:tcPr>
            <w:tcW w:w="320" w:type="pct"/>
            <w:tcBorders>
              <w:tl2br w:val="nil"/>
              <w:tr2bl w:val="nil"/>
            </w:tcBorders>
            <w:shd w:val="clear" w:color="auto" w:fill="auto"/>
            <w:vAlign w:val="center"/>
          </w:tcPr>
          <w:p w14:paraId="43D9DB59">
            <w:pPr>
              <w:widowControl/>
              <w:adjustRightInd/>
              <w:jc w:val="center"/>
              <w:textAlignment w:val="center"/>
              <w:rPr>
                <w:rFonts w:hint="eastAsia" w:ascii="宋体" w:hAnsi="宋体" w:cs="宋体"/>
                <w:kern w:val="0"/>
                <w:sz w:val="20"/>
                <w:szCs w:val="20"/>
                <w:lang w:bidi="ar"/>
              </w:rPr>
            </w:pPr>
          </w:p>
        </w:tc>
      </w:tr>
      <w:tr w14:paraId="43E26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3867" w:type="pct"/>
            <w:gridSpan w:val="3"/>
            <w:tcBorders>
              <w:tl2br w:val="nil"/>
              <w:tr2bl w:val="nil"/>
            </w:tcBorders>
            <w:shd w:val="clear" w:color="auto" w:fill="auto"/>
            <w:vAlign w:val="center"/>
          </w:tcPr>
          <w:p w14:paraId="00BD9A6D">
            <w:pPr>
              <w:widowControl/>
              <w:adjustRightInd/>
              <w:jc w:val="center"/>
              <w:textAlignment w:val="center"/>
              <w:rPr>
                <w:rFonts w:hint="eastAsia" w:ascii="宋体" w:hAnsi="宋体" w:cs="宋体"/>
                <w:b/>
                <w:bCs/>
                <w:sz w:val="20"/>
                <w:szCs w:val="20"/>
              </w:rPr>
            </w:pPr>
            <w:r>
              <w:rPr>
                <w:rFonts w:hint="eastAsia" w:ascii="宋体" w:hAnsi="宋体" w:cs="宋体"/>
                <w:b/>
                <w:bCs/>
                <w:kern w:val="0"/>
                <w:sz w:val="20"/>
                <w:szCs w:val="20"/>
                <w:lang w:bidi="ar"/>
              </w:rPr>
              <w:t>八、无线授权</w:t>
            </w:r>
          </w:p>
        </w:tc>
        <w:tc>
          <w:tcPr>
            <w:tcW w:w="384" w:type="pct"/>
            <w:tcBorders>
              <w:tl2br w:val="nil"/>
              <w:tr2bl w:val="nil"/>
            </w:tcBorders>
            <w:shd w:val="clear" w:color="auto" w:fill="auto"/>
            <w:vAlign w:val="center"/>
          </w:tcPr>
          <w:p w14:paraId="224526B0">
            <w:pPr>
              <w:adjustRightInd/>
              <w:jc w:val="center"/>
              <w:rPr>
                <w:rFonts w:hint="eastAsia" w:ascii="宋体" w:hAnsi="宋体" w:cs="宋体"/>
                <w:sz w:val="20"/>
                <w:szCs w:val="20"/>
              </w:rPr>
            </w:pPr>
          </w:p>
        </w:tc>
        <w:tc>
          <w:tcPr>
            <w:tcW w:w="427" w:type="pct"/>
            <w:tcBorders>
              <w:tl2br w:val="nil"/>
              <w:tr2bl w:val="nil"/>
            </w:tcBorders>
            <w:shd w:val="clear" w:color="auto" w:fill="auto"/>
            <w:vAlign w:val="center"/>
          </w:tcPr>
          <w:p w14:paraId="2C329945">
            <w:pPr>
              <w:adjustRightInd/>
              <w:jc w:val="center"/>
              <w:rPr>
                <w:rFonts w:hint="eastAsia" w:ascii="宋体" w:hAnsi="宋体" w:cs="宋体"/>
                <w:sz w:val="20"/>
                <w:szCs w:val="20"/>
              </w:rPr>
            </w:pPr>
          </w:p>
        </w:tc>
        <w:tc>
          <w:tcPr>
            <w:tcW w:w="320" w:type="pct"/>
            <w:tcBorders>
              <w:tl2br w:val="nil"/>
              <w:tr2bl w:val="nil"/>
            </w:tcBorders>
            <w:shd w:val="clear" w:color="auto" w:fill="auto"/>
            <w:vAlign w:val="center"/>
          </w:tcPr>
          <w:p w14:paraId="608B3FD7">
            <w:pPr>
              <w:adjustRightInd/>
              <w:jc w:val="center"/>
              <w:rPr>
                <w:rFonts w:hint="eastAsia" w:ascii="宋体" w:hAnsi="宋体" w:cs="宋体"/>
                <w:sz w:val="20"/>
                <w:szCs w:val="20"/>
              </w:rPr>
            </w:pPr>
          </w:p>
        </w:tc>
      </w:tr>
      <w:tr w14:paraId="009DA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06" w:type="pct"/>
            <w:tcBorders>
              <w:tl2br w:val="nil"/>
              <w:tr2bl w:val="nil"/>
            </w:tcBorders>
            <w:shd w:val="clear" w:color="auto" w:fill="auto"/>
            <w:vAlign w:val="center"/>
          </w:tcPr>
          <w:p w14:paraId="32FD3CED">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732" w:type="pct"/>
            <w:tcBorders>
              <w:tl2br w:val="nil"/>
              <w:tr2bl w:val="nil"/>
            </w:tcBorders>
            <w:shd w:val="clear" w:color="auto" w:fill="auto"/>
            <w:vAlign w:val="center"/>
          </w:tcPr>
          <w:p w14:paraId="4AF5123B">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License</w:t>
            </w:r>
          </w:p>
        </w:tc>
        <w:tc>
          <w:tcPr>
            <w:tcW w:w="2829" w:type="pct"/>
            <w:tcBorders>
              <w:tl2br w:val="nil"/>
              <w:tr2bl w:val="nil"/>
            </w:tcBorders>
            <w:shd w:val="clear" w:color="auto" w:fill="auto"/>
            <w:vAlign w:val="center"/>
          </w:tcPr>
          <w:p w14:paraId="315C2DE5">
            <w:pPr>
              <w:widowControl/>
              <w:adjustRightInd/>
              <w:jc w:val="left"/>
              <w:textAlignment w:val="center"/>
              <w:rPr>
                <w:rFonts w:hint="eastAsia" w:ascii="宋体" w:hAnsi="宋体" w:cs="宋体"/>
                <w:sz w:val="20"/>
                <w:szCs w:val="20"/>
              </w:rPr>
            </w:pPr>
            <w:r>
              <w:rPr>
                <w:rFonts w:hint="eastAsia" w:ascii="宋体" w:hAnsi="宋体" w:cs="宋体"/>
                <w:kern w:val="0"/>
                <w:sz w:val="20"/>
                <w:szCs w:val="20"/>
                <w:lang w:bidi="ar"/>
              </w:rPr>
              <w:t>▲兼容教育局无线控制器，增加256个普通AP或512个面板AP的控制权，若无法兼容教育局无线控制器，允许另外单独配置两台无线控制器，但还需要满足以下要求：考虑无线控制层的高可靠支持并配置冗余独立主控、配置冗余独立交换网板，两台控制器支持并部署虚拟化，考虑互联的需求千兆接口不少于10个，万兆接口不少于8个。</w:t>
            </w:r>
          </w:p>
        </w:tc>
        <w:tc>
          <w:tcPr>
            <w:tcW w:w="384" w:type="pct"/>
            <w:tcBorders>
              <w:tl2br w:val="nil"/>
              <w:tr2bl w:val="nil"/>
            </w:tcBorders>
            <w:shd w:val="clear" w:color="auto" w:fill="auto"/>
            <w:vAlign w:val="center"/>
          </w:tcPr>
          <w:p w14:paraId="08DD4F99">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1</w:t>
            </w:r>
          </w:p>
        </w:tc>
        <w:tc>
          <w:tcPr>
            <w:tcW w:w="427" w:type="pct"/>
            <w:tcBorders>
              <w:tl2br w:val="nil"/>
              <w:tr2bl w:val="nil"/>
            </w:tcBorders>
            <w:shd w:val="clear" w:color="auto" w:fill="auto"/>
            <w:vAlign w:val="center"/>
          </w:tcPr>
          <w:p w14:paraId="7945FD52">
            <w:pPr>
              <w:widowControl/>
              <w:adjustRightInd/>
              <w:jc w:val="center"/>
              <w:textAlignment w:val="center"/>
              <w:rPr>
                <w:rFonts w:hint="eastAsia" w:ascii="宋体" w:hAnsi="宋体" w:cs="宋体"/>
                <w:sz w:val="20"/>
                <w:szCs w:val="20"/>
              </w:rPr>
            </w:pPr>
            <w:r>
              <w:rPr>
                <w:rFonts w:hint="eastAsia" w:ascii="宋体" w:hAnsi="宋体" w:cs="宋体"/>
                <w:kern w:val="0"/>
                <w:sz w:val="20"/>
                <w:szCs w:val="20"/>
                <w:lang w:bidi="ar"/>
              </w:rPr>
              <w:t>套</w:t>
            </w:r>
          </w:p>
        </w:tc>
        <w:tc>
          <w:tcPr>
            <w:tcW w:w="320" w:type="pct"/>
            <w:tcBorders>
              <w:tl2br w:val="nil"/>
              <w:tr2bl w:val="nil"/>
            </w:tcBorders>
            <w:shd w:val="clear" w:color="auto" w:fill="auto"/>
            <w:vAlign w:val="center"/>
          </w:tcPr>
          <w:p w14:paraId="024170DE">
            <w:pPr>
              <w:widowControl/>
              <w:adjustRightInd/>
              <w:jc w:val="center"/>
              <w:textAlignment w:val="center"/>
              <w:rPr>
                <w:rFonts w:hint="eastAsia" w:ascii="宋体" w:hAnsi="宋体" w:cs="宋体"/>
                <w:kern w:val="0"/>
                <w:sz w:val="20"/>
                <w:szCs w:val="20"/>
                <w:lang w:bidi="ar"/>
              </w:rPr>
            </w:pPr>
          </w:p>
        </w:tc>
      </w:tr>
    </w:tbl>
    <w:p w14:paraId="7364D845">
      <w:pPr>
        <w:spacing w:line="360" w:lineRule="auto"/>
        <w:ind w:firstLine="480" w:firstLineChars="200"/>
        <w:jc w:val="left"/>
        <w:rPr>
          <w:rFonts w:hint="eastAsia" w:ascii="宋体" w:hAnsi="宋体" w:cs="宋体"/>
          <w:sz w:val="24"/>
        </w:rPr>
      </w:pPr>
      <w:r>
        <w:rPr>
          <w:rFonts w:hint="eastAsia" w:ascii="宋体" w:hAnsi="宋体" w:cs="宋体"/>
          <w:sz w:val="24"/>
        </w:rPr>
        <w:t>注：相同设备仅需提供一次证明材料，技术响应评审时如负偏离也只按一项扣分，不重复扣分。</w:t>
      </w:r>
    </w:p>
    <w:p w14:paraId="3991428D">
      <w:pPr>
        <w:adjustRightInd/>
        <w:spacing w:line="360" w:lineRule="auto"/>
        <w:rPr>
          <w:rFonts w:hint="eastAsia" w:ascii="宋体" w:hAnsi="宋体" w:cs="宋体"/>
          <w:b/>
          <w:bCs/>
          <w:sz w:val="24"/>
          <w:lang w:bidi="ar"/>
        </w:rPr>
      </w:pPr>
      <w:r>
        <w:rPr>
          <w:rFonts w:hint="eastAsia" w:ascii="宋体" w:hAnsi="宋体" w:cs="宋体"/>
          <w:b/>
          <w:bCs/>
          <w:sz w:val="24"/>
          <w:lang w:bidi="ar"/>
        </w:rPr>
        <w:t>三、其他要求</w:t>
      </w:r>
    </w:p>
    <w:p w14:paraId="5ED509F2">
      <w:pPr>
        <w:adjustRightInd/>
        <w:spacing w:line="440" w:lineRule="exact"/>
        <w:ind w:firstLine="480" w:firstLineChars="200"/>
        <w:rPr>
          <w:rFonts w:hint="eastAsia" w:ascii="宋体" w:hAnsi="宋体" w:cs="宋体"/>
          <w:sz w:val="24"/>
        </w:rPr>
        <w:sectPr>
          <w:pgSz w:w="11907" w:h="16840"/>
          <w:pgMar w:top="1474" w:right="1814" w:bottom="1474" w:left="1814" w:header="851" w:footer="851" w:gutter="0"/>
          <w:cols w:space="720" w:num="1"/>
        </w:sectPr>
      </w:pPr>
      <w:r>
        <w:rPr>
          <w:rFonts w:hint="eastAsia" w:ascii="宋体" w:hAnsi="宋体" w:cs="宋体"/>
          <w:sz w:val="24"/>
        </w:rPr>
        <w:t>供应商需在投标文件中针对本项目需求制定完善的项目实施方案、验收方案、售后服务方案及培训方案，同时提供类似项目业绩的证明材料。</w:t>
      </w:r>
    </w:p>
    <w:p w14:paraId="534CC664">
      <w:pPr>
        <w:adjustRightInd/>
        <w:spacing w:line="360" w:lineRule="auto"/>
        <w:jc w:val="center"/>
        <w:rPr>
          <w:rFonts w:hint="eastAsia" w:ascii="宋体" w:hAnsi="宋体" w:cs="宋体"/>
          <w:b/>
          <w:sz w:val="36"/>
          <w:szCs w:val="36"/>
        </w:rPr>
      </w:pPr>
      <w:bookmarkStart w:id="36" w:name="_Toc18651"/>
      <w:r>
        <w:rPr>
          <w:rFonts w:hint="eastAsia" w:ascii="宋体" w:hAnsi="宋体" w:cs="宋体"/>
          <w:b/>
          <w:sz w:val="36"/>
          <w:szCs w:val="36"/>
        </w:rPr>
        <w:t xml:space="preserve">第四部分   </w:t>
      </w:r>
      <w:bookmarkStart w:id="37" w:name="_Toc184313246"/>
      <w:bookmarkEnd w:id="37"/>
      <w:bookmarkStart w:id="38" w:name="_Toc184310284"/>
      <w:bookmarkEnd w:id="38"/>
      <w:bookmarkStart w:id="39" w:name="_Toc184308078"/>
      <w:bookmarkEnd w:id="39"/>
      <w:bookmarkStart w:id="40" w:name="_Toc184312136"/>
      <w:bookmarkEnd w:id="40"/>
      <w:bookmarkStart w:id="41" w:name="_Toc184308051"/>
      <w:bookmarkEnd w:id="41"/>
      <w:bookmarkStart w:id="42" w:name="_Toc184310290"/>
      <w:bookmarkEnd w:id="42"/>
      <w:bookmarkStart w:id="43" w:name="_Toc184313268"/>
      <w:bookmarkEnd w:id="43"/>
      <w:bookmarkStart w:id="44" w:name="_Toc184313291"/>
      <w:bookmarkEnd w:id="44"/>
      <w:bookmarkStart w:id="45" w:name="_Toc184314478"/>
      <w:bookmarkEnd w:id="45"/>
      <w:bookmarkStart w:id="46" w:name="_Toc184310302"/>
      <w:bookmarkEnd w:id="46"/>
      <w:bookmarkStart w:id="47" w:name="_Toc184312092"/>
      <w:bookmarkEnd w:id="47"/>
      <w:bookmarkStart w:id="48" w:name="_Toc184314458"/>
      <w:bookmarkEnd w:id="48"/>
      <w:bookmarkStart w:id="49" w:name="_Toc184312087"/>
      <w:bookmarkEnd w:id="49"/>
      <w:bookmarkStart w:id="50" w:name="_Toc184314436"/>
      <w:bookmarkEnd w:id="50"/>
      <w:bookmarkStart w:id="51" w:name="_Toc184308081"/>
      <w:bookmarkEnd w:id="51"/>
      <w:bookmarkStart w:id="52" w:name="_Toc184310329"/>
      <w:bookmarkEnd w:id="52"/>
      <w:bookmarkStart w:id="53" w:name="_Toc184310293"/>
      <w:bookmarkEnd w:id="53"/>
      <w:bookmarkStart w:id="54" w:name="_Toc184314469"/>
      <w:bookmarkEnd w:id="54"/>
      <w:bookmarkStart w:id="55" w:name="_Toc184308066"/>
      <w:bookmarkEnd w:id="55"/>
      <w:bookmarkStart w:id="56" w:name="_Toc184313310"/>
      <w:bookmarkEnd w:id="56"/>
      <w:bookmarkStart w:id="57" w:name="_Toc184314428"/>
      <w:bookmarkEnd w:id="57"/>
      <w:bookmarkStart w:id="58" w:name="_Toc184314433"/>
      <w:bookmarkEnd w:id="58"/>
      <w:bookmarkStart w:id="59" w:name="_Toc184308036"/>
      <w:bookmarkEnd w:id="59"/>
      <w:bookmarkStart w:id="60" w:name="_Toc184314456"/>
      <w:bookmarkEnd w:id="60"/>
      <w:bookmarkStart w:id="61" w:name="_Toc184314451"/>
      <w:bookmarkEnd w:id="61"/>
      <w:bookmarkStart w:id="62" w:name="_Toc184310312"/>
      <w:bookmarkEnd w:id="62"/>
      <w:bookmarkStart w:id="63" w:name="_Toc184314413"/>
      <w:bookmarkEnd w:id="63"/>
      <w:bookmarkStart w:id="64" w:name="_Toc184312124"/>
      <w:bookmarkEnd w:id="64"/>
      <w:bookmarkStart w:id="65" w:name="_Toc184313270"/>
      <w:bookmarkEnd w:id="65"/>
      <w:bookmarkStart w:id="66" w:name="_Toc184308042"/>
      <w:bookmarkEnd w:id="66"/>
      <w:bookmarkStart w:id="67" w:name="_Toc184310331"/>
      <w:bookmarkEnd w:id="67"/>
      <w:bookmarkStart w:id="68" w:name="_Toc184308082"/>
      <w:bookmarkEnd w:id="68"/>
      <w:bookmarkStart w:id="69" w:name="_Toc184314415"/>
      <w:bookmarkEnd w:id="69"/>
      <w:bookmarkStart w:id="70" w:name="_Toc184308041"/>
      <w:bookmarkEnd w:id="70"/>
      <w:bookmarkStart w:id="71" w:name="_Toc184312088"/>
      <w:bookmarkEnd w:id="71"/>
      <w:bookmarkStart w:id="72" w:name="_Toc184313260"/>
      <w:bookmarkEnd w:id="72"/>
      <w:bookmarkStart w:id="73" w:name="_Toc184312108"/>
      <w:bookmarkEnd w:id="73"/>
      <w:bookmarkStart w:id="74" w:name="_Toc184310307"/>
      <w:bookmarkEnd w:id="74"/>
      <w:bookmarkStart w:id="75" w:name="_Toc184312119"/>
      <w:bookmarkEnd w:id="75"/>
      <w:bookmarkStart w:id="76" w:name="_Toc184308050"/>
      <w:bookmarkEnd w:id="76"/>
      <w:bookmarkStart w:id="77" w:name="_Toc184310301"/>
      <w:bookmarkEnd w:id="77"/>
      <w:bookmarkStart w:id="78" w:name="_Toc184313276"/>
      <w:bookmarkEnd w:id="78"/>
      <w:bookmarkStart w:id="79" w:name="_Toc184310340"/>
      <w:bookmarkEnd w:id="79"/>
      <w:bookmarkStart w:id="80" w:name="_Toc184313303"/>
      <w:bookmarkEnd w:id="80"/>
      <w:bookmarkStart w:id="81" w:name="_Toc184313304"/>
      <w:bookmarkEnd w:id="81"/>
      <w:bookmarkStart w:id="82" w:name="_Toc184313275"/>
      <w:bookmarkEnd w:id="82"/>
      <w:bookmarkStart w:id="83" w:name="_Toc184314480"/>
      <w:bookmarkEnd w:id="83"/>
      <w:bookmarkStart w:id="84" w:name="_Toc184308076"/>
      <w:bookmarkEnd w:id="84"/>
      <w:bookmarkStart w:id="85" w:name="_Toc184310274"/>
      <w:bookmarkEnd w:id="85"/>
      <w:bookmarkStart w:id="86" w:name="_Toc184312076"/>
      <w:bookmarkEnd w:id="86"/>
      <w:bookmarkStart w:id="87" w:name="_Toc184312129"/>
      <w:bookmarkEnd w:id="87"/>
      <w:bookmarkStart w:id="88" w:name="_Toc184308069"/>
      <w:bookmarkEnd w:id="88"/>
      <w:bookmarkStart w:id="89" w:name="_Toc184312074"/>
      <w:bookmarkEnd w:id="89"/>
      <w:bookmarkStart w:id="90" w:name="_Toc184308080"/>
      <w:bookmarkEnd w:id="90"/>
      <w:bookmarkStart w:id="91" w:name="_Toc184312098"/>
      <w:bookmarkEnd w:id="91"/>
      <w:bookmarkStart w:id="92" w:name="_Toc184313278"/>
      <w:bookmarkEnd w:id="92"/>
      <w:bookmarkStart w:id="93" w:name="_Toc184310338"/>
      <w:bookmarkEnd w:id="93"/>
      <w:bookmarkStart w:id="94" w:name="_Toc184310328"/>
      <w:bookmarkEnd w:id="94"/>
      <w:bookmarkStart w:id="95" w:name="_Toc184314448"/>
      <w:bookmarkEnd w:id="95"/>
      <w:bookmarkStart w:id="96" w:name="_Toc184314410"/>
      <w:bookmarkEnd w:id="96"/>
      <w:bookmarkStart w:id="97" w:name="_Toc184313309"/>
      <w:bookmarkEnd w:id="97"/>
      <w:bookmarkStart w:id="98" w:name="_Toc184313308"/>
      <w:bookmarkEnd w:id="98"/>
      <w:bookmarkStart w:id="99" w:name="_Toc184310306"/>
      <w:bookmarkEnd w:id="99"/>
      <w:bookmarkStart w:id="100" w:name="_Toc184314444"/>
      <w:bookmarkEnd w:id="100"/>
      <w:bookmarkStart w:id="101" w:name="_Toc184314468"/>
      <w:bookmarkEnd w:id="101"/>
      <w:bookmarkStart w:id="102" w:name="_Toc184310320"/>
      <w:bookmarkEnd w:id="102"/>
      <w:bookmarkStart w:id="103" w:name="_Toc184313285"/>
      <w:bookmarkEnd w:id="103"/>
      <w:bookmarkStart w:id="104" w:name="_Toc184312085"/>
      <w:bookmarkEnd w:id="104"/>
      <w:bookmarkStart w:id="105" w:name="_Toc184313279"/>
      <w:bookmarkEnd w:id="105"/>
      <w:bookmarkStart w:id="106" w:name="_Toc184310299"/>
      <w:bookmarkEnd w:id="106"/>
      <w:bookmarkStart w:id="107" w:name="_Toc184308038"/>
      <w:bookmarkEnd w:id="107"/>
      <w:bookmarkStart w:id="108" w:name="_Toc184313280"/>
      <w:bookmarkEnd w:id="108"/>
      <w:bookmarkStart w:id="109" w:name="_Toc184310280"/>
      <w:bookmarkEnd w:id="109"/>
      <w:bookmarkStart w:id="110" w:name="_Toc184313289"/>
      <w:bookmarkEnd w:id="110"/>
      <w:bookmarkStart w:id="111" w:name="_Toc184312114"/>
      <w:bookmarkEnd w:id="111"/>
      <w:bookmarkStart w:id="112" w:name="_Toc184314459"/>
      <w:bookmarkEnd w:id="112"/>
      <w:bookmarkStart w:id="113" w:name="_Toc184312127"/>
      <w:bookmarkEnd w:id="113"/>
      <w:bookmarkStart w:id="114" w:name="_Toc184312120"/>
      <w:bookmarkEnd w:id="114"/>
      <w:bookmarkStart w:id="115" w:name="_Toc184312069"/>
      <w:bookmarkEnd w:id="115"/>
      <w:bookmarkStart w:id="116" w:name="_Toc184313306"/>
      <w:bookmarkEnd w:id="116"/>
      <w:bookmarkStart w:id="117" w:name="_Toc184314454"/>
      <w:bookmarkEnd w:id="117"/>
      <w:bookmarkStart w:id="118" w:name="_Toc184308105"/>
      <w:bookmarkEnd w:id="118"/>
      <w:bookmarkStart w:id="119" w:name="_Toc184314443"/>
      <w:bookmarkEnd w:id="119"/>
      <w:bookmarkStart w:id="120" w:name="_Toc184313251"/>
      <w:bookmarkEnd w:id="120"/>
      <w:bookmarkStart w:id="121" w:name="_Toc184312133"/>
      <w:bookmarkEnd w:id="121"/>
      <w:bookmarkStart w:id="122" w:name="_Toc184314463"/>
      <w:bookmarkEnd w:id="122"/>
      <w:bookmarkStart w:id="123" w:name="_Toc184310297"/>
      <w:bookmarkEnd w:id="123"/>
      <w:bookmarkStart w:id="124" w:name="_Toc184313256"/>
      <w:bookmarkEnd w:id="124"/>
      <w:bookmarkStart w:id="125" w:name="_Toc184310275"/>
      <w:bookmarkEnd w:id="125"/>
      <w:bookmarkStart w:id="126" w:name="_Toc184312071"/>
      <w:bookmarkEnd w:id="126"/>
      <w:bookmarkStart w:id="127" w:name="_Toc184314455"/>
      <w:bookmarkEnd w:id="127"/>
      <w:bookmarkStart w:id="128" w:name="_Toc184310278"/>
      <w:bookmarkEnd w:id="128"/>
      <w:bookmarkStart w:id="129" w:name="_Toc184310318"/>
      <w:bookmarkEnd w:id="129"/>
      <w:bookmarkStart w:id="130" w:name="_Toc184310322"/>
      <w:bookmarkEnd w:id="130"/>
      <w:bookmarkStart w:id="131" w:name="_Toc184312091"/>
      <w:bookmarkEnd w:id="131"/>
      <w:bookmarkStart w:id="132" w:name="_Toc184314429"/>
      <w:bookmarkEnd w:id="132"/>
      <w:bookmarkStart w:id="133" w:name="_Toc184308079"/>
      <w:bookmarkEnd w:id="133"/>
      <w:bookmarkStart w:id="134" w:name="_Toc184312118"/>
      <w:bookmarkEnd w:id="134"/>
      <w:bookmarkStart w:id="135" w:name="_Toc184313281"/>
      <w:bookmarkEnd w:id="135"/>
      <w:bookmarkStart w:id="136" w:name="_Toc184310277"/>
      <w:bookmarkEnd w:id="136"/>
      <w:bookmarkStart w:id="137" w:name="_Toc184310309"/>
      <w:bookmarkEnd w:id="137"/>
      <w:bookmarkStart w:id="138" w:name="_Toc184310300"/>
      <w:bookmarkEnd w:id="138"/>
      <w:bookmarkStart w:id="139" w:name="_Toc184314470"/>
      <w:bookmarkEnd w:id="139"/>
      <w:bookmarkStart w:id="140" w:name="_Toc184314452"/>
      <w:bookmarkEnd w:id="140"/>
      <w:bookmarkStart w:id="141" w:name="_Toc184314482"/>
      <w:bookmarkEnd w:id="141"/>
      <w:bookmarkStart w:id="142" w:name="_Toc184312126"/>
      <w:bookmarkEnd w:id="142"/>
      <w:bookmarkStart w:id="143" w:name="_Toc184314423"/>
      <w:bookmarkEnd w:id="143"/>
      <w:bookmarkStart w:id="144" w:name="_Toc184312075"/>
      <w:bookmarkEnd w:id="144"/>
      <w:bookmarkStart w:id="145" w:name="_Toc184313293"/>
      <w:bookmarkEnd w:id="145"/>
      <w:bookmarkStart w:id="146" w:name="_Toc184312132"/>
      <w:bookmarkEnd w:id="146"/>
      <w:bookmarkStart w:id="147" w:name="_Toc184314462"/>
      <w:bookmarkEnd w:id="147"/>
      <w:bookmarkStart w:id="148" w:name="_Toc184310273"/>
      <w:bookmarkEnd w:id="148"/>
      <w:bookmarkStart w:id="149" w:name="_Toc184308096"/>
      <w:bookmarkEnd w:id="149"/>
      <w:bookmarkStart w:id="150" w:name="_Toc184310310"/>
      <w:bookmarkEnd w:id="150"/>
      <w:bookmarkStart w:id="151" w:name="_Toc184312067"/>
      <w:bookmarkEnd w:id="151"/>
      <w:bookmarkStart w:id="152" w:name="_Toc184314425"/>
      <w:bookmarkEnd w:id="152"/>
      <w:bookmarkStart w:id="153" w:name="_Toc184314421"/>
      <w:bookmarkEnd w:id="153"/>
      <w:bookmarkStart w:id="154" w:name="_Toc184314427"/>
      <w:bookmarkEnd w:id="154"/>
      <w:bookmarkStart w:id="155" w:name="_Toc184314416"/>
      <w:bookmarkEnd w:id="155"/>
      <w:bookmarkStart w:id="156" w:name="_Toc184310279"/>
      <w:bookmarkEnd w:id="156"/>
      <w:bookmarkStart w:id="157" w:name="_Toc184312106"/>
      <w:bookmarkEnd w:id="157"/>
      <w:bookmarkStart w:id="158" w:name="_Toc184312089"/>
      <w:bookmarkEnd w:id="158"/>
      <w:bookmarkStart w:id="159" w:name="_Toc184312138"/>
      <w:bookmarkEnd w:id="159"/>
      <w:bookmarkStart w:id="160" w:name="_Toc184314447"/>
      <w:bookmarkEnd w:id="160"/>
      <w:bookmarkStart w:id="161" w:name="_Toc184312073"/>
      <w:bookmarkEnd w:id="161"/>
      <w:bookmarkStart w:id="162" w:name="_Toc184314477"/>
      <w:bookmarkEnd w:id="162"/>
      <w:bookmarkStart w:id="163" w:name="_Toc184308090"/>
      <w:bookmarkEnd w:id="163"/>
      <w:bookmarkStart w:id="164" w:name="_Toc184314472"/>
      <w:bookmarkEnd w:id="164"/>
      <w:bookmarkStart w:id="165" w:name="_Toc184308087"/>
      <w:bookmarkEnd w:id="165"/>
      <w:bookmarkStart w:id="166" w:name="_Toc184313286"/>
      <w:bookmarkEnd w:id="166"/>
      <w:bookmarkStart w:id="167" w:name="_Toc184312117"/>
      <w:bookmarkEnd w:id="167"/>
      <w:bookmarkStart w:id="168" w:name="_Toc184313262"/>
      <w:bookmarkEnd w:id="168"/>
      <w:bookmarkStart w:id="169" w:name="_Toc184314431"/>
      <w:bookmarkEnd w:id="169"/>
      <w:bookmarkStart w:id="170" w:name="_Toc184308043"/>
      <w:bookmarkEnd w:id="170"/>
      <w:bookmarkStart w:id="171" w:name="_Toc184313243"/>
      <w:bookmarkEnd w:id="171"/>
      <w:bookmarkStart w:id="172" w:name="_Toc184313242"/>
      <w:bookmarkEnd w:id="172"/>
      <w:bookmarkStart w:id="173" w:name="_Toc184313301"/>
      <w:bookmarkEnd w:id="173"/>
      <w:bookmarkStart w:id="174" w:name="_Toc184310282"/>
      <w:bookmarkEnd w:id="174"/>
      <w:bookmarkStart w:id="175" w:name="_Toc184312121"/>
      <w:bookmarkEnd w:id="175"/>
      <w:bookmarkStart w:id="176" w:name="_Toc184313292"/>
      <w:bookmarkEnd w:id="176"/>
      <w:bookmarkStart w:id="177" w:name="_Toc184308070"/>
      <w:bookmarkEnd w:id="177"/>
      <w:bookmarkStart w:id="178" w:name="_Toc184310311"/>
      <w:bookmarkEnd w:id="178"/>
      <w:bookmarkStart w:id="179" w:name="_Toc184310339"/>
      <w:bookmarkEnd w:id="179"/>
      <w:bookmarkStart w:id="180" w:name="_Toc184310303"/>
      <w:bookmarkEnd w:id="180"/>
      <w:bookmarkStart w:id="181" w:name="_Toc184308047"/>
      <w:bookmarkEnd w:id="181"/>
      <w:bookmarkStart w:id="182" w:name="_Toc184313290"/>
      <w:bookmarkEnd w:id="182"/>
      <w:bookmarkStart w:id="183" w:name="_Toc184313239"/>
      <w:bookmarkEnd w:id="183"/>
      <w:bookmarkStart w:id="184" w:name="_Toc184314440"/>
      <w:bookmarkEnd w:id="184"/>
      <w:bookmarkStart w:id="185" w:name="_Toc184308060"/>
      <w:bookmarkEnd w:id="185"/>
      <w:bookmarkStart w:id="186" w:name="_Toc184308084"/>
      <w:bookmarkEnd w:id="186"/>
      <w:bookmarkStart w:id="187" w:name="_Toc184314464"/>
      <w:bookmarkEnd w:id="187"/>
      <w:bookmarkStart w:id="188" w:name="_Toc184308064"/>
      <w:bookmarkEnd w:id="188"/>
      <w:bookmarkStart w:id="189" w:name="_Toc184308102"/>
      <w:bookmarkEnd w:id="189"/>
      <w:bookmarkStart w:id="190" w:name="_Toc184310332"/>
      <w:bookmarkEnd w:id="190"/>
      <w:bookmarkStart w:id="191" w:name="_Toc184308057"/>
      <w:bookmarkEnd w:id="191"/>
      <w:bookmarkStart w:id="192" w:name="_Toc184310342"/>
      <w:bookmarkEnd w:id="192"/>
      <w:bookmarkStart w:id="193" w:name="_Toc184312113"/>
      <w:bookmarkEnd w:id="193"/>
      <w:bookmarkStart w:id="194" w:name="_Toc184313266"/>
      <w:bookmarkEnd w:id="194"/>
      <w:bookmarkStart w:id="195" w:name="_Toc184308077"/>
      <w:bookmarkEnd w:id="195"/>
      <w:bookmarkStart w:id="196" w:name="_Toc184312128"/>
      <w:bookmarkEnd w:id="196"/>
      <w:bookmarkStart w:id="197" w:name="_Toc184308104"/>
      <w:bookmarkEnd w:id="197"/>
      <w:bookmarkStart w:id="198" w:name="_Toc184312084"/>
      <w:bookmarkEnd w:id="198"/>
      <w:bookmarkStart w:id="199" w:name="_Toc184312096"/>
      <w:bookmarkEnd w:id="199"/>
      <w:bookmarkStart w:id="200" w:name="_Toc184312109"/>
      <w:bookmarkEnd w:id="200"/>
      <w:bookmarkStart w:id="201" w:name="_Toc184310314"/>
      <w:bookmarkEnd w:id="201"/>
      <w:bookmarkStart w:id="202" w:name="_Toc184314432"/>
      <w:bookmarkEnd w:id="202"/>
      <w:bookmarkStart w:id="203" w:name="_Toc184308061"/>
      <w:bookmarkEnd w:id="203"/>
      <w:bookmarkStart w:id="204" w:name="_Toc184314471"/>
      <w:bookmarkEnd w:id="204"/>
      <w:bookmarkStart w:id="205" w:name="_Toc184310285"/>
      <w:bookmarkEnd w:id="205"/>
      <w:bookmarkStart w:id="206" w:name="_Toc184313284"/>
      <w:bookmarkEnd w:id="206"/>
      <w:bookmarkStart w:id="207" w:name="_Toc184314475"/>
      <w:bookmarkEnd w:id="207"/>
      <w:bookmarkStart w:id="208" w:name="_Toc184314435"/>
      <w:bookmarkEnd w:id="208"/>
      <w:bookmarkStart w:id="209" w:name="_Toc184313261"/>
      <w:bookmarkEnd w:id="209"/>
      <w:bookmarkStart w:id="210" w:name="_Toc184308067"/>
      <w:bookmarkEnd w:id="210"/>
      <w:bookmarkStart w:id="211" w:name="_Toc184314460"/>
      <w:bookmarkEnd w:id="211"/>
      <w:bookmarkStart w:id="212" w:name="_Toc184312095"/>
      <w:bookmarkEnd w:id="212"/>
      <w:bookmarkStart w:id="213" w:name="_Toc184314426"/>
      <w:bookmarkEnd w:id="213"/>
      <w:bookmarkStart w:id="214" w:name="_Toc184310337"/>
      <w:bookmarkEnd w:id="214"/>
      <w:bookmarkStart w:id="215" w:name="_Toc184308068"/>
      <w:bookmarkEnd w:id="215"/>
      <w:bookmarkStart w:id="216" w:name="_Toc184308100"/>
      <w:bookmarkEnd w:id="216"/>
      <w:bookmarkStart w:id="217" w:name="_Toc184308071"/>
      <w:bookmarkEnd w:id="217"/>
      <w:bookmarkStart w:id="218" w:name="_Toc184310283"/>
      <w:bookmarkEnd w:id="218"/>
      <w:bookmarkStart w:id="219" w:name="_Toc184313299"/>
      <w:bookmarkEnd w:id="219"/>
      <w:bookmarkStart w:id="220" w:name="_Toc184308056"/>
      <w:bookmarkEnd w:id="220"/>
      <w:bookmarkStart w:id="221" w:name="_Toc184310323"/>
      <w:bookmarkEnd w:id="221"/>
      <w:bookmarkStart w:id="222" w:name="_Toc184308046"/>
      <w:bookmarkEnd w:id="222"/>
      <w:bookmarkStart w:id="223" w:name="_Toc184308052"/>
      <w:bookmarkEnd w:id="223"/>
      <w:bookmarkStart w:id="224" w:name="_Toc184308063"/>
      <w:bookmarkEnd w:id="224"/>
      <w:bookmarkStart w:id="225" w:name="_Toc184313252"/>
      <w:bookmarkEnd w:id="225"/>
      <w:bookmarkStart w:id="226" w:name="_Toc184308073"/>
      <w:bookmarkEnd w:id="226"/>
      <w:bookmarkStart w:id="227" w:name="_Toc184312094"/>
      <w:bookmarkEnd w:id="227"/>
      <w:bookmarkStart w:id="228" w:name="_Toc184313254"/>
      <w:bookmarkEnd w:id="228"/>
      <w:bookmarkStart w:id="229" w:name="_Toc184312115"/>
      <w:bookmarkEnd w:id="229"/>
      <w:bookmarkStart w:id="230" w:name="_Toc184314424"/>
      <w:bookmarkEnd w:id="230"/>
      <w:bookmarkStart w:id="231" w:name="_Toc184310319"/>
      <w:bookmarkEnd w:id="231"/>
      <w:bookmarkStart w:id="232" w:name="_Toc184310288"/>
      <w:bookmarkEnd w:id="232"/>
      <w:bookmarkStart w:id="233" w:name="_Toc184313282"/>
      <w:bookmarkEnd w:id="233"/>
      <w:bookmarkStart w:id="234" w:name="_Toc184313255"/>
      <w:bookmarkEnd w:id="234"/>
      <w:bookmarkStart w:id="235" w:name="_Toc184310287"/>
      <w:bookmarkEnd w:id="235"/>
      <w:bookmarkStart w:id="236" w:name="_Toc184308108"/>
      <w:bookmarkEnd w:id="236"/>
      <w:bookmarkStart w:id="237" w:name="_Toc184308085"/>
      <w:bookmarkEnd w:id="237"/>
      <w:bookmarkStart w:id="238" w:name="_Toc184314481"/>
      <w:bookmarkEnd w:id="238"/>
      <w:bookmarkStart w:id="239" w:name="_Toc184308039"/>
      <w:bookmarkEnd w:id="239"/>
      <w:bookmarkStart w:id="240" w:name="_Toc184312116"/>
      <w:bookmarkEnd w:id="240"/>
      <w:bookmarkStart w:id="241" w:name="_Toc184310286"/>
      <w:bookmarkEnd w:id="241"/>
      <w:bookmarkStart w:id="242" w:name="_Toc184312081"/>
      <w:bookmarkEnd w:id="242"/>
      <w:bookmarkStart w:id="243" w:name="_Toc184314467"/>
      <w:bookmarkEnd w:id="243"/>
      <w:bookmarkStart w:id="244" w:name="_Toc184312077"/>
      <w:bookmarkEnd w:id="244"/>
      <w:bookmarkStart w:id="245" w:name="_Toc184312090"/>
      <w:bookmarkEnd w:id="245"/>
      <w:bookmarkStart w:id="246" w:name="_Toc184312130"/>
      <w:bookmarkEnd w:id="246"/>
      <w:bookmarkStart w:id="247" w:name="_Toc184313273"/>
      <w:bookmarkEnd w:id="247"/>
      <w:bookmarkStart w:id="248" w:name="_Toc184314417"/>
      <w:bookmarkEnd w:id="248"/>
      <w:bookmarkStart w:id="249" w:name="_Toc184310315"/>
      <w:bookmarkEnd w:id="249"/>
      <w:bookmarkStart w:id="250" w:name="_Toc184313274"/>
      <w:bookmarkEnd w:id="250"/>
      <w:bookmarkStart w:id="251" w:name="_Toc184310281"/>
      <w:bookmarkEnd w:id="251"/>
      <w:bookmarkStart w:id="252" w:name="_Toc184314420"/>
      <w:bookmarkEnd w:id="252"/>
      <w:bookmarkStart w:id="253" w:name="_Toc184313288"/>
      <w:bookmarkEnd w:id="253"/>
      <w:bookmarkStart w:id="254" w:name="_Toc184310343"/>
      <w:bookmarkEnd w:id="254"/>
      <w:bookmarkStart w:id="255" w:name="_Toc184310272"/>
      <w:bookmarkEnd w:id="255"/>
      <w:bookmarkStart w:id="256" w:name="_Toc184314438"/>
      <w:bookmarkEnd w:id="256"/>
      <w:bookmarkStart w:id="257" w:name="_Toc184313238"/>
      <w:bookmarkEnd w:id="257"/>
      <w:bookmarkStart w:id="258" w:name="_Toc184313247"/>
      <w:bookmarkEnd w:id="258"/>
      <w:bookmarkStart w:id="259" w:name="_Toc184308045"/>
      <w:bookmarkEnd w:id="259"/>
      <w:bookmarkStart w:id="260" w:name="_Toc184313263"/>
      <w:bookmarkEnd w:id="260"/>
      <w:bookmarkStart w:id="261" w:name="_Toc184312103"/>
      <w:bookmarkEnd w:id="261"/>
      <w:bookmarkStart w:id="262" w:name="_Toc184313265"/>
      <w:bookmarkEnd w:id="262"/>
      <w:bookmarkStart w:id="263" w:name="_Toc184310335"/>
      <w:bookmarkEnd w:id="263"/>
      <w:bookmarkStart w:id="264" w:name="_Toc184314418"/>
      <w:bookmarkEnd w:id="264"/>
      <w:bookmarkStart w:id="265" w:name="_Toc184310330"/>
      <w:bookmarkEnd w:id="265"/>
      <w:bookmarkStart w:id="266" w:name="_Toc184308097"/>
      <w:bookmarkEnd w:id="266"/>
      <w:bookmarkStart w:id="267" w:name="_Toc184312068"/>
      <w:bookmarkEnd w:id="267"/>
      <w:bookmarkStart w:id="268" w:name="_Toc184314473"/>
      <w:bookmarkEnd w:id="268"/>
      <w:bookmarkStart w:id="269" w:name="_Toc184310296"/>
      <w:bookmarkEnd w:id="269"/>
      <w:bookmarkStart w:id="270" w:name="_Toc184308059"/>
      <w:bookmarkEnd w:id="270"/>
      <w:bookmarkStart w:id="271" w:name="_Toc184310289"/>
      <w:bookmarkEnd w:id="271"/>
      <w:bookmarkStart w:id="272" w:name="_Toc184312134"/>
      <w:bookmarkEnd w:id="272"/>
      <w:bookmarkStart w:id="273" w:name="_Toc184312137"/>
      <w:bookmarkEnd w:id="273"/>
      <w:bookmarkStart w:id="274" w:name="_Toc184314479"/>
      <w:bookmarkEnd w:id="274"/>
      <w:bookmarkStart w:id="275" w:name="_Toc184312107"/>
      <w:bookmarkEnd w:id="275"/>
      <w:bookmarkStart w:id="276" w:name="_Toc184313253"/>
      <w:bookmarkEnd w:id="276"/>
      <w:bookmarkStart w:id="277" w:name="_Toc184313302"/>
      <w:bookmarkEnd w:id="277"/>
      <w:bookmarkStart w:id="278" w:name="_Toc184310324"/>
      <w:bookmarkEnd w:id="278"/>
      <w:bookmarkStart w:id="279" w:name="_Toc184313296"/>
      <w:bookmarkEnd w:id="279"/>
      <w:bookmarkStart w:id="280" w:name="_Toc184314465"/>
      <w:bookmarkEnd w:id="280"/>
      <w:bookmarkStart w:id="281" w:name="_Toc184312123"/>
      <w:bookmarkEnd w:id="281"/>
      <w:bookmarkStart w:id="282" w:name="_Toc184314457"/>
      <w:bookmarkEnd w:id="282"/>
      <w:bookmarkStart w:id="283" w:name="_Toc184310305"/>
      <w:bookmarkEnd w:id="283"/>
      <w:bookmarkStart w:id="284" w:name="_Toc184310336"/>
      <w:bookmarkEnd w:id="284"/>
      <w:bookmarkStart w:id="285" w:name="_Toc184313250"/>
      <w:bookmarkEnd w:id="285"/>
      <w:bookmarkStart w:id="286" w:name="_Toc184314441"/>
      <w:bookmarkEnd w:id="286"/>
      <w:bookmarkStart w:id="287" w:name="_Toc184313297"/>
      <w:bookmarkEnd w:id="287"/>
      <w:bookmarkStart w:id="288" w:name="_Toc184308098"/>
      <w:bookmarkEnd w:id="288"/>
      <w:bookmarkStart w:id="289" w:name="_Toc184310276"/>
      <w:bookmarkEnd w:id="289"/>
      <w:bookmarkStart w:id="290" w:name="_Toc184312078"/>
      <w:bookmarkEnd w:id="290"/>
      <w:bookmarkStart w:id="291" w:name="_Toc184313272"/>
      <w:bookmarkEnd w:id="291"/>
      <w:bookmarkStart w:id="292" w:name="_Toc184310326"/>
      <w:bookmarkEnd w:id="292"/>
      <w:bookmarkStart w:id="293" w:name="_Toc184312072"/>
      <w:bookmarkEnd w:id="293"/>
      <w:bookmarkStart w:id="294" w:name="_Toc184312070"/>
      <w:bookmarkEnd w:id="294"/>
      <w:bookmarkStart w:id="295" w:name="_Toc184308103"/>
      <w:bookmarkEnd w:id="295"/>
      <w:bookmarkStart w:id="296" w:name="_Toc184314412"/>
      <w:bookmarkEnd w:id="296"/>
      <w:bookmarkStart w:id="297" w:name="_Toc184308062"/>
      <w:bookmarkEnd w:id="297"/>
      <w:bookmarkStart w:id="298" w:name="_Toc184310298"/>
      <w:bookmarkEnd w:id="298"/>
      <w:bookmarkStart w:id="299" w:name="_Toc184312104"/>
      <w:bookmarkEnd w:id="299"/>
      <w:bookmarkStart w:id="300" w:name="_Toc184313241"/>
      <w:bookmarkEnd w:id="300"/>
      <w:bookmarkStart w:id="301" w:name="_Toc184308065"/>
      <w:bookmarkEnd w:id="301"/>
      <w:bookmarkStart w:id="302" w:name="_Toc184308107"/>
      <w:bookmarkEnd w:id="302"/>
      <w:bookmarkStart w:id="303" w:name="_Toc184308095"/>
      <w:bookmarkEnd w:id="303"/>
      <w:bookmarkStart w:id="304" w:name="_Toc184308106"/>
      <w:bookmarkEnd w:id="304"/>
      <w:bookmarkStart w:id="305" w:name="_Toc184312139"/>
      <w:bookmarkEnd w:id="305"/>
      <w:bookmarkStart w:id="306" w:name="_Toc184310313"/>
      <w:bookmarkEnd w:id="306"/>
      <w:bookmarkStart w:id="307" w:name="_Toc184313257"/>
      <w:bookmarkEnd w:id="307"/>
      <w:bookmarkStart w:id="308" w:name="_Toc184310292"/>
      <w:bookmarkEnd w:id="308"/>
      <w:bookmarkStart w:id="309" w:name="_Toc184313305"/>
      <w:bookmarkEnd w:id="309"/>
      <w:bookmarkStart w:id="310" w:name="_Toc184314450"/>
      <w:bookmarkEnd w:id="310"/>
      <w:bookmarkStart w:id="311" w:name="_Toc184314442"/>
      <w:bookmarkEnd w:id="311"/>
      <w:bookmarkStart w:id="312" w:name="_Toc184313300"/>
      <w:bookmarkEnd w:id="312"/>
      <w:bookmarkStart w:id="313" w:name="_Toc184310295"/>
      <w:bookmarkEnd w:id="313"/>
      <w:bookmarkStart w:id="314" w:name="_Toc184310294"/>
      <w:bookmarkEnd w:id="314"/>
      <w:bookmarkStart w:id="315" w:name="_Toc184310334"/>
      <w:bookmarkEnd w:id="315"/>
      <w:bookmarkStart w:id="316" w:name="_Toc184313269"/>
      <w:bookmarkEnd w:id="316"/>
      <w:bookmarkStart w:id="317" w:name="_Toc184314437"/>
      <w:bookmarkEnd w:id="317"/>
      <w:bookmarkStart w:id="318" w:name="_Toc184308053"/>
      <w:bookmarkEnd w:id="318"/>
      <w:bookmarkStart w:id="319" w:name="_Toc184312110"/>
      <w:bookmarkEnd w:id="319"/>
      <w:bookmarkStart w:id="320" w:name="_Toc184313240"/>
      <w:bookmarkEnd w:id="320"/>
      <w:bookmarkStart w:id="321" w:name="_Toc184314445"/>
      <w:bookmarkEnd w:id="321"/>
      <w:bookmarkStart w:id="322" w:name="_Toc184312080"/>
      <w:bookmarkEnd w:id="322"/>
      <w:bookmarkStart w:id="323" w:name="_Toc184312086"/>
      <w:bookmarkEnd w:id="323"/>
      <w:bookmarkStart w:id="324" w:name="_Toc184308092"/>
      <w:bookmarkEnd w:id="324"/>
      <w:bookmarkStart w:id="325" w:name="_Toc184312082"/>
      <w:bookmarkEnd w:id="325"/>
      <w:bookmarkStart w:id="326" w:name="_Toc184314419"/>
      <w:bookmarkEnd w:id="326"/>
      <w:bookmarkStart w:id="327" w:name="_Toc184308088"/>
      <w:bookmarkEnd w:id="327"/>
      <w:bookmarkStart w:id="328" w:name="_Toc184314474"/>
      <w:bookmarkEnd w:id="328"/>
      <w:bookmarkStart w:id="329" w:name="_Toc184312122"/>
      <w:bookmarkEnd w:id="329"/>
      <w:bookmarkStart w:id="330" w:name="_Toc184308094"/>
      <w:bookmarkEnd w:id="330"/>
      <w:bookmarkStart w:id="331" w:name="_Toc184314461"/>
      <w:bookmarkEnd w:id="331"/>
      <w:bookmarkStart w:id="332" w:name="_Toc184308049"/>
      <w:bookmarkEnd w:id="332"/>
      <w:bookmarkStart w:id="333" w:name="_Toc184314411"/>
      <w:bookmarkEnd w:id="333"/>
      <w:bookmarkStart w:id="334" w:name="_Toc184310304"/>
      <w:bookmarkEnd w:id="334"/>
      <w:bookmarkStart w:id="335" w:name="_Toc184312111"/>
      <w:bookmarkEnd w:id="335"/>
      <w:bookmarkStart w:id="336" w:name="_Toc184314476"/>
      <w:bookmarkEnd w:id="336"/>
      <w:bookmarkStart w:id="337" w:name="_Toc184313283"/>
      <w:bookmarkEnd w:id="337"/>
      <w:bookmarkStart w:id="338" w:name="_Toc184310321"/>
      <w:bookmarkEnd w:id="338"/>
      <w:bookmarkStart w:id="339" w:name="_Toc184308101"/>
      <w:bookmarkEnd w:id="339"/>
      <w:bookmarkStart w:id="340" w:name="_Toc184312083"/>
      <w:bookmarkEnd w:id="340"/>
      <w:bookmarkStart w:id="341" w:name="_Toc184313287"/>
      <w:bookmarkEnd w:id="341"/>
      <w:bookmarkStart w:id="342" w:name="_Toc184310341"/>
      <w:bookmarkEnd w:id="342"/>
      <w:bookmarkStart w:id="343" w:name="_Toc184312101"/>
      <w:bookmarkEnd w:id="343"/>
      <w:bookmarkStart w:id="344" w:name="_Toc184313245"/>
      <w:bookmarkEnd w:id="344"/>
      <w:bookmarkStart w:id="345" w:name="_Toc184310333"/>
      <w:bookmarkEnd w:id="345"/>
      <w:bookmarkStart w:id="346" w:name="_Toc184312097"/>
      <w:bookmarkEnd w:id="346"/>
      <w:bookmarkStart w:id="347" w:name="_Toc184310317"/>
      <w:bookmarkEnd w:id="347"/>
      <w:bookmarkStart w:id="348" w:name="_Toc184314446"/>
      <w:bookmarkEnd w:id="348"/>
      <w:bookmarkStart w:id="349" w:name="_Toc184314422"/>
      <w:bookmarkEnd w:id="349"/>
      <w:bookmarkStart w:id="350" w:name="_Toc184314430"/>
      <w:bookmarkEnd w:id="350"/>
      <w:bookmarkStart w:id="351" w:name="_Toc184312105"/>
      <w:bookmarkEnd w:id="351"/>
      <w:bookmarkStart w:id="352" w:name="_Toc184312112"/>
      <w:bookmarkEnd w:id="352"/>
      <w:bookmarkStart w:id="353" w:name="_Toc184308055"/>
      <w:bookmarkEnd w:id="353"/>
      <w:bookmarkStart w:id="354" w:name="_Toc184308054"/>
      <w:bookmarkEnd w:id="354"/>
      <w:bookmarkStart w:id="355" w:name="_Toc184308037"/>
      <w:bookmarkEnd w:id="355"/>
      <w:bookmarkStart w:id="356" w:name="_Toc184312131"/>
      <w:bookmarkEnd w:id="356"/>
      <w:bookmarkStart w:id="357" w:name="_Toc184313271"/>
      <w:bookmarkEnd w:id="357"/>
      <w:bookmarkStart w:id="358" w:name="_Toc184313294"/>
      <w:bookmarkEnd w:id="358"/>
      <w:bookmarkStart w:id="359" w:name="_Toc184312099"/>
      <w:bookmarkEnd w:id="359"/>
      <w:bookmarkStart w:id="360" w:name="_Toc184312093"/>
      <w:bookmarkEnd w:id="360"/>
      <w:bookmarkStart w:id="361" w:name="_Toc184313295"/>
      <w:bookmarkEnd w:id="361"/>
      <w:bookmarkStart w:id="362" w:name="_Toc184314466"/>
      <w:bookmarkEnd w:id="362"/>
      <w:bookmarkStart w:id="363" w:name="_Toc184313298"/>
      <w:bookmarkEnd w:id="363"/>
      <w:bookmarkStart w:id="364" w:name="_Toc184308093"/>
      <w:bookmarkEnd w:id="364"/>
      <w:bookmarkStart w:id="365" w:name="_Toc184314449"/>
      <w:bookmarkEnd w:id="365"/>
      <w:bookmarkStart w:id="366" w:name="_Toc184310325"/>
      <w:bookmarkEnd w:id="366"/>
      <w:bookmarkStart w:id="367" w:name="_Toc184312135"/>
      <w:bookmarkEnd w:id="367"/>
      <w:bookmarkStart w:id="368" w:name="_Toc184308083"/>
      <w:bookmarkEnd w:id="368"/>
      <w:bookmarkStart w:id="369" w:name="_Toc184313258"/>
      <w:bookmarkEnd w:id="369"/>
      <w:bookmarkStart w:id="370" w:name="_Toc184308099"/>
      <w:bookmarkEnd w:id="370"/>
      <w:bookmarkStart w:id="371" w:name="_Toc184313248"/>
      <w:bookmarkEnd w:id="371"/>
      <w:bookmarkStart w:id="372" w:name="_Toc184312125"/>
      <w:bookmarkEnd w:id="372"/>
      <w:bookmarkStart w:id="373" w:name="_Toc184308040"/>
      <w:bookmarkEnd w:id="373"/>
      <w:bookmarkStart w:id="374" w:name="_Toc184308044"/>
      <w:bookmarkEnd w:id="374"/>
      <w:bookmarkStart w:id="375" w:name="_Toc184308072"/>
      <w:bookmarkEnd w:id="375"/>
      <w:bookmarkStart w:id="376" w:name="_Toc184310316"/>
      <w:bookmarkEnd w:id="376"/>
      <w:bookmarkStart w:id="377" w:name="_Toc184314453"/>
      <w:bookmarkEnd w:id="377"/>
      <w:bookmarkStart w:id="378" w:name="_Toc184308091"/>
      <w:bookmarkEnd w:id="378"/>
      <w:bookmarkStart w:id="379" w:name="_Toc184313244"/>
      <w:bookmarkEnd w:id="379"/>
      <w:bookmarkStart w:id="380" w:name="_Toc184313307"/>
      <w:bookmarkEnd w:id="380"/>
      <w:bookmarkStart w:id="381" w:name="_Toc184310327"/>
      <w:bookmarkEnd w:id="381"/>
      <w:bookmarkStart w:id="382" w:name="_Toc184310344"/>
      <w:bookmarkEnd w:id="382"/>
      <w:bookmarkStart w:id="383" w:name="_Toc184312100"/>
      <w:bookmarkEnd w:id="383"/>
      <w:bookmarkStart w:id="384" w:name="_Toc184310291"/>
      <w:bookmarkEnd w:id="384"/>
      <w:bookmarkStart w:id="385" w:name="_Toc184308048"/>
      <w:bookmarkEnd w:id="385"/>
      <w:bookmarkStart w:id="386" w:name="_Toc184313249"/>
      <w:bookmarkEnd w:id="386"/>
      <w:bookmarkStart w:id="387" w:name="_Toc184313267"/>
      <w:bookmarkEnd w:id="387"/>
      <w:bookmarkStart w:id="388" w:name="_Toc184314434"/>
      <w:bookmarkEnd w:id="388"/>
      <w:bookmarkStart w:id="389" w:name="_Toc184308075"/>
      <w:bookmarkEnd w:id="389"/>
      <w:bookmarkStart w:id="390" w:name="_Toc184308058"/>
      <w:bookmarkEnd w:id="390"/>
      <w:bookmarkStart w:id="391" w:name="_Toc184312102"/>
      <w:bookmarkEnd w:id="391"/>
      <w:bookmarkStart w:id="392" w:name="_Toc184313259"/>
      <w:bookmarkEnd w:id="392"/>
      <w:bookmarkStart w:id="393" w:name="_Toc184308086"/>
      <w:bookmarkEnd w:id="393"/>
      <w:bookmarkStart w:id="394" w:name="_Toc184308089"/>
      <w:bookmarkEnd w:id="394"/>
      <w:bookmarkStart w:id="395" w:name="_Toc184310308"/>
      <w:bookmarkEnd w:id="395"/>
      <w:bookmarkStart w:id="396" w:name="_Toc184313277"/>
      <w:bookmarkEnd w:id="396"/>
      <w:bookmarkStart w:id="397" w:name="_Toc184312079"/>
      <w:bookmarkEnd w:id="397"/>
      <w:bookmarkStart w:id="398" w:name="_Toc184313264"/>
      <w:bookmarkEnd w:id="398"/>
      <w:bookmarkStart w:id="399" w:name="_Toc184314439"/>
      <w:bookmarkEnd w:id="399"/>
      <w:bookmarkStart w:id="400" w:name="_Toc184314414"/>
      <w:bookmarkEnd w:id="400"/>
      <w:bookmarkStart w:id="401" w:name="_Toc184308074"/>
      <w:bookmarkEnd w:id="401"/>
      <w:r>
        <w:rPr>
          <w:rFonts w:hint="eastAsia" w:ascii="宋体" w:hAnsi="宋体" w:cs="宋体"/>
          <w:b/>
          <w:sz w:val="36"/>
          <w:szCs w:val="36"/>
        </w:rPr>
        <w:t>评标办法</w:t>
      </w:r>
      <w:bookmarkEnd w:id="36"/>
    </w:p>
    <w:p w14:paraId="619A17AD">
      <w:pPr>
        <w:snapToGrid w:val="0"/>
        <w:spacing w:line="360" w:lineRule="auto"/>
        <w:jc w:val="center"/>
        <w:rPr>
          <w:rFonts w:hint="eastAsia" w:ascii="宋体" w:hAnsi="宋体" w:cs="宋体"/>
          <w:b/>
          <w:sz w:val="32"/>
          <w:szCs w:val="20"/>
        </w:rPr>
      </w:pPr>
      <w:r>
        <w:rPr>
          <w:rFonts w:hint="eastAsia" w:ascii="宋体" w:hAnsi="宋体" w:cs="宋体"/>
          <w:b/>
          <w:sz w:val="32"/>
          <w:szCs w:val="20"/>
        </w:rPr>
        <w:t>评标办法前附表</w:t>
      </w:r>
    </w:p>
    <w:p w14:paraId="42D9C71A">
      <w:pPr>
        <w:widowControl/>
        <w:adjustRightInd/>
        <w:spacing w:line="360" w:lineRule="exact"/>
        <w:jc w:val="center"/>
        <w:rPr>
          <w:rFonts w:hint="eastAsia" w:ascii="宋体" w:hAnsi="宋体" w:cs="宋体"/>
          <w:b/>
          <w:bCs/>
          <w:kern w:val="0"/>
          <w:sz w:val="32"/>
          <w:szCs w:val="40"/>
        </w:rPr>
      </w:pPr>
      <w:r>
        <w:rPr>
          <w:rFonts w:hint="eastAsia" w:ascii="宋体" w:hAnsi="宋体" w:cs="宋体"/>
          <w:b/>
          <w:bCs/>
          <w:kern w:val="0"/>
          <w:sz w:val="32"/>
          <w:szCs w:val="40"/>
        </w:rPr>
        <w:t>评分标准表</w:t>
      </w:r>
    </w:p>
    <w:tbl>
      <w:tblPr>
        <w:tblStyle w:val="63"/>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106"/>
        <w:gridCol w:w="5897"/>
        <w:gridCol w:w="766"/>
        <w:gridCol w:w="920"/>
      </w:tblGrid>
      <w:tr w14:paraId="450D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118" w:type="pct"/>
            <w:gridSpan w:val="3"/>
            <w:vAlign w:val="center"/>
          </w:tcPr>
          <w:p w14:paraId="5A5A0171">
            <w:pPr>
              <w:adjustRightInd/>
              <w:spacing w:line="360" w:lineRule="exact"/>
              <w:jc w:val="center"/>
              <w:rPr>
                <w:rFonts w:hint="eastAsia" w:ascii="宋体" w:hAnsi="宋体" w:cs="宋体"/>
                <w:bCs/>
                <w:sz w:val="24"/>
              </w:rPr>
            </w:pPr>
            <w:r>
              <w:rPr>
                <w:rFonts w:hint="eastAsia" w:ascii="宋体" w:hAnsi="宋体" w:cs="宋体"/>
                <w:bCs/>
                <w:sz w:val="24"/>
              </w:rPr>
              <w:t>评审内容</w:t>
            </w:r>
          </w:p>
        </w:tc>
        <w:tc>
          <w:tcPr>
            <w:tcW w:w="400" w:type="pct"/>
            <w:vAlign w:val="center"/>
          </w:tcPr>
          <w:p w14:paraId="2D96F37B">
            <w:pPr>
              <w:adjustRightInd/>
              <w:spacing w:line="360" w:lineRule="exact"/>
              <w:jc w:val="center"/>
              <w:rPr>
                <w:rFonts w:hint="eastAsia" w:ascii="宋体" w:hAnsi="宋体" w:cs="宋体"/>
                <w:bCs/>
                <w:sz w:val="24"/>
              </w:rPr>
            </w:pPr>
            <w:r>
              <w:rPr>
                <w:rFonts w:hint="eastAsia" w:ascii="宋体" w:hAnsi="宋体" w:cs="宋体"/>
                <w:bCs/>
                <w:sz w:val="24"/>
              </w:rPr>
              <w:t>分值</w:t>
            </w:r>
          </w:p>
        </w:tc>
        <w:tc>
          <w:tcPr>
            <w:tcW w:w="480" w:type="pct"/>
            <w:vAlign w:val="center"/>
          </w:tcPr>
          <w:p w14:paraId="7F2C5572">
            <w:pPr>
              <w:adjustRightInd/>
              <w:spacing w:line="360" w:lineRule="exact"/>
              <w:jc w:val="center"/>
              <w:rPr>
                <w:rFonts w:hint="eastAsia" w:ascii="宋体" w:hAnsi="宋体" w:cs="宋体"/>
                <w:bCs/>
                <w:sz w:val="24"/>
              </w:rPr>
            </w:pPr>
            <w:r>
              <w:rPr>
                <w:rFonts w:hint="eastAsia" w:ascii="宋体" w:hAnsi="宋体" w:cs="宋体"/>
                <w:bCs/>
                <w:sz w:val="24"/>
              </w:rPr>
              <w:t>备注</w:t>
            </w:r>
          </w:p>
        </w:tc>
      </w:tr>
      <w:tr w14:paraId="1821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63" w:type="pct"/>
            <w:vAlign w:val="center"/>
          </w:tcPr>
          <w:p w14:paraId="047445EF">
            <w:pPr>
              <w:adjustRightInd/>
              <w:spacing w:line="360" w:lineRule="exact"/>
              <w:jc w:val="center"/>
              <w:rPr>
                <w:rFonts w:hint="eastAsia" w:ascii="宋体" w:hAnsi="宋体" w:cs="宋体"/>
                <w:bCs/>
                <w:sz w:val="24"/>
              </w:rPr>
            </w:pPr>
            <w:r>
              <w:rPr>
                <w:rFonts w:hint="eastAsia" w:ascii="宋体" w:hAnsi="宋体" w:cs="宋体"/>
                <w:sz w:val="24"/>
              </w:rPr>
              <w:t>价格分（32分）</w:t>
            </w:r>
          </w:p>
        </w:tc>
        <w:tc>
          <w:tcPr>
            <w:tcW w:w="3655" w:type="pct"/>
            <w:gridSpan w:val="2"/>
            <w:vAlign w:val="center"/>
          </w:tcPr>
          <w:p w14:paraId="1FE4176A">
            <w:pPr>
              <w:adjustRightInd/>
              <w:spacing w:line="360" w:lineRule="auto"/>
              <w:rPr>
                <w:rFonts w:hint="eastAsia" w:ascii="宋体" w:hAnsi="宋体" w:cs="宋体"/>
                <w:sz w:val="24"/>
              </w:rPr>
            </w:pPr>
            <w:r>
              <w:rPr>
                <w:rFonts w:hint="eastAsia" w:ascii="宋体" w:hAnsi="宋体" w:cs="宋体"/>
                <w:sz w:val="24"/>
              </w:rPr>
              <w:t>评标基准价指的是满足招标文件要求且最低的参与评审的价格。</w:t>
            </w:r>
          </w:p>
          <w:p w14:paraId="7F6D60D1">
            <w:pPr>
              <w:adjustRightInd/>
              <w:spacing w:line="360" w:lineRule="auto"/>
              <w:rPr>
                <w:rFonts w:hint="eastAsia" w:ascii="宋体" w:hAnsi="宋体" w:cs="宋体"/>
                <w:sz w:val="24"/>
              </w:rPr>
            </w:pPr>
            <w:r>
              <w:rPr>
                <w:rFonts w:hint="eastAsia" w:ascii="宋体" w:hAnsi="宋体" w:cs="宋体"/>
                <w:sz w:val="24"/>
              </w:rPr>
              <w:t>参与评审的价格=投标报价-小微企业价格扣除优惠值10%（如有）。</w:t>
            </w:r>
          </w:p>
          <w:p w14:paraId="179A2697">
            <w:pPr>
              <w:adjustRightInd/>
              <w:spacing w:line="360" w:lineRule="auto"/>
              <w:rPr>
                <w:rFonts w:hint="eastAsia" w:ascii="宋体" w:hAnsi="宋体" w:cs="宋体"/>
                <w:sz w:val="24"/>
              </w:rPr>
            </w:pPr>
            <w:r>
              <w:rPr>
                <w:rFonts w:hint="eastAsia" w:ascii="宋体" w:hAnsi="宋体" w:cs="宋体"/>
                <w:sz w:val="24"/>
              </w:rPr>
              <w:t>参与评审的价格为评标基准价的其价格得分得满分32分。</w:t>
            </w:r>
          </w:p>
          <w:p w14:paraId="7A862BFB">
            <w:pPr>
              <w:adjustRightInd/>
              <w:spacing w:line="360" w:lineRule="auto"/>
              <w:rPr>
                <w:rFonts w:hint="eastAsia" w:ascii="宋体" w:hAnsi="宋体" w:cs="宋体"/>
                <w:sz w:val="24"/>
              </w:rPr>
            </w:pPr>
            <w:r>
              <w:rPr>
                <w:rFonts w:hint="eastAsia" w:ascii="宋体" w:hAnsi="宋体" w:cs="宋体"/>
                <w:sz w:val="24"/>
              </w:rPr>
              <w:t>其他供应商价格得分按照下列公式计算：</w:t>
            </w:r>
          </w:p>
          <w:p w14:paraId="7CEA2D91">
            <w:pPr>
              <w:adjustRightInd/>
              <w:spacing w:line="360" w:lineRule="exact"/>
              <w:rPr>
                <w:rFonts w:hint="eastAsia" w:ascii="宋体" w:hAnsi="宋体" w:cs="宋体"/>
                <w:bCs/>
                <w:sz w:val="24"/>
              </w:rPr>
            </w:pPr>
            <w:r>
              <w:rPr>
                <w:rFonts w:hint="eastAsia" w:ascii="宋体" w:hAnsi="宋体" w:cs="宋体"/>
                <w:sz w:val="24"/>
              </w:rPr>
              <w:t>价格得分=（评标基准价/参与评审的价格）×32%×100。</w:t>
            </w:r>
          </w:p>
        </w:tc>
        <w:tc>
          <w:tcPr>
            <w:tcW w:w="400" w:type="pct"/>
            <w:vAlign w:val="center"/>
          </w:tcPr>
          <w:p w14:paraId="2CAE18B0">
            <w:pPr>
              <w:adjustRightInd/>
              <w:spacing w:line="360" w:lineRule="exact"/>
              <w:jc w:val="center"/>
              <w:rPr>
                <w:rFonts w:hint="eastAsia" w:ascii="宋体" w:hAnsi="宋体" w:cs="宋体"/>
                <w:bCs/>
                <w:kern w:val="0"/>
                <w:sz w:val="24"/>
              </w:rPr>
            </w:pPr>
            <w:r>
              <w:rPr>
                <w:rFonts w:hint="eastAsia" w:ascii="宋体" w:hAnsi="宋体" w:cs="宋体"/>
                <w:bCs/>
                <w:kern w:val="0"/>
                <w:sz w:val="24"/>
              </w:rPr>
              <w:t>32</w:t>
            </w:r>
          </w:p>
        </w:tc>
        <w:tc>
          <w:tcPr>
            <w:tcW w:w="480" w:type="pct"/>
            <w:vAlign w:val="center"/>
          </w:tcPr>
          <w:p w14:paraId="21095DC1">
            <w:pPr>
              <w:adjustRightInd/>
              <w:spacing w:line="360" w:lineRule="exact"/>
              <w:jc w:val="center"/>
              <w:rPr>
                <w:rFonts w:hint="eastAsia" w:ascii="宋体" w:hAnsi="宋体" w:cs="宋体"/>
                <w:bCs/>
                <w:kern w:val="0"/>
                <w:sz w:val="24"/>
              </w:rPr>
            </w:pPr>
            <w:r>
              <w:rPr>
                <w:rFonts w:hint="eastAsia" w:ascii="宋体" w:hAnsi="宋体" w:cs="宋体"/>
                <w:bCs/>
                <w:kern w:val="0"/>
                <w:sz w:val="24"/>
              </w:rPr>
              <w:t>客观评审</w:t>
            </w:r>
          </w:p>
        </w:tc>
      </w:tr>
      <w:tr w14:paraId="3B80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63" w:type="pct"/>
            <w:vMerge w:val="restart"/>
            <w:vAlign w:val="center"/>
          </w:tcPr>
          <w:p w14:paraId="595B7F43">
            <w:pPr>
              <w:adjustRightInd/>
              <w:spacing w:line="360" w:lineRule="exact"/>
              <w:jc w:val="center"/>
              <w:rPr>
                <w:rFonts w:hint="eastAsia" w:ascii="宋体" w:hAnsi="宋体" w:cs="宋体"/>
                <w:sz w:val="24"/>
              </w:rPr>
            </w:pPr>
            <w:r>
              <w:rPr>
                <w:rFonts w:hint="eastAsia" w:ascii="宋体" w:hAnsi="宋体" w:cs="宋体"/>
                <w:sz w:val="24"/>
              </w:rPr>
              <w:t>商务技术分（68分）</w:t>
            </w:r>
          </w:p>
        </w:tc>
        <w:tc>
          <w:tcPr>
            <w:tcW w:w="577" w:type="pct"/>
            <w:vAlign w:val="center"/>
          </w:tcPr>
          <w:p w14:paraId="048FB4FD">
            <w:pPr>
              <w:adjustRightInd/>
              <w:spacing w:line="360" w:lineRule="exact"/>
              <w:jc w:val="center"/>
              <w:rPr>
                <w:rFonts w:hint="eastAsia" w:ascii="宋体" w:hAnsi="宋体" w:cs="宋体"/>
                <w:sz w:val="24"/>
              </w:rPr>
            </w:pPr>
            <w:r>
              <w:rPr>
                <w:rFonts w:hint="eastAsia" w:ascii="宋体" w:hAnsi="宋体" w:cs="宋体"/>
                <w:sz w:val="24"/>
              </w:rPr>
              <w:t>1、设备参数响应程度</w:t>
            </w:r>
          </w:p>
          <w:p w14:paraId="0073CB1F">
            <w:pPr>
              <w:adjustRightInd/>
              <w:spacing w:line="360" w:lineRule="exact"/>
              <w:jc w:val="center"/>
              <w:rPr>
                <w:rFonts w:hint="eastAsia" w:ascii="宋体" w:hAnsi="宋体" w:cs="宋体"/>
                <w:sz w:val="24"/>
              </w:rPr>
            </w:pPr>
            <w:r>
              <w:rPr>
                <w:rFonts w:hint="eastAsia" w:ascii="宋体" w:hAnsi="宋体" w:cs="宋体"/>
                <w:sz w:val="24"/>
              </w:rPr>
              <w:t>（37分）</w:t>
            </w:r>
          </w:p>
        </w:tc>
        <w:tc>
          <w:tcPr>
            <w:tcW w:w="3077" w:type="pct"/>
            <w:vAlign w:val="center"/>
          </w:tcPr>
          <w:p w14:paraId="6ECF4005">
            <w:pPr>
              <w:adjustRightInd/>
              <w:spacing w:line="360" w:lineRule="exact"/>
              <w:rPr>
                <w:rFonts w:hint="eastAsia" w:ascii="宋体" w:hAnsi="宋体" w:cs="宋体"/>
                <w:sz w:val="24"/>
              </w:rPr>
            </w:pPr>
            <w:r>
              <w:rPr>
                <w:rFonts w:hint="eastAsia" w:ascii="宋体" w:hAnsi="宋体" w:cs="宋体"/>
                <w:sz w:val="24"/>
              </w:rPr>
              <w:t>（1）完全响应招标文件“第三部分 采购需求 二、改造内容”中所有技术参数要求的得37分；</w:t>
            </w:r>
          </w:p>
          <w:p w14:paraId="679AE3DB">
            <w:pPr>
              <w:adjustRightInd/>
              <w:spacing w:line="360" w:lineRule="exact"/>
              <w:rPr>
                <w:rFonts w:hint="eastAsia" w:ascii="宋体" w:hAnsi="宋体" w:cs="宋体"/>
                <w:sz w:val="24"/>
              </w:rPr>
            </w:pPr>
            <w:r>
              <w:rPr>
                <w:rFonts w:hint="eastAsia" w:ascii="宋体" w:hAnsi="宋体" w:cs="宋体"/>
                <w:sz w:val="24"/>
              </w:rPr>
              <w:t>（2）“第三部分 采购需求 二、改造内容”中未标“▲”“★”的参数，每负偏离一条扣1分。</w:t>
            </w:r>
          </w:p>
          <w:p w14:paraId="4D64E052">
            <w:pPr>
              <w:adjustRightInd/>
              <w:spacing w:line="360" w:lineRule="exact"/>
              <w:rPr>
                <w:rFonts w:hint="eastAsia" w:ascii="宋体" w:hAnsi="宋体" w:cs="宋体"/>
                <w:sz w:val="24"/>
              </w:rPr>
            </w:pPr>
            <w:r>
              <w:rPr>
                <w:rFonts w:hint="eastAsia" w:ascii="宋体" w:hAnsi="宋体" w:cs="宋体"/>
                <w:sz w:val="24"/>
              </w:rPr>
              <w:t>（3）“第三部分 采购需求 二、改造内容”中标“★”的参数，每负偏离一条扣2分。</w:t>
            </w:r>
          </w:p>
          <w:p w14:paraId="22474EA6">
            <w:pPr>
              <w:adjustRightInd/>
              <w:spacing w:line="360" w:lineRule="exact"/>
              <w:rPr>
                <w:rFonts w:hint="eastAsia" w:ascii="宋体" w:hAnsi="宋体" w:cs="宋体"/>
                <w:sz w:val="24"/>
              </w:rPr>
            </w:pPr>
            <w:r>
              <w:rPr>
                <w:rFonts w:hint="eastAsia" w:ascii="宋体" w:hAnsi="宋体" w:cs="宋体"/>
                <w:sz w:val="24"/>
              </w:rPr>
              <w:t>注：①当有供应商此项分值扣减至0分时，其投标响应文件作无效标处理，不再进行评审。②技术参数如要求提供证明材料作为响应佐证的，未提供或报告不能体现参数要求的视为负偏离。</w:t>
            </w:r>
          </w:p>
        </w:tc>
        <w:tc>
          <w:tcPr>
            <w:tcW w:w="400" w:type="pct"/>
            <w:vAlign w:val="center"/>
          </w:tcPr>
          <w:p w14:paraId="3DB3C0AE">
            <w:pPr>
              <w:adjustRightInd/>
              <w:spacing w:line="360" w:lineRule="exact"/>
              <w:jc w:val="center"/>
              <w:rPr>
                <w:rFonts w:hint="eastAsia" w:ascii="宋体" w:hAnsi="宋体" w:cs="宋体"/>
                <w:sz w:val="24"/>
              </w:rPr>
            </w:pPr>
            <w:r>
              <w:rPr>
                <w:rFonts w:hint="eastAsia" w:ascii="宋体" w:hAnsi="宋体" w:cs="宋体"/>
                <w:sz w:val="24"/>
              </w:rPr>
              <w:t>37</w:t>
            </w:r>
          </w:p>
        </w:tc>
        <w:tc>
          <w:tcPr>
            <w:tcW w:w="480" w:type="pct"/>
            <w:vAlign w:val="center"/>
          </w:tcPr>
          <w:p w14:paraId="46823AE3">
            <w:pPr>
              <w:adjustRightInd/>
              <w:spacing w:line="360" w:lineRule="exact"/>
              <w:jc w:val="center"/>
              <w:rPr>
                <w:rFonts w:hint="eastAsia" w:ascii="宋体" w:hAnsi="宋体" w:cs="宋体"/>
                <w:bCs/>
                <w:kern w:val="0"/>
                <w:sz w:val="24"/>
              </w:rPr>
            </w:pPr>
            <w:r>
              <w:rPr>
                <w:rFonts w:hint="eastAsia" w:ascii="宋体" w:hAnsi="宋体" w:cs="宋体"/>
                <w:bCs/>
                <w:kern w:val="0"/>
                <w:sz w:val="24"/>
              </w:rPr>
              <w:t>客观评审</w:t>
            </w:r>
          </w:p>
        </w:tc>
      </w:tr>
      <w:tr w14:paraId="4E01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63" w:type="pct"/>
            <w:vMerge w:val="continue"/>
            <w:vAlign w:val="center"/>
          </w:tcPr>
          <w:p w14:paraId="26AC921F">
            <w:pPr>
              <w:adjustRightInd/>
              <w:spacing w:line="360" w:lineRule="exact"/>
              <w:jc w:val="center"/>
              <w:rPr>
                <w:rFonts w:hint="eastAsia" w:ascii="宋体" w:hAnsi="宋体" w:cs="宋体"/>
                <w:sz w:val="24"/>
              </w:rPr>
            </w:pPr>
          </w:p>
        </w:tc>
        <w:tc>
          <w:tcPr>
            <w:tcW w:w="577" w:type="pct"/>
            <w:vAlign w:val="center"/>
          </w:tcPr>
          <w:p w14:paraId="2324516A">
            <w:pPr>
              <w:widowControl/>
              <w:adjustRightInd/>
              <w:spacing w:line="360" w:lineRule="exact"/>
              <w:jc w:val="center"/>
              <w:rPr>
                <w:rFonts w:hint="eastAsia" w:ascii="宋体" w:hAnsi="宋体" w:cs="宋体"/>
                <w:sz w:val="24"/>
              </w:rPr>
            </w:pPr>
            <w:r>
              <w:rPr>
                <w:rFonts w:hint="eastAsia" w:ascii="宋体" w:hAnsi="宋体" w:cs="宋体"/>
                <w:sz w:val="24"/>
              </w:rPr>
              <w:t>2、技术方案</w:t>
            </w:r>
          </w:p>
          <w:p w14:paraId="7A688DEE">
            <w:pPr>
              <w:widowControl/>
              <w:adjustRightInd/>
              <w:spacing w:line="360" w:lineRule="exact"/>
              <w:jc w:val="center"/>
              <w:rPr>
                <w:rFonts w:hint="eastAsia" w:ascii="宋体" w:hAnsi="宋体" w:cs="宋体"/>
                <w:sz w:val="24"/>
              </w:rPr>
            </w:pPr>
            <w:r>
              <w:rPr>
                <w:rFonts w:hint="eastAsia" w:ascii="宋体" w:hAnsi="宋体" w:cs="宋体"/>
                <w:sz w:val="24"/>
              </w:rPr>
              <w:t>（5分）</w:t>
            </w:r>
          </w:p>
        </w:tc>
        <w:tc>
          <w:tcPr>
            <w:tcW w:w="3077" w:type="pct"/>
            <w:vAlign w:val="center"/>
          </w:tcPr>
          <w:p w14:paraId="511F89E7">
            <w:pPr>
              <w:adjustRightInd/>
              <w:spacing w:line="360" w:lineRule="exact"/>
              <w:rPr>
                <w:rFonts w:hint="eastAsia" w:ascii="宋体" w:hAnsi="宋体" w:cs="宋体"/>
                <w:sz w:val="24"/>
              </w:rPr>
            </w:pPr>
            <w:r>
              <w:rPr>
                <w:rFonts w:hint="eastAsia" w:ascii="宋体" w:hAnsi="宋体" w:cs="宋体"/>
                <w:sz w:val="24"/>
              </w:rPr>
              <w:t>根据供应商对现有项目整体状况的调研和分析进行评议，供应商应提供对整个项目的整体把握，技术方案规划，应融合对未来应用的思考，针对现有项目实际需求做合理规划等。</w:t>
            </w:r>
          </w:p>
          <w:p w14:paraId="5B17FD25">
            <w:pPr>
              <w:adjustRightInd/>
              <w:spacing w:line="360" w:lineRule="exact"/>
              <w:rPr>
                <w:rFonts w:hint="eastAsia" w:ascii="宋体" w:hAnsi="宋体" w:cs="宋体"/>
                <w:sz w:val="24"/>
              </w:rPr>
            </w:pPr>
            <w:r>
              <w:rPr>
                <w:rFonts w:hint="eastAsia" w:ascii="宋体" w:hAnsi="宋体" w:cs="宋体"/>
                <w:sz w:val="24"/>
              </w:rPr>
              <w:t>1）调研和分析条理清晰，内容详尽完整、方案合理可行性强的得5分；</w:t>
            </w:r>
          </w:p>
          <w:p w14:paraId="557EACB5">
            <w:pPr>
              <w:adjustRightInd/>
              <w:spacing w:line="360" w:lineRule="exact"/>
              <w:rPr>
                <w:rFonts w:hint="eastAsia" w:ascii="宋体" w:hAnsi="宋体" w:cs="宋体"/>
                <w:sz w:val="24"/>
              </w:rPr>
            </w:pPr>
            <w:r>
              <w:rPr>
                <w:rFonts w:hint="eastAsia" w:ascii="宋体" w:hAnsi="宋体" w:cs="宋体"/>
                <w:sz w:val="24"/>
              </w:rPr>
              <w:t>2）调研和分析条理较清晰，内容较详尽完整、方案较合理可行的得4分；</w:t>
            </w:r>
          </w:p>
          <w:p w14:paraId="73E6D741">
            <w:pPr>
              <w:adjustRightInd/>
              <w:spacing w:line="360" w:lineRule="exact"/>
              <w:rPr>
                <w:rFonts w:hint="eastAsia" w:ascii="宋体" w:hAnsi="宋体" w:cs="宋体"/>
                <w:sz w:val="24"/>
              </w:rPr>
            </w:pPr>
            <w:r>
              <w:rPr>
                <w:rFonts w:hint="eastAsia" w:ascii="宋体" w:hAnsi="宋体" w:cs="宋体"/>
                <w:sz w:val="24"/>
              </w:rPr>
              <w:t>3）调研和分析条理基本清晰，内容符合项目要求、方案有一定的可行性的得3分；</w:t>
            </w:r>
          </w:p>
          <w:p w14:paraId="1223E2B3">
            <w:pPr>
              <w:adjustRightInd/>
              <w:spacing w:line="360" w:lineRule="exact"/>
              <w:rPr>
                <w:rFonts w:hint="eastAsia" w:ascii="宋体" w:hAnsi="宋体" w:cs="宋体"/>
                <w:sz w:val="24"/>
              </w:rPr>
            </w:pPr>
            <w:r>
              <w:rPr>
                <w:rFonts w:hint="eastAsia" w:ascii="宋体" w:hAnsi="宋体" w:cs="宋体"/>
                <w:sz w:val="24"/>
              </w:rPr>
              <w:t>4）调研和分析条理欠清晰，内容与项目需求有一定差距、欠合理的得2分；</w:t>
            </w:r>
          </w:p>
          <w:p w14:paraId="4193BC6F">
            <w:pPr>
              <w:adjustRightInd/>
              <w:spacing w:line="360" w:lineRule="exact"/>
              <w:rPr>
                <w:rFonts w:hint="eastAsia" w:ascii="宋体" w:hAnsi="宋体" w:cs="宋体"/>
                <w:sz w:val="24"/>
              </w:rPr>
            </w:pPr>
            <w:r>
              <w:rPr>
                <w:rFonts w:hint="eastAsia" w:ascii="宋体" w:hAnsi="宋体" w:cs="宋体"/>
                <w:sz w:val="24"/>
              </w:rPr>
              <w:t>5）调研和分析条理不清晰，内容不详尽完整、不合理的得1分；</w:t>
            </w:r>
          </w:p>
          <w:p w14:paraId="39DEF3A2">
            <w:pPr>
              <w:adjustRightInd/>
              <w:spacing w:line="360" w:lineRule="exact"/>
              <w:rPr>
                <w:rFonts w:hint="eastAsia" w:ascii="宋体" w:hAnsi="宋体" w:cs="宋体"/>
                <w:sz w:val="24"/>
              </w:rPr>
            </w:pPr>
            <w:r>
              <w:rPr>
                <w:rFonts w:hint="eastAsia" w:ascii="宋体" w:hAnsi="宋体" w:cs="宋体"/>
                <w:sz w:val="24"/>
              </w:rPr>
              <w:t>6）未提供相关内容的不得分。</w:t>
            </w:r>
          </w:p>
        </w:tc>
        <w:tc>
          <w:tcPr>
            <w:tcW w:w="400" w:type="pct"/>
            <w:vAlign w:val="center"/>
          </w:tcPr>
          <w:p w14:paraId="33EF58C5">
            <w:pPr>
              <w:adjustRightInd/>
              <w:spacing w:line="360" w:lineRule="exact"/>
              <w:jc w:val="center"/>
              <w:rPr>
                <w:rFonts w:hint="eastAsia" w:ascii="宋体" w:hAnsi="宋体" w:cs="宋体"/>
                <w:sz w:val="24"/>
              </w:rPr>
            </w:pPr>
            <w:r>
              <w:rPr>
                <w:rFonts w:hint="eastAsia" w:ascii="宋体" w:hAnsi="宋体" w:cs="宋体"/>
                <w:sz w:val="24"/>
              </w:rPr>
              <w:t>5</w:t>
            </w:r>
          </w:p>
        </w:tc>
        <w:tc>
          <w:tcPr>
            <w:tcW w:w="480" w:type="pct"/>
            <w:vAlign w:val="center"/>
          </w:tcPr>
          <w:p w14:paraId="67D5A147">
            <w:pPr>
              <w:adjustRightInd/>
              <w:spacing w:line="360" w:lineRule="exact"/>
              <w:jc w:val="center"/>
              <w:rPr>
                <w:rFonts w:hint="eastAsia" w:ascii="宋体" w:hAnsi="宋体" w:cs="宋体"/>
                <w:bCs/>
                <w:kern w:val="0"/>
                <w:sz w:val="24"/>
              </w:rPr>
            </w:pPr>
            <w:r>
              <w:rPr>
                <w:rFonts w:hint="eastAsia" w:ascii="宋体" w:hAnsi="宋体" w:cs="宋体"/>
                <w:bCs/>
                <w:kern w:val="0"/>
                <w:sz w:val="24"/>
              </w:rPr>
              <w:t>主观评审</w:t>
            </w:r>
          </w:p>
        </w:tc>
      </w:tr>
      <w:tr w14:paraId="3765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63" w:type="pct"/>
            <w:vMerge w:val="continue"/>
            <w:vAlign w:val="center"/>
          </w:tcPr>
          <w:p w14:paraId="1C7E8423">
            <w:pPr>
              <w:adjustRightInd/>
              <w:spacing w:line="360" w:lineRule="exact"/>
              <w:jc w:val="center"/>
              <w:rPr>
                <w:rFonts w:hint="eastAsia" w:ascii="宋体" w:hAnsi="宋体" w:cs="宋体"/>
                <w:sz w:val="24"/>
              </w:rPr>
            </w:pPr>
          </w:p>
        </w:tc>
        <w:tc>
          <w:tcPr>
            <w:tcW w:w="577" w:type="pct"/>
            <w:vAlign w:val="center"/>
          </w:tcPr>
          <w:p w14:paraId="61BF6498">
            <w:pPr>
              <w:widowControl/>
              <w:adjustRightInd/>
              <w:spacing w:line="360" w:lineRule="exact"/>
              <w:jc w:val="center"/>
              <w:rPr>
                <w:rFonts w:hint="eastAsia" w:ascii="宋体" w:hAnsi="宋体" w:cs="宋体"/>
                <w:sz w:val="24"/>
              </w:rPr>
            </w:pPr>
            <w:r>
              <w:rPr>
                <w:rFonts w:hint="eastAsia" w:ascii="宋体" w:hAnsi="宋体" w:cs="宋体"/>
                <w:sz w:val="24"/>
              </w:rPr>
              <w:t>3、实施方案（5分）</w:t>
            </w:r>
          </w:p>
        </w:tc>
        <w:tc>
          <w:tcPr>
            <w:tcW w:w="3077" w:type="pct"/>
            <w:vAlign w:val="center"/>
          </w:tcPr>
          <w:p w14:paraId="41BA20B0">
            <w:pPr>
              <w:adjustRightInd/>
              <w:spacing w:line="360" w:lineRule="exact"/>
              <w:rPr>
                <w:rFonts w:hint="eastAsia" w:ascii="宋体" w:hAnsi="宋体" w:cs="宋体"/>
                <w:sz w:val="24"/>
              </w:rPr>
            </w:pPr>
            <w:r>
              <w:rPr>
                <w:rFonts w:hint="eastAsia" w:ascii="宋体" w:hAnsi="宋体" w:cs="宋体"/>
                <w:sz w:val="24"/>
              </w:rPr>
              <w:t>根据供应商提供的项目实施方案进行评议，包括但不限于对各学校实施需求的理解，项目实施规划和施工组织方案、测试计划、竣工验收方案等。</w:t>
            </w:r>
          </w:p>
          <w:p w14:paraId="73C3DAAF">
            <w:pPr>
              <w:adjustRightInd/>
              <w:spacing w:line="360" w:lineRule="exact"/>
              <w:rPr>
                <w:rFonts w:hint="eastAsia" w:ascii="宋体" w:hAnsi="宋体" w:cs="宋体"/>
                <w:sz w:val="24"/>
              </w:rPr>
            </w:pPr>
            <w:r>
              <w:rPr>
                <w:rFonts w:hint="eastAsia" w:ascii="宋体" w:hAnsi="宋体" w:cs="宋体"/>
                <w:sz w:val="24"/>
              </w:rPr>
              <w:t>1）实施方案完全满足招标文件要求，实施规划和施工组织方案切合实际，供货保障流程合理且供货流程要点明确，测试计划、竣工验收方案步骤清晰，能提供有针对性的服务措施的得5分；</w:t>
            </w:r>
            <w:r>
              <w:rPr>
                <w:rFonts w:hint="eastAsia" w:ascii="宋体" w:hAnsi="宋体" w:cs="宋体"/>
                <w:sz w:val="24"/>
              </w:rPr>
              <w:br w:type="textWrapping"/>
            </w:r>
            <w:r>
              <w:rPr>
                <w:rFonts w:hint="eastAsia" w:ascii="宋体" w:hAnsi="宋体" w:cs="宋体"/>
                <w:sz w:val="24"/>
              </w:rPr>
              <w:t>2）实施方案满足招标文件要求，实施规划和施工组织方案较切合实际，供货保障流程合理且供货流程要点较明确，测试计划、竣工验收方案步骤较清晰，能提供比较有针对性的服务措施的得4分；</w:t>
            </w:r>
          </w:p>
          <w:p w14:paraId="7BB7D18A">
            <w:pPr>
              <w:adjustRightInd/>
              <w:spacing w:line="360" w:lineRule="exact"/>
              <w:rPr>
                <w:rFonts w:hint="eastAsia" w:ascii="宋体" w:hAnsi="宋体" w:cs="宋体"/>
                <w:sz w:val="24"/>
              </w:rPr>
            </w:pPr>
            <w:r>
              <w:rPr>
                <w:rFonts w:hint="eastAsia" w:ascii="宋体" w:hAnsi="宋体" w:cs="宋体"/>
                <w:sz w:val="24"/>
              </w:rPr>
              <w:t>3）方案内容符合本项目的实施要求，实行上基本合理可行的得3分；</w:t>
            </w:r>
          </w:p>
          <w:p w14:paraId="7F6CE017">
            <w:pPr>
              <w:adjustRightInd/>
              <w:spacing w:line="360" w:lineRule="exact"/>
              <w:rPr>
                <w:rFonts w:hint="eastAsia" w:ascii="宋体" w:hAnsi="宋体" w:cs="宋体"/>
                <w:sz w:val="24"/>
              </w:rPr>
            </w:pPr>
            <w:r>
              <w:rPr>
                <w:rFonts w:hint="eastAsia" w:ascii="宋体" w:hAnsi="宋体" w:cs="宋体"/>
                <w:sz w:val="24"/>
              </w:rPr>
              <w:t>4）方案内容基本符合本项目的实施要求，但是实行上有欠缺的得2分；</w:t>
            </w:r>
          </w:p>
          <w:p w14:paraId="77087C1D">
            <w:pPr>
              <w:adjustRightInd/>
              <w:spacing w:line="360" w:lineRule="exact"/>
              <w:rPr>
                <w:rFonts w:hint="eastAsia" w:ascii="宋体" w:hAnsi="宋体" w:cs="宋体"/>
                <w:sz w:val="24"/>
              </w:rPr>
            </w:pPr>
            <w:r>
              <w:rPr>
                <w:rFonts w:hint="eastAsia" w:ascii="宋体" w:hAnsi="宋体" w:cs="宋体"/>
                <w:sz w:val="24"/>
              </w:rPr>
              <w:t>5）方案内容不完整，内容不充分，与本项目实施要求有差距的得1分；</w:t>
            </w:r>
          </w:p>
          <w:p w14:paraId="6CF6C167">
            <w:pPr>
              <w:adjustRightInd/>
              <w:spacing w:line="360" w:lineRule="exact"/>
              <w:rPr>
                <w:rFonts w:hint="eastAsia" w:ascii="宋体" w:hAnsi="宋体" w:cs="宋体"/>
                <w:sz w:val="24"/>
              </w:rPr>
            </w:pPr>
            <w:r>
              <w:rPr>
                <w:rFonts w:hint="eastAsia" w:ascii="宋体" w:hAnsi="宋体" w:cs="宋体"/>
                <w:sz w:val="24"/>
              </w:rPr>
              <w:t>6）未提供相关内容的不得分。</w:t>
            </w:r>
          </w:p>
        </w:tc>
        <w:tc>
          <w:tcPr>
            <w:tcW w:w="400" w:type="pct"/>
            <w:vAlign w:val="center"/>
          </w:tcPr>
          <w:p w14:paraId="2C22A5B4">
            <w:pPr>
              <w:adjustRightInd/>
              <w:spacing w:line="360" w:lineRule="exact"/>
              <w:jc w:val="center"/>
              <w:rPr>
                <w:rFonts w:hint="eastAsia" w:ascii="宋体" w:hAnsi="宋体" w:cs="宋体"/>
                <w:sz w:val="24"/>
              </w:rPr>
            </w:pPr>
            <w:r>
              <w:rPr>
                <w:rFonts w:hint="eastAsia" w:ascii="宋体" w:hAnsi="宋体" w:cs="宋体"/>
                <w:sz w:val="24"/>
              </w:rPr>
              <w:t>5</w:t>
            </w:r>
          </w:p>
        </w:tc>
        <w:tc>
          <w:tcPr>
            <w:tcW w:w="480" w:type="pct"/>
            <w:vAlign w:val="center"/>
          </w:tcPr>
          <w:p w14:paraId="1A59929F">
            <w:pPr>
              <w:adjustRightInd/>
              <w:spacing w:line="360" w:lineRule="exact"/>
              <w:jc w:val="center"/>
              <w:rPr>
                <w:rFonts w:hint="eastAsia" w:ascii="宋体" w:hAnsi="宋体" w:cs="宋体"/>
                <w:bCs/>
                <w:kern w:val="0"/>
                <w:sz w:val="24"/>
              </w:rPr>
            </w:pPr>
            <w:r>
              <w:rPr>
                <w:rFonts w:hint="eastAsia" w:ascii="宋体" w:hAnsi="宋体" w:cs="宋体"/>
                <w:bCs/>
                <w:kern w:val="0"/>
                <w:sz w:val="24"/>
              </w:rPr>
              <w:t>主观评审</w:t>
            </w:r>
          </w:p>
        </w:tc>
      </w:tr>
      <w:tr w14:paraId="3F33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63" w:type="pct"/>
            <w:vMerge w:val="continue"/>
            <w:vAlign w:val="center"/>
          </w:tcPr>
          <w:p w14:paraId="1AEAC2E1">
            <w:pPr>
              <w:adjustRightInd/>
              <w:spacing w:line="360" w:lineRule="exact"/>
              <w:jc w:val="center"/>
              <w:rPr>
                <w:rFonts w:hint="eastAsia" w:ascii="宋体" w:hAnsi="宋体" w:cs="宋体"/>
                <w:sz w:val="24"/>
              </w:rPr>
            </w:pPr>
          </w:p>
        </w:tc>
        <w:tc>
          <w:tcPr>
            <w:tcW w:w="577" w:type="pct"/>
            <w:vAlign w:val="center"/>
          </w:tcPr>
          <w:p w14:paraId="4E107DF1">
            <w:pPr>
              <w:widowControl/>
              <w:adjustRightInd/>
              <w:spacing w:line="360" w:lineRule="exact"/>
              <w:jc w:val="center"/>
              <w:rPr>
                <w:rFonts w:hint="eastAsia" w:ascii="宋体" w:hAnsi="宋体" w:cs="宋体"/>
                <w:sz w:val="24"/>
              </w:rPr>
            </w:pPr>
            <w:r>
              <w:rPr>
                <w:rFonts w:hint="eastAsia" w:ascii="宋体" w:hAnsi="宋体" w:cs="宋体"/>
                <w:sz w:val="24"/>
              </w:rPr>
              <w:t>4、培训计划</w:t>
            </w:r>
          </w:p>
          <w:p w14:paraId="43566384">
            <w:pPr>
              <w:widowControl/>
              <w:adjustRightInd/>
              <w:spacing w:line="360" w:lineRule="exact"/>
              <w:jc w:val="center"/>
              <w:rPr>
                <w:rFonts w:hint="eastAsia" w:ascii="宋体" w:hAnsi="宋体" w:cs="宋体"/>
                <w:sz w:val="24"/>
              </w:rPr>
            </w:pPr>
            <w:r>
              <w:rPr>
                <w:rFonts w:hint="eastAsia" w:ascii="宋体" w:hAnsi="宋体" w:cs="宋体"/>
                <w:sz w:val="24"/>
              </w:rPr>
              <w:t>（5分）</w:t>
            </w:r>
          </w:p>
        </w:tc>
        <w:tc>
          <w:tcPr>
            <w:tcW w:w="3077" w:type="pct"/>
            <w:vAlign w:val="center"/>
          </w:tcPr>
          <w:p w14:paraId="2432F9BB">
            <w:pPr>
              <w:adjustRightInd/>
              <w:spacing w:line="360" w:lineRule="exact"/>
              <w:rPr>
                <w:rFonts w:hint="eastAsia" w:ascii="宋体" w:hAnsi="宋体" w:cs="宋体"/>
                <w:sz w:val="24"/>
              </w:rPr>
            </w:pPr>
            <w:r>
              <w:rPr>
                <w:rFonts w:hint="eastAsia" w:ascii="宋体" w:hAnsi="宋体" w:cs="宋体"/>
                <w:sz w:val="24"/>
              </w:rPr>
              <w:t>根据供应商提供的针对使用单位人员的培训方案、培训计划等进行评议。</w:t>
            </w:r>
          </w:p>
          <w:p w14:paraId="14CAF8C3">
            <w:pPr>
              <w:adjustRightInd/>
              <w:spacing w:line="360" w:lineRule="exact"/>
              <w:rPr>
                <w:rFonts w:hint="eastAsia" w:ascii="宋体" w:hAnsi="宋体" w:cs="宋体"/>
                <w:sz w:val="24"/>
              </w:rPr>
            </w:pPr>
            <w:r>
              <w:rPr>
                <w:rFonts w:hint="eastAsia" w:ascii="宋体" w:hAnsi="宋体" w:cs="宋体"/>
                <w:sz w:val="24"/>
              </w:rPr>
              <w:t>1）人员培训方案与采购人实际相结合，培训时间安排合理，培训内容符合货物使用要求，培训次数能确保设备实际使用人灵活使用且场地安排合理的得5分；</w:t>
            </w:r>
          </w:p>
          <w:p w14:paraId="4F09FB20">
            <w:pPr>
              <w:adjustRightInd/>
              <w:spacing w:line="360" w:lineRule="exact"/>
              <w:rPr>
                <w:rFonts w:hint="eastAsia" w:ascii="宋体" w:hAnsi="宋体" w:cs="宋体"/>
                <w:sz w:val="24"/>
              </w:rPr>
            </w:pPr>
            <w:r>
              <w:rPr>
                <w:rFonts w:hint="eastAsia" w:ascii="宋体" w:hAnsi="宋体" w:cs="宋体"/>
                <w:sz w:val="24"/>
              </w:rPr>
              <w:t>2）人员培训方案与采购人实际相结合，培训时间安排较合理，培训内容较符合货物使用要求，培训次数能确保设备实际使用人灵活使用且场地安排较合理的得4分；</w:t>
            </w:r>
          </w:p>
          <w:p w14:paraId="71BD6E5A">
            <w:pPr>
              <w:adjustRightInd/>
              <w:spacing w:line="360" w:lineRule="exact"/>
              <w:rPr>
                <w:rFonts w:hint="eastAsia" w:ascii="宋体" w:hAnsi="宋体" w:cs="宋体"/>
                <w:sz w:val="24"/>
              </w:rPr>
            </w:pPr>
            <w:r>
              <w:rPr>
                <w:rFonts w:hint="eastAsia" w:ascii="宋体" w:hAnsi="宋体" w:cs="宋体"/>
                <w:sz w:val="24"/>
              </w:rPr>
              <w:t>3）人员培训方案时间安排基本合理，培训内容基本符合货物使用要求，培训次数基本能确保设备实际使用人操作的得3分；</w:t>
            </w:r>
          </w:p>
          <w:p w14:paraId="30FEB739">
            <w:pPr>
              <w:adjustRightInd/>
              <w:spacing w:line="360" w:lineRule="exact"/>
              <w:rPr>
                <w:rFonts w:hint="eastAsia" w:ascii="宋体" w:hAnsi="宋体" w:cs="宋体"/>
                <w:sz w:val="24"/>
              </w:rPr>
            </w:pPr>
            <w:r>
              <w:rPr>
                <w:rFonts w:hint="eastAsia" w:ascii="宋体" w:hAnsi="宋体" w:cs="宋体"/>
                <w:sz w:val="24"/>
              </w:rPr>
              <w:t>4）人员培训方案不够符合采购需求，培训内容缺少针对性内容的得2分；</w:t>
            </w:r>
          </w:p>
          <w:p w14:paraId="702210BE">
            <w:pPr>
              <w:adjustRightInd/>
              <w:spacing w:line="360" w:lineRule="exact"/>
              <w:rPr>
                <w:rFonts w:hint="eastAsia" w:ascii="宋体" w:hAnsi="宋体" w:cs="宋体"/>
                <w:sz w:val="24"/>
              </w:rPr>
            </w:pPr>
            <w:r>
              <w:rPr>
                <w:rFonts w:hint="eastAsia" w:ascii="宋体" w:hAnsi="宋体" w:cs="宋体"/>
                <w:sz w:val="24"/>
              </w:rPr>
              <w:t>5）人员培训方案没有结合采购需求，培训内容敷衍，没有相应培训场地且培训时间不合理的得1分；</w:t>
            </w:r>
          </w:p>
          <w:p w14:paraId="0F10FD01">
            <w:pPr>
              <w:adjustRightInd/>
              <w:spacing w:line="360" w:lineRule="exact"/>
              <w:rPr>
                <w:rFonts w:hint="eastAsia" w:ascii="宋体" w:hAnsi="宋体" w:cs="宋体"/>
                <w:sz w:val="24"/>
              </w:rPr>
            </w:pPr>
            <w:r>
              <w:rPr>
                <w:rFonts w:hint="eastAsia" w:ascii="宋体" w:hAnsi="宋体" w:cs="宋体"/>
                <w:sz w:val="24"/>
              </w:rPr>
              <w:t>6）未提供相关内容的不得分。</w:t>
            </w:r>
          </w:p>
        </w:tc>
        <w:tc>
          <w:tcPr>
            <w:tcW w:w="400" w:type="pct"/>
            <w:vAlign w:val="center"/>
          </w:tcPr>
          <w:p w14:paraId="04F4987F">
            <w:pPr>
              <w:adjustRightInd/>
              <w:spacing w:line="360" w:lineRule="exact"/>
              <w:jc w:val="center"/>
              <w:rPr>
                <w:rFonts w:hint="eastAsia" w:ascii="宋体" w:hAnsi="宋体" w:cs="宋体"/>
                <w:sz w:val="24"/>
              </w:rPr>
            </w:pPr>
            <w:r>
              <w:rPr>
                <w:rFonts w:hint="eastAsia" w:ascii="宋体" w:hAnsi="宋体" w:cs="宋体"/>
                <w:sz w:val="24"/>
              </w:rPr>
              <w:t>5</w:t>
            </w:r>
          </w:p>
        </w:tc>
        <w:tc>
          <w:tcPr>
            <w:tcW w:w="480" w:type="pct"/>
            <w:vAlign w:val="center"/>
          </w:tcPr>
          <w:p w14:paraId="1ADBFE8D">
            <w:pPr>
              <w:adjustRightInd/>
              <w:spacing w:line="360" w:lineRule="exact"/>
              <w:jc w:val="center"/>
              <w:rPr>
                <w:rFonts w:hint="eastAsia" w:ascii="宋体" w:hAnsi="宋体" w:cs="宋体"/>
                <w:bCs/>
                <w:kern w:val="0"/>
                <w:sz w:val="24"/>
              </w:rPr>
            </w:pPr>
            <w:r>
              <w:rPr>
                <w:rFonts w:hint="eastAsia" w:ascii="宋体" w:hAnsi="宋体" w:cs="宋体"/>
                <w:bCs/>
                <w:kern w:val="0"/>
                <w:sz w:val="24"/>
              </w:rPr>
              <w:t>主观评审</w:t>
            </w:r>
          </w:p>
        </w:tc>
      </w:tr>
      <w:tr w14:paraId="767B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63" w:type="pct"/>
            <w:vMerge w:val="continue"/>
            <w:vAlign w:val="center"/>
          </w:tcPr>
          <w:p w14:paraId="2E2AE173">
            <w:pPr>
              <w:adjustRightInd/>
              <w:spacing w:line="360" w:lineRule="exact"/>
              <w:jc w:val="center"/>
              <w:rPr>
                <w:rFonts w:hint="eastAsia" w:ascii="宋体" w:hAnsi="宋体" w:cs="宋体"/>
                <w:sz w:val="24"/>
              </w:rPr>
            </w:pPr>
          </w:p>
        </w:tc>
        <w:tc>
          <w:tcPr>
            <w:tcW w:w="577" w:type="pct"/>
            <w:vAlign w:val="center"/>
          </w:tcPr>
          <w:p w14:paraId="05E7347A">
            <w:pPr>
              <w:widowControl/>
              <w:adjustRightInd/>
              <w:spacing w:line="360" w:lineRule="exact"/>
              <w:jc w:val="center"/>
              <w:rPr>
                <w:rFonts w:hint="eastAsia" w:ascii="宋体" w:hAnsi="宋体" w:cs="宋体"/>
                <w:sz w:val="24"/>
              </w:rPr>
            </w:pPr>
            <w:r>
              <w:rPr>
                <w:rFonts w:hint="eastAsia" w:ascii="宋体" w:hAnsi="宋体" w:cs="宋体"/>
                <w:sz w:val="24"/>
              </w:rPr>
              <w:t>5、综合服务能力（5分）</w:t>
            </w:r>
          </w:p>
        </w:tc>
        <w:tc>
          <w:tcPr>
            <w:tcW w:w="3077" w:type="pct"/>
            <w:vAlign w:val="center"/>
          </w:tcPr>
          <w:p w14:paraId="6E165E04">
            <w:pPr>
              <w:adjustRightInd/>
              <w:spacing w:line="360" w:lineRule="exact"/>
              <w:rPr>
                <w:rFonts w:hint="eastAsia" w:ascii="宋体" w:hAnsi="宋体" w:cs="宋体"/>
                <w:sz w:val="24"/>
              </w:rPr>
            </w:pPr>
            <w:r>
              <w:rPr>
                <w:rFonts w:hint="eastAsia" w:ascii="宋体" w:hAnsi="宋体" w:cs="宋体"/>
                <w:sz w:val="24"/>
              </w:rPr>
              <w:t>根据供应商提供服务管理体系、信息系统建设和服务能力、质量保证措施进行评议。</w:t>
            </w:r>
          </w:p>
          <w:p w14:paraId="378E8431">
            <w:pPr>
              <w:adjustRightInd/>
              <w:spacing w:line="360" w:lineRule="exact"/>
              <w:rPr>
                <w:rFonts w:hint="eastAsia" w:ascii="宋体" w:hAnsi="宋体" w:cs="宋体"/>
                <w:sz w:val="24"/>
              </w:rPr>
            </w:pPr>
            <w:r>
              <w:rPr>
                <w:rFonts w:hint="eastAsia" w:ascii="宋体" w:hAnsi="宋体" w:cs="宋体"/>
                <w:sz w:val="24"/>
              </w:rPr>
              <w:t>1）供应商或所供产品制造商综合实力及专业能力强，体系完备、信息系统建设和服务能力强的得5分；</w:t>
            </w:r>
          </w:p>
          <w:p w14:paraId="6714586B">
            <w:pPr>
              <w:adjustRightInd/>
              <w:spacing w:line="360" w:lineRule="exact"/>
              <w:rPr>
                <w:rFonts w:hint="eastAsia" w:ascii="宋体" w:hAnsi="宋体" w:cs="宋体"/>
                <w:sz w:val="24"/>
              </w:rPr>
            </w:pPr>
            <w:r>
              <w:rPr>
                <w:rFonts w:hint="eastAsia" w:ascii="宋体" w:hAnsi="宋体" w:cs="宋体"/>
                <w:sz w:val="24"/>
              </w:rPr>
              <w:t>2）供应商或所供产品制造商综合实力及专业能力较强，体系较完备、信息系统建设和服务能力较强的得4分；</w:t>
            </w:r>
          </w:p>
          <w:p w14:paraId="369BB6D5">
            <w:pPr>
              <w:adjustRightInd/>
              <w:spacing w:line="360" w:lineRule="exact"/>
              <w:rPr>
                <w:rFonts w:hint="eastAsia" w:ascii="宋体" w:hAnsi="宋体" w:cs="宋体"/>
                <w:sz w:val="24"/>
              </w:rPr>
            </w:pPr>
            <w:r>
              <w:rPr>
                <w:rFonts w:hint="eastAsia" w:ascii="宋体" w:hAnsi="宋体" w:cs="宋体"/>
                <w:sz w:val="24"/>
              </w:rPr>
              <w:t>3）供应商或所供产品制造商综合实力及专业能力一般，体系、信息系统建设和服务能力一般的得3分；</w:t>
            </w:r>
          </w:p>
          <w:p w14:paraId="7AB707E2">
            <w:pPr>
              <w:adjustRightInd/>
              <w:spacing w:line="360" w:lineRule="exact"/>
              <w:rPr>
                <w:rFonts w:hint="eastAsia" w:ascii="宋体" w:hAnsi="宋体" w:cs="宋体"/>
                <w:sz w:val="24"/>
              </w:rPr>
            </w:pPr>
            <w:r>
              <w:rPr>
                <w:rFonts w:hint="eastAsia" w:ascii="宋体" w:hAnsi="宋体" w:cs="宋体"/>
                <w:sz w:val="24"/>
              </w:rPr>
              <w:t>4）供应商或所供产品制造商综合实力及专业能力较差，体系、信息系统建设和服务能力较欠缺的得2分；</w:t>
            </w:r>
          </w:p>
          <w:p w14:paraId="1235FDFE">
            <w:pPr>
              <w:adjustRightInd/>
              <w:spacing w:line="360" w:lineRule="exact"/>
              <w:rPr>
                <w:rFonts w:hint="eastAsia" w:ascii="宋体" w:hAnsi="宋体" w:cs="宋体"/>
                <w:sz w:val="24"/>
              </w:rPr>
            </w:pPr>
            <w:r>
              <w:rPr>
                <w:rFonts w:hint="eastAsia" w:ascii="宋体" w:hAnsi="宋体" w:cs="宋体"/>
                <w:sz w:val="24"/>
              </w:rPr>
              <w:t>5）供应商或所供产品制造商综合实力及专业能力差，体系、信息系统建设和服务能力弱的得1分；</w:t>
            </w:r>
          </w:p>
          <w:p w14:paraId="368D9678">
            <w:pPr>
              <w:adjustRightInd/>
              <w:spacing w:line="360" w:lineRule="exact"/>
              <w:rPr>
                <w:rFonts w:hint="eastAsia" w:ascii="宋体" w:hAnsi="宋体" w:cs="宋体"/>
                <w:sz w:val="24"/>
              </w:rPr>
            </w:pPr>
            <w:r>
              <w:rPr>
                <w:rFonts w:hint="eastAsia" w:ascii="宋体" w:hAnsi="宋体" w:cs="宋体"/>
                <w:sz w:val="24"/>
              </w:rPr>
              <w:t>6）未提供相关内容的不得分。</w:t>
            </w:r>
          </w:p>
          <w:p w14:paraId="5E2178E1">
            <w:pPr>
              <w:adjustRightInd/>
              <w:spacing w:line="360" w:lineRule="exact"/>
              <w:rPr>
                <w:rFonts w:hint="eastAsia" w:ascii="宋体" w:hAnsi="宋体" w:cs="宋体"/>
                <w:sz w:val="24"/>
              </w:rPr>
            </w:pPr>
            <w:r>
              <w:rPr>
                <w:rFonts w:hint="eastAsia" w:ascii="宋体" w:hAnsi="宋体" w:cs="宋体"/>
                <w:b/>
                <w:bCs/>
                <w:sz w:val="24"/>
              </w:rPr>
              <w:t>注：供应商需提供相关能力证明材料，未提供证明材料仅进行文字说明的最多得1分。</w:t>
            </w:r>
          </w:p>
        </w:tc>
        <w:tc>
          <w:tcPr>
            <w:tcW w:w="400" w:type="pct"/>
            <w:vAlign w:val="center"/>
          </w:tcPr>
          <w:p w14:paraId="304A7AF9">
            <w:pPr>
              <w:adjustRightInd/>
              <w:spacing w:line="360" w:lineRule="exact"/>
              <w:jc w:val="center"/>
              <w:rPr>
                <w:rFonts w:hint="eastAsia" w:ascii="宋体" w:hAnsi="宋体" w:cs="宋体"/>
                <w:sz w:val="24"/>
              </w:rPr>
            </w:pPr>
            <w:r>
              <w:rPr>
                <w:rFonts w:hint="eastAsia" w:ascii="宋体" w:hAnsi="宋体" w:cs="宋体"/>
                <w:sz w:val="24"/>
              </w:rPr>
              <w:t>5</w:t>
            </w:r>
          </w:p>
        </w:tc>
        <w:tc>
          <w:tcPr>
            <w:tcW w:w="480" w:type="pct"/>
            <w:vAlign w:val="center"/>
          </w:tcPr>
          <w:p w14:paraId="13310D20">
            <w:pPr>
              <w:adjustRightInd/>
              <w:spacing w:line="360" w:lineRule="exact"/>
              <w:jc w:val="center"/>
              <w:rPr>
                <w:rFonts w:hint="eastAsia" w:ascii="宋体" w:hAnsi="宋体" w:cs="宋体"/>
                <w:bCs/>
                <w:kern w:val="0"/>
                <w:sz w:val="24"/>
              </w:rPr>
            </w:pPr>
            <w:r>
              <w:rPr>
                <w:rFonts w:hint="eastAsia" w:ascii="宋体" w:hAnsi="宋体" w:cs="宋体"/>
                <w:bCs/>
                <w:kern w:val="0"/>
                <w:sz w:val="24"/>
              </w:rPr>
              <w:t>主观评审</w:t>
            </w:r>
          </w:p>
        </w:tc>
      </w:tr>
      <w:tr w14:paraId="407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3" w:type="pct"/>
            <w:vMerge w:val="continue"/>
            <w:vAlign w:val="center"/>
          </w:tcPr>
          <w:p w14:paraId="34B4B3C6">
            <w:pPr>
              <w:adjustRightInd/>
              <w:spacing w:line="360" w:lineRule="exact"/>
              <w:jc w:val="center"/>
              <w:rPr>
                <w:rFonts w:hint="eastAsia" w:ascii="宋体" w:hAnsi="宋体" w:cs="宋体"/>
                <w:sz w:val="24"/>
              </w:rPr>
            </w:pPr>
          </w:p>
        </w:tc>
        <w:tc>
          <w:tcPr>
            <w:tcW w:w="577" w:type="pct"/>
            <w:vMerge w:val="restart"/>
            <w:vAlign w:val="center"/>
          </w:tcPr>
          <w:p w14:paraId="2BEB2801">
            <w:pPr>
              <w:adjustRightInd/>
              <w:spacing w:line="360" w:lineRule="exact"/>
              <w:rPr>
                <w:rFonts w:hint="eastAsia" w:ascii="宋体" w:hAnsi="宋体" w:cs="宋体"/>
                <w:sz w:val="24"/>
              </w:rPr>
            </w:pPr>
            <w:r>
              <w:rPr>
                <w:rFonts w:hint="eastAsia" w:ascii="宋体" w:hAnsi="宋体" w:cs="宋体"/>
                <w:sz w:val="24"/>
              </w:rPr>
              <w:t>6、售后服务能力（8分）</w:t>
            </w:r>
          </w:p>
        </w:tc>
        <w:tc>
          <w:tcPr>
            <w:tcW w:w="3077" w:type="pct"/>
            <w:vAlign w:val="center"/>
          </w:tcPr>
          <w:p w14:paraId="7BAE8FC8">
            <w:pPr>
              <w:adjustRightInd/>
              <w:spacing w:line="360" w:lineRule="exact"/>
              <w:rPr>
                <w:rFonts w:hint="eastAsia" w:ascii="宋体" w:hAnsi="宋体" w:cs="宋体"/>
                <w:sz w:val="24"/>
              </w:rPr>
            </w:pPr>
            <w:r>
              <w:rPr>
                <w:rFonts w:hint="eastAsia" w:ascii="宋体" w:hAnsi="宋体" w:cs="宋体"/>
                <w:sz w:val="24"/>
              </w:rPr>
              <w:t>6.1根据供应商的售后方案，需包含但不限于以下要点：①售后服务团队人员；②售后服务机构情况；③技术支持的力度、响应及时程度；④售后服务承诺、解决问题的能力；⑤其他优惠承诺及措施等方面进行评议：</w:t>
            </w:r>
          </w:p>
          <w:p w14:paraId="2BD0B4DB">
            <w:pPr>
              <w:adjustRightInd/>
              <w:spacing w:line="360" w:lineRule="exact"/>
              <w:rPr>
                <w:rFonts w:hint="eastAsia" w:ascii="宋体" w:hAnsi="宋体" w:cs="宋体"/>
                <w:sz w:val="24"/>
              </w:rPr>
            </w:pPr>
            <w:r>
              <w:rPr>
                <w:rFonts w:hint="eastAsia" w:ascii="宋体" w:hAnsi="宋体" w:cs="宋体"/>
                <w:sz w:val="24"/>
              </w:rPr>
              <w:t>1）服务流程规范、售后服务体系健全、售后服务内容满足服务要求，方案完整、合理、可行性强的得5分。</w:t>
            </w:r>
          </w:p>
          <w:p w14:paraId="4EEE86BC">
            <w:pPr>
              <w:adjustRightInd/>
              <w:spacing w:line="360" w:lineRule="exact"/>
              <w:rPr>
                <w:rFonts w:hint="eastAsia" w:ascii="宋体" w:hAnsi="宋体" w:cs="宋体"/>
                <w:sz w:val="24"/>
              </w:rPr>
            </w:pPr>
            <w:r>
              <w:rPr>
                <w:rFonts w:hint="eastAsia" w:ascii="宋体" w:hAnsi="宋体" w:cs="宋体"/>
                <w:sz w:val="24"/>
              </w:rPr>
              <w:t>2）服务流程较规范、售后服务体系较健全、售后服务内容满足服务要求，方案较完整、可行性较强的得4分。</w:t>
            </w:r>
          </w:p>
          <w:p w14:paraId="70FB0160">
            <w:pPr>
              <w:adjustRightInd/>
              <w:spacing w:line="360" w:lineRule="exact"/>
              <w:rPr>
                <w:rFonts w:hint="eastAsia" w:ascii="宋体" w:hAnsi="宋体" w:cs="宋体"/>
                <w:sz w:val="24"/>
              </w:rPr>
            </w:pPr>
            <w:r>
              <w:rPr>
                <w:rFonts w:hint="eastAsia" w:ascii="宋体" w:hAnsi="宋体" w:cs="宋体"/>
                <w:sz w:val="24"/>
              </w:rPr>
              <w:t>3）服务流程规范性一般、有基本的售后服务体系、售后服务内容有欠缺，方案基本完整、有一定可行性的得3分。</w:t>
            </w:r>
          </w:p>
          <w:p w14:paraId="1964783D">
            <w:pPr>
              <w:adjustRightInd/>
              <w:spacing w:line="360" w:lineRule="exact"/>
              <w:rPr>
                <w:rFonts w:hint="eastAsia" w:ascii="宋体" w:hAnsi="宋体" w:cs="宋体"/>
                <w:sz w:val="24"/>
              </w:rPr>
            </w:pPr>
            <w:r>
              <w:rPr>
                <w:rFonts w:hint="eastAsia" w:ascii="宋体" w:hAnsi="宋体" w:cs="宋体"/>
                <w:sz w:val="24"/>
              </w:rPr>
              <w:t>4）服务流程规范较差、售后服务体系有一定欠缺、售后服务内容与服务要求有一定差距，与项目需要有一定差距的得2分。</w:t>
            </w:r>
          </w:p>
          <w:p w14:paraId="2A2F3B05">
            <w:pPr>
              <w:adjustRightInd/>
              <w:spacing w:line="360" w:lineRule="exact"/>
              <w:rPr>
                <w:rFonts w:hint="eastAsia" w:ascii="宋体" w:hAnsi="宋体" w:cs="宋体"/>
                <w:sz w:val="24"/>
              </w:rPr>
            </w:pPr>
            <w:r>
              <w:rPr>
                <w:rFonts w:hint="eastAsia" w:ascii="宋体" w:hAnsi="宋体" w:cs="宋体"/>
                <w:sz w:val="24"/>
              </w:rPr>
              <w:t>5）服务流程不规范、售后服务体系欠缺、售后服务内容与项目服务要求存在较大差距的得1分。</w:t>
            </w:r>
          </w:p>
          <w:p w14:paraId="2E2DDE53">
            <w:pPr>
              <w:adjustRightInd/>
              <w:spacing w:line="360" w:lineRule="exact"/>
              <w:rPr>
                <w:rFonts w:hint="eastAsia" w:ascii="宋体" w:hAnsi="宋体" w:cs="宋体"/>
                <w:sz w:val="24"/>
              </w:rPr>
            </w:pPr>
            <w:r>
              <w:rPr>
                <w:rFonts w:hint="eastAsia" w:ascii="宋体" w:hAnsi="宋体" w:cs="宋体"/>
                <w:sz w:val="24"/>
              </w:rPr>
              <w:t>6）未提供相关内容的不得分。</w:t>
            </w:r>
          </w:p>
        </w:tc>
        <w:tc>
          <w:tcPr>
            <w:tcW w:w="400" w:type="pct"/>
            <w:vAlign w:val="center"/>
          </w:tcPr>
          <w:p w14:paraId="2929F144">
            <w:pPr>
              <w:adjustRightInd/>
              <w:spacing w:line="360" w:lineRule="auto"/>
              <w:jc w:val="center"/>
              <w:rPr>
                <w:rFonts w:hint="eastAsia" w:ascii="宋体" w:hAnsi="宋体" w:cs="宋体"/>
                <w:sz w:val="24"/>
              </w:rPr>
            </w:pPr>
            <w:r>
              <w:rPr>
                <w:rFonts w:hint="eastAsia" w:ascii="宋体" w:hAnsi="宋体" w:cs="宋体"/>
                <w:sz w:val="24"/>
              </w:rPr>
              <w:t>5</w:t>
            </w:r>
          </w:p>
        </w:tc>
        <w:tc>
          <w:tcPr>
            <w:tcW w:w="480" w:type="pct"/>
            <w:vAlign w:val="center"/>
          </w:tcPr>
          <w:p w14:paraId="71E06D3A">
            <w:pPr>
              <w:adjustRightInd/>
              <w:spacing w:line="360" w:lineRule="exact"/>
              <w:jc w:val="center"/>
              <w:rPr>
                <w:rFonts w:hint="eastAsia" w:ascii="宋体" w:hAnsi="宋体" w:cs="宋体"/>
                <w:bCs/>
                <w:kern w:val="0"/>
                <w:sz w:val="24"/>
              </w:rPr>
            </w:pPr>
            <w:r>
              <w:rPr>
                <w:rFonts w:hint="eastAsia" w:ascii="宋体" w:hAnsi="宋体" w:cs="宋体"/>
                <w:bCs/>
                <w:kern w:val="0"/>
                <w:sz w:val="24"/>
              </w:rPr>
              <w:t>主观评审</w:t>
            </w:r>
          </w:p>
        </w:tc>
      </w:tr>
      <w:tr w14:paraId="02B0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63" w:type="pct"/>
            <w:vMerge w:val="continue"/>
            <w:vAlign w:val="center"/>
          </w:tcPr>
          <w:p w14:paraId="186F37F0">
            <w:pPr>
              <w:adjustRightInd/>
              <w:spacing w:line="360" w:lineRule="exact"/>
              <w:jc w:val="center"/>
              <w:rPr>
                <w:rFonts w:hint="eastAsia" w:ascii="宋体" w:hAnsi="宋体" w:cs="宋体"/>
                <w:sz w:val="24"/>
              </w:rPr>
            </w:pPr>
          </w:p>
        </w:tc>
        <w:tc>
          <w:tcPr>
            <w:tcW w:w="577" w:type="pct"/>
            <w:vMerge w:val="continue"/>
            <w:vAlign w:val="center"/>
          </w:tcPr>
          <w:p w14:paraId="7454F63F">
            <w:pPr>
              <w:adjustRightInd/>
              <w:spacing w:line="360" w:lineRule="auto"/>
              <w:jc w:val="left"/>
              <w:rPr>
                <w:rFonts w:hint="eastAsia" w:ascii="宋体" w:hAnsi="宋体" w:cs="宋体"/>
                <w:sz w:val="24"/>
              </w:rPr>
            </w:pPr>
          </w:p>
        </w:tc>
        <w:tc>
          <w:tcPr>
            <w:tcW w:w="3077" w:type="pct"/>
            <w:vAlign w:val="center"/>
          </w:tcPr>
          <w:p w14:paraId="215B2A58">
            <w:pPr>
              <w:adjustRightInd/>
              <w:spacing w:line="360" w:lineRule="exact"/>
              <w:rPr>
                <w:rFonts w:hint="eastAsia" w:ascii="宋体" w:hAnsi="宋体" w:cs="宋体"/>
                <w:sz w:val="24"/>
              </w:rPr>
            </w:pPr>
            <w:r>
              <w:rPr>
                <w:rFonts w:hint="eastAsia" w:ascii="宋体" w:hAnsi="宋体" w:cs="宋体"/>
                <w:sz w:val="24"/>
              </w:rPr>
              <w:t>6.2针对设备运行出现故障或意外情况导致不能正常运行时，供应商所提出的各项应急处理方案进行评议。</w:t>
            </w:r>
          </w:p>
          <w:p w14:paraId="43037D42">
            <w:pPr>
              <w:adjustRightInd/>
              <w:spacing w:line="360" w:lineRule="exact"/>
              <w:rPr>
                <w:rFonts w:hint="eastAsia" w:ascii="宋体" w:hAnsi="宋体" w:cs="宋体"/>
                <w:sz w:val="24"/>
              </w:rPr>
            </w:pPr>
            <w:r>
              <w:rPr>
                <w:rFonts w:hint="eastAsia" w:ascii="宋体" w:hAnsi="宋体" w:cs="宋体"/>
                <w:sz w:val="24"/>
              </w:rPr>
              <w:t>1）方案详细、措施合理可行的得3分；</w:t>
            </w:r>
          </w:p>
          <w:p w14:paraId="2245E993">
            <w:pPr>
              <w:adjustRightInd/>
              <w:spacing w:line="360" w:lineRule="exact"/>
              <w:rPr>
                <w:rFonts w:hint="eastAsia" w:ascii="宋体" w:hAnsi="宋体" w:cs="宋体"/>
                <w:sz w:val="24"/>
              </w:rPr>
            </w:pPr>
            <w:r>
              <w:rPr>
                <w:rFonts w:hint="eastAsia" w:ascii="宋体" w:hAnsi="宋体" w:cs="宋体"/>
                <w:sz w:val="24"/>
              </w:rPr>
              <w:t>2）方案较详细、措施较合理可行的得2分；</w:t>
            </w:r>
          </w:p>
          <w:p w14:paraId="48D80FD2">
            <w:pPr>
              <w:adjustRightInd/>
              <w:spacing w:line="360" w:lineRule="exact"/>
              <w:rPr>
                <w:rFonts w:hint="eastAsia" w:ascii="宋体" w:hAnsi="宋体" w:cs="宋体"/>
                <w:sz w:val="24"/>
              </w:rPr>
            </w:pPr>
            <w:r>
              <w:rPr>
                <w:rFonts w:hint="eastAsia" w:ascii="宋体" w:hAnsi="宋体" w:cs="宋体"/>
                <w:sz w:val="24"/>
              </w:rPr>
              <w:t>3）方案欠详细、措施欠合理可行的得1分；</w:t>
            </w:r>
          </w:p>
          <w:p w14:paraId="5F8376D9">
            <w:pPr>
              <w:adjustRightInd/>
              <w:spacing w:line="360" w:lineRule="exact"/>
              <w:rPr>
                <w:rFonts w:hint="eastAsia" w:ascii="宋体" w:hAnsi="宋体" w:cs="宋体"/>
                <w:sz w:val="24"/>
              </w:rPr>
            </w:pPr>
            <w:r>
              <w:rPr>
                <w:rFonts w:hint="eastAsia" w:ascii="宋体" w:hAnsi="宋体" w:cs="宋体"/>
                <w:sz w:val="24"/>
              </w:rPr>
              <w:t>4）未提供相关内容的不得分。</w:t>
            </w:r>
          </w:p>
        </w:tc>
        <w:tc>
          <w:tcPr>
            <w:tcW w:w="400" w:type="pct"/>
            <w:vAlign w:val="center"/>
          </w:tcPr>
          <w:p w14:paraId="5F00CD4F">
            <w:pPr>
              <w:adjustRightInd/>
              <w:spacing w:after="120" w:line="360" w:lineRule="auto"/>
              <w:jc w:val="center"/>
              <w:rPr>
                <w:rFonts w:hint="eastAsia" w:ascii="宋体" w:hAnsi="宋体" w:cs="宋体"/>
                <w:sz w:val="24"/>
              </w:rPr>
            </w:pPr>
            <w:r>
              <w:rPr>
                <w:rFonts w:hint="eastAsia" w:ascii="宋体" w:hAnsi="宋体" w:cs="宋体"/>
                <w:sz w:val="24"/>
              </w:rPr>
              <w:t>3</w:t>
            </w:r>
          </w:p>
        </w:tc>
        <w:tc>
          <w:tcPr>
            <w:tcW w:w="480" w:type="pct"/>
            <w:vAlign w:val="center"/>
          </w:tcPr>
          <w:p w14:paraId="61404914">
            <w:pPr>
              <w:adjustRightInd/>
              <w:spacing w:line="360" w:lineRule="exact"/>
              <w:jc w:val="center"/>
              <w:rPr>
                <w:rFonts w:hint="eastAsia" w:ascii="宋体" w:hAnsi="宋体" w:cs="宋体"/>
                <w:bCs/>
                <w:kern w:val="0"/>
                <w:sz w:val="24"/>
              </w:rPr>
            </w:pPr>
            <w:r>
              <w:rPr>
                <w:rFonts w:hint="eastAsia" w:ascii="宋体" w:hAnsi="宋体" w:cs="宋体"/>
                <w:bCs/>
                <w:kern w:val="0"/>
                <w:sz w:val="24"/>
              </w:rPr>
              <w:t>主观评审</w:t>
            </w:r>
          </w:p>
        </w:tc>
      </w:tr>
      <w:tr w14:paraId="3BA8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vAlign w:val="center"/>
          </w:tcPr>
          <w:p w14:paraId="404EACE3">
            <w:pPr>
              <w:adjustRightInd/>
              <w:spacing w:line="360" w:lineRule="exact"/>
              <w:jc w:val="center"/>
              <w:rPr>
                <w:rFonts w:hint="eastAsia" w:ascii="宋体" w:hAnsi="宋体" w:cs="宋体"/>
                <w:sz w:val="24"/>
              </w:rPr>
            </w:pPr>
          </w:p>
        </w:tc>
        <w:tc>
          <w:tcPr>
            <w:tcW w:w="577" w:type="pct"/>
            <w:vAlign w:val="center"/>
          </w:tcPr>
          <w:p w14:paraId="79E7D12F">
            <w:pPr>
              <w:adjustRightInd/>
              <w:spacing w:line="360" w:lineRule="exact"/>
              <w:rPr>
                <w:rFonts w:hint="eastAsia" w:ascii="宋体" w:hAnsi="宋体" w:cs="宋体"/>
                <w:sz w:val="24"/>
              </w:rPr>
            </w:pPr>
            <w:r>
              <w:rPr>
                <w:rFonts w:hint="eastAsia" w:ascii="宋体" w:hAnsi="宋体" w:cs="宋体"/>
                <w:sz w:val="24"/>
              </w:rPr>
              <w:t>7、业绩（2分）</w:t>
            </w:r>
          </w:p>
        </w:tc>
        <w:tc>
          <w:tcPr>
            <w:tcW w:w="3077" w:type="pct"/>
            <w:vAlign w:val="center"/>
          </w:tcPr>
          <w:p w14:paraId="021D3E2E">
            <w:pPr>
              <w:adjustRightInd/>
              <w:spacing w:line="360" w:lineRule="exact"/>
              <w:rPr>
                <w:rFonts w:hint="eastAsia" w:ascii="宋体" w:hAnsi="宋体" w:cs="宋体"/>
                <w:sz w:val="24"/>
              </w:rPr>
            </w:pPr>
            <w:r>
              <w:rPr>
                <w:rFonts w:hint="eastAsia" w:ascii="宋体" w:hAnsi="宋体" w:cs="宋体"/>
                <w:sz w:val="24"/>
              </w:rPr>
              <w:t>供应商自2021年1月1日（以合同签订时间为准）以来类似项目成功案例每提供一个得1分，最高2分（提供中标公示网站截图、合同、中标通知书加盖公章编入投标文件，未提供或提供不全的不得分）。</w:t>
            </w:r>
          </w:p>
        </w:tc>
        <w:tc>
          <w:tcPr>
            <w:tcW w:w="400" w:type="pct"/>
            <w:vAlign w:val="center"/>
          </w:tcPr>
          <w:p w14:paraId="300C9D86">
            <w:pPr>
              <w:adjustRightInd/>
              <w:spacing w:line="360" w:lineRule="exact"/>
              <w:jc w:val="center"/>
              <w:rPr>
                <w:rFonts w:hint="eastAsia" w:ascii="宋体" w:hAnsi="宋体" w:cs="宋体"/>
                <w:sz w:val="24"/>
              </w:rPr>
            </w:pPr>
            <w:r>
              <w:rPr>
                <w:rFonts w:hint="eastAsia" w:ascii="宋体" w:hAnsi="宋体" w:cs="宋体"/>
                <w:sz w:val="24"/>
              </w:rPr>
              <w:t>2</w:t>
            </w:r>
          </w:p>
        </w:tc>
        <w:tc>
          <w:tcPr>
            <w:tcW w:w="480" w:type="pct"/>
            <w:vAlign w:val="center"/>
          </w:tcPr>
          <w:p w14:paraId="2DBCC345">
            <w:pPr>
              <w:adjustRightInd/>
              <w:spacing w:line="360" w:lineRule="exact"/>
              <w:jc w:val="center"/>
              <w:rPr>
                <w:rFonts w:hint="eastAsia" w:ascii="宋体" w:hAnsi="宋体" w:cs="宋体"/>
                <w:bCs/>
                <w:kern w:val="0"/>
                <w:sz w:val="24"/>
              </w:rPr>
            </w:pPr>
            <w:r>
              <w:rPr>
                <w:rFonts w:hint="eastAsia" w:ascii="宋体" w:hAnsi="宋体" w:cs="宋体"/>
                <w:bCs/>
                <w:kern w:val="0"/>
                <w:sz w:val="24"/>
              </w:rPr>
              <w:t>客观评审</w:t>
            </w:r>
          </w:p>
        </w:tc>
      </w:tr>
      <w:tr w14:paraId="0A37E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3" w:type="pct"/>
            <w:vMerge w:val="continue"/>
            <w:vAlign w:val="center"/>
          </w:tcPr>
          <w:p w14:paraId="24427DD6">
            <w:pPr>
              <w:adjustRightInd/>
              <w:spacing w:line="360" w:lineRule="exact"/>
              <w:jc w:val="center"/>
              <w:rPr>
                <w:rFonts w:hint="eastAsia" w:ascii="宋体" w:hAnsi="宋体" w:cs="宋体"/>
                <w:sz w:val="24"/>
              </w:rPr>
            </w:pPr>
          </w:p>
        </w:tc>
        <w:tc>
          <w:tcPr>
            <w:tcW w:w="577" w:type="pct"/>
            <w:vAlign w:val="center"/>
          </w:tcPr>
          <w:p w14:paraId="5178210D">
            <w:pPr>
              <w:adjustRightInd/>
              <w:spacing w:line="360" w:lineRule="exact"/>
              <w:rPr>
                <w:rFonts w:hint="eastAsia" w:ascii="宋体" w:hAnsi="宋体" w:cs="宋体"/>
                <w:sz w:val="24"/>
              </w:rPr>
            </w:pPr>
            <w:r>
              <w:rPr>
                <w:rFonts w:hint="eastAsia" w:ascii="宋体" w:hAnsi="宋体" w:cs="宋体"/>
                <w:sz w:val="24"/>
              </w:rPr>
              <w:t>8、政策分（1分）</w:t>
            </w:r>
          </w:p>
        </w:tc>
        <w:tc>
          <w:tcPr>
            <w:tcW w:w="3077" w:type="pct"/>
            <w:vAlign w:val="center"/>
          </w:tcPr>
          <w:p w14:paraId="66E13823">
            <w:pPr>
              <w:adjustRightInd/>
              <w:spacing w:line="360" w:lineRule="exact"/>
              <w:rPr>
                <w:rFonts w:hint="eastAsia" w:ascii="宋体" w:hAnsi="宋体" w:cs="宋体"/>
                <w:sz w:val="24"/>
              </w:rPr>
            </w:pPr>
            <w:r>
              <w:rPr>
                <w:rFonts w:hint="eastAsia" w:ascii="宋体" w:hAnsi="宋体" w:cs="宋体"/>
                <w:sz w:val="24"/>
              </w:rPr>
              <w:t>投标产品全部属于《节能产品政府采购品目清单》范围的且具有国家确定的认证机构出具的、处于有效期之内的节能产品认证证书的得0.5分；</w:t>
            </w:r>
          </w:p>
          <w:p w14:paraId="3467DACD">
            <w:pPr>
              <w:adjustRightInd/>
              <w:spacing w:line="360" w:lineRule="exact"/>
              <w:rPr>
                <w:rFonts w:hint="eastAsia" w:ascii="宋体" w:hAnsi="宋体" w:cs="宋体"/>
                <w:sz w:val="24"/>
              </w:rPr>
            </w:pPr>
            <w:r>
              <w:rPr>
                <w:rFonts w:hint="eastAsia" w:ascii="宋体" w:hAnsi="宋体" w:cs="宋体"/>
                <w:sz w:val="24"/>
              </w:rPr>
              <w:t>投标产品全部属于《环境标志产品政府采购品目清单》范围的且具有国家确定的认证机构出具的、处于有效期之内的环境标志产品认证证书的得0.5分。</w:t>
            </w:r>
          </w:p>
          <w:p w14:paraId="09BBA204">
            <w:pPr>
              <w:adjustRightInd/>
              <w:spacing w:line="360" w:lineRule="exact"/>
              <w:rPr>
                <w:rFonts w:hint="eastAsia" w:ascii="宋体" w:hAnsi="宋体" w:cs="宋体"/>
                <w:sz w:val="24"/>
              </w:rPr>
            </w:pPr>
            <w:r>
              <w:rPr>
                <w:rFonts w:hint="eastAsia" w:ascii="宋体" w:hAnsi="宋体" w:cs="宋体"/>
                <w:sz w:val="24"/>
              </w:rPr>
              <w:t>注：投标文件中必须同时提供以下资料：</w:t>
            </w:r>
          </w:p>
          <w:p w14:paraId="700EF15B">
            <w:pPr>
              <w:adjustRightInd/>
              <w:spacing w:line="360" w:lineRule="exact"/>
              <w:rPr>
                <w:rFonts w:hint="eastAsia" w:ascii="宋体" w:hAnsi="宋体" w:cs="宋体"/>
                <w:sz w:val="24"/>
              </w:rPr>
            </w:pPr>
            <w:r>
              <w:rPr>
                <w:rFonts w:hint="eastAsia" w:ascii="宋体" w:hAnsi="宋体" w:cs="宋体"/>
                <w:sz w:val="24"/>
              </w:rPr>
              <w:t>（1）提供政府采购品目清单相关内容页（并对相关内容作圈记），采购品目清单详见《关于印发环境标志产品政府采购品目清单的通知》（财库〔2019〕18号）和《关于印发节能产品政府采购品目清单的通知》（财库〔2019〕19号）。</w:t>
            </w:r>
          </w:p>
          <w:p w14:paraId="4C104229">
            <w:pPr>
              <w:adjustRightInd/>
              <w:spacing w:line="360" w:lineRule="exact"/>
              <w:rPr>
                <w:rFonts w:hint="eastAsia" w:ascii="宋体" w:hAnsi="宋体" w:cs="宋体"/>
                <w:sz w:val="24"/>
              </w:rPr>
            </w:pPr>
            <w:r>
              <w:rPr>
                <w:rFonts w:hint="eastAsia" w:ascii="宋体" w:hAnsi="宋体" w:cs="宋体"/>
                <w:sz w:val="24"/>
              </w:rPr>
              <w:t>（2）《市场监管总局关于发布参与实施政府采购节能产品、环境标志产品认证机构名录的公告》中的认证机构出具的、处于有效期之内的节能产品/环境标志产品认证证书复印件并加盖公章。</w:t>
            </w:r>
          </w:p>
        </w:tc>
        <w:tc>
          <w:tcPr>
            <w:tcW w:w="400" w:type="pct"/>
            <w:vAlign w:val="center"/>
          </w:tcPr>
          <w:p w14:paraId="58FC369E">
            <w:pPr>
              <w:adjustRightInd/>
              <w:spacing w:line="360" w:lineRule="exact"/>
              <w:jc w:val="center"/>
              <w:rPr>
                <w:rFonts w:hint="eastAsia" w:ascii="宋体" w:hAnsi="宋体" w:cs="宋体"/>
                <w:sz w:val="24"/>
              </w:rPr>
            </w:pPr>
            <w:r>
              <w:rPr>
                <w:rFonts w:hint="eastAsia" w:ascii="宋体" w:hAnsi="宋体" w:cs="宋体"/>
                <w:sz w:val="24"/>
              </w:rPr>
              <w:t>1</w:t>
            </w:r>
          </w:p>
        </w:tc>
        <w:tc>
          <w:tcPr>
            <w:tcW w:w="480" w:type="pct"/>
            <w:vAlign w:val="center"/>
          </w:tcPr>
          <w:p w14:paraId="6AD3CC39">
            <w:pPr>
              <w:adjustRightInd/>
              <w:spacing w:line="360" w:lineRule="exact"/>
              <w:jc w:val="center"/>
              <w:rPr>
                <w:rFonts w:hint="eastAsia" w:ascii="宋体" w:hAnsi="宋体" w:cs="宋体"/>
                <w:bCs/>
                <w:kern w:val="0"/>
                <w:sz w:val="24"/>
              </w:rPr>
            </w:pPr>
            <w:r>
              <w:rPr>
                <w:rFonts w:hint="eastAsia" w:ascii="宋体" w:hAnsi="宋体" w:cs="宋体"/>
                <w:sz w:val="24"/>
              </w:rPr>
              <w:t>客观评审</w:t>
            </w:r>
          </w:p>
        </w:tc>
      </w:tr>
      <w:tr w14:paraId="39EC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8" w:type="pct"/>
            <w:gridSpan w:val="3"/>
            <w:vAlign w:val="center"/>
          </w:tcPr>
          <w:p w14:paraId="4A9A17F4">
            <w:pPr>
              <w:adjustRightInd/>
              <w:spacing w:line="360" w:lineRule="exact"/>
              <w:jc w:val="center"/>
              <w:rPr>
                <w:rFonts w:hint="eastAsia" w:ascii="宋体" w:hAnsi="宋体" w:cs="宋体"/>
                <w:sz w:val="24"/>
              </w:rPr>
            </w:pPr>
            <w:r>
              <w:rPr>
                <w:rFonts w:hint="eastAsia" w:ascii="宋体" w:hAnsi="宋体" w:cs="宋体"/>
                <w:sz w:val="24"/>
              </w:rPr>
              <w:t>总分</w:t>
            </w:r>
          </w:p>
        </w:tc>
        <w:tc>
          <w:tcPr>
            <w:tcW w:w="400" w:type="pct"/>
            <w:vAlign w:val="center"/>
          </w:tcPr>
          <w:p w14:paraId="0D874F2F">
            <w:pPr>
              <w:adjustRightInd/>
              <w:spacing w:line="360" w:lineRule="exact"/>
              <w:jc w:val="center"/>
              <w:rPr>
                <w:rFonts w:hint="eastAsia" w:ascii="宋体" w:hAnsi="宋体" w:cs="宋体"/>
                <w:sz w:val="24"/>
              </w:rPr>
            </w:pPr>
            <w:r>
              <w:rPr>
                <w:rFonts w:hint="eastAsia" w:ascii="宋体" w:hAnsi="宋体" w:cs="宋体"/>
                <w:sz w:val="24"/>
              </w:rPr>
              <w:t>100</w:t>
            </w:r>
          </w:p>
        </w:tc>
        <w:tc>
          <w:tcPr>
            <w:tcW w:w="480" w:type="pct"/>
            <w:vAlign w:val="center"/>
          </w:tcPr>
          <w:p w14:paraId="04DDC1CC">
            <w:pPr>
              <w:adjustRightInd/>
              <w:spacing w:line="360" w:lineRule="exact"/>
              <w:jc w:val="center"/>
              <w:rPr>
                <w:rFonts w:hint="eastAsia" w:ascii="宋体" w:hAnsi="宋体" w:cs="宋体"/>
                <w:bCs/>
                <w:kern w:val="0"/>
                <w:sz w:val="24"/>
              </w:rPr>
            </w:pPr>
          </w:p>
        </w:tc>
      </w:tr>
    </w:tbl>
    <w:p w14:paraId="7B938063">
      <w:pPr>
        <w:widowControl/>
        <w:adjustRightInd/>
        <w:spacing w:line="320" w:lineRule="exact"/>
        <w:jc w:val="left"/>
        <w:rPr>
          <w:rFonts w:hint="eastAsia" w:ascii="宋体" w:hAnsi="宋体" w:cs="宋体"/>
          <w:bCs/>
          <w:sz w:val="24"/>
        </w:rPr>
      </w:pPr>
      <w:r>
        <w:rPr>
          <w:rFonts w:hint="eastAsia" w:ascii="宋体" w:hAnsi="宋体" w:cs="宋体"/>
          <w:bCs/>
          <w:sz w:val="24"/>
        </w:rPr>
        <w:t>备注：1、供应商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35B3A1FC">
      <w:pPr>
        <w:widowControl/>
        <w:adjustRightInd/>
        <w:spacing w:line="320" w:lineRule="exact"/>
        <w:jc w:val="left"/>
        <w:rPr>
          <w:rFonts w:hint="eastAsia" w:ascii="宋体" w:hAnsi="宋体" w:cs="宋体"/>
          <w:bCs/>
          <w:sz w:val="24"/>
        </w:rPr>
      </w:pPr>
      <w:r>
        <w:rPr>
          <w:rFonts w:hint="eastAsia" w:ascii="宋体" w:hAnsi="宋体" w:cs="宋体"/>
          <w:b/>
          <w:bCs/>
          <w:sz w:val="32"/>
          <w:szCs w:val="40"/>
        </w:rPr>
        <w:br w:type="page"/>
      </w:r>
    </w:p>
    <w:p w14:paraId="3363D4CE">
      <w:pPr>
        <w:snapToGrid w:val="0"/>
        <w:spacing w:line="360" w:lineRule="auto"/>
        <w:rPr>
          <w:rFonts w:hint="eastAsia" w:ascii="宋体" w:hAnsi="宋体" w:cs="宋体"/>
          <w:b/>
          <w:sz w:val="28"/>
          <w:szCs w:val="28"/>
        </w:rPr>
      </w:pPr>
      <w:r>
        <w:rPr>
          <w:rFonts w:hint="eastAsia" w:ascii="宋体" w:hAnsi="宋体" w:cs="宋体"/>
          <w:b/>
          <w:sz w:val="32"/>
        </w:rPr>
        <w:t>一、评标方法</w:t>
      </w:r>
    </w:p>
    <w:p w14:paraId="5F2728F9">
      <w:pPr>
        <w:adjustRightInd/>
        <w:spacing w:line="360" w:lineRule="auto"/>
        <w:ind w:firstLine="472" w:firstLineChars="196"/>
        <w:rPr>
          <w:rFonts w:hint="eastAsia"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综合评分法，是指投标文件满足招标文件全部实质性要求，且按照评审因素的量化指标评审得分最高的供应商为中标候选人的评标方法。</w:t>
      </w:r>
    </w:p>
    <w:p w14:paraId="76FC88B3">
      <w:pPr>
        <w:adjustRightInd/>
        <w:spacing w:line="360" w:lineRule="auto"/>
        <w:rPr>
          <w:rFonts w:hint="eastAsia" w:ascii="宋体" w:hAnsi="宋体" w:cs="宋体"/>
          <w:kern w:val="0"/>
          <w:sz w:val="24"/>
        </w:rPr>
      </w:pPr>
      <w:r>
        <w:rPr>
          <w:rFonts w:hint="eastAsia" w:ascii="宋体" w:hAnsi="宋体" w:cs="宋体"/>
          <w:b/>
          <w:sz w:val="32"/>
        </w:rPr>
        <w:t>二、评标标准</w:t>
      </w:r>
    </w:p>
    <w:p w14:paraId="0B610F04">
      <w:pPr>
        <w:spacing w:line="360" w:lineRule="auto"/>
        <w:ind w:firstLine="472" w:firstLineChars="196"/>
        <w:rPr>
          <w:rFonts w:hint="eastAsia"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6E93E43B">
      <w:pPr>
        <w:spacing w:line="360" w:lineRule="auto"/>
        <w:rPr>
          <w:rFonts w:hint="eastAsia" w:ascii="宋体" w:hAnsi="宋体" w:cs="宋体"/>
          <w:b/>
          <w:sz w:val="36"/>
          <w:szCs w:val="36"/>
        </w:rPr>
      </w:pPr>
      <w:r>
        <w:rPr>
          <w:rFonts w:hint="eastAsia" w:ascii="宋体" w:hAnsi="宋体" w:cs="宋体"/>
          <w:b/>
          <w:sz w:val="32"/>
        </w:rPr>
        <w:t>三、评标程序</w:t>
      </w:r>
    </w:p>
    <w:p w14:paraId="7A7B862D">
      <w:pPr>
        <w:spacing w:line="360" w:lineRule="auto"/>
        <w:ind w:firstLine="472" w:firstLineChars="196"/>
        <w:rPr>
          <w:rFonts w:hint="eastAsia"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评标委员会应当对符合资格的供应商的投标文件进行符合性审查，以确定其是否满足招标文件的实质性要求。不满足招标文件的实质性要求的，投标无效。</w:t>
      </w:r>
    </w:p>
    <w:p w14:paraId="405675EF">
      <w:pPr>
        <w:spacing w:line="360" w:lineRule="auto"/>
        <w:ind w:firstLine="472" w:firstLineChars="196"/>
        <w:rPr>
          <w:rFonts w:hint="eastAsia"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1B54B90">
      <w:pPr>
        <w:spacing w:line="360" w:lineRule="auto"/>
        <w:ind w:firstLine="472" w:firstLineChars="196"/>
        <w:rPr>
          <w:rFonts w:hint="eastAsia"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评标委员会各成员应当独立对每个供应商的商务和技术文件进行评价，并汇总商务技术得分情况。</w:t>
      </w:r>
    </w:p>
    <w:p w14:paraId="57BB1404">
      <w:pPr>
        <w:spacing w:line="360" w:lineRule="auto"/>
        <w:ind w:firstLine="472" w:firstLineChars="196"/>
        <w:rPr>
          <w:rFonts w:hint="eastAsia" w:ascii="宋体" w:hAnsi="宋体" w:cs="宋体"/>
          <w:b/>
          <w:kern w:val="0"/>
          <w:sz w:val="24"/>
        </w:rPr>
      </w:pPr>
      <w:r>
        <w:rPr>
          <w:rFonts w:hint="eastAsia" w:ascii="宋体" w:hAnsi="宋体" w:cs="宋体"/>
          <w:b/>
          <w:kern w:val="0"/>
          <w:sz w:val="24"/>
        </w:rPr>
        <w:t>3.4报价评审。</w:t>
      </w:r>
    </w:p>
    <w:p w14:paraId="412826E7">
      <w:pPr>
        <w:pStyle w:val="134"/>
        <w:spacing w:before="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00D22338">
      <w:pPr>
        <w:pStyle w:val="134"/>
        <w:spacing w:before="0"/>
        <w:ind w:firstLine="48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7DCB1D87">
      <w:pPr>
        <w:pStyle w:val="134"/>
        <w:spacing w:before="0"/>
        <w:ind w:firstLine="48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150B2A00">
      <w:pPr>
        <w:pStyle w:val="134"/>
        <w:spacing w:before="0"/>
        <w:ind w:firstLine="48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6D93426E">
      <w:pPr>
        <w:pStyle w:val="134"/>
        <w:spacing w:before="0"/>
        <w:ind w:firstLine="48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027F7D7D">
      <w:pPr>
        <w:pStyle w:val="134"/>
        <w:spacing w:before="0"/>
        <w:ind w:firstLine="48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3.4.1.5同时出现两种以上不一致的，按照3.4.1规定的顺序修正。修正后的报价按照财政部第87号令《政府采购货物和服务招标投标管理办法》第五十一条第二款的规定经供应商确认后产生约束力。</w:t>
      </w:r>
    </w:p>
    <w:p w14:paraId="1C241EAA">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3.4.2投标文件出现不是唯一的、有选择性投标报价的，投标无效。</w:t>
      </w:r>
    </w:p>
    <w:p w14:paraId="23AC7009">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3.4.3投标报价超过招标文件中规定的预算金额或者最高限价的，投标无效。</w:t>
      </w:r>
    </w:p>
    <w:p w14:paraId="72F78D42">
      <w:pPr>
        <w:pStyle w:val="134"/>
        <w:spacing w:before="0"/>
        <w:ind w:firstLine="480"/>
        <w:rPr>
          <w:rFonts w:hint="eastAsia" w:ascii="宋体" w:hAnsi="宋体" w:cs="宋体"/>
          <w:kern w:val="0"/>
          <w:szCs w:val="24"/>
        </w:rPr>
      </w:pPr>
      <w:r>
        <w:rPr>
          <w:rFonts w:hint="eastAsia" w:ascii="宋体" w:hAnsi="宋体" w:cs="宋体"/>
          <w:kern w:val="0"/>
          <w:szCs w:val="24"/>
        </w:rPr>
        <w:t>3.4.4评标委员会认为供应商的报价明显低于其他通过符合性审查供应商的报价（如供应商报价低于项目预算 50%的，应当提交本文档，详细阐述不影响产品质量或者诚信履约的具体原因），有可能影响产品质量或者不能诚信履约的，应当要求其在合理的时间内提供书面说明，必要时提交相关证明材料；供应商不能证明其报价合理性的，评标委员会应当将其作为无效投标处理。</w:t>
      </w:r>
    </w:p>
    <w:p w14:paraId="7FE904EB">
      <w:pPr>
        <w:pStyle w:val="134"/>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kern w:val="0"/>
          <w:sz w:val="24"/>
        </w:rPr>
        <w:t>有效投标供应商数量等于3家时，中标候选人数量为1家；有效投标供应商数量等于4家时，中标候选人数量为2家；有效投标供应商数量大于等于5家时，中标候选人数量为3家。</w:t>
      </w:r>
    </w:p>
    <w:p w14:paraId="65C9B39A">
      <w:pPr>
        <w:spacing w:line="360" w:lineRule="auto"/>
        <w:ind w:firstLine="480" w:firstLineChars="200"/>
        <w:rPr>
          <w:rFonts w:hint="eastAsia" w:ascii="宋体" w:hAnsi="宋体" w:cs="宋体"/>
          <w:b/>
          <w:kern w:val="0"/>
          <w:sz w:val="24"/>
        </w:rPr>
      </w:pPr>
      <w:r>
        <w:rPr>
          <w:rFonts w:hint="eastAsia" w:ascii="宋体" w:hAnsi="宋体" w:cs="宋体"/>
          <w:kern w:val="0"/>
          <w:sz w:val="24"/>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FF72234">
      <w:pPr>
        <w:spacing w:line="360" w:lineRule="auto"/>
        <w:ind w:firstLine="472" w:firstLineChars="196"/>
        <w:rPr>
          <w:rFonts w:hint="eastAsia"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adjustRightInd/>
        <w:spacing w:after="225" w:line="315" w:lineRule="atLeast"/>
        <w:jc w:val="left"/>
        <w:rPr>
          <w:rFonts w:hint="eastAsia" w:ascii="宋体" w:hAnsi="宋体" w:cs="宋体"/>
          <w:b/>
          <w:sz w:val="32"/>
        </w:rPr>
      </w:pPr>
      <w:r>
        <w:rPr>
          <w:rFonts w:hint="eastAsia" w:ascii="宋体" w:hAnsi="宋体" w:cs="宋体"/>
          <w:b/>
          <w:sz w:val="32"/>
        </w:rPr>
        <w:t>四、评标中的其他事项</w:t>
      </w:r>
    </w:p>
    <w:p w14:paraId="3B4C1F79">
      <w:pPr>
        <w:pStyle w:val="134"/>
        <w:spacing w:before="0"/>
        <w:ind w:firstLine="472" w:firstLineChars="196"/>
        <w:rPr>
          <w:rFonts w:hint="eastAsia"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01F6BE6">
      <w:pPr>
        <w:pStyle w:val="25"/>
        <w:spacing w:line="360" w:lineRule="auto"/>
        <w:ind w:left="954"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788E93D5">
      <w:pPr>
        <w:spacing w:line="360" w:lineRule="auto"/>
        <w:ind w:firstLine="480" w:firstLineChars="200"/>
        <w:rPr>
          <w:rFonts w:hint="eastAsia" w:ascii="宋体" w:hAnsi="宋体" w:cs="宋体"/>
          <w:kern w:val="0"/>
          <w:sz w:val="24"/>
        </w:rPr>
      </w:pPr>
      <w:r>
        <w:rPr>
          <w:rFonts w:hint="eastAsia" w:ascii="宋体" w:hAnsi="宋体" w:cs="宋体"/>
          <w:kern w:val="0"/>
          <w:sz w:val="24"/>
        </w:rPr>
        <w:t>4.2.1供应商不具备招标文件中规定的资格要求的（供应商未提供有效的资格文件的，视为供应商不具备招标文件中规定的资格要求）；</w:t>
      </w:r>
    </w:p>
    <w:p w14:paraId="3030AD72">
      <w:pPr>
        <w:spacing w:line="360" w:lineRule="auto"/>
        <w:ind w:firstLine="480" w:firstLineChars="200"/>
        <w:rPr>
          <w:rFonts w:hint="eastAsia" w:ascii="宋体" w:hAnsi="宋体" w:cs="宋体"/>
          <w:kern w:val="0"/>
          <w:sz w:val="24"/>
        </w:rPr>
      </w:pPr>
      <w:r>
        <w:rPr>
          <w:rFonts w:hint="eastAsia" w:ascii="宋体" w:hAnsi="宋体" w:cs="宋体"/>
          <w:kern w:val="0"/>
          <w:sz w:val="24"/>
        </w:rPr>
        <w:t>4.2.2投标文件未按照招标文件要求签署、盖章的；</w:t>
      </w:r>
    </w:p>
    <w:p w14:paraId="25931ADC">
      <w:pPr>
        <w:spacing w:line="360" w:lineRule="auto"/>
        <w:ind w:firstLine="480" w:firstLineChars="200"/>
        <w:rPr>
          <w:rFonts w:hint="eastAsia" w:ascii="宋体" w:hAnsi="宋体" w:cs="宋体"/>
          <w:kern w:val="0"/>
          <w:sz w:val="24"/>
        </w:rPr>
      </w:pPr>
      <w:r>
        <w:rPr>
          <w:rFonts w:hint="eastAsia" w:ascii="宋体" w:hAnsi="宋体" w:cs="宋体"/>
          <w:kern w:val="0"/>
          <w:sz w:val="24"/>
        </w:rPr>
        <w:t>4.2.3采购人拟采购的产品属于政府强制采购的节能产品品目清单范围的，供应商相应的投标产品未获得国家确定的认证机构出具的、处于有效期之内的节能产品认证证书的；</w:t>
      </w:r>
    </w:p>
    <w:p w14:paraId="1E46D8D9">
      <w:pPr>
        <w:spacing w:line="360" w:lineRule="auto"/>
        <w:ind w:firstLine="480" w:firstLineChars="200"/>
        <w:rPr>
          <w:rFonts w:hint="eastAsia" w:ascii="宋体" w:hAnsi="宋体" w:cs="宋体"/>
          <w:kern w:val="0"/>
          <w:sz w:val="24"/>
        </w:rPr>
      </w:pPr>
      <w:r>
        <w:rPr>
          <w:rFonts w:hint="eastAsia" w:ascii="宋体" w:hAnsi="宋体" w:cs="宋体"/>
          <w:kern w:val="0"/>
          <w:sz w:val="24"/>
        </w:rPr>
        <w:t>4.2.4投标文件含有采购人不能接受的附加条件的；</w:t>
      </w:r>
    </w:p>
    <w:p w14:paraId="6AFF0C0C">
      <w:pPr>
        <w:spacing w:line="360" w:lineRule="auto"/>
        <w:ind w:firstLine="480" w:firstLineChars="200"/>
        <w:rPr>
          <w:rFonts w:hint="eastAsia" w:ascii="宋体" w:hAnsi="宋体" w:cs="宋体"/>
          <w:kern w:val="0"/>
          <w:sz w:val="24"/>
        </w:rPr>
      </w:pPr>
      <w:r>
        <w:rPr>
          <w:rFonts w:hint="eastAsia" w:ascii="宋体" w:hAnsi="宋体" w:cs="宋体"/>
          <w:kern w:val="0"/>
          <w:sz w:val="24"/>
        </w:rPr>
        <w:t>4.2.5投标文件中承诺的投标有效期少于招标文件中载明的投标有效期的；</w:t>
      </w:r>
    </w:p>
    <w:p w14:paraId="0E8FE4C3">
      <w:pPr>
        <w:spacing w:line="360" w:lineRule="auto"/>
        <w:ind w:firstLine="480" w:firstLineChars="200"/>
        <w:rPr>
          <w:rFonts w:hint="eastAsia" w:ascii="宋体" w:hAnsi="宋体" w:cs="宋体"/>
          <w:kern w:val="0"/>
          <w:sz w:val="24"/>
        </w:rPr>
      </w:pPr>
      <w:r>
        <w:rPr>
          <w:rFonts w:hint="eastAsia" w:ascii="宋体" w:hAnsi="宋体" w:cs="宋体"/>
          <w:kern w:val="0"/>
          <w:sz w:val="24"/>
        </w:rPr>
        <w:t>4.2.6投标文件出现不是唯一的、有选择性投标报价的；</w:t>
      </w:r>
    </w:p>
    <w:p w14:paraId="5DB3AD34">
      <w:pPr>
        <w:spacing w:line="360" w:lineRule="auto"/>
        <w:ind w:firstLine="480" w:firstLineChars="200"/>
        <w:rPr>
          <w:rFonts w:hint="eastAsia" w:ascii="宋体" w:hAnsi="宋体" w:cs="宋体"/>
          <w:kern w:val="0"/>
          <w:sz w:val="24"/>
        </w:rPr>
      </w:pPr>
      <w:r>
        <w:rPr>
          <w:rFonts w:hint="eastAsia" w:ascii="宋体" w:hAnsi="宋体" w:cs="宋体"/>
          <w:kern w:val="0"/>
          <w:sz w:val="24"/>
        </w:rPr>
        <w:t>4.2.7投标报价超过招标文件中规定的预算金额或者最高限价的；</w:t>
      </w:r>
    </w:p>
    <w:p w14:paraId="46854B1E">
      <w:pPr>
        <w:spacing w:line="360" w:lineRule="auto"/>
        <w:ind w:firstLine="480" w:firstLineChars="200"/>
        <w:rPr>
          <w:rFonts w:hint="eastAsia" w:ascii="宋体" w:hAnsi="宋体" w:cs="宋体"/>
          <w:kern w:val="0"/>
          <w:sz w:val="24"/>
        </w:rPr>
      </w:pPr>
      <w:r>
        <w:rPr>
          <w:rFonts w:hint="eastAsia" w:ascii="宋体" w:hAnsi="宋体" w:cs="宋体"/>
          <w:kern w:val="0"/>
          <w:sz w:val="24"/>
        </w:rPr>
        <w:t>4.2.8报价明显低于其他通过符合性审查供应商的报价，有可能影响产品质量或者不能诚信履约的，未能按要求提供书面说明或者提交相关证明材料，不能证明其报价合理性的；</w:t>
      </w:r>
    </w:p>
    <w:p w14:paraId="2F4A3689">
      <w:pPr>
        <w:spacing w:line="360" w:lineRule="auto"/>
        <w:ind w:firstLine="480" w:firstLineChars="200"/>
        <w:rPr>
          <w:rFonts w:hint="eastAsia" w:ascii="宋体" w:hAnsi="宋体" w:cs="宋体"/>
          <w:kern w:val="0"/>
          <w:sz w:val="24"/>
        </w:rPr>
      </w:pPr>
      <w:r>
        <w:rPr>
          <w:rFonts w:hint="eastAsia" w:ascii="宋体" w:hAnsi="宋体" w:cs="宋体"/>
          <w:kern w:val="0"/>
          <w:sz w:val="24"/>
        </w:rPr>
        <w:t>4.2.9供应商对根据修正原则修正后的报价不确认的；</w:t>
      </w:r>
    </w:p>
    <w:p w14:paraId="688F059A">
      <w:pPr>
        <w:spacing w:line="360" w:lineRule="auto"/>
        <w:ind w:firstLine="480" w:firstLineChars="200"/>
        <w:rPr>
          <w:rFonts w:hint="eastAsia" w:ascii="宋体" w:hAnsi="宋体" w:cs="宋体"/>
          <w:kern w:val="0"/>
          <w:sz w:val="24"/>
        </w:rPr>
      </w:pPr>
      <w:r>
        <w:rPr>
          <w:rFonts w:hint="eastAsia" w:ascii="宋体" w:hAnsi="宋体" w:cs="宋体"/>
          <w:kern w:val="0"/>
          <w:sz w:val="24"/>
        </w:rPr>
        <w:t>4.2.10供应商提供虚假材料投标的；</w:t>
      </w:r>
    </w:p>
    <w:p w14:paraId="3B648FB0">
      <w:pPr>
        <w:spacing w:line="360" w:lineRule="auto"/>
        <w:ind w:firstLine="480" w:firstLineChars="200"/>
        <w:rPr>
          <w:rFonts w:hint="eastAsia" w:ascii="宋体" w:hAnsi="宋体" w:cs="宋体"/>
          <w:kern w:val="0"/>
          <w:sz w:val="24"/>
        </w:rPr>
      </w:pPr>
      <w:r>
        <w:rPr>
          <w:rFonts w:hint="eastAsia" w:ascii="宋体" w:hAnsi="宋体" w:cs="宋体"/>
          <w:kern w:val="0"/>
          <w:sz w:val="24"/>
        </w:rPr>
        <w:t>4.2.11供应商有恶意串通、妨碍其他供应商的竞争行为、损害采购人或者其他供应商的合法权益情形的；</w:t>
      </w:r>
    </w:p>
    <w:p w14:paraId="00AD51F3">
      <w:pPr>
        <w:spacing w:line="360" w:lineRule="auto"/>
        <w:ind w:firstLine="480" w:firstLineChars="200"/>
        <w:rPr>
          <w:rFonts w:hint="eastAsia" w:ascii="宋体" w:hAnsi="宋体" w:cs="宋体"/>
          <w:kern w:val="0"/>
          <w:sz w:val="24"/>
        </w:rPr>
      </w:pPr>
      <w:r>
        <w:rPr>
          <w:rFonts w:hint="eastAsia" w:ascii="宋体" w:hAnsi="宋体" w:cs="宋体"/>
          <w:kern w:val="0"/>
          <w:sz w:val="24"/>
        </w:rPr>
        <w:t>4.2.12供应商仅提交备份投标文件，未在电子交易平台传输递交投标文件的，投标无效；</w:t>
      </w:r>
    </w:p>
    <w:p w14:paraId="5EAE58F7">
      <w:pPr>
        <w:spacing w:line="360" w:lineRule="auto"/>
        <w:ind w:firstLine="480" w:firstLineChars="200"/>
        <w:rPr>
          <w:rFonts w:hint="eastAsia" w:ascii="宋体" w:hAnsi="宋体" w:cs="宋体"/>
          <w:kern w:val="0"/>
          <w:sz w:val="24"/>
        </w:rPr>
      </w:pPr>
      <w:r>
        <w:rPr>
          <w:rFonts w:hint="eastAsia" w:ascii="宋体" w:hAnsi="宋体" w:cs="宋体"/>
          <w:kern w:val="0"/>
          <w:sz w:val="24"/>
        </w:rPr>
        <w:t>4.2.13 投标文件不满足招标文件的其他实质性要求的；</w:t>
      </w:r>
    </w:p>
    <w:p w14:paraId="3875AE66">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BB43E8D">
      <w:pPr>
        <w:pStyle w:val="25"/>
        <w:snapToGrid w:val="0"/>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669D84F0">
      <w:pPr>
        <w:pStyle w:val="25"/>
        <w:snapToGrid w:val="0"/>
        <w:spacing w:line="360" w:lineRule="auto"/>
        <w:rPr>
          <w:rFonts w:hint="eastAsia" w:cs="宋体"/>
        </w:rPr>
      </w:pPr>
      <w:r>
        <w:rPr>
          <w:rFonts w:hint="eastAsia" w:cs="宋体"/>
        </w:rPr>
        <w:t>5.1符合专业条件的供应商或者对招标文件作实质响应的供应商不足3家的；</w:t>
      </w:r>
    </w:p>
    <w:p w14:paraId="7B09B2E6">
      <w:pPr>
        <w:pStyle w:val="25"/>
        <w:snapToGrid w:val="0"/>
        <w:spacing w:line="360" w:lineRule="auto"/>
        <w:rPr>
          <w:rFonts w:hint="eastAsia" w:cs="宋体"/>
        </w:rPr>
      </w:pPr>
      <w:r>
        <w:rPr>
          <w:rFonts w:hint="eastAsia" w:cs="宋体"/>
        </w:rPr>
        <w:t>5.2出现影响采购公正的违法、违规行为的；</w:t>
      </w:r>
    </w:p>
    <w:p w14:paraId="413ECAC3">
      <w:pPr>
        <w:pStyle w:val="25"/>
        <w:snapToGrid w:val="0"/>
        <w:spacing w:line="360" w:lineRule="auto"/>
        <w:rPr>
          <w:rFonts w:hint="eastAsia" w:cs="宋体"/>
        </w:rPr>
      </w:pPr>
      <w:r>
        <w:rPr>
          <w:rFonts w:hint="eastAsia" w:cs="宋体"/>
        </w:rPr>
        <w:t>5.3供应商的报价均超过了采购预算，采购人不能支付的；</w:t>
      </w:r>
    </w:p>
    <w:p w14:paraId="1C2746F4">
      <w:pPr>
        <w:pStyle w:val="25"/>
        <w:snapToGrid w:val="0"/>
        <w:spacing w:line="360" w:lineRule="auto"/>
        <w:rPr>
          <w:rFonts w:hint="eastAsia" w:cs="宋体"/>
        </w:rPr>
      </w:pPr>
      <w:r>
        <w:rPr>
          <w:rFonts w:hint="eastAsia" w:cs="宋体"/>
        </w:rPr>
        <w:t>5.4因重大变故，采购任务取消的。</w:t>
      </w:r>
    </w:p>
    <w:p w14:paraId="14F486B9">
      <w:pPr>
        <w:pStyle w:val="25"/>
        <w:snapToGrid w:val="0"/>
        <w:spacing w:line="360" w:lineRule="auto"/>
        <w:rPr>
          <w:rFonts w:hint="eastAsia" w:cs="宋体"/>
        </w:rPr>
      </w:pPr>
      <w:r>
        <w:rPr>
          <w:rFonts w:hint="eastAsia" w:cs="宋体"/>
        </w:rPr>
        <w:t>废标后，采购代理机构应当将废标理由通知所有供应商。</w:t>
      </w:r>
    </w:p>
    <w:p w14:paraId="323AEA29">
      <w:pPr>
        <w:pStyle w:val="25"/>
        <w:snapToGrid w:val="0"/>
        <w:spacing w:line="360" w:lineRule="auto"/>
        <w:ind w:firstLine="590" w:firstLineChars="245"/>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355FD8">
      <w:pPr>
        <w:pStyle w:val="25"/>
        <w:snapToGrid w:val="0"/>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0311C0F4">
      <w:pPr>
        <w:pStyle w:val="25"/>
        <w:snapToGrid w:val="0"/>
        <w:spacing w:line="360" w:lineRule="auto"/>
        <w:rPr>
          <w:rFonts w:hint="eastAsia" w:cs="宋体"/>
        </w:rPr>
      </w:pPr>
      <w:r>
        <w:rPr>
          <w:rFonts w:hint="eastAsia" w:cs="宋体"/>
        </w:rPr>
        <w:t>7.1未确定中标供应商的，终止本次政府采购活动，重新开展政府采购活动。</w:t>
      </w:r>
    </w:p>
    <w:p w14:paraId="1C08DE73">
      <w:pPr>
        <w:pStyle w:val="25"/>
        <w:snapToGrid w:val="0"/>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4217DA7">
      <w:pPr>
        <w:pStyle w:val="25"/>
        <w:snapToGrid w:val="0"/>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41C3BDCC">
      <w:pPr>
        <w:pStyle w:val="25"/>
        <w:snapToGrid w:val="0"/>
        <w:spacing w:line="360" w:lineRule="auto"/>
        <w:rPr>
          <w:rFonts w:hint="eastAsia" w:cs="宋体"/>
        </w:rPr>
      </w:pPr>
      <w:r>
        <w:rPr>
          <w:rFonts w:hint="eastAsia" w:cs="宋体"/>
        </w:rPr>
        <w:t>7.4政府采购合同已经履行，给采购人、供应商造成损失的，由责任人承担赔偿责任。</w:t>
      </w:r>
    </w:p>
    <w:p w14:paraId="5A6E981D">
      <w:pPr>
        <w:pStyle w:val="25"/>
        <w:snapToGrid w:val="0"/>
        <w:spacing w:line="360" w:lineRule="auto"/>
        <w:rPr>
          <w:rFonts w:hint="eastAsia"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342526C8">
      <w:pPr>
        <w:pStyle w:val="25"/>
        <w:snapToGrid w:val="0"/>
        <w:spacing w:line="360" w:lineRule="auto"/>
        <w:ind w:firstLine="0" w:firstLineChars="0"/>
        <w:rPr>
          <w:rFonts w:hint="eastAsia" w:cs="宋体"/>
        </w:rPr>
      </w:pPr>
    </w:p>
    <w:bookmarkEnd w:id="33"/>
    <w:p w14:paraId="1C4F0E8C">
      <w:pPr>
        <w:spacing w:line="360" w:lineRule="auto"/>
        <w:ind w:left="720" w:leftChars="343" w:firstLine="1084" w:firstLineChars="300"/>
        <w:rPr>
          <w:rFonts w:hint="eastAsia" w:ascii="宋体" w:hAnsi="宋体" w:cs="宋体"/>
          <w:b/>
          <w:sz w:val="36"/>
          <w:szCs w:val="36"/>
        </w:rPr>
      </w:pPr>
      <w:bookmarkStart w:id="402" w:name="第五部分"/>
      <w:bookmarkStart w:id="403" w:name="_Toc86217003"/>
    </w:p>
    <w:p w14:paraId="0EB1794D">
      <w:pPr>
        <w:rPr>
          <w:rFonts w:hint="eastAsia" w:ascii="宋体" w:hAnsi="宋体" w:cs="宋体"/>
          <w:b/>
          <w:sz w:val="36"/>
          <w:szCs w:val="36"/>
        </w:rPr>
      </w:pPr>
      <w:r>
        <w:rPr>
          <w:rFonts w:hint="eastAsia" w:ascii="宋体" w:hAnsi="宋体" w:cs="宋体"/>
          <w:b/>
          <w:sz w:val="36"/>
          <w:szCs w:val="36"/>
        </w:rPr>
        <w:br w:type="page"/>
      </w:r>
    </w:p>
    <w:p w14:paraId="0BCF848C">
      <w:pPr>
        <w:spacing w:line="360" w:lineRule="auto"/>
        <w:ind w:left="720" w:leftChars="343" w:firstLine="1084" w:firstLineChars="300"/>
        <w:outlineLvl w:val="0"/>
        <w:rPr>
          <w:rFonts w:hint="eastAsia" w:ascii="宋体" w:hAnsi="宋体" w:cs="宋体"/>
          <w:b/>
          <w:sz w:val="36"/>
          <w:szCs w:val="36"/>
        </w:rPr>
      </w:pPr>
      <w:bookmarkStart w:id="404" w:name="_Toc8264"/>
      <w:r>
        <w:rPr>
          <w:rFonts w:hint="eastAsia" w:ascii="宋体" w:hAnsi="宋体" w:cs="宋体"/>
          <w:b/>
          <w:sz w:val="36"/>
          <w:szCs w:val="36"/>
        </w:rPr>
        <w:t>第五部分 拟签订的合同文本</w:t>
      </w:r>
      <w:bookmarkEnd w:id="404"/>
    </w:p>
    <w:p w14:paraId="69F554DE">
      <w:pPr>
        <w:rPr>
          <w:rFonts w:hint="eastAsia"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9CDC608">
      <w:pPr>
        <w:spacing w:line="480" w:lineRule="auto"/>
        <w:jc w:val="center"/>
        <w:rPr>
          <w:rFonts w:hint="eastAsia" w:ascii="宋体" w:hAnsi="宋体" w:cs="宋体"/>
          <w:b/>
          <w:sz w:val="28"/>
          <w:szCs w:val="28"/>
        </w:rPr>
      </w:pPr>
    </w:p>
    <w:p w14:paraId="73273D18">
      <w:pPr>
        <w:spacing w:line="480" w:lineRule="auto"/>
        <w:jc w:val="center"/>
        <w:rPr>
          <w:rFonts w:hint="eastAsia" w:ascii="宋体" w:hAnsi="宋体" w:cs="宋体"/>
          <w:b/>
          <w:sz w:val="24"/>
        </w:rPr>
      </w:pPr>
    </w:p>
    <w:p w14:paraId="62D0F02A">
      <w:pPr>
        <w:spacing w:line="480" w:lineRule="auto"/>
        <w:jc w:val="center"/>
        <w:rPr>
          <w:rFonts w:hint="eastAsia" w:ascii="宋体" w:hAnsi="宋体" w:cs="宋体"/>
          <w:b/>
          <w:sz w:val="24"/>
        </w:rPr>
      </w:pPr>
    </w:p>
    <w:p w14:paraId="13D14CD7">
      <w:pPr>
        <w:spacing w:line="480" w:lineRule="auto"/>
        <w:jc w:val="center"/>
        <w:rPr>
          <w:rFonts w:hint="eastAsia" w:ascii="宋体" w:hAnsi="宋体" w:cs="宋体"/>
          <w:b/>
          <w:sz w:val="36"/>
          <w:szCs w:val="36"/>
        </w:rPr>
      </w:pPr>
      <w:r>
        <w:rPr>
          <w:rFonts w:hint="eastAsia" w:ascii="宋体" w:hAnsi="宋体" w:cs="宋体"/>
          <w:b/>
          <w:sz w:val="36"/>
          <w:szCs w:val="36"/>
        </w:rPr>
        <w:t>政府采购合同参考范本</w:t>
      </w:r>
    </w:p>
    <w:p w14:paraId="24CD44F5">
      <w:pPr>
        <w:spacing w:line="480" w:lineRule="auto"/>
        <w:jc w:val="center"/>
        <w:rPr>
          <w:rFonts w:hint="eastAsia" w:ascii="宋体" w:hAnsi="宋体" w:cs="宋体"/>
          <w:b/>
          <w:sz w:val="36"/>
          <w:szCs w:val="36"/>
        </w:rPr>
      </w:pPr>
      <w:r>
        <w:rPr>
          <w:rFonts w:hint="eastAsia" w:ascii="宋体" w:hAnsi="宋体" w:cs="宋体"/>
          <w:b/>
          <w:sz w:val="36"/>
          <w:szCs w:val="36"/>
        </w:rPr>
        <w:t>（货物类）</w:t>
      </w:r>
    </w:p>
    <w:p w14:paraId="0F4D67B3">
      <w:pPr>
        <w:pStyle w:val="700"/>
        <w:rPr>
          <w:rFonts w:hint="eastAsia" w:ascii="宋体" w:hAnsi="宋体" w:cs="宋体"/>
          <w:szCs w:val="24"/>
        </w:rPr>
      </w:pPr>
    </w:p>
    <w:p w14:paraId="004F37F2">
      <w:pPr>
        <w:pStyle w:val="700"/>
        <w:rPr>
          <w:rFonts w:hint="eastAsia" w:ascii="宋体" w:hAnsi="宋体" w:cs="宋体"/>
          <w:szCs w:val="24"/>
        </w:rPr>
      </w:pPr>
    </w:p>
    <w:p w14:paraId="02C53AFA">
      <w:pPr>
        <w:pStyle w:val="700"/>
        <w:jc w:val="center"/>
        <w:rPr>
          <w:rFonts w:hint="eastAsia" w:ascii="宋体" w:hAnsi="宋体" w:cs="宋体"/>
          <w:szCs w:val="24"/>
        </w:rPr>
      </w:pPr>
    </w:p>
    <w:p w14:paraId="30DE09B2">
      <w:pPr>
        <w:pStyle w:val="700"/>
        <w:ind w:firstLine="2843" w:firstLineChars="1180"/>
        <w:rPr>
          <w:rFonts w:hint="eastAsia" w:ascii="宋体" w:hAnsi="宋体" w:cs="宋体"/>
          <w:b/>
          <w:szCs w:val="24"/>
        </w:rPr>
      </w:pPr>
      <w:r>
        <w:rPr>
          <w:rFonts w:hint="eastAsia" w:ascii="宋体" w:hAnsi="宋体" w:cs="宋体"/>
          <w:b/>
          <w:szCs w:val="24"/>
        </w:rPr>
        <w:t>第一部分 合同书</w:t>
      </w:r>
    </w:p>
    <w:p w14:paraId="5888C125">
      <w:pPr>
        <w:pStyle w:val="700"/>
        <w:rPr>
          <w:rFonts w:hint="eastAsia" w:ascii="宋体" w:hAnsi="宋体" w:cs="宋体"/>
          <w:szCs w:val="24"/>
        </w:rPr>
      </w:pPr>
    </w:p>
    <w:p w14:paraId="3CCC30DE">
      <w:pPr>
        <w:pStyle w:val="700"/>
        <w:rPr>
          <w:rFonts w:hint="eastAsia" w:ascii="宋体" w:hAnsi="宋体" w:cs="宋体"/>
          <w:szCs w:val="24"/>
        </w:rPr>
      </w:pPr>
    </w:p>
    <w:p w14:paraId="1194A961">
      <w:pPr>
        <w:spacing w:before="120" w:line="22" w:lineRule="atLeast"/>
        <w:rPr>
          <w:rFonts w:hint="eastAsia" w:ascii="宋体" w:hAnsi="宋体" w:cs="宋体"/>
          <w:sz w:val="24"/>
        </w:rPr>
      </w:pPr>
    </w:p>
    <w:p w14:paraId="05F4B0BE">
      <w:pPr>
        <w:spacing w:before="120" w:line="22" w:lineRule="atLeast"/>
        <w:ind w:left="960"/>
        <w:rPr>
          <w:rFonts w:hint="eastAsia" w:ascii="宋体" w:hAnsi="宋体" w:cs="宋体"/>
          <w:sz w:val="24"/>
        </w:rPr>
      </w:pPr>
      <w:r>
        <w:rPr>
          <w:rFonts w:hint="eastAsia" w:ascii="宋体" w:hAnsi="宋体" w:cs="宋体"/>
          <w:sz w:val="24"/>
        </w:rPr>
        <w:t>项目名称：</w:t>
      </w:r>
      <w:r>
        <w:rPr>
          <w:rFonts w:hint="eastAsia" w:ascii="宋体" w:hAnsi="宋体" w:cs="宋体"/>
          <w:sz w:val="24"/>
          <w:u w:val="single"/>
        </w:rPr>
        <w:t xml:space="preserve">   宁海县教育局下属学校一职高等网络改造项目          </w:t>
      </w:r>
    </w:p>
    <w:p w14:paraId="3FF2BCC2">
      <w:pPr>
        <w:rPr>
          <w:rFonts w:hint="eastAsia" w:ascii="宋体" w:hAnsi="宋体" w:cs="宋体"/>
          <w:sz w:val="24"/>
        </w:rPr>
      </w:pPr>
    </w:p>
    <w:p w14:paraId="67CFC8AA">
      <w:pPr>
        <w:spacing w:before="120" w:line="22" w:lineRule="atLeast"/>
        <w:ind w:left="960"/>
        <w:rPr>
          <w:rFonts w:hint="eastAsia" w:ascii="宋体" w:hAnsi="宋体" w:cs="宋体"/>
          <w:sz w:val="24"/>
          <w:u w:val="single"/>
        </w:rPr>
      </w:pPr>
      <w:r>
        <w:rPr>
          <w:rFonts w:hint="eastAsia" w:ascii="宋体" w:hAnsi="宋体" w:cs="宋体"/>
          <w:sz w:val="24"/>
        </w:rPr>
        <w:t xml:space="preserve">甲方： </w:t>
      </w:r>
      <w:r>
        <w:rPr>
          <w:rFonts w:hint="eastAsia" w:ascii="宋体" w:hAnsi="宋体" w:cs="宋体"/>
          <w:sz w:val="24"/>
          <w:u w:val="single"/>
        </w:rPr>
        <w:t xml:space="preserve">      宁海县教育局装备与信息管理中心                                                  </w:t>
      </w:r>
    </w:p>
    <w:p w14:paraId="5E1C1F0E">
      <w:pPr>
        <w:spacing w:before="120" w:line="22" w:lineRule="atLeast"/>
        <w:rPr>
          <w:rFonts w:hint="eastAsia" w:ascii="宋体" w:hAnsi="宋体" w:cs="宋体"/>
          <w:sz w:val="24"/>
        </w:rPr>
      </w:pPr>
    </w:p>
    <w:p w14:paraId="548C497F">
      <w:pPr>
        <w:spacing w:before="120" w:line="22" w:lineRule="atLeast"/>
        <w:ind w:left="960"/>
        <w:rPr>
          <w:rFonts w:hint="eastAsia"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1ADCF930">
      <w:pPr>
        <w:spacing w:before="120" w:line="22" w:lineRule="atLeast"/>
        <w:rPr>
          <w:rFonts w:hint="eastAsia" w:ascii="宋体" w:hAnsi="宋体" w:cs="宋体"/>
          <w:sz w:val="24"/>
        </w:rPr>
      </w:pPr>
    </w:p>
    <w:p w14:paraId="063B05BE">
      <w:pPr>
        <w:spacing w:before="120" w:line="22" w:lineRule="atLeast"/>
        <w:ind w:firstLine="960" w:firstLineChars="400"/>
        <w:rPr>
          <w:rFonts w:hint="eastAsia"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宁海县                                                  </w:t>
      </w:r>
    </w:p>
    <w:p w14:paraId="568C723C">
      <w:pPr>
        <w:pStyle w:val="84"/>
        <w:ind w:firstLine="0" w:firstLineChars="0"/>
      </w:pPr>
    </w:p>
    <w:p w14:paraId="6C8D876D">
      <w:pPr>
        <w:spacing w:before="120" w:line="22" w:lineRule="atLeast"/>
        <w:ind w:firstLine="960" w:firstLineChars="400"/>
        <w:rPr>
          <w:rFonts w:hint="eastAsia" w:ascii="宋体" w:hAnsi="宋体" w:cs="宋体"/>
          <w:sz w:val="24"/>
        </w:rPr>
        <w:sectPr>
          <w:pgSz w:w="11907" w:h="16840"/>
          <w:pgMar w:top="1474" w:right="1814" w:bottom="1474" w:left="1814" w:header="851" w:footer="851" w:gutter="0"/>
          <w:cols w:space="720" w:num="1"/>
        </w:sectPr>
      </w:pPr>
      <w:r>
        <w:rPr>
          <w:rFonts w:hint="eastAsia" w:ascii="宋体" w:hAnsi="宋体" w:cs="宋体"/>
          <w:sz w:val="24"/>
        </w:rPr>
        <w:t>见证方：</w:t>
      </w:r>
      <w:r>
        <w:rPr>
          <w:rFonts w:hint="eastAsia" w:ascii="宋体" w:hAnsi="宋体" w:cs="宋体"/>
          <w:sz w:val="24"/>
          <w:u w:val="single"/>
        </w:rPr>
        <w:t xml:space="preserve">          浙江中基正采管理咨询有限公司                           </w:t>
      </w:r>
    </w:p>
    <w:p w14:paraId="2E4B7745">
      <w:pPr>
        <w:spacing w:line="360" w:lineRule="auto"/>
        <w:ind w:firstLine="480" w:firstLineChars="200"/>
        <w:rPr>
          <w:rFonts w:hint="eastAsia"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宁海县教育局装备与信息管理中心</w:t>
      </w:r>
      <w:r>
        <w:rPr>
          <w:rFonts w:hint="eastAsia" w:ascii="宋体" w:hAnsi="宋体" w:cs="宋体"/>
          <w:sz w:val="24"/>
        </w:rPr>
        <w:t>以</w:t>
      </w:r>
      <w:r>
        <w:rPr>
          <w:rFonts w:hint="eastAsia" w:ascii="宋体" w:hAnsi="宋体" w:cs="宋体"/>
          <w:sz w:val="24"/>
          <w:u w:val="single"/>
        </w:rPr>
        <w:t xml:space="preserve"> 公开招标 </w:t>
      </w:r>
      <w:r>
        <w:rPr>
          <w:rFonts w:hint="eastAsia" w:ascii="宋体" w:hAnsi="宋体" w:cs="宋体"/>
          <w:sz w:val="24"/>
        </w:rPr>
        <w:t>对</w:t>
      </w:r>
      <w:r>
        <w:rPr>
          <w:rFonts w:hint="eastAsia" w:ascii="宋体" w:hAnsi="宋体" w:cs="宋体"/>
          <w:sz w:val="24"/>
          <w:u w:val="single"/>
        </w:rPr>
        <w:t xml:space="preserve"> 宁海县教育局下属学校一职高等网络改造项目（项目编号CBZJ-20256046G）</w:t>
      </w:r>
      <w:r>
        <w:rPr>
          <w:rFonts w:hint="eastAsia" w:ascii="宋体" w:hAnsi="宋体" w:cs="宋体"/>
          <w:sz w:val="24"/>
        </w:rPr>
        <w:t>项目进行了采购。经</w:t>
      </w:r>
      <w:r>
        <w:rPr>
          <w:rFonts w:hint="eastAsia" w:ascii="宋体" w:hAnsi="宋体" w:cs="宋体"/>
          <w:sz w:val="24"/>
          <w:u w:val="single"/>
        </w:rPr>
        <w:t>评标委员会</w:t>
      </w:r>
      <w:r>
        <w:rPr>
          <w:rFonts w:hint="eastAsia" w:ascii="宋体" w:hAnsi="宋体" w:cs="宋体"/>
          <w:sz w:val="24"/>
        </w:rPr>
        <w:t>评定，</w:t>
      </w:r>
      <w:r>
        <w:rPr>
          <w:rFonts w:hint="eastAsia" w:ascii="宋体" w:hAnsi="宋体" w:cs="宋体"/>
          <w:sz w:val="24"/>
          <w:u w:val="single"/>
        </w:rPr>
        <w:t>（中标供应商名称）</w:t>
      </w:r>
      <w:r>
        <w:rPr>
          <w:rFonts w:hint="eastAsia" w:ascii="宋体" w:hAnsi="宋体" w:cs="宋体"/>
          <w:sz w:val="24"/>
        </w:rPr>
        <w:t>为该项目中标或者成交供应商。现于中标通知书发出之日起30日内，按照招标文件等确定的事项签订本合同。</w:t>
      </w:r>
    </w:p>
    <w:p w14:paraId="2C6F2299">
      <w:pPr>
        <w:spacing w:line="360" w:lineRule="auto"/>
        <w:ind w:firstLine="480" w:firstLineChars="200"/>
        <w:rPr>
          <w:rFonts w:hint="eastAsia" w:ascii="宋体" w:hAnsi="宋体" w:cs="宋体"/>
          <w:sz w:val="24"/>
        </w:rPr>
      </w:pPr>
      <w:r>
        <w:rPr>
          <w:rFonts w:hint="eastAsia" w:ascii="宋体" w:hAnsi="宋体" w:cs="宋体"/>
          <w:sz w:val="24"/>
          <w:lang w:val="zh-CN"/>
        </w:rPr>
        <w:t>根据《中华人民共和国民法典》《中华人民共和国政府采购法》等相关法律法规之规定，按照平等、自愿、公平、诚实信用和绿色的原则，经</w:t>
      </w:r>
      <w:r>
        <w:rPr>
          <w:rFonts w:hint="eastAsia" w:ascii="宋体" w:hAnsi="宋体" w:cs="宋体"/>
          <w:sz w:val="24"/>
          <w:u w:val="single"/>
        </w:rPr>
        <w:t xml:space="preserve"> 宁海县教育局装备与信息管理中心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1C1E4D82">
      <w:pPr>
        <w:spacing w:line="360" w:lineRule="auto"/>
        <w:ind w:firstLine="482" w:firstLineChars="200"/>
        <w:rPr>
          <w:rFonts w:hint="eastAsia" w:ascii="宋体" w:hAnsi="宋体" w:cs="宋体"/>
          <w:b/>
          <w:sz w:val="24"/>
        </w:rPr>
      </w:pPr>
      <w:bookmarkStart w:id="405" w:name="_Toc24059"/>
      <w:bookmarkStart w:id="406" w:name="_Toc3029"/>
      <w:bookmarkStart w:id="407" w:name="_Toc2232"/>
      <w:r>
        <w:rPr>
          <w:rFonts w:hint="eastAsia" w:ascii="宋体" w:hAnsi="宋体" w:cs="宋体"/>
          <w:b/>
          <w:sz w:val="24"/>
        </w:rPr>
        <w:t>1.1 合同组成部分</w:t>
      </w:r>
      <w:bookmarkEnd w:id="405"/>
      <w:bookmarkEnd w:id="406"/>
      <w:bookmarkEnd w:id="407"/>
    </w:p>
    <w:p w14:paraId="0BA7AC9A">
      <w:pPr>
        <w:spacing w:line="360" w:lineRule="auto"/>
        <w:ind w:firstLine="480" w:firstLineChars="200"/>
        <w:rPr>
          <w:rFonts w:hint="eastAsia" w:ascii="宋体" w:hAnsi="宋体" w:cs="宋体"/>
          <w:sz w:val="24"/>
        </w:rPr>
      </w:pPr>
      <w:r>
        <w:rPr>
          <w:rFonts w:hint="eastAsia" w:ascii="宋体" w:hAnsi="宋体" w:cs="宋体"/>
          <w:sz w:val="24"/>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64F4B8E">
      <w:pPr>
        <w:spacing w:line="360" w:lineRule="auto"/>
        <w:ind w:firstLine="480" w:firstLineChars="200"/>
        <w:rPr>
          <w:rFonts w:hint="eastAsia" w:ascii="宋体" w:hAnsi="宋体" w:cs="宋体"/>
          <w:sz w:val="24"/>
        </w:rPr>
      </w:pPr>
      <w:r>
        <w:rPr>
          <w:rFonts w:hint="eastAsia" w:ascii="宋体" w:hAnsi="宋体" w:cs="宋体"/>
          <w:sz w:val="24"/>
        </w:rPr>
        <w:t>1.1.1 本合同及其补充合同、变更协议；</w:t>
      </w:r>
    </w:p>
    <w:p w14:paraId="382BF93B">
      <w:pPr>
        <w:spacing w:line="360" w:lineRule="auto"/>
        <w:ind w:firstLine="480" w:firstLineChars="200"/>
        <w:rPr>
          <w:rFonts w:hint="eastAsia" w:ascii="宋体" w:hAnsi="宋体" w:cs="宋体"/>
          <w:sz w:val="24"/>
        </w:rPr>
      </w:pPr>
      <w:r>
        <w:rPr>
          <w:rFonts w:hint="eastAsia" w:ascii="宋体" w:hAnsi="宋体" w:cs="宋体"/>
          <w:sz w:val="24"/>
        </w:rPr>
        <w:t>1.1.2 中标或者成交通知书；</w:t>
      </w:r>
    </w:p>
    <w:p w14:paraId="60DA1062">
      <w:pPr>
        <w:spacing w:line="360" w:lineRule="auto"/>
        <w:ind w:firstLine="480" w:firstLineChars="200"/>
        <w:rPr>
          <w:rFonts w:hint="eastAsia" w:ascii="宋体" w:hAnsi="宋体" w:cs="宋体"/>
          <w:sz w:val="24"/>
        </w:rPr>
      </w:pPr>
      <w:r>
        <w:rPr>
          <w:rFonts w:hint="eastAsia" w:ascii="宋体" w:hAnsi="宋体" w:cs="宋体"/>
          <w:sz w:val="24"/>
        </w:rPr>
        <w:t>1.1.3 投标或者响应文件（含澄清或者说明文件）；</w:t>
      </w:r>
    </w:p>
    <w:p w14:paraId="7B09D231">
      <w:pPr>
        <w:spacing w:line="360" w:lineRule="auto"/>
        <w:ind w:firstLine="480" w:firstLineChars="200"/>
        <w:rPr>
          <w:rFonts w:hint="eastAsia" w:ascii="宋体" w:hAnsi="宋体" w:cs="宋体"/>
          <w:sz w:val="24"/>
        </w:rPr>
      </w:pPr>
      <w:r>
        <w:rPr>
          <w:rFonts w:hint="eastAsia" w:ascii="宋体" w:hAnsi="宋体" w:cs="宋体"/>
          <w:sz w:val="24"/>
        </w:rPr>
        <w:t>1.1.4 招标文件（含澄清或者修改文件）；</w:t>
      </w:r>
    </w:p>
    <w:p w14:paraId="52268025">
      <w:pPr>
        <w:spacing w:line="360" w:lineRule="auto"/>
        <w:ind w:firstLine="480" w:firstLineChars="200"/>
        <w:rPr>
          <w:rFonts w:hint="eastAsia" w:ascii="宋体" w:hAnsi="宋体" w:cs="宋体"/>
          <w:sz w:val="24"/>
        </w:rPr>
      </w:pPr>
      <w:r>
        <w:rPr>
          <w:rFonts w:hint="eastAsia" w:ascii="宋体" w:hAnsi="宋体" w:cs="宋体"/>
          <w:sz w:val="24"/>
        </w:rPr>
        <w:t>1.1.5 其他相关招标文件。</w:t>
      </w:r>
    </w:p>
    <w:p w14:paraId="58A1A525">
      <w:pPr>
        <w:spacing w:line="360" w:lineRule="auto"/>
        <w:ind w:firstLine="482" w:firstLineChars="200"/>
        <w:rPr>
          <w:rFonts w:hint="eastAsia" w:ascii="宋体" w:hAnsi="宋体" w:cs="宋体"/>
          <w:b/>
          <w:sz w:val="24"/>
        </w:rPr>
      </w:pPr>
      <w:bookmarkStart w:id="408" w:name="_Toc21295"/>
      <w:bookmarkStart w:id="409" w:name="_Toc27126"/>
      <w:bookmarkStart w:id="410" w:name="_Toc24300"/>
      <w:r>
        <w:rPr>
          <w:rFonts w:hint="eastAsia" w:ascii="宋体" w:hAnsi="宋体" w:cs="宋体"/>
          <w:b/>
          <w:sz w:val="24"/>
        </w:rPr>
        <w:t>1.2 货物</w:t>
      </w:r>
      <w:bookmarkEnd w:id="408"/>
      <w:bookmarkEnd w:id="409"/>
      <w:bookmarkEnd w:id="410"/>
    </w:p>
    <w:p w14:paraId="69920FFA">
      <w:pPr>
        <w:spacing w:line="360" w:lineRule="auto"/>
        <w:ind w:firstLine="480" w:firstLineChars="200"/>
        <w:rPr>
          <w:rFonts w:hint="eastAsia" w:ascii="宋体" w:hAnsi="宋体" w:cs="宋体"/>
          <w:sz w:val="24"/>
          <w:u w:val="single"/>
        </w:rPr>
      </w:pPr>
      <w:r>
        <w:rPr>
          <w:rFonts w:hint="eastAsia" w:ascii="宋体" w:hAnsi="宋体" w:cs="宋体"/>
          <w:sz w:val="24"/>
        </w:rPr>
        <w:t>1.2.1 货物名称、品牌、规格型号：</w:t>
      </w:r>
      <w:r>
        <w:rPr>
          <w:rFonts w:hint="eastAsia" w:ascii="宋体" w:hAnsi="宋体" w:cs="宋体"/>
          <w:sz w:val="24"/>
          <w:u w:val="single"/>
        </w:rPr>
        <w:t xml:space="preserve">                                </w:t>
      </w:r>
      <w:r>
        <w:rPr>
          <w:rFonts w:hint="eastAsia" w:ascii="宋体" w:hAnsi="宋体" w:cs="宋体"/>
          <w:sz w:val="24"/>
        </w:rPr>
        <w:t>；</w:t>
      </w:r>
    </w:p>
    <w:p w14:paraId="76F44CEC">
      <w:pPr>
        <w:spacing w:line="360" w:lineRule="auto"/>
        <w:ind w:firstLine="480" w:firstLineChars="200"/>
        <w:rPr>
          <w:rFonts w:hint="eastAsia" w:ascii="宋体" w:hAnsi="宋体" w:cs="宋体"/>
          <w:sz w:val="24"/>
          <w:u w:val="single"/>
        </w:rPr>
      </w:pPr>
      <w:r>
        <w:rPr>
          <w:rFonts w:hint="eastAsia" w:ascii="宋体" w:hAnsi="宋体" w:cs="宋体"/>
          <w:sz w:val="24"/>
        </w:rPr>
        <w:t>1.2.2 货物数量：</w:t>
      </w:r>
      <w:r>
        <w:rPr>
          <w:rFonts w:hint="eastAsia" w:ascii="宋体" w:hAnsi="宋体" w:cs="宋体"/>
          <w:sz w:val="24"/>
          <w:u w:val="single"/>
        </w:rPr>
        <w:t xml:space="preserve">                                                </w:t>
      </w:r>
      <w:r>
        <w:rPr>
          <w:rFonts w:hint="eastAsia" w:ascii="宋体" w:hAnsi="宋体" w:cs="宋体"/>
          <w:sz w:val="24"/>
        </w:rPr>
        <w:t>；</w:t>
      </w:r>
    </w:p>
    <w:p w14:paraId="081FAFCF">
      <w:pPr>
        <w:spacing w:line="360" w:lineRule="auto"/>
        <w:ind w:firstLine="480" w:firstLineChars="200"/>
        <w:rPr>
          <w:rFonts w:hint="eastAsia" w:ascii="宋体" w:hAnsi="宋体" w:cs="宋体"/>
          <w:sz w:val="24"/>
          <w:u w:val="single"/>
        </w:rPr>
      </w:pPr>
      <w:r>
        <w:rPr>
          <w:rFonts w:hint="eastAsia" w:ascii="宋体" w:hAnsi="宋体" w:cs="宋体"/>
          <w:sz w:val="24"/>
        </w:rPr>
        <w:t>1.2.3 货物质量：</w:t>
      </w:r>
      <w:r>
        <w:rPr>
          <w:rFonts w:hint="eastAsia" w:ascii="宋体" w:hAnsi="宋体" w:cs="宋体"/>
          <w:sz w:val="24"/>
          <w:u w:val="single"/>
        </w:rPr>
        <w:t>　　　　　　　　　                      　      ；</w:t>
      </w:r>
    </w:p>
    <w:p w14:paraId="1D471C5B">
      <w:pPr>
        <w:spacing w:line="360" w:lineRule="auto"/>
        <w:ind w:firstLine="482" w:firstLineChars="200"/>
        <w:rPr>
          <w:rFonts w:hint="eastAsia" w:ascii="宋体" w:hAnsi="宋体" w:cs="宋体"/>
          <w:b/>
          <w:sz w:val="24"/>
        </w:rPr>
      </w:pPr>
      <w:bookmarkStart w:id="411" w:name="_Toc21551"/>
      <w:bookmarkStart w:id="412" w:name="_Toc21631"/>
      <w:bookmarkStart w:id="413" w:name="_Toc23292"/>
      <w:r>
        <w:rPr>
          <w:rFonts w:hint="eastAsia" w:ascii="宋体" w:hAnsi="宋体" w:cs="宋体"/>
          <w:b/>
          <w:sz w:val="24"/>
        </w:rPr>
        <w:t>1.3 价款</w:t>
      </w:r>
      <w:bookmarkEnd w:id="411"/>
      <w:bookmarkEnd w:id="412"/>
      <w:bookmarkEnd w:id="413"/>
    </w:p>
    <w:p w14:paraId="47E43A62">
      <w:pPr>
        <w:spacing w:line="360" w:lineRule="auto"/>
        <w:ind w:firstLine="480" w:firstLineChars="200"/>
        <w:rPr>
          <w:rFonts w:hint="eastAsia" w:ascii="宋体" w:hAnsi="宋体" w:cs="宋体"/>
          <w:sz w:val="24"/>
        </w:rPr>
      </w:pPr>
      <w:r>
        <w:rPr>
          <w:rFonts w:hint="eastAsia" w:ascii="宋体" w:hAnsi="宋体" w:cs="宋体"/>
          <w:sz w:val="24"/>
        </w:rPr>
        <w:t>本合同单价（含税）为：￥</w:t>
      </w:r>
      <w:r>
        <w:rPr>
          <w:rFonts w:hint="eastAsia" w:ascii="宋体" w:hAnsi="宋体" w:cs="宋体"/>
          <w:sz w:val="24"/>
          <w:u w:val="single"/>
        </w:rPr>
        <w:t xml:space="preserve">           </w:t>
      </w:r>
      <w:r>
        <w:rPr>
          <w:rFonts w:hint="eastAsia" w:ascii="宋体" w:hAnsi="宋体" w:cs="宋体"/>
          <w:sz w:val="24"/>
        </w:rPr>
        <w:t>元</w:t>
      </w:r>
      <w:bookmarkStart w:id="414" w:name="_Toc1814"/>
      <w:bookmarkStart w:id="415" w:name="_Toc22618"/>
      <w:bookmarkStart w:id="416" w:name="_Toc10340"/>
      <w:r>
        <w:rPr>
          <w:rFonts w:hint="eastAsia" w:ascii="宋体" w:hAnsi="宋体" w:cs="宋体"/>
          <w:sz w:val="24"/>
        </w:rPr>
        <w:t>（含公路运输）。</w:t>
      </w:r>
    </w:p>
    <w:p w14:paraId="75B98145">
      <w:pPr>
        <w:pStyle w:val="958"/>
        <w:spacing w:before="0" w:beforeAutospacing="0" w:after="0" w:afterAutospacing="0" w:line="360" w:lineRule="auto"/>
        <w:ind w:firstLine="480"/>
        <w:rPr>
          <w:rFonts w:hint="eastAsia"/>
          <w:b/>
        </w:rPr>
      </w:pPr>
      <w:r>
        <w:rPr>
          <w:rFonts w:hint="eastAsia"/>
          <w:b/>
        </w:rPr>
        <w:t>1.4履约保证金</w:t>
      </w:r>
    </w:p>
    <w:p w14:paraId="515AC1CE">
      <w:pPr>
        <w:pStyle w:val="958"/>
        <w:spacing w:before="0" w:beforeAutospacing="0" w:after="0" w:afterAutospacing="0" w:line="360" w:lineRule="auto"/>
        <w:ind w:firstLine="480"/>
        <w:rPr>
          <w:rFonts w:hint="eastAsia"/>
        </w:rPr>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3CC6AFF7">
      <w:pPr>
        <w:spacing w:line="360" w:lineRule="auto"/>
        <w:ind w:firstLine="480" w:firstLineChars="200"/>
        <w:rPr>
          <w:rFonts w:hint="eastAsia"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293D78B">
      <w:pPr>
        <w:spacing w:line="360" w:lineRule="auto"/>
        <w:ind w:firstLine="480" w:firstLineChars="200"/>
        <w:rPr>
          <w:rFonts w:hint="eastAsia"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Cs/>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778AC2E">
      <w:pPr>
        <w:tabs>
          <w:tab w:val="left" w:pos="0"/>
        </w:tabs>
        <w:spacing w:line="360" w:lineRule="auto"/>
        <w:ind w:firstLine="480" w:firstLineChars="200"/>
      </w:pPr>
      <w:r>
        <w:rPr>
          <w:rFonts w:hint="eastAsia" w:ascii="宋体" w:hAnsi="宋体" w:cs="宋体"/>
          <w:kern w:val="0"/>
          <w:sz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18C8C0">
      <w:pPr>
        <w:spacing w:line="360" w:lineRule="auto"/>
        <w:ind w:firstLine="482" w:firstLineChars="200"/>
        <w:rPr>
          <w:rFonts w:hint="eastAsia" w:ascii="宋体" w:hAnsi="宋体" w:cs="宋体"/>
          <w:b/>
          <w:sz w:val="24"/>
        </w:rPr>
      </w:pPr>
      <w:r>
        <w:rPr>
          <w:rFonts w:hint="eastAsia" w:ascii="宋体" w:hAnsi="宋体" w:cs="宋体"/>
          <w:b/>
          <w:sz w:val="24"/>
        </w:rPr>
        <w:t>1.5</w:t>
      </w:r>
      <w:bookmarkEnd w:id="414"/>
      <w:bookmarkEnd w:id="415"/>
      <w:bookmarkEnd w:id="416"/>
      <w:r>
        <w:rPr>
          <w:rFonts w:hint="eastAsia" w:ascii="宋体" w:hAnsi="宋体" w:cs="宋体"/>
          <w:b/>
          <w:sz w:val="24"/>
        </w:rPr>
        <w:t>预付款</w:t>
      </w:r>
    </w:p>
    <w:p w14:paraId="1AC39D9A">
      <w:pPr>
        <w:pStyle w:val="958"/>
        <w:spacing w:before="0" w:beforeAutospacing="0" w:after="0" w:afterAutospacing="0" w:line="360" w:lineRule="auto"/>
        <w:ind w:firstLine="480"/>
        <w:rPr>
          <w:rFonts w:hint="eastAsia"/>
        </w:rPr>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0D087203">
      <w:pPr>
        <w:spacing w:line="360" w:lineRule="auto"/>
        <w:ind w:firstLine="480" w:firstLineChars="200"/>
        <w:rPr>
          <w:rFonts w:hint="eastAsia"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410BB6F1">
      <w:pPr>
        <w:pStyle w:val="958"/>
        <w:spacing w:before="0" w:beforeAutospacing="0" w:after="0" w:afterAutospacing="0" w:line="360" w:lineRule="auto"/>
        <w:ind w:firstLine="480"/>
        <w:rPr>
          <w:rFonts w:hint="eastAsia"/>
        </w:rPr>
      </w:pPr>
      <w:r>
        <w:rPr>
          <w:rFonts w:hint="eastAsia"/>
        </w:rPr>
        <w:t>1.5.2预付款的扣回方式详见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70871164">
      <w:pPr>
        <w:pStyle w:val="958"/>
        <w:spacing w:before="0" w:beforeAutospacing="0" w:after="0" w:afterAutospacing="0" w:line="360" w:lineRule="auto"/>
        <w:ind w:firstLine="480"/>
        <w:rPr>
          <w:rFonts w:hint="eastAsia"/>
          <w:u w:val="single"/>
        </w:rPr>
      </w:pPr>
      <w:r>
        <w:rPr>
          <w:rFonts w:hint="eastAsia"/>
        </w:rPr>
        <w:t>1.5.3预付款的担保措施详见</w:t>
      </w:r>
      <w:r>
        <w:rPr>
          <w:rFonts w:hint="eastAsia"/>
          <w:u w:val="single"/>
        </w:rPr>
        <w:t xml:space="preserve">    </w:t>
      </w:r>
      <w:r>
        <w:rPr>
          <w:rFonts w:hint="eastAsia"/>
          <w:b/>
          <w:u w:val="single"/>
        </w:rPr>
        <w:t>合同专用条款</w:t>
      </w:r>
      <w:r>
        <w:rPr>
          <w:rFonts w:hint="eastAsia"/>
          <w:u w:val="single"/>
        </w:rPr>
        <w:t xml:space="preserve">          </w:t>
      </w:r>
      <w:r>
        <w:rPr>
          <w:rFonts w:hint="eastAsia"/>
        </w:rPr>
        <w:t>。</w:t>
      </w:r>
    </w:p>
    <w:p w14:paraId="4BAC9CCA">
      <w:pPr>
        <w:pStyle w:val="958"/>
        <w:spacing w:before="0" w:beforeAutospacing="0" w:after="0" w:afterAutospacing="0" w:line="360" w:lineRule="auto"/>
        <w:ind w:firstLine="480"/>
        <w:rPr>
          <w:rFonts w:hint="eastAsia"/>
          <w:b/>
          <w:bCs/>
        </w:rPr>
      </w:pPr>
      <w:r>
        <w:rPr>
          <w:rFonts w:hint="eastAsia"/>
          <w:b/>
          <w:bCs/>
        </w:rPr>
        <w:t>1.6资金支付</w:t>
      </w:r>
    </w:p>
    <w:p w14:paraId="7C2F7016">
      <w:pPr>
        <w:pStyle w:val="958"/>
        <w:spacing w:before="0" w:beforeAutospacing="0" w:after="0" w:afterAutospacing="0" w:line="360" w:lineRule="auto"/>
        <w:ind w:firstLine="480"/>
        <w:rPr>
          <w:rFonts w:hint="eastAsia"/>
        </w:rPr>
      </w:pPr>
      <w:r>
        <w:rPr>
          <w:rFonts w:hint="eastAsia"/>
        </w:rPr>
        <w:t>1.6.1甲方应严格履行合同，及时组织验收。</w:t>
      </w:r>
    </w:p>
    <w:p w14:paraId="1739CA03">
      <w:pPr>
        <w:spacing w:line="360" w:lineRule="auto"/>
        <w:ind w:firstLine="480" w:firstLineChars="200"/>
        <w:rPr>
          <w:rFonts w:hint="eastAsia" w:ascii="宋体" w:hAnsi="宋体" w:cs="宋体"/>
          <w:sz w:val="24"/>
        </w:rPr>
      </w:pPr>
      <w:r>
        <w:rPr>
          <w:rFonts w:hint="eastAsia" w:ascii="宋体" w:hAnsi="宋体" w:cs="宋体"/>
          <w:sz w:val="24"/>
        </w:rPr>
        <w:t>1.6.2资金支付的方式、时间和条件详见</w:t>
      </w:r>
      <w:r>
        <w:rPr>
          <w:rFonts w:hint="eastAsia" w:ascii="宋体" w:hAnsi="宋体" w:cs="宋体"/>
          <w:b/>
          <w:sz w:val="24"/>
          <w:u w:val="single"/>
        </w:rPr>
        <w:t>合同专用条款</w:t>
      </w:r>
      <w:r>
        <w:rPr>
          <w:rFonts w:hint="eastAsia" w:ascii="宋体" w:hAnsi="宋体" w:cs="宋体"/>
          <w:sz w:val="24"/>
        </w:rPr>
        <w:t>。</w:t>
      </w:r>
    </w:p>
    <w:p w14:paraId="0C8B8460">
      <w:pPr>
        <w:spacing w:line="360" w:lineRule="auto"/>
        <w:ind w:firstLine="482" w:firstLineChars="200"/>
        <w:rPr>
          <w:rFonts w:hint="eastAsia" w:ascii="宋体" w:hAnsi="宋体" w:cs="宋体"/>
          <w:b/>
          <w:sz w:val="24"/>
        </w:rPr>
      </w:pPr>
      <w:bookmarkStart w:id="417" w:name="_Toc19304"/>
      <w:bookmarkStart w:id="418" w:name="_Toc32071"/>
      <w:bookmarkStart w:id="419" w:name="_Toc2846"/>
      <w:r>
        <w:rPr>
          <w:rFonts w:hint="eastAsia" w:ascii="宋体" w:hAnsi="宋体" w:cs="宋体"/>
          <w:b/>
          <w:sz w:val="24"/>
        </w:rPr>
        <w:t>1.7货物交付期限、地点和方式</w:t>
      </w:r>
      <w:bookmarkEnd w:id="417"/>
      <w:bookmarkEnd w:id="418"/>
      <w:bookmarkEnd w:id="419"/>
    </w:p>
    <w:p w14:paraId="0698E921">
      <w:pPr>
        <w:spacing w:line="360" w:lineRule="auto"/>
        <w:ind w:firstLine="480" w:firstLineChars="200"/>
        <w:rPr>
          <w:rFonts w:hint="eastAsia" w:ascii="宋体" w:hAnsi="宋体" w:cs="宋体"/>
          <w:sz w:val="24"/>
          <w:u w:val="single"/>
        </w:rPr>
      </w:pPr>
      <w:r>
        <w:rPr>
          <w:rFonts w:hint="eastAsia" w:ascii="宋体" w:hAnsi="宋体" w:cs="宋体"/>
          <w:sz w:val="24"/>
        </w:rPr>
        <w:t>1.7.1 交付期限：详见</w:t>
      </w:r>
      <w:r>
        <w:rPr>
          <w:rFonts w:hint="eastAsia" w:ascii="宋体" w:hAnsi="宋体" w:cs="宋体"/>
          <w:b/>
          <w:sz w:val="24"/>
          <w:u w:val="single"/>
        </w:rPr>
        <w:t>合同专用条款</w:t>
      </w:r>
      <w:r>
        <w:rPr>
          <w:rFonts w:hint="eastAsia" w:ascii="宋体" w:hAnsi="宋体" w:cs="宋体"/>
          <w:sz w:val="24"/>
        </w:rPr>
        <w:t>；</w:t>
      </w:r>
    </w:p>
    <w:p w14:paraId="3A5DBC59">
      <w:pPr>
        <w:spacing w:line="360" w:lineRule="auto"/>
        <w:ind w:firstLine="480" w:firstLineChars="200"/>
        <w:rPr>
          <w:rFonts w:hint="eastAsia" w:ascii="宋体" w:hAnsi="宋体" w:cs="宋体"/>
          <w:sz w:val="24"/>
        </w:rPr>
      </w:pPr>
      <w:r>
        <w:rPr>
          <w:rFonts w:hint="eastAsia" w:ascii="宋体" w:hAnsi="宋体" w:cs="宋体"/>
          <w:sz w:val="24"/>
        </w:rPr>
        <w:t>1.7.2 交付地点：</w:t>
      </w:r>
      <w:r>
        <w:rPr>
          <w:rFonts w:hint="eastAsia" w:ascii="宋体" w:hAnsi="宋体" w:cs="宋体"/>
          <w:b/>
          <w:sz w:val="24"/>
          <w:u w:val="single"/>
        </w:rPr>
        <w:t>合同专用条款</w:t>
      </w:r>
      <w:r>
        <w:rPr>
          <w:rFonts w:hint="eastAsia" w:ascii="宋体" w:hAnsi="宋体" w:cs="宋体"/>
          <w:sz w:val="24"/>
        </w:rPr>
        <w:t>；</w:t>
      </w:r>
    </w:p>
    <w:p w14:paraId="77D077FE">
      <w:pPr>
        <w:spacing w:line="360" w:lineRule="auto"/>
        <w:ind w:firstLine="480" w:firstLineChars="200"/>
        <w:rPr>
          <w:rFonts w:hint="eastAsia" w:ascii="宋体" w:hAnsi="宋体" w:cs="宋体"/>
          <w:sz w:val="24"/>
        </w:rPr>
      </w:pPr>
      <w:r>
        <w:rPr>
          <w:rFonts w:hint="eastAsia" w:ascii="宋体" w:hAnsi="宋体" w:cs="宋体"/>
          <w:sz w:val="24"/>
        </w:rPr>
        <w:t>1.7.3 交付方式：</w:t>
      </w:r>
      <w:r>
        <w:rPr>
          <w:rFonts w:hint="eastAsia" w:ascii="宋体" w:hAnsi="宋体" w:cs="宋体"/>
          <w:b/>
          <w:sz w:val="24"/>
          <w:u w:val="single"/>
        </w:rPr>
        <w:t>合同专用条款</w:t>
      </w:r>
      <w:r>
        <w:rPr>
          <w:rFonts w:hint="eastAsia" w:ascii="宋体" w:hAnsi="宋体" w:cs="宋体"/>
          <w:sz w:val="24"/>
        </w:rPr>
        <w:t>。</w:t>
      </w:r>
    </w:p>
    <w:p w14:paraId="3618F009">
      <w:pPr>
        <w:spacing w:line="360" w:lineRule="auto"/>
        <w:ind w:firstLine="482" w:firstLineChars="200"/>
        <w:rPr>
          <w:rFonts w:hint="eastAsia" w:ascii="宋体" w:hAnsi="宋体" w:cs="宋体"/>
          <w:b/>
          <w:sz w:val="24"/>
        </w:rPr>
      </w:pPr>
      <w:bookmarkStart w:id="420" w:name="_Toc19554"/>
      <w:bookmarkStart w:id="421" w:name="_Toc27250"/>
      <w:bookmarkStart w:id="422" w:name="_Toc21423"/>
      <w:r>
        <w:rPr>
          <w:rFonts w:hint="eastAsia" w:ascii="宋体" w:hAnsi="宋体" w:cs="宋体"/>
          <w:b/>
          <w:sz w:val="24"/>
        </w:rPr>
        <w:t>1.8违约责任</w:t>
      </w:r>
      <w:bookmarkEnd w:id="420"/>
      <w:bookmarkEnd w:id="421"/>
      <w:bookmarkEnd w:id="422"/>
    </w:p>
    <w:p w14:paraId="417BEBDA">
      <w:pPr>
        <w:spacing w:line="360" w:lineRule="auto"/>
        <w:ind w:firstLine="480" w:firstLineChars="200"/>
        <w:rPr>
          <w:rFonts w:hint="eastAsia" w:ascii="宋体" w:hAnsi="宋体" w:cs="宋体"/>
          <w:sz w:val="24"/>
        </w:rPr>
      </w:pPr>
      <w:r>
        <w:rPr>
          <w:rFonts w:hint="eastAsia" w:ascii="宋体" w:hAnsi="宋体" w:cs="宋体"/>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sz w:val="24"/>
          <w:u w:val="single"/>
        </w:rPr>
        <w:t xml:space="preserve">  0.05</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%计算，最高限额为本合同总价的</w:t>
      </w:r>
      <w:r>
        <w:rPr>
          <w:rFonts w:hint="eastAsia" w:ascii="宋体" w:hAnsi="宋体" w:cs="宋体"/>
          <w:sz w:val="24"/>
          <w:u w:val="single"/>
        </w:rPr>
        <w:t xml:space="preserve"> 20   </w:t>
      </w:r>
      <w:r>
        <w:rPr>
          <w:rFonts w:hint="eastAsia" w:ascii="宋体" w:hAnsi="宋体" w:cs="宋体"/>
          <w:sz w:val="24"/>
        </w:rPr>
        <w:t>%；迟延交付货物的违约金计算数额达到前述最高限额之日起，甲方有权在要求乙方支付违约金的同时，书面通知乙方解除本合同；</w:t>
      </w:r>
    </w:p>
    <w:p w14:paraId="50DABF10">
      <w:pPr>
        <w:spacing w:line="360" w:lineRule="auto"/>
        <w:ind w:firstLine="480" w:firstLineChars="200"/>
        <w:rPr>
          <w:rFonts w:hint="eastAsia" w:ascii="宋体" w:hAnsi="宋体" w:cs="宋体"/>
          <w:sz w:val="24"/>
        </w:rPr>
      </w:pPr>
      <w:r>
        <w:rPr>
          <w:rFonts w:hint="eastAsia" w:ascii="宋体" w:hAnsi="宋体" w:cs="宋体"/>
          <w:sz w:val="24"/>
        </w:rPr>
        <w:t>1.8.2 本合同有效期内，甲、乙双方任何一方均不能擅自解除或终止本合同，一方确有客观原因需要解除或终止本合同的，应提前三个月以书面形式向另一方进行说明解除或终止合同的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7F6B5733">
      <w:pPr>
        <w:spacing w:line="360" w:lineRule="auto"/>
        <w:ind w:left="-420" w:leftChars="-200" w:right="-420" w:rightChars="-200" w:firstLine="960" w:firstLineChars="400"/>
        <w:rPr>
          <w:rFonts w:hint="eastAsia" w:ascii="宋体" w:hAnsi="宋体" w:cs="宋体"/>
        </w:rPr>
      </w:pPr>
      <w:r>
        <w:rPr>
          <w:rFonts w:hint="eastAsia" w:ascii="宋体" w:hAnsi="宋体" w:cs="宋体"/>
          <w:sz w:val="24"/>
        </w:rPr>
        <w:t>1.8.3违约责任</w:t>
      </w:r>
      <w:r>
        <w:rPr>
          <w:rFonts w:hint="eastAsia" w:ascii="宋体" w:hAnsi="宋体" w:cs="宋体"/>
          <w:b/>
          <w:sz w:val="24"/>
          <w:u w:val="single"/>
        </w:rPr>
        <w:t>合同专用条款</w:t>
      </w:r>
      <w:r>
        <w:rPr>
          <w:rFonts w:hint="eastAsia" w:ascii="宋体" w:hAnsi="宋体" w:cs="宋体"/>
          <w:sz w:val="24"/>
        </w:rPr>
        <w:t>另有约定的，从其约定。</w:t>
      </w:r>
    </w:p>
    <w:p w14:paraId="215FFDA1">
      <w:pPr>
        <w:spacing w:line="360" w:lineRule="auto"/>
        <w:ind w:firstLine="482" w:firstLineChars="200"/>
        <w:rPr>
          <w:rFonts w:hint="eastAsia" w:ascii="宋体" w:hAnsi="宋体" w:cs="宋体"/>
          <w:b/>
          <w:sz w:val="24"/>
        </w:rPr>
      </w:pPr>
      <w:bookmarkStart w:id="423" w:name="_Toc16021"/>
      <w:bookmarkStart w:id="424" w:name="_Toc28375"/>
      <w:bookmarkStart w:id="425" w:name="_Toc15583"/>
      <w:r>
        <w:rPr>
          <w:rFonts w:hint="eastAsia" w:ascii="宋体" w:hAnsi="宋体" w:cs="宋体"/>
          <w:b/>
          <w:sz w:val="24"/>
        </w:rPr>
        <w:t>1.9合同争议的解决</w:t>
      </w:r>
      <w:bookmarkEnd w:id="423"/>
      <w:bookmarkEnd w:id="424"/>
      <w:bookmarkEnd w:id="425"/>
    </w:p>
    <w:p w14:paraId="2A245E34">
      <w:pPr>
        <w:spacing w:line="360" w:lineRule="auto"/>
        <w:ind w:left="-61" w:leftChars="-29" w:right="-420" w:rightChars="-200" w:firstLine="240" w:firstLineChars="100"/>
        <w:rPr>
          <w:rFonts w:hint="eastAsia"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sz w:val="24"/>
          <w:u w:val="single"/>
        </w:rPr>
        <w:t xml:space="preserve">      </w:t>
      </w:r>
      <w:r>
        <w:rPr>
          <w:rFonts w:hint="eastAsia" w:ascii="宋体" w:hAnsi="宋体" w:cs="宋体"/>
          <w:sz w:val="24"/>
        </w:rPr>
        <w:t>条款规定的方式解决：</w:t>
      </w:r>
    </w:p>
    <w:p w14:paraId="76688688">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1.9.1 将争议提交</w:t>
      </w:r>
      <w:r>
        <w:rPr>
          <w:rFonts w:hint="eastAsia" w:ascii="宋体" w:hAnsi="宋体" w:cs="宋体"/>
          <w:b/>
          <w:sz w:val="24"/>
          <w:u w:val="single"/>
        </w:rPr>
        <w:t>合同专用条款</w:t>
      </w:r>
      <w:r>
        <w:rPr>
          <w:rFonts w:hint="eastAsia" w:ascii="宋体" w:hAnsi="宋体" w:cs="宋体"/>
          <w:sz w:val="24"/>
        </w:rPr>
        <w:t>仲裁委员会依申请仲裁时其现行有效的仲裁规则裁决；</w:t>
      </w:r>
    </w:p>
    <w:p w14:paraId="7425F0CC">
      <w:pPr>
        <w:spacing w:line="360" w:lineRule="auto"/>
        <w:ind w:left="-420" w:leftChars="-200" w:right="-420" w:rightChars="-200" w:firstLine="840" w:firstLineChars="350"/>
        <w:rPr>
          <w:rFonts w:hint="eastAsia" w:ascii="宋体" w:hAnsi="宋体" w:cs="宋体"/>
          <w:sz w:val="24"/>
        </w:rPr>
      </w:pPr>
      <w:r>
        <w:rPr>
          <w:rFonts w:hint="eastAsia" w:ascii="宋体" w:hAnsi="宋体" w:cs="宋体"/>
          <w:sz w:val="24"/>
        </w:rPr>
        <w:t>1.9.2 向</w:t>
      </w:r>
      <w:r>
        <w:rPr>
          <w:rFonts w:hint="eastAsia" w:ascii="宋体" w:hAnsi="宋体" w:cs="宋体"/>
          <w:b/>
          <w:sz w:val="24"/>
          <w:u w:val="single"/>
        </w:rPr>
        <w:t>合同专用条款</w:t>
      </w:r>
      <w:r>
        <w:rPr>
          <w:rFonts w:hint="eastAsia" w:ascii="宋体" w:hAnsi="宋体" w:cs="宋体"/>
          <w:sz w:val="24"/>
        </w:rPr>
        <w:t>人民法院起诉。</w:t>
      </w:r>
    </w:p>
    <w:p w14:paraId="591D1382">
      <w:pPr>
        <w:spacing w:line="360" w:lineRule="auto"/>
        <w:ind w:firstLine="482" w:firstLineChars="200"/>
        <w:rPr>
          <w:rFonts w:hint="eastAsia" w:ascii="宋体" w:hAnsi="宋体" w:cs="宋体"/>
          <w:b/>
          <w:sz w:val="24"/>
        </w:rPr>
      </w:pPr>
      <w:bookmarkStart w:id="426" w:name="_Toc11173"/>
      <w:bookmarkStart w:id="427" w:name="_Toc15322"/>
      <w:bookmarkStart w:id="428" w:name="_Toc7245"/>
    </w:p>
    <w:p w14:paraId="77D73022">
      <w:pPr>
        <w:spacing w:line="360" w:lineRule="auto"/>
        <w:ind w:firstLine="482" w:firstLineChars="200"/>
        <w:rPr>
          <w:rFonts w:hint="eastAsia" w:ascii="宋体" w:hAnsi="宋体" w:cs="宋体"/>
          <w:b/>
          <w:sz w:val="24"/>
        </w:rPr>
      </w:pPr>
      <w:r>
        <w:rPr>
          <w:rFonts w:hint="eastAsia" w:ascii="宋体" w:hAnsi="宋体" w:cs="宋体"/>
          <w:b/>
          <w:sz w:val="24"/>
        </w:rPr>
        <w:t>2.0 合同生效</w:t>
      </w:r>
      <w:bookmarkEnd w:id="426"/>
      <w:bookmarkEnd w:id="427"/>
      <w:bookmarkEnd w:id="428"/>
    </w:p>
    <w:p w14:paraId="312B36A2">
      <w:pPr>
        <w:spacing w:line="360" w:lineRule="auto"/>
        <w:ind w:firstLine="480" w:firstLineChars="200"/>
        <w:rPr>
          <w:rFonts w:hint="eastAsia" w:ascii="宋体" w:hAnsi="宋体" w:cs="宋体"/>
          <w:b/>
          <w:sz w:val="24"/>
        </w:rPr>
      </w:pPr>
      <w:r>
        <w:rPr>
          <w:rFonts w:hint="eastAsia" w:ascii="宋体" w:hAnsi="宋体" w:cs="宋体"/>
          <w:sz w:val="24"/>
        </w:rPr>
        <w:t>本合同自双方当事人盖章签字时生效。</w:t>
      </w:r>
    </w:p>
    <w:p w14:paraId="04BB05A3">
      <w:pPr>
        <w:autoSpaceDE w:val="0"/>
        <w:autoSpaceDN w:val="0"/>
        <w:spacing w:line="360" w:lineRule="auto"/>
        <w:rPr>
          <w:rFonts w:hint="eastAsia" w:ascii="宋体" w:hAnsi="宋体" w:cs="宋体"/>
          <w:b/>
          <w:sz w:val="24"/>
          <w:lang w:val="zh-CN"/>
        </w:rPr>
      </w:pPr>
    </w:p>
    <w:p w14:paraId="2BC821E8">
      <w:pPr>
        <w:autoSpaceDE w:val="0"/>
        <w:autoSpaceDN w:val="0"/>
        <w:spacing w:line="360" w:lineRule="auto"/>
        <w:rPr>
          <w:rFonts w:hint="eastAsia" w:ascii="宋体" w:hAnsi="宋体" w:cs="宋体"/>
          <w:sz w:val="24"/>
          <w:lang w:val="zh-CN"/>
        </w:rPr>
      </w:pPr>
      <w:r>
        <w:rPr>
          <w:rFonts w:hint="eastAsia" w:ascii="宋体" w:hAnsi="宋体" w:cs="宋体"/>
          <w:b/>
          <w:sz w:val="24"/>
          <w:lang w:val="zh-CN"/>
        </w:rPr>
        <w:t>甲方</w:t>
      </w:r>
      <w:r>
        <w:rPr>
          <w:rFonts w:hint="eastAsia" w:ascii="宋体" w:hAnsi="宋体" w:cs="宋体"/>
          <w:sz w:val="24"/>
          <w:lang w:val="zh-CN"/>
        </w:rPr>
        <w:t xml:space="preserve">：                             </w:t>
      </w:r>
      <w:r>
        <w:rPr>
          <w:rFonts w:hint="eastAsia" w:ascii="宋体" w:hAnsi="宋体" w:cs="宋体"/>
          <w:b/>
          <w:sz w:val="24"/>
          <w:lang w:val="zh-CN"/>
        </w:rPr>
        <w:t xml:space="preserve">      乙方</w:t>
      </w:r>
      <w:r>
        <w:rPr>
          <w:rFonts w:hint="eastAsia" w:ascii="宋体" w:hAnsi="宋体" w:cs="宋体"/>
          <w:sz w:val="24"/>
          <w:lang w:val="zh-CN"/>
        </w:rPr>
        <w:t>：</w:t>
      </w:r>
    </w:p>
    <w:p w14:paraId="61ACDA6C">
      <w:pPr>
        <w:autoSpaceDE w:val="0"/>
        <w:autoSpaceDN w:val="0"/>
        <w:spacing w:line="360" w:lineRule="auto"/>
        <w:rPr>
          <w:rFonts w:hint="eastAsia" w:ascii="宋体" w:hAnsi="宋体" w:cs="宋体"/>
          <w:sz w:val="24"/>
          <w:lang w:val="zh-CN"/>
        </w:rPr>
      </w:pPr>
      <w:r>
        <w:rPr>
          <w:rFonts w:hint="eastAsia" w:ascii="宋体" w:hAnsi="宋体" w:cs="宋体"/>
          <w:sz w:val="24"/>
          <w:lang w:val="zh-CN"/>
        </w:rPr>
        <w:t>统一社会信用代码：                       统一社会信用代码或身份证号码：</w:t>
      </w:r>
    </w:p>
    <w:p w14:paraId="7818FE2D">
      <w:pPr>
        <w:autoSpaceDE w:val="0"/>
        <w:autoSpaceDN w:val="0"/>
        <w:spacing w:line="360" w:lineRule="auto"/>
        <w:rPr>
          <w:rFonts w:hint="eastAsia" w:ascii="宋体" w:hAnsi="宋体" w:cs="宋体"/>
          <w:sz w:val="24"/>
          <w:lang w:val="zh-CN"/>
        </w:rPr>
      </w:pPr>
      <w:r>
        <w:rPr>
          <w:rFonts w:hint="eastAsia" w:ascii="宋体" w:hAnsi="宋体" w:cs="宋体"/>
          <w:sz w:val="24"/>
          <w:lang w:val="zh-CN"/>
        </w:rPr>
        <w:t>住所：                                   住所：</w:t>
      </w:r>
    </w:p>
    <w:p w14:paraId="2BE20E2F">
      <w:pPr>
        <w:autoSpaceDE w:val="0"/>
        <w:autoSpaceDN w:val="0"/>
        <w:spacing w:line="360" w:lineRule="auto"/>
        <w:rPr>
          <w:rFonts w:hint="eastAsia" w:ascii="宋体" w:hAnsi="宋体" w:cs="宋体"/>
          <w:sz w:val="24"/>
          <w:lang w:val="zh-CN"/>
        </w:rPr>
      </w:pPr>
      <w:r>
        <w:rPr>
          <w:rFonts w:hint="eastAsia" w:ascii="宋体" w:hAnsi="宋体" w:cs="宋体"/>
          <w:sz w:val="24"/>
          <w:lang w:val="zh-CN"/>
        </w:rPr>
        <w:t>法定代表人或                             法定代表人</w:t>
      </w:r>
    </w:p>
    <w:p w14:paraId="054DC259">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授权代表（签字）：                       或授权代表（签字）： </w:t>
      </w:r>
    </w:p>
    <w:p w14:paraId="18D738BE">
      <w:pPr>
        <w:autoSpaceDE w:val="0"/>
        <w:autoSpaceDN w:val="0"/>
        <w:spacing w:line="360" w:lineRule="auto"/>
        <w:rPr>
          <w:rFonts w:hint="eastAsia" w:ascii="宋体" w:hAnsi="宋体" w:cs="宋体"/>
          <w:sz w:val="24"/>
          <w:lang w:val="zh-CN"/>
        </w:rPr>
      </w:pPr>
      <w:r>
        <w:rPr>
          <w:rFonts w:hint="eastAsia" w:ascii="宋体" w:hAnsi="宋体" w:cs="宋体"/>
          <w:sz w:val="24"/>
          <w:lang w:val="zh-CN"/>
        </w:rPr>
        <w:t>联系人：                                 联系人：</w:t>
      </w:r>
    </w:p>
    <w:p w14:paraId="4595ECC0">
      <w:pPr>
        <w:autoSpaceDE w:val="0"/>
        <w:autoSpaceDN w:val="0"/>
        <w:spacing w:line="360" w:lineRule="auto"/>
        <w:rPr>
          <w:rFonts w:hint="eastAsia" w:ascii="宋体" w:hAnsi="宋体" w:cs="宋体"/>
          <w:sz w:val="24"/>
          <w:lang w:val="zh-CN"/>
        </w:rPr>
      </w:pPr>
      <w:r>
        <w:rPr>
          <w:rFonts w:hint="eastAsia" w:ascii="宋体" w:hAnsi="宋体" w:cs="宋体"/>
          <w:sz w:val="24"/>
          <w:lang w:val="zh-CN"/>
        </w:rPr>
        <w:t>约定送达地址：                           约定送达地址：</w:t>
      </w:r>
    </w:p>
    <w:p w14:paraId="6145AFB1">
      <w:pPr>
        <w:autoSpaceDE w:val="0"/>
        <w:autoSpaceDN w:val="0"/>
        <w:spacing w:line="360" w:lineRule="auto"/>
        <w:rPr>
          <w:rFonts w:hint="eastAsia" w:ascii="宋体" w:hAnsi="宋体" w:cs="宋体"/>
          <w:sz w:val="24"/>
          <w:lang w:val="zh-CN"/>
        </w:rPr>
      </w:pPr>
      <w:r>
        <w:rPr>
          <w:rFonts w:hint="eastAsia" w:ascii="宋体" w:hAnsi="宋体" w:cs="宋体"/>
          <w:sz w:val="24"/>
          <w:lang w:val="zh-CN"/>
        </w:rPr>
        <w:t>邮政编码：                               邮政编码：</w:t>
      </w:r>
    </w:p>
    <w:p w14:paraId="2D71A2E6">
      <w:pPr>
        <w:autoSpaceDE w:val="0"/>
        <w:autoSpaceDN w:val="0"/>
        <w:spacing w:line="360" w:lineRule="auto"/>
        <w:rPr>
          <w:rFonts w:hint="eastAsia" w:ascii="宋体" w:hAnsi="宋体" w:cs="宋体"/>
          <w:sz w:val="24"/>
          <w:lang w:val="zh-CN"/>
        </w:rPr>
      </w:pPr>
      <w:r>
        <w:rPr>
          <w:rFonts w:hint="eastAsia" w:ascii="宋体" w:hAnsi="宋体" w:cs="宋体"/>
          <w:sz w:val="24"/>
          <w:lang w:val="zh-CN"/>
        </w:rPr>
        <w:t xml:space="preserve">电话：                                    电话： </w:t>
      </w:r>
    </w:p>
    <w:p w14:paraId="5079B275">
      <w:pPr>
        <w:autoSpaceDE w:val="0"/>
        <w:autoSpaceDN w:val="0"/>
        <w:spacing w:line="360" w:lineRule="auto"/>
        <w:rPr>
          <w:rFonts w:hint="eastAsia" w:ascii="宋体" w:hAnsi="宋体" w:cs="宋体"/>
          <w:sz w:val="24"/>
          <w:lang w:val="zh-CN"/>
        </w:rPr>
      </w:pPr>
      <w:r>
        <w:rPr>
          <w:rFonts w:hint="eastAsia" w:ascii="宋体" w:hAnsi="宋体" w:cs="宋体"/>
          <w:sz w:val="24"/>
          <w:lang w:val="zh-CN"/>
        </w:rPr>
        <w:t>传真：                                    传真：</w:t>
      </w:r>
    </w:p>
    <w:p w14:paraId="45F8EA28">
      <w:pPr>
        <w:autoSpaceDE w:val="0"/>
        <w:autoSpaceDN w:val="0"/>
        <w:spacing w:line="360" w:lineRule="auto"/>
        <w:rPr>
          <w:rFonts w:hint="eastAsia" w:ascii="宋体" w:hAnsi="宋体" w:cs="宋体"/>
          <w:sz w:val="24"/>
        </w:rPr>
      </w:pPr>
      <w:r>
        <w:rPr>
          <w:rFonts w:hint="eastAsia" w:ascii="宋体" w:hAnsi="宋体" w:cs="宋体"/>
          <w:sz w:val="24"/>
          <w:lang w:val="zh-CN"/>
        </w:rPr>
        <w:t>电子邮箱：                               电子邮箱：</w:t>
      </w:r>
    </w:p>
    <w:p w14:paraId="53826F51">
      <w:pPr>
        <w:autoSpaceDE w:val="0"/>
        <w:autoSpaceDN w:val="0"/>
        <w:spacing w:line="360" w:lineRule="auto"/>
        <w:rPr>
          <w:rFonts w:hint="eastAsia" w:ascii="宋体" w:hAnsi="宋体" w:cs="宋体"/>
          <w:sz w:val="24"/>
        </w:rPr>
      </w:pPr>
      <w:r>
        <w:rPr>
          <w:rFonts w:hint="eastAsia" w:ascii="宋体" w:hAnsi="宋体" w:cs="宋体"/>
          <w:sz w:val="24"/>
        </w:rPr>
        <w:t xml:space="preserve">开户银行：                               开户银行： </w:t>
      </w:r>
    </w:p>
    <w:p w14:paraId="7265D2A5">
      <w:pPr>
        <w:autoSpaceDE w:val="0"/>
        <w:autoSpaceDN w:val="0"/>
        <w:spacing w:line="360" w:lineRule="auto"/>
        <w:rPr>
          <w:rFonts w:hint="eastAsia" w:ascii="宋体" w:hAnsi="宋体" w:cs="宋体"/>
          <w:sz w:val="24"/>
        </w:rPr>
      </w:pPr>
      <w:r>
        <w:rPr>
          <w:rFonts w:hint="eastAsia" w:ascii="宋体" w:hAnsi="宋体" w:cs="宋体"/>
          <w:sz w:val="24"/>
        </w:rPr>
        <w:t xml:space="preserve">开户名称：                               开户名称： </w:t>
      </w:r>
    </w:p>
    <w:p w14:paraId="18BEAE50">
      <w:pPr>
        <w:autoSpaceDE w:val="0"/>
        <w:autoSpaceDN w:val="0"/>
        <w:spacing w:line="360" w:lineRule="auto"/>
        <w:rPr>
          <w:rFonts w:hint="eastAsia" w:ascii="宋体" w:hAnsi="宋体" w:cs="宋体"/>
          <w:sz w:val="24"/>
        </w:rPr>
      </w:pPr>
      <w:r>
        <w:rPr>
          <w:rFonts w:hint="eastAsia" w:ascii="宋体" w:hAnsi="宋体" w:cs="宋体"/>
          <w:sz w:val="24"/>
        </w:rPr>
        <w:t>开户账号：</w:t>
      </w:r>
      <w:r>
        <w:rPr>
          <w:rFonts w:hint="eastAsia" w:ascii="宋体" w:hAnsi="宋体" w:cs="宋体"/>
          <w:sz w:val="24"/>
          <w:lang w:val="zh-CN"/>
        </w:rPr>
        <w:t xml:space="preserve">                               </w:t>
      </w:r>
      <w:r>
        <w:rPr>
          <w:rFonts w:hint="eastAsia" w:ascii="宋体" w:hAnsi="宋体" w:cs="宋体"/>
          <w:sz w:val="24"/>
        </w:rPr>
        <w:t>开户账号：</w:t>
      </w:r>
    </w:p>
    <w:p w14:paraId="00A61202">
      <w:pPr>
        <w:autoSpaceDE w:val="0"/>
        <w:autoSpaceDN w:val="0"/>
        <w:spacing w:line="360" w:lineRule="auto"/>
        <w:rPr>
          <w:rFonts w:hint="eastAsia" w:ascii="宋体" w:hAnsi="宋体" w:cs="宋体"/>
          <w:sz w:val="24"/>
        </w:rPr>
      </w:pPr>
    </w:p>
    <w:p w14:paraId="41682C29">
      <w:pPr>
        <w:autoSpaceDE w:val="0"/>
        <w:autoSpaceDN w:val="0"/>
        <w:spacing w:line="360" w:lineRule="auto"/>
        <w:rPr>
          <w:rFonts w:hint="eastAsia" w:ascii="宋体" w:hAnsi="宋体" w:cs="宋体"/>
          <w:sz w:val="24"/>
        </w:rPr>
      </w:pPr>
      <w:r>
        <w:rPr>
          <w:rFonts w:hint="eastAsia" w:ascii="宋体" w:hAnsi="宋体" w:cs="宋体"/>
          <w:sz w:val="24"/>
        </w:rPr>
        <w:t>见证方：浙江中基正采管理咨询有限公司</w:t>
      </w:r>
    </w:p>
    <w:p w14:paraId="648C9F49">
      <w:pPr>
        <w:tabs>
          <w:tab w:val="left" w:pos="432"/>
        </w:tabs>
        <w:rPr>
          <w:rFonts w:hint="eastAsia" w:ascii="宋体" w:hAnsi="宋体" w:cs="宋体"/>
          <w:sz w:val="24"/>
        </w:rPr>
      </w:pPr>
    </w:p>
    <w:p w14:paraId="1998FFD7">
      <w:pPr>
        <w:rPr>
          <w:rFonts w:hint="eastAsia" w:ascii="宋体" w:hAnsi="宋体" w:cs="宋体"/>
          <w:sz w:val="24"/>
        </w:rPr>
      </w:pPr>
    </w:p>
    <w:p w14:paraId="77A1A7D1">
      <w:pPr>
        <w:tabs>
          <w:tab w:val="left" w:pos="432"/>
        </w:tabs>
        <w:rPr>
          <w:rFonts w:hint="eastAsia" w:ascii="宋体" w:hAnsi="宋体" w:cs="宋体"/>
          <w:sz w:val="24"/>
        </w:rPr>
      </w:pPr>
    </w:p>
    <w:p w14:paraId="682301A7">
      <w:pPr>
        <w:rPr>
          <w:rFonts w:hint="eastAsia" w:ascii="宋体" w:hAnsi="宋体" w:cs="宋体"/>
          <w:sz w:val="24"/>
        </w:rPr>
      </w:pPr>
    </w:p>
    <w:p w14:paraId="6CB0BB92">
      <w:pPr>
        <w:tabs>
          <w:tab w:val="left" w:pos="432"/>
        </w:tabs>
        <w:rPr>
          <w:rFonts w:hint="eastAsia" w:ascii="宋体" w:hAnsi="宋体" w:cs="宋体"/>
          <w:sz w:val="24"/>
        </w:rPr>
      </w:pPr>
    </w:p>
    <w:p w14:paraId="687BA457">
      <w:pPr>
        <w:rPr>
          <w:rFonts w:hint="eastAsia" w:ascii="宋体" w:hAnsi="宋体" w:cs="宋体"/>
          <w:sz w:val="24"/>
        </w:rPr>
      </w:pPr>
    </w:p>
    <w:p w14:paraId="7A0FAD65">
      <w:pPr>
        <w:rPr>
          <w:rFonts w:hint="eastAsia" w:ascii="宋体" w:hAnsi="宋体" w:cs="宋体"/>
          <w:b/>
        </w:rPr>
      </w:pPr>
      <w:r>
        <w:rPr>
          <w:rFonts w:hint="eastAsia" w:ascii="宋体" w:hAnsi="宋体" w:cs="宋体"/>
          <w:b/>
        </w:rPr>
        <w:br w:type="page"/>
      </w:r>
    </w:p>
    <w:p w14:paraId="334875AC">
      <w:pPr>
        <w:pStyle w:val="700"/>
        <w:spacing w:line="560" w:lineRule="exact"/>
        <w:ind w:firstLine="482"/>
        <w:jc w:val="center"/>
        <w:rPr>
          <w:rFonts w:hint="eastAsia" w:ascii="宋体" w:hAnsi="宋体" w:cs="宋体"/>
          <w:b/>
          <w:szCs w:val="24"/>
        </w:rPr>
      </w:pPr>
      <w:r>
        <w:rPr>
          <w:rFonts w:hint="eastAsia" w:ascii="宋体" w:hAnsi="宋体" w:cs="宋体"/>
          <w:b/>
          <w:szCs w:val="24"/>
        </w:rPr>
        <w:t>第二部分 合同一般条款</w:t>
      </w:r>
    </w:p>
    <w:p w14:paraId="75D7657C">
      <w:pPr>
        <w:spacing w:line="560" w:lineRule="exact"/>
        <w:ind w:firstLine="482" w:firstLineChars="200"/>
        <w:rPr>
          <w:rFonts w:hint="eastAsia" w:ascii="宋体" w:hAnsi="宋体" w:cs="宋体"/>
          <w:b/>
          <w:sz w:val="24"/>
        </w:rPr>
      </w:pPr>
      <w:bookmarkStart w:id="429" w:name="_Ref467379225"/>
      <w:bookmarkStart w:id="430" w:name="_Ref467378499"/>
      <w:bookmarkStart w:id="431" w:name="_Ref467378463"/>
      <w:bookmarkStart w:id="432" w:name="_Ref467379101"/>
      <w:bookmarkStart w:id="433" w:name="_Ref467379195"/>
      <w:bookmarkStart w:id="434" w:name="_Ref467379214"/>
      <w:bookmarkStart w:id="435" w:name="_Ref467378404"/>
      <w:bookmarkStart w:id="436" w:name="_Toc259093669"/>
      <w:bookmarkStart w:id="437" w:name="_Toc16917"/>
      <w:bookmarkStart w:id="438" w:name="_Ref467379094"/>
      <w:bookmarkStart w:id="439" w:name="_Ref467379109"/>
      <w:bookmarkStart w:id="440" w:name="_Toc28763"/>
      <w:bookmarkStart w:id="441" w:name="_Toc279701240"/>
      <w:bookmarkStart w:id="442" w:name="_Toc19614"/>
      <w:bookmarkStart w:id="443" w:name="_Toc487900349"/>
      <w:bookmarkStart w:id="444" w:name="_Ref467379205"/>
      <w:r>
        <w:rPr>
          <w:rFonts w:hint="eastAsia" w:ascii="宋体" w:hAnsi="宋体" w:cs="宋体"/>
          <w:b/>
          <w:sz w:val="24"/>
        </w:rPr>
        <w:t>2.1 定义</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0F9A6ADF">
      <w:pPr>
        <w:spacing w:line="560" w:lineRule="exact"/>
        <w:ind w:firstLine="480" w:firstLineChars="200"/>
        <w:rPr>
          <w:rFonts w:hint="eastAsia" w:ascii="宋体" w:hAnsi="宋体" w:cs="宋体"/>
          <w:sz w:val="24"/>
        </w:rPr>
      </w:pPr>
      <w:r>
        <w:rPr>
          <w:rFonts w:hint="eastAsia" w:ascii="宋体" w:hAnsi="宋体" w:cs="宋体"/>
          <w:sz w:val="24"/>
        </w:rPr>
        <w:t>本合同中的下列词语应按以下内容进行解释：</w:t>
      </w:r>
    </w:p>
    <w:p w14:paraId="0335AD97">
      <w:pPr>
        <w:spacing w:line="560" w:lineRule="exact"/>
        <w:ind w:firstLine="480" w:firstLineChars="200"/>
        <w:rPr>
          <w:rFonts w:hint="eastAsia" w:ascii="宋体" w:hAnsi="宋体" w:cs="宋体"/>
          <w:sz w:val="24"/>
        </w:rPr>
      </w:pPr>
      <w:r>
        <w:rPr>
          <w:rFonts w:hint="eastAsia" w:ascii="宋体" w:hAnsi="宋体" w:cs="宋体"/>
          <w:sz w:val="24"/>
        </w:rPr>
        <w:t>2.1.1 “合同”系指采购人和中标或成交供应商签订的载明双方当事人所达成的协议，并包括所有的附件、附录和构成合同的其他文件。</w:t>
      </w:r>
    </w:p>
    <w:p w14:paraId="5D6AAEAC">
      <w:pPr>
        <w:spacing w:line="560" w:lineRule="exact"/>
        <w:ind w:firstLine="480" w:firstLineChars="200"/>
        <w:rPr>
          <w:rFonts w:hint="eastAsia" w:ascii="宋体" w:hAnsi="宋体" w:cs="宋体"/>
          <w:sz w:val="24"/>
        </w:rPr>
      </w:pPr>
      <w:r>
        <w:rPr>
          <w:rFonts w:hint="eastAsia" w:ascii="宋体" w:hAnsi="宋体" w:cs="宋体"/>
          <w:sz w:val="24"/>
        </w:rPr>
        <w:t>2.1.2 “合同价”系指根据合同约定，中标或成交供应商在完全履行合同义务后，采购人应支付给中标或成交供应商的价格。</w:t>
      </w:r>
    </w:p>
    <w:p w14:paraId="4A8E0BD5">
      <w:pPr>
        <w:spacing w:line="560" w:lineRule="exact"/>
        <w:ind w:firstLine="480" w:firstLineChars="200"/>
        <w:rPr>
          <w:rFonts w:hint="eastAsia" w:ascii="宋体" w:hAnsi="宋体" w:cs="宋体"/>
          <w:sz w:val="24"/>
        </w:rPr>
      </w:pPr>
      <w:r>
        <w:rPr>
          <w:rFonts w:hint="eastAsia" w:ascii="宋体" w:hAnsi="宋体" w:cs="宋体"/>
          <w:sz w:val="24"/>
        </w:rPr>
        <w:t>2.1.3 “货物”系指中标或成交供应商根据合同约定应向采购人交付的一切各种形态和种类的物品，包括原材料、燃料、设备、机械、仪表、备件、计算机软件、产品等，并包括工具、手册等其他相关资料。</w:t>
      </w:r>
    </w:p>
    <w:p w14:paraId="4609F89B">
      <w:pPr>
        <w:spacing w:line="560" w:lineRule="exact"/>
        <w:ind w:firstLine="480" w:firstLineChars="200"/>
        <w:rPr>
          <w:rFonts w:hint="eastAsia" w:ascii="宋体" w:hAnsi="宋体" w:cs="宋体"/>
          <w:sz w:val="24"/>
        </w:rPr>
      </w:pPr>
      <w:bookmarkStart w:id="445" w:name="_Ref467378840"/>
      <w:r>
        <w:rPr>
          <w:rFonts w:hint="eastAsia" w:ascii="宋体" w:hAnsi="宋体" w:cs="宋体"/>
          <w:sz w:val="24"/>
        </w:rPr>
        <w:t>2.1.4 “甲方”系指与中标或成交供应商签署合同的采购人</w:t>
      </w:r>
      <w:bookmarkEnd w:id="445"/>
      <w:r>
        <w:rPr>
          <w:rFonts w:hint="eastAsia" w:ascii="宋体" w:hAnsi="宋体" w:cs="宋体"/>
          <w:sz w:val="24"/>
        </w:rPr>
        <w:t>；采购人委托采购代理机构代表其与乙方签订合同的，采购人的授权委托书作为合同附件。</w:t>
      </w:r>
    </w:p>
    <w:p w14:paraId="3BA45850">
      <w:pPr>
        <w:spacing w:line="560" w:lineRule="exact"/>
        <w:ind w:firstLine="480" w:firstLineChars="200"/>
        <w:rPr>
          <w:rFonts w:hint="eastAsia" w:ascii="宋体" w:hAnsi="宋体" w:cs="宋体"/>
          <w:sz w:val="24"/>
        </w:rPr>
      </w:pPr>
      <w:bookmarkStart w:id="446" w:name="_Ref467379400"/>
      <w:r>
        <w:rPr>
          <w:rFonts w:hint="eastAsia" w:ascii="宋体" w:hAnsi="宋体" w:cs="宋体"/>
          <w:sz w:val="24"/>
        </w:rPr>
        <w:t>2.1.5 “乙方”系指根据合同约定交付货物的中标或成交供应商</w:t>
      </w:r>
      <w:bookmarkEnd w:id="446"/>
      <w:r>
        <w:rPr>
          <w:rFonts w:hint="eastAsia" w:ascii="宋体" w:hAnsi="宋体" w:cs="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D8B49">
      <w:pPr>
        <w:spacing w:line="560" w:lineRule="exact"/>
        <w:ind w:firstLine="480" w:firstLineChars="200"/>
        <w:rPr>
          <w:rFonts w:hint="eastAsia" w:ascii="宋体" w:hAnsi="宋体" w:cs="宋体"/>
          <w:sz w:val="24"/>
        </w:rPr>
      </w:pPr>
      <w:bookmarkStart w:id="447" w:name="_Ref467379436"/>
      <w:r>
        <w:rPr>
          <w:rFonts w:hint="eastAsia" w:ascii="宋体" w:hAnsi="宋体" w:cs="宋体"/>
          <w:sz w:val="24"/>
        </w:rPr>
        <w:t>2.1.6 “现场”系指合同约定货物将要运至或者安装的地点。</w:t>
      </w:r>
      <w:bookmarkEnd w:id="447"/>
    </w:p>
    <w:p w14:paraId="67A0194C">
      <w:pPr>
        <w:spacing w:line="560" w:lineRule="exact"/>
        <w:ind w:firstLine="482" w:firstLineChars="200"/>
        <w:rPr>
          <w:rFonts w:hint="eastAsia" w:ascii="宋体" w:hAnsi="宋体" w:cs="宋体"/>
          <w:b/>
          <w:sz w:val="24"/>
        </w:rPr>
      </w:pPr>
      <w:bookmarkStart w:id="448" w:name="_Toc27635"/>
      <w:bookmarkStart w:id="449" w:name="_Toc259093670"/>
      <w:bookmarkStart w:id="450" w:name="_Toc487900350"/>
      <w:bookmarkStart w:id="451" w:name="_Toc13336"/>
      <w:bookmarkStart w:id="452" w:name="_Toc32504"/>
      <w:bookmarkStart w:id="453" w:name="_Toc279701241"/>
      <w:r>
        <w:rPr>
          <w:rFonts w:hint="eastAsia" w:ascii="宋体" w:hAnsi="宋体" w:cs="宋体"/>
          <w:b/>
          <w:sz w:val="24"/>
        </w:rPr>
        <w:t>2.2 技术规范</w:t>
      </w:r>
      <w:bookmarkEnd w:id="448"/>
      <w:bookmarkEnd w:id="449"/>
      <w:bookmarkEnd w:id="450"/>
      <w:bookmarkEnd w:id="451"/>
      <w:bookmarkEnd w:id="452"/>
      <w:bookmarkEnd w:id="453"/>
    </w:p>
    <w:p w14:paraId="71907A5A">
      <w:pPr>
        <w:spacing w:line="560" w:lineRule="exact"/>
        <w:ind w:firstLine="480" w:firstLineChars="200"/>
        <w:rPr>
          <w:rFonts w:hint="eastAsia" w:ascii="宋体" w:hAnsi="宋体" w:cs="宋体"/>
          <w:sz w:val="24"/>
        </w:rPr>
      </w:pPr>
      <w:r>
        <w:rPr>
          <w:rFonts w:hint="eastAsia" w:ascii="宋体" w:hAnsi="宋体" w:cs="宋体"/>
          <w:sz w:val="24"/>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313B30A">
      <w:pPr>
        <w:spacing w:line="560" w:lineRule="exact"/>
        <w:ind w:firstLine="482" w:firstLineChars="200"/>
        <w:rPr>
          <w:rFonts w:hint="eastAsia" w:ascii="宋体" w:hAnsi="宋体" w:cs="宋体"/>
          <w:b/>
          <w:sz w:val="24"/>
        </w:rPr>
      </w:pPr>
      <w:bookmarkStart w:id="454" w:name="_Toc487900351"/>
      <w:bookmarkStart w:id="455" w:name="_Toc9829"/>
      <w:bookmarkStart w:id="456" w:name="_Toc279701242"/>
      <w:bookmarkStart w:id="457" w:name="_Toc259093671"/>
      <w:bookmarkStart w:id="458" w:name="_Toc27853"/>
      <w:bookmarkStart w:id="459" w:name="_Toc31634"/>
      <w:r>
        <w:rPr>
          <w:rFonts w:hint="eastAsia" w:ascii="宋体" w:hAnsi="宋体" w:cs="宋体"/>
          <w:b/>
          <w:sz w:val="24"/>
        </w:rPr>
        <w:t>2.3 知识产权</w:t>
      </w:r>
      <w:bookmarkEnd w:id="454"/>
      <w:bookmarkEnd w:id="455"/>
      <w:bookmarkEnd w:id="456"/>
      <w:bookmarkEnd w:id="457"/>
      <w:bookmarkEnd w:id="458"/>
      <w:bookmarkEnd w:id="459"/>
    </w:p>
    <w:p w14:paraId="3A1FD542">
      <w:pPr>
        <w:spacing w:line="560" w:lineRule="exact"/>
        <w:ind w:firstLine="480" w:firstLineChars="200"/>
        <w:rPr>
          <w:rFonts w:hint="eastAsia" w:ascii="宋体" w:hAnsi="宋体" w:cs="宋体"/>
          <w:sz w:val="24"/>
        </w:rPr>
      </w:pPr>
      <w:r>
        <w:rPr>
          <w:rFonts w:hint="eastAsia" w:ascii="宋体" w:hAnsi="宋体" w:cs="宋体"/>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sz w:val="24"/>
        </w:rPr>
        <w:t>乙方还应及时澄清相关信息，使甲方声誉免受损害，甲方保留追责的权利。</w:t>
      </w:r>
    </w:p>
    <w:p w14:paraId="18515FFA">
      <w:pPr>
        <w:spacing w:line="560" w:lineRule="exact"/>
        <w:ind w:firstLine="480" w:firstLineChars="200"/>
        <w:rPr>
          <w:rFonts w:hint="eastAsia" w:ascii="宋体" w:hAnsi="宋体" w:cs="宋体"/>
          <w:sz w:val="24"/>
        </w:rPr>
      </w:pPr>
      <w:r>
        <w:rPr>
          <w:rFonts w:hint="eastAsia" w:ascii="宋体" w:hAnsi="宋体" w:cs="宋体"/>
          <w:sz w:val="24"/>
        </w:rPr>
        <w:t>2.3.2具有知识产权的计算机软件等货物的知识产权归属，详见</w:t>
      </w:r>
      <w:r>
        <w:rPr>
          <w:rFonts w:hint="eastAsia" w:ascii="宋体" w:hAnsi="宋体" w:cs="宋体"/>
          <w:b/>
          <w:sz w:val="24"/>
          <w:u w:val="single"/>
        </w:rPr>
        <w:t>合同专用条款</w:t>
      </w:r>
      <w:r>
        <w:rPr>
          <w:rFonts w:hint="eastAsia" w:ascii="宋体" w:hAnsi="宋体" w:cs="宋体"/>
          <w:sz w:val="24"/>
        </w:rPr>
        <w:t>。</w:t>
      </w:r>
    </w:p>
    <w:p w14:paraId="7F6E7D02">
      <w:pPr>
        <w:spacing w:line="560" w:lineRule="exact"/>
        <w:ind w:firstLine="482" w:firstLineChars="200"/>
        <w:rPr>
          <w:rFonts w:hint="eastAsia" w:ascii="宋体" w:hAnsi="宋体" w:cs="宋体"/>
          <w:b/>
          <w:sz w:val="24"/>
        </w:rPr>
      </w:pPr>
      <w:bookmarkStart w:id="460" w:name="_Toc4194"/>
      <w:bookmarkStart w:id="461" w:name="_Toc11932"/>
      <w:bookmarkStart w:id="462" w:name="_Toc29149"/>
      <w:r>
        <w:rPr>
          <w:rFonts w:hint="eastAsia" w:ascii="宋体" w:hAnsi="宋体" w:cs="宋体"/>
          <w:b/>
          <w:sz w:val="24"/>
        </w:rPr>
        <w:t>2.4 包装和装运</w:t>
      </w:r>
      <w:bookmarkEnd w:id="460"/>
      <w:bookmarkEnd w:id="461"/>
      <w:bookmarkEnd w:id="462"/>
    </w:p>
    <w:p w14:paraId="72C552A1">
      <w:pPr>
        <w:spacing w:line="560" w:lineRule="exact"/>
        <w:ind w:firstLine="480" w:firstLineChars="200"/>
        <w:rPr>
          <w:rFonts w:hint="eastAsia" w:ascii="宋体" w:hAnsi="宋体" w:cs="宋体"/>
          <w:sz w:val="24"/>
        </w:rPr>
      </w:pPr>
      <w:r>
        <w:rPr>
          <w:rFonts w:hint="eastAsia" w:ascii="宋体" w:hAnsi="宋体" w:cs="宋体"/>
          <w:sz w:val="24"/>
        </w:rPr>
        <w:t>2.4.1除</w:t>
      </w:r>
      <w:r>
        <w:rPr>
          <w:rFonts w:hint="eastAsia" w:ascii="宋体" w:hAnsi="宋体" w:cs="宋体"/>
          <w:b/>
          <w:sz w:val="24"/>
          <w:u w:val="single"/>
        </w:rPr>
        <w:t>合同专用条款</w:t>
      </w:r>
      <w:r>
        <w:rPr>
          <w:rFonts w:hint="eastAsia" w:ascii="宋体" w:hAnsi="宋体" w:cs="宋体"/>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D9E41">
      <w:pPr>
        <w:spacing w:line="560" w:lineRule="exact"/>
        <w:ind w:firstLine="480" w:firstLineChars="200"/>
        <w:rPr>
          <w:rFonts w:hint="eastAsia" w:ascii="宋体" w:hAnsi="宋体" w:cs="宋体"/>
          <w:sz w:val="24"/>
        </w:rPr>
      </w:pPr>
      <w:r>
        <w:rPr>
          <w:rFonts w:hint="eastAsia" w:ascii="宋体" w:hAnsi="宋体" w:cs="宋体"/>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3A964C">
      <w:pPr>
        <w:spacing w:line="560" w:lineRule="exact"/>
        <w:ind w:firstLine="480" w:firstLineChars="200"/>
        <w:rPr>
          <w:rFonts w:hint="eastAsia" w:ascii="宋体" w:hAnsi="宋体" w:cs="宋体"/>
          <w:sz w:val="24"/>
        </w:rPr>
      </w:pPr>
      <w:r>
        <w:rPr>
          <w:rFonts w:hint="eastAsia" w:ascii="宋体" w:hAnsi="宋体" w:cs="宋体"/>
          <w:sz w:val="24"/>
        </w:rPr>
        <w:t>2.4.3 装运货物的要求和通知，详见</w:t>
      </w:r>
      <w:r>
        <w:rPr>
          <w:rFonts w:hint="eastAsia" w:ascii="宋体" w:hAnsi="宋体" w:cs="宋体"/>
          <w:b/>
          <w:sz w:val="24"/>
          <w:u w:val="single"/>
        </w:rPr>
        <w:t>合同专用条款</w:t>
      </w:r>
      <w:r>
        <w:rPr>
          <w:rFonts w:hint="eastAsia" w:ascii="宋体" w:hAnsi="宋体" w:cs="宋体"/>
          <w:sz w:val="24"/>
        </w:rPr>
        <w:t>。</w:t>
      </w:r>
    </w:p>
    <w:p w14:paraId="1A0AF7AE">
      <w:pPr>
        <w:spacing w:line="560" w:lineRule="exact"/>
        <w:ind w:firstLine="482" w:firstLineChars="200"/>
        <w:rPr>
          <w:rFonts w:hint="eastAsia" w:ascii="宋体" w:hAnsi="宋体" w:cs="宋体"/>
          <w:b/>
          <w:sz w:val="24"/>
        </w:rPr>
      </w:pPr>
      <w:bookmarkStart w:id="463" w:name="_Ref467378591"/>
      <w:bookmarkStart w:id="464" w:name="_Toc259093674"/>
      <w:bookmarkStart w:id="465" w:name="_Ref467379536"/>
      <w:bookmarkStart w:id="466" w:name="_Toc279701245"/>
      <w:bookmarkStart w:id="467" w:name="_Ref467379527"/>
      <w:bookmarkStart w:id="468" w:name="_Ref467378541"/>
      <w:bookmarkStart w:id="469" w:name="_Ref467379542"/>
      <w:bookmarkStart w:id="470" w:name="_Toc487900354"/>
      <w:bookmarkStart w:id="471" w:name="_Toc26182"/>
      <w:bookmarkStart w:id="472" w:name="_Toc19074"/>
      <w:bookmarkStart w:id="473" w:name="_Toc30272"/>
      <w:r>
        <w:rPr>
          <w:rFonts w:hint="eastAsia" w:ascii="宋体" w:hAnsi="宋体" w:cs="宋体"/>
          <w:b/>
          <w:sz w:val="24"/>
        </w:rPr>
        <w:t>2.</w:t>
      </w:r>
      <w:bookmarkEnd w:id="463"/>
      <w:bookmarkEnd w:id="464"/>
      <w:bookmarkEnd w:id="465"/>
      <w:bookmarkEnd w:id="466"/>
      <w:bookmarkEnd w:id="467"/>
      <w:bookmarkEnd w:id="468"/>
      <w:bookmarkEnd w:id="469"/>
      <w:bookmarkEnd w:id="470"/>
      <w:r>
        <w:rPr>
          <w:rFonts w:hint="eastAsia" w:ascii="宋体" w:hAnsi="宋体" w:cs="宋体"/>
          <w:b/>
          <w:sz w:val="24"/>
        </w:rPr>
        <w:t>5 履约检查和问题反馈</w:t>
      </w:r>
      <w:bookmarkEnd w:id="471"/>
      <w:bookmarkEnd w:id="472"/>
      <w:bookmarkEnd w:id="473"/>
    </w:p>
    <w:p w14:paraId="74D63A37">
      <w:pPr>
        <w:spacing w:line="560" w:lineRule="exact"/>
        <w:ind w:firstLine="480" w:firstLineChars="200"/>
        <w:rPr>
          <w:rFonts w:hint="eastAsia" w:ascii="宋体" w:hAnsi="宋体" w:cs="宋体"/>
          <w:sz w:val="24"/>
        </w:rPr>
      </w:pPr>
      <w:bookmarkStart w:id="474" w:name="_Ref467379657"/>
      <w:r>
        <w:rPr>
          <w:rFonts w:hint="eastAsia" w:ascii="宋体" w:hAnsi="宋体" w:cs="宋体"/>
          <w:sz w:val="24"/>
        </w:rPr>
        <w:t>2.5.1</w:t>
      </w:r>
      <w:bookmarkEnd w:id="474"/>
      <w:bookmarkStart w:id="475" w:name="_Toc186431854"/>
      <w:bookmarkStart w:id="476" w:name="_Toc279701247"/>
      <w:bookmarkStart w:id="477" w:name="_Toc487900357"/>
      <w:bookmarkStart w:id="478" w:name="_Ref467379793"/>
      <w:bookmarkStart w:id="479" w:name="_Toc259093676"/>
      <w:bookmarkStart w:id="480" w:name="_Ref467379807"/>
      <w:r>
        <w:rPr>
          <w:rFonts w:hint="eastAsia" w:ascii="宋体" w:hAnsi="宋体" w:cs="宋体"/>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D7680D">
      <w:pPr>
        <w:spacing w:line="560" w:lineRule="exact"/>
        <w:ind w:firstLine="480" w:firstLineChars="200"/>
        <w:rPr>
          <w:rFonts w:hint="eastAsia" w:ascii="宋体" w:hAnsi="宋体" w:cs="宋体"/>
          <w:sz w:val="24"/>
        </w:rPr>
      </w:pPr>
      <w:r>
        <w:rPr>
          <w:rFonts w:hint="eastAsia" w:ascii="宋体" w:hAnsi="宋体" w:cs="宋体"/>
          <w:sz w:val="24"/>
        </w:rPr>
        <w:t>2.5.2 合同履行期间，甲方有权将履行过程中出现的问题反馈给乙方，双方当事人应以书面形式约定需要完善和改进的内容</w:t>
      </w:r>
      <w:bookmarkEnd w:id="475"/>
      <w:bookmarkStart w:id="481" w:name="_Toc186431855"/>
      <w:r>
        <w:rPr>
          <w:rFonts w:hint="eastAsia" w:ascii="宋体" w:hAnsi="宋体" w:cs="宋体"/>
          <w:sz w:val="24"/>
        </w:rPr>
        <w:t>。</w:t>
      </w:r>
    </w:p>
    <w:bookmarkEnd w:id="476"/>
    <w:bookmarkEnd w:id="477"/>
    <w:bookmarkEnd w:id="478"/>
    <w:bookmarkEnd w:id="479"/>
    <w:bookmarkEnd w:id="480"/>
    <w:bookmarkEnd w:id="481"/>
    <w:p w14:paraId="77966F3D">
      <w:pPr>
        <w:spacing w:line="560" w:lineRule="exact"/>
        <w:ind w:firstLine="482" w:firstLineChars="200"/>
        <w:rPr>
          <w:rFonts w:hint="eastAsia" w:ascii="宋体" w:hAnsi="宋体" w:cs="宋体"/>
          <w:b/>
          <w:sz w:val="24"/>
        </w:rPr>
      </w:pPr>
      <w:bookmarkStart w:id="482" w:name="_Toc259093677"/>
      <w:bookmarkStart w:id="483" w:name="_Toc487900358"/>
      <w:bookmarkStart w:id="484" w:name="_Toc279701248"/>
      <w:bookmarkStart w:id="485" w:name="_Ref467379923"/>
      <w:bookmarkStart w:id="486" w:name="_Ref467379863"/>
      <w:bookmarkStart w:id="487" w:name="_Ref467379852"/>
      <w:bookmarkStart w:id="488" w:name="_Toc774"/>
      <w:bookmarkStart w:id="489" w:name="_Toc16110"/>
      <w:bookmarkStart w:id="490" w:name="_Toc3225"/>
      <w:r>
        <w:rPr>
          <w:rFonts w:hint="eastAsia" w:ascii="宋体" w:hAnsi="宋体" w:cs="宋体"/>
          <w:b/>
          <w:sz w:val="24"/>
        </w:rPr>
        <w:t>2.6 技术资料</w:t>
      </w:r>
      <w:bookmarkEnd w:id="482"/>
      <w:bookmarkEnd w:id="483"/>
      <w:bookmarkEnd w:id="484"/>
      <w:bookmarkEnd w:id="485"/>
      <w:bookmarkEnd w:id="486"/>
      <w:bookmarkEnd w:id="487"/>
      <w:r>
        <w:rPr>
          <w:rFonts w:hint="eastAsia" w:ascii="宋体" w:hAnsi="宋体" w:cs="宋体"/>
          <w:b/>
          <w:sz w:val="24"/>
        </w:rPr>
        <w:t>和保密义务</w:t>
      </w:r>
      <w:bookmarkEnd w:id="488"/>
      <w:bookmarkEnd w:id="489"/>
      <w:bookmarkEnd w:id="490"/>
    </w:p>
    <w:p w14:paraId="1FE49084">
      <w:pPr>
        <w:spacing w:line="560" w:lineRule="exact"/>
        <w:ind w:firstLine="480" w:firstLineChars="200"/>
        <w:rPr>
          <w:rFonts w:hint="eastAsia" w:ascii="宋体" w:hAnsi="宋体" w:cs="宋体"/>
          <w:sz w:val="24"/>
        </w:rPr>
      </w:pPr>
      <w:r>
        <w:rPr>
          <w:rFonts w:hint="eastAsia" w:ascii="宋体" w:hAnsi="宋体" w:cs="宋体"/>
          <w:sz w:val="24"/>
        </w:rPr>
        <w:t>2.6.1 乙方有权依据合同约定和项目需要，向甲方了解有关情况，调阅有关资料等，甲方应予积极配合；</w:t>
      </w:r>
    </w:p>
    <w:p w14:paraId="67DC020C">
      <w:pPr>
        <w:spacing w:line="560" w:lineRule="exact"/>
        <w:ind w:firstLine="480" w:firstLineChars="200"/>
        <w:rPr>
          <w:rFonts w:hint="eastAsia" w:ascii="宋体" w:hAnsi="宋体" w:cs="宋体"/>
          <w:sz w:val="24"/>
        </w:rPr>
      </w:pPr>
      <w:r>
        <w:rPr>
          <w:rFonts w:hint="eastAsia" w:ascii="宋体" w:hAnsi="宋体" w:cs="宋体"/>
          <w:sz w:val="24"/>
        </w:rPr>
        <w:t>2.6.2 乙方有义务妥善保管和保护由甲方提供的前款信息和资料等；</w:t>
      </w:r>
    </w:p>
    <w:p w14:paraId="68B3217A">
      <w:pPr>
        <w:spacing w:line="560" w:lineRule="exact"/>
        <w:ind w:firstLine="480" w:firstLineChars="200"/>
        <w:rPr>
          <w:rFonts w:hint="eastAsia" w:ascii="宋体" w:hAnsi="宋体" w:cs="宋体"/>
          <w:sz w:val="24"/>
        </w:rPr>
      </w:pPr>
      <w:r>
        <w:rPr>
          <w:rFonts w:hint="eastAsia" w:ascii="宋体" w:hAnsi="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4F75E9">
      <w:pPr>
        <w:spacing w:line="560" w:lineRule="exact"/>
        <w:ind w:firstLine="482" w:firstLineChars="200"/>
        <w:rPr>
          <w:rFonts w:hint="eastAsia" w:ascii="宋体" w:hAnsi="宋体" w:cs="宋体"/>
          <w:b/>
          <w:sz w:val="24"/>
        </w:rPr>
      </w:pPr>
      <w:bookmarkStart w:id="491" w:name="_Toc7860"/>
      <w:r>
        <w:rPr>
          <w:rFonts w:hint="eastAsia" w:ascii="宋体" w:hAnsi="宋体" w:cs="宋体"/>
          <w:b/>
          <w:sz w:val="24"/>
        </w:rPr>
        <w:t>2.7 质量保证</w:t>
      </w:r>
      <w:bookmarkEnd w:id="491"/>
    </w:p>
    <w:p w14:paraId="567659C6">
      <w:pPr>
        <w:spacing w:line="560" w:lineRule="exact"/>
        <w:ind w:firstLine="480" w:firstLineChars="200"/>
        <w:rPr>
          <w:rFonts w:hint="eastAsia" w:ascii="宋体" w:hAnsi="宋体" w:cs="宋体"/>
          <w:sz w:val="24"/>
        </w:rPr>
      </w:pPr>
      <w:r>
        <w:rPr>
          <w:rFonts w:hint="eastAsia" w:ascii="宋体" w:hAnsi="宋体" w:cs="宋体"/>
          <w:sz w:val="24"/>
        </w:rPr>
        <w:t>2.7.1 乙方应建立和完善履行合同的内部质量保证体系，并提供相关内部规章制度给甲方，以便甲方进行监督检查；</w:t>
      </w:r>
    </w:p>
    <w:p w14:paraId="04FF754A">
      <w:pPr>
        <w:spacing w:line="560" w:lineRule="exact"/>
        <w:ind w:firstLine="480" w:firstLineChars="200"/>
        <w:rPr>
          <w:rFonts w:hint="eastAsia" w:ascii="宋体" w:hAnsi="宋体" w:cs="宋体"/>
          <w:sz w:val="24"/>
        </w:rPr>
      </w:pPr>
      <w:r>
        <w:rPr>
          <w:rFonts w:hint="eastAsia" w:ascii="宋体" w:hAnsi="宋体" w:cs="宋体"/>
          <w:sz w:val="24"/>
        </w:rPr>
        <w:t>2.7.2 乙方应保证履行合同的人员数量和素质、软件和硬件设备的配置、场地、环境和设施等满足全面履行合同的要求，并应接受甲方的监督检查。</w:t>
      </w:r>
    </w:p>
    <w:p w14:paraId="3242C442">
      <w:pPr>
        <w:spacing w:line="560" w:lineRule="exact"/>
        <w:ind w:firstLine="482" w:firstLineChars="200"/>
        <w:rPr>
          <w:rFonts w:hint="eastAsia" w:ascii="宋体" w:hAnsi="宋体" w:cs="宋体"/>
          <w:b/>
          <w:sz w:val="24"/>
        </w:rPr>
      </w:pPr>
      <w:bookmarkStart w:id="492" w:name="_Toc17244"/>
      <w:bookmarkStart w:id="493" w:name="_Toc487900362"/>
      <w:bookmarkStart w:id="494" w:name="_Toc279701252"/>
      <w:bookmarkStart w:id="495" w:name="_Toc259093681"/>
      <w:r>
        <w:rPr>
          <w:rFonts w:hint="eastAsia" w:ascii="宋体" w:hAnsi="宋体" w:cs="宋体"/>
          <w:b/>
          <w:sz w:val="24"/>
        </w:rPr>
        <w:t>2.8 货物的风险负担</w:t>
      </w:r>
      <w:bookmarkEnd w:id="492"/>
    </w:p>
    <w:p w14:paraId="2ED74AA7">
      <w:pPr>
        <w:spacing w:line="560" w:lineRule="exact"/>
        <w:ind w:firstLine="480" w:firstLineChars="200"/>
        <w:rPr>
          <w:rFonts w:hint="eastAsia" w:ascii="宋体" w:hAnsi="宋体" w:cs="宋体"/>
          <w:b/>
          <w:sz w:val="24"/>
        </w:rPr>
      </w:pPr>
      <w:r>
        <w:rPr>
          <w:rFonts w:hint="eastAsia" w:ascii="宋体" w:hAnsi="宋体" w:cs="宋体"/>
          <w:sz w:val="24"/>
        </w:rPr>
        <w:t>货物或者在途货物或者交付给第一承运人后的货物毁损、灭失的风险负担详见</w:t>
      </w:r>
      <w:r>
        <w:rPr>
          <w:rFonts w:hint="eastAsia" w:ascii="宋体" w:hAnsi="宋体" w:cs="宋体"/>
          <w:b/>
          <w:sz w:val="24"/>
          <w:u w:val="single"/>
        </w:rPr>
        <w:t>合同专用条款</w:t>
      </w:r>
      <w:r>
        <w:rPr>
          <w:rFonts w:hint="eastAsia" w:ascii="宋体" w:hAnsi="宋体" w:cs="宋体"/>
          <w:sz w:val="24"/>
        </w:rPr>
        <w:t>。</w:t>
      </w:r>
    </w:p>
    <w:p w14:paraId="286C710E">
      <w:pPr>
        <w:spacing w:line="560" w:lineRule="exact"/>
        <w:ind w:firstLine="482" w:firstLineChars="200"/>
        <w:rPr>
          <w:rFonts w:hint="eastAsia" w:ascii="宋体" w:hAnsi="宋体" w:cs="宋体"/>
          <w:b/>
          <w:sz w:val="24"/>
        </w:rPr>
      </w:pPr>
      <w:bookmarkStart w:id="496" w:name="_Toc14055"/>
      <w:r>
        <w:rPr>
          <w:rFonts w:hint="eastAsia" w:ascii="宋体" w:hAnsi="宋体" w:cs="宋体"/>
          <w:b/>
          <w:sz w:val="24"/>
        </w:rPr>
        <w:t>2.9 延迟交货</w:t>
      </w:r>
      <w:bookmarkEnd w:id="493"/>
      <w:bookmarkEnd w:id="494"/>
      <w:bookmarkEnd w:id="495"/>
      <w:bookmarkEnd w:id="496"/>
    </w:p>
    <w:p w14:paraId="225CDA80">
      <w:pPr>
        <w:spacing w:line="560" w:lineRule="exact"/>
        <w:ind w:firstLine="480" w:firstLineChars="200"/>
        <w:rPr>
          <w:rFonts w:hint="eastAsia" w:ascii="宋体" w:hAnsi="宋体" w:cs="宋体"/>
          <w:sz w:val="24"/>
        </w:rPr>
      </w:pPr>
      <w:r>
        <w:rPr>
          <w:rFonts w:hint="eastAsia" w:ascii="宋体" w:hAnsi="宋体"/>
          <w:sz w:val="24"/>
        </w:rPr>
        <w:t>甲乙双方签订合同后，乙方应按照合同约定履行合同义务，除不可抗力外，乙方不得延迟交货。</w:t>
      </w:r>
      <w:r>
        <w:rPr>
          <w:rFonts w:hint="eastAsia" w:ascii="宋体" w:hAnsi="宋体" w:cs="宋体"/>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4D2F33">
      <w:pPr>
        <w:spacing w:line="560" w:lineRule="exact"/>
        <w:ind w:firstLine="482" w:firstLineChars="200"/>
        <w:rPr>
          <w:rFonts w:hint="eastAsia" w:ascii="宋体" w:hAnsi="宋体" w:cs="宋体"/>
          <w:b/>
          <w:sz w:val="24"/>
        </w:rPr>
      </w:pPr>
      <w:bookmarkStart w:id="497" w:name="_Toc7502"/>
      <w:bookmarkStart w:id="498" w:name="_Toc487900364"/>
      <w:bookmarkStart w:id="499" w:name="_Ref467378121"/>
      <w:bookmarkStart w:id="500" w:name="_Toc279701254"/>
      <w:bookmarkStart w:id="501" w:name="_Toc259093683"/>
      <w:r>
        <w:rPr>
          <w:rFonts w:hint="eastAsia" w:ascii="宋体" w:hAnsi="宋体" w:cs="宋体"/>
          <w:b/>
          <w:sz w:val="24"/>
        </w:rPr>
        <w:t>2.10 合同变更</w:t>
      </w:r>
      <w:bookmarkEnd w:id="497"/>
    </w:p>
    <w:p w14:paraId="3D35970A">
      <w:pPr>
        <w:spacing w:line="560" w:lineRule="exact"/>
        <w:ind w:firstLine="480" w:firstLineChars="200"/>
        <w:rPr>
          <w:rFonts w:hint="eastAsia" w:ascii="宋体" w:hAnsi="宋体" w:cs="宋体"/>
          <w:sz w:val="24"/>
        </w:rPr>
      </w:pPr>
      <w:r>
        <w:rPr>
          <w:rFonts w:hint="eastAsia" w:ascii="宋体" w:hAnsi="宋体" w:cs="宋体"/>
          <w:sz w:val="24"/>
        </w:rPr>
        <w:t>合同继续履行将损害国家利益和社会公共利益的，双方当事人应当以书面形式变更合同。有过错的一方应当承担赔偿责任，双方当事人都有过错的，各自承担相应的责任。</w:t>
      </w:r>
      <w:bookmarkStart w:id="502" w:name="_Toc279701259"/>
      <w:bookmarkStart w:id="503" w:name="_Toc487900369"/>
      <w:bookmarkStart w:id="504" w:name="_Toc259093688"/>
    </w:p>
    <w:p w14:paraId="24948CC5">
      <w:pPr>
        <w:spacing w:line="560" w:lineRule="exact"/>
        <w:ind w:firstLine="482" w:firstLineChars="200"/>
        <w:rPr>
          <w:rFonts w:hint="eastAsia" w:ascii="宋体" w:hAnsi="宋体" w:cs="宋体"/>
          <w:b/>
          <w:sz w:val="24"/>
        </w:rPr>
      </w:pPr>
      <w:bookmarkStart w:id="505" w:name="_Toc22955"/>
      <w:bookmarkStart w:id="506" w:name="_Toc15237"/>
      <w:bookmarkStart w:id="507" w:name="_Toc10366"/>
      <w:r>
        <w:rPr>
          <w:rFonts w:hint="eastAsia" w:ascii="宋体" w:hAnsi="宋体" w:cs="宋体"/>
          <w:b/>
          <w:sz w:val="24"/>
        </w:rPr>
        <w:t>2.11 合同转让</w:t>
      </w:r>
      <w:bookmarkEnd w:id="502"/>
      <w:bookmarkEnd w:id="503"/>
      <w:bookmarkEnd w:id="504"/>
      <w:r>
        <w:rPr>
          <w:rFonts w:hint="eastAsia" w:ascii="宋体" w:hAnsi="宋体" w:cs="宋体"/>
          <w:b/>
          <w:sz w:val="24"/>
        </w:rPr>
        <w:t>和分包</w:t>
      </w:r>
      <w:bookmarkEnd w:id="505"/>
      <w:bookmarkEnd w:id="506"/>
      <w:bookmarkEnd w:id="507"/>
    </w:p>
    <w:p w14:paraId="49A1CBDC">
      <w:pPr>
        <w:spacing w:line="560" w:lineRule="exact"/>
        <w:ind w:firstLine="480" w:firstLineChars="200"/>
        <w:rPr>
          <w:rFonts w:hint="eastAsia" w:ascii="宋体" w:hAnsi="宋体" w:cs="宋体"/>
          <w:sz w:val="24"/>
        </w:rPr>
      </w:pPr>
      <w:r>
        <w:rPr>
          <w:rFonts w:hint="eastAsia" w:ascii="宋体" w:hAnsi="宋体" w:cs="宋体"/>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72719E">
      <w:pPr>
        <w:spacing w:line="560" w:lineRule="exact"/>
        <w:ind w:firstLine="480" w:firstLineChars="200"/>
        <w:rPr>
          <w:rFonts w:hint="eastAsia" w:ascii="宋体" w:hAnsi="宋体" w:cs="宋体"/>
          <w:sz w:val="24"/>
        </w:rPr>
      </w:pPr>
      <w:r>
        <w:rPr>
          <w:rFonts w:hint="eastAsia" w:ascii="宋体" w:hAnsi="宋体" w:cs="宋体"/>
          <w:sz w:val="24"/>
        </w:rPr>
        <w:t>2.11.2乙方采取分包方式履行合同的，甲方可直接向分包供应商支付款项。</w:t>
      </w:r>
    </w:p>
    <w:p w14:paraId="70BA7B79">
      <w:pPr>
        <w:spacing w:line="560" w:lineRule="exact"/>
        <w:ind w:firstLine="482" w:firstLineChars="200"/>
        <w:rPr>
          <w:rFonts w:hint="eastAsia" w:ascii="宋体" w:hAnsi="宋体" w:cs="宋体"/>
          <w:b/>
          <w:sz w:val="24"/>
        </w:rPr>
      </w:pPr>
      <w:bookmarkStart w:id="508" w:name="_Toc14066"/>
      <w:bookmarkStart w:id="509" w:name="_Toc13566"/>
      <w:bookmarkStart w:id="510" w:name="_Toc16508"/>
      <w:r>
        <w:rPr>
          <w:rFonts w:hint="eastAsia" w:ascii="宋体" w:hAnsi="宋体" w:cs="宋体"/>
          <w:b/>
          <w:sz w:val="24"/>
        </w:rPr>
        <w:t>2.12 不可抗力</w:t>
      </w:r>
      <w:bookmarkEnd w:id="508"/>
      <w:bookmarkEnd w:id="509"/>
      <w:bookmarkEnd w:id="510"/>
    </w:p>
    <w:p w14:paraId="03F25F90">
      <w:pPr>
        <w:spacing w:line="560" w:lineRule="exact"/>
        <w:ind w:firstLine="480" w:firstLineChars="200"/>
        <w:rPr>
          <w:rFonts w:hint="eastAsia" w:ascii="宋体" w:hAnsi="宋体" w:cs="宋体"/>
          <w:sz w:val="24"/>
        </w:rPr>
      </w:pPr>
      <w:r>
        <w:rPr>
          <w:rFonts w:hint="eastAsia" w:ascii="宋体" w:hAnsi="宋体" w:cs="宋体"/>
          <w:sz w:val="24"/>
        </w:rPr>
        <w:t>2.12.1如果任何一方遭遇法律规定的不可抗力，致使合同履行受阻时，履行合同的期限应予延长，延长的期限应相当于不可抗力所影响的时间；</w:t>
      </w:r>
    </w:p>
    <w:p w14:paraId="02DC739B">
      <w:pPr>
        <w:spacing w:line="560" w:lineRule="exact"/>
        <w:ind w:firstLine="480" w:firstLineChars="200"/>
        <w:rPr>
          <w:rFonts w:hint="eastAsia" w:ascii="宋体" w:hAnsi="宋体" w:cs="宋体"/>
          <w:sz w:val="24"/>
        </w:rPr>
      </w:pPr>
      <w:r>
        <w:rPr>
          <w:rFonts w:hint="eastAsia" w:ascii="宋体" w:hAnsi="宋体" w:cs="宋体"/>
          <w:sz w:val="24"/>
        </w:rPr>
        <w:t>2.12.2 因不可抗力致使不能实现合同目的的，当事人可以解除合同；</w:t>
      </w:r>
    </w:p>
    <w:p w14:paraId="2FD39977">
      <w:pPr>
        <w:spacing w:line="560" w:lineRule="exact"/>
        <w:ind w:firstLine="480" w:firstLineChars="200"/>
        <w:rPr>
          <w:rFonts w:hint="eastAsia" w:ascii="宋体" w:hAnsi="宋体" w:cs="宋体"/>
          <w:sz w:val="24"/>
        </w:rPr>
      </w:pPr>
      <w:r>
        <w:rPr>
          <w:rFonts w:hint="eastAsia" w:ascii="宋体" w:hAnsi="宋体" w:cs="宋体"/>
          <w:sz w:val="24"/>
        </w:rPr>
        <w:t>2.12.3 因不可抗力致使合同有变更必要的，双方当事人应在</w:t>
      </w:r>
      <w:r>
        <w:rPr>
          <w:rFonts w:hint="eastAsia" w:ascii="宋体" w:hAnsi="宋体" w:cs="宋体"/>
          <w:b/>
          <w:sz w:val="24"/>
          <w:u w:val="single"/>
        </w:rPr>
        <w:t>合同专用条款</w:t>
      </w:r>
      <w:r>
        <w:rPr>
          <w:rFonts w:hint="eastAsia" w:ascii="宋体" w:hAnsi="宋体" w:cs="宋体"/>
          <w:sz w:val="24"/>
        </w:rPr>
        <w:t>约定时间内以书面形式变更合同；</w:t>
      </w:r>
    </w:p>
    <w:p w14:paraId="57FEA89A">
      <w:pPr>
        <w:spacing w:line="560" w:lineRule="exact"/>
        <w:ind w:firstLine="480" w:firstLineChars="200"/>
        <w:rPr>
          <w:rFonts w:hint="eastAsia" w:ascii="宋体" w:hAnsi="宋体" w:cs="宋体"/>
          <w:sz w:val="24"/>
        </w:rPr>
      </w:pPr>
      <w:r>
        <w:rPr>
          <w:rFonts w:hint="eastAsia" w:ascii="宋体" w:hAnsi="宋体" w:cs="宋体"/>
          <w:sz w:val="24"/>
        </w:rPr>
        <w:t>2.12.4受不可抗力影响的一方在不可抗力发生后，应在</w:t>
      </w:r>
      <w:r>
        <w:rPr>
          <w:rFonts w:hint="eastAsia" w:ascii="宋体" w:hAnsi="宋体" w:cs="宋体"/>
          <w:b/>
          <w:sz w:val="24"/>
          <w:u w:val="single"/>
        </w:rPr>
        <w:t>合同专用条款</w:t>
      </w:r>
      <w:r>
        <w:rPr>
          <w:rFonts w:hint="eastAsia" w:ascii="宋体" w:hAnsi="宋体" w:cs="宋体"/>
          <w:sz w:val="24"/>
        </w:rPr>
        <w:t>约定时间内以书面形式通知对方当事人，并在</w:t>
      </w:r>
      <w:r>
        <w:rPr>
          <w:rFonts w:hint="eastAsia" w:ascii="宋体" w:hAnsi="宋体" w:cs="宋体"/>
          <w:b/>
          <w:sz w:val="24"/>
          <w:u w:val="single"/>
        </w:rPr>
        <w:t>合同专用条款</w:t>
      </w:r>
      <w:r>
        <w:rPr>
          <w:rFonts w:hint="eastAsia" w:ascii="宋体" w:hAnsi="宋体" w:cs="宋体"/>
          <w:sz w:val="24"/>
        </w:rPr>
        <w:t>约定时间内，将有关部门出具的证明文件送达对方当事人。</w:t>
      </w:r>
    </w:p>
    <w:p w14:paraId="5F47D481">
      <w:pPr>
        <w:spacing w:line="560" w:lineRule="exact"/>
        <w:ind w:firstLine="482" w:firstLineChars="200"/>
        <w:rPr>
          <w:rFonts w:hint="eastAsia" w:ascii="宋体" w:hAnsi="宋体" w:cs="宋体"/>
          <w:b/>
          <w:sz w:val="24"/>
        </w:rPr>
      </w:pPr>
      <w:bookmarkStart w:id="511" w:name="_Toc487900365"/>
      <w:bookmarkStart w:id="512" w:name="_Toc30676"/>
      <w:bookmarkStart w:id="513" w:name="_Toc6969"/>
      <w:bookmarkStart w:id="514" w:name="_Toc689"/>
      <w:bookmarkStart w:id="515" w:name="_Toc259093684"/>
      <w:bookmarkStart w:id="516" w:name="_Toc279701255"/>
      <w:r>
        <w:rPr>
          <w:rFonts w:hint="eastAsia" w:ascii="宋体" w:hAnsi="宋体" w:cs="宋体"/>
          <w:b/>
          <w:sz w:val="24"/>
        </w:rPr>
        <w:t>2.13 税费</w:t>
      </w:r>
      <w:bookmarkEnd w:id="511"/>
      <w:bookmarkEnd w:id="512"/>
      <w:bookmarkEnd w:id="513"/>
      <w:bookmarkEnd w:id="514"/>
      <w:bookmarkEnd w:id="515"/>
      <w:bookmarkEnd w:id="516"/>
    </w:p>
    <w:p w14:paraId="6C3321A2">
      <w:pPr>
        <w:spacing w:line="560" w:lineRule="exact"/>
        <w:ind w:firstLine="480" w:firstLineChars="200"/>
        <w:rPr>
          <w:rFonts w:hint="eastAsia" w:ascii="宋体" w:hAnsi="宋体" w:cs="宋体"/>
          <w:sz w:val="24"/>
        </w:rPr>
      </w:pPr>
      <w:r>
        <w:rPr>
          <w:rFonts w:hint="eastAsia" w:ascii="宋体" w:hAnsi="宋体" w:cs="宋体"/>
          <w:sz w:val="24"/>
        </w:rPr>
        <w:t>与合同有关的一切税费，均按照中华人民共和国法律的相关规定。</w:t>
      </w:r>
    </w:p>
    <w:p w14:paraId="1C7156FF">
      <w:pPr>
        <w:spacing w:line="560" w:lineRule="exact"/>
        <w:ind w:firstLine="482" w:firstLineChars="200"/>
        <w:rPr>
          <w:rFonts w:hint="eastAsia" w:ascii="宋体" w:hAnsi="宋体" w:cs="宋体"/>
          <w:b/>
          <w:sz w:val="24"/>
        </w:rPr>
      </w:pPr>
      <w:bookmarkStart w:id="517" w:name="_Toc16959"/>
      <w:bookmarkStart w:id="518" w:name="_Toc8298"/>
      <w:bookmarkStart w:id="519" w:name="_Toc487900368"/>
      <w:bookmarkStart w:id="520" w:name="_Toc259093687"/>
      <w:bookmarkStart w:id="521" w:name="_Toc279701258"/>
      <w:bookmarkStart w:id="522" w:name="_Toc7102"/>
      <w:r>
        <w:rPr>
          <w:rFonts w:hint="eastAsia" w:ascii="宋体" w:hAnsi="宋体" w:cs="宋体"/>
          <w:b/>
          <w:sz w:val="24"/>
        </w:rPr>
        <w:t>2.14乙方破产</w:t>
      </w:r>
      <w:bookmarkEnd w:id="517"/>
      <w:bookmarkEnd w:id="518"/>
      <w:bookmarkEnd w:id="519"/>
      <w:bookmarkEnd w:id="520"/>
      <w:bookmarkEnd w:id="521"/>
      <w:bookmarkEnd w:id="522"/>
    </w:p>
    <w:p w14:paraId="31656717">
      <w:pPr>
        <w:spacing w:line="560" w:lineRule="exact"/>
        <w:ind w:firstLine="480" w:firstLineChars="200"/>
        <w:rPr>
          <w:rFonts w:hint="eastAsia" w:ascii="宋体" w:hAnsi="宋体" w:cs="宋体"/>
          <w:sz w:val="24"/>
        </w:rPr>
      </w:pPr>
      <w:r>
        <w:rPr>
          <w:rFonts w:hint="eastAsia" w:ascii="宋体" w:hAnsi="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78534">
      <w:pPr>
        <w:spacing w:line="560" w:lineRule="exact"/>
        <w:ind w:firstLine="482" w:firstLineChars="200"/>
        <w:rPr>
          <w:rFonts w:hint="eastAsia" w:ascii="宋体" w:hAnsi="宋体" w:cs="宋体"/>
          <w:b/>
          <w:sz w:val="24"/>
        </w:rPr>
      </w:pPr>
      <w:bookmarkStart w:id="523" w:name="_Toc15387"/>
      <w:bookmarkStart w:id="524" w:name="_Toc6134"/>
      <w:bookmarkStart w:id="525" w:name="_Toc29333"/>
      <w:r>
        <w:rPr>
          <w:rFonts w:hint="eastAsia" w:ascii="宋体" w:hAnsi="宋体" w:cs="宋体"/>
          <w:b/>
          <w:sz w:val="24"/>
        </w:rPr>
        <w:t>2.15 合同中止、终止</w:t>
      </w:r>
      <w:bookmarkEnd w:id="523"/>
      <w:bookmarkEnd w:id="524"/>
      <w:bookmarkEnd w:id="525"/>
    </w:p>
    <w:p w14:paraId="07E1A58D">
      <w:pPr>
        <w:spacing w:line="560" w:lineRule="exact"/>
        <w:ind w:firstLine="480" w:firstLineChars="200"/>
        <w:rPr>
          <w:rFonts w:hint="eastAsia" w:ascii="宋体" w:hAnsi="宋体" w:cs="宋体"/>
          <w:sz w:val="24"/>
        </w:rPr>
      </w:pPr>
      <w:r>
        <w:rPr>
          <w:rFonts w:hint="eastAsia" w:ascii="宋体" w:hAnsi="宋体" w:cs="宋体"/>
          <w:sz w:val="24"/>
        </w:rPr>
        <w:t>2.15.1 双方当事人不得擅自中止或者终止合同；</w:t>
      </w:r>
    </w:p>
    <w:p w14:paraId="4769560D">
      <w:pPr>
        <w:spacing w:line="560" w:lineRule="exact"/>
        <w:ind w:firstLine="480" w:firstLineChars="200"/>
        <w:rPr>
          <w:rFonts w:hint="eastAsia" w:ascii="宋体" w:hAnsi="宋体" w:cs="宋体"/>
          <w:sz w:val="24"/>
        </w:rPr>
      </w:pPr>
      <w:r>
        <w:rPr>
          <w:rFonts w:hint="eastAsia" w:ascii="宋体" w:hAnsi="宋体" w:cs="宋体"/>
          <w:sz w:val="24"/>
        </w:rPr>
        <w:t>2.15.2合同继续履行将损害国家利益和社会公共利益的，双方当事人应当中止或者终止合同。有过错的一方应当承担赔偿责任，双方当事人都有过错的，各自承担相应的责任。</w:t>
      </w:r>
    </w:p>
    <w:p w14:paraId="5794C3DF">
      <w:pPr>
        <w:spacing w:line="560" w:lineRule="exact"/>
        <w:ind w:firstLine="482" w:firstLineChars="200"/>
        <w:rPr>
          <w:rFonts w:hint="eastAsia" w:ascii="宋体" w:hAnsi="宋体" w:cs="宋体"/>
          <w:b/>
          <w:sz w:val="24"/>
        </w:rPr>
      </w:pPr>
      <w:bookmarkStart w:id="526" w:name="_Toc1125"/>
      <w:bookmarkStart w:id="527" w:name="_Toc6596"/>
      <w:bookmarkStart w:id="528" w:name="_Toc14563"/>
      <w:r>
        <w:rPr>
          <w:rFonts w:hint="eastAsia" w:ascii="宋体" w:hAnsi="宋体" w:cs="宋体"/>
          <w:b/>
          <w:sz w:val="24"/>
        </w:rPr>
        <w:t>2.16检验和验收</w:t>
      </w:r>
      <w:bookmarkEnd w:id="526"/>
      <w:bookmarkEnd w:id="527"/>
      <w:bookmarkEnd w:id="528"/>
    </w:p>
    <w:p w14:paraId="3A0B12FD">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2.16.1货物交付前，乙方应对货物的质量、数量等方面进行详细、全面的检验，并向甲方出具证明货物符合合同约定的文件；货物交付时，甲方在</w:t>
      </w:r>
      <w:r>
        <w:rPr>
          <w:rFonts w:hint="eastAsia" w:ascii="宋体" w:hAnsi="宋体" w:cs="宋体"/>
          <w:b/>
          <w:sz w:val="24"/>
          <w:u w:val="single"/>
        </w:rPr>
        <w:t>合同专用条款</w:t>
      </w:r>
      <w:r>
        <w:rPr>
          <w:rFonts w:hint="eastAsia" w:ascii="宋体" w:hAnsi="宋体" w:cs="宋体"/>
          <w:sz w:val="24"/>
        </w:rPr>
        <w:t>约定时间内组织验收，并可依法邀请相关方参加，验收应出具验收书。</w:t>
      </w:r>
    </w:p>
    <w:p w14:paraId="2251E520">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648AD4">
      <w:pPr>
        <w:tabs>
          <w:tab w:val="left" w:pos="360"/>
          <w:tab w:val="left" w:pos="540"/>
          <w:tab w:val="left" w:pos="1080"/>
        </w:tabs>
        <w:spacing w:line="560" w:lineRule="exact"/>
        <w:ind w:firstLine="480" w:firstLineChars="200"/>
        <w:rPr>
          <w:rFonts w:hint="eastAsia" w:ascii="宋体" w:hAnsi="宋体" w:cs="宋体"/>
          <w:sz w:val="24"/>
        </w:rPr>
      </w:pPr>
      <w:r>
        <w:rPr>
          <w:rFonts w:hint="eastAsia" w:ascii="宋体" w:hAnsi="宋体" w:cs="宋体"/>
          <w:sz w:val="24"/>
        </w:rPr>
        <w:t>2.16.3 检验和验收标准、程序等具体内容以及前述验收书的效力详见</w:t>
      </w:r>
      <w:r>
        <w:rPr>
          <w:rFonts w:hint="eastAsia" w:ascii="宋体" w:hAnsi="宋体" w:cs="宋体"/>
          <w:b/>
          <w:sz w:val="24"/>
          <w:u w:val="single"/>
        </w:rPr>
        <w:t>合同专用条款</w:t>
      </w:r>
      <w:r>
        <w:rPr>
          <w:rFonts w:hint="eastAsia" w:ascii="宋体" w:hAnsi="宋体" w:cs="宋体"/>
          <w:sz w:val="24"/>
        </w:rPr>
        <w:t>。</w:t>
      </w:r>
    </w:p>
    <w:bookmarkEnd w:id="498"/>
    <w:bookmarkEnd w:id="499"/>
    <w:bookmarkEnd w:id="500"/>
    <w:bookmarkEnd w:id="501"/>
    <w:p w14:paraId="300BEDD6">
      <w:pPr>
        <w:spacing w:line="560" w:lineRule="exact"/>
        <w:ind w:firstLine="482" w:firstLineChars="200"/>
        <w:rPr>
          <w:rFonts w:hint="eastAsia" w:ascii="宋体" w:hAnsi="宋体" w:cs="宋体"/>
          <w:b/>
          <w:sz w:val="24"/>
        </w:rPr>
      </w:pPr>
      <w:bookmarkStart w:id="529" w:name="_Toc259093690"/>
      <w:bookmarkStart w:id="530" w:name="_Toc279701261"/>
      <w:bookmarkStart w:id="531" w:name="_Toc487900371"/>
      <w:bookmarkStart w:id="532" w:name="_Toc11284"/>
      <w:bookmarkStart w:id="533" w:name="_Toc25182"/>
      <w:bookmarkStart w:id="534" w:name="_Toc19604"/>
      <w:r>
        <w:rPr>
          <w:rFonts w:hint="eastAsia" w:ascii="宋体" w:hAnsi="宋体" w:cs="宋体"/>
          <w:b/>
          <w:sz w:val="24"/>
        </w:rPr>
        <w:t>2.17 通知</w:t>
      </w:r>
      <w:bookmarkEnd w:id="529"/>
      <w:bookmarkEnd w:id="530"/>
      <w:bookmarkEnd w:id="531"/>
      <w:r>
        <w:rPr>
          <w:rFonts w:hint="eastAsia" w:ascii="宋体" w:hAnsi="宋体" w:cs="宋体"/>
          <w:b/>
          <w:sz w:val="24"/>
        </w:rPr>
        <w:t>和送达</w:t>
      </w:r>
      <w:bookmarkEnd w:id="532"/>
      <w:bookmarkEnd w:id="533"/>
      <w:bookmarkEnd w:id="534"/>
    </w:p>
    <w:p w14:paraId="625EEB68">
      <w:pPr>
        <w:spacing w:line="560" w:lineRule="exact"/>
        <w:ind w:firstLine="480" w:firstLineChars="200"/>
        <w:rPr>
          <w:rFonts w:hint="eastAsia" w:ascii="宋体" w:hAnsi="宋体" w:cs="宋体"/>
          <w:sz w:val="24"/>
        </w:rPr>
      </w:pPr>
      <w:bookmarkStart w:id="535" w:name="_Toc3135"/>
      <w:bookmarkStart w:id="536" w:name="_Toc6698"/>
      <w:bookmarkStart w:id="537" w:name="_Toc279701262"/>
      <w:bookmarkStart w:id="538" w:name="_Toc259093691"/>
      <w:bookmarkStart w:id="539" w:name="_Toc487900372"/>
      <w:r>
        <w:rPr>
          <w:rFonts w:hint="eastAsia" w:ascii="宋体" w:hAnsi="宋体" w:cs="宋体"/>
          <w:sz w:val="24"/>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sz w:val="24"/>
          <w:u w:val="single"/>
        </w:rPr>
        <w:t>3</w:t>
      </w:r>
      <w:r>
        <w:rPr>
          <w:rFonts w:hint="eastAsia" w:ascii="宋体" w:hAnsi="宋体" w:cs="宋体"/>
          <w:sz w:val="24"/>
        </w:rPr>
        <w:t>个工作日内书面通知对方当事人，在对方当事人收到有关变更通知之前，变更前的约定送达方式或者地址仍视为有效。</w:t>
      </w:r>
      <w:bookmarkEnd w:id="535"/>
      <w:bookmarkEnd w:id="536"/>
    </w:p>
    <w:p w14:paraId="7A88E6BB">
      <w:pPr>
        <w:spacing w:line="560" w:lineRule="exact"/>
        <w:ind w:firstLine="480" w:firstLineChars="200"/>
        <w:rPr>
          <w:rFonts w:hint="eastAsia" w:ascii="宋体" w:hAnsi="宋体" w:cs="宋体"/>
          <w:sz w:val="24"/>
        </w:rPr>
      </w:pPr>
      <w:bookmarkStart w:id="540" w:name="_Toc23294"/>
      <w:bookmarkStart w:id="541" w:name="_Toc23128"/>
      <w:r>
        <w:rPr>
          <w:rFonts w:hint="eastAsia" w:ascii="宋体" w:hAnsi="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0"/>
      <w:bookmarkEnd w:id="541"/>
    </w:p>
    <w:p w14:paraId="376A894C">
      <w:pPr>
        <w:spacing w:line="560" w:lineRule="exact"/>
        <w:ind w:firstLine="482" w:firstLineChars="200"/>
        <w:rPr>
          <w:rFonts w:hint="eastAsia" w:ascii="宋体" w:hAnsi="宋体" w:cs="宋体"/>
          <w:b/>
          <w:sz w:val="24"/>
        </w:rPr>
      </w:pPr>
      <w:bookmarkStart w:id="542" w:name="_Toc30599"/>
      <w:bookmarkStart w:id="543" w:name="_Toc4355"/>
      <w:bookmarkStart w:id="544" w:name="_Toc18540"/>
      <w:r>
        <w:rPr>
          <w:rFonts w:hint="eastAsia" w:ascii="宋体" w:hAnsi="宋体" w:cs="宋体"/>
          <w:b/>
          <w:sz w:val="24"/>
        </w:rPr>
        <w:t>2.18 计量单位</w:t>
      </w:r>
      <w:bookmarkEnd w:id="537"/>
      <w:bookmarkEnd w:id="538"/>
      <w:bookmarkEnd w:id="539"/>
      <w:bookmarkEnd w:id="542"/>
      <w:bookmarkEnd w:id="543"/>
      <w:bookmarkEnd w:id="544"/>
    </w:p>
    <w:p w14:paraId="168DA7E0">
      <w:pPr>
        <w:spacing w:line="560" w:lineRule="exact"/>
        <w:ind w:firstLine="480" w:firstLineChars="200"/>
        <w:rPr>
          <w:rFonts w:hint="eastAsia" w:ascii="宋体" w:hAnsi="宋体" w:cs="宋体"/>
          <w:sz w:val="24"/>
        </w:rPr>
      </w:pPr>
      <w:r>
        <w:rPr>
          <w:rFonts w:hint="eastAsia" w:ascii="宋体" w:hAnsi="宋体" w:cs="宋体"/>
          <w:sz w:val="24"/>
        </w:rPr>
        <w:t>除技术规范中另有规定外，合同的计量单位均使用国家法定计量单位。</w:t>
      </w:r>
    </w:p>
    <w:p w14:paraId="6564B3AA">
      <w:pPr>
        <w:spacing w:line="560" w:lineRule="exact"/>
        <w:ind w:firstLine="482" w:firstLineChars="200"/>
        <w:rPr>
          <w:rFonts w:hint="eastAsia" w:ascii="宋体" w:hAnsi="宋体" w:cs="宋体"/>
          <w:b/>
          <w:sz w:val="24"/>
        </w:rPr>
      </w:pPr>
      <w:bookmarkStart w:id="545" w:name="_Toc12773"/>
      <w:bookmarkStart w:id="546" w:name="_Toc487900373"/>
      <w:bookmarkStart w:id="547" w:name="_Toc279701263"/>
      <w:bookmarkStart w:id="548" w:name="_Toc10330"/>
      <w:bookmarkStart w:id="549" w:name="_Toc18567"/>
      <w:bookmarkStart w:id="550" w:name="_Toc259093692"/>
      <w:r>
        <w:rPr>
          <w:rFonts w:hint="eastAsia" w:ascii="宋体" w:hAnsi="宋体" w:cs="宋体"/>
          <w:b/>
          <w:sz w:val="24"/>
        </w:rPr>
        <w:t>2.19 合同使用的文字和适用的法律</w:t>
      </w:r>
      <w:bookmarkEnd w:id="545"/>
      <w:bookmarkEnd w:id="546"/>
      <w:bookmarkEnd w:id="547"/>
      <w:bookmarkEnd w:id="548"/>
      <w:bookmarkEnd w:id="549"/>
      <w:bookmarkEnd w:id="550"/>
    </w:p>
    <w:p w14:paraId="50F0BAA6">
      <w:pPr>
        <w:spacing w:line="560" w:lineRule="exact"/>
        <w:ind w:firstLine="480" w:firstLineChars="200"/>
        <w:rPr>
          <w:rFonts w:hint="eastAsia" w:ascii="宋体" w:hAnsi="宋体" w:cs="宋体"/>
          <w:sz w:val="24"/>
        </w:rPr>
      </w:pPr>
      <w:r>
        <w:rPr>
          <w:rFonts w:hint="eastAsia" w:ascii="宋体" w:hAnsi="宋体" w:cs="宋体"/>
          <w:sz w:val="24"/>
        </w:rPr>
        <w:t>2.19.1 合同使用汉语书就、变更和解释；</w:t>
      </w:r>
    </w:p>
    <w:p w14:paraId="76045359">
      <w:pPr>
        <w:spacing w:line="560" w:lineRule="exact"/>
        <w:ind w:firstLine="480" w:firstLineChars="200"/>
        <w:rPr>
          <w:rFonts w:hint="eastAsia" w:ascii="宋体" w:hAnsi="宋体" w:cs="宋体"/>
          <w:sz w:val="24"/>
        </w:rPr>
      </w:pPr>
      <w:r>
        <w:rPr>
          <w:rFonts w:hint="eastAsia" w:ascii="宋体" w:hAnsi="宋体" w:cs="宋体"/>
          <w:sz w:val="24"/>
        </w:rPr>
        <w:t>2.19.2 合同适用中华人民共和国法律。</w:t>
      </w:r>
    </w:p>
    <w:p w14:paraId="14D0EABB">
      <w:pPr>
        <w:spacing w:line="560" w:lineRule="exact"/>
        <w:ind w:firstLine="482" w:firstLineChars="200"/>
        <w:rPr>
          <w:rFonts w:hint="eastAsia" w:ascii="宋体" w:hAnsi="宋体" w:cs="宋体"/>
          <w:b/>
          <w:sz w:val="24"/>
        </w:rPr>
      </w:pPr>
      <w:bookmarkStart w:id="551" w:name="_Toc6885"/>
      <w:bookmarkStart w:id="552" w:name="_Toc14001"/>
      <w:bookmarkStart w:id="553" w:name="_Toc19890"/>
      <w:r>
        <w:rPr>
          <w:rFonts w:hint="eastAsia" w:ascii="宋体" w:hAnsi="宋体" w:cs="宋体"/>
          <w:b/>
          <w:sz w:val="24"/>
        </w:rPr>
        <w:t>2.20 合同份数</w:t>
      </w:r>
      <w:bookmarkEnd w:id="551"/>
      <w:bookmarkEnd w:id="552"/>
      <w:bookmarkEnd w:id="553"/>
    </w:p>
    <w:p w14:paraId="3361AC47">
      <w:pPr>
        <w:spacing w:line="560" w:lineRule="exact"/>
        <w:ind w:firstLine="480" w:firstLineChars="200"/>
        <w:rPr>
          <w:rFonts w:hint="eastAsia" w:ascii="宋体" w:hAnsi="宋体" w:cs="宋体"/>
          <w:sz w:val="24"/>
        </w:rPr>
      </w:pPr>
      <w:r>
        <w:rPr>
          <w:rFonts w:hint="eastAsia" w:ascii="宋体" w:hAnsi="宋体" w:cs="宋体"/>
          <w:sz w:val="24"/>
        </w:rPr>
        <w:t>合同份数按</w:t>
      </w:r>
      <w:r>
        <w:rPr>
          <w:rFonts w:hint="eastAsia" w:ascii="宋体" w:hAnsi="宋体" w:cs="宋体"/>
          <w:b/>
          <w:sz w:val="24"/>
          <w:u w:val="single"/>
        </w:rPr>
        <w:t>合同专用条款</w:t>
      </w:r>
      <w:r>
        <w:rPr>
          <w:rFonts w:hint="eastAsia" w:ascii="宋体" w:hAnsi="宋体" w:cs="宋体"/>
          <w:sz w:val="24"/>
        </w:rPr>
        <w:t>规定，每份均具有同等法律效力。</w:t>
      </w:r>
    </w:p>
    <w:p w14:paraId="2EEF8841">
      <w:pPr>
        <w:adjustRightInd/>
        <w:spacing w:line="360" w:lineRule="auto"/>
        <w:ind w:firstLine="2513" w:firstLineChars="1197"/>
        <w:rPr>
          <w:rFonts w:hint="eastAsia" w:ascii="宋体" w:hAnsi="宋体" w:cs="宋体"/>
          <w:b/>
        </w:rPr>
      </w:pPr>
      <w:r>
        <w:rPr>
          <w:rFonts w:hint="eastAsia" w:ascii="宋体" w:hAnsi="宋体" w:cs="宋体"/>
          <w:kern w:val="0"/>
        </w:rPr>
        <w:br w:type="page"/>
      </w:r>
      <w:r>
        <w:rPr>
          <w:rFonts w:hint="eastAsia" w:ascii="宋体" w:hAnsi="宋体" w:cs="宋体"/>
          <w:b/>
          <w:sz w:val="32"/>
          <w:szCs w:val="20"/>
        </w:rPr>
        <w:t xml:space="preserve"> 第三部分  合同专用条款</w:t>
      </w:r>
    </w:p>
    <w:p w14:paraId="475F0BF9">
      <w:pPr>
        <w:ind w:left="-420" w:leftChars="-200" w:right="-420" w:rightChars="-200" w:firstLine="480" w:firstLineChars="200"/>
        <w:rPr>
          <w:rFonts w:hint="eastAsia"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47E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465" w:type="pct"/>
            <w:tcBorders>
              <w:left w:val="single" w:color="auto" w:sz="4" w:space="0"/>
            </w:tcBorders>
            <w:vAlign w:val="center"/>
          </w:tcPr>
          <w:p w14:paraId="122B7C5B">
            <w:pPr>
              <w:jc w:val="center"/>
              <w:rPr>
                <w:rFonts w:hint="eastAsia" w:ascii="宋体" w:hAnsi="宋体" w:cs="宋体"/>
                <w:b/>
                <w:sz w:val="24"/>
              </w:rPr>
            </w:pPr>
            <w:r>
              <w:rPr>
                <w:rFonts w:hint="eastAsia" w:ascii="宋体" w:hAnsi="宋体" w:cs="宋体"/>
                <w:b/>
                <w:sz w:val="24"/>
              </w:rPr>
              <w:t>条款号</w:t>
            </w:r>
          </w:p>
        </w:tc>
        <w:tc>
          <w:tcPr>
            <w:tcW w:w="4534" w:type="pct"/>
            <w:vAlign w:val="center"/>
          </w:tcPr>
          <w:p w14:paraId="40F4300E">
            <w:pPr>
              <w:jc w:val="center"/>
              <w:rPr>
                <w:rFonts w:hint="eastAsia" w:ascii="宋体" w:hAnsi="宋体" w:cs="宋体"/>
                <w:b/>
                <w:sz w:val="24"/>
              </w:rPr>
            </w:pPr>
            <w:r>
              <w:rPr>
                <w:rFonts w:hint="eastAsia" w:ascii="宋体" w:hAnsi="宋体" w:cs="宋体"/>
                <w:b/>
                <w:sz w:val="24"/>
              </w:rPr>
              <w:t>约定内容</w:t>
            </w:r>
          </w:p>
        </w:tc>
      </w:tr>
      <w:tr w14:paraId="787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843AC">
            <w:pPr>
              <w:rPr>
                <w:rFonts w:hint="eastAsia" w:ascii="宋体" w:hAnsi="宋体" w:cs="宋体"/>
                <w:sz w:val="24"/>
              </w:rPr>
            </w:pPr>
            <w:r>
              <w:rPr>
                <w:rFonts w:hint="eastAsia" w:ascii="宋体" w:hAnsi="宋体" w:cs="宋体"/>
                <w:sz w:val="24"/>
              </w:rPr>
              <w:t>1.4.2</w:t>
            </w:r>
          </w:p>
        </w:tc>
        <w:tc>
          <w:tcPr>
            <w:tcW w:w="4534" w:type="pct"/>
            <w:vAlign w:val="center"/>
          </w:tcPr>
          <w:p w14:paraId="77F4F50D">
            <w:pPr>
              <w:rPr>
                <w:rFonts w:hint="eastAsia" w:ascii="宋体" w:hAnsi="宋体" w:cs="宋体"/>
                <w:sz w:val="24"/>
              </w:rPr>
            </w:pPr>
            <w:r>
              <w:rPr>
                <w:rFonts w:hint="eastAsia" w:ascii="宋体" w:hAnsi="宋体" w:cs="宋体"/>
                <w:sz w:val="24"/>
              </w:rPr>
              <w:t>/</w:t>
            </w:r>
          </w:p>
        </w:tc>
      </w:tr>
      <w:tr w14:paraId="143C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DD752B">
            <w:pPr>
              <w:rPr>
                <w:rFonts w:hint="eastAsia" w:ascii="宋体" w:hAnsi="宋体" w:cs="宋体"/>
                <w:sz w:val="24"/>
              </w:rPr>
            </w:pPr>
            <w:r>
              <w:rPr>
                <w:rFonts w:hint="eastAsia" w:ascii="宋体" w:hAnsi="宋体" w:cs="宋体"/>
                <w:sz w:val="24"/>
              </w:rPr>
              <w:t>1.5.1</w:t>
            </w:r>
          </w:p>
        </w:tc>
        <w:tc>
          <w:tcPr>
            <w:tcW w:w="4534" w:type="pct"/>
            <w:vAlign w:val="center"/>
          </w:tcPr>
          <w:p w14:paraId="2607FC5A">
            <w:pPr>
              <w:rPr>
                <w:rFonts w:hint="eastAsia" w:ascii="宋体" w:hAnsi="宋体" w:cs="宋体"/>
                <w:sz w:val="24"/>
              </w:rPr>
            </w:pPr>
            <w:r>
              <w:rPr>
                <w:rFonts w:hint="eastAsia" w:ascii="宋体" w:hAnsi="宋体" w:cs="宋体"/>
                <w:sz w:val="24"/>
              </w:rPr>
              <w:t>合同生效且具备实施条件后，七个工作日内支付合同总额的40%作为预付款；（合同签订时乙方主动要求不需要预付款的甲方可以不支付）；</w:t>
            </w:r>
          </w:p>
        </w:tc>
      </w:tr>
      <w:tr w14:paraId="0BC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420DB2">
            <w:pPr>
              <w:rPr>
                <w:rFonts w:hint="eastAsia" w:ascii="宋体" w:hAnsi="宋体" w:cs="宋体"/>
                <w:sz w:val="24"/>
              </w:rPr>
            </w:pPr>
            <w:r>
              <w:rPr>
                <w:rFonts w:hint="eastAsia" w:ascii="宋体" w:hAnsi="宋体" w:cs="宋体"/>
                <w:sz w:val="24"/>
              </w:rPr>
              <w:t xml:space="preserve">1.5.2 </w:t>
            </w:r>
          </w:p>
        </w:tc>
        <w:tc>
          <w:tcPr>
            <w:tcW w:w="4534" w:type="pct"/>
            <w:vAlign w:val="center"/>
          </w:tcPr>
          <w:p w14:paraId="2273520A">
            <w:pPr>
              <w:rPr>
                <w:rFonts w:hint="eastAsia" w:ascii="宋体" w:hAnsi="宋体" w:cs="宋体"/>
                <w:sz w:val="24"/>
              </w:rPr>
            </w:pPr>
            <w:r>
              <w:rPr>
                <w:rFonts w:hint="eastAsia" w:ascii="宋体" w:hAnsi="宋体" w:cs="宋体"/>
                <w:sz w:val="24"/>
              </w:rPr>
              <w:t>/</w:t>
            </w:r>
          </w:p>
        </w:tc>
      </w:tr>
      <w:tr w14:paraId="52B8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F6D853">
            <w:pPr>
              <w:rPr>
                <w:rFonts w:hint="eastAsia" w:ascii="宋体" w:hAnsi="宋体" w:cs="宋体"/>
                <w:sz w:val="24"/>
              </w:rPr>
            </w:pPr>
            <w:r>
              <w:rPr>
                <w:rFonts w:hint="eastAsia" w:ascii="宋体" w:hAnsi="宋体" w:cs="宋体"/>
                <w:sz w:val="24"/>
              </w:rPr>
              <w:t>1.5.3</w:t>
            </w:r>
          </w:p>
        </w:tc>
        <w:tc>
          <w:tcPr>
            <w:tcW w:w="4534" w:type="pct"/>
            <w:vAlign w:val="center"/>
          </w:tcPr>
          <w:p w14:paraId="48CBD34D">
            <w:pPr>
              <w:rPr>
                <w:rFonts w:hint="eastAsia" w:ascii="宋体" w:hAnsi="宋体" w:cs="宋体"/>
                <w:sz w:val="24"/>
              </w:rPr>
            </w:pPr>
            <w:r>
              <w:rPr>
                <w:rFonts w:hint="eastAsia" w:ascii="宋体" w:hAnsi="宋体" w:cs="宋体"/>
                <w:sz w:val="24"/>
              </w:rPr>
              <w:t>/</w:t>
            </w:r>
          </w:p>
        </w:tc>
      </w:tr>
      <w:tr w14:paraId="4D2E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75A90">
            <w:pPr>
              <w:rPr>
                <w:rFonts w:hint="eastAsia" w:ascii="宋体" w:hAnsi="宋体" w:cs="宋体"/>
                <w:sz w:val="24"/>
              </w:rPr>
            </w:pPr>
            <w:r>
              <w:rPr>
                <w:rFonts w:hint="eastAsia" w:ascii="宋体" w:hAnsi="宋体" w:cs="宋体"/>
                <w:sz w:val="24"/>
              </w:rPr>
              <w:t>1.6.2</w:t>
            </w:r>
          </w:p>
        </w:tc>
        <w:tc>
          <w:tcPr>
            <w:tcW w:w="4534" w:type="pct"/>
            <w:vAlign w:val="center"/>
          </w:tcPr>
          <w:p w14:paraId="1DC0C4D5">
            <w:pPr>
              <w:rPr>
                <w:rFonts w:hint="eastAsia" w:ascii="宋体" w:hAnsi="宋体" w:cs="宋体"/>
                <w:sz w:val="24"/>
              </w:rPr>
            </w:pPr>
            <w:r>
              <w:rPr>
                <w:rFonts w:hint="eastAsia" w:ascii="宋体" w:hAnsi="宋体" w:cs="宋体"/>
                <w:sz w:val="24"/>
              </w:rPr>
              <w:t>适用于中小微企业：</w:t>
            </w:r>
          </w:p>
          <w:p w14:paraId="22782F1D">
            <w:pPr>
              <w:rPr>
                <w:rFonts w:hint="eastAsia" w:ascii="宋体" w:hAnsi="宋体" w:cs="宋体"/>
                <w:sz w:val="24"/>
              </w:rPr>
            </w:pPr>
            <w:r>
              <w:rPr>
                <w:rFonts w:hint="eastAsia" w:ascii="宋体" w:hAnsi="宋体" w:cs="宋体"/>
                <w:sz w:val="24"/>
              </w:rPr>
              <w:t>①合同生效且具备实施条件后，七个工作日内支付合同总额的40%作为预付款；（合同签订时乙方主动要求不需要预付款的甲方可以不支付）；</w:t>
            </w:r>
          </w:p>
          <w:p w14:paraId="21882979">
            <w:pPr>
              <w:rPr>
                <w:rFonts w:hint="eastAsia" w:ascii="宋体" w:hAnsi="宋体" w:cs="宋体"/>
                <w:sz w:val="24"/>
              </w:rPr>
            </w:pPr>
            <w:r>
              <w:rPr>
                <w:rFonts w:hint="eastAsia" w:ascii="宋体" w:hAnsi="宋体" w:cs="宋体"/>
                <w:sz w:val="24"/>
              </w:rPr>
              <w:t>②设备安装调试、系统对接完毕并验收合格后，采购人在七个工作日内向中标人付清余款。</w:t>
            </w:r>
          </w:p>
          <w:p w14:paraId="5BCD3872">
            <w:pPr>
              <w:rPr>
                <w:rFonts w:hint="eastAsia" w:ascii="宋体" w:hAnsi="宋体" w:cs="宋体"/>
                <w:sz w:val="24"/>
              </w:rPr>
            </w:pPr>
            <w:r>
              <w:rPr>
                <w:rFonts w:hint="eastAsia" w:ascii="宋体" w:hAnsi="宋体" w:cs="宋体"/>
                <w:sz w:val="24"/>
              </w:rPr>
              <w:t>适用于大型企业：</w:t>
            </w:r>
          </w:p>
          <w:p w14:paraId="79F8AA7F">
            <w:pPr>
              <w:rPr>
                <w:rFonts w:hint="eastAsia" w:ascii="宋体" w:hAnsi="宋体" w:cs="宋体"/>
                <w:sz w:val="24"/>
              </w:rPr>
            </w:pPr>
            <w:r>
              <w:rPr>
                <w:rFonts w:hint="eastAsia" w:ascii="宋体" w:hAnsi="宋体" w:cs="宋体"/>
                <w:sz w:val="24"/>
              </w:rPr>
              <w:t>①货到验收合格且采购人收到合法有效的发票后七个工作日内付清全款。</w:t>
            </w:r>
          </w:p>
        </w:tc>
      </w:tr>
      <w:tr w14:paraId="0E1C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7297E">
            <w:pPr>
              <w:rPr>
                <w:rFonts w:hint="eastAsia" w:ascii="宋体" w:hAnsi="宋体" w:cs="宋体"/>
                <w:sz w:val="24"/>
              </w:rPr>
            </w:pPr>
            <w:r>
              <w:rPr>
                <w:rFonts w:hint="eastAsia" w:ascii="宋体" w:hAnsi="宋体" w:cs="宋体"/>
                <w:sz w:val="24"/>
              </w:rPr>
              <w:t>1.7.1</w:t>
            </w:r>
          </w:p>
        </w:tc>
        <w:tc>
          <w:tcPr>
            <w:tcW w:w="4534" w:type="pct"/>
            <w:vAlign w:val="center"/>
          </w:tcPr>
          <w:p w14:paraId="67744309">
            <w:pPr>
              <w:rPr>
                <w:rFonts w:hint="eastAsia" w:ascii="宋体" w:hAnsi="宋体" w:cs="宋体"/>
                <w:sz w:val="24"/>
              </w:rPr>
            </w:pPr>
            <w:r>
              <w:rPr>
                <w:rFonts w:hint="eastAsia" w:ascii="宋体" w:hAnsi="宋体" w:cs="宋体"/>
                <w:kern w:val="0"/>
                <w:sz w:val="24"/>
              </w:rPr>
              <w:t>2025年</w:t>
            </w:r>
            <w:r>
              <w:rPr>
                <w:rFonts w:hint="eastAsia" w:ascii="宋体" w:hAnsi="宋体" w:cs="宋体"/>
                <w:kern w:val="0"/>
                <w:sz w:val="24"/>
                <w:lang w:val="en-US" w:eastAsia="zh-CN"/>
              </w:rPr>
              <w:t>8</w:t>
            </w:r>
            <w:r>
              <w:rPr>
                <w:rFonts w:hint="eastAsia" w:ascii="宋体" w:hAnsi="宋体" w:cs="宋体"/>
                <w:kern w:val="0"/>
                <w:sz w:val="24"/>
              </w:rPr>
              <w:t>月</w:t>
            </w:r>
            <w:r>
              <w:rPr>
                <w:rFonts w:hint="eastAsia" w:ascii="宋体" w:hAnsi="宋体" w:cs="宋体"/>
                <w:kern w:val="0"/>
                <w:sz w:val="24"/>
                <w:lang w:val="en-US" w:eastAsia="zh-CN"/>
              </w:rPr>
              <w:t>底前</w:t>
            </w:r>
            <w:r>
              <w:rPr>
                <w:rFonts w:hint="eastAsia" w:ascii="宋体" w:hAnsi="宋体" w:cs="宋体"/>
                <w:kern w:val="0"/>
                <w:sz w:val="24"/>
              </w:rPr>
              <w:t>完成项目</w:t>
            </w:r>
            <w:r>
              <w:rPr>
                <w:rFonts w:hint="eastAsia" w:ascii="宋体" w:hAnsi="宋体" w:cs="宋体"/>
                <w:kern w:val="0"/>
                <w:sz w:val="24"/>
                <w:lang w:val="en-US" w:eastAsia="zh-CN"/>
              </w:rPr>
              <w:t>供货、</w:t>
            </w:r>
            <w:r>
              <w:rPr>
                <w:rFonts w:hint="eastAsia" w:ascii="宋体" w:hAnsi="宋体" w:cs="宋体"/>
                <w:kern w:val="0"/>
                <w:sz w:val="24"/>
              </w:rPr>
              <w:t>安装、调试</w:t>
            </w:r>
            <w:r>
              <w:rPr>
                <w:rFonts w:hint="eastAsia" w:ascii="宋体" w:hAnsi="宋体" w:cs="宋体"/>
                <w:kern w:val="0"/>
                <w:sz w:val="24"/>
                <w:lang w:eastAsia="zh-CN"/>
              </w:rPr>
              <w:t>，</w:t>
            </w:r>
            <w:r>
              <w:rPr>
                <w:rFonts w:hint="eastAsia" w:ascii="宋体" w:hAnsi="宋体" w:cs="宋体"/>
                <w:kern w:val="0"/>
                <w:sz w:val="24"/>
              </w:rPr>
              <w:t>进行试运行测试，试运行期一个月后，由采购人进行统一验收。</w:t>
            </w:r>
          </w:p>
        </w:tc>
      </w:tr>
      <w:tr w14:paraId="6C89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F47A9">
            <w:pPr>
              <w:rPr>
                <w:rFonts w:hint="eastAsia" w:ascii="宋体" w:hAnsi="宋体" w:cs="宋体"/>
                <w:sz w:val="24"/>
              </w:rPr>
            </w:pPr>
            <w:r>
              <w:rPr>
                <w:rFonts w:hint="eastAsia" w:ascii="宋体" w:hAnsi="宋体" w:cs="宋体"/>
                <w:sz w:val="24"/>
              </w:rPr>
              <w:t>1.7.2</w:t>
            </w:r>
          </w:p>
        </w:tc>
        <w:tc>
          <w:tcPr>
            <w:tcW w:w="4534" w:type="pct"/>
            <w:vAlign w:val="center"/>
          </w:tcPr>
          <w:p w14:paraId="74D3ED00">
            <w:pPr>
              <w:rPr>
                <w:rFonts w:hint="eastAsia" w:ascii="宋体" w:hAnsi="宋体" w:cs="宋体"/>
                <w:sz w:val="24"/>
              </w:rPr>
            </w:pPr>
            <w:r>
              <w:rPr>
                <w:rFonts w:hint="eastAsia" w:ascii="宋体" w:hAnsi="宋体" w:cs="宋体"/>
                <w:sz w:val="24"/>
              </w:rPr>
              <w:t>宁海县桃源中学</w:t>
            </w:r>
            <w:r>
              <w:rPr>
                <w:rFonts w:hint="eastAsia" w:ascii="宋体" w:hAnsi="宋体" w:cs="宋体"/>
                <w:sz w:val="24"/>
                <w:lang w:eastAsia="zh-CN"/>
              </w:rPr>
              <w:t>辛岭</w:t>
            </w:r>
            <w:r>
              <w:rPr>
                <w:rFonts w:hint="eastAsia" w:ascii="宋体" w:hAnsi="宋体" w:cs="宋体"/>
                <w:sz w:val="24"/>
              </w:rPr>
              <w:t>校区、宁海县星海小学、宁海县第一职业中学指定地点。</w:t>
            </w:r>
          </w:p>
        </w:tc>
      </w:tr>
      <w:tr w14:paraId="56B1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2938C">
            <w:pPr>
              <w:rPr>
                <w:rFonts w:hint="eastAsia" w:ascii="宋体" w:hAnsi="宋体" w:cs="宋体"/>
                <w:sz w:val="24"/>
              </w:rPr>
            </w:pPr>
            <w:r>
              <w:rPr>
                <w:rFonts w:hint="eastAsia" w:ascii="宋体" w:hAnsi="宋体" w:cs="宋体"/>
                <w:sz w:val="24"/>
              </w:rPr>
              <w:t>1.7.3</w:t>
            </w:r>
          </w:p>
        </w:tc>
        <w:tc>
          <w:tcPr>
            <w:tcW w:w="4534" w:type="pct"/>
            <w:vAlign w:val="center"/>
          </w:tcPr>
          <w:p w14:paraId="52ECCEE5">
            <w:pPr>
              <w:rPr>
                <w:rFonts w:hint="eastAsia" w:ascii="宋体" w:hAnsi="宋体" w:cs="宋体"/>
                <w:sz w:val="24"/>
              </w:rPr>
            </w:pPr>
            <w:r>
              <w:rPr>
                <w:rFonts w:hint="eastAsia" w:ascii="宋体" w:hAnsi="宋体" w:cs="宋体"/>
                <w:sz w:val="24"/>
              </w:rPr>
              <w:t>满足甲方要求，现场交货。</w:t>
            </w:r>
          </w:p>
        </w:tc>
      </w:tr>
      <w:tr w14:paraId="08BA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0E3AD4">
            <w:pPr>
              <w:rPr>
                <w:rFonts w:hint="eastAsia" w:ascii="宋体" w:hAnsi="宋体" w:cs="宋体"/>
                <w:sz w:val="24"/>
              </w:rPr>
            </w:pPr>
            <w:r>
              <w:rPr>
                <w:rFonts w:hint="eastAsia" w:ascii="宋体" w:hAnsi="宋体" w:cs="宋体"/>
                <w:sz w:val="24"/>
              </w:rPr>
              <w:t>1.8.3</w:t>
            </w:r>
          </w:p>
        </w:tc>
        <w:tc>
          <w:tcPr>
            <w:tcW w:w="4534" w:type="pct"/>
            <w:vAlign w:val="center"/>
          </w:tcPr>
          <w:p w14:paraId="7075CFCB">
            <w:pPr>
              <w:rPr>
                <w:rFonts w:hint="eastAsia" w:ascii="宋体" w:hAnsi="宋体" w:cs="宋体"/>
                <w:sz w:val="24"/>
              </w:rPr>
            </w:pPr>
            <w:r>
              <w:rPr>
                <w:rFonts w:hint="eastAsia" w:ascii="宋体" w:hAnsi="宋体" w:cs="宋体"/>
                <w:sz w:val="24"/>
              </w:rPr>
              <w:t>/</w:t>
            </w:r>
          </w:p>
        </w:tc>
      </w:tr>
      <w:tr w14:paraId="0E6C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0E1449">
            <w:pPr>
              <w:rPr>
                <w:rFonts w:hint="eastAsia" w:ascii="宋体" w:hAnsi="宋体" w:cs="宋体"/>
                <w:sz w:val="24"/>
              </w:rPr>
            </w:pPr>
            <w:r>
              <w:rPr>
                <w:rFonts w:hint="eastAsia" w:ascii="宋体" w:hAnsi="宋体" w:cs="宋体"/>
                <w:sz w:val="24"/>
              </w:rPr>
              <w:t>1.9</w:t>
            </w:r>
          </w:p>
        </w:tc>
        <w:tc>
          <w:tcPr>
            <w:tcW w:w="4534" w:type="pct"/>
            <w:vAlign w:val="center"/>
          </w:tcPr>
          <w:p w14:paraId="373D1AD0">
            <w:pPr>
              <w:rPr>
                <w:rFonts w:hint="eastAsia" w:ascii="宋体" w:hAnsi="宋体" w:cs="宋体"/>
                <w:sz w:val="24"/>
              </w:rPr>
            </w:pPr>
            <w:r>
              <w:rPr>
                <w:rFonts w:hint="eastAsia" w:ascii="宋体" w:hAnsi="宋体" w:cs="宋体"/>
                <w:sz w:val="24"/>
              </w:rPr>
              <w:t>宁波市宁海县。</w:t>
            </w:r>
          </w:p>
        </w:tc>
      </w:tr>
      <w:tr w14:paraId="0A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37604">
            <w:pPr>
              <w:rPr>
                <w:rFonts w:hint="eastAsia" w:ascii="宋体" w:hAnsi="宋体" w:cs="宋体"/>
                <w:sz w:val="24"/>
              </w:rPr>
            </w:pPr>
            <w:r>
              <w:rPr>
                <w:rFonts w:hint="eastAsia" w:ascii="宋体" w:hAnsi="宋体" w:cs="宋体"/>
                <w:sz w:val="24"/>
              </w:rPr>
              <w:t>2.3.2</w:t>
            </w:r>
          </w:p>
        </w:tc>
        <w:tc>
          <w:tcPr>
            <w:tcW w:w="4534" w:type="pct"/>
            <w:vAlign w:val="center"/>
          </w:tcPr>
          <w:p w14:paraId="5475DC22">
            <w:pPr>
              <w:ind w:left="-420" w:leftChars="-200" w:right="-420" w:rightChars="-200" w:firstLine="480" w:firstLineChars="200"/>
              <w:rPr>
                <w:rFonts w:hint="eastAsia" w:ascii="宋体" w:hAnsi="宋体" w:cs="宋体"/>
                <w:sz w:val="24"/>
              </w:rPr>
            </w:pPr>
            <w:r>
              <w:rPr>
                <w:rFonts w:hint="eastAsia" w:ascii="宋体" w:hAnsi="宋体" w:cs="宋体"/>
                <w:sz w:val="24"/>
              </w:rPr>
              <w:t>归甲方所有。</w:t>
            </w:r>
          </w:p>
        </w:tc>
      </w:tr>
      <w:tr w14:paraId="4BEFB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80ADEE">
            <w:pPr>
              <w:rPr>
                <w:rFonts w:hint="eastAsia" w:ascii="宋体" w:hAnsi="宋体" w:cs="宋体"/>
                <w:sz w:val="24"/>
              </w:rPr>
            </w:pPr>
            <w:r>
              <w:rPr>
                <w:rFonts w:hint="eastAsia" w:ascii="宋体" w:hAnsi="宋体" w:cs="宋体"/>
                <w:sz w:val="24"/>
              </w:rPr>
              <w:t>2.4.1</w:t>
            </w:r>
          </w:p>
        </w:tc>
        <w:tc>
          <w:tcPr>
            <w:tcW w:w="4534" w:type="pct"/>
            <w:vAlign w:val="center"/>
          </w:tcPr>
          <w:p w14:paraId="7AB92F11">
            <w:pPr>
              <w:ind w:left="-420" w:leftChars="-200" w:right="-420" w:rightChars="-200" w:firstLine="480" w:firstLineChars="200"/>
              <w:rPr>
                <w:rFonts w:hint="eastAsia" w:ascii="宋体" w:hAnsi="宋体" w:cs="宋体"/>
                <w:sz w:val="24"/>
              </w:rPr>
            </w:pPr>
            <w:r>
              <w:rPr>
                <w:rFonts w:hint="eastAsia" w:ascii="宋体" w:hAnsi="宋体" w:cs="宋体"/>
                <w:sz w:val="24"/>
              </w:rPr>
              <w:t>/</w:t>
            </w:r>
          </w:p>
        </w:tc>
      </w:tr>
      <w:tr w14:paraId="0D33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B33CB">
            <w:pPr>
              <w:rPr>
                <w:rFonts w:hint="eastAsia" w:ascii="宋体" w:hAnsi="宋体" w:cs="宋体"/>
                <w:sz w:val="24"/>
              </w:rPr>
            </w:pPr>
            <w:r>
              <w:rPr>
                <w:rFonts w:hint="eastAsia" w:ascii="宋体" w:hAnsi="宋体" w:cs="宋体"/>
                <w:sz w:val="24"/>
              </w:rPr>
              <w:t>2.4.3</w:t>
            </w:r>
          </w:p>
        </w:tc>
        <w:tc>
          <w:tcPr>
            <w:tcW w:w="4534" w:type="pct"/>
            <w:vAlign w:val="center"/>
          </w:tcPr>
          <w:p w14:paraId="642D64AC">
            <w:pPr>
              <w:rPr>
                <w:rFonts w:hint="eastAsia" w:ascii="宋体" w:hAnsi="宋体" w:cs="宋体"/>
                <w:sz w:val="24"/>
              </w:rPr>
            </w:pPr>
            <w:r>
              <w:rPr>
                <w:rFonts w:hint="eastAsia" w:ascii="宋体" w:hAnsi="宋体" w:cs="宋体"/>
                <w:sz w:val="24"/>
              </w:rPr>
              <w:t>满足甲方要求。</w:t>
            </w:r>
          </w:p>
        </w:tc>
      </w:tr>
      <w:tr w14:paraId="70BA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04982">
            <w:pPr>
              <w:rPr>
                <w:rFonts w:hint="eastAsia" w:ascii="宋体" w:hAnsi="宋体" w:cs="宋体"/>
                <w:sz w:val="24"/>
              </w:rPr>
            </w:pPr>
            <w:r>
              <w:rPr>
                <w:rFonts w:hint="eastAsia" w:ascii="宋体" w:hAnsi="宋体" w:cs="宋体"/>
                <w:sz w:val="24"/>
              </w:rPr>
              <w:t xml:space="preserve">2.8 </w:t>
            </w:r>
          </w:p>
        </w:tc>
        <w:tc>
          <w:tcPr>
            <w:tcW w:w="4534" w:type="pct"/>
          </w:tcPr>
          <w:p w14:paraId="56572207">
            <w:pPr>
              <w:rPr>
                <w:rFonts w:hint="eastAsia" w:ascii="宋体" w:hAnsi="宋体" w:cs="宋体"/>
                <w:sz w:val="24"/>
              </w:rPr>
            </w:pPr>
            <w:r>
              <w:rPr>
                <w:rFonts w:hint="eastAsia" w:ascii="宋体" w:hAnsi="宋体" w:cs="宋体"/>
                <w:sz w:val="24"/>
              </w:rPr>
              <w:t>责任方承担。</w:t>
            </w:r>
          </w:p>
        </w:tc>
      </w:tr>
      <w:tr w14:paraId="168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5C935B">
            <w:pPr>
              <w:rPr>
                <w:rFonts w:hint="eastAsia" w:ascii="宋体" w:hAnsi="宋体" w:cs="宋体"/>
                <w:sz w:val="24"/>
              </w:rPr>
            </w:pPr>
            <w:r>
              <w:rPr>
                <w:rFonts w:hint="eastAsia" w:ascii="宋体" w:hAnsi="宋体" w:cs="宋体"/>
                <w:sz w:val="24"/>
              </w:rPr>
              <w:t>2.12.3</w:t>
            </w:r>
          </w:p>
        </w:tc>
        <w:tc>
          <w:tcPr>
            <w:tcW w:w="4534" w:type="pct"/>
            <w:vAlign w:val="center"/>
          </w:tcPr>
          <w:p w14:paraId="0B8E2444">
            <w:pPr>
              <w:rPr>
                <w:rFonts w:hint="eastAsia" w:ascii="宋体" w:hAnsi="宋体" w:cs="宋体"/>
                <w:sz w:val="24"/>
              </w:rPr>
            </w:pPr>
            <w:r>
              <w:rPr>
                <w:rFonts w:hint="eastAsia" w:ascii="宋体" w:hAnsi="宋体" w:cs="宋体"/>
                <w:sz w:val="24"/>
              </w:rPr>
              <w:t>不可抗力时间发生后7天。</w:t>
            </w:r>
          </w:p>
        </w:tc>
      </w:tr>
      <w:tr w14:paraId="057E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EC087">
            <w:pPr>
              <w:rPr>
                <w:rFonts w:hint="eastAsia" w:ascii="宋体" w:hAnsi="宋体" w:cs="宋体"/>
                <w:sz w:val="24"/>
              </w:rPr>
            </w:pPr>
            <w:r>
              <w:rPr>
                <w:rFonts w:hint="eastAsia" w:ascii="宋体" w:hAnsi="宋体" w:cs="宋体"/>
                <w:sz w:val="24"/>
              </w:rPr>
              <w:t>2.12.4</w:t>
            </w:r>
          </w:p>
        </w:tc>
        <w:tc>
          <w:tcPr>
            <w:tcW w:w="4534" w:type="pct"/>
          </w:tcPr>
          <w:p w14:paraId="0F8BCDF9">
            <w:pPr>
              <w:rPr>
                <w:rFonts w:hint="eastAsia" w:ascii="宋体" w:hAnsi="宋体" w:cs="宋体"/>
                <w:sz w:val="24"/>
              </w:rPr>
            </w:pPr>
            <w:r>
              <w:rPr>
                <w:rFonts w:hint="eastAsia" w:ascii="宋体" w:hAnsi="宋体" w:cs="宋体"/>
                <w:sz w:val="24"/>
              </w:rPr>
              <w:t>不可抗力时间发生后7天。</w:t>
            </w:r>
          </w:p>
        </w:tc>
      </w:tr>
      <w:tr w14:paraId="4B0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729006">
            <w:pPr>
              <w:rPr>
                <w:rFonts w:hint="eastAsia" w:ascii="宋体" w:hAnsi="宋体" w:cs="宋体"/>
                <w:sz w:val="24"/>
              </w:rPr>
            </w:pPr>
            <w:r>
              <w:rPr>
                <w:rFonts w:hint="eastAsia" w:ascii="宋体" w:hAnsi="宋体" w:cs="宋体"/>
                <w:sz w:val="24"/>
              </w:rPr>
              <w:t>2.16.1</w:t>
            </w:r>
          </w:p>
        </w:tc>
        <w:tc>
          <w:tcPr>
            <w:tcW w:w="4534" w:type="pct"/>
            <w:vAlign w:val="center"/>
          </w:tcPr>
          <w:p w14:paraId="3AB1F698">
            <w:pPr>
              <w:rPr>
                <w:rFonts w:hint="eastAsia" w:ascii="宋体" w:hAnsi="宋体" w:cs="宋体"/>
                <w:sz w:val="24"/>
              </w:rPr>
            </w:pPr>
            <w:r>
              <w:rPr>
                <w:rFonts w:hint="eastAsia" w:ascii="宋体" w:hAnsi="宋体" w:cs="宋体"/>
                <w:sz w:val="24"/>
              </w:rPr>
              <w:t>以甲方约定为准。</w:t>
            </w:r>
          </w:p>
        </w:tc>
      </w:tr>
      <w:tr w14:paraId="3448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65AB328">
            <w:pPr>
              <w:rPr>
                <w:rFonts w:hint="eastAsia" w:ascii="宋体" w:hAnsi="宋体" w:cs="宋体"/>
                <w:sz w:val="24"/>
              </w:rPr>
            </w:pPr>
            <w:r>
              <w:rPr>
                <w:rFonts w:hint="eastAsia" w:ascii="宋体" w:hAnsi="宋体" w:cs="宋体"/>
                <w:sz w:val="24"/>
              </w:rPr>
              <w:t>2.16.3</w:t>
            </w:r>
          </w:p>
        </w:tc>
        <w:tc>
          <w:tcPr>
            <w:tcW w:w="4534" w:type="pct"/>
            <w:vAlign w:val="center"/>
          </w:tcPr>
          <w:p w14:paraId="24B9FAF3">
            <w:pPr>
              <w:rPr>
                <w:rFonts w:hint="eastAsia" w:ascii="宋体" w:hAnsi="宋体" w:cs="宋体"/>
                <w:sz w:val="24"/>
              </w:rPr>
            </w:pPr>
            <w:r>
              <w:rPr>
                <w:rFonts w:hint="eastAsia" w:ascii="宋体" w:hAnsi="宋体" w:cs="宋体"/>
                <w:sz w:val="24"/>
              </w:rPr>
              <w:t>1）验收标准：与产品技术数据及标书技术文件一致，符合国家有关技术规范和技术标准。</w:t>
            </w:r>
          </w:p>
          <w:p w14:paraId="23FAF7DA">
            <w:pPr>
              <w:rPr>
                <w:rFonts w:hint="eastAsia" w:ascii="宋体" w:hAnsi="宋体" w:cs="宋体"/>
                <w:sz w:val="24"/>
              </w:rPr>
            </w:pPr>
            <w:r>
              <w:rPr>
                <w:rFonts w:hint="eastAsia" w:ascii="宋体" w:hAnsi="宋体" w:cs="宋体"/>
                <w:sz w:val="24"/>
              </w:rPr>
              <w:t>2）安装、验收所产生的一切费用（包括卸货、搬运费等）由乙方负责。</w:t>
            </w:r>
          </w:p>
        </w:tc>
      </w:tr>
      <w:tr w14:paraId="344A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F21010">
            <w:pPr>
              <w:ind w:left="-420" w:leftChars="-200" w:right="-420" w:rightChars="-200" w:firstLine="480" w:firstLineChars="200"/>
              <w:rPr>
                <w:rFonts w:hint="eastAsia" w:ascii="宋体" w:hAnsi="宋体" w:cs="宋体"/>
                <w:sz w:val="24"/>
              </w:rPr>
            </w:pPr>
            <w:r>
              <w:rPr>
                <w:rFonts w:hint="eastAsia" w:ascii="宋体" w:hAnsi="宋体" w:cs="宋体"/>
                <w:sz w:val="24"/>
              </w:rPr>
              <w:t xml:space="preserve">2.20 </w:t>
            </w:r>
          </w:p>
        </w:tc>
        <w:tc>
          <w:tcPr>
            <w:tcW w:w="4534" w:type="pct"/>
          </w:tcPr>
          <w:p w14:paraId="4C00FACA">
            <w:pPr>
              <w:rPr>
                <w:rFonts w:hint="eastAsia" w:ascii="宋体" w:hAnsi="宋体" w:cs="宋体"/>
                <w:sz w:val="24"/>
              </w:rPr>
            </w:pPr>
            <w:r>
              <w:rPr>
                <w:rFonts w:hint="eastAsia" w:ascii="宋体" w:hAnsi="宋体" w:cs="宋体"/>
                <w:sz w:val="24"/>
              </w:rPr>
              <w:t>本合同一式   份，甲方执   份，乙方执   份，采购办存档一份。每份均具有同等法律效力。</w:t>
            </w:r>
          </w:p>
        </w:tc>
      </w:tr>
    </w:tbl>
    <w:p w14:paraId="06BAC144"/>
    <w:p w14:paraId="0E25D7FE">
      <w:pPr>
        <w:rPr>
          <w:rFonts w:hint="eastAsia" w:ascii="宋体" w:hAnsi="宋体" w:cs="宋体"/>
          <w:b/>
          <w:sz w:val="36"/>
          <w:szCs w:val="20"/>
        </w:rPr>
      </w:pPr>
      <w:bookmarkStart w:id="554" w:name="_Toc22993"/>
      <w:r>
        <w:rPr>
          <w:rFonts w:hint="eastAsia" w:ascii="宋体" w:hAnsi="宋体" w:cs="宋体"/>
          <w:b/>
          <w:sz w:val="36"/>
          <w:szCs w:val="20"/>
        </w:rPr>
        <w:br w:type="page"/>
      </w:r>
    </w:p>
    <w:p w14:paraId="58DC4B6D">
      <w:pPr>
        <w:spacing w:line="360" w:lineRule="auto"/>
        <w:jc w:val="center"/>
        <w:outlineLvl w:val="0"/>
        <w:rPr>
          <w:rFonts w:hint="eastAsia" w:ascii="宋体" w:hAnsi="宋体" w:cs="宋体"/>
          <w:b/>
          <w:sz w:val="36"/>
          <w:szCs w:val="20"/>
        </w:rPr>
      </w:pPr>
      <w:r>
        <w:rPr>
          <w:rFonts w:hint="eastAsia" w:ascii="宋体" w:hAnsi="宋体" w:cs="宋体"/>
          <w:b/>
          <w:sz w:val="36"/>
          <w:szCs w:val="20"/>
        </w:rPr>
        <w:t>第六部分</w:t>
      </w:r>
      <w:bookmarkEnd w:id="402"/>
      <w:r>
        <w:rPr>
          <w:rFonts w:hint="eastAsia" w:ascii="宋体" w:hAnsi="宋体" w:cs="宋体"/>
          <w:b/>
          <w:sz w:val="36"/>
          <w:szCs w:val="20"/>
        </w:rPr>
        <w:t xml:space="preserve"> </w:t>
      </w:r>
      <w:bookmarkEnd w:id="403"/>
      <w:r>
        <w:rPr>
          <w:rFonts w:hint="eastAsia" w:ascii="宋体" w:hAnsi="宋体" w:cs="宋体"/>
          <w:b/>
          <w:sz w:val="36"/>
          <w:szCs w:val="20"/>
        </w:rPr>
        <w:t>应提交的有关格式范例</w:t>
      </w:r>
      <w:bookmarkEnd w:id="554"/>
    </w:p>
    <w:p w14:paraId="57F084B5">
      <w:pPr>
        <w:spacing w:line="360" w:lineRule="auto"/>
        <w:jc w:val="center"/>
        <w:rPr>
          <w:rFonts w:hint="eastAsia" w:ascii="宋体" w:hAnsi="宋体" w:cs="宋体"/>
          <w:b/>
          <w:kern w:val="0"/>
          <w:sz w:val="36"/>
          <w:szCs w:val="36"/>
        </w:rPr>
      </w:pPr>
    </w:p>
    <w:p w14:paraId="5E460173">
      <w:pPr>
        <w:spacing w:line="360" w:lineRule="auto"/>
        <w:jc w:val="center"/>
        <w:rPr>
          <w:rFonts w:hint="eastAsia" w:ascii="宋体" w:hAnsi="宋体" w:cs="宋体"/>
          <w:b/>
          <w:kern w:val="0"/>
          <w:sz w:val="36"/>
          <w:szCs w:val="36"/>
        </w:rPr>
      </w:pPr>
      <w:r>
        <w:rPr>
          <w:rFonts w:hint="eastAsia" w:ascii="宋体" w:hAnsi="宋体" w:cs="宋体"/>
          <w:b/>
          <w:kern w:val="0"/>
          <w:sz w:val="36"/>
          <w:szCs w:val="36"/>
        </w:rPr>
        <w:t>资格文件部分</w:t>
      </w:r>
    </w:p>
    <w:p w14:paraId="03278FD6">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284DFB55">
      <w:pPr>
        <w:spacing w:line="360" w:lineRule="auto"/>
        <w:jc w:val="center"/>
        <w:rPr>
          <w:rFonts w:hint="eastAsia" w:ascii="宋体" w:hAnsi="宋体" w:cs="宋体"/>
          <w:b/>
          <w:kern w:val="0"/>
          <w:sz w:val="36"/>
          <w:szCs w:val="36"/>
        </w:rPr>
      </w:pPr>
    </w:p>
    <w:p w14:paraId="16C665A0">
      <w:pPr>
        <w:snapToGrid w:val="0"/>
        <w:spacing w:line="360" w:lineRule="auto"/>
        <w:rPr>
          <w:rFonts w:hint="eastAsia" w:ascii="宋体" w:hAnsi="宋体" w:cs="宋体"/>
          <w:sz w:val="24"/>
        </w:rPr>
      </w:pPr>
      <w:r>
        <w:rPr>
          <w:rFonts w:hint="eastAsia" w:ascii="宋体" w:hAnsi="宋体" w:cs="宋体"/>
          <w:sz w:val="24"/>
        </w:rPr>
        <w:t>（1）符合参加政府采购活动应当具备的一般条件的承诺函……………（页码）</w:t>
      </w:r>
    </w:p>
    <w:p w14:paraId="4F4E5907">
      <w:pPr>
        <w:snapToGrid w:val="0"/>
        <w:spacing w:line="360" w:lineRule="auto"/>
        <w:rPr>
          <w:rFonts w:hint="eastAsia"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D6619E">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4D800D86">
      <w:pPr>
        <w:snapToGrid w:val="0"/>
        <w:spacing w:line="360" w:lineRule="auto"/>
        <w:rPr>
          <w:rFonts w:hint="eastAsia"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1D25B21F">
      <w:pPr>
        <w:snapToGrid w:val="0"/>
        <w:spacing w:line="360" w:lineRule="auto"/>
        <w:ind w:firstLine="480" w:firstLineChars="200"/>
        <w:rPr>
          <w:rFonts w:hint="eastAsia" w:ascii="宋体" w:hAnsi="宋体" w:cs="宋体"/>
          <w:sz w:val="24"/>
        </w:rPr>
      </w:pPr>
    </w:p>
    <w:p w14:paraId="7429A5FE">
      <w:pPr>
        <w:spacing w:line="360" w:lineRule="auto"/>
        <w:ind w:firstLine="480" w:firstLineChars="200"/>
        <w:rPr>
          <w:rFonts w:hint="eastAsia" w:ascii="宋体" w:hAnsi="宋体" w:cs="宋体"/>
          <w:sz w:val="24"/>
        </w:rPr>
      </w:pPr>
    </w:p>
    <w:p w14:paraId="2CB71197">
      <w:pPr>
        <w:snapToGrid w:val="0"/>
        <w:spacing w:line="360" w:lineRule="auto"/>
        <w:ind w:right="480"/>
        <w:jc w:val="center"/>
        <w:rPr>
          <w:rFonts w:hint="eastAsia"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一、符合参加政府采购活动应当具备的一般条件的承诺函</w:t>
      </w:r>
    </w:p>
    <w:p w14:paraId="5823C4AA">
      <w:pPr>
        <w:snapToGrid w:val="0"/>
        <w:spacing w:line="360" w:lineRule="auto"/>
        <w:rPr>
          <w:rFonts w:hint="eastAsia" w:ascii="宋体" w:hAnsi="宋体" w:cs="宋体"/>
          <w:sz w:val="24"/>
        </w:rPr>
      </w:pPr>
      <w:r>
        <w:rPr>
          <w:rFonts w:hint="eastAsia" w:ascii="宋体" w:hAnsi="宋体" w:cs="宋体"/>
          <w:sz w:val="24"/>
        </w:rPr>
        <w:t>（采购人）、（采购代理机构）：</w:t>
      </w:r>
    </w:p>
    <w:p w14:paraId="5A072C2F">
      <w:pPr>
        <w:snapToGrid w:val="0"/>
        <w:spacing w:line="360" w:lineRule="auto"/>
        <w:ind w:firstLine="480" w:firstLineChars="200"/>
        <w:rPr>
          <w:rFonts w:hint="eastAsia" w:ascii="宋体" w:hAnsi="宋体" w:cs="宋体"/>
          <w:sz w:val="24"/>
        </w:rPr>
      </w:pPr>
      <w:r>
        <w:rPr>
          <w:rFonts w:hint="eastAsia" w:ascii="宋体" w:hAnsi="宋体" w:cs="宋体"/>
          <w:sz w:val="24"/>
        </w:rPr>
        <w:t>我方参与（项目名称）【招标编号：（采购编号）】政府采购活动，郑重承诺：</w:t>
      </w:r>
    </w:p>
    <w:p w14:paraId="56856BFA">
      <w:pPr>
        <w:snapToGrid w:val="0"/>
        <w:spacing w:line="360" w:lineRule="auto"/>
        <w:ind w:firstLine="360" w:firstLineChars="150"/>
        <w:rPr>
          <w:rFonts w:hint="eastAsia" w:ascii="宋体" w:hAnsi="宋体" w:cs="宋体"/>
          <w:sz w:val="24"/>
        </w:rPr>
      </w:pPr>
      <w:r>
        <w:rPr>
          <w:rFonts w:hint="eastAsia" w:ascii="宋体" w:hAnsi="宋体" w:cs="宋体"/>
          <w:sz w:val="24"/>
        </w:rPr>
        <w:t>（一）具备《中华人民共和国政府采购法》第二十二条第一款规定的条件：</w:t>
      </w:r>
    </w:p>
    <w:p w14:paraId="7EA3829C">
      <w:pPr>
        <w:snapToGrid w:val="0"/>
        <w:spacing w:line="360" w:lineRule="auto"/>
        <w:ind w:firstLine="480" w:firstLineChars="200"/>
        <w:rPr>
          <w:rFonts w:hint="eastAsia" w:ascii="宋体" w:hAnsi="宋体" w:cs="宋体"/>
          <w:sz w:val="24"/>
        </w:rPr>
      </w:pPr>
      <w:r>
        <w:rPr>
          <w:rFonts w:hint="eastAsia" w:ascii="宋体" w:hAnsi="宋体" w:cs="宋体"/>
          <w:sz w:val="24"/>
        </w:rPr>
        <w:t>1、具有独立承担民事责任的能力；</w:t>
      </w:r>
    </w:p>
    <w:p w14:paraId="1714ECBC">
      <w:pPr>
        <w:snapToGrid w:val="0"/>
        <w:spacing w:line="360" w:lineRule="auto"/>
        <w:ind w:firstLine="480" w:firstLineChars="200"/>
        <w:rPr>
          <w:rFonts w:hint="eastAsia" w:ascii="宋体" w:hAnsi="宋体" w:cs="宋体"/>
          <w:sz w:val="24"/>
        </w:rPr>
      </w:pPr>
      <w:r>
        <w:rPr>
          <w:rFonts w:hint="eastAsia" w:ascii="宋体" w:hAnsi="宋体" w:cs="宋体"/>
          <w:sz w:val="24"/>
        </w:rPr>
        <w:t xml:space="preserve">2、具有良好的商业信誉和健全的财务会计制度； </w:t>
      </w:r>
    </w:p>
    <w:p w14:paraId="0F706A3A">
      <w:pPr>
        <w:snapToGrid w:val="0"/>
        <w:spacing w:line="360" w:lineRule="auto"/>
        <w:ind w:firstLine="480" w:firstLineChars="200"/>
        <w:rPr>
          <w:rFonts w:hint="eastAsia" w:ascii="宋体" w:hAnsi="宋体" w:cs="宋体"/>
          <w:sz w:val="24"/>
        </w:rPr>
      </w:pPr>
      <w:r>
        <w:rPr>
          <w:rFonts w:hint="eastAsia" w:ascii="宋体" w:hAnsi="宋体" w:cs="宋体"/>
          <w:sz w:val="24"/>
        </w:rPr>
        <w:t>3、具有履行合同所必需的设备和专业技术能力；</w:t>
      </w:r>
    </w:p>
    <w:p w14:paraId="68CC6BF6">
      <w:pPr>
        <w:snapToGrid w:val="0"/>
        <w:spacing w:line="360" w:lineRule="auto"/>
        <w:ind w:firstLine="480" w:firstLineChars="200"/>
        <w:rPr>
          <w:rFonts w:hint="eastAsia" w:ascii="宋体" w:hAnsi="宋体" w:cs="宋体"/>
          <w:sz w:val="24"/>
        </w:rPr>
      </w:pPr>
      <w:r>
        <w:rPr>
          <w:rFonts w:hint="eastAsia" w:ascii="宋体" w:hAnsi="宋体" w:cs="宋体"/>
          <w:sz w:val="24"/>
        </w:rPr>
        <w:t>4、有依法缴纳税收和社会保障资金的良好记录；</w:t>
      </w:r>
    </w:p>
    <w:p w14:paraId="0ADC591B">
      <w:pPr>
        <w:snapToGrid w:val="0"/>
        <w:spacing w:line="360" w:lineRule="auto"/>
        <w:ind w:firstLine="480" w:firstLineChars="200"/>
        <w:rPr>
          <w:rFonts w:hint="eastAsia" w:ascii="宋体" w:hAnsi="宋体" w:cs="宋体"/>
          <w:sz w:val="24"/>
        </w:rPr>
      </w:pPr>
      <w:r>
        <w:rPr>
          <w:rFonts w:hint="eastAsia" w:ascii="宋体" w:hAnsi="宋体" w:cs="宋体"/>
          <w:sz w:val="24"/>
        </w:rPr>
        <w:t>5、参加政府采购活动前三年内，在经营活动中没有重大违法记录；</w:t>
      </w:r>
    </w:p>
    <w:p w14:paraId="7BF5500D">
      <w:pPr>
        <w:snapToGrid w:val="0"/>
        <w:spacing w:line="360" w:lineRule="auto"/>
        <w:ind w:firstLine="480" w:firstLineChars="200"/>
        <w:rPr>
          <w:rFonts w:hint="eastAsia" w:ascii="宋体" w:hAnsi="宋体" w:cs="宋体"/>
          <w:sz w:val="24"/>
        </w:rPr>
      </w:pPr>
      <w:r>
        <w:rPr>
          <w:rFonts w:hint="eastAsia" w:ascii="宋体" w:hAnsi="宋体" w:cs="宋体"/>
          <w:sz w:val="24"/>
        </w:rPr>
        <w:t>6、具有法律、行政法规规定的其他条件。</w:t>
      </w:r>
    </w:p>
    <w:p w14:paraId="61992FB7">
      <w:pPr>
        <w:snapToGrid w:val="0"/>
        <w:spacing w:line="360" w:lineRule="auto"/>
        <w:ind w:firstLine="480" w:firstLineChars="200"/>
        <w:rPr>
          <w:rFonts w:hint="eastAsia"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（二）未被信用中国（www.creditchina.gov.cn）、中国政府采购网（www.ccgp.gov.cn）列入失信被执行人、重大税收违法案件当事人名单、政府采购严重违法失信行为记录名单。未在中国裁判文书网有行贿犯罪相关记录。</w:t>
      </w:r>
    </w:p>
    <w:p w14:paraId="353F8B90">
      <w:pPr>
        <w:snapToGrid w:val="0"/>
        <w:spacing w:line="360" w:lineRule="auto"/>
        <w:ind w:firstLine="480" w:firstLineChars="200"/>
        <w:rPr>
          <w:rFonts w:hint="eastAsia" w:ascii="宋体" w:hAnsi="宋体" w:cs="宋体"/>
          <w:sz w:val="24"/>
        </w:rPr>
      </w:pPr>
      <w:r>
        <w:rPr>
          <w:rFonts w:hint="eastAsia" w:ascii="宋体" w:hAnsi="宋体" w:cs="宋体"/>
          <w:sz w:val="24"/>
        </w:rPr>
        <w:t>（三）不存在以下情况：</w:t>
      </w:r>
    </w:p>
    <w:p w14:paraId="7FB24DF9">
      <w:pPr>
        <w:snapToGrid w:val="0"/>
        <w:spacing w:line="360" w:lineRule="auto"/>
        <w:ind w:firstLine="480" w:firstLineChars="200"/>
        <w:rPr>
          <w:rFonts w:hint="eastAsia"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004EBF82">
      <w:pPr>
        <w:snapToGrid w:val="0"/>
        <w:spacing w:line="360" w:lineRule="auto"/>
        <w:ind w:firstLine="480" w:firstLineChars="200"/>
        <w:rPr>
          <w:rFonts w:hint="eastAsia"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DFA5FB0">
      <w:pPr>
        <w:snapToGrid w:val="0"/>
        <w:spacing w:line="360" w:lineRule="auto"/>
        <w:ind w:firstLine="480" w:firstLineChars="200"/>
        <w:rPr>
          <w:rFonts w:hint="eastAsia" w:ascii="宋体" w:hAnsi="宋体" w:cs="宋体"/>
          <w:sz w:val="24"/>
        </w:rPr>
      </w:pPr>
    </w:p>
    <w:p w14:paraId="265EBB43">
      <w:pPr>
        <w:snapToGrid w:val="0"/>
        <w:spacing w:line="360" w:lineRule="auto"/>
        <w:ind w:firstLine="5520" w:firstLineChars="2300"/>
        <w:rPr>
          <w:rFonts w:hint="eastAsia" w:ascii="宋体" w:hAnsi="宋体" w:cs="宋体"/>
          <w:kern w:val="0"/>
          <w:sz w:val="24"/>
          <w:lang w:val="zh-CN"/>
        </w:rPr>
      </w:pPr>
    </w:p>
    <w:p w14:paraId="5617B19B">
      <w:pPr>
        <w:snapToGrid w:val="0"/>
        <w:spacing w:line="360" w:lineRule="auto"/>
        <w:ind w:firstLine="5520" w:firstLineChars="2300"/>
        <w:rPr>
          <w:rFonts w:hint="eastAsia" w:ascii="宋体" w:hAnsi="宋体" w:cs="宋体"/>
          <w:kern w:val="0"/>
          <w:sz w:val="24"/>
        </w:rPr>
      </w:pPr>
      <w:r>
        <w:rPr>
          <w:rFonts w:hint="eastAsia" w:ascii="宋体" w:hAnsi="宋体" w:cs="宋体"/>
          <w:kern w:val="0"/>
          <w:sz w:val="24"/>
          <w:lang w:val="zh-CN"/>
        </w:rPr>
        <w:t>供应商名称（电子签名）：</w:t>
      </w:r>
    </w:p>
    <w:p w14:paraId="6E65D0F1">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6614FDC">
      <w:pPr>
        <w:snapToGrid w:val="0"/>
        <w:spacing w:line="360" w:lineRule="auto"/>
        <w:ind w:right="480"/>
        <w:jc w:val="center"/>
        <w:rPr>
          <w:rFonts w:hint="eastAsia" w:ascii="宋体" w:hAnsi="宋体" w:cs="宋体"/>
          <w:b/>
          <w:kern w:val="0"/>
          <w:sz w:val="32"/>
          <w:szCs w:val="32"/>
        </w:rPr>
      </w:pPr>
    </w:p>
    <w:p w14:paraId="5DFE85E6">
      <w:pPr>
        <w:snapToGrid w:val="0"/>
        <w:spacing w:line="360" w:lineRule="auto"/>
        <w:ind w:right="480"/>
        <w:jc w:val="center"/>
        <w:rPr>
          <w:rFonts w:hint="eastAsia" w:ascii="宋体" w:hAnsi="宋体" w:cs="宋体"/>
          <w:b/>
          <w:kern w:val="0"/>
          <w:sz w:val="32"/>
          <w:szCs w:val="32"/>
        </w:rPr>
      </w:pPr>
    </w:p>
    <w:p w14:paraId="341955E2">
      <w:pPr>
        <w:snapToGrid w:val="0"/>
        <w:spacing w:line="360" w:lineRule="auto"/>
        <w:ind w:right="480"/>
        <w:jc w:val="center"/>
        <w:rPr>
          <w:rFonts w:hint="eastAsia" w:ascii="宋体" w:hAnsi="宋体" w:cs="宋体"/>
          <w:b/>
          <w:kern w:val="0"/>
          <w:sz w:val="32"/>
          <w:szCs w:val="32"/>
        </w:rPr>
      </w:pPr>
    </w:p>
    <w:p w14:paraId="72A4BCF1">
      <w:pPr>
        <w:rPr>
          <w:rFonts w:hint="eastAsia" w:ascii="宋体" w:hAnsi="宋体" w:cs="宋体"/>
        </w:rPr>
      </w:pPr>
    </w:p>
    <w:p w14:paraId="17AB9600">
      <w:pPr>
        <w:snapToGrid w:val="0"/>
        <w:spacing w:line="360" w:lineRule="auto"/>
        <w:ind w:right="480"/>
        <w:jc w:val="center"/>
        <w:rPr>
          <w:rFonts w:hint="eastAsia" w:ascii="宋体" w:hAnsi="宋体" w:cs="宋体"/>
          <w:b/>
          <w:kern w:val="0"/>
          <w:sz w:val="32"/>
          <w:szCs w:val="32"/>
        </w:rPr>
      </w:pPr>
    </w:p>
    <w:p w14:paraId="6E59098F">
      <w:pPr>
        <w:widowControl/>
        <w:spacing w:line="360" w:lineRule="auto"/>
        <w:ind w:firstLine="643" w:firstLineChars="200"/>
        <w:jc w:val="center"/>
        <w:rPr>
          <w:rFonts w:hint="eastAsia" w:ascii="宋体" w:hAnsi="宋体" w:cs="宋体"/>
          <w:b/>
          <w:kern w:val="0"/>
          <w:sz w:val="32"/>
          <w:szCs w:val="32"/>
        </w:rPr>
      </w:pPr>
    </w:p>
    <w:p w14:paraId="6C654424">
      <w:pPr>
        <w:widowControl/>
        <w:spacing w:line="360" w:lineRule="auto"/>
        <w:ind w:firstLine="643" w:firstLineChars="200"/>
        <w:jc w:val="center"/>
        <w:rPr>
          <w:rFonts w:hint="eastAsia" w:ascii="宋体" w:hAnsi="宋体" w:cs="宋体"/>
          <w:b/>
          <w:kern w:val="0"/>
          <w:sz w:val="32"/>
          <w:szCs w:val="32"/>
        </w:rPr>
      </w:pPr>
    </w:p>
    <w:p w14:paraId="23518DBF">
      <w:pPr>
        <w:widowControl/>
        <w:spacing w:line="360" w:lineRule="auto"/>
        <w:ind w:firstLine="643" w:firstLineChars="200"/>
        <w:jc w:val="center"/>
        <w:rPr>
          <w:rFonts w:hint="eastAsia" w:ascii="宋体" w:hAnsi="宋体" w:cs="宋体"/>
          <w:b/>
          <w:kern w:val="0"/>
          <w:sz w:val="32"/>
          <w:szCs w:val="32"/>
        </w:rPr>
      </w:pPr>
      <w:r>
        <w:rPr>
          <w:rFonts w:hint="eastAsia" w:ascii="宋体" w:hAnsi="宋体" w:cs="宋体"/>
          <w:b/>
          <w:kern w:val="0"/>
          <w:sz w:val="32"/>
          <w:szCs w:val="32"/>
        </w:rPr>
        <w:t>二、联合协议（如果有）</w:t>
      </w:r>
    </w:p>
    <w:p w14:paraId="083CBE6A">
      <w:pPr>
        <w:widowControl/>
        <w:spacing w:line="360"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[以联合体形式投标的，提供联合协议（附件5）；本项目不接受联合体投标或者供应商不以联合体形式投标的，则不需要提供]</w:t>
      </w:r>
    </w:p>
    <w:p w14:paraId="38B33745">
      <w:pPr>
        <w:snapToGrid w:val="0"/>
        <w:spacing w:line="360" w:lineRule="auto"/>
        <w:ind w:right="480"/>
        <w:jc w:val="center"/>
        <w:rPr>
          <w:rFonts w:hint="eastAsia" w:ascii="宋体" w:hAnsi="宋体" w:cs="宋体"/>
          <w:b/>
          <w:kern w:val="0"/>
          <w:sz w:val="32"/>
          <w:szCs w:val="32"/>
        </w:rPr>
      </w:pPr>
    </w:p>
    <w:p w14:paraId="5E021D91">
      <w:pPr>
        <w:snapToGrid w:val="0"/>
        <w:spacing w:line="360" w:lineRule="auto"/>
        <w:ind w:right="480"/>
        <w:jc w:val="center"/>
        <w:rPr>
          <w:rFonts w:hint="eastAsia" w:ascii="宋体" w:hAnsi="宋体" w:cs="宋体"/>
          <w:b/>
          <w:kern w:val="0"/>
          <w:sz w:val="32"/>
          <w:szCs w:val="32"/>
        </w:rPr>
      </w:pPr>
    </w:p>
    <w:p w14:paraId="5DE6C34A">
      <w:pPr>
        <w:snapToGrid w:val="0"/>
        <w:spacing w:line="360" w:lineRule="auto"/>
        <w:ind w:right="480"/>
        <w:jc w:val="center"/>
        <w:rPr>
          <w:rFonts w:hint="eastAsia" w:ascii="宋体" w:hAnsi="宋体" w:cs="宋体"/>
          <w:b/>
          <w:kern w:val="0"/>
          <w:sz w:val="32"/>
          <w:szCs w:val="32"/>
        </w:rPr>
      </w:pPr>
      <w:r>
        <w:rPr>
          <w:rFonts w:hint="eastAsia" w:ascii="宋体" w:hAnsi="宋体" w:cs="宋体"/>
          <w:b/>
          <w:kern w:val="0"/>
          <w:sz w:val="32"/>
          <w:szCs w:val="32"/>
        </w:rPr>
        <w:t>三、落实政府采购政策需满足的资格要求</w:t>
      </w:r>
    </w:p>
    <w:p w14:paraId="5560D7CA">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5B9A4D5D">
      <w:pPr>
        <w:snapToGrid w:val="0"/>
        <w:spacing w:before="50" w:after="50" w:line="360" w:lineRule="auto"/>
        <w:ind w:firstLine="472" w:firstLineChars="196"/>
        <w:jc w:val="left"/>
        <w:rPr>
          <w:rFonts w:hint="eastAsia" w:ascii="宋体" w:hAnsi="宋体" w:cs="宋体"/>
          <w:sz w:val="24"/>
        </w:rPr>
      </w:pPr>
      <w:r>
        <w:rPr>
          <w:rFonts w:hint="eastAsia" w:ascii="宋体" w:hAnsi="宋体" w:cs="宋体"/>
          <w:b/>
          <w:sz w:val="24"/>
        </w:rPr>
        <w:t>A</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742B5753">
      <w:pPr>
        <w:widowControl/>
        <w:spacing w:line="360" w:lineRule="auto"/>
        <w:ind w:firstLine="480"/>
        <w:jc w:val="left"/>
        <w:rPr>
          <w:rFonts w:hint="eastAsia" w:ascii="宋体" w:hAnsi="宋体" w:cs="宋体"/>
          <w:sz w:val="24"/>
        </w:rPr>
      </w:pPr>
    </w:p>
    <w:p w14:paraId="53382274">
      <w:pPr>
        <w:widowControl/>
        <w:spacing w:line="360" w:lineRule="auto"/>
        <w:ind w:firstLine="472" w:firstLineChars="196"/>
        <w:jc w:val="left"/>
        <w:rPr>
          <w:rFonts w:hint="eastAsia"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AE34DF7">
      <w:pPr>
        <w:snapToGrid w:val="0"/>
        <w:spacing w:before="50" w:after="50" w:line="360" w:lineRule="auto"/>
        <w:jc w:val="center"/>
        <w:rPr>
          <w:rFonts w:hint="eastAsia" w:ascii="宋体" w:hAnsi="宋体" w:cs="宋体"/>
          <w:sz w:val="24"/>
        </w:rPr>
      </w:pPr>
      <w:r>
        <w:rPr>
          <w:rFonts w:hint="eastAsia" w:ascii="宋体" w:hAnsi="宋体" w:cs="宋体"/>
          <w:b/>
          <w:sz w:val="24"/>
        </w:rPr>
        <w:t xml:space="preserve">    </w:t>
      </w:r>
    </w:p>
    <w:p w14:paraId="67FA2886">
      <w:pPr>
        <w:spacing w:line="360" w:lineRule="auto"/>
        <w:ind w:firstLine="482" w:firstLineChars="200"/>
        <w:rPr>
          <w:rFonts w:hint="eastAsia"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B130E22">
      <w:pPr>
        <w:widowControl/>
        <w:spacing w:line="360" w:lineRule="auto"/>
        <w:ind w:left="150"/>
        <w:jc w:val="center"/>
        <w:rPr>
          <w:rFonts w:hint="eastAsia" w:ascii="宋体" w:hAnsi="宋体" w:cs="宋体"/>
          <w:b/>
          <w:kern w:val="0"/>
          <w:sz w:val="32"/>
          <w:szCs w:val="32"/>
        </w:rPr>
      </w:pPr>
    </w:p>
    <w:p w14:paraId="07403257">
      <w:pPr>
        <w:widowControl/>
        <w:spacing w:line="360" w:lineRule="auto"/>
        <w:ind w:left="150"/>
        <w:jc w:val="center"/>
        <w:rPr>
          <w:rFonts w:hint="eastAsia" w:ascii="宋体" w:hAnsi="宋体" w:cs="宋体"/>
          <w:b/>
          <w:kern w:val="0"/>
          <w:sz w:val="32"/>
          <w:szCs w:val="32"/>
        </w:rPr>
      </w:pPr>
      <w:r>
        <w:rPr>
          <w:rFonts w:hint="eastAsia" w:ascii="宋体" w:hAnsi="宋体" w:cs="宋体"/>
          <w:b/>
          <w:kern w:val="0"/>
          <w:sz w:val="32"/>
          <w:szCs w:val="32"/>
        </w:rPr>
        <w:t>四、本项目的特定资格要求</w:t>
      </w:r>
    </w:p>
    <w:p w14:paraId="3334F7A3">
      <w:pPr>
        <w:spacing w:line="360" w:lineRule="auto"/>
        <w:jc w:val="center"/>
        <w:rPr>
          <w:rFonts w:hint="eastAsia" w:ascii="宋体" w:hAnsi="宋体" w:cs="宋体"/>
          <w:sz w:val="24"/>
        </w:rPr>
      </w:pPr>
      <w:r>
        <w:rPr>
          <w:rFonts w:hint="eastAsia" w:ascii="宋体" w:hAnsi="宋体" w:cs="宋体"/>
          <w:sz w:val="24"/>
        </w:rPr>
        <w:t>（根据招标公告本项目的特定资格要求提供相应的材料；未要求的，无需提供）</w:t>
      </w:r>
    </w:p>
    <w:p w14:paraId="503CF5D2">
      <w:pPr>
        <w:rPr>
          <w:rFonts w:hint="eastAsia" w:ascii="宋体" w:hAnsi="宋体" w:cs="宋体"/>
        </w:rPr>
      </w:pPr>
    </w:p>
    <w:p w14:paraId="59A672EC">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EF6D848">
      <w:pPr>
        <w:spacing w:line="360" w:lineRule="auto"/>
        <w:ind w:right="420" w:firstLine="3614" w:firstLineChars="1000"/>
        <w:rPr>
          <w:rFonts w:hint="eastAsia" w:ascii="宋体" w:hAnsi="宋体" w:cs="宋体"/>
          <w:b/>
          <w:kern w:val="0"/>
          <w:sz w:val="36"/>
          <w:szCs w:val="36"/>
        </w:rPr>
      </w:pPr>
      <w:r>
        <w:rPr>
          <w:rFonts w:hint="eastAsia" w:ascii="宋体" w:hAnsi="宋体" w:cs="宋体"/>
          <w:b/>
          <w:kern w:val="0"/>
          <w:sz w:val="36"/>
          <w:szCs w:val="36"/>
        </w:rPr>
        <w:t>商务技术文件部分</w:t>
      </w:r>
    </w:p>
    <w:p w14:paraId="3166B50B">
      <w:pPr>
        <w:spacing w:line="360" w:lineRule="auto"/>
        <w:jc w:val="center"/>
        <w:rPr>
          <w:rFonts w:hint="eastAsia" w:ascii="宋体" w:hAnsi="宋体" w:cs="宋体"/>
          <w:b/>
          <w:kern w:val="0"/>
          <w:sz w:val="28"/>
          <w:szCs w:val="28"/>
        </w:rPr>
      </w:pPr>
      <w:r>
        <w:rPr>
          <w:rFonts w:hint="eastAsia" w:ascii="宋体" w:hAnsi="宋体" w:cs="宋体"/>
          <w:b/>
          <w:kern w:val="0"/>
          <w:sz w:val="28"/>
          <w:szCs w:val="28"/>
        </w:rPr>
        <w:t>目录</w:t>
      </w:r>
    </w:p>
    <w:p w14:paraId="126CC517">
      <w:pPr>
        <w:snapToGrid w:val="0"/>
        <w:spacing w:line="360" w:lineRule="auto"/>
        <w:ind w:left="479" w:leftChars="228"/>
        <w:rPr>
          <w:rFonts w:hint="eastAsia"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21355DB6">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35E4DE6">
      <w:pPr>
        <w:snapToGrid w:val="0"/>
        <w:spacing w:line="360" w:lineRule="auto"/>
        <w:ind w:firstLine="480" w:firstLineChars="200"/>
        <w:rPr>
          <w:rFonts w:hint="eastAsia"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07E1E2D">
      <w:pPr>
        <w:snapToGrid w:val="0"/>
        <w:spacing w:line="360" w:lineRule="auto"/>
        <w:ind w:left="479" w:leftChars="228"/>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5AB1DFD0">
      <w:pPr>
        <w:snapToGrid w:val="0"/>
        <w:spacing w:line="360" w:lineRule="auto"/>
        <w:ind w:left="479" w:leftChars="228"/>
        <w:rPr>
          <w:rFonts w:hint="eastAsia"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712C1608">
      <w:pPr>
        <w:snapToGrid w:val="0"/>
        <w:spacing w:line="360" w:lineRule="auto"/>
        <w:jc w:val="center"/>
        <w:rPr>
          <w:rFonts w:hint="eastAsia" w:ascii="宋体" w:hAnsi="宋体" w:cs="宋体"/>
          <w:b/>
          <w:kern w:val="0"/>
          <w:sz w:val="32"/>
          <w:szCs w:val="32"/>
          <w:lang w:val="zh-CN"/>
        </w:rPr>
      </w:pPr>
    </w:p>
    <w:p w14:paraId="5B236260">
      <w:pPr>
        <w:snapToGrid w:val="0"/>
        <w:spacing w:line="360" w:lineRule="auto"/>
        <w:jc w:val="center"/>
        <w:rPr>
          <w:rFonts w:hint="eastAsia" w:ascii="宋体" w:hAnsi="宋体" w:cs="宋体"/>
          <w:b/>
          <w:kern w:val="0"/>
          <w:sz w:val="32"/>
          <w:szCs w:val="32"/>
          <w:lang w:val="zh-CN"/>
        </w:rPr>
      </w:pPr>
    </w:p>
    <w:p w14:paraId="0DC15EFE">
      <w:pPr>
        <w:snapToGrid w:val="0"/>
        <w:spacing w:line="360" w:lineRule="auto"/>
        <w:jc w:val="center"/>
        <w:rPr>
          <w:rFonts w:hint="eastAsia" w:ascii="宋体" w:hAnsi="宋体" w:cs="宋体"/>
          <w:b/>
          <w:kern w:val="0"/>
          <w:sz w:val="32"/>
          <w:szCs w:val="32"/>
          <w:lang w:val="zh-CN"/>
        </w:rPr>
      </w:pPr>
    </w:p>
    <w:p w14:paraId="72750622">
      <w:pPr>
        <w:snapToGrid w:val="0"/>
        <w:spacing w:line="360" w:lineRule="auto"/>
        <w:jc w:val="center"/>
        <w:rPr>
          <w:rFonts w:hint="eastAsia" w:ascii="宋体" w:hAnsi="宋体" w:cs="宋体"/>
          <w:b/>
          <w:kern w:val="0"/>
          <w:sz w:val="32"/>
          <w:szCs w:val="32"/>
          <w:lang w:val="zh-CN"/>
        </w:rPr>
      </w:pPr>
    </w:p>
    <w:p w14:paraId="7F51B771">
      <w:pPr>
        <w:snapToGrid w:val="0"/>
        <w:spacing w:line="360" w:lineRule="auto"/>
        <w:jc w:val="center"/>
        <w:rPr>
          <w:rFonts w:hint="eastAsia" w:ascii="宋体" w:hAnsi="宋体" w:cs="宋体"/>
          <w:b/>
          <w:kern w:val="0"/>
          <w:sz w:val="32"/>
          <w:szCs w:val="32"/>
          <w:lang w:val="zh-CN"/>
        </w:rPr>
      </w:pPr>
    </w:p>
    <w:p w14:paraId="2B1A9CB5">
      <w:pPr>
        <w:snapToGrid w:val="0"/>
        <w:spacing w:line="360" w:lineRule="auto"/>
        <w:jc w:val="center"/>
        <w:rPr>
          <w:rFonts w:hint="eastAsia" w:ascii="宋体" w:hAnsi="宋体" w:cs="宋体"/>
          <w:b/>
          <w:kern w:val="0"/>
          <w:sz w:val="32"/>
          <w:szCs w:val="32"/>
        </w:rPr>
      </w:pPr>
    </w:p>
    <w:p w14:paraId="6DC518D6">
      <w:pPr>
        <w:snapToGrid w:val="0"/>
        <w:spacing w:line="360" w:lineRule="auto"/>
        <w:jc w:val="center"/>
        <w:rPr>
          <w:rFonts w:hint="eastAsia" w:ascii="宋体" w:hAnsi="宋体" w:cs="宋体"/>
          <w:b/>
          <w:kern w:val="0"/>
          <w:sz w:val="32"/>
          <w:szCs w:val="32"/>
        </w:rPr>
      </w:pPr>
    </w:p>
    <w:p w14:paraId="7D89D2CA">
      <w:pPr>
        <w:rPr>
          <w:rFonts w:hint="eastAsia" w:ascii="宋体" w:hAnsi="宋体" w:cs="宋体"/>
        </w:rPr>
      </w:pPr>
    </w:p>
    <w:p w14:paraId="2C1C2000">
      <w:pPr>
        <w:snapToGrid w:val="0"/>
        <w:spacing w:line="360" w:lineRule="auto"/>
        <w:jc w:val="center"/>
        <w:rPr>
          <w:rFonts w:hint="eastAsia" w:ascii="宋体" w:hAnsi="宋体" w:cs="宋体"/>
          <w:b/>
          <w:kern w:val="0"/>
          <w:sz w:val="32"/>
          <w:szCs w:val="32"/>
        </w:rPr>
      </w:pPr>
    </w:p>
    <w:p w14:paraId="24566029">
      <w:pPr>
        <w:snapToGrid w:val="0"/>
        <w:spacing w:line="360" w:lineRule="auto"/>
        <w:jc w:val="center"/>
        <w:rPr>
          <w:rFonts w:hint="eastAsia" w:ascii="宋体" w:hAnsi="宋体" w:cs="宋体"/>
          <w:b/>
          <w:kern w:val="0"/>
          <w:sz w:val="32"/>
          <w:szCs w:val="32"/>
        </w:rPr>
      </w:pPr>
    </w:p>
    <w:p w14:paraId="004B5A54">
      <w:pPr>
        <w:tabs>
          <w:tab w:val="left" w:pos="432"/>
        </w:tabs>
      </w:pPr>
    </w:p>
    <w:p w14:paraId="3C676AA1"/>
    <w:p w14:paraId="37770013">
      <w:pPr>
        <w:snapToGrid w:val="0"/>
        <w:spacing w:line="360" w:lineRule="auto"/>
        <w:ind w:firstLine="3855" w:firstLineChars="1200"/>
        <w:rPr>
          <w:rFonts w:hint="eastAsia" w:ascii="宋体" w:hAnsi="宋体" w:cs="宋体"/>
          <w:b/>
          <w:kern w:val="0"/>
          <w:sz w:val="32"/>
          <w:szCs w:val="32"/>
        </w:rPr>
      </w:pPr>
    </w:p>
    <w:p w14:paraId="4375387E">
      <w:pPr>
        <w:snapToGrid w:val="0"/>
        <w:spacing w:line="360" w:lineRule="auto"/>
        <w:ind w:firstLine="3855" w:firstLineChars="1200"/>
        <w:rPr>
          <w:rFonts w:hint="eastAsia" w:ascii="宋体" w:hAnsi="宋体" w:cs="宋体"/>
          <w:b/>
          <w:kern w:val="0"/>
          <w:sz w:val="32"/>
          <w:szCs w:val="32"/>
        </w:rPr>
      </w:pPr>
    </w:p>
    <w:p w14:paraId="43D167DB">
      <w:pPr>
        <w:snapToGrid w:val="0"/>
        <w:spacing w:line="360" w:lineRule="auto"/>
        <w:ind w:firstLine="3855" w:firstLineChars="1200"/>
        <w:rPr>
          <w:rFonts w:hint="eastAsia" w:ascii="宋体" w:hAnsi="宋体" w:cs="宋体"/>
          <w:b/>
          <w:kern w:val="0"/>
          <w:sz w:val="32"/>
          <w:szCs w:val="32"/>
        </w:rPr>
      </w:pPr>
    </w:p>
    <w:p w14:paraId="5C720A17">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7EB14B14">
      <w:pPr>
        <w:snapToGrid w:val="0"/>
        <w:spacing w:line="360" w:lineRule="auto"/>
        <w:ind w:firstLine="3855" w:firstLineChars="1200"/>
        <w:rPr>
          <w:rFonts w:hint="eastAsia"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1EE2DCC2">
      <w:pPr>
        <w:snapToGrid w:val="0"/>
        <w:spacing w:line="312" w:lineRule="auto"/>
        <w:rPr>
          <w:rFonts w:hint="eastAsia" w:ascii="宋体" w:hAnsi="宋体" w:cs="宋体"/>
          <w:sz w:val="24"/>
        </w:rPr>
      </w:pPr>
      <w:r>
        <w:rPr>
          <w:rFonts w:hint="eastAsia" w:ascii="宋体" w:hAnsi="宋体" w:cs="宋体"/>
          <w:sz w:val="24"/>
        </w:rPr>
        <w:t>（采购人）、（采购代理机构）：</w:t>
      </w:r>
    </w:p>
    <w:p w14:paraId="2EC19ED0">
      <w:pPr>
        <w:snapToGrid w:val="0"/>
        <w:spacing w:line="312" w:lineRule="auto"/>
        <w:ind w:firstLine="480" w:firstLineChars="200"/>
        <w:rPr>
          <w:rFonts w:hint="eastAsia"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162373CB">
      <w:pPr>
        <w:snapToGrid w:val="0"/>
        <w:spacing w:line="312" w:lineRule="auto"/>
        <w:ind w:firstLine="480" w:firstLineChars="200"/>
        <w:rPr>
          <w:rFonts w:hint="eastAsia"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2EBE77B">
      <w:pPr>
        <w:snapToGrid w:val="0"/>
        <w:spacing w:line="312" w:lineRule="auto"/>
        <w:ind w:firstLine="480" w:firstLineChars="200"/>
        <w:rPr>
          <w:rFonts w:hint="eastAsia" w:ascii="宋体" w:hAnsi="宋体" w:cs="宋体"/>
          <w:sz w:val="24"/>
        </w:rPr>
      </w:pPr>
      <w:r>
        <w:rPr>
          <w:rFonts w:hint="eastAsia" w:ascii="宋体" w:hAnsi="宋体" w:cs="宋体"/>
          <w:sz w:val="24"/>
        </w:rPr>
        <w:t>2、我方的投标文件包括以下内容：</w:t>
      </w:r>
    </w:p>
    <w:p w14:paraId="13D08BF0">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2.1资格文件：</w:t>
      </w:r>
    </w:p>
    <w:p w14:paraId="7FC23D0C">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2.1.1承诺函；</w:t>
      </w:r>
    </w:p>
    <w:p w14:paraId="61E48DA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402B2708">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8C14392">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1101F31D">
      <w:pPr>
        <w:snapToGrid w:val="0"/>
        <w:spacing w:line="312" w:lineRule="auto"/>
        <w:ind w:left="210" w:leftChars="1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02F0E410">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5A42214">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2.2.2授权委托书或法定代表人（单位负责人）身份证明；</w:t>
      </w:r>
    </w:p>
    <w:p w14:paraId="1178165D">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64A30E1D">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44DCB71">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4BCADBAC">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2.2.6商务技术偏离表；</w:t>
      </w:r>
    </w:p>
    <w:p w14:paraId="430198E3">
      <w:pPr>
        <w:snapToGrid w:val="0"/>
        <w:spacing w:line="312" w:lineRule="auto"/>
        <w:ind w:left="420" w:leftChars="200" w:firstLine="480" w:firstLineChars="200"/>
        <w:rPr>
          <w:rFonts w:hint="eastAsia"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7EB5E671">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2A4CB53">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2.3.1开标一览表（报价表）、投标分项报价表；</w:t>
      </w:r>
    </w:p>
    <w:p w14:paraId="4A80B2AA">
      <w:pPr>
        <w:snapToGrid w:val="0"/>
        <w:spacing w:line="312" w:lineRule="auto"/>
        <w:ind w:left="420" w:leftChars="200" w:firstLine="480" w:firstLineChars="200"/>
        <w:rPr>
          <w:rFonts w:hint="eastAsia" w:ascii="宋体" w:hAnsi="宋体" w:cs="宋体"/>
          <w:sz w:val="24"/>
        </w:rPr>
      </w:pPr>
      <w:r>
        <w:rPr>
          <w:rFonts w:hint="eastAsia" w:ascii="宋体" w:hAnsi="宋体" w:cs="宋体"/>
          <w:sz w:val="24"/>
        </w:rPr>
        <w:t>2.3.2中小企业声明函（如果有）。</w:t>
      </w:r>
    </w:p>
    <w:p w14:paraId="7E179B24">
      <w:pPr>
        <w:snapToGrid w:val="0"/>
        <w:spacing w:line="312" w:lineRule="auto"/>
        <w:ind w:firstLine="480" w:firstLineChars="200"/>
        <w:rPr>
          <w:rFonts w:hint="eastAsia"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3、我方承诺除商务技术偏离表列出的偏离外，我方响应招标文件的全部要求。对投标文件中材料的真实性、合法性负责，积极配合采购人、采购代理机构复核投标文件中的资料。</w:t>
      </w:r>
    </w:p>
    <w:p w14:paraId="23ABD4A8">
      <w:pPr>
        <w:snapToGrid w:val="0"/>
        <w:spacing w:line="312" w:lineRule="auto"/>
        <w:ind w:firstLine="480" w:firstLineChars="200"/>
        <w:rPr>
          <w:rFonts w:hint="eastAsia" w:ascii="宋体" w:hAnsi="宋体" w:cs="宋体"/>
          <w:sz w:val="24"/>
        </w:rPr>
      </w:pPr>
      <w:r>
        <w:rPr>
          <w:rFonts w:hint="eastAsia" w:ascii="宋体" w:hAnsi="宋体" w:cs="宋体"/>
          <w:sz w:val="24"/>
        </w:rPr>
        <w:t>4、如我方中标，我方承诺：</w:t>
      </w:r>
    </w:p>
    <w:p w14:paraId="6D2CF1F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4.1在收到中标通知书后，在中标通知书规定的期限内与你方签订合同； </w:t>
      </w:r>
    </w:p>
    <w:p w14:paraId="647A4FA6">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4.2在签订合同时不向你方提出附加条件； </w:t>
      </w:r>
    </w:p>
    <w:p w14:paraId="2D2C1659">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 xml:space="preserve">4.3按照招标文件要求提交履约保证金； </w:t>
      </w:r>
    </w:p>
    <w:p w14:paraId="687DC7FE">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4.4在合同约定的期限内完成合同规定的全部义务。</w:t>
      </w:r>
    </w:p>
    <w:p w14:paraId="7E8261EF">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4.5</w:t>
      </w:r>
      <w:r>
        <w:rPr>
          <w:rFonts w:hint="eastAsia" w:cs="宋体" w:asciiTheme="minorEastAsia" w:hAnsiTheme="minorEastAsia" w:eastAsiaTheme="minorEastAsia"/>
          <w:sz w:val="24"/>
        </w:rPr>
        <w:t>按照招标文件的规定，在中标后向采购代理机构一次性支付招标代理服务费。</w:t>
      </w:r>
      <w:r>
        <w:rPr>
          <w:rFonts w:hint="eastAsia" w:ascii="宋体" w:hAnsi="宋体" w:cs="宋体"/>
          <w:sz w:val="24"/>
        </w:rPr>
        <w:t xml:space="preserve"> </w:t>
      </w:r>
    </w:p>
    <w:p w14:paraId="3D1240DB">
      <w:pPr>
        <w:snapToGrid w:val="0"/>
        <w:spacing w:line="312" w:lineRule="auto"/>
        <w:ind w:left="210" w:leftChars="100" w:firstLine="480" w:firstLineChars="200"/>
        <w:rPr>
          <w:rFonts w:hint="eastAsia"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CB6A161">
      <w:pPr>
        <w:spacing w:line="312" w:lineRule="auto"/>
        <w:ind w:firstLine="3600" w:firstLineChars="1500"/>
        <w:rPr>
          <w:rFonts w:hint="eastAsia" w:ascii="宋体" w:hAnsi="宋体" w:cs="宋体"/>
          <w:sz w:val="24"/>
        </w:rPr>
      </w:pPr>
      <w:r>
        <w:rPr>
          <w:rFonts w:hint="eastAsia" w:ascii="宋体" w:hAnsi="宋体" w:cs="宋体"/>
          <w:sz w:val="24"/>
        </w:rPr>
        <w:t xml:space="preserve">供应商名称（电子签名）：                          </w:t>
      </w:r>
    </w:p>
    <w:p w14:paraId="16BCBF27">
      <w:pPr>
        <w:spacing w:line="312" w:lineRule="auto"/>
        <w:jc w:val="center"/>
        <w:rPr>
          <w:rFonts w:hint="eastAsia" w:ascii="宋体" w:hAnsi="宋体" w:cs="宋体"/>
          <w:sz w:val="24"/>
        </w:rPr>
      </w:pPr>
      <w:r>
        <w:rPr>
          <w:rFonts w:hint="eastAsia" w:ascii="宋体" w:hAnsi="宋体" w:cs="宋体"/>
          <w:sz w:val="24"/>
        </w:rPr>
        <w:t xml:space="preserve">     日期：  年   月   日</w:t>
      </w:r>
    </w:p>
    <w:p w14:paraId="180BAC2D">
      <w:pPr>
        <w:widowControl/>
        <w:adjustRightInd/>
        <w:jc w:val="left"/>
        <w:rPr>
          <w:rFonts w:hint="eastAsia" w:ascii="宋体" w:hAnsi="宋体" w:cs="宋体"/>
          <w:b/>
          <w:kern w:val="0"/>
          <w:sz w:val="32"/>
          <w:szCs w:val="32"/>
        </w:rPr>
      </w:pPr>
      <w:r>
        <w:rPr>
          <w:rFonts w:hint="eastAsia" w:ascii="宋体" w:hAnsi="宋体" w:cs="宋体"/>
          <w:sz w:val="24"/>
        </w:rPr>
        <w:t>注：按本格式和要求提供。</w:t>
      </w:r>
      <w:r>
        <w:rPr>
          <w:rFonts w:ascii="宋体" w:hAnsi="宋体" w:cs="宋体"/>
          <w:b/>
          <w:kern w:val="0"/>
          <w:sz w:val="32"/>
          <w:szCs w:val="32"/>
        </w:rPr>
        <w:br w:type="page"/>
      </w:r>
    </w:p>
    <w:p w14:paraId="53712231">
      <w:pPr>
        <w:jc w:val="center"/>
        <w:rPr>
          <w:rFonts w:hint="eastAsia"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157085FE">
      <w:pPr>
        <w:snapToGrid w:val="0"/>
        <w:spacing w:line="360" w:lineRule="auto"/>
        <w:rPr>
          <w:rFonts w:hint="eastAsia" w:ascii="宋体" w:hAnsi="宋体" w:cs="宋体"/>
          <w:sz w:val="24"/>
        </w:rPr>
      </w:pPr>
      <w:r>
        <w:rPr>
          <w:rFonts w:hint="eastAsia" w:ascii="宋体" w:hAnsi="宋体" w:cs="宋体"/>
          <w:sz w:val="24"/>
        </w:rPr>
        <w:t xml:space="preserve">                                </w:t>
      </w:r>
    </w:p>
    <w:p w14:paraId="68A22C7B">
      <w:pPr>
        <w:snapToGrid w:val="0"/>
        <w:spacing w:line="360" w:lineRule="auto"/>
        <w:ind w:firstLine="2872" w:firstLineChars="894"/>
        <w:rPr>
          <w:rFonts w:hint="eastAsia"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7A13C9B">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889DB76">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0935BC1C">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1579303">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C208E3A">
      <w:pPr>
        <w:snapToGrid w:val="0"/>
        <w:spacing w:line="360" w:lineRule="auto"/>
        <w:rPr>
          <w:rFonts w:hint="eastAsia" w:ascii="宋体" w:hAnsi="宋体" w:cs="宋体"/>
          <w:kern w:val="0"/>
          <w:sz w:val="24"/>
        </w:rPr>
      </w:pPr>
      <w:r>
        <w:rPr>
          <w:rFonts w:hint="eastAsia" w:ascii="宋体" w:hAnsi="宋体" w:cs="宋体"/>
          <w:kern w:val="0"/>
          <w:sz w:val="24"/>
          <w:lang w:val="zh-CN"/>
        </w:rPr>
        <w:t xml:space="preserve">                                                 供应商名称（电子签名）：</w:t>
      </w:r>
    </w:p>
    <w:p w14:paraId="3789E63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签发日期：  年  月   日</w:t>
      </w:r>
    </w:p>
    <w:p w14:paraId="07B06791">
      <w:pPr>
        <w:snapToGrid w:val="0"/>
        <w:spacing w:line="360" w:lineRule="auto"/>
        <w:rPr>
          <w:rFonts w:hint="eastAsia" w:ascii="宋体" w:hAnsi="宋体" w:cs="宋体"/>
          <w:sz w:val="24"/>
        </w:rPr>
      </w:pPr>
    </w:p>
    <w:p w14:paraId="5577F376">
      <w:pPr>
        <w:snapToGrid w:val="0"/>
        <w:spacing w:line="360" w:lineRule="auto"/>
        <w:rPr>
          <w:rFonts w:hint="eastAsia" w:ascii="宋体" w:hAnsi="宋体" w:cs="宋体"/>
          <w:sz w:val="24"/>
        </w:rPr>
      </w:pPr>
    </w:p>
    <w:p w14:paraId="3AD7522F">
      <w:pPr>
        <w:snapToGrid w:val="0"/>
        <w:spacing w:line="360" w:lineRule="auto"/>
        <w:rPr>
          <w:rFonts w:hint="eastAsia" w:ascii="宋体" w:hAnsi="宋体" w:cs="宋体"/>
          <w:sz w:val="24"/>
        </w:rPr>
      </w:pPr>
    </w:p>
    <w:p w14:paraId="7C1A65E3">
      <w:pPr>
        <w:jc w:val="center"/>
        <w:rPr>
          <w:rFonts w:hint="eastAsia"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5D2CA50">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0ADE7F63">
      <w:pPr>
        <w:snapToGrid w:val="0"/>
        <w:spacing w:line="360" w:lineRule="auto"/>
        <w:ind w:firstLine="576"/>
        <w:rPr>
          <w:rFonts w:hint="eastAsia"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654D8E82">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2E57A11">
      <w:pPr>
        <w:snapToGrid w:val="0"/>
        <w:spacing w:line="360" w:lineRule="auto"/>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10E9D8F1">
      <w:pPr>
        <w:jc w:val="center"/>
        <w:rPr>
          <w:rFonts w:hint="eastAsia" w:ascii="宋体" w:hAnsi="宋体" w:cs="宋体"/>
          <w:b/>
          <w:kern w:val="0"/>
          <w:sz w:val="32"/>
          <w:szCs w:val="32"/>
        </w:rPr>
      </w:pPr>
    </w:p>
    <w:p w14:paraId="3D58BC3A">
      <w:pPr>
        <w:jc w:val="center"/>
        <w:rPr>
          <w:rFonts w:hint="eastAsia" w:ascii="宋体" w:hAnsi="宋体" w:cs="宋体"/>
          <w:b/>
          <w:kern w:val="0"/>
          <w:sz w:val="32"/>
          <w:szCs w:val="32"/>
        </w:rPr>
      </w:pPr>
    </w:p>
    <w:p w14:paraId="7CE8CF58">
      <w:pPr>
        <w:jc w:val="center"/>
        <w:rPr>
          <w:rFonts w:hint="eastAsia" w:ascii="宋体" w:hAnsi="宋体" w:cs="宋体"/>
          <w:b/>
          <w:kern w:val="0"/>
          <w:sz w:val="32"/>
          <w:szCs w:val="32"/>
        </w:rPr>
      </w:pPr>
    </w:p>
    <w:p w14:paraId="5AAA3969">
      <w:pPr>
        <w:rPr>
          <w:rFonts w:hint="eastAsia" w:ascii="宋体" w:hAnsi="宋体" w:cs="宋体"/>
        </w:rPr>
      </w:pPr>
    </w:p>
    <w:p w14:paraId="4D19A655">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CF6F9CD">
      <w:pPr>
        <w:snapToGrid w:val="0"/>
        <w:spacing w:line="360"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3D6B32F5">
      <w:pPr>
        <w:snapToGrid w:val="0"/>
        <w:spacing w:line="360" w:lineRule="auto"/>
        <w:ind w:firstLine="5760" w:firstLineChars="2400"/>
        <w:rPr>
          <w:rFonts w:hint="eastAsia" w:ascii="宋体" w:hAnsi="宋体" w:cs="宋体"/>
        </w:rPr>
      </w:pPr>
      <w:r>
        <w:rPr>
          <w:rFonts w:hint="eastAsia" w:ascii="宋体" w:hAnsi="宋体" w:cs="宋体"/>
          <w:kern w:val="0"/>
          <w:sz w:val="24"/>
          <w:lang w:val="zh-CN"/>
        </w:rPr>
        <w:t>……</w:t>
      </w:r>
    </w:p>
    <w:p w14:paraId="57DA61EA">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43191E7B">
      <w:pPr>
        <w:autoSpaceDE w:val="0"/>
        <w:autoSpaceDN w:val="0"/>
        <w:spacing w:line="360" w:lineRule="auto"/>
        <w:jc w:val="center"/>
        <w:rPr>
          <w:rFonts w:hint="eastAsia" w:ascii="宋体" w:hAnsi="宋体" w:cs="宋体"/>
          <w:b/>
          <w:kern w:val="0"/>
          <w:sz w:val="32"/>
          <w:szCs w:val="32"/>
          <w:lang w:val="zh-CN"/>
        </w:rPr>
      </w:pPr>
    </w:p>
    <w:p w14:paraId="5233B882">
      <w:pPr>
        <w:autoSpaceDE w:val="0"/>
        <w:autoSpaceDN w:val="0"/>
        <w:spacing w:line="360" w:lineRule="auto"/>
        <w:jc w:val="center"/>
        <w:rPr>
          <w:rFonts w:hint="eastAsia"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的身份证明（适用于法定代表人、单位负责人或者自然人本人代表供应商参加投标）</w:t>
      </w:r>
    </w:p>
    <w:p w14:paraId="67B06CC5">
      <w:pPr>
        <w:pStyle w:val="152"/>
        <w:spacing w:line="360" w:lineRule="auto"/>
        <w:rPr>
          <w:rFonts w:hint="eastAsia" w:hAnsi="宋体" w:cs="宋体"/>
          <w:bCs/>
          <w:sz w:val="24"/>
        </w:rPr>
      </w:pPr>
      <w:r>
        <w:rPr>
          <w:rFonts w:hint="eastAsia" w:hAnsi="宋体" w:cs="宋体"/>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4101F6F0">
            <w:pPr>
              <w:pStyle w:val="152"/>
              <w:adjustRightInd w:val="0"/>
              <w:spacing w:line="360" w:lineRule="auto"/>
              <w:rPr>
                <w:rFonts w:hint="eastAsia" w:hAnsi="宋体" w:cs="宋体"/>
                <w:bCs/>
                <w:sz w:val="24"/>
              </w:rPr>
            </w:pPr>
            <w:r>
              <w:rPr>
                <w:rFonts w:hint="eastAsia" w:hAnsi="宋体" w:cs="宋体"/>
                <w:bCs/>
                <w:sz w:val="24"/>
              </w:rPr>
              <w:t>正面：                                 反面：</w:t>
            </w:r>
          </w:p>
          <w:p w14:paraId="0986857D">
            <w:pPr>
              <w:pStyle w:val="152"/>
              <w:adjustRightInd w:val="0"/>
              <w:spacing w:line="360" w:lineRule="auto"/>
              <w:rPr>
                <w:rFonts w:hint="eastAsia" w:hAnsi="宋体" w:cs="宋体"/>
                <w:bCs/>
                <w:sz w:val="24"/>
              </w:rPr>
            </w:pPr>
          </w:p>
        </w:tc>
      </w:tr>
    </w:tbl>
    <w:p w14:paraId="3FD9C953">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w:t>
      </w:r>
    </w:p>
    <w:p w14:paraId="6F4C11EB">
      <w:pPr>
        <w:snapToGrid w:val="0"/>
        <w:spacing w:line="360" w:lineRule="auto"/>
        <w:ind w:firstLine="576"/>
        <w:jc w:val="center"/>
        <w:rPr>
          <w:rFonts w:hint="eastAsia" w:ascii="宋体" w:hAnsi="宋体" w:cs="宋体"/>
          <w:kern w:val="0"/>
          <w:sz w:val="24"/>
          <w:lang w:val="zh-CN"/>
        </w:rPr>
      </w:pPr>
      <w:r>
        <w:rPr>
          <w:rFonts w:hint="eastAsia" w:ascii="宋体" w:hAnsi="宋体" w:cs="宋体"/>
          <w:kern w:val="0"/>
          <w:sz w:val="24"/>
          <w:lang w:val="zh-CN"/>
        </w:rPr>
        <w:t xml:space="preserve">                  供应商名称（电子签名）：                              </w:t>
      </w:r>
    </w:p>
    <w:p w14:paraId="6CE2152A">
      <w:pPr>
        <w:spacing w:line="360"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17487B3">
      <w:pPr>
        <w:jc w:val="center"/>
        <w:rPr>
          <w:rFonts w:hint="eastAsia" w:ascii="宋体" w:hAnsi="宋体" w:cs="宋体"/>
          <w:b/>
          <w:kern w:val="0"/>
          <w:sz w:val="32"/>
          <w:szCs w:val="32"/>
        </w:rPr>
      </w:pPr>
    </w:p>
    <w:p w14:paraId="76122CFD">
      <w:pPr>
        <w:jc w:val="center"/>
        <w:rPr>
          <w:rFonts w:hint="eastAsia" w:ascii="宋体" w:hAnsi="宋体" w:cs="宋体"/>
          <w:b/>
          <w:kern w:val="0"/>
          <w:sz w:val="32"/>
          <w:szCs w:val="32"/>
        </w:rPr>
      </w:pPr>
    </w:p>
    <w:p w14:paraId="48731625">
      <w:pPr>
        <w:jc w:val="center"/>
        <w:rPr>
          <w:rFonts w:hint="eastAsia" w:ascii="宋体" w:hAnsi="宋体" w:cs="宋体"/>
          <w:b/>
          <w:kern w:val="0"/>
          <w:sz w:val="32"/>
          <w:szCs w:val="32"/>
        </w:rPr>
      </w:pPr>
    </w:p>
    <w:p w14:paraId="2FC21954">
      <w:pPr>
        <w:jc w:val="center"/>
        <w:rPr>
          <w:rFonts w:hint="eastAsia" w:ascii="宋体" w:hAnsi="宋体" w:cs="宋体"/>
          <w:b/>
          <w:kern w:val="0"/>
          <w:sz w:val="32"/>
          <w:szCs w:val="32"/>
        </w:rPr>
      </w:pPr>
    </w:p>
    <w:p w14:paraId="34BB919D">
      <w:pPr>
        <w:jc w:val="center"/>
        <w:rPr>
          <w:rFonts w:hint="eastAsia" w:ascii="宋体" w:hAnsi="宋体" w:cs="宋体"/>
          <w:b/>
          <w:kern w:val="0"/>
          <w:sz w:val="32"/>
          <w:szCs w:val="32"/>
        </w:rPr>
      </w:pPr>
    </w:p>
    <w:p w14:paraId="3BDA6883">
      <w:pPr>
        <w:jc w:val="center"/>
        <w:rPr>
          <w:rFonts w:hint="eastAsia" w:ascii="宋体" w:hAnsi="宋体" w:cs="宋体"/>
          <w:b/>
          <w:kern w:val="0"/>
          <w:sz w:val="32"/>
          <w:szCs w:val="32"/>
        </w:rPr>
      </w:pPr>
    </w:p>
    <w:p w14:paraId="620E97FB">
      <w:pPr>
        <w:jc w:val="center"/>
        <w:rPr>
          <w:rFonts w:hint="eastAsia" w:ascii="宋体" w:hAnsi="宋体" w:cs="宋体"/>
          <w:b/>
          <w:kern w:val="0"/>
          <w:sz w:val="32"/>
          <w:szCs w:val="32"/>
        </w:rPr>
      </w:pPr>
    </w:p>
    <w:p w14:paraId="1510934A">
      <w:pPr>
        <w:jc w:val="center"/>
        <w:rPr>
          <w:rFonts w:hint="eastAsia" w:ascii="宋体" w:hAnsi="宋体" w:cs="宋体"/>
          <w:b/>
          <w:kern w:val="0"/>
          <w:sz w:val="32"/>
          <w:szCs w:val="32"/>
        </w:rPr>
      </w:pPr>
    </w:p>
    <w:p w14:paraId="6BBF6A2C">
      <w:pPr>
        <w:jc w:val="center"/>
        <w:rPr>
          <w:rFonts w:hint="eastAsia" w:ascii="宋体" w:hAnsi="宋体" w:cs="宋体"/>
          <w:b/>
          <w:kern w:val="0"/>
          <w:sz w:val="32"/>
          <w:szCs w:val="32"/>
        </w:rPr>
      </w:pPr>
    </w:p>
    <w:p w14:paraId="3973FD73">
      <w:pPr>
        <w:jc w:val="center"/>
        <w:rPr>
          <w:rFonts w:hint="eastAsia" w:ascii="宋体" w:hAnsi="宋体" w:cs="宋体"/>
          <w:b/>
          <w:kern w:val="0"/>
          <w:sz w:val="32"/>
          <w:szCs w:val="32"/>
        </w:rPr>
      </w:pPr>
    </w:p>
    <w:p w14:paraId="4814EB4C">
      <w:pPr>
        <w:snapToGrid w:val="0"/>
        <w:spacing w:line="360" w:lineRule="auto"/>
        <w:ind w:right="480"/>
        <w:rPr>
          <w:rFonts w:hint="eastAsia"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2F9B016">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三、分包意向协议（如果有）</w:t>
      </w:r>
    </w:p>
    <w:p w14:paraId="3FF0C9EA">
      <w:pPr>
        <w:widowControl/>
        <w:spacing w:line="360" w:lineRule="auto"/>
        <w:ind w:firstLine="120" w:firstLineChars="50"/>
        <w:jc w:val="left"/>
        <w:rPr>
          <w:rFonts w:hint="eastAsia" w:ascii="宋体" w:hAnsi="宋体" w:cs="宋体"/>
          <w:sz w:val="24"/>
        </w:rPr>
      </w:pPr>
      <w:bookmarkStart w:id="555" w:name="_Hlk101169080"/>
      <w:r>
        <w:rPr>
          <w:rFonts w:hint="eastAsia" w:ascii="宋体" w:hAnsi="宋体" w:cs="宋体"/>
          <w:sz w:val="24"/>
        </w:rPr>
        <w:t>[</w:t>
      </w:r>
      <w:r>
        <w:rPr>
          <w:rFonts w:hint="eastAsia" w:ascii="宋体" w:hAnsi="宋体" w:cs="宋体"/>
          <w:b/>
          <w:sz w:val="24"/>
        </w:rPr>
        <w:t>中标后以分包方式履行合同的，提供分包意向协议（附件6）；采购人不同意分包或者供应商中标后不以分包方式履行合同的，则不需要提供。</w:t>
      </w:r>
      <w:r>
        <w:rPr>
          <w:rFonts w:hint="eastAsia" w:ascii="宋体" w:hAnsi="宋体" w:cs="宋体"/>
          <w:sz w:val="24"/>
        </w:rPr>
        <w:t>]</w:t>
      </w:r>
    </w:p>
    <w:bookmarkEnd w:id="555"/>
    <w:p w14:paraId="12B839FF">
      <w:pPr>
        <w:snapToGrid w:val="0"/>
        <w:spacing w:line="360" w:lineRule="auto"/>
        <w:rPr>
          <w:rFonts w:hint="eastAsia" w:ascii="宋体" w:hAnsi="宋体" w:cs="宋体"/>
          <w:kern w:val="0"/>
          <w:sz w:val="24"/>
        </w:rPr>
      </w:pPr>
    </w:p>
    <w:p w14:paraId="1EFD0584">
      <w:pPr>
        <w:jc w:val="center"/>
        <w:rPr>
          <w:rFonts w:hint="eastAsia" w:ascii="宋体" w:hAnsi="宋体" w:cs="宋体"/>
          <w:b/>
          <w:kern w:val="0"/>
          <w:sz w:val="32"/>
          <w:szCs w:val="32"/>
        </w:rPr>
      </w:pPr>
    </w:p>
    <w:p w14:paraId="486105BA">
      <w:pPr>
        <w:tabs>
          <w:tab w:val="left" w:pos="432"/>
        </w:tabs>
      </w:pPr>
    </w:p>
    <w:p w14:paraId="1E12CABE"/>
    <w:p w14:paraId="087E28E3">
      <w:pPr>
        <w:tabs>
          <w:tab w:val="left" w:pos="432"/>
        </w:tabs>
      </w:pPr>
    </w:p>
    <w:p w14:paraId="02A3708E">
      <w:pPr>
        <w:jc w:val="center"/>
        <w:rPr>
          <w:rFonts w:hint="eastAsia" w:ascii="宋体" w:hAnsi="宋体" w:cs="宋体"/>
          <w:b/>
          <w:kern w:val="0"/>
          <w:sz w:val="32"/>
          <w:szCs w:val="32"/>
        </w:rPr>
      </w:pPr>
    </w:p>
    <w:p w14:paraId="46A59EB8">
      <w:pPr>
        <w:jc w:val="center"/>
        <w:rPr>
          <w:rFonts w:hint="eastAsia" w:ascii="宋体" w:hAnsi="宋体" w:cs="宋体"/>
          <w:b/>
          <w:kern w:val="0"/>
          <w:sz w:val="32"/>
          <w:szCs w:val="32"/>
        </w:rPr>
      </w:pPr>
      <w:r>
        <w:rPr>
          <w:rFonts w:hint="eastAsia" w:ascii="宋体" w:hAnsi="宋体" w:cs="宋体"/>
          <w:b/>
          <w:kern w:val="0"/>
          <w:sz w:val="32"/>
          <w:szCs w:val="32"/>
        </w:rPr>
        <w:t>四、符合性审查资料</w:t>
      </w:r>
    </w:p>
    <w:p w14:paraId="7F4BFFEE">
      <w:pPr>
        <w:jc w:val="center"/>
        <w:rPr>
          <w:rFonts w:hint="eastAsia"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0AD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A5400F">
            <w:pPr>
              <w:snapToGrid w:val="0"/>
              <w:spacing w:line="240" w:lineRule="atLeast"/>
              <w:jc w:val="center"/>
              <w:rPr>
                <w:rFonts w:hint="eastAsia" w:ascii="宋体" w:hAnsi="宋体" w:cs="宋体"/>
                <w:b/>
                <w:sz w:val="24"/>
              </w:rPr>
            </w:pPr>
            <w:r>
              <w:rPr>
                <w:rFonts w:hint="eastAsia" w:ascii="宋体" w:hAnsi="宋体" w:cs="宋体"/>
                <w:b/>
                <w:sz w:val="24"/>
              </w:rPr>
              <w:t>序号</w:t>
            </w:r>
          </w:p>
        </w:tc>
        <w:tc>
          <w:tcPr>
            <w:tcW w:w="4441" w:type="dxa"/>
            <w:vAlign w:val="center"/>
          </w:tcPr>
          <w:p w14:paraId="2F296721">
            <w:pPr>
              <w:snapToGrid w:val="0"/>
              <w:spacing w:line="240" w:lineRule="atLeast"/>
              <w:jc w:val="center"/>
              <w:rPr>
                <w:rFonts w:hint="eastAsia" w:ascii="宋体" w:hAnsi="宋体" w:cs="宋体"/>
                <w:b/>
                <w:sz w:val="24"/>
              </w:rPr>
            </w:pPr>
            <w:r>
              <w:rPr>
                <w:rFonts w:hint="eastAsia" w:ascii="宋体" w:hAnsi="宋体" w:cs="宋体"/>
                <w:b/>
                <w:sz w:val="24"/>
              </w:rPr>
              <w:t>实质性要求</w:t>
            </w:r>
          </w:p>
        </w:tc>
        <w:tc>
          <w:tcPr>
            <w:tcW w:w="3101" w:type="dxa"/>
            <w:vAlign w:val="center"/>
          </w:tcPr>
          <w:p w14:paraId="0A6D60C0">
            <w:pPr>
              <w:snapToGrid w:val="0"/>
              <w:spacing w:line="240" w:lineRule="atLeast"/>
              <w:jc w:val="center"/>
              <w:rPr>
                <w:rFonts w:hint="eastAsia" w:ascii="宋体" w:hAnsi="宋体" w:cs="宋体"/>
                <w:b/>
                <w:sz w:val="24"/>
              </w:rPr>
            </w:pPr>
            <w:r>
              <w:rPr>
                <w:rFonts w:hint="eastAsia" w:ascii="宋体" w:hAnsi="宋体" w:cs="宋体"/>
                <w:b/>
                <w:sz w:val="24"/>
              </w:rPr>
              <w:t>需要提供的符合性审查资料</w:t>
            </w:r>
          </w:p>
        </w:tc>
        <w:tc>
          <w:tcPr>
            <w:tcW w:w="1418" w:type="dxa"/>
            <w:vAlign w:val="center"/>
          </w:tcPr>
          <w:p w14:paraId="21D793A8">
            <w:pPr>
              <w:snapToGrid w:val="0"/>
              <w:spacing w:line="240" w:lineRule="atLeast"/>
              <w:jc w:val="center"/>
              <w:rPr>
                <w:rFonts w:hint="eastAsia" w:ascii="宋体" w:hAnsi="宋体" w:cs="宋体"/>
                <w:b/>
                <w:sz w:val="24"/>
              </w:rPr>
            </w:pPr>
            <w:r>
              <w:rPr>
                <w:rFonts w:hint="eastAsia" w:ascii="宋体" w:hAnsi="宋体" w:cs="宋体"/>
                <w:b/>
                <w:sz w:val="24"/>
              </w:rPr>
              <w:t>投标文件中的</w:t>
            </w:r>
          </w:p>
          <w:p w14:paraId="6106B68B">
            <w:pPr>
              <w:snapToGrid w:val="0"/>
              <w:spacing w:line="240" w:lineRule="atLeast"/>
              <w:jc w:val="center"/>
              <w:rPr>
                <w:rFonts w:hint="eastAsia" w:ascii="宋体" w:hAnsi="宋体" w:cs="宋体"/>
                <w:b/>
                <w:sz w:val="24"/>
              </w:rPr>
            </w:pPr>
            <w:r>
              <w:rPr>
                <w:rFonts w:hint="eastAsia" w:ascii="宋体" w:hAnsi="宋体" w:cs="宋体"/>
                <w:b/>
                <w:sz w:val="24"/>
              </w:rPr>
              <w:t>页码位置</w:t>
            </w:r>
          </w:p>
        </w:tc>
      </w:tr>
      <w:tr w14:paraId="091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BE049C">
            <w:pPr>
              <w:jc w:val="center"/>
              <w:rPr>
                <w:rFonts w:hint="eastAsia" w:ascii="宋体" w:hAnsi="宋体" w:cs="宋体"/>
                <w:sz w:val="24"/>
              </w:rPr>
            </w:pPr>
            <w:r>
              <w:rPr>
                <w:rFonts w:hint="eastAsia" w:ascii="宋体" w:hAnsi="宋体" w:cs="宋体"/>
                <w:sz w:val="24"/>
              </w:rPr>
              <w:t>1</w:t>
            </w:r>
          </w:p>
        </w:tc>
        <w:tc>
          <w:tcPr>
            <w:tcW w:w="4441" w:type="dxa"/>
            <w:vAlign w:val="center"/>
          </w:tcPr>
          <w:p w14:paraId="715E9F5A">
            <w:pPr>
              <w:spacing w:line="360" w:lineRule="auto"/>
              <w:rPr>
                <w:rFonts w:hint="eastAsia" w:ascii="宋体" w:hAnsi="宋体" w:cs="宋体"/>
                <w:sz w:val="24"/>
              </w:rPr>
            </w:pPr>
            <w:r>
              <w:rPr>
                <w:rFonts w:hint="eastAsia" w:ascii="宋体" w:hAnsi="宋体" w:cs="宋体"/>
                <w:sz w:val="24"/>
              </w:rPr>
              <w:t>投标文件按照招标文件要求签署、盖章。</w:t>
            </w:r>
          </w:p>
        </w:tc>
        <w:tc>
          <w:tcPr>
            <w:tcW w:w="3101" w:type="dxa"/>
            <w:vAlign w:val="center"/>
          </w:tcPr>
          <w:p w14:paraId="4AAA0D66">
            <w:pPr>
              <w:rPr>
                <w:rFonts w:hint="eastAsia"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2848F52B">
            <w:pPr>
              <w:rPr>
                <w:rFonts w:hint="eastAsia" w:ascii="宋体" w:hAnsi="宋体" w:cs="宋体"/>
                <w:sz w:val="24"/>
              </w:rPr>
            </w:pPr>
            <w:r>
              <w:rPr>
                <w:rFonts w:hint="eastAsia" w:ascii="宋体" w:hAnsi="宋体" w:cs="宋体"/>
                <w:sz w:val="24"/>
              </w:rPr>
              <w:t>见投标文件</w:t>
            </w:r>
          </w:p>
          <w:p w14:paraId="585902CE">
            <w:pPr>
              <w:rPr>
                <w:rFonts w:hint="eastAsia"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206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48087">
            <w:pPr>
              <w:jc w:val="center"/>
              <w:rPr>
                <w:rFonts w:hint="eastAsia" w:ascii="宋体" w:hAnsi="宋体" w:cs="宋体"/>
                <w:sz w:val="24"/>
              </w:rPr>
            </w:pPr>
            <w:r>
              <w:rPr>
                <w:rFonts w:hint="eastAsia" w:ascii="宋体" w:hAnsi="宋体" w:cs="宋体"/>
                <w:sz w:val="24"/>
              </w:rPr>
              <w:t>2</w:t>
            </w:r>
          </w:p>
        </w:tc>
        <w:tc>
          <w:tcPr>
            <w:tcW w:w="4441" w:type="dxa"/>
            <w:vAlign w:val="center"/>
          </w:tcPr>
          <w:p w14:paraId="7B8D066B">
            <w:pPr>
              <w:spacing w:line="360" w:lineRule="auto"/>
              <w:rPr>
                <w:rFonts w:hint="eastAsia" w:ascii="宋体" w:hAnsi="宋体" w:cs="宋体"/>
                <w:sz w:val="24"/>
              </w:rPr>
            </w:pPr>
            <w:r>
              <w:rPr>
                <w:rFonts w:hint="eastAsia" w:ascii="宋体" w:hAnsi="宋体" w:cs="宋体"/>
                <w:sz w:val="24"/>
              </w:rPr>
              <w:t>投标文件中承诺的投标有效期不少于招标文件中载明的投标有效期。</w:t>
            </w:r>
          </w:p>
        </w:tc>
        <w:tc>
          <w:tcPr>
            <w:tcW w:w="3101" w:type="dxa"/>
            <w:vAlign w:val="center"/>
          </w:tcPr>
          <w:p w14:paraId="22DD3814">
            <w:pPr>
              <w:rPr>
                <w:rFonts w:hint="eastAsia" w:ascii="宋体" w:hAnsi="宋体" w:cs="宋体"/>
                <w:sz w:val="24"/>
              </w:rPr>
            </w:pPr>
            <w:r>
              <w:rPr>
                <w:rFonts w:hint="eastAsia" w:ascii="宋体" w:hAnsi="宋体" w:cs="宋体"/>
                <w:sz w:val="24"/>
              </w:rPr>
              <w:t>投标函</w:t>
            </w:r>
          </w:p>
        </w:tc>
        <w:tc>
          <w:tcPr>
            <w:tcW w:w="1418" w:type="dxa"/>
            <w:vAlign w:val="center"/>
          </w:tcPr>
          <w:p w14:paraId="4C52695B">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026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4F2731">
            <w:pPr>
              <w:jc w:val="center"/>
              <w:rPr>
                <w:rFonts w:hint="eastAsia" w:ascii="宋体" w:hAnsi="宋体" w:cs="宋体"/>
                <w:sz w:val="24"/>
              </w:rPr>
            </w:pPr>
            <w:r>
              <w:rPr>
                <w:rFonts w:hint="eastAsia" w:ascii="宋体" w:hAnsi="宋体" w:cs="宋体"/>
                <w:sz w:val="24"/>
              </w:rPr>
              <w:t>3</w:t>
            </w:r>
          </w:p>
        </w:tc>
        <w:tc>
          <w:tcPr>
            <w:tcW w:w="4441" w:type="dxa"/>
            <w:vAlign w:val="center"/>
          </w:tcPr>
          <w:p w14:paraId="18D48FF2">
            <w:pPr>
              <w:spacing w:line="360" w:lineRule="auto"/>
              <w:rPr>
                <w:rFonts w:hint="eastAsia" w:ascii="宋体" w:hAnsi="宋体" w:cs="宋体"/>
                <w:sz w:val="24"/>
              </w:rPr>
            </w:pPr>
            <w:r>
              <w:rPr>
                <w:rFonts w:hint="eastAsia" w:ascii="宋体" w:hAnsi="宋体" w:cs="宋体"/>
                <w:sz w:val="24"/>
              </w:rPr>
              <w:t>投标文件满足招标文件的其他实质性要求。</w:t>
            </w:r>
          </w:p>
        </w:tc>
        <w:tc>
          <w:tcPr>
            <w:tcW w:w="3101" w:type="dxa"/>
            <w:vAlign w:val="center"/>
          </w:tcPr>
          <w:p w14:paraId="1BEA1F16">
            <w:pPr>
              <w:rPr>
                <w:rFonts w:hint="eastAsia" w:ascii="宋体" w:hAnsi="宋体" w:cs="宋体"/>
                <w:sz w:val="24"/>
              </w:rPr>
            </w:pPr>
            <w:r>
              <w:rPr>
                <w:rFonts w:hint="eastAsia" w:ascii="宋体" w:hAnsi="宋体" w:cs="宋体"/>
                <w:kern w:val="0"/>
                <w:sz w:val="24"/>
              </w:rPr>
              <w:t>招标文件其他实质性要求相应的材料（“▲” 系指实质性要求条款，招标文件无其他实质性要求的，无需提供）</w:t>
            </w:r>
          </w:p>
        </w:tc>
        <w:tc>
          <w:tcPr>
            <w:tcW w:w="1418" w:type="dxa"/>
            <w:vAlign w:val="center"/>
          </w:tcPr>
          <w:p w14:paraId="1551BBC9">
            <w:pPr>
              <w:rPr>
                <w:rFonts w:hint="eastAsia"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64FFEEA7">
      <w:pPr>
        <w:spacing w:line="360" w:lineRule="auto"/>
        <w:ind w:right="420"/>
        <w:rPr>
          <w:rFonts w:hint="eastAsia" w:ascii="宋体" w:hAnsi="宋体" w:cs="宋体"/>
          <w:sz w:val="24"/>
        </w:rPr>
      </w:pPr>
      <w:r>
        <w:rPr>
          <w:rFonts w:hint="eastAsia" w:ascii="宋体" w:hAnsi="宋体" w:cs="宋体"/>
          <w:sz w:val="24"/>
        </w:rPr>
        <w:t>注：按本格式和要求提供。</w:t>
      </w:r>
    </w:p>
    <w:p w14:paraId="3B100C93">
      <w:pPr>
        <w:jc w:val="center"/>
        <w:rPr>
          <w:rFonts w:hint="eastAsia" w:ascii="宋体" w:hAnsi="宋体" w:cs="宋体"/>
          <w:b/>
          <w:kern w:val="0"/>
          <w:sz w:val="32"/>
          <w:szCs w:val="32"/>
        </w:rPr>
      </w:pPr>
    </w:p>
    <w:p w14:paraId="38431723">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42FEAB3B">
      <w:pPr>
        <w:jc w:val="center"/>
        <w:rPr>
          <w:rFonts w:hint="eastAsia" w:ascii="宋体" w:hAnsi="宋体" w:cs="宋体"/>
          <w:b/>
          <w:kern w:val="0"/>
          <w:sz w:val="32"/>
          <w:szCs w:val="32"/>
        </w:rPr>
      </w:pPr>
    </w:p>
    <w:p w14:paraId="3A92D8E2">
      <w:pPr>
        <w:jc w:val="center"/>
        <w:rPr>
          <w:rFonts w:hint="eastAsia" w:ascii="宋体" w:hAnsi="宋体" w:cs="宋体"/>
          <w:b/>
          <w:kern w:val="0"/>
          <w:sz w:val="32"/>
          <w:szCs w:val="32"/>
        </w:rPr>
      </w:pPr>
    </w:p>
    <w:p w14:paraId="59606766">
      <w:pPr>
        <w:jc w:val="center"/>
        <w:rPr>
          <w:rFonts w:hint="eastAsia" w:ascii="宋体" w:hAnsi="宋体" w:cs="宋体"/>
          <w:b/>
          <w:kern w:val="0"/>
          <w:sz w:val="32"/>
          <w:szCs w:val="32"/>
        </w:rPr>
      </w:pPr>
    </w:p>
    <w:p w14:paraId="04918E00">
      <w:pPr>
        <w:jc w:val="center"/>
        <w:rPr>
          <w:rFonts w:hint="eastAsia" w:ascii="宋体" w:hAnsi="宋体" w:cs="宋体"/>
          <w:b/>
          <w:kern w:val="0"/>
          <w:sz w:val="32"/>
          <w:szCs w:val="32"/>
        </w:rPr>
      </w:pPr>
    </w:p>
    <w:p w14:paraId="7FA97E88">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3DB357CC">
      <w:pPr>
        <w:jc w:val="center"/>
        <w:rPr>
          <w:rFonts w:hint="eastAsia" w:ascii="宋体" w:hAnsi="宋体" w:cs="宋体"/>
        </w:rPr>
      </w:pPr>
      <w:r>
        <w:rPr>
          <w:rFonts w:hint="eastAsia" w:ascii="宋体" w:hAnsi="宋体" w:cs="宋体"/>
          <w:b/>
          <w:kern w:val="0"/>
          <w:sz w:val="32"/>
          <w:szCs w:val="32"/>
        </w:rPr>
        <w:t>五、评标标准相应的商务技术资料</w:t>
      </w:r>
    </w:p>
    <w:p w14:paraId="3DDC7D7D">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8DFA921">
      <w:pPr>
        <w:jc w:val="center"/>
        <w:rPr>
          <w:rFonts w:hint="eastAsia" w:ascii="宋体" w:hAnsi="宋体" w:cs="宋体"/>
          <w:b/>
          <w:kern w:val="0"/>
          <w:sz w:val="32"/>
          <w:szCs w:val="32"/>
        </w:rPr>
      </w:pPr>
    </w:p>
    <w:p w14:paraId="7BF24B62">
      <w:pPr>
        <w:jc w:val="center"/>
        <w:rPr>
          <w:rFonts w:hint="eastAsia" w:ascii="宋体" w:hAnsi="宋体" w:cs="宋体"/>
          <w:b/>
          <w:kern w:val="0"/>
          <w:sz w:val="32"/>
          <w:szCs w:val="32"/>
        </w:rPr>
      </w:pPr>
    </w:p>
    <w:p w14:paraId="71060946">
      <w:pPr>
        <w:jc w:val="center"/>
        <w:rPr>
          <w:rFonts w:hint="eastAsia" w:ascii="宋体" w:hAnsi="宋体" w:cs="宋体"/>
          <w:b/>
          <w:kern w:val="0"/>
          <w:sz w:val="32"/>
          <w:szCs w:val="32"/>
        </w:rPr>
      </w:pPr>
    </w:p>
    <w:p w14:paraId="6E33DE61">
      <w:pPr>
        <w:jc w:val="center"/>
        <w:rPr>
          <w:rFonts w:hint="eastAsia" w:ascii="宋体" w:hAnsi="宋体" w:cs="宋体"/>
          <w:b/>
          <w:kern w:val="0"/>
          <w:sz w:val="32"/>
          <w:szCs w:val="32"/>
        </w:rPr>
      </w:pPr>
      <w:r>
        <w:rPr>
          <w:rFonts w:hint="eastAsia" w:ascii="宋体" w:hAnsi="宋体" w:cs="宋体"/>
          <w:b/>
          <w:kern w:val="0"/>
          <w:sz w:val="32"/>
          <w:szCs w:val="32"/>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42493C8A">
            <w:pPr>
              <w:jc w:val="center"/>
              <w:rPr>
                <w:rFonts w:hint="eastAsia" w:ascii="宋体" w:hAnsi="宋体" w:cs="宋体"/>
                <w:b/>
                <w:bCs/>
                <w:sz w:val="24"/>
              </w:rPr>
            </w:pPr>
            <w:r>
              <w:rPr>
                <w:rFonts w:hint="eastAsia" w:ascii="宋体" w:hAnsi="宋体" w:cs="宋体"/>
                <w:b/>
                <w:bCs/>
                <w:sz w:val="24"/>
              </w:rPr>
              <w:t>序号</w:t>
            </w:r>
          </w:p>
        </w:tc>
        <w:tc>
          <w:tcPr>
            <w:tcW w:w="3683" w:type="dxa"/>
          </w:tcPr>
          <w:p w14:paraId="555A309D">
            <w:pPr>
              <w:jc w:val="center"/>
              <w:rPr>
                <w:rFonts w:hint="eastAsia" w:ascii="宋体" w:hAnsi="宋体" w:cs="宋体"/>
                <w:b/>
                <w:bCs/>
                <w:sz w:val="24"/>
              </w:rPr>
            </w:pPr>
            <w:r>
              <w:rPr>
                <w:rFonts w:hint="eastAsia" w:ascii="宋体" w:hAnsi="宋体" w:cs="宋体"/>
                <w:b/>
                <w:bCs/>
                <w:sz w:val="24"/>
              </w:rPr>
              <w:t>招标文件章节及具体内容</w:t>
            </w:r>
          </w:p>
        </w:tc>
        <w:tc>
          <w:tcPr>
            <w:tcW w:w="3546" w:type="dxa"/>
          </w:tcPr>
          <w:p w14:paraId="07152119">
            <w:pPr>
              <w:jc w:val="center"/>
              <w:rPr>
                <w:rFonts w:hint="eastAsia" w:ascii="宋体" w:hAnsi="宋体" w:cs="宋体"/>
                <w:b/>
                <w:bCs/>
                <w:sz w:val="24"/>
              </w:rPr>
            </w:pPr>
            <w:r>
              <w:rPr>
                <w:rFonts w:hint="eastAsia" w:ascii="宋体" w:hAnsi="宋体" w:cs="宋体"/>
                <w:b/>
                <w:bCs/>
                <w:sz w:val="24"/>
              </w:rPr>
              <w:t>投标文件章节及具体内容</w:t>
            </w:r>
          </w:p>
        </w:tc>
        <w:tc>
          <w:tcPr>
            <w:tcW w:w="1276" w:type="dxa"/>
          </w:tcPr>
          <w:p w14:paraId="3C298CDC">
            <w:pPr>
              <w:jc w:val="center"/>
              <w:rPr>
                <w:rFonts w:hint="eastAsia" w:ascii="宋体" w:hAnsi="宋体" w:cs="宋体"/>
                <w:b/>
                <w:bCs/>
                <w:sz w:val="24"/>
              </w:rPr>
            </w:pPr>
            <w:r>
              <w:rPr>
                <w:rFonts w:hint="eastAsia" w:ascii="宋体" w:hAnsi="宋体" w:cs="宋体"/>
                <w:b/>
                <w:bCs/>
                <w:sz w:val="24"/>
              </w:rPr>
              <w:t>偏离说明</w:t>
            </w:r>
          </w:p>
        </w:tc>
      </w:tr>
      <w:tr w14:paraId="5E5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614D9C">
            <w:pPr>
              <w:jc w:val="center"/>
              <w:rPr>
                <w:rFonts w:hint="eastAsia" w:ascii="宋体" w:hAnsi="宋体" w:cs="宋体"/>
                <w:kern w:val="0"/>
                <w:sz w:val="24"/>
              </w:rPr>
            </w:pPr>
            <w:r>
              <w:rPr>
                <w:rFonts w:hint="eastAsia" w:ascii="宋体" w:hAnsi="宋体" w:cs="宋体"/>
                <w:kern w:val="0"/>
                <w:sz w:val="24"/>
              </w:rPr>
              <w:t>1</w:t>
            </w:r>
          </w:p>
        </w:tc>
        <w:tc>
          <w:tcPr>
            <w:tcW w:w="3683" w:type="dxa"/>
          </w:tcPr>
          <w:p w14:paraId="2B9CD2AD">
            <w:pPr>
              <w:jc w:val="center"/>
              <w:rPr>
                <w:rFonts w:hint="eastAsia" w:ascii="宋体" w:hAnsi="宋体" w:cs="宋体"/>
                <w:b/>
                <w:kern w:val="0"/>
                <w:sz w:val="32"/>
                <w:szCs w:val="32"/>
              </w:rPr>
            </w:pPr>
          </w:p>
        </w:tc>
        <w:tc>
          <w:tcPr>
            <w:tcW w:w="3546" w:type="dxa"/>
          </w:tcPr>
          <w:p w14:paraId="515D3D95">
            <w:pPr>
              <w:jc w:val="center"/>
              <w:rPr>
                <w:rFonts w:hint="eastAsia" w:ascii="宋体" w:hAnsi="宋体" w:cs="宋体"/>
                <w:b/>
                <w:kern w:val="0"/>
                <w:sz w:val="32"/>
                <w:szCs w:val="32"/>
              </w:rPr>
            </w:pPr>
          </w:p>
        </w:tc>
        <w:tc>
          <w:tcPr>
            <w:tcW w:w="1276" w:type="dxa"/>
          </w:tcPr>
          <w:p w14:paraId="228336B3">
            <w:pPr>
              <w:jc w:val="center"/>
              <w:rPr>
                <w:rFonts w:hint="eastAsia" w:ascii="宋体" w:hAnsi="宋体" w:cs="宋体"/>
                <w:b/>
                <w:kern w:val="0"/>
                <w:sz w:val="32"/>
                <w:szCs w:val="32"/>
              </w:rPr>
            </w:pPr>
          </w:p>
        </w:tc>
      </w:tr>
      <w:tr w14:paraId="5ED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502CB">
            <w:pPr>
              <w:jc w:val="center"/>
              <w:rPr>
                <w:rFonts w:hint="eastAsia" w:ascii="宋体" w:hAnsi="宋体" w:cs="宋体"/>
                <w:kern w:val="0"/>
                <w:sz w:val="24"/>
              </w:rPr>
            </w:pPr>
            <w:r>
              <w:rPr>
                <w:rFonts w:hint="eastAsia" w:ascii="宋体" w:hAnsi="宋体" w:cs="宋体"/>
                <w:kern w:val="0"/>
                <w:sz w:val="24"/>
              </w:rPr>
              <w:t>2</w:t>
            </w:r>
          </w:p>
        </w:tc>
        <w:tc>
          <w:tcPr>
            <w:tcW w:w="3683" w:type="dxa"/>
          </w:tcPr>
          <w:p w14:paraId="43D0801D">
            <w:pPr>
              <w:jc w:val="center"/>
              <w:rPr>
                <w:rFonts w:hint="eastAsia" w:ascii="宋体" w:hAnsi="宋体" w:cs="宋体"/>
                <w:b/>
                <w:kern w:val="0"/>
                <w:sz w:val="32"/>
                <w:szCs w:val="32"/>
              </w:rPr>
            </w:pPr>
          </w:p>
        </w:tc>
        <w:tc>
          <w:tcPr>
            <w:tcW w:w="3546" w:type="dxa"/>
          </w:tcPr>
          <w:p w14:paraId="2B867AF3">
            <w:pPr>
              <w:jc w:val="center"/>
              <w:rPr>
                <w:rFonts w:hint="eastAsia" w:ascii="宋体" w:hAnsi="宋体" w:cs="宋体"/>
                <w:b/>
                <w:kern w:val="0"/>
                <w:sz w:val="32"/>
                <w:szCs w:val="32"/>
              </w:rPr>
            </w:pPr>
          </w:p>
        </w:tc>
        <w:tc>
          <w:tcPr>
            <w:tcW w:w="1276" w:type="dxa"/>
          </w:tcPr>
          <w:p w14:paraId="48BFAE7D">
            <w:pPr>
              <w:jc w:val="center"/>
              <w:rPr>
                <w:rFonts w:hint="eastAsia" w:ascii="宋体" w:hAnsi="宋体" w:cs="宋体"/>
                <w:b/>
                <w:kern w:val="0"/>
                <w:sz w:val="32"/>
                <w:szCs w:val="32"/>
              </w:rPr>
            </w:pPr>
          </w:p>
        </w:tc>
      </w:tr>
      <w:tr w14:paraId="730C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71BF0">
            <w:pPr>
              <w:jc w:val="center"/>
              <w:rPr>
                <w:rFonts w:hint="eastAsia" w:ascii="宋体" w:hAnsi="宋体" w:cs="宋体"/>
                <w:kern w:val="0"/>
                <w:sz w:val="24"/>
              </w:rPr>
            </w:pPr>
            <w:r>
              <w:rPr>
                <w:rFonts w:hint="eastAsia" w:ascii="宋体" w:hAnsi="宋体" w:cs="宋体"/>
                <w:kern w:val="0"/>
                <w:sz w:val="24"/>
              </w:rPr>
              <w:t>……</w:t>
            </w:r>
          </w:p>
        </w:tc>
        <w:tc>
          <w:tcPr>
            <w:tcW w:w="3683" w:type="dxa"/>
          </w:tcPr>
          <w:p w14:paraId="62192B59">
            <w:pPr>
              <w:jc w:val="center"/>
              <w:rPr>
                <w:rFonts w:hint="eastAsia" w:ascii="宋体" w:hAnsi="宋体" w:cs="宋体"/>
                <w:b/>
                <w:kern w:val="0"/>
                <w:sz w:val="32"/>
                <w:szCs w:val="32"/>
              </w:rPr>
            </w:pPr>
          </w:p>
        </w:tc>
        <w:tc>
          <w:tcPr>
            <w:tcW w:w="3546" w:type="dxa"/>
          </w:tcPr>
          <w:p w14:paraId="1B73F681">
            <w:pPr>
              <w:jc w:val="center"/>
              <w:rPr>
                <w:rFonts w:hint="eastAsia" w:ascii="宋体" w:hAnsi="宋体" w:cs="宋体"/>
                <w:b/>
                <w:kern w:val="0"/>
                <w:sz w:val="32"/>
                <w:szCs w:val="32"/>
              </w:rPr>
            </w:pPr>
          </w:p>
        </w:tc>
        <w:tc>
          <w:tcPr>
            <w:tcW w:w="1276" w:type="dxa"/>
          </w:tcPr>
          <w:p w14:paraId="01E0B638">
            <w:pPr>
              <w:jc w:val="center"/>
              <w:rPr>
                <w:rFonts w:hint="eastAsia" w:ascii="宋体" w:hAnsi="宋体" w:cs="宋体"/>
                <w:b/>
                <w:kern w:val="0"/>
                <w:sz w:val="32"/>
                <w:szCs w:val="32"/>
              </w:rPr>
            </w:pPr>
          </w:p>
        </w:tc>
      </w:tr>
    </w:tbl>
    <w:p w14:paraId="3A2098F2">
      <w:pPr>
        <w:jc w:val="left"/>
        <w:rPr>
          <w:rFonts w:hint="eastAsia" w:ascii="宋体" w:hAnsi="宋体" w:cs="宋体"/>
          <w:kern w:val="0"/>
          <w:sz w:val="24"/>
        </w:rPr>
      </w:pPr>
      <w:r>
        <w:rPr>
          <w:rFonts w:hint="eastAsia" w:ascii="宋体" w:hAnsi="宋体" w:cs="宋体"/>
          <w:kern w:val="0"/>
          <w:sz w:val="24"/>
        </w:rPr>
        <w:t>供应商保证：除商务技术偏离表列出的偏离外，供应商响应招标文件的全部要求</w:t>
      </w:r>
    </w:p>
    <w:p w14:paraId="1BACA666">
      <w:pPr>
        <w:jc w:val="center"/>
        <w:rPr>
          <w:rFonts w:hint="eastAsia" w:ascii="宋体" w:hAnsi="宋体" w:cs="宋体"/>
          <w:b/>
          <w:kern w:val="0"/>
          <w:sz w:val="32"/>
          <w:szCs w:val="32"/>
        </w:rPr>
      </w:pPr>
    </w:p>
    <w:p w14:paraId="180F397F">
      <w:pPr>
        <w:spacing w:line="360" w:lineRule="auto"/>
        <w:ind w:right="420"/>
        <w:rPr>
          <w:rFonts w:hint="eastAsia" w:ascii="宋体" w:hAnsi="宋体" w:cs="宋体"/>
          <w:sz w:val="24"/>
        </w:rPr>
      </w:pPr>
      <w:r>
        <w:rPr>
          <w:rFonts w:hint="eastAsia" w:ascii="宋体" w:hAnsi="宋体" w:cs="宋体"/>
          <w:sz w:val="24"/>
        </w:rPr>
        <w:t>注：按本格式和要求提供。</w:t>
      </w:r>
    </w:p>
    <w:p w14:paraId="2BBA474B">
      <w:pPr>
        <w:ind w:firstLine="1911" w:firstLineChars="595"/>
        <w:rPr>
          <w:rFonts w:hint="eastAsia" w:ascii="宋体" w:hAnsi="宋体" w:cs="宋体"/>
          <w:b/>
          <w:bCs/>
          <w:sz w:val="32"/>
          <w:szCs w:val="32"/>
        </w:rPr>
      </w:pPr>
    </w:p>
    <w:p w14:paraId="6B9B83C3">
      <w:pPr>
        <w:ind w:firstLine="1911" w:firstLineChars="595"/>
        <w:rPr>
          <w:rFonts w:hint="eastAsia" w:ascii="宋体" w:hAnsi="宋体" w:cs="宋体"/>
          <w:b/>
          <w:bCs/>
          <w:sz w:val="32"/>
          <w:szCs w:val="32"/>
        </w:rPr>
      </w:pPr>
    </w:p>
    <w:p w14:paraId="11B89512">
      <w:pPr>
        <w:ind w:firstLine="1911" w:firstLineChars="595"/>
        <w:rPr>
          <w:rFonts w:hint="eastAsia" w:ascii="宋体" w:hAnsi="宋体" w:cs="宋体"/>
          <w:b/>
          <w:bCs/>
          <w:sz w:val="32"/>
          <w:szCs w:val="32"/>
        </w:rPr>
      </w:pPr>
    </w:p>
    <w:p w14:paraId="655FA5FC">
      <w:pPr>
        <w:ind w:firstLine="1911" w:firstLineChars="595"/>
        <w:rPr>
          <w:rFonts w:hint="eastAsia" w:ascii="宋体" w:hAnsi="宋体" w:cs="宋体"/>
          <w:b/>
          <w:bCs/>
          <w:sz w:val="32"/>
          <w:szCs w:val="32"/>
        </w:rPr>
      </w:pPr>
    </w:p>
    <w:p w14:paraId="0A70718B">
      <w:pPr>
        <w:ind w:firstLine="1911" w:firstLineChars="595"/>
        <w:rPr>
          <w:rFonts w:hint="eastAsia" w:ascii="宋体" w:hAnsi="宋体" w:cs="宋体"/>
          <w:b/>
          <w:bCs/>
          <w:sz w:val="32"/>
          <w:szCs w:val="32"/>
        </w:rPr>
      </w:pPr>
    </w:p>
    <w:p w14:paraId="3A81406B">
      <w:pPr>
        <w:widowControl/>
        <w:adjustRightInd/>
        <w:jc w:val="left"/>
        <w:rPr>
          <w:rFonts w:hint="eastAsia" w:ascii="宋体" w:hAnsi="宋体" w:cs="宋体"/>
          <w:b/>
          <w:bCs/>
          <w:sz w:val="32"/>
          <w:szCs w:val="32"/>
        </w:rPr>
      </w:pPr>
      <w:r>
        <w:rPr>
          <w:rFonts w:ascii="宋体" w:hAnsi="宋体" w:cs="宋体"/>
          <w:b/>
          <w:bCs/>
          <w:sz w:val="32"/>
          <w:szCs w:val="32"/>
        </w:rPr>
        <w:br w:type="page"/>
      </w:r>
    </w:p>
    <w:p w14:paraId="70F1BD5C">
      <w:pPr>
        <w:ind w:firstLine="1911" w:firstLineChars="595"/>
        <w:rPr>
          <w:rFonts w:hint="eastAsia"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E9C0307">
      <w:pPr>
        <w:snapToGrid w:val="0"/>
        <w:spacing w:line="360" w:lineRule="auto"/>
        <w:rPr>
          <w:rFonts w:hint="eastAsia" w:ascii="宋体" w:hAnsi="宋体" w:cs="宋体"/>
          <w:sz w:val="24"/>
        </w:rPr>
      </w:pPr>
    </w:p>
    <w:p w14:paraId="3A14591D">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1AE3B4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2B017693">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53633AE">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E25E0D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5D1AC557">
      <w:pPr>
        <w:autoSpaceDE w:val="0"/>
        <w:autoSpaceDN w:val="0"/>
        <w:spacing w:line="360" w:lineRule="auto"/>
        <w:ind w:left="2" w:leftChars="1" w:firstLine="480" w:firstLineChars="200"/>
        <w:jc w:val="left"/>
        <w:rPr>
          <w:rFonts w:hint="eastAsia"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B133F56">
      <w:pPr>
        <w:autoSpaceDE w:val="0"/>
        <w:autoSpaceDN w:val="0"/>
        <w:spacing w:line="360" w:lineRule="auto"/>
        <w:ind w:left="481" w:leftChars="229"/>
        <w:jc w:val="left"/>
        <w:rPr>
          <w:rFonts w:hint="eastAsia"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2BFB8FF1">
      <w:pPr>
        <w:autoSpaceDE w:val="0"/>
        <w:autoSpaceDN w:val="0"/>
        <w:spacing w:line="360" w:lineRule="auto"/>
        <w:jc w:val="left"/>
        <w:rPr>
          <w:rFonts w:hint="eastAsia" w:ascii="宋体" w:hAnsi="宋体" w:cs="宋体"/>
          <w:kern w:val="0"/>
          <w:sz w:val="24"/>
          <w:lang w:val="zh-CN"/>
        </w:rPr>
      </w:pPr>
      <w:r>
        <w:rPr>
          <w:rFonts w:hint="eastAsia" w:ascii="宋体" w:hAnsi="宋体" w:cs="宋体"/>
          <w:kern w:val="0"/>
          <w:sz w:val="24"/>
          <w:lang w:val="zh-CN"/>
        </w:rPr>
        <w:t>好处；</w:t>
      </w:r>
    </w:p>
    <w:p w14:paraId="0C36627B">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0890DA3">
      <w:pPr>
        <w:autoSpaceDE w:val="0"/>
        <w:autoSpaceDN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EDB39EA">
      <w:pPr>
        <w:autoSpaceDE w:val="0"/>
        <w:autoSpaceDN w:val="0"/>
        <w:spacing w:line="360" w:lineRule="auto"/>
        <w:ind w:left="2"/>
        <w:jc w:val="left"/>
        <w:rPr>
          <w:rFonts w:hint="eastAsia" w:ascii="宋体" w:hAnsi="宋体" w:cs="宋体"/>
          <w:kern w:val="0"/>
          <w:sz w:val="24"/>
          <w:lang w:val="zh-CN"/>
        </w:rPr>
      </w:pPr>
    </w:p>
    <w:p w14:paraId="061477AE">
      <w:pPr>
        <w:autoSpaceDE w:val="0"/>
        <w:autoSpaceDN w:val="0"/>
        <w:spacing w:line="360" w:lineRule="auto"/>
        <w:ind w:left="2"/>
        <w:jc w:val="left"/>
        <w:rPr>
          <w:rFonts w:hint="eastAsia" w:ascii="宋体" w:hAnsi="宋体" w:cs="宋体"/>
          <w:kern w:val="0"/>
          <w:sz w:val="24"/>
          <w:lang w:val="zh-CN"/>
        </w:rPr>
      </w:pPr>
    </w:p>
    <w:p w14:paraId="5FB11AC7">
      <w:pPr>
        <w:autoSpaceDE w:val="0"/>
        <w:autoSpaceDN w:val="0"/>
        <w:spacing w:line="360" w:lineRule="auto"/>
        <w:ind w:left="2"/>
        <w:jc w:val="left"/>
        <w:rPr>
          <w:rFonts w:hint="eastAsia" w:ascii="宋体" w:hAnsi="宋体" w:cs="宋体"/>
          <w:kern w:val="0"/>
          <w:sz w:val="24"/>
          <w:lang w:val="zh-CN"/>
        </w:rPr>
      </w:pPr>
    </w:p>
    <w:p w14:paraId="2DA0F49C">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31C1117">
      <w:pPr>
        <w:spacing w:line="360" w:lineRule="auto"/>
        <w:ind w:left="4620" w:leftChars="2200"/>
        <w:rPr>
          <w:rFonts w:hint="eastAsia"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EB9A6C1">
      <w:pPr>
        <w:spacing w:line="360" w:lineRule="auto"/>
        <w:jc w:val="center"/>
        <w:rPr>
          <w:rFonts w:hint="eastAsia" w:ascii="宋体" w:hAnsi="宋体" w:cs="宋体"/>
          <w:b/>
          <w:bCs/>
          <w:sz w:val="24"/>
        </w:rPr>
      </w:pPr>
    </w:p>
    <w:p w14:paraId="62358D00">
      <w:pPr>
        <w:spacing w:line="360" w:lineRule="auto"/>
        <w:ind w:right="420"/>
        <w:rPr>
          <w:rFonts w:hint="eastAsia" w:ascii="宋体" w:hAnsi="宋体" w:cs="宋体"/>
          <w:sz w:val="24"/>
        </w:rPr>
      </w:pPr>
      <w:r>
        <w:rPr>
          <w:rFonts w:hint="eastAsia" w:ascii="宋体" w:hAnsi="宋体" w:cs="宋体"/>
          <w:sz w:val="24"/>
        </w:rPr>
        <w:t>注：按本格式和要求提供。</w:t>
      </w:r>
    </w:p>
    <w:p w14:paraId="2A255B86">
      <w:pPr>
        <w:spacing w:line="360" w:lineRule="auto"/>
        <w:jc w:val="center"/>
        <w:rPr>
          <w:rFonts w:hint="eastAsia"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2AFED9">
      <w:pPr>
        <w:spacing w:line="360" w:lineRule="auto"/>
        <w:jc w:val="center"/>
        <w:rPr>
          <w:rFonts w:hint="eastAsia" w:ascii="宋体" w:hAnsi="宋体" w:cs="宋体"/>
          <w:b/>
          <w:kern w:val="0"/>
          <w:sz w:val="36"/>
          <w:szCs w:val="36"/>
        </w:rPr>
      </w:pPr>
      <w:r>
        <w:rPr>
          <w:rFonts w:hint="eastAsia" w:ascii="宋体" w:hAnsi="宋体" w:cs="宋体"/>
          <w:b/>
          <w:kern w:val="0"/>
          <w:sz w:val="36"/>
          <w:szCs w:val="36"/>
        </w:rPr>
        <w:t>报价文件部分</w:t>
      </w:r>
    </w:p>
    <w:p w14:paraId="474EBC20">
      <w:pPr>
        <w:spacing w:line="360" w:lineRule="auto"/>
        <w:jc w:val="center"/>
        <w:rPr>
          <w:rFonts w:hint="eastAsia" w:ascii="宋体" w:hAnsi="宋体" w:cs="宋体"/>
          <w:b/>
          <w:kern w:val="0"/>
          <w:sz w:val="36"/>
          <w:szCs w:val="36"/>
        </w:rPr>
      </w:pPr>
      <w:r>
        <w:rPr>
          <w:rFonts w:hint="eastAsia" w:ascii="宋体" w:hAnsi="宋体" w:cs="宋体"/>
          <w:b/>
          <w:kern w:val="0"/>
          <w:sz w:val="36"/>
          <w:szCs w:val="36"/>
        </w:rPr>
        <w:t>目录</w:t>
      </w:r>
    </w:p>
    <w:p w14:paraId="72225B3D">
      <w:pPr>
        <w:spacing w:line="360" w:lineRule="auto"/>
        <w:jc w:val="center"/>
        <w:rPr>
          <w:rFonts w:hint="eastAsia" w:ascii="宋体" w:hAnsi="宋体" w:cs="宋体"/>
          <w:b/>
          <w:kern w:val="0"/>
          <w:sz w:val="36"/>
          <w:szCs w:val="36"/>
        </w:rPr>
      </w:pPr>
    </w:p>
    <w:p w14:paraId="1BED1A21">
      <w:pPr>
        <w:snapToGrid w:val="0"/>
        <w:spacing w:line="360" w:lineRule="auto"/>
        <w:rPr>
          <w:rFonts w:hint="eastAsia" w:ascii="宋体" w:hAnsi="宋体" w:cs="宋体"/>
          <w:sz w:val="24"/>
        </w:rPr>
      </w:pPr>
      <w:r>
        <w:rPr>
          <w:rFonts w:hint="eastAsia" w:ascii="宋体" w:hAnsi="宋体" w:cs="宋体"/>
          <w:sz w:val="24"/>
        </w:rPr>
        <w:t>（1）开标一览表（报价表）、投标分项报价表…………………………………（页码）</w:t>
      </w:r>
    </w:p>
    <w:p w14:paraId="11E6571E">
      <w:pPr>
        <w:snapToGrid w:val="0"/>
        <w:spacing w:line="360" w:lineRule="auto"/>
        <w:rPr>
          <w:rFonts w:hint="eastAsia" w:ascii="宋体" w:hAnsi="宋体" w:cs="宋体"/>
          <w:sz w:val="24"/>
        </w:rPr>
      </w:pPr>
      <w:r>
        <w:rPr>
          <w:rFonts w:hint="eastAsia" w:ascii="宋体" w:hAnsi="宋体" w:cs="宋体"/>
          <w:sz w:val="24"/>
        </w:rPr>
        <w:t>（2）中小企业声明函………………………………………………………………（页码）</w:t>
      </w:r>
    </w:p>
    <w:p w14:paraId="7D5F7162">
      <w:pPr>
        <w:snapToGrid w:val="0"/>
        <w:spacing w:line="360" w:lineRule="auto"/>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报价情况说明(如供应商报价低于项目预算50%的，应当提交本文档，详细阐述不影响产品质量或者诚信履约的具体原因</w:t>
      </w:r>
      <w:r>
        <w:rPr>
          <w:rFonts w:hint="eastAsia" w:ascii="宋体" w:hAnsi="宋体" w:cs="宋体"/>
          <w:sz w:val="24"/>
          <w:lang w:eastAsia="zh-CN"/>
        </w:rPr>
        <w:t>）…………………………………………（页码）</w:t>
      </w:r>
    </w:p>
    <w:p w14:paraId="4E637AE6">
      <w:pPr>
        <w:snapToGrid w:val="0"/>
        <w:spacing w:line="360" w:lineRule="auto"/>
        <w:ind w:right="480"/>
        <w:jc w:val="center"/>
        <w:rPr>
          <w:rFonts w:hint="eastAsia" w:ascii="宋体" w:hAnsi="宋体" w:cs="宋体"/>
          <w:b/>
          <w:kern w:val="0"/>
          <w:sz w:val="32"/>
          <w:szCs w:val="32"/>
        </w:rPr>
      </w:pPr>
    </w:p>
    <w:p w14:paraId="751B77F0">
      <w:pPr>
        <w:snapToGrid w:val="0"/>
        <w:spacing w:line="360" w:lineRule="auto"/>
        <w:ind w:right="480"/>
        <w:jc w:val="center"/>
        <w:rPr>
          <w:rFonts w:hint="eastAsia" w:ascii="宋体" w:hAnsi="宋体" w:cs="宋体"/>
          <w:b/>
          <w:kern w:val="0"/>
          <w:sz w:val="32"/>
          <w:szCs w:val="32"/>
        </w:rPr>
      </w:pPr>
    </w:p>
    <w:p w14:paraId="5516467E">
      <w:pPr>
        <w:snapToGrid w:val="0"/>
        <w:spacing w:line="360" w:lineRule="auto"/>
        <w:ind w:right="480"/>
        <w:jc w:val="center"/>
        <w:rPr>
          <w:rFonts w:hint="eastAsia" w:ascii="宋体" w:hAnsi="宋体" w:cs="宋体"/>
          <w:b/>
          <w:kern w:val="0"/>
          <w:sz w:val="32"/>
          <w:szCs w:val="32"/>
        </w:rPr>
      </w:pPr>
    </w:p>
    <w:p w14:paraId="77D730E0">
      <w:pPr>
        <w:snapToGrid w:val="0"/>
        <w:spacing w:line="360" w:lineRule="auto"/>
        <w:ind w:right="480"/>
        <w:jc w:val="center"/>
        <w:rPr>
          <w:rFonts w:hint="eastAsia" w:ascii="宋体" w:hAnsi="宋体" w:cs="宋体"/>
          <w:b/>
          <w:kern w:val="0"/>
          <w:sz w:val="32"/>
          <w:szCs w:val="32"/>
        </w:rPr>
      </w:pPr>
    </w:p>
    <w:p w14:paraId="00BB98FD">
      <w:pPr>
        <w:snapToGrid w:val="0"/>
        <w:spacing w:line="360" w:lineRule="auto"/>
        <w:ind w:right="480"/>
        <w:jc w:val="center"/>
        <w:rPr>
          <w:rFonts w:hint="eastAsia" w:ascii="宋体" w:hAnsi="宋体" w:cs="宋体"/>
          <w:b/>
          <w:kern w:val="0"/>
          <w:sz w:val="32"/>
          <w:szCs w:val="32"/>
        </w:rPr>
      </w:pPr>
    </w:p>
    <w:p w14:paraId="56037C4D">
      <w:pPr>
        <w:snapToGrid w:val="0"/>
        <w:spacing w:line="360" w:lineRule="auto"/>
        <w:ind w:right="480"/>
        <w:jc w:val="center"/>
        <w:rPr>
          <w:rFonts w:hint="eastAsia" w:ascii="宋体" w:hAnsi="宋体" w:cs="宋体"/>
          <w:b/>
          <w:kern w:val="0"/>
          <w:sz w:val="32"/>
          <w:szCs w:val="32"/>
        </w:rPr>
      </w:pPr>
    </w:p>
    <w:p w14:paraId="7E20D624">
      <w:pPr>
        <w:snapToGrid w:val="0"/>
        <w:spacing w:line="360" w:lineRule="auto"/>
        <w:ind w:right="480"/>
        <w:jc w:val="center"/>
        <w:rPr>
          <w:rFonts w:hint="eastAsia" w:ascii="宋体" w:hAnsi="宋体" w:cs="宋体"/>
          <w:b/>
          <w:kern w:val="0"/>
          <w:sz w:val="32"/>
          <w:szCs w:val="32"/>
        </w:rPr>
      </w:pPr>
    </w:p>
    <w:p w14:paraId="5A937635">
      <w:pPr>
        <w:snapToGrid w:val="0"/>
        <w:spacing w:line="360" w:lineRule="auto"/>
        <w:ind w:right="480"/>
        <w:jc w:val="center"/>
        <w:rPr>
          <w:rFonts w:hint="eastAsia" w:ascii="宋体" w:hAnsi="宋体" w:cs="宋体"/>
          <w:b/>
          <w:kern w:val="0"/>
          <w:sz w:val="32"/>
          <w:szCs w:val="32"/>
        </w:rPr>
      </w:pPr>
    </w:p>
    <w:p w14:paraId="2D7812FD">
      <w:pPr>
        <w:snapToGrid w:val="0"/>
        <w:spacing w:line="360" w:lineRule="auto"/>
        <w:ind w:right="480"/>
        <w:jc w:val="center"/>
        <w:rPr>
          <w:rFonts w:hint="eastAsia" w:ascii="宋体" w:hAnsi="宋体" w:cs="宋体"/>
          <w:b/>
          <w:kern w:val="0"/>
          <w:sz w:val="32"/>
          <w:szCs w:val="32"/>
        </w:rPr>
      </w:pPr>
    </w:p>
    <w:p w14:paraId="3CD1A2D4">
      <w:pPr>
        <w:snapToGrid w:val="0"/>
        <w:spacing w:line="360" w:lineRule="auto"/>
        <w:ind w:right="480"/>
        <w:jc w:val="center"/>
        <w:rPr>
          <w:rFonts w:hint="eastAsia" w:ascii="宋体" w:hAnsi="宋体" w:cs="宋体"/>
          <w:b/>
          <w:kern w:val="0"/>
          <w:sz w:val="32"/>
          <w:szCs w:val="32"/>
        </w:rPr>
      </w:pPr>
    </w:p>
    <w:p w14:paraId="17D2DE59">
      <w:pPr>
        <w:snapToGrid w:val="0"/>
        <w:spacing w:line="360" w:lineRule="auto"/>
        <w:ind w:right="480"/>
        <w:jc w:val="center"/>
        <w:rPr>
          <w:rFonts w:hint="eastAsia" w:ascii="宋体" w:hAnsi="宋体" w:cs="宋体"/>
          <w:b/>
          <w:kern w:val="0"/>
          <w:sz w:val="32"/>
          <w:szCs w:val="32"/>
        </w:rPr>
      </w:pPr>
    </w:p>
    <w:p w14:paraId="342B5356">
      <w:pPr>
        <w:snapToGrid w:val="0"/>
        <w:spacing w:line="360" w:lineRule="auto"/>
        <w:ind w:right="480"/>
        <w:jc w:val="center"/>
        <w:rPr>
          <w:rFonts w:hint="eastAsia" w:ascii="宋体" w:hAnsi="宋体" w:cs="宋体"/>
          <w:b/>
          <w:kern w:val="0"/>
          <w:sz w:val="32"/>
          <w:szCs w:val="32"/>
        </w:rPr>
      </w:pPr>
    </w:p>
    <w:p w14:paraId="65F22104">
      <w:pPr>
        <w:snapToGrid w:val="0"/>
        <w:spacing w:line="360" w:lineRule="auto"/>
        <w:ind w:right="480"/>
        <w:jc w:val="center"/>
        <w:rPr>
          <w:rFonts w:hint="eastAsia" w:ascii="宋体" w:hAnsi="宋体" w:cs="宋体"/>
          <w:b/>
          <w:kern w:val="0"/>
          <w:sz w:val="32"/>
          <w:szCs w:val="32"/>
        </w:rPr>
      </w:pPr>
    </w:p>
    <w:p w14:paraId="6E019D0D">
      <w:pPr>
        <w:snapToGrid w:val="0"/>
        <w:spacing w:line="360" w:lineRule="auto"/>
        <w:ind w:right="480"/>
        <w:jc w:val="center"/>
        <w:rPr>
          <w:rFonts w:hint="eastAsia" w:ascii="宋体" w:hAnsi="宋体" w:cs="宋体"/>
          <w:b/>
          <w:kern w:val="0"/>
          <w:sz w:val="32"/>
          <w:szCs w:val="32"/>
        </w:rPr>
      </w:pPr>
    </w:p>
    <w:p w14:paraId="721BBD59">
      <w:pPr>
        <w:snapToGrid w:val="0"/>
        <w:spacing w:line="360" w:lineRule="auto"/>
        <w:ind w:right="480"/>
        <w:jc w:val="center"/>
        <w:rPr>
          <w:rFonts w:hint="eastAsia" w:ascii="宋体" w:hAnsi="宋体" w:cs="宋体"/>
          <w:b/>
          <w:kern w:val="0"/>
          <w:sz w:val="32"/>
          <w:szCs w:val="32"/>
        </w:rPr>
      </w:pPr>
    </w:p>
    <w:p w14:paraId="1A1CC083">
      <w:pPr>
        <w:pStyle w:val="691"/>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DFBBE3">
      <w:pPr>
        <w:snapToGrid w:val="0"/>
        <w:spacing w:before="120" w:after="120" w:line="360" w:lineRule="auto"/>
        <w:ind w:firstLine="643"/>
        <w:jc w:val="center"/>
        <w:rPr>
          <w:rFonts w:hint="eastAsia" w:ascii="宋体" w:hAnsi="宋体" w:cs="宋体"/>
          <w:b/>
          <w:sz w:val="32"/>
          <w:szCs w:val="32"/>
        </w:rPr>
      </w:pPr>
      <w:bookmarkStart w:id="556" w:name="_Toc18859"/>
      <w:bookmarkStart w:id="557" w:name="_Toc26425"/>
      <w:r>
        <w:rPr>
          <w:rFonts w:hint="eastAsia" w:ascii="宋体" w:hAnsi="宋体" w:cs="宋体"/>
          <w:b/>
          <w:sz w:val="32"/>
          <w:szCs w:val="32"/>
        </w:rPr>
        <w:t>一、开标一览表（报价表）</w:t>
      </w:r>
    </w:p>
    <w:p w14:paraId="214A5A11">
      <w:pPr>
        <w:snapToGrid w:val="0"/>
        <w:spacing w:line="360" w:lineRule="auto"/>
        <w:rPr>
          <w:rFonts w:hint="eastAsia"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1BD0FA8D">
      <w:pPr>
        <w:snapToGrid w:val="0"/>
        <w:spacing w:line="360" w:lineRule="auto"/>
        <w:ind w:firstLine="482"/>
        <w:rPr>
          <w:rFonts w:hint="eastAsia"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609C4888">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6D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11895046">
            <w:pPr>
              <w:widowControl/>
              <w:adjustRightInd/>
              <w:spacing w:line="360" w:lineRule="auto"/>
              <w:jc w:val="center"/>
              <w:rPr>
                <w:rFonts w:hint="eastAsia" w:ascii="宋体" w:hAnsi="宋体" w:cs="宋体"/>
                <w:kern w:val="0"/>
                <w:sz w:val="24"/>
              </w:rPr>
            </w:pPr>
            <w:r>
              <w:rPr>
                <w:rFonts w:hint="eastAsia" w:ascii="宋体" w:hAnsi="宋体" w:cs="宋体"/>
                <w:kern w:val="0"/>
                <w:sz w:val="24"/>
              </w:rPr>
              <w:t>标项号</w:t>
            </w:r>
          </w:p>
        </w:tc>
        <w:tc>
          <w:tcPr>
            <w:tcW w:w="2266" w:type="dxa"/>
            <w:tcBorders>
              <w:top w:val="single" w:color="auto" w:sz="4" w:space="0"/>
              <w:left w:val="single" w:color="auto" w:sz="4" w:space="0"/>
              <w:bottom w:val="single" w:color="auto" w:sz="4" w:space="0"/>
              <w:right w:val="single" w:color="auto" w:sz="4" w:space="0"/>
            </w:tcBorders>
            <w:vAlign w:val="center"/>
          </w:tcPr>
          <w:p w14:paraId="5127AB07">
            <w:pPr>
              <w:widowControl/>
              <w:adjustRightInd/>
              <w:spacing w:line="360" w:lineRule="auto"/>
              <w:jc w:val="center"/>
              <w:rPr>
                <w:rFonts w:hint="eastAsia" w:ascii="宋体" w:hAnsi="宋体" w:cs="宋体"/>
                <w:kern w:val="0"/>
                <w:sz w:val="24"/>
              </w:rPr>
            </w:pPr>
            <w:r>
              <w:rPr>
                <w:rFonts w:hint="eastAsia" w:ascii="宋体" w:hAnsi="宋体" w:cs="宋体"/>
                <w:kern w:val="0"/>
                <w:sz w:val="24"/>
              </w:rPr>
              <w:t>标项名称</w:t>
            </w:r>
          </w:p>
        </w:tc>
        <w:tc>
          <w:tcPr>
            <w:tcW w:w="5776" w:type="dxa"/>
            <w:tcBorders>
              <w:top w:val="single" w:color="auto" w:sz="4" w:space="0"/>
              <w:left w:val="single" w:color="auto" w:sz="4" w:space="0"/>
              <w:bottom w:val="single" w:color="auto" w:sz="4" w:space="0"/>
              <w:right w:val="single" w:color="auto" w:sz="4" w:space="0"/>
            </w:tcBorders>
            <w:vAlign w:val="center"/>
          </w:tcPr>
          <w:p w14:paraId="42FEC153">
            <w:pPr>
              <w:widowControl/>
              <w:adjustRightInd/>
              <w:spacing w:line="360" w:lineRule="auto"/>
              <w:jc w:val="center"/>
              <w:rPr>
                <w:rFonts w:hint="eastAsia" w:ascii="宋体" w:hAnsi="宋体" w:cs="宋体"/>
                <w:kern w:val="0"/>
                <w:sz w:val="24"/>
              </w:rPr>
            </w:pPr>
            <w:r>
              <w:rPr>
                <w:rFonts w:hint="eastAsia" w:ascii="宋体" w:hAnsi="宋体" w:cs="宋体"/>
                <w:kern w:val="0"/>
                <w:sz w:val="24"/>
              </w:rPr>
              <w:t>合同履约期限</w:t>
            </w:r>
          </w:p>
        </w:tc>
      </w:tr>
      <w:tr w14:paraId="6204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47BFC3AF">
            <w:pPr>
              <w:widowControl/>
              <w:adjustRightInd/>
              <w:spacing w:line="360" w:lineRule="auto"/>
              <w:jc w:val="center"/>
              <w:rPr>
                <w:rFonts w:hint="eastAsia" w:ascii="宋体" w:hAnsi="宋体" w:cs="宋体"/>
                <w:kern w:val="0"/>
                <w:sz w:val="24"/>
              </w:rPr>
            </w:pPr>
          </w:p>
        </w:tc>
        <w:tc>
          <w:tcPr>
            <w:tcW w:w="2266" w:type="dxa"/>
            <w:tcBorders>
              <w:top w:val="single" w:color="auto" w:sz="4" w:space="0"/>
              <w:left w:val="single" w:color="auto" w:sz="4" w:space="0"/>
              <w:bottom w:val="single" w:color="auto" w:sz="4" w:space="0"/>
              <w:right w:val="single" w:color="auto" w:sz="4" w:space="0"/>
            </w:tcBorders>
            <w:vAlign w:val="center"/>
          </w:tcPr>
          <w:p w14:paraId="3923F1EF">
            <w:pPr>
              <w:widowControl/>
              <w:adjustRightInd/>
              <w:spacing w:line="360" w:lineRule="auto"/>
              <w:jc w:val="center"/>
              <w:rPr>
                <w:rFonts w:hint="eastAsia" w:ascii="宋体" w:hAnsi="宋体" w:cs="宋体"/>
                <w:kern w:val="0"/>
                <w:sz w:val="24"/>
              </w:rPr>
            </w:pPr>
          </w:p>
        </w:tc>
        <w:tc>
          <w:tcPr>
            <w:tcW w:w="5776" w:type="dxa"/>
            <w:tcBorders>
              <w:top w:val="single" w:color="auto" w:sz="4" w:space="0"/>
              <w:left w:val="single" w:color="auto" w:sz="4" w:space="0"/>
              <w:bottom w:val="single" w:color="auto" w:sz="4" w:space="0"/>
              <w:right w:val="single" w:color="auto" w:sz="4" w:space="0"/>
            </w:tcBorders>
            <w:vAlign w:val="center"/>
          </w:tcPr>
          <w:p w14:paraId="230A3C5E">
            <w:pPr>
              <w:widowControl/>
              <w:adjustRightInd/>
              <w:spacing w:line="360" w:lineRule="auto"/>
              <w:rPr>
                <w:rFonts w:hint="eastAsia" w:ascii="宋体" w:hAnsi="宋体" w:cs="宋体"/>
                <w:bCs/>
                <w:kern w:val="0"/>
                <w:sz w:val="24"/>
              </w:rPr>
            </w:pPr>
          </w:p>
        </w:tc>
      </w:tr>
      <w:tr w14:paraId="205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0E42E5F0">
            <w:pPr>
              <w:widowControl/>
              <w:adjustRightInd/>
              <w:spacing w:line="360" w:lineRule="auto"/>
              <w:jc w:val="center"/>
              <w:rPr>
                <w:rFonts w:hint="eastAsia" w:ascii="宋体" w:hAnsi="宋体" w:cs="宋体"/>
                <w:kern w:val="0"/>
                <w:sz w:val="24"/>
              </w:rPr>
            </w:pPr>
            <w:r>
              <w:rPr>
                <w:rFonts w:hint="eastAsia" w:ascii="宋体" w:hAnsi="宋体" w:cs="宋体"/>
                <w:kern w:val="0"/>
                <w:sz w:val="24"/>
              </w:rPr>
              <w:t>投标报价</w:t>
            </w:r>
          </w:p>
        </w:tc>
        <w:tc>
          <w:tcPr>
            <w:tcW w:w="5776" w:type="dxa"/>
            <w:tcBorders>
              <w:top w:val="single" w:color="auto" w:sz="4" w:space="0"/>
              <w:left w:val="single" w:color="auto" w:sz="4" w:space="0"/>
              <w:bottom w:val="single" w:color="auto" w:sz="4" w:space="0"/>
              <w:right w:val="single" w:color="auto" w:sz="4" w:space="0"/>
            </w:tcBorders>
            <w:vAlign w:val="center"/>
          </w:tcPr>
          <w:p w14:paraId="097006FE">
            <w:pPr>
              <w:widowControl/>
              <w:adjustRightInd/>
              <w:spacing w:line="360" w:lineRule="auto"/>
              <w:rPr>
                <w:rFonts w:hint="eastAsia" w:ascii="宋体" w:hAnsi="宋体" w:cs="宋体"/>
                <w:bCs/>
                <w:kern w:val="0"/>
                <w:sz w:val="24"/>
              </w:rPr>
            </w:pPr>
            <w:r>
              <w:rPr>
                <w:rFonts w:hint="eastAsia" w:ascii="宋体" w:hAnsi="宋体" w:cs="宋体"/>
                <w:bCs/>
                <w:kern w:val="0"/>
                <w:sz w:val="24"/>
              </w:rPr>
              <w:t>小写：</w:t>
            </w:r>
          </w:p>
          <w:p w14:paraId="7D95409E">
            <w:pPr>
              <w:widowControl/>
              <w:adjustRightInd/>
              <w:spacing w:line="360" w:lineRule="auto"/>
              <w:rPr>
                <w:rFonts w:hint="eastAsia" w:ascii="宋体" w:hAnsi="宋体" w:cs="宋体"/>
                <w:bCs/>
                <w:kern w:val="0"/>
                <w:sz w:val="24"/>
              </w:rPr>
            </w:pPr>
            <w:r>
              <w:rPr>
                <w:rFonts w:hint="eastAsia" w:ascii="宋体" w:hAnsi="宋体" w:cs="宋体"/>
                <w:bCs/>
                <w:kern w:val="0"/>
                <w:sz w:val="24"/>
              </w:rPr>
              <w:t>大写：</w:t>
            </w:r>
          </w:p>
        </w:tc>
      </w:tr>
      <w:tr w14:paraId="2B5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320C7203">
            <w:pPr>
              <w:widowControl/>
              <w:adjustRightInd/>
              <w:spacing w:line="360" w:lineRule="auto"/>
              <w:jc w:val="center"/>
              <w:rPr>
                <w:rFonts w:hint="eastAsia" w:ascii="宋体" w:hAnsi="宋体" w:cs="宋体"/>
                <w:kern w:val="0"/>
                <w:sz w:val="24"/>
              </w:rPr>
            </w:pPr>
            <w:r>
              <w:rPr>
                <w:rFonts w:hint="eastAsia" w:ascii="宋体" w:hAnsi="宋体" w:cs="宋体"/>
                <w:kern w:val="0"/>
                <w:sz w:val="24"/>
              </w:rPr>
              <w:t>投标声明</w:t>
            </w:r>
          </w:p>
        </w:tc>
        <w:tc>
          <w:tcPr>
            <w:tcW w:w="5776" w:type="dxa"/>
            <w:tcBorders>
              <w:top w:val="single" w:color="auto" w:sz="4" w:space="0"/>
              <w:left w:val="single" w:color="auto" w:sz="4" w:space="0"/>
              <w:bottom w:val="single" w:color="auto" w:sz="4" w:space="0"/>
            </w:tcBorders>
            <w:vAlign w:val="center"/>
          </w:tcPr>
          <w:p w14:paraId="632656FC">
            <w:pPr>
              <w:widowControl/>
              <w:adjustRightInd/>
              <w:spacing w:before="240" w:line="360" w:lineRule="auto"/>
              <w:jc w:val="center"/>
              <w:rPr>
                <w:rFonts w:hint="eastAsia" w:ascii="宋体" w:hAnsi="宋体" w:cs="宋体"/>
                <w:kern w:val="0"/>
                <w:sz w:val="24"/>
              </w:rPr>
            </w:pPr>
          </w:p>
        </w:tc>
      </w:tr>
    </w:tbl>
    <w:p w14:paraId="1A7E72E5">
      <w:pPr>
        <w:snapToGrid w:val="0"/>
        <w:spacing w:line="360" w:lineRule="auto"/>
        <w:ind w:left="480"/>
        <w:rPr>
          <w:rFonts w:hint="eastAsia" w:ascii="宋体" w:hAnsi="宋体" w:cs="宋体"/>
          <w:b/>
          <w:kern w:val="0"/>
          <w:sz w:val="24"/>
          <w:lang w:val="zh-CN"/>
        </w:rPr>
      </w:pPr>
      <w:r>
        <w:rPr>
          <w:rFonts w:hint="eastAsia" w:ascii="宋体" w:hAnsi="宋体" w:cs="宋体"/>
          <w:b/>
          <w:kern w:val="0"/>
          <w:sz w:val="24"/>
          <w:lang w:val="zh-CN"/>
        </w:rPr>
        <w:t>注：</w:t>
      </w:r>
    </w:p>
    <w:p w14:paraId="762A28D5">
      <w:pPr>
        <w:spacing w:line="360" w:lineRule="auto"/>
        <w:ind w:left="-2" w:leftChars="-1" w:firstLine="480" w:firstLineChars="200"/>
        <w:rPr>
          <w:rFonts w:hint="eastAsia"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3B3B2B4">
      <w:pPr>
        <w:spacing w:line="360" w:lineRule="auto"/>
        <w:ind w:firstLine="480" w:firstLineChars="200"/>
        <w:rPr>
          <w:rFonts w:hint="eastAsia"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C163055">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14:paraId="19A58CA5">
      <w:pPr>
        <w:snapToGrid w:val="0"/>
        <w:spacing w:line="360" w:lineRule="auto"/>
        <w:ind w:firstLine="480" w:firstLineChars="200"/>
        <w:jc w:val="left"/>
        <w:rPr>
          <w:rFonts w:hint="eastAsia"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34952">
      <w:pPr>
        <w:rPr>
          <w:rFonts w:hint="eastAsia" w:ascii="宋体" w:hAnsi="宋体" w:cs="宋体"/>
          <w:sz w:val="32"/>
          <w:szCs w:val="32"/>
        </w:rPr>
      </w:pPr>
      <w:r>
        <w:rPr>
          <w:rFonts w:ascii="宋体" w:hAnsi="宋体" w:cs="宋体"/>
          <w:sz w:val="32"/>
          <w:szCs w:val="32"/>
        </w:rPr>
        <w:br w:type="page"/>
      </w:r>
    </w:p>
    <w:p w14:paraId="6206B14A">
      <w:pPr>
        <w:spacing w:line="360" w:lineRule="auto"/>
        <w:jc w:val="center"/>
        <w:rPr>
          <w:rFonts w:hint="eastAsia" w:ascii="宋体" w:hAnsi="宋体" w:cs="宋体"/>
          <w:b/>
          <w:kern w:val="0"/>
          <w:sz w:val="24"/>
          <w:lang w:val="zh-CN"/>
        </w:rPr>
      </w:pPr>
      <w:r>
        <w:rPr>
          <w:rFonts w:hint="eastAsia" w:ascii="宋体" w:hAnsi="宋体" w:cs="宋体"/>
          <w:b/>
          <w:kern w:val="0"/>
          <w:sz w:val="24"/>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32B836B3">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E49AF5A">
            <w:pPr>
              <w:adjustRightInd/>
              <w:spacing w:before="50" w:after="50" w:line="360" w:lineRule="auto"/>
              <w:jc w:val="center"/>
              <w:rPr>
                <w:rFonts w:hint="eastAsia" w:ascii="宋体" w:hAnsi="宋体" w:cs="宋体"/>
                <w:b/>
                <w:bCs/>
                <w:spacing w:val="20"/>
                <w:sz w:val="24"/>
              </w:rPr>
            </w:pPr>
            <w:r>
              <w:rPr>
                <w:rFonts w:hint="eastAsia" w:ascii="宋体" w:hAnsi="宋体" w:cs="宋体"/>
                <w:b/>
                <w:bCs/>
                <w:sz w:val="24"/>
                <w:lang w:bidi="ar"/>
              </w:rPr>
              <w:t>序号</w:t>
            </w:r>
          </w:p>
        </w:tc>
        <w:tc>
          <w:tcPr>
            <w:tcW w:w="1600" w:type="dxa"/>
            <w:tcBorders>
              <w:top w:val="single" w:color="auto" w:sz="4" w:space="0"/>
              <w:left w:val="nil"/>
              <w:bottom w:val="single" w:color="auto" w:sz="4" w:space="0"/>
              <w:right w:val="single" w:color="auto" w:sz="4" w:space="0"/>
            </w:tcBorders>
            <w:vAlign w:val="center"/>
          </w:tcPr>
          <w:p w14:paraId="34B75ED3">
            <w:pPr>
              <w:adjustRightInd/>
              <w:spacing w:before="50" w:after="50" w:line="360" w:lineRule="auto"/>
              <w:jc w:val="center"/>
              <w:rPr>
                <w:rFonts w:hint="eastAsia" w:ascii="宋体" w:hAnsi="宋体" w:cs="宋体"/>
                <w:b/>
                <w:bCs/>
                <w:spacing w:val="20"/>
                <w:sz w:val="24"/>
              </w:rPr>
            </w:pPr>
            <w:r>
              <w:rPr>
                <w:rFonts w:hint="eastAsia" w:ascii="宋体" w:hAnsi="宋体" w:cs="宋体"/>
                <w:b/>
                <w:bCs/>
                <w:spacing w:val="20"/>
                <w:sz w:val="24"/>
                <w:lang w:bidi="ar"/>
              </w:rPr>
              <w:t>项目内容</w:t>
            </w:r>
          </w:p>
        </w:tc>
        <w:tc>
          <w:tcPr>
            <w:tcW w:w="973" w:type="dxa"/>
            <w:tcBorders>
              <w:top w:val="single" w:color="auto" w:sz="4" w:space="0"/>
              <w:left w:val="single" w:color="auto" w:sz="4" w:space="0"/>
              <w:bottom w:val="single" w:color="auto" w:sz="4" w:space="0"/>
              <w:right w:val="single" w:color="auto" w:sz="4" w:space="0"/>
            </w:tcBorders>
            <w:vAlign w:val="center"/>
          </w:tcPr>
          <w:p w14:paraId="59521C49">
            <w:pPr>
              <w:adjustRightInd/>
              <w:spacing w:before="50" w:after="50" w:line="360" w:lineRule="auto"/>
              <w:jc w:val="center"/>
              <w:rPr>
                <w:rFonts w:hint="eastAsia" w:ascii="宋体" w:hAnsi="宋体" w:cs="宋体"/>
                <w:b/>
                <w:bCs/>
                <w:spacing w:val="20"/>
                <w:sz w:val="24"/>
                <w:lang w:bidi="ar"/>
              </w:rPr>
            </w:pPr>
            <w:r>
              <w:rPr>
                <w:rFonts w:hint="eastAsia" w:ascii="宋体" w:hAnsi="宋体" w:cs="宋体"/>
                <w:b/>
                <w:bCs/>
                <w:spacing w:val="20"/>
                <w:sz w:val="24"/>
                <w:lang w:bidi="ar"/>
              </w:rPr>
              <w:t>产地品牌</w:t>
            </w:r>
          </w:p>
        </w:tc>
        <w:tc>
          <w:tcPr>
            <w:tcW w:w="1371" w:type="dxa"/>
            <w:tcBorders>
              <w:top w:val="single" w:color="auto" w:sz="4" w:space="0"/>
              <w:left w:val="single" w:color="auto" w:sz="4" w:space="0"/>
              <w:bottom w:val="single" w:color="auto" w:sz="4" w:space="0"/>
              <w:right w:val="single" w:color="auto" w:sz="4" w:space="0"/>
            </w:tcBorders>
            <w:vAlign w:val="center"/>
          </w:tcPr>
          <w:p w14:paraId="1C4C1E6D">
            <w:pPr>
              <w:adjustRightInd/>
              <w:spacing w:before="50" w:after="50" w:line="360" w:lineRule="auto"/>
              <w:jc w:val="center"/>
              <w:rPr>
                <w:rFonts w:hint="eastAsia" w:ascii="宋体" w:hAnsi="宋体" w:cs="宋体"/>
                <w:b/>
                <w:bCs/>
                <w:spacing w:val="20"/>
                <w:sz w:val="24"/>
                <w:lang w:bidi="ar"/>
              </w:rPr>
            </w:pPr>
            <w:r>
              <w:rPr>
                <w:rFonts w:hint="eastAsia" w:ascii="宋体" w:hAnsi="宋体" w:cs="宋体"/>
                <w:b/>
                <w:bCs/>
                <w:spacing w:val="20"/>
                <w:sz w:val="24"/>
                <w:lang w:bidi="ar"/>
              </w:rPr>
              <w:t>规格型号</w:t>
            </w:r>
          </w:p>
        </w:tc>
        <w:tc>
          <w:tcPr>
            <w:tcW w:w="1501" w:type="dxa"/>
            <w:tcBorders>
              <w:top w:val="single" w:color="auto" w:sz="4" w:space="0"/>
              <w:left w:val="nil"/>
              <w:bottom w:val="single" w:color="auto" w:sz="4" w:space="0"/>
              <w:right w:val="single" w:color="auto" w:sz="4" w:space="0"/>
            </w:tcBorders>
            <w:vAlign w:val="center"/>
          </w:tcPr>
          <w:p w14:paraId="32B551C6">
            <w:pPr>
              <w:adjustRightInd/>
              <w:spacing w:before="50" w:after="50" w:line="360" w:lineRule="auto"/>
              <w:jc w:val="center"/>
              <w:rPr>
                <w:rFonts w:hint="eastAsia" w:ascii="宋体" w:hAnsi="宋体" w:cs="宋体"/>
                <w:b/>
                <w:bCs/>
                <w:spacing w:val="20"/>
                <w:sz w:val="24"/>
              </w:rPr>
            </w:pPr>
            <w:r>
              <w:rPr>
                <w:rFonts w:hint="eastAsia" w:ascii="宋体" w:hAnsi="宋体" w:cs="宋体"/>
                <w:b/>
                <w:bCs/>
                <w:sz w:val="24"/>
                <w:lang w:bidi="ar"/>
              </w:rPr>
              <w:t>单位及数量</w:t>
            </w:r>
          </w:p>
        </w:tc>
        <w:tc>
          <w:tcPr>
            <w:tcW w:w="1253" w:type="dxa"/>
            <w:tcBorders>
              <w:top w:val="single" w:color="auto" w:sz="4" w:space="0"/>
              <w:left w:val="nil"/>
              <w:bottom w:val="single" w:color="auto" w:sz="4" w:space="0"/>
              <w:right w:val="single" w:color="auto" w:sz="4" w:space="0"/>
            </w:tcBorders>
            <w:vAlign w:val="center"/>
          </w:tcPr>
          <w:p w14:paraId="24BAE1AC">
            <w:pPr>
              <w:adjustRightInd/>
              <w:spacing w:before="50" w:after="50" w:line="360" w:lineRule="auto"/>
              <w:jc w:val="center"/>
              <w:rPr>
                <w:rFonts w:hint="eastAsia" w:ascii="宋体" w:hAnsi="宋体" w:cs="宋体"/>
                <w:b/>
                <w:bCs/>
                <w:spacing w:val="20"/>
                <w:sz w:val="24"/>
              </w:rPr>
            </w:pPr>
            <w:r>
              <w:rPr>
                <w:rFonts w:hint="eastAsia" w:ascii="宋体" w:hAnsi="宋体" w:cs="宋体"/>
                <w:b/>
                <w:bCs/>
                <w:sz w:val="24"/>
                <w:lang w:bidi="ar"/>
              </w:rPr>
              <w:t>单价（元）</w:t>
            </w:r>
          </w:p>
        </w:tc>
        <w:tc>
          <w:tcPr>
            <w:tcW w:w="1432" w:type="dxa"/>
            <w:tcBorders>
              <w:top w:val="single" w:color="auto" w:sz="4" w:space="0"/>
              <w:left w:val="nil"/>
              <w:bottom w:val="single" w:color="auto" w:sz="4" w:space="0"/>
              <w:right w:val="single" w:color="auto" w:sz="4" w:space="0"/>
            </w:tcBorders>
            <w:vAlign w:val="center"/>
          </w:tcPr>
          <w:p w14:paraId="0BA3454A">
            <w:pPr>
              <w:adjustRightInd/>
              <w:spacing w:before="50" w:after="50" w:line="360" w:lineRule="auto"/>
              <w:jc w:val="center"/>
              <w:rPr>
                <w:rFonts w:hint="eastAsia" w:ascii="宋体" w:hAnsi="宋体" w:cs="宋体"/>
                <w:b/>
                <w:bCs/>
                <w:spacing w:val="20"/>
                <w:sz w:val="24"/>
              </w:rPr>
            </w:pPr>
            <w:r>
              <w:rPr>
                <w:rFonts w:hint="eastAsia" w:ascii="宋体" w:hAnsi="宋体" w:cs="宋体"/>
                <w:b/>
                <w:bCs/>
                <w:sz w:val="24"/>
                <w:lang w:bidi="ar"/>
              </w:rPr>
              <w:t>金额（元）</w:t>
            </w:r>
          </w:p>
        </w:tc>
      </w:tr>
      <w:tr w14:paraId="0574C18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C4B8396">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3C82A78D">
            <w:pPr>
              <w:adjustRightInd/>
              <w:spacing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27B6B7B1">
            <w:pPr>
              <w:adjustRightInd/>
              <w:spacing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2D364F9A">
            <w:pPr>
              <w:adjustRightInd/>
              <w:spacing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4FDD929F">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32377BD8">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1A1BF5F8">
            <w:pPr>
              <w:adjustRightInd/>
              <w:spacing w:before="50" w:after="50" w:line="360" w:lineRule="auto"/>
              <w:jc w:val="center"/>
              <w:rPr>
                <w:rFonts w:hint="eastAsia" w:ascii="宋体" w:hAnsi="宋体" w:cs="宋体"/>
                <w:spacing w:val="20"/>
                <w:sz w:val="24"/>
              </w:rPr>
            </w:pPr>
          </w:p>
        </w:tc>
      </w:tr>
      <w:tr w14:paraId="1DB48FA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B2DB59C">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4737FD56">
            <w:pPr>
              <w:adjustRightInd/>
              <w:spacing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400B939C">
            <w:pPr>
              <w:adjustRightInd/>
              <w:spacing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3AE423B7">
            <w:pPr>
              <w:adjustRightInd/>
              <w:spacing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102CF759">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2218156D">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57EF299A">
            <w:pPr>
              <w:adjustRightInd/>
              <w:spacing w:before="50" w:after="50" w:line="360" w:lineRule="auto"/>
              <w:jc w:val="center"/>
              <w:rPr>
                <w:rFonts w:hint="eastAsia" w:ascii="宋体" w:hAnsi="宋体" w:cs="宋体"/>
                <w:spacing w:val="20"/>
                <w:sz w:val="24"/>
              </w:rPr>
            </w:pPr>
          </w:p>
        </w:tc>
      </w:tr>
      <w:tr w14:paraId="57408BE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F92B3AE">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71D2932D">
            <w:pPr>
              <w:adjustRightInd/>
              <w:spacing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6760C829">
            <w:pPr>
              <w:adjustRightInd/>
              <w:spacing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79CE7ADE">
            <w:pPr>
              <w:adjustRightInd/>
              <w:spacing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683A70F5">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29D3807C">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283D1FB3">
            <w:pPr>
              <w:adjustRightInd/>
              <w:spacing w:before="50" w:after="50" w:line="360" w:lineRule="auto"/>
              <w:jc w:val="center"/>
              <w:rPr>
                <w:rFonts w:hint="eastAsia" w:ascii="宋体" w:hAnsi="宋体" w:cs="宋体"/>
                <w:spacing w:val="20"/>
                <w:sz w:val="24"/>
              </w:rPr>
            </w:pPr>
          </w:p>
        </w:tc>
      </w:tr>
      <w:tr w14:paraId="2E01E9F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346CAAA">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3A0C35DC">
            <w:pPr>
              <w:adjustRightInd/>
              <w:spacing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53A7DA9B">
            <w:pPr>
              <w:adjustRightInd/>
              <w:spacing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0C6FDFE3">
            <w:pPr>
              <w:adjustRightInd/>
              <w:spacing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6DED6893">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2D520F7D">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0DD159C3">
            <w:pPr>
              <w:adjustRightInd/>
              <w:spacing w:before="50" w:after="50" w:line="360" w:lineRule="auto"/>
              <w:jc w:val="center"/>
              <w:rPr>
                <w:rFonts w:hint="eastAsia" w:ascii="宋体" w:hAnsi="宋体" w:cs="宋体"/>
                <w:spacing w:val="20"/>
                <w:sz w:val="24"/>
              </w:rPr>
            </w:pPr>
          </w:p>
        </w:tc>
      </w:tr>
      <w:tr w14:paraId="2ECAE94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ECA8C9B">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57580FBC">
            <w:pPr>
              <w:adjustRightInd/>
              <w:spacing w:before="50" w:after="50"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56787BBA">
            <w:pPr>
              <w:adjustRightInd/>
              <w:spacing w:before="50" w:after="50"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4522ECF3">
            <w:pPr>
              <w:adjustRightInd/>
              <w:spacing w:before="50" w:after="50"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50168A71">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6CFD5D07">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0922A642">
            <w:pPr>
              <w:adjustRightInd/>
              <w:spacing w:before="50" w:after="50" w:line="360" w:lineRule="auto"/>
              <w:jc w:val="center"/>
              <w:rPr>
                <w:rFonts w:hint="eastAsia" w:ascii="宋体" w:hAnsi="宋体" w:cs="宋体"/>
                <w:spacing w:val="20"/>
                <w:sz w:val="24"/>
              </w:rPr>
            </w:pPr>
          </w:p>
        </w:tc>
      </w:tr>
      <w:tr w14:paraId="3B461BE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D9C63EC">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37CF7620">
            <w:pPr>
              <w:adjustRightInd/>
              <w:spacing w:before="50" w:after="50"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37E27CF4">
            <w:pPr>
              <w:adjustRightInd/>
              <w:spacing w:before="50" w:after="50"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4542500D">
            <w:pPr>
              <w:adjustRightInd/>
              <w:spacing w:before="50" w:after="50"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23052082">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0A616A73">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15A0BDA4">
            <w:pPr>
              <w:adjustRightInd/>
              <w:spacing w:before="50" w:after="50" w:line="360" w:lineRule="auto"/>
              <w:jc w:val="center"/>
              <w:rPr>
                <w:rFonts w:hint="eastAsia" w:ascii="宋体" w:hAnsi="宋体" w:cs="宋体"/>
                <w:spacing w:val="20"/>
                <w:sz w:val="24"/>
              </w:rPr>
            </w:pPr>
          </w:p>
        </w:tc>
      </w:tr>
      <w:tr w14:paraId="3502EB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FE49F1B">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1B6E212F">
            <w:pPr>
              <w:adjustRightInd/>
              <w:spacing w:before="50" w:after="50"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6BFF1F4D">
            <w:pPr>
              <w:adjustRightInd/>
              <w:spacing w:before="50" w:after="50"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7F104A9E">
            <w:pPr>
              <w:adjustRightInd/>
              <w:spacing w:before="50" w:after="50"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5E107565">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6BD3C16A">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2732E035">
            <w:pPr>
              <w:adjustRightInd/>
              <w:spacing w:before="50" w:after="50" w:line="360" w:lineRule="auto"/>
              <w:jc w:val="center"/>
              <w:rPr>
                <w:rFonts w:hint="eastAsia" w:ascii="宋体" w:hAnsi="宋体" w:cs="宋体"/>
                <w:spacing w:val="20"/>
                <w:sz w:val="24"/>
              </w:rPr>
            </w:pPr>
          </w:p>
        </w:tc>
      </w:tr>
      <w:tr w14:paraId="74BAED0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9AE6B13">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7F6B4805">
            <w:pPr>
              <w:adjustRightInd/>
              <w:spacing w:before="50" w:after="50"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36B9B43F">
            <w:pPr>
              <w:adjustRightInd/>
              <w:spacing w:before="50" w:after="50"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219C7401">
            <w:pPr>
              <w:adjustRightInd/>
              <w:spacing w:before="50" w:after="50"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6DC0AB97">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3D37BEBC">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6050DBFF">
            <w:pPr>
              <w:adjustRightInd/>
              <w:spacing w:before="50" w:after="50" w:line="360" w:lineRule="auto"/>
              <w:jc w:val="center"/>
              <w:rPr>
                <w:rFonts w:hint="eastAsia" w:ascii="宋体" w:hAnsi="宋体" w:cs="宋体"/>
                <w:spacing w:val="20"/>
                <w:sz w:val="24"/>
              </w:rPr>
            </w:pPr>
          </w:p>
        </w:tc>
      </w:tr>
      <w:tr w14:paraId="69294C2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E9B40F">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01CC4F6E">
            <w:pPr>
              <w:adjustRightInd/>
              <w:spacing w:before="50" w:after="50"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7AD201F9">
            <w:pPr>
              <w:adjustRightInd/>
              <w:spacing w:before="50" w:after="50"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4A8EE57B">
            <w:pPr>
              <w:adjustRightInd/>
              <w:spacing w:before="50" w:after="50"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206B6921">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56F6CF96">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54F530F8">
            <w:pPr>
              <w:adjustRightInd/>
              <w:spacing w:before="50" w:after="50" w:line="360" w:lineRule="auto"/>
              <w:jc w:val="center"/>
              <w:rPr>
                <w:rFonts w:hint="eastAsia" w:ascii="宋体" w:hAnsi="宋体" w:cs="宋体"/>
                <w:spacing w:val="20"/>
                <w:sz w:val="24"/>
              </w:rPr>
            </w:pPr>
          </w:p>
        </w:tc>
      </w:tr>
      <w:tr w14:paraId="4C4DB7B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8CAE8B4">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59FEC50C">
            <w:pPr>
              <w:adjustRightInd/>
              <w:spacing w:before="50" w:after="50"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6097B91B">
            <w:pPr>
              <w:adjustRightInd/>
              <w:spacing w:before="50" w:after="50"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6AF6005B">
            <w:pPr>
              <w:adjustRightInd/>
              <w:spacing w:before="50" w:after="50"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567B34EA">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2CBB73DC">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77CDB1CF">
            <w:pPr>
              <w:adjustRightInd/>
              <w:spacing w:before="50" w:after="50" w:line="360" w:lineRule="auto"/>
              <w:jc w:val="center"/>
              <w:rPr>
                <w:rFonts w:hint="eastAsia" w:ascii="宋体" w:hAnsi="宋体" w:cs="宋体"/>
                <w:spacing w:val="20"/>
                <w:sz w:val="24"/>
              </w:rPr>
            </w:pPr>
          </w:p>
        </w:tc>
      </w:tr>
      <w:tr w14:paraId="1E64A4F5">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F599688">
            <w:pPr>
              <w:adjustRightInd/>
              <w:spacing w:before="50" w:after="50" w:line="360" w:lineRule="auto"/>
              <w:jc w:val="center"/>
              <w:rPr>
                <w:rFonts w:hint="eastAsia" w:ascii="宋体" w:hAnsi="宋体" w:cs="宋体"/>
                <w:spacing w:val="20"/>
                <w:sz w:val="24"/>
              </w:rPr>
            </w:pPr>
          </w:p>
        </w:tc>
        <w:tc>
          <w:tcPr>
            <w:tcW w:w="1600" w:type="dxa"/>
            <w:tcBorders>
              <w:top w:val="single" w:color="auto" w:sz="4" w:space="0"/>
              <w:left w:val="nil"/>
              <w:bottom w:val="single" w:color="auto" w:sz="4" w:space="0"/>
              <w:right w:val="single" w:color="auto" w:sz="4" w:space="0"/>
            </w:tcBorders>
            <w:vAlign w:val="center"/>
          </w:tcPr>
          <w:p w14:paraId="1EC1B2DF">
            <w:pPr>
              <w:adjustRightInd/>
              <w:spacing w:before="50" w:after="50" w:line="360" w:lineRule="auto"/>
              <w:jc w:val="center"/>
              <w:rPr>
                <w:rFonts w:hint="eastAsia" w:ascii="宋体" w:hAnsi="宋体" w:cs="宋体"/>
                <w:spacing w:val="20"/>
                <w:sz w:val="24"/>
              </w:rPr>
            </w:pPr>
          </w:p>
        </w:tc>
        <w:tc>
          <w:tcPr>
            <w:tcW w:w="973" w:type="dxa"/>
            <w:tcBorders>
              <w:top w:val="single" w:color="auto" w:sz="4" w:space="0"/>
              <w:left w:val="single" w:color="auto" w:sz="4" w:space="0"/>
              <w:bottom w:val="single" w:color="auto" w:sz="4" w:space="0"/>
              <w:right w:val="single" w:color="auto" w:sz="4" w:space="0"/>
            </w:tcBorders>
            <w:vAlign w:val="center"/>
          </w:tcPr>
          <w:p w14:paraId="25EC6245">
            <w:pPr>
              <w:adjustRightInd/>
              <w:spacing w:before="50" w:after="50" w:line="360" w:lineRule="auto"/>
              <w:jc w:val="center"/>
              <w:rPr>
                <w:rFonts w:hint="eastAsia" w:ascii="宋体" w:hAnsi="宋体" w:cs="宋体"/>
                <w:spacing w:val="20"/>
                <w:sz w:val="24"/>
              </w:rPr>
            </w:pPr>
          </w:p>
        </w:tc>
        <w:tc>
          <w:tcPr>
            <w:tcW w:w="1371" w:type="dxa"/>
            <w:tcBorders>
              <w:top w:val="single" w:color="auto" w:sz="4" w:space="0"/>
              <w:left w:val="single" w:color="auto" w:sz="4" w:space="0"/>
              <w:bottom w:val="single" w:color="auto" w:sz="4" w:space="0"/>
              <w:right w:val="single" w:color="auto" w:sz="4" w:space="0"/>
            </w:tcBorders>
            <w:vAlign w:val="center"/>
          </w:tcPr>
          <w:p w14:paraId="6469EE4E">
            <w:pPr>
              <w:adjustRightInd/>
              <w:spacing w:before="50" w:after="50" w:line="360" w:lineRule="auto"/>
              <w:jc w:val="center"/>
              <w:rPr>
                <w:rFonts w:hint="eastAsia" w:ascii="宋体" w:hAnsi="宋体" w:cs="宋体"/>
                <w:spacing w:val="20"/>
                <w:sz w:val="24"/>
              </w:rPr>
            </w:pPr>
          </w:p>
        </w:tc>
        <w:tc>
          <w:tcPr>
            <w:tcW w:w="1501" w:type="dxa"/>
            <w:tcBorders>
              <w:top w:val="single" w:color="auto" w:sz="4" w:space="0"/>
              <w:left w:val="nil"/>
              <w:bottom w:val="single" w:color="auto" w:sz="4" w:space="0"/>
              <w:right w:val="single" w:color="auto" w:sz="4" w:space="0"/>
            </w:tcBorders>
            <w:vAlign w:val="center"/>
          </w:tcPr>
          <w:p w14:paraId="00374281">
            <w:pPr>
              <w:adjustRightInd/>
              <w:spacing w:before="50" w:after="50" w:line="360" w:lineRule="auto"/>
              <w:jc w:val="center"/>
              <w:rPr>
                <w:rFonts w:hint="eastAsia" w:ascii="宋体" w:hAnsi="宋体" w:cs="宋体"/>
                <w:spacing w:val="20"/>
                <w:sz w:val="24"/>
              </w:rPr>
            </w:pPr>
          </w:p>
        </w:tc>
        <w:tc>
          <w:tcPr>
            <w:tcW w:w="1253" w:type="dxa"/>
            <w:tcBorders>
              <w:top w:val="single" w:color="auto" w:sz="4" w:space="0"/>
              <w:left w:val="nil"/>
              <w:bottom w:val="single" w:color="auto" w:sz="4" w:space="0"/>
              <w:right w:val="single" w:color="auto" w:sz="4" w:space="0"/>
            </w:tcBorders>
            <w:vAlign w:val="center"/>
          </w:tcPr>
          <w:p w14:paraId="223B12F3">
            <w:pPr>
              <w:adjustRightInd/>
              <w:spacing w:before="50" w:after="50" w:line="360" w:lineRule="auto"/>
              <w:jc w:val="center"/>
              <w:rPr>
                <w:rFonts w:hint="eastAsia" w:ascii="宋体" w:hAnsi="宋体" w:cs="宋体"/>
                <w:spacing w:val="20"/>
                <w:sz w:val="24"/>
              </w:rPr>
            </w:pPr>
          </w:p>
        </w:tc>
        <w:tc>
          <w:tcPr>
            <w:tcW w:w="1432" w:type="dxa"/>
            <w:tcBorders>
              <w:top w:val="single" w:color="auto" w:sz="4" w:space="0"/>
              <w:left w:val="nil"/>
              <w:bottom w:val="single" w:color="auto" w:sz="4" w:space="0"/>
              <w:right w:val="single" w:color="auto" w:sz="4" w:space="0"/>
            </w:tcBorders>
            <w:vAlign w:val="center"/>
          </w:tcPr>
          <w:p w14:paraId="55499803">
            <w:pPr>
              <w:adjustRightInd/>
              <w:spacing w:before="50" w:after="50" w:line="360" w:lineRule="auto"/>
              <w:jc w:val="center"/>
              <w:rPr>
                <w:rFonts w:hint="eastAsia" w:ascii="宋体" w:hAnsi="宋体" w:cs="宋体"/>
                <w:spacing w:val="20"/>
                <w:sz w:val="24"/>
              </w:rPr>
            </w:pPr>
          </w:p>
        </w:tc>
      </w:tr>
      <w:tr w14:paraId="003C2513">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vAlign w:val="center"/>
          </w:tcPr>
          <w:p w14:paraId="5C60CC2E">
            <w:pPr>
              <w:adjustRightInd/>
              <w:spacing w:before="50" w:after="50" w:line="360" w:lineRule="auto"/>
              <w:jc w:val="center"/>
              <w:rPr>
                <w:rFonts w:hint="eastAsia" w:ascii="宋体" w:hAnsi="宋体" w:cs="宋体"/>
                <w:spacing w:val="20"/>
                <w:sz w:val="24"/>
              </w:rPr>
            </w:pPr>
            <w:r>
              <w:rPr>
                <w:rFonts w:hint="eastAsia" w:ascii="宋体" w:hAnsi="宋体" w:cs="宋体"/>
                <w:spacing w:val="20"/>
                <w:sz w:val="24"/>
              </w:rPr>
              <w:t>投标报价</w:t>
            </w:r>
          </w:p>
        </w:tc>
        <w:tc>
          <w:tcPr>
            <w:tcW w:w="1432" w:type="dxa"/>
            <w:tcBorders>
              <w:top w:val="single" w:color="auto" w:sz="4" w:space="0"/>
              <w:left w:val="nil"/>
              <w:bottom w:val="single" w:color="auto" w:sz="4" w:space="0"/>
              <w:right w:val="single" w:color="auto" w:sz="4" w:space="0"/>
            </w:tcBorders>
            <w:vAlign w:val="center"/>
          </w:tcPr>
          <w:p w14:paraId="68B99EF0">
            <w:pPr>
              <w:adjustRightInd/>
              <w:spacing w:before="50" w:after="50" w:line="360" w:lineRule="auto"/>
              <w:jc w:val="center"/>
              <w:rPr>
                <w:rFonts w:hint="eastAsia" w:ascii="宋体" w:hAnsi="宋体" w:cs="宋体"/>
                <w:spacing w:val="20"/>
                <w:sz w:val="24"/>
              </w:rPr>
            </w:pPr>
          </w:p>
        </w:tc>
      </w:tr>
    </w:tbl>
    <w:p w14:paraId="14A5A3C6">
      <w:pPr>
        <w:widowControl/>
        <w:adjustRightInd/>
        <w:ind w:left="420" w:leftChars="200"/>
        <w:jc w:val="left"/>
        <w:rPr>
          <w:rFonts w:hint="eastAsia" w:hAnsi="宋体" w:cs="宋体"/>
          <w:kern w:val="0"/>
          <w:sz w:val="24"/>
        </w:rPr>
      </w:pPr>
      <w:r>
        <w:rPr>
          <w:rFonts w:hint="eastAsia" w:hAnsi="宋体" w:cs="宋体"/>
          <w:kern w:val="0"/>
          <w:sz w:val="24"/>
        </w:rPr>
        <w:t>备注：本表格供参考，供应商可根据项目实际情况自拟表格。</w:t>
      </w:r>
    </w:p>
    <w:p w14:paraId="1AAA8AAD">
      <w:pPr>
        <w:spacing w:after="120"/>
        <w:ind w:left="1140" w:leftChars="200" w:hanging="720" w:hangingChars="343"/>
        <w:rPr>
          <w:rFonts w:hint="eastAsia" w:hAnsi="宋体" w:cs="宋体"/>
        </w:rPr>
      </w:pPr>
    </w:p>
    <w:p w14:paraId="5A8EF626">
      <w:pPr>
        <w:spacing w:after="120"/>
        <w:ind w:left="1140" w:leftChars="200" w:hanging="720" w:hangingChars="343"/>
        <w:rPr>
          <w:kern w:val="0"/>
          <w:szCs w:val="20"/>
        </w:rPr>
      </w:pPr>
    </w:p>
    <w:p w14:paraId="5144A1F3">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1860A00B">
      <w:pPr>
        <w:autoSpaceDE w:val="0"/>
        <w:autoSpaceDN w:val="0"/>
        <w:spacing w:line="360" w:lineRule="auto"/>
        <w:ind w:left="2" w:leftChars="1" w:right="1120" w:firstLine="4560" w:firstLineChars="1900"/>
        <w:jc w:val="left"/>
        <w:rPr>
          <w:rFonts w:hint="eastAsia"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4CD8518">
      <w:pPr>
        <w:snapToGrid w:val="0"/>
        <w:spacing w:before="120" w:after="120" w:line="360" w:lineRule="auto"/>
        <w:rPr>
          <w:rFonts w:hint="eastAsia" w:ascii="宋体" w:hAnsi="宋体" w:cs="宋体"/>
          <w:b/>
          <w:sz w:val="32"/>
          <w:szCs w:val="32"/>
        </w:rPr>
      </w:pPr>
    </w:p>
    <w:p w14:paraId="674F1C73">
      <w:pPr>
        <w:snapToGrid w:val="0"/>
        <w:spacing w:before="120" w:after="120"/>
        <w:ind w:firstLine="643"/>
        <w:rPr>
          <w:rFonts w:hint="eastAsia" w:ascii="宋体" w:hAnsi="宋体" w:cs="宋体"/>
          <w:sz w:val="32"/>
          <w:szCs w:val="32"/>
        </w:rPr>
        <w:sectPr>
          <w:pgSz w:w="11906" w:h="16838"/>
          <w:pgMar w:top="1247" w:right="1418" w:bottom="1276" w:left="1418" w:header="851" w:footer="992" w:gutter="0"/>
          <w:cols w:space="720" w:num="1"/>
          <w:titlePg/>
          <w:docGrid w:linePitch="312" w:charSpace="0"/>
        </w:sectPr>
      </w:pPr>
    </w:p>
    <w:bookmarkEnd w:id="556"/>
    <w:bookmarkEnd w:id="557"/>
    <w:p w14:paraId="20D71796">
      <w:pPr>
        <w:pStyle w:val="691"/>
        <w:keepNext w:val="0"/>
        <w:pageBreakBefore w:val="0"/>
        <w:tabs>
          <w:tab w:val="clear" w:pos="720"/>
        </w:tabs>
        <w:snapToGrid w:val="0"/>
        <w:spacing w:before="120" w:after="120"/>
        <w:ind w:firstLine="643"/>
        <w:outlineLvl w:val="9"/>
        <w:rPr>
          <w:rFonts w:hint="eastAsia" w:ascii="宋体" w:hAnsi="宋体" w:eastAsia="宋体" w:cs="宋体"/>
          <w:sz w:val="32"/>
          <w:szCs w:val="32"/>
        </w:rPr>
      </w:pPr>
      <w:bookmarkStart w:id="558" w:name="_Toc25773"/>
      <w:bookmarkStart w:id="559" w:name="_Toc30621"/>
      <w:r>
        <w:rPr>
          <w:rFonts w:hint="eastAsia" w:ascii="宋体" w:hAnsi="宋体" w:eastAsia="宋体" w:cs="宋体"/>
          <w:kern w:val="2"/>
          <w:sz w:val="32"/>
          <w:szCs w:val="32"/>
        </w:rPr>
        <w:t>二、</w:t>
      </w:r>
      <w:r>
        <w:rPr>
          <w:rFonts w:hint="eastAsia" w:ascii="宋体" w:hAnsi="宋体" w:eastAsia="宋体" w:cs="宋体"/>
          <w:sz w:val="32"/>
          <w:szCs w:val="32"/>
        </w:rPr>
        <w:t>中小企业声明函</w:t>
      </w:r>
      <w:bookmarkStart w:id="560" w:name="_Hlk101259491"/>
      <w:r>
        <w:rPr>
          <w:rFonts w:hint="eastAsia" w:ascii="宋体" w:hAnsi="宋体" w:eastAsia="宋体" w:cs="宋体"/>
          <w:sz w:val="32"/>
          <w:szCs w:val="32"/>
        </w:rPr>
        <w:t>（如果有）</w:t>
      </w:r>
      <w:bookmarkEnd w:id="558"/>
      <w:bookmarkEnd w:id="559"/>
      <w:bookmarkEnd w:id="560"/>
    </w:p>
    <w:p w14:paraId="2EBD4BA7">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5652E593">
      <w:pPr>
        <w:pStyle w:val="691"/>
        <w:keepNext w:val="0"/>
        <w:pageBreakBefore w:val="0"/>
        <w:tabs>
          <w:tab w:val="clear" w:pos="720"/>
        </w:tabs>
        <w:snapToGrid w:val="0"/>
        <w:spacing w:before="120" w:after="120"/>
        <w:ind w:firstLine="643"/>
        <w:outlineLvl w:val="9"/>
        <w:rPr>
          <w:rFonts w:hint="eastAsia" w:ascii="宋体" w:hAnsi="宋体" w:eastAsia="宋体" w:cs="宋体"/>
          <w:b w:val="0"/>
          <w:sz w:val="32"/>
          <w:szCs w:val="32"/>
        </w:rPr>
      </w:pPr>
    </w:p>
    <w:p w14:paraId="55AE0E91">
      <w:pPr>
        <w:spacing w:line="360" w:lineRule="auto"/>
        <w:ind w:right="420" w:firstLine="3614" w:firstLineChars="1000"/>
        <w:rPr>
          <w:rFonts w:hint="eastAsia" w:ascii="宋体" w:hAnsi="宋体" w:cs="宋体"/>
          <w:b/>
          <w:kern w:val="0"/>
          <w:sz w:val="36"/>
          <w:szCs w:val="36"/>
        </w:rPr>
      </w:pPr>
    </w:p>
    <w:p w14:paraId="555B082D">
      <w:pPr>
        <w:spacing w:line="360" w:lineRule="auto"/>
        <w:ind w:right="420" w:firstLine="3614" w:firstLineChars="1000"/>
        <w:rPr>
          <w:rFonts w:hint="eastAsia" w:ascii="宋体" w:hAnsi="宋体" w:cs="宋体"/>
          <w:b/>
          <w:kern w:val="0"/>
          <w:sz w:val="36"/>
          <w:szCs w:val="36"/>
        </w:rPr>
      </w:pPr>
    </w:p>
    <w:p w14:paraId="1A20B5F0">
      <w:pPr>
        <w:spacing w:line="360" w:lineRule="auto"/>
        <w:ind w:right="420" w:firstLine="3614" w:firstLineChars="1000"/>
        <w:rPr>
          <w:rFonts w:hint="eastAsia" w:ascii="宋体" w:hAnsi="宋体" w:cs="宋体"/>
          <w:b/>
          <w:kern w:val="0"/>
          <w:sz w:val="36"/>
          <w:szCs w:val="36"/>
        </w:rPr>
      </w:pPr>
    </w:p>
    <w:p w14:paraId="744CC5D2">
      <w:pPr>
        <w:spacing w:line="360" w:lineRule="auto"/>
        <w:ind w:right="420" w:firstLine="3614" w:firstLineChars="1000"/>
        <w:rPr>
          <w:rFonts w:hint="eastAsia" w:ascii="宋体" w:hAnsi="宋体" w:cs="宋体"/>
          <w:b/>
          <w:kern w:val="0"/>
          <w:sz w:val="36"/>
          <w:szCs w:val="36"/>
        </w:rPr>
      </w:pPr>
    </w:p>
    <w:p w14:paraId="1ECC144E">
      <w:pPr>
        <w:spacing w:line="360" w:lineRule="auto"/>
        <w:ind w:right="420" w:firstLine="3614" w:firstLineChars="1000"/>
        <w:rPr>
          <w:rFonts w:hint="eastAsia" w:ascii="宋体" w:hAnsi="宋体" w:cs="宋体"/>
          <w:b/>
          <w:kern w:val="0"/>
          <w:sz w:val="36"/>
          <w:szCs w:val="36"/>
        </w:rPr>
      </w:pPr>
    </w:p>
    <w:p w14:paraId="3ABA2CC5">
      <w:pPr>
        <w:spacing w:line="360" w:lineRule="auto"/>
        <w:ind w:right="420" w:firstLine="3614" w:firstLineChars="1000"/>
        <w:rPr>
          <w:rFonts w:hint="eastAsia" w:ascii="宋体" w:hAnsi="宋体" w:cs="宋体"/>
          <w:b/>
          <w:kern w:val="0"/>
          <w:sz w:val="36"/>
          <w:szCs w:val="36"/>
        </w:rPr>
      </w:pPr>
    </w:p>
    <w:p w14:paraId="6B86FAC8">
      <w:pPr>
        <w:spacing w:line="360" w:lineRule="auto"/>
        <w:ind w:right="420" w:firstLine="3614" w:firstLineChars="1000"/>
        <w:rPr>
          <w:rFonts w:hint="eastAsia" w:ascii="宋体" w:hAnsi="宋体" w:cs="宋体"/>
          <w:b/>
          <w:kern w:val="0"/>
          <w:sz w:val="36"/>
          <w:szCs w:val="36"/>
        </w:rPr>
      </w:pPr>
    </w:p>
    <w:p w14:paraId="0C3EC6EB">
      <w:pPr>
        <w:spacing w:line="360" w:lineRule="auto"/>
        <w:ind w:right="420" w:firstLine="3614" w:firstLineChars="1000"/>
        <w:rPr>
          <w:rFonts w:hint="eastAsia" w:ascii="宋体" w:hAnsi="宋体" w:cs="宋体"/>
          <w:b/>
          <w:kern w:val="0"/>
          <w:sz w:val="36"/>
          <w:szCs w:val="36"/>
        </w:rPr>
      </w:pPr>
    </w:p>
    <w:p w14:paraId="56F54DFB">
      <w:pPr>
        <w:spacing w:line="360" w:lineRule="auto"/>
        <w:ind w:right="420" w:firstLine="3614" w:firstLineChars="1000"/>
        <w:rPr>
          <w:rFonts w:hint="eastAsia" w:ascii="宋体" w:hAnsi="宋体" w:cs="宋体"/>
          <w:b/>
          <w:kern w:val="0"/>
          <w:sz w:val="36"/>
          <w:szCs w:val="36"/>
        </w:rPr>
      </w:pPr>
    </w:p>
    <w:p w14:paraId="68BE74FF">
      <w:pPr>
        <w:spacing w:line="360" w:lineRule="auto"/>
        <w:ind w:right="420" w:firstLine="3614" w:firstLineChars="1000"/>
        <w:rPr>
          <w:rFonts w:hint="eastAsia" w:ascii="宋体" w:hAnsi="宋体" w:cs="宋体"/>
          <w:b/>
          <w:kern w:val="0"/>
          <w:sz w:val="36"/>
          <w:szCs w:val="36"/>
        </w:rPr>
      </w:pPr>
    </w:p>
    <w:p w14:paraId="073A351B">
      <w:pPr>
        <w:spacing w:line="360" w:lineRule="auto"/>
        <w:ind w:right="420" w:firstLine="3614" w:firstLineChars="1000"/>
        <w:rPr>
          <w:rFonts w:hint="eastAsia" w:ascii="宋体" w:hAnsi="宋体" w:cs="宋体"/>
          <w:b/>
          <w:kern w:val="0"/>
          <w:sz w:val="36"/>
          <w:szCs w:val="36"/>
        </w:rPr>
      </w:pPr>
    </w:p>
    <w:p w14:paraId="726411A4">
      <w:pPr>
        <w:spacing w:line="360" w:lineRule="auto"/>
        <w:ind w:right="420" w:firstLine="3614" w:firstLineChars="1000"/>
        <w:rPr>
          <w:rFonts w:hint="eastAsia" w:ascii="宋体" w:hAnsi="宋体" w:cs="宋体"/>
          <w:b/>
          <w:kern w:val="0"/>
          <w:sz w:val="36"/>
          <w:szCs w:val="36"/>
        </w:rPr>
      </w:pPr>
    </w:p>
    <w:p w14:paraId="63061046">
      <w:pPr>
        <w:spacing w:line="360" w:lineRule="auto"/>
        <w:ind w:right="420" w:firstLine="3614" w:firstLineChars="1000"/>
        <w:rPr>
          <w:rFonts w:hint="eastAsia" w:ascii="宋体" w:hAnsi="宋体" w:cs="宋体"/>
          <w:b/>
          <w:kern w:val="0"/>
          <w:sz w:val="36"/>
          <w:szCs w:val="36"/>
        </w:rPr>
      </w:pPr>
    </w:p>
    <w:p w14:paraId="2F17E98E">
      <w:pPr>
        <w:spacing w:line="360" w:lineRule="auto"/>
        <w:ind w:right="420" w:firstLine="3614" w:firstLineChars="1000"/>
        <w:rPr>
          <w:rFonts w:hint="eastAsia" w:ascii="宋体" w:hAnsi="宋体" w:cs="宋体"/>
          <w:b/>
          <w:kern w:val="0"/>
          <w:sz w:val="36"/>
          <w:szCs w:val="36"/>
        </w:rPr>
      </w:pPr>
    </w:p>
    <w:p w14:paraId="0DBAC19B">
      <w:pPr>
        <w:spacing w:line="360" w:lineRule="auto"/>
        <w:ind w:right="420" w:firstLine="3614" w:firstLineChars="1000"/>
        <w:rPr>
          <w:rFonts w:hint="eastAsia" w:ascii="宋体" w:hAnsi="宋体" w:cs="宋体"/>
          <w:b/>
          <w:kern w:val="0"/>
          <w:sz w:val="36"/>
          <w:szCs w:val="36"/>
        </w:rPr>
      </w:pPr>
    </w:p>
    <w:p w14:paraId="60972970">
      <w:pPr>
        <w:spacing w:line="360" w:lineRule="auto"/>
        <w:ind w:right="420" w:firstLine="3614" w:firstLineChars="1000"/>
        <w:rPr>
          <w:rFonts w:hint="eastAsia" w:ascii="宋体" w:hAnsi="宋体" w:cs="宋体"/>
          <w:b/>
          <w:kern w:val="0"/>
          <w:sz w:val="36"/>
          <w:szCs w:val="36"/>
        </w:rPr>
      </w:pPr>
    </w:p>
    <w:p w14:paraId="45180344">
      <w:pPr>
        <w:pageBreakBefore/>
        <w:widowControl/>
        <w:tabs>
          <w:tab w:val="left" w:pos="432"/>
        </w:tabs>
        <w:spacing w:before="100" w:beforeAutospacing="1" w:after="100" w:afterAutospacing="1" w:line="360" w:lineRule="auto"/>
        <w:jc w:val="center"/>
        <w:rPr>
          <w:rFonts w:hint="eastAsia" w:ascii="宋体" w:hAnsi="宋体" w:cs="宋体"/>
          <w:b/>
          <w:bCs/>
        </w:rPr>
      </w:pPr>
      <w:bookmarkStart w:id="561" w:name="_Toc465665161"/>
      <w:r>
        <w:rPr>
          <w:rFonts w:hint="eastAsia" w:ascii="宋体" w:hAnsi="宋体" w:cs="宋体"/>
          <w:b/>
          <w:bCs/>
        </w:rPr>
        <w:t>附件</w:t>
      </w:r>
      <w:bookmarkEnd w:id="561"/>
    </w:p>
    <w:p w14:paraId="36BC7C7D">
      <w:pPr>
        <w:spacing w:line="360" w:lineRule="auto"/>
        <w:rPr>
          <w:rFonts w:hint="eastAsia" w:ascii="宋体" w:hAnsi="宋体" w:cs="宋体"/>
          <w:b/>
          <w:spacing w:val="6"/>
          <w:sz w:val="32"/>
          <w:szCs w:val="32"/>
        </w:rPr>
      </w:pPr>
      <w:r>
        <w:rPr>
          <w:rFonts w:hint="eastAsia" w:ascii="宋体" w:hAnsi="宋体" w:cs="宋体"/>
          <w:b/>
          <w:spacing w:val="6"/>
          <w:sz w:val="32"/>
          <w:szCs w:val="32"/>
        </w:rPr>
        <w:t>附件1：</w:t>
      </w:r>
    </w:p>
    <w:p w14:paraId="416E77F3">
      <w:pPr>
        <w:spacing w:line="360" w:lineRule="auto"/>
        <w:jc w:val="center"/>
        <w:rPr>
          <w:rFonts w:hint="eastAsia" w:ascii="宋体" w:hAnsi="宋体" w:cs="宋体"/>
          <w:b/>
          <w:spacing w:val="6"/>
          <w:sz w:val="32"/>
          <w:szCs w:val="32"/>
        </w:rPr>
      </w:pPr>
      <w:bookmarkStart w:id="562" w:name="OLE_LINK13"/>
      <w:bookmarkStart w:id="563" w:name="OLE_LINK14"/>
      <w:r>
        <w:rPr>
          <w:rFonts w:hint="eastAsia" w:ascii="宋体" w:hAnsi="宋体" w:cs="宋体"/>
          <w:b/>
          <w:spacing w:val="6"/>
          <w:sz w:val="32"/>
          <w:szCs w:val="32"/>
        </w:rPr>
        <w:t>残疾人福利性单位声明函</w:t>
      </w:r>
    </w:p>
    <w:bookmarkEnd w:id="562"/>
    <w:bookmarkEnd w:id="563"/>
    <w:p w14:paraId="4EF53AD5">
      <w:pPr>
        <w:spacing w:line="360" w:lineRule="auto"/>
        <w:rPr>
          <w:rFonts w:hint="eastAsia" w:ascii="宋体" w:hAnsi="宋体" w:cs="宋体"/>
          <w:b/>
          <w:spacing w:val="6"/>
          <w:sz w:val="30"/>
          <w:szCs w:val="30"/>
        </w:rPr>
      </w:pPr>
    </w:p>
    <w:p w14:paraId="1CE234D8">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（采购人）</w:t>
      </w:r>
      <w:r>
        <w:rPr>
          <w:rFonts w:hint="eastAsia" w:ascii="宋体" w:hAnsi="宋体" w:cs="宋体"/>
          <w:sz w:val="24"/>
        </w:rPr>
        <w:t>单位的</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02331347">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2A8B5F82">
      <w:pPr>
        <w:spacing w:line="360" w:lineRule="auto"/>
        <w:ind w:firstLine="480" w:firstLineChars="200"/>
        <w:rPr>
          <w:rFonts w:hint="eastAsia" w:ascii="宋体" w:hAnsi="宋体" w:cs="宋体"/>
          <w:sz w:val="24"/>
        </w:rPr>
      </w:pPr>
    </w:p>
    <w:p w14:paraId="592F0C30">
      <w:pPr>
        <w:spacing w:line="360" w:lineRule="auto"/>
        <w:ind w:firstLine="480" w:firstLineChars="200"/>
        <w:rPr>
          <w:rFonts w:hint="eastAsia" w:ascii="宋体" w:hAnsi="宋体" w:cs="宋体"/>
          <w:sz w:val="24"/>
        </w:rPr>
      </w:pPr>
    </w:p>
    <w:p w14:paraId="4D0C46F8">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0E8FCDA">
      <w:pPr>
        <w:tabs>
          <w:tab w:val="left" w:pos="4860"/>
        </w:tabs>
        <w:spacing w:line="360" w:lineRule="auto"/>
        <w:ind w:right="1560" w:firstLine="480" w:firstLineChars="200"/>
        <w:jc w:val="center"/>
        <w:rPr>
          <w:rFonts w:hint="eastAsia" w:ascii="宋体" w:hAnsi="宋体" w:cs="宋体"/>
          <w:sz w:val="24"/>
        </w:rPr>
      </w:pPr>
      <w:r>
        <w:rPr>
          <w:rFonts w:hint="eastAsia" w:ascii="宋体" w:hAnsi="宋体" w:cs="宋体"/>
          <w:sz w:val="24"/>
        </w:rPr>
        <w:t xml:space="preserve">       日  期：</w:t>
      </w:r>
    </w:p>
    <w:p w14:paraId="1DA97DEC">
      <w:pPr>
        <w:spacing w:line="360" w:lineRule="auto"/>
        <w:ind w:firstLine="480" w:firstLineChars="200"/>
        <w:rPr>
          <w:rFonts w:hint="eastAsia" w:ascii="宋体" w:hAnsi="宋体" w:cs="宋体"/>
          <w:sz w:val="24"/>
        </w:rPr>
      </w:pPr>
    </w:p>
    <w:p w14:paraId="72025CB4">
      <w:pPr>
        <w:spacing w:line="360" w:lineRule="auto"/>
        <w:ind w:firstLine="420" w:firstLineChars="200"/>
        <w:rPr>
          <w:rFonts w:hint="eastAsia" w:ascii="宋体" w:hAnsi="宋体" w:cs="宋体"/>
        </w:rPr>
      </w:pPr>
    </w:p>
    <w:p w14:paraId="7D9EDAC2">
      <w:pPr>
        <w:spacing w:line="360" w:lineRule="auto"/>
        <w:ind w:firstLine="420" w:firstLineChars="200"/>
        <w:rPr>
          <w:rFonts w:hint="eastAsia" w:ascii="宋体" w:hAnsi="宋体" w:cs="宋体"/>
        </w:rPr>
      </w:pPr>
    </w:p>
    <w:p w14:paraId="07A73CE5">
      <w:pPr>
        <w:spacing w:line="360" w:lineRule="auto"/>
        <w:ind w:firstLine="420" w:firstLineChars="200"/>
        <w:rPr>
          <w:rFonts w:hint="eastAsia" w:ascii="宋体" w:hAnsi="宋体" w:cs="宋体"/>
        </w:rPr>
      </w:pPr>
    </w:p>
    <w:p w14:paraId="2E052032">
      <w:pPr>
        <w:spacing w:line="360" w:lineRule="auto"/>
        <w:ind w:firstLine="420" w:firstLineChars="200"/>
        <w:rPr>
          <w:rFonts w:hint="eastAsia" w:ascii="宋体" w:hAnsi="宋体" w:cs="宋体"/>
        </w:rPr>
      </w:pPr>
    </w:p>
    <w:p w14:paraId="4C7D16B7">
      <w:pPr>
        <w:spacing w:line="360" w:lineRule="auto"/>
        <w:rPr>
          <w:rFonts w:hint="eastAsia" w:ascii="宋体" w:hAnsi="宋体" w:cs="宋体"/>
          <w:b/>
          <w:sz w:val="24"/>
        </w:rPr>
      </w:pPr>
    </w:p>
    <w:p w14:paraId="3EA7553D">
      <w:pPr>
        <w:spacing w:line="360" w:lineRule="auto"/>
        <w:rPr>
          <w:rFonts w:hint="eastAsia" w:ascii="宋体" w:hAnsi="宋体" w:cs="宋体"/>
          <w:b/>
          <w:sz w:val="24"/>
        </w:rPr>
      </w:pPr>
    </w:p>
    <w:p w14:paraId="11BC0C62">
      <w:pPr>
        <w:spacing w:line="360" w:lineRule="auto"/>
        <w:rPr>
          <w:rFonts w:hint="eastAsia" w:ascii="宋体" w:hAnsi="宋体" w:cs="宋体"/>
          <w:b/>
          <w:sz w:val="24"/>
        </w:rPr>
      </w:pPr>
    </w:p>
    <w:p w14:paraId="29104DBD">
      <w:pPr>
        <w:spacing w:line="360" w:lineRule="auto"/>
        <w:rPr>
          <w:rFonts w:hint="eastAsia" w:ascii="宋体" w:hAnsi="宋体" w:cs="宋体"/>
          <w:b/>
          <w:sz w:val="24"/>
        </w:rPr>
      </w:pPr>
    </w:p>
    <w:p w14:paraId="05DF4287">
      <w:pPr>
        <w:spacing w:line="360" w:lineRule="auto"/>
        <w:rPr>
          <w:rFonts w:hint="eastAsia" w:ascii="宋体" w:hAnsi="宋体" w:cs="宋体"/>
          <w:b/>
          <w:sz w:val="24"/>
        </w:rPr>
      </w:pPr>
    </w:p>
    <w:p w14:paraId="3B3C06A1">
      <w:pPr>
        <w:spacing w:line="360" w:lineRule="auto"/>
        <w:rPr>
          <w:rFonts w:hint="eastAsia" w:ascii="宋体" w:hAnsi="宋体" w:cs="宋体"/>
          <w:b/>
          <w:sz w:val="24"/>
        </w:rPr>
      </w:pPr>
    </w:p>
    <w:p w14:paraId="61B3ABE8">
      <w:pPr>
        <w:spacing w:line="360" w:lineRule="auto"/>
        <w:rPr>
          <w:rFonts w:hint="eastAsia" w:ascii="宋体" w:hAnsi="宋体" w:cs="宋体"/>
          <w:b/>
          <w:sz w:val="24"/>
        </w:rPr>
      </w:pPr>
    </w:p>
    <w:p w14:paraId="67D4C996">
      <w:pPr>
        <w:spacing w:line="360" w:lineRule="auto"/>
        <w:rPr>
          <w:rFonts w:hint="eastAsia" w:ascii="宋体" w:hAnsi="宋体" w:cs="宋体"/>
          <w:b/>
          <w:sz w:val="24"/>
        </w:rPr>
      </w:pPr>
    </w:p>
    <w:p w14:paraId="01D78DA8">
      <w:pPr>
        <w:spacing w:line="360" w:lineRule="auto"/>
        <w:rPr>
          <w:rFonts w:hint="eastAsia" w:ascii="宋体" w:hAnsi="宋体" w:cs="宋体"/>
          <w:b/>
          <w:sz w:val="24"/>
        </w:rPr>
      </w:pPr>
    </w:p>
    <w:p w14:paraId="54B7FE84">
      <w:pPr>
        <w:spacing w:line="360" w:lineRule="auto"/>
        <w:jc w:val="left"/>
        <w:rPr>
          <w:rFonts w:hint="eastAsia" w:ascii="宋体" w:hAnsi="宋体" w:cs="宋体"/>
          <w:b/>
          <w:spacing w:val="6"/>
          <w:sz w:val="32"/>
          <w:szCs w:val="32"/>
        </w:rPr>
      </w:pPr>
    </w:p>
    <w:p w14:paraId="6E8C2338">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53F30A3A">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7ECEE0C3">
      <w:pPr>
        <w:snapToGrid w:val="0"/>
        <w:spacing w:before="240" w:beforeLines="100" w:line="360" w:lineRule="auto"/>
        <w:rPr>
          <w:rFonts w:hint="eastAsia" w:ascii="宋体" w:hAnsi="宋体" w:cs="宋体"/>
          <w:bCs/>
          <w:sz w:val="24"/>
        </w:rPr>
      </w:pPr>
      <w:r>
        <w:rPr>
          <w:rFonts w:hint="eastAsia" w:ascii="宋体" w:hAnsi="宋体" w:cs="宋体"/>
          <w:bCs/>
          <w:sz w:val="24"/>
        </w:rPr>
        <w:t>一、质疑供应商基本信息</w:t>
      </w:r>
    </w:p>
    <w:p w14:paraId="5F72FC30">
      <w:pPr>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11B08C0">
      <w:pPr>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44DA333">
      <w:pPr>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CCB1CC4">
      <w:pPr>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0900F0C7">
      <w:pPr>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019EE00E">
      <w:pPr>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E159CBB">
      <w:pPr>
        <w:snapToGrid w:val="0"/>
        <w:spacing w:line="360" w:lineRule="auto"/>
        <w:rPr>
          <w:rFonts w:hint="eastAsia" w:ascii="宋体" w:hAnsi="宋体" w:cs="宋体"/>
          <w:bCs/>
          <w:sz w:val="24"/>
        </w:rPr>
      </w:pPr>
      <w:r>
        <w:rPr>
          <w:rFonts w:hint="eastAsia" w:ascii="宋体" w:hAnsi="宋体" w:cs="宋体"/>
          <w:bCs/>
          <w:sz w:val="24"/>
        </w:rPr>
        <w:t>二、质疑项目基本情况</w:t>
      </w:r>
    </w:p>
    <w:p w14:paraId="0B6D7904">
      <w:pPr>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B088E30">
      <w:pPr>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E666661">
      <w:pPr>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AD165FD">
      <w:pPr>
        <w:snapToGrid w:val="0"/>
        <w:spacing w:line="360" w:lineRule="auto"/>
        <w:rPr>
          <w:rFonts w:hint="eastAsia" w:ascii="宋体" w:hAnsi="宋体" w:cs="宋体"/>
          <w:sz w:val="24"/>
        </w:rPr>
      </w:pPr>
      <w:r>
        <w:rPr>
          <w:rFonts w:hint="eastAsia" w:ascii="宋体" w:hAnsi="宋体" w:cs="宋体"/>
          <w:sz w:val="24"/>
        </w:rPr>
        <w:t>招标文件获取日期：</w:t>
      </w:r>
      <w:r>
        <w:rPr>
          <w:rFonts w:hint="eastAsia" w:ascii="宋体" w:hAnsi="宋体" w:cs="宋体"/>
          <w:sz w:val="24"/>
          <w:u w:val="dotted"/>
        </w:rPr>
        <w:t xml:space="preserve">                                           </w:t>
      </w:r>
    </w:p>
    <w:p w14:paraId="29873156">
      <w:pPr>
        <w:snapToGrid w:val="0"/>
        <w:spacing w:line="360" w:lineRule="auto"/>
        <w:rPr>
          <w:rFonts w:hint="eastAsia" w:ascii="宋体" w:hAnsi="宋体" w:cs="宋体"/>
          <w:bCs/>
          <w:sz w:val="24"/>
        </w:rPr>
      </w:pPr>
      <w:r>
        <w:rPr>
          <w:rFonts w:hint="eastAsia" w:ascii="宋体" w:hAnsi="宋体" w:cs="宋体"/>
          <w:bCs/>
          <w:sz w:val="24"/>
        </w:rPr>
        <w:t>三、质疑事项具体内容</w:t>
      </w:r>
    </w:p>
    <w:p w14:paraId="1FB32C8C">
      <w:pPr>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AD9B7DE">
      <w:pPr>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18CE2B0">
      <w:pPr>
        <w:snapToGrid w:val="0"/>
        <w:spacing w:line="360" w:lineRule="auto"/>
        <w:rPr>
          <w:rFonts w:hint="eastAsia" w:ascii="宋体" w:hAnsi="宋体" w:cs="宋体"/>
          <w:sz w:val="24"/>
        </w:rPr>
      </w:pPr>
      <w:r>
        <w:rPr>
          <w:rFonts w:hint="eastAsia" w:ascii="宋体" w:hAnsi="宋体" w:cs="宋体"/>
          <w:sz w:val="24"/>
          <w:u w:val="dotted"/>
        </w:rPr>
        <w:t xml:space="preserve">                                                       </w:t>
      </w:r>
    </w:p>
    <w:p w14:paraId="73DBD58F">
      <w:pPr>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6DE6336B">
      <w:pPr>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253BDDE5">
      <w:pPr>
        <w:snapToGrid w:val="0"/>
        <w:spacing w:line="360" w:lineRule="auto"/>
        <w:rPr>
          <w:rFonts w:hint="eastAsia" w:ascii="宋体" w:hAnsi="宋体" w:cs="宋体"/>
          <w:sz w:val="24"/>
          <w:u w:val="dotted"/>
        </w:rPr>
      </w:pPr>
      <w:r>
        <w:rPr>
          <w:rFonts w:hint="eastAsia" w:ascii="宋体" w:hAnsi="宋体" w:cs="宋体"/>
          <w:sz w:val="24"/>
        </w:rPr>
        <w:t>质疑事项2</w:t>
      </w:r>
    </w:p>
    <w:p w14:paraId="4EF989FE">
      <w:pPr>
        <w:snapToGrid w:val="0"/>
        <w:spacing w:line="360" w:lineRule="auto"/>
        <w:rPr>
          <w:rFonts w:hint="eastAsia" w:ascii="宋体" w:hAnsi="宋体" w:cs="宋体"/>
          <w:sz w:val="24"/>
        </w:rPr>
      </w:pPr>
      <w:r>
        <w:rPr>
          <w:rFonts w:hint="eastAsia" w:ascii="宋体" w:hAnsi="宋体" w:cs="宋体"/>
          <w:sz w:val="24"/>
        </w:rPr>
        <w:t>……</w:t>
      </w:r>
    </w:p>
    <w:p w14:paraId="3B7B745A">
      <w:pPr>
        <w:snapToGrid w:val="0"/>
        <w:spacing w:line="360" w:lineRule="auto"/>
        <w:rPr>
          <w:rFonts w:hint="eastAsia" w:ascii="宋体" w:hAnsi="宋体" w:cs="宋体"/>
          <w:bCs/>
          <w:sz w:val="24"/>
        </w:rPr>
      </w:pPr>
      <w:r>
        <w:rPr>
          <w:rFonts w:hint="eastAsia" w:ascii="宋体" w:hAnsi="宋体" w:cs="宋体"/>
          <w:bCs/>
          <w:sz w:val="24"/>
        </w:rPr>
        <w:t>四、与质疑事项相关的质疑请求</w:t>
      </w:r>
    </w:p>
    <w:p w14:paraId="6AD3AC10">
      <w:pPr>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57F08758">
      <w:pPr>
        <w:spacing w:line="360" w:lineRule="auto"/>
        <w:rPr>
          <w:rFonts w:hint="eastAsia" w:ascii="宋体" w:hAnsi="宋体" w:cs="宋体"/>
          <w:sz w:val="24"/>
        </w:rPr>
      </w:pPr>
      <w:r>
        <w:rPr>
          <w:rFonts w:hint="eastAsia" w:ascii="宋体" w:hAnsi="宋体" w:cs="宋体"/>
          <w:sz w:val="24"/>
        </w:rPr>
        <w:t xml:space="preserve">签字（签章）：                   公章：                      </w:t>
      </w:r>
    </w:p>
    <w:p w14:paraId="58AF96F5">
      <w:pPr>
        <w:spacing w:line="360" w:lineRule="auto"/>
        <w:rPr>
          <w:rFonts w:hint="eastAsia" w:ascii="宋体" w:hAnsi="宋体" w:cs="宋体"/>
          <w:sz w:val="24"/>
        </w:rPr>
      </w:pPr>
      <w:r>
        <w:rPr>
          <w:rFonts w:hint="eastAsia" w:ascii="宋体" w:hAnsi="宋体" w:cs="宋体"/>
          <w:sz w:val="24"/>
        </w:rPr>
        <w:t xml:space="preserve">日期：    </w:t>
      </w:r>
    </w:p>
    <w:p w14:paraId="032A5A4F">
      <w:pPr>
        <w:spacing w:line="360" w:lineRule="auto"/>
        <w:jc w:val="center"/>
        <w:rPr>
          <w:rFonts w:hint="eastAsia" w:ascii="宋体" w:hAnsi="宋体" w:cs="宋体"/>
          <w:b/>
          <w:bCs/>
          <w:sz w:val="24"/>
        </w:rPr>
      </w:pPr>
    </w:p>
    <w:p w14:paraId="71A6AC84">
      <w:pPr>
        <w:spacing w:line="360" w:lineRule="auto"/>
        <w:rPr>
          <w:rFonts w:hint="eastAsia" w:ascii="宋体" w:hAnsi="宋体" w:cs="宋体"/>
          <w:b/>
          <w:sz w:val="24"/>
        </w:rPr>
      </w:pPr>
    </w:p>
    <w:p w14:paraId="2745ADDB">
      <w:pPr>
        <w:spacing w:line="360" w:lineRule="auto"/>
        <w:rPr>
          <w:rFonts w:hint="eastAsia" w:ascii="宋体" w:hAnsi="宋体" w:cs="宋体"/>
          <w:b/>
          <w:sz w:val="24"/>
        </w:rPr>
      </w:pPr>
    </w:p>
    <w:p w14:paraId="55813350">
      <w:pPr>
        <w:spacing w:line="360" w:lineRule="auto"/>
        <w:rPr>
          <w:rFonts w:hint="eastAsia" w:ascii="宋体" w:hAnsi="宋体" w:cs="宋体"/>
          <w:b/>
          <w:sz w:val="24"/>
        </w:rPr>
      </w:pPr>
      <w:r>
        <w:rPr>
          <w:rFonts w:hint="eastAsia" w:ascii="宋体" w:hAnsi="宋体" w:cs="宋体"/>
          <w:b/>
          <w:sz w:val="24"/>
        </w:rPr>
        <w:t>质疑函制作说明：</w:t>
      </w:r>
    </w:p>
    <w:p w14:paraId="165CE353">
      <w:pPr>
        <w:widowControl/>
        <w:spacing w:line="360" w:lineRule="auto"/>
        <w:ind w:firstLine="480" w:firstLineChars="200"/>
        <w:jc w:val="left"/>
        <w:rPr>
          <w:rFonts w:hint="eastAsia" w:ascii="宋体" w:hAnsi="宋体" w:cs="宋体"/>
          <w:sz w:val="24"/>
        </w:rPr>
      </w:pPr>
      <w:r>
        <w:rPr>
          <w:rFonts w:hint="eastAsia" w:ascii="宋体" w:hAnsi="宋体" w:cs="宋体"/>
          <w:sz w:val="24"/>
        </w:rPr>
        <w:t>1.供应商提出质疑时，应提交质疑函和必要的证明材料。</w:t>
      </w:r>
    </w:p>
    <w:p w14:paraId="5B72658A">
      <w:pPr>
        <w:widowControl/>
        <w:spacing w:line="360" w:lineRule="auto"/>
        <w:ind w:firstLine="480" w:firstLineChars="200"/>
        <w:jc w:val="left"/>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B34C7CE">
      <w:pPr>
        <w:widowControl/>
        <w:spacing w:line="360" w:lineRule="auto"/>
        <w:ind w:firstLine="480" w:firstLineChars="200"/>
        <w:jc w:val="left"/>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3142DB6A">
      <w:pPr>
        <w:widowControl/>
        <w:spacing w:line="360" w:lineRule="auto"/>
        <w:ind w:firstLine="480" w:firstLineChars="200"/>
        <w:jc w:val="left"/>
        <w:rPr>
          <w:rFonts w:hint="eastAsia" w:ascii="宋体" w:hAnsi="宋体" w:cs="宋体"/>
          <w:sz w:val="24"/>
        </w:rPr>
      </w:pPr>
      <w:r>
        <w:rPr>
          <w:rFonts w:hint="eastAsia" w:ascii="宋体" w:hAnsi="宋体" w:cs="宋体"/>
          <w:sz w:val="24"/>
        </w:rPr>
        <w:t>4.质疑函的质疑事项应具体、明确，并有必要的事实依据和法律依据。</w:t>
      </w:r>
    </w:p>
    <w:p w14:paraId="023DA841">
      <w:pPr>
        <w:widowControl/>
        <w:spacing w:line="360" w:lineRule="auto"/>
        <w:ind w:firstLine="480" w:firstLineChars="200"/>
        <w:jc w:val="left"/>
        <w:rPr>
          <w:rFonts w:hint="eastAsia" w:ascii="宋体" w:hAnsi="宋体" w:cs="宋体"/>
          <w:sz w:val="24"/>
        </w:rPr>
      </w:pPr>
      <w:r>
        <w:rPr>
          <w:rFonts w:hint="eastAsia" w:ascii="宋体" w:hAnsi="宋体" w:cs="宋体"/>
          <w:sz w:val="24"/>
        </w:rPr>
        <w:t>5.质疑函的质疑请求应与质疑事项相关。</w:t>
      </w:r>
    </w:p>
    <w:p w14:paraId="5A74AA99">
      <w:pPr>
        <w:widowControl/>
        <w:spacing w:line="360" w:lineRule="auto"/>
        <w:ind w:firstLine="480" w:firstLineChars="200"/>
        <w:jc w:val="left"/>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76C2C83">
      <w:pPr>
        <w:widowControl/>
        <w:spacing w:line="360" w:lineRule="auto"/>
        <w:ind w:firstLine="600" w:firstLineChars="200"/>
        <w:jc w:val="left"/>
        <w:rPr>
          <w:rFonts w:hint="eastAsia" w:ascii="宋体" w:hAnsi="宋体" w:cs="宋体"/>
          <w:sz w:val="30"/>
          <w:szCs w:val="30"/>
        </w:rPr>
      </w:pPr>
    </w:p>
    <w:p w14:paraId="0E40C856">
      <w:pPr>
        <w:spacing w:line="360" w:lineRule="auto"/>
        <w:jc w:val="center"/>
        <w:rPr>
          <w:rFonts w:hint="eastAsia" w:ascii="宋体" w:hAnsi="宋体" w:cs="宋体"/>
          <w:b/>
          <w:spacing w:val="6"/>
          <w:sz w:val="32"/>
          <w:szCs w:val="32"/>
        </w:rPr>
      </w:pPr>
    </w:p>
    <w:p w14:paraId="22808664">
      <w:pPr>
        <w:spacing w:line="360" w:lineRule="auto"/>
        <w:jc w:val="center"/>
        <w:rPr>
          <w:rFonts w:hint="eastAsia" w:ascii="宋体" w:hAnsi="宋体" w:cs="宋体"/>
          <w:b/>
          <w:spacing w:val="6"/>
          <w:sz w:val="32"/>
          <w:szCs w:val="32"/>
        </w:rPr>
      </w:pPr>
    </w:p>
    <w:p w14:paraId="446A1F21">
      <w:pPr>
        <w:spacing w:line="360" w:lineRule="auto"/>
        <w:jc w:val="center"/>
        <w:rPr>
          <w:rFonts w:hint="eastAsia" w:ascii="宋体" w:hAnsi="宋体" w:cs="宋体"/>
          <w:b/>
          <w:spacing w:val="6"/>
          <w:sz w:val="32"/>
          <w:szCs w:val="32"/>
        </w:rPr>
      </w:pPr>
    </w:p>
    <w:p w14:paraId="55B7155D">
      <w:pPr>
        <w:spacing w:line="360" w:lineRule="auto"/>
        <w:jc w:val="center"/>
        <w:rPr>
          <w:rFonts w:hint="eastAsia" w:ascii="宋体" w:hAnsi="宋体" w:cs="宋体"/>
          <w:b/>
          <w:spacing w:val="6"/>
          <w:sz w:val="32"/>
          <w:szCs w:val="32"/>
        </w:rPr>
      </w:pPr>
    </w:p>
    <w:p w14:paraId="725D2DEA">
      <w:pPr>
        <w:spacing w:line="360" w:lineRule="auto"/>
        <w:jc w:val="center"/>
        <w:rPr>
          <w:rFonts w:hint="eastAsia" w:ascii="宋体" w:hAnsi="宋体" w:cs="宋体"/>
          <w:b/>
          <w:spacing w:val="6"/>
          <w:sz w:val="32"/>
          <w:szCs w:val="32"/>
        </w:rPr>
      </w:pPr>
    </w:p>
    <w:p w14:paraId="65EB3730">
      <w:pPr>
        <w:spacing w:line="360" w:lineRule="auto"/>
        <w:jc w:val="center"/>
        <w:rPr>
          <w:rFonts w:hint="eastAsia" w:ascii="宋体" w:hAnsi="宋体" w:cs="宋体"/>
          <w:b/>
          <w:spacing w:val="6"/>
          <w:sz w:val="32"/>
          <w:szCs w:val="32"/>
        </w:rPr>
      </w:pPr>
    </w:p>
    <w:p w14:paraId="15CABD50">
      <w:pPr>
        <w:spacing w:line="360" w:lineRule="auto"/>
        <w:jc w:val="center"/>
        <w:rPr>
          <w:rFonts w:hint="eastAsia" w:ascii="宋体" w:hAnsi="宋体" w:cs="宋体"/>
          <w:b/>
          <w:spacing w:val="6"/>
          <w:sz w:val="32"/>
          <w:szCs w:val="32"/>
        </w:rPr>
      </w:pPr>
    </w:p>
    <w:p w14:paraId="05F33367">
      <w:pPr>
        <w:spacing w:line="360" w:lineRule="auto"/>
        <w:jc w:val="center"/>
        <w:rPr>
          <w:rFonts w:hint="eastAsia" w:ascii="宋体" w:hAnsi="宋体" w:cs="宋体"/>
          <w:b/>
          <w:spacing w:val="6"/>
          <w:sz w:val="32"/>
          <w:szCs w:val="32"/>
        </w:rPr>
      </w:pPr>
    </w:p>
    <w:p w14:paraId="54B29D9A">
      <w:pPr>
        <w:spacing w:line="360" w:lineRule="auto"/>
        <w:jc w:val="center"/>
        <w:rPr>
          <w:rFonts w:hint="eastAsia" w:ascii="宋体" w:hAnsi="宋体" w:cs="宋体"/>
          <w:b/>
          <w:spacing w:val="6"/>
          <w:sz w:val="32"/>
          <w:szCs w:val="32"/>
        </w:rPr>
      </w:pPr>
    </w:p>
    <w:p w14:paraId="46A8AAE6">
      <w:pPr>
        <w:spacing w:line="360" w:lineRule="auto"/>
        <w:jc w:val="center"/>
        <w:rPr>
          <w:rFonts w:hint="eastAsia" w:ascii="宋体" w:hAnsi="宋体" w:cs="宋体"/>
          <w:b/>
          <w:spacing w:val="6"/>
          <w:sz w:val="32"/>
          <w:szCs w:val="32"/>
        </w:rPr>
      </w:pPr>
    </w:p>
    <w:p w14:paraId="48F41F19">
      <w:pPr>
        <w:spacing w:line="360" w:lineRule="auto"/>
        <w:jc w:val="center"/>
        <w:rPr>
          <w:rFonts w:hint="eastAsia" w:ascii="宋体" w:hAnsi="宋体" w:cs="宋体"/>
          <w:b/>
          <w:spacing w:val="6"/>
          <w:sz w:val="32"/>
          <w:szCs w:val="32"/>
        </w:rPr>
      </w:pPr>
    </w:p>
    <w:p w14:paraId="2DAB9572">
      <w:pPr>
        <w:spacing w:line="360" w:lineRule="auto"/>
        <w:jc w:val="center"/>
        <w:rPr>
          <w:rFonts w:hint="eastAsia" w:ascii="宋体" w:hAnsi="宋体" w:cs="宋体"/>
          <w:b/>
          <w:spacing w:val="6"/>
          <w:sz w:val="32"/>
          <w:szCs w:val="32"/>
        </w:rPr>
      </w:pPr>
    </w:p>
    <w:p w14:paraId="504F3D7A">
      <w:pPr>
        <w:spacing w:line="360" w:lineRule="auto"/>
        <w:jc w:val="left"/>
        <w:rPr>
          <w:rFonts w:hint="eastAsia" w:ascii="宋体" w:hAnsi="宋体" w:cs="宋体"/>
          <w:b/>
          <w:spacing w:val="6"/>
          <w:sz w:val="32"/>
          <w:szCs w:val="32"/>
        </w:rPr>
      </w:pPr>
    </w:p>
    <w:p w14:paraId="0C625B58">
      <w:pPr>
        <w:spacing w:line="360" w:lineRule="auto"/>
        <w:jc w:val="left"/>
        <w:rPr>
          <w:rFonts w:hint="eastAsia" w:ascii="宋体" w:hAnsi="宋体" w:cs="宋体"/>
          <w:b/>
          <w:spacing w:val="6"/>
          <w:sz w:val="32"/>
          <w:szCs w:val="32"/>
        </w:rPr>
      </w:pPr>
    </w:p>
    <w:p w14:paraId="086F894C">
      <w:pPr>
        <w:spacing w:line="360" w:lineRule="auto"/>
        <w:jc w:val="left"/>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1B657EE6">
      <w:pPr>
        <w:spacing w:line="360" w:lineRule="auto"/>
        <w:jc w:val="center"/>
        <w:rPr>
          <w:rFonts w:hint="eastAsia" w:ascii="宋体" w:hAnsi="宋体" w:cs="宋体"/>
          <w:b/>
          <w:sz w:val="24"/>
        </w:rPr>
      </w:pPr>
    </w:p>
    <w:p w14:paraId="5D0D454B">
      <w:pPr>
        <w:spacing w:line="360" w:lineRule="auto"/>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4424B426">
      <w:pPr>
        <w:spacing w:line="360" w:lineRule="auto"/>
        <w:rPr>
          <w:rFonts w:hint="eastAsia" w:ascii="宋体" w:hAnsi="宋体" w:cs="宋体"/>
          <w:sz w:val="24"/>
        </w:rPr>
      </w:pPr>
      <w:r>
        <w:rPr>
          <w:rFonts w:hint="eastAsia" w:ascii="宋体" w:hAnsi="宋体" w:cs="宋体"/>
          <w:sz w:val="24"/>
        </w:rPr>
        <w:t>一、投诉相关主体基本情况</w:t>
      </w:r>
    </w:p>
    <w:p w14:paraId="62F28687">
      <w:pPr>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45E7ACE">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EB30B54">
      <w:pPr>
        <w:tabs>
          <w:tab w:val="left" w:pos="6510"/>
        </w:tabs>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5E359887">
      <w:pPr>
        <w:tabs>
          <w:tab w:val="left" w:pos="6510"/>
        </w:tabs>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452A190">
      <w:pPr>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752229D">
      <w:pPr>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1DE815D">
      <w:pPr>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E5CEB9B">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843533D">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984B3B">
      <w:pPr>
        <w:spacing w:line="360" w:lineRule="auto"/>
        <w:rPr>
          <w:rFonts w:hint="eastAsia" w:ascii="宋体" w:hAnsi="宋体" w:cs="宋体"/>
          <w:sz w:val="24"/>
        </w:rPr>
      </w:pPr>
      <w:r>
        <w:rPr>
          <w:rFonts w:hint="eastAsia" w:ascii="宋体" w:hAnsi="宋体" w:cs="宋体"/>
          <w:sz w:val="24"/>
        </w:rPr>
        <w:t>被投诉人2</w:t>
      </w:r>
    </w:p>
    <w:p w14:paraId="5C3838B1">
      <w:pPr>
        <w:spacing w:line="360" w:lineRule="auto"/>
        <w:rPr>
          <w:rFonts w:hint="eastAsia" w:ascii="宋体" w:hAnsi="宋体" w:cs="宋体"/>
          <w:sz w:val="24"/>
          <w:u w:val="dotted"/>
        </w:rPr>
      </w:pPr>
      <w:r>
        <w:rPr>
          <w:rFonts w:hint="eastAsia" w:ascii="宋体" w:hAnsi="宋体" w:cs="宋体"/>
          <w:sz w:val="24"/>
        </w:rPr>
        <w:t>……</w:t>
      </w:r>
    </w:p>
    <w:p w14:paraId="52740590">
      <w:pPr>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463686D">
      <w:pPr>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FDFADBF">
      <w:pPr>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180EA8">
      <w:pPr>
        <w:spacing w:line="360" w:lineRule="auto"/>
        <w:rPr>
          <w:rFonts w:hint="eastAsia" w:ascii="宋体" w:hAnsi="宋体" w:cs="宋体"/>
          <w:sz w:val="24"/>
        </w:rPr>
      </w:pPr>
      <w:r>
        <w:rPr>
          <w:rFonts w:hint="eastAsia" w:ascii="宋体" w:hAnsi="宋体" w:cs="宋体"/>
          <w:sz w:val="24"/>
        </w:rPr>
        <w:t>二、投诉项目基本情况</w:t>
      </w:r>
    </w:p>
    <w:p w14:paraId="6B86796E">
      <w:pPr>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DA3DA31">
      <w:pPr>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7D7FE214">
      <w:pPr>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5C06BBD">
      <w:pPr>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3EE252C6">
      <w:pPr>
        <w:spacing w:line="360" w:lineRule="auto"/>
        <w:rPr>
          <w:rFonts w:hint="eastAsia" w:ascii="宋体" w:hAnsi="宋体" w:cs="宋体"/>
          <w:sz w:val="24"/>
          <w:u w:val="dotted"/>
        </w:rPr>
      </w:pPr>
      <w:r>
        <w:rPr>
          <w:rFonts w:hint="eastAsia" w:ascii="宋体" w:hAnsi="宋体" w:cs="宋体"/>
          <w:sz w:val="24"/>
        </w:rPr>
        <w:t>招标文件公告：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20A9C73">
      <w:pPr>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4E6F7007">
      <w:pPr>
        <w:spacing w:line="360" w:lineRule="auto"/>
        <w:rPr>
          <w:rFonts w:hint="eastAsia" w:ascii="宋体" w:hAnsi="宋体" w:cs="宋体"/>
          <w:sz w:val="24"/>
        </w:rPr>
      </w:pPr>
      <w:r>
        <w:rPr>
          <w:rFonts w:hint="eastAsia" w:ascii="宋体" w:hAnsi="宋体" w:cs="宋体"/>
          <w:sz w:val="24"/>
        </w:rPr>
        <w:t>三、质疑基本情况</w:t>
      </w:r>
    </w:p>
    <w:p w14:paraId="7D7C97D6">
      <w:pPr>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3984CC0">
      <w:pPr>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99DD08C">
      <w:pPr>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D08D411">
      <w:pPr>
        <w:spacing w:line="360" w:lineRule="auto"/>
        <w:rPr>
          <w:rFonts w:hint="eastAsia" w:ascii="宋体" w:hAnsi="宋体" w:cs="宋体"/>
          <w:sz w:val="24"/>
        </w:rPr>
      </w:pPr>
      <w:r>
        <w:rPr>
          <w:rFonts w:hint="eastAsia" w:ascii="宋体" w:hAnsi="宋体" w:cs="宋体"/>
          <w:sz w:val="24"/>
        </w:rPr>
        <w:t>四、投诉事项具体内容</w:t>
      </w:r>
    </w:p>
    <w:p w14:paraId="3FED21BC">
      <w:pPr>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342A7EB">
      <w:pPr>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1F5D4BEC">
      <w:pPr>
        <w:spacing w:line="360" w:lineRule="auto"/>
        <w:rPr>
          <w:rFonts w:hint="eastAsia" w:ascii="宋体" w:hAnsi="宋体" w:cs="宋体"/>
          <w:sz w:val="24"/>
          <w:u w:val="dotted"/>
        </w:rPr>
      </w:pPr>
      <w:r>
        <w:rPr>
          <w:rFonts w:hint="eastAsia" w:ascii="宋体" w:hAnsi="宋体" w:cs="宋体"/>
          <w:sz w:val="24"/>
          <w:u w:val="dotted"/>
        </w:rPr>
        <w:t xml:space="preserve">                                                      </w:t>
      </w:r>
    </w:p>
    <w:p w14:paraId="14EA6FA7">
      <w:pPr>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057BF928">
      <w:pPr>
        <w:spacing w:line="360" w:lineRule="auto"/>
        <w:rPr>
          <w:rFonts w:hint="eastAsia" w:ascii="宋体" w:hAnsi="宋体" w:cs="宋体"/>
          <w:sz w:val="24"/>
          <w:u w:val="dotted"/>
        </w:rPr>
      </w:pPr>
      <w:r>
        <w:rPr>
          <w:rFonts w:hint="eastAsia" w:ascii="宋体" w:hAnsi="宋体" w:cs="宋体"/>
          <w:sz w:val="24"/>
          <w:u w:val="dotted"/>
        </w:rPr>
        <w:t xml:space="preserve">                                                      </w:t>
      </w:r>
    </w:p>
    <w:p w14:paraId="50EED3DF">
      <w:pPr>
        <w:spacing w:line="360" w:lineRule="auto"/>
        <w:rPr>
          <w:rFonts w:hint="eastAsia" w:ascii="宋体" w:hAnsi="宋体" w:cs="宋体"/>
          <w:sz w:val="24"/>
        </w:rPr>
      </w:pPr>
      <w:r>
        <w:rPr>
          <w:rFonts w:hint="eastAsia" w:ascii="宋体" w:hAnsi="宋体" w:cs="宋体"/>
          <w:sz w:val="24"/>
        </w:rPr>
        <w:t>投诉事项2</w:t>
      </w:r>
    </w:p>
    <w:p w14:paraId="330F6467">
      <w:pPr>
        <w:spacing w:line="360" w:lineRule="auto"/>
        <w:rPr>
          <w:rFonts w:hint="eastAsia" w:ascii="宋体" w:hAnsi="宋体" w:cs="宋体"/>
          <w:sz w:val="24"/>
          <w:u w:val="dotted"/>
        </w:rPr>
      </w:pPr>
      <w:r>
        <w:rPr>
          <w:rFonts w:hint="eastAsia" w:ascii="宋体" w:hAnsi="宋体" w:cs="宋体"/>
          <w:sz w:val="24"/>
        </w:rPr>
        <w:t>……</w:t>
      </w:r>
    </w:p>
    <w:p w14:paraId="227195B9">
      <w:pPr>
        <w:spacing w:line="360" w:lineRule="auto"/>
        <w:rPr>
          <w:rFonts w:hint="eastAsia" w:ascii="宋体" w:hAnsi="宋体" w:cs="宋体"/>
          <w:sz w:val="24"/>
        </w:rPr>
      </w:pPr>
      <w:r>
        <w:rPr>
          <w:rFonts w:hint="eastAsia" w:ascii="宋体" w:hAnsi="宋体" w:cs="宋体"/>
          <w:sz w:val="24"/>
        </w:rPr>
        <w:t>五、与投诉事项相关的投诉请求</w:t>
      </w:r>
    </w:p>
    <w:p w14:paraId="6438E675">
      <w:pPr>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C0B3ECC">
      <w:pPr>
        <w:spacing w:line="360" w:lineRule="auto"/>
        <w:rPr>
          <w:rFonts w:hint="eastAsia" w:ascii="宋体" w:hAnsi="宋体" w:cs="宋体"/>
          <w:sz w:val="24"/>
          <w:u w:val="single"/>
        </w:rPr>
      </w:pPr>
      <w:r>
        <w:rPr>
          <w:rFonts w:hint="eastAsia" w:ascii="宋体" w:hAnsi="宋体" w:cs="宋体"/>
          <w:sz w:val="24"/>
        </w:rPr>
        <w:t xml:space="preserve">                                                                                                    </w:t>
      </w:r>
    </w:p>
    <w:p w14:paraId="35BBC721">
      <w:pPr>
        <w:spacing w:line="360" w:lineRule="auto"/>
        <w:rPr>
          <w:rFonts w:hint="eastAsia" w:ascii="宋体" w:hAnsi="宋体" w:cs="宋体"/>
          <w:sz w:val="24"/>
        </w:rPr>
      </w:pPr>
      <w:r>
        <w:rPr>
          <w:rFonts w:hint="eastAsia" w:ascii="宋体" w:hAnsi="宋体" w:cs="宋体"/>
          <w:sz w:val="24"/>
        </w:rPr>
        <w:t xml:space="preserve">签字（签章）：                   公章：                      </w:t>
      </w:r>
    </w:p>
    <w:p w14:paraId="6E0325BD">
      <w:pPr>
        <w:spacing w:line="360" w:lineRule="auto"/>
        <w:rPr>
          <w:rFonts w:hint="eastAsia" w:ascii="宋体" w:hAnsi="宋体" w:cs="宋体"/>
          <w:sz w:val="24"/>
        </w:rPr>
      </w:pPr>
      <w:r>
        <w:rPr>
          <w:rFonts w:hint="eastAsia" w:ascii="宋体" w:hAnsi="宋体" w:cs="宋体"/>
          <w:sz w:val="24"/>
        </w:rPr>
        <w:t xml:space="preserve">日期：    </w:t>
      </w:r>
    </w:p>
    <w:p w14:paraId="3D24EC1D">
      <w:pPr>
        <w:spacing w:line="360" w:lineRule="auto"/>
        <w:rPr>
          <w:rFonts w:hint="eastAsia" w:ascii="宋体" w:hAnsi="宋体" w:cs="宋体"/>
          <w:b/>
          <w:sz w:val="24"/>
        </w:rPr>
      </w:pPr>
    </w:p>
    <w:p w14:paraId="794FED43">
      <w:pPr>
        <w:spacing w:line="360" w:lineRule="auto"/>
        <w:rPr>
          <w:rFonts w:hint="eastAsia" w:ascii="宋体" w:hAnsi="宋体" w:cs="宋体"/>
          <w:b/>
          <w:sz w:val="24"/>
        </w:rPr>
      </w:pPr>
    </w:p>
    <w:p w14:paraId="1FF94F52">
      <w:pPr>
        <w:spacing w:line="360" w:lineRule="auto"/>
        <w:rPr>
          <w:rFonts w:hint="eastAsia" w:ascii="宋体" w:hAnsi="宋体" w:cs="宋体"/>
          <w:b/>
          <w:sz w:val="24"/>
        </w:rPr>
      </w:pPr>
      <w:r>
        <w:rPr>
          <w:rFonts w:hint="eastAsia" w:ascii="宋体" w:hAnsi="宋体" w:cs="宋体"/>
          <w:b/>
          <w:sz w:val="24"/>
        </w:rPr>
        <w:t>投诉书制作说明：</w:t>
      </w:r>
    </w:p>
    <w:p w14:paraId="57D820A2">
      <w:pPr>
        <w:widowControl/>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57381A6">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A5A3BB">
      <w:pPr>
        <w:widowControl/>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4C7F1390">
      <w:pPr>
        <w:widowControl/>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0A0E0F6F">
      <w:pPr>
        <w:widowControl/>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33E8FCA0">
      <w:pPr>
        <w:widowControl/>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754F615">
      <w:pPr>
        <w:widowControl/>
        <w:spacing w:line="360" w:lineRule="auto"/>
        <w:ind w:firstLine="480" w:firstLineChars="200"/>
        <w:jc w:val="left"/>
        <w:rPr>
          <w:rFonts w:hint="eastAsia"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17ACE0E">
      <w:pPr>
        <w:spacing w:line="360" w:lineRule="auto"/>
        <w:rPr>
          <w:rFonts w:hint="eastAsia" w:ascii="宋体" w:hAnsi="宋体" w:cs="宋体"/>
          <w:b/>
          <w:sz w:val="24"/>
        </w:rPr>
      </w:pPr>
    </w:p>
    <w:p w14:paraId="3B097FF0">
      <w:pPr>
        <w:autoSpaceDE w:val="0"/>
        <w:autoSpaceDN w:val="0"/>
        <w:jc w:val="center"/>
        <w:rPr>
          <w:rFonts w:hint="eastAsia" w:ascii="宋体" w:hAnsi="宋体" w:cs="宋体"/>
          <w:b/>
          <w:spacing w:val="6"/>
          <w:sz w:val="32"/>
          <w:szCs w:val="32"/>
        </w:rPr>
      </w:pPr>
    </w:p>
    <w:p w14:paraId="09536279">
      <w:pPr>
        <w:autoSpaceDE w:val="0"/>
        <w:autoSpaceDN w:val="0"/>
        <w:jc w:val="center"/>
        <w:rPr>
          <w:rFonts w:hint="eastAsia" w:ascii="宋体" w:hAnsi="宋体" w:cs="宋体"/>
          <w:b/>
          <w:spacing w:val="6"/>
          <w:sz w:val="32"/>
          <w:szCs w:val="32"/>
        </w:rPr>
      </w:pPr>
    </w:p>
    <w:p w14:paraId="1F6600E3">
      <w:pPr>
        <w:autoSpaceDE w:val="0"/>
        <w:autoSpaceDN w:val="0"/>
        <w:jc w:val="center"/>
        <w:rPr>
          <w:rFonts w:hint="eastAsia"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84CB9C2">
      <w:pPr>
        <w:spacing w:line="360" w:lineRule="auto"/>
        <w:rPr>
          <w:rFonts w:hint="eastAsia" w:ascii="宋体" w:hAnsi="宋体" w:cs="宋体"/>
          <w:sz w:val="24"/>
          <w:u w:val="single"/>
        </w:rPr>
      </w:pPr>
    </w:p>
    <w:p w14:paraId="2E205B18">
      <w:pPr>
        <w:spacing w:line="360" w:lineRule="auto"/>
        <w:rPr>
          <w:rFonts w:hint="eastAsia" w:ascii="宋体" w:hAnsi="宋体" w:cs="宋体"/>
          <w:sz w:val="24"/>
        </w:rPr>
      </w:pPr>
      <w:r>
        <w:rPr>
          <w:rFonts w:hint="eastAsia" w:ascii="宋体" w:hAnsi="宋体" w:cs="宋体"/>
          <w:sz w:val="24"/>
          <w:u w:val="single"/>
        </w:rPr>
        <w:t>（采购人）、（采购代理机构）：</w:t>
      </w:r>
    </w:p>
    <w:p w14:paraId="4E1D4726">
      <w:pPr>
        <w:spacing w:line="360" w:lineRule="auto"/>
        <w:ind w:firstLine="480" w:firstLineChars="200"/>
        <w:rPr>
          <w:rFonts w:hint="eastAsia"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F3E5008">
      <w:pPr>
        <w:spacing w:line="360" w:lineRule="auto"/>
        <w:ind w:firstLine="480" w:firstLineChars="200"/>
        <w:rPr>
          <w:rFonts w:hint="eastAsia" w:ascii="宋体" w:hAnsi="宋体" w:cs="宋体"/>
          <w:sz w:val="24"/>
        </w:rPr>
      </w:pPr>
      <w:r>
        <w:rPr>
          <w:rFonts w:hint="eastAsia" w:ascii="宋体" w:hAnsi="宋体" w:cs="宋体"/>
          <w:sz w:val="24"/>
        </w:rPr>
        <w:t>特此说明。</w:t>
      </w:r>
    </w:p>
    <w:p w14:paraId="737AAD2A">
      <w:pPr>
        <w:spacing w:line="360" w:lineRule="auto"/>
        <w:ind w:firstLine="494"/>
        <w:rPr>
          <w:rFonts w:hint="eastAsia" w:ascii="宋体" w:hAnsi="宋体" w:cs="宋体"/>
          <w:sz w:val="24"/>
        </w:rPr>
      </w:pPr>
    </w:p>
    <w:p w14:paraId="18BE1B98">
      <w:pPr>
        <w:spacing w:line="360" w:lineRule="auto"/>
        <w:ind w:firstLine="494"/>
        <w:rPr>
          <w:rFonts w:hint="eastAsia" w:ascii="宋体" w:hAnsi="宋体" w:cs="宋体"/>
          <w:sz w:val="24"/>
        </w:rPr>
      </w:pPr>
    </w:p>
    <w:p w14:paraId="085D209A">
      <w:pPr>
        <w:spacing w:line="360" w:lineRule="auto"/>
        <w:ind w:firstLine="494"/>
        <w:rPr>
          <w:rFonts w:hint="eastAsia" w:ascii="宋体" w:hAnsi="宋体" w:cs="宋体"/>
          <w:sz w:val="24"/>
        </w:rPr>
      </w:pPr>
    </w:p>
    <w:p w14:paraId="7A39D5B4">
      <w:pPr>
        <w:spacing w:line="360" w:lineRule="auto"/>
        <w:ind w:right="480" w:firstLine="4080" w:firstLineChars="1700"/>
        <w:rPr>
          <w:rFonts w:hint="eastAsia" w:ascii="宋体" w:hAnsi="宋体" w:cs="宋体"/>
          <w:sz w:val="24"/>
        </w:rPr>
      </w:pPr>
      <w:r>
        <w:rPr>
          <w:rFonts w:hint="eastAsia" w:ascii="宋体" w:hAnsi="宋体" w:cs="宋体"/>
          <w:sz w:val="24"/>
        </w:rPr>
        <w:t>投标单位（法定名称章）：</w:t>
      </w:r>
    </w:p>
    <w:p w14:paraId="19BFBE17">
      <w:pPr>
        <w:ind w:right="1440" w:firstLine="494"/>
        <w:jc w:val="center"/>
        <w:rPr>
          <w:rFonts w:hint="eastAsia" w:ascii="宋体" w:hAnsi="宋体" w:cs="宋体"/>
          <w:sz w:val="24"/>
        </w:rPr>
      </w:pPr>
      <w:r>
        <w:rPr>
          <w:rFonts w:hint="eastAsia" w:ascii="宋体" w:hAnsi="宋体" w:cs="宋体"/>
          <w:sz w:val="24"/>
        </w:rPr>
        <w:t xml:space="preserve">                              日期：       年     月     日</w:t>
      </w:r>
    </w:p>
    <w:p w14:paraId="6E27BF6F">
      <w:pPr>
        <w:rPr>
          <w:rFonts w:hint="eastAsia" w:ascii="宋体" w:hAnsi="宋体" w:cs="宋体"/>
          <w:sz w:val="24"/>
        </w:rPr>
      </w:pPr>
      <w:r>
        <w:rPr>
          <w:rFonts w:hint="eastAsia" w:ascii="宋体" w:hAnsi="宋体" w:cs="宋体"/>
          <w:b/>
          <w:bCs/>
          <w:sz w:val="24"/>
        </w:rPr>
        <w:t>附：</w:t>
      </w:r>
    </w:p>
    <w:p w14:paraId="5265694C">
      <w:pPr>
        <w:spacing w:line="360" w:lineRule="auto"/>
        <w:rPr>
          <w:rFonts w:hint="eastAsia"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4D6DE5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4D6DE55">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83C6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583C60D">
                      <w:pPr>
                        <w:jc w:val="center"/>
                      </w:pPr>
                    </w:p>
                  </w:txbxContent>
                </v:textbox>
              </v:rect>
            </w:pict>
          </mc:Fallback>
        </mc:AlternateContent>
      </w:r>
      <w:r>
        <w:rPr>
          <w:rFonts w:hint="eastAsia" w:ascii="宋体" w:hAnsi="宋体" w:cs="宋体"/>
          <w:sz w:val="24"/>
        </w:rPr>
        <w:t>投标单位法定名称章（印模）                投标单位“XX专用章”（印模）</w:t>
      </w:r>
    </w:p>
    <w:p w14:paraId="719C1B77">
      <w:pPr>
        <w:autoSpaceDE w:val="0"/>
        <w:autoSpaceDN w:val="0"/>
        <w:jc w:val="center"/>
        <w:rPr>
          <w:rFonts w:hint="eastAsia" w:ascii="宋体" w:hAnsi="宋体" w:cs="宋体"/>
          <w:b/>
          <w:spacing w:val="6"/>
          <w:sz w:val="32"/>
          <w:szCs w:val="32"/>
        </w:rPr>
      </w:pPr>
    </w:p>
    <w:p w14:paraId="3D8CA383">
      <w:pPr>
        <w:autoSpaceDE w:val="0"/>
        <w:autoSpaceDN w:val="0"/>
        <w:jc w:val="center"/>
        <w:rPr>
          <w:rFonts w:hint="eastAsia" w:ascii="宋体" w:hAnsi="宋体" w:cs="宋体"/>
          <w:b/>
          <w:spacing w:val="6"/>
          <w:sz w:val="32"/>
          <w:szCs w:val="32"/>
        </w:rPr>
      </w:pPr>
    </w:p>
    <w:p w14:paraId="1888C472">
      <w:pPr>
        <w:autoSpaceDE w:val="0"/>
        <w:autoSpaceDN w:val="0"/>
        <w:jc w:val="center"/>
        <w:rPr>
          <w:rFonts w:hint="eastAsia" w:ascii="宋体" w:hAnsi="宋体" w:cs="宋体"/>
          <w:b/>
          <w:spacing w:val="6"/>
          <w:sz w:val="32"/>
          <w:szCs w:val="32"/>
        </w:rPr>
      </w:pPr>
    </w:p>
    <w:p w14:paraId="690FFE70">
      <w:pPr>
        <w:autoSpaceDE w:val="0"/>
        <w:autoSpaceDN w:val="0"/>
        <w:jc w:val="center"/>
        <w:rPr>
          <w:rFonts w:hint="eastAsia" w:ascii="宋体" w:hAnsi="宋体" w:cs="宋体"/>
          <w:b/>
          <w:spacing w:val="6"/>
          <w:sz w:val="32"/>
          <w:szCs w:val="32"/>
        </w:rPr>
      </w:pPr>
    </w:p>
    <w:p w14:paraId="3C943377">
      <w:pPr>
        <w:autoSpaceDE w:val="0"/>
        <w:autoSpaceDN w:val="0"/>
        <w:jc w:val="center"/>
        <w:rPr>
          <w:rFonts w:hint="eastAsia" w:ascii="宋体" w:hAnsi="宋体" w:cs="宋体"/>
          <w:b/>
          <w:spacing w:val="6"/>
          <w:sz w:val="32"/>
          <w:szCs w:val="32"/>
        </w:rPr>
      </w:pPr>
    </w:p>
    <w:p w14:paraId="0A75FB72">
      <w:pPr>
        <w:autoSpaceDE w:val="0"/>
        <w:autoSpaceDN w:val="0"/>
        <w:jc w:val="center"/>
        <w:rPr>
          <w:rFonts w:hint="eastAsia" w:ascii="宋体" w:hAnsi="宋体" w:cs="宋体"/>
          <w:b/>
          <w:spacing w:val="6"/>
          <w:sz w:val="32"/>
          <w:szCs w:val="32"/>
        </w:rPr>
      </w:pPr>
    </w:p>
    <w:p w14:paraId="53B1C15A">
      <w:pPr>
        <w:autoSpaceDE w:val="0"/>
        <w:autoSpaceDN w:val="0"/>
        <w:jc w:val="center"/>
        <w:rPr>
          <w:rFonts w:hint="eastAsia" w:ascii="宋体" w:hAnsi="宋体" w:cs="宋体"/>
          <w:b/>
          <w:spacing w:val="6"/>
          <w:sz w:val="32"/>
          <w:szCs w:val="32"/>
        </w:rPr>
      </w:pPr>
    </w:p>
    <w:p w14:paraId="2CC82C21">
      <w:pPr>
        <w:autoSpaceDE w:val="0"/>
        <w:autoSpaceDN w:val="0"/>
        <w:jc w:val="center"/>
        <w:rPr>
          <w:rFonts w:hint="eastAsia" w:ascii="宋体" w:hAnsi="宋体" w:cs="宋体"/>
          <w:b/>
          <w:spacing w:val="6"/>
          <w:sz w:val="32"/>
          <w:szCs w:val="32"/>
        </w:rPr>
      </w:pPr>
    </w:p>
    <w:p w14:paraId="572959BE">
      <w:pPr>
        <w:autoSpaceDE w:val="0"/>
        <w:autoSpaceDN w:val="0"/>
        <w:jc w:val="center"/>
        <w:rPr>
          <w:rFonts w:hint="eastAsia" w:ascii="宋体" w:hAnsi="宋体" w:cs="宋体"/>
          <w:b/>
          <w:spacing w:val="6"/>
          <w:sz w:val="32"/>
          <w:szCs w:val="32"/>
        </w:rPr>
      </w:pPr>
    </w:p>
    <w:p w14:paraId="0F663FB0">
      <w:pPr>
        <w:autoSpaceDE w:val="0"/>
        <w:autoSpaceDN w:val="0"/>
        <w:jc w:val="center"/>
        <w:rPr>
          <w:rFonts w:hint="eastAsia" w:ascii="宋体" w:hAnsi="宋体" w:cs="宋体"/>
          <w:b/>
          <w:spacing w:val="6"/>
          <w:sz w:val="32"/>
          <w:szCs w:val="32"/>
        </w:rPr>
      </w:pPr>
    </w:p>
    <w:p w14:paraId="5112307F">
      <w:pPr>
        <w:autoSpaceDE w:val="0"/>
        <w:autoSpaceDN w:val="0"/>
        <w:jc w:val="center"/>
        <w:rPr>
          <w:rFonts w:hint="eastAsia" w:ascii="宋体" w:hAnsi="宋体" w:cs="宋体"/>
          <w:b/>
          <w:spacing w:val="6"/>
          <w:sz w:val="32"/>
          <w:szCs w:val="32"/>
        </w:rPr>
      </w:pPr>
    </w:p>
    <w:p w14:paraId="1F242B96">
      <w:pPr>
        <w:autoSpaceDE w:val="0"/>
        <w:autoSpaceDN w:val="0"/>
        <w:jc w:val="center"/>
        <w:rPr>
          <w:rFonts w:hint="eastAsia" w:ascii="宋体" w:hAnsi="宋体" w:cs="宋体"/>
          <w:b/>
          <w:spacing w:val="6"/>
          <w:sz w:val="32"/>
          <w:szCs w:val="32"/>
        </w:rPr>
      </w:pPr>
    </w:p>
    <w:p w14:paraId="335048BC">
      <w:pPr>
        <w:autoSpaceDE w:val="0"/>
        <w:autoSpaceDN w:val="0"/>
        <w:jc w:val="center"/>
        <w:rPr>
          <w:rFonts w:hint="eastAsia" w:ascii="宋体" w:hAnsi="宋体" w:cs="宋体"/>
          <w:b/>
          <w:spacing w:val="6"/>
          <w:sz w:val="32"/>
          <w:szCs w:val="32"/>
        </w:rPr>
      </w:pPr>
    </w:p>
    <w:p w14:paraId="405723D4">
      <w:pPr>
        <w:autoSpaceDE w:val="0"/>
        <w:autoSpaceDN w:val="0"/>
        <w:jc w:val="center"/>
        <w:rPr>
          <w:rFonts w:hint="eastAsia" w:ascii="宋体" w:hAnsi="宋体" w:cs="宋体"/>
          <w:b/>
          <w:spacing w:val="6"/>
          <w:sz w:val="32"/>
          <w:szCs w:val="32"/>
        </w:rPr>
      </w:pPr>
    </w:p>
    <w:p w14:paraId="29D07AA0">
      <w:pPr>
        <w:autoSpaceDE w:val="0"/>
        <w:autoSpaceDN w:val="0"/>
        <w:jc w:val="center"/>
        <w:rPr>
          <w:rFonts w:hint="eastAsia" w:ascii="宋体" w:hAnsi="宋体" w:cs="宋体"/>
          <w:b/>
          <w:spacing w:val="6"/>
          <w:sz w:val="32"/>
          <w:szCs w:val="32"/>
        </w:rPr>
      </w:pPr>
    </w:p>
    <w:p w14:paraId="51C1EDD2">
      <w:pPr>
        <w:autoSpaceDE w:val="0"/>
        <w:autoSpaceDN w:val="0"/>
        <w:jc w:val="center"/>
        <w:rPr>
          <w:rFonts w:hint="eastAsia" w:ascii="宋体" w:hAnsi="宋体" w:cs="宋体"/>
          <w:b/>
          <w:spacing w:val="6"/>
          <w:sz w:val="32"/>
          <w:szCs w:val="32"/>
        </w:rPr>
      </w:pPr>
    </w:p>
    <w:p w14:paraId="0927E39C">
      <w:pPr>
        <w:snapToGrid w:val="0"/>
        <w:spacing w:line="360" w:lineRule="auto"/>
        <w:jc w:val="center"/>
        <w:rPr>
          <w:rFonts w:hint="eastAsia" w:ascii="宋体" w:hAnsi="宋体" w:cs="宋体"/>
          <w:b/>
          <w:kern w:val="0"/>
          <w:sz w:val="32"/>
          <w:szCs w:val="32"/>
        </w:rPr>
      </w:pPr>
    </w:p>
    <w:p w14:paraId="550D56F3">
      <w:pPr>
        <w:snapToGrid w:val="0"/>
        <w:spacing w:line="360"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3E4FE90A">
      <w:pPr>
        <w:widowControl/>
        <w:spacing w:line="288" w:lineRule="auto"/>
        <w:ind w:firstLine="482" w:firstLineChars="200"/>
        <w:jc w:val="left"/>
        <w:rPr>
          <w:rFonts w:hint="eastAsia" w:ascii="宋体" w:hAnsi="宋体" w:cs="宋体"/>
          <w:b/>
          <w:sz w:val="24"/>
        </w:rPr>
      </w:pPr>
      <w:r>
        <w:rPr>
          <w:rFonts w:hint="eastAsia" w:ascii="宋体" w:hAnsi="宋体" w:cs="宋体"/>
          <w:b/>
          <w:sz w:val="24"/>
        </w:rPr>
        <w:t>（以联合体形式投标的，提供联合协议；本项目不接受联合体投标或者供应商不以联合体形式投标的，则不需要提供）</w:t>
      </w:r>
    </w:p>
    <w:p w14:paraId="4925319D">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E7C7E10">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5D08F1E3">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791A85F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三、本次联合投标中，分工如下：</w:t>
      </w:r>
    </w:p>
    <w:p w14:paraId="113B9D52">
      <w:pPr>
        <w:snapToGrid w:val="0"/>
        <w:spacing w:line="288" w:lineRule="auto"/>
        <w:ind w:firstLine="576"/>
        <w:rPr>
          <w:rFonts w:hint="eastAsia" w:ascii="宋体" w:hAnsi="宋体" w:cs="宋体"/>
          <w:kern w:val="0"/>
          <w:sz w:val="24"/>
          <w:lang w:val="zh-CN"/>
        </w:rPr>
      </w:pPr>
      <w:bookmarkStart w:id="564"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2EA8D098">
      <w:pPr>
        <w:snapToGrid w:val="0"/>
        <w:spacing w:line="288" w:lineRule="auto"/>
        <w:ind w:firstLine="576"/>
        <w:rPr>
          <w:rFonts w:hint="eastAsia"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5DE927CA">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w:t>
      </w:r>
    </w:p>
    <w:bookmarkEnd w:id="564"/>
    <w:p w14:paraId="742B93DE">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四、联合体成员中小企业合同份额。</w:t>
      </w:r>
    </w:p>
    <w:p w14:paraId="4B18279E">
      <w:pPr>
        <w:snapToGrid w:val="0"/>
        <w:spacing w:line="288" w:lineRule="auto"/>
        <w:ind w:firstLine="576"/>
        <w:rPr>
          <w:rFonts w:hint="eastAsia"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2CB24DB8">
      <w:pPr>
        <w:snapToGrid w:val="0"/>
        <w:spacing w:line="288" w:lineRule="auto"/>
        <w:ind w:firstLine="576"/>
        <w:rPr>
          <w:rFonts w:hint="eastAsia"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589AD28D">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7ACE8C2">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六、有关本次联合投标的其他事宜：</w:t>
      </w:r>
    </w:p>
    <w:p w14:paraId="0E1D9277">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0325326F">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1ED7B384">
      <w:pPr>
        <w:snapToGrid w:val="0"/>
        <w:spacing w:line="288" w:lineRule="auto"/>
        <w:ind w:firstLine="576"/>
        <w:rPr>
          <w:rFonts w:hint="eastAsia"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0FEFF68">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67FC3A16">
      <w:pPr>
        <w:snapToGrid w:val="0"/>
        <w:spacing w:line="288" w:lineRule="auto"/>
        <w:ind w:firstLine="5040" w:firstLineChars="2100"/>
        <w:rPr>
          <w:rFonts w:hint="eastAsia" w:ascii="宋体" w:hAnsi="宋体" w:cs="宋体"/>
          <w:kern w:val="0"/>
          <w:sz w:val="24"/>
          <w:lang w:val="zh-CN"/>
        </w:rPr>
      </w:pPr>
      <w:r>
        <w:rPr>
          <w:rFonts w:hint="eastAsia" w:ascii="宋体" w:hAnsi="宋体" w:cs="宋体"/>
          <w:kern w:val="0"/>
          <w:sz w:val="24"/>
          <w:lang w:val="zh-CN"/>
        </w:rPr>
        <w:t>联合体成员名称（电子签名/公章）：</w:t>
      </w:r>
    </w:p>
    <w:p w14:paraId="2F343C9A">
      <w:pPr>
        <w:snapToGrid w:val="0"/>
        <w:spacing w:line="288" w:lineRule="auto"/>
        <w:ind w:right="960"/>
        <w:jc w:val="center"/>
        <w:rPr>
          <w:rFonts w:hint="eastAsia" w:ascii="宋体" w:hAnsi="宋体" w:cs="宋体"/>
          <w:kern w:val="0"/>
          <w:sz w:val="24"/>
          <w:lang w:val="zh-CN"/>
        </w:rPr>
      </w:pPr>
      <w:r>
        <w:rPr>
          <w:rFonts w:hint="eastAsia" w:ascii="宋体" w:hAnsi="宋体" w:cs="宋体"/>
          <w:kern w:val="0"/>
          <w:sz w:val="24"/>
          <w:lang w:val="zh-CN"/>
        </w:rPr>
        <w:t xml:space="preserve">                   ……</w:t>
      </w:r>
    </w:p>
    <w:p w14:paraId="38B76D64">
      <w:pPr>
        <w:snapToGrid w:val="0"/>
        <w:spacing w:line="288" w:lineRule="auto"/>
        <w:jc w:val="right"/>
        <w:rPr>
          <w:rFonts w:hint="eastAsia" w:ascii="宋体" w:hAnsi="宋体" w:cs="宋体"/>
          <w:kern w:val="0"/>
          <w:sz w:val="24"/>
          <w:lang w:val="zh-CN"/>
        </w:rPr>
      </w:pPr>
      <w:r>
        <w:rPr>
          <w:rFonts w:hint="eastAsia" w:ascii="宋体" w:hAnsi="宋体" w:cs="宋体"/>
          <w:kern w:val="0"/>
          <w:sz w:val="24"/>
          <w:lang w:val="zh-CN"/>
        </w:rPr>
        <w:t>日期：  年  月   日</w:t>
      </w:r>
    </w:p>
    <w:p w14:paraId="73C2C75F">
      <w:pPr>
        <w:snapToGrid w:val="0"/>
        <w:spacing w:line="360" w:lineRule="auto"/>
        <w:rPr>
          <w:rFonts w:hint="eastAsia" w:ascii="宋体" w:hAnsi="宋体" w:cs="宋体"/>
          <w:sz w:val="24"/>
        </w:rPr>
      </w:pPr>
      <w:r>
        <w:rPr>
          <w:rFonts w:hint="eastAsia" w:ascii="宋体" w:hAnsi="宋体" w:cs="宋体"/>
          <w:sz w:val="24"/>
        </w:rPr>
        <w:t>注：按本格式和要求提供。</w:t>
      </w:r>
    </w:p>
    <w:p w14:paraId="50D2A960">
      <w:pPr>
        <w:rPr>
          <w:rFonts w:hint="eastAsia" w:ascii="宋体" w:hAnsi="宋体" w:cs="宋体"/>
          <w:sz w:val="24"/>
        </w:rPr>
      </w:pPr>
      <w:r>
        <w:rPr>
          <w:rFonts w:hint="eastAsia" w:ascii="宋体" w:hAnsi="宋体" w:cs="宋体"/>
          <w:sz w:val="24"/>
        </w:rPr>
        <w:br w:type="page"/>
      </w:r>
    </w:p>
    <w:p w14:paraId="1B4F761E">
      <w:pPr>
        <w:snapToGrid w:val="0"/>
        <w:spacing w:line="312" w:lineRule="auto"/>
        <w:jc w:val="center"/>
        <w:rPr>
          <w:rFonts w:hint="eastAsia"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3B69F988">
      <w:pPr>
        <w:widowControl/>
        <w:spacing w:line="312" w:lineRule="auto"/>
        <w:ind w:firstLine="120" w:firstLineChars="50"/>
        <w:jc w:val="left"/>
        <w:rPr>
          <w:rFonts w:hint="eastAsia"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中标后以分包方式履行合同的，提供分包意向协议；采购人不同意分包或者供应商中标后不以分包方式履行合同的，则不需要提供。</w:t>
      </w:r>
      <w:r>
        <w:rPr>
          <w:rFonts w:hint="eastAsia" w:ascii="宋体" w:hAnsi="宋体" w:cs="宋体"/>
          <w:sz w:val="24"/>
        </w:rPr>
        <w:t>）</w:t>
      </w:r>
    </w:p>
    <w:p w14:paraId="0499D2D1">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1860E3C">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一、分包标的及数量</w:t>
      </w:r>
    </w:p>
    <w:p w14:paraId="7776BF60">
      <w:pPr>
        <w:snapToGrid w:val="0"/>
        <w:spacing w:line="312" w:lineRule="auto"/>
        <w:ind w:firstLine="576"/>
        <w:rPr>
          <w:rFonts w:hint="eastAsia"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39A8E590">
      <w:pPr>
        <w:tabs>
          <w:tab w:val="left" w:pos="432"/>
        </w:tabs>
        <w:spacing w:line="312" w:lineRule="auto"/>
        <w:ind w:left="664" w:leftChars="316" w:firstLine="228" w:firstLineChars="95"/>
        <w:rPr>
          <w:rFonts w:hint="eastAsia" w:ascii="宋体" w:hAnsi="宋体" w:cs="宋体"/>
          <w:kern w:val="0"/>
          <w:sz w:val="24"/>
        </w:rPr>
      </w:pPr>
      <w:r>
        <w:rPr>
          <w:rFonts w:hint="eastAsia" w:ascii="宋体" w:hAnsi="宋体" w:cs="宋体"/>
          <w:kern w:val="0"/>
          <w:sz w:val="24"/>
        </w:rPr>
        <w:t>……</w:t>
      </w:r>
    </w:p>
    <w:p w14:paraId="28038178">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二、分包供应商中小企业合同份额</w:t>
      </w:r>
    </w:p>
    <w:p w14:paraId="01284B1A">
      <w:pPr>
        <w:snapToGrid w:val="0"/>
        <w:spacing w:line="312" w:lineRule="auto"/>
        <w:ind w:firstLine="576"/>
        <w:rPr>
          <w:rFonts w:hint="eastAsia"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2F9EDB">
      <w:pPr>
        <w:spacing w:line="312" w:lineRule="auto"/>
        <w:ind w:firstLine="480" w:firstLineChars="200"/>
        <w:rPr>
          <w:rFonts w:hint="eastAsia" w:ascii="宋体" w:hAnsi="宋体" w:cs="宋体"/>
          <w:b/>
          <w:bCs/>
          <w:kern w:val="0"/>
          <w:sz w:val="24"/>
          <w:lang w:val="zh-CN"/>
        </w:rPr>
      </w:pPr>
      <w:r>
        <w:rPr>
          <w:rFonts w:hint="eastAsia" w:ascii="宋体" w:hAnsi="宋体" w:cs="宋体"/>
          <w:sz w:val="24"/>
        </w:rPr>
        <w:t>2、</w:t>
      </w:r>
      <w:bookmarkStart w:id="56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565"/>
    </w:p>
    <w:p w14:paraId="716DFE8F">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三、分包工作履行期限、地点、方式</w:t>
      </w:r>
    </w:p>
    <w:p w14:paraId="79FCF1E1">
      <w:pPr>
        <w:snapToGrid w:val="0"/>
        <w:spacing w:line="312" w:lineRule="auto"/>
        <w:ind w:firstLine="576"/>
        <w:rPr>
          <w:rFonts w:hint="eastAsia" w:ascii="宋体" w:hAnsi="宋体" w:cs="宋体"/>
          <w:u w:val="single"/>
        </w:rPr>
      </w:pPr>
      <w:r>
        <w:rPr>
          <w:rFonts w:hint="eastAsia" w:ascii="宋体" w:hAnsi="宋体" w:cs="宋体"/>
          <w:u w:val="single"/>
        </w:rPr>
        <w:t xml:space="preserve">                                                                                  </w:t>
      </w:r>
    </w:p>
    <w:p w14:paraId="6D5E1178">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四、质量</w:t>
      </w:r>
    </w:p>
    <w:p w14:paraId="3FEAED50">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787D7EF8">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五、价款或者报酬</w:t>
      </w:r>
    </w:p>
    <w:p w14:paraId="3F18C56D">
      <w:pPr>
        <w:snapToGrid w:val="0"/>
        <w:spacing w:line="312" w:lineRule="auto"/>
        <w:ind w:left="573" w:leftChars="273"/>
        <w:rPr>
          <w:rFonts w:hint="eastAsia" w:ascii="宋体" w:hAnsi="宋体" w:cs="宋体"/>
          <w:kern w:val="0"/>
          <w:sz w:val="24"/>
          <w:lang w:val="zh-CN"/>
        </w:rPr>
      </w:pPr>
      <w:r>
        <w:rPr>
          <w:rFonts w:hint="eastAsia" w:ascii="宋体" w:hAnsi="宋体" w:cs="宋体"/>
          <w:u w:val="single"/>
        </w:rPr>
        <w:t xml:space="preserve">                                                                                     </w:t>
      </w:r>
    </w:p>
    <w:p w14:paraId="7A256DBA">
      <w:pPr>
        <w:snapToGrid w:val="0"/>
        <w:spacing w:line="312" w:lineRule="auto"/>
        <w:ind w:left="573" w:leftChars="273"/>
        <w:rPr>
          <w:rFonts w:hint="eastAsia" w:ascii="宋体" w:hAnsi="宋体" w:cs="宋体"/>
          <w:kern w:val="0"/>
          <w:sz w:val="24"/>
          <w:lang w:val="zh-CN"/>
        </w:rPr>
      </w:pPr>
      <w:r>
        <w:rPr>
          <w:rFonts w:hint="eastAsia" w:ascii="宋体" w:hAnsi="宋体" w:cs="宋体"/>
          <w:kern w:val="0"/>
          <w:sz w:val="24"/>
          <w:lang w:val="zh-CN"/>
        </w:rPr>
        <w:t>六、违约责任</w:t>
      </w:r>
    </w:p>
    <w:p w14:paraId="1474D781">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0E4B3A15">
      <w:pPr>
        <w:snapToGrid w:val="0"/>
        <w:spacing w:line="312" w:lineRule="auto"/>
        <w:ind w:firstLine="576"/>
        <w:rPr>
          <w:rFonts w:hint="eastAsia" w:ascii="宋体" w:hAnsi="宋体" w:cs="宋体"/>
          <w:kern w:val="0"/>
          <w:sz w:val="24"/>
          <w:lang w:val="zh-CN"/>
        </w:rPr>
      </w:pPr>
      <w:r>
        <w:rPr>
          <w:rFonts w:hint="eastAsia" w:ascii="宋体" w:hAnsi="宋体" w:cs="宋体"/>
          <w:kern w:val="0"/>
          <w:sz w:val="24"/>
          <w:lang w:val="zh-CN"/>
        </w:rPr>
        <w:t>七、争议解决的办法</w:t>
      </w:r>
    </w:p>
    <w:p w14:paraId="6A9ACEBB">
      <w:pPr>
        <w:snapToGrid w:val="0"/>
        <w:spacing w:line="312" w:lineRule="auto"/>
        <w:ind w:firstLine="576"/>
        <w:rPr>
          <w:rFonts w:hint="eastAsia" w:ascii="宋体" w:hAnsi="宋体" w:cs="宋体"/>
          <w:kern w:val="0"/>
          <w:sz w:val="24"/>
          <w:lang w:val="zh-CN"/>
        </w:rPr>
      </w:pPr>
      <w:r>
        <w:rPr>
          <w:rFonts w:hint="eastAsia" w:ascii="宋体" w:hAnsi="宋体" w:cs="宋体"/>
          <w:u w:val="single"/>
        </w:rPr>
        <w:t xml:space="preserve">                                                                                  </w:t>
      </w:r>
    </w:p>
    <w:p w14:paraId="3B234ADB">
      <w:pPr>
        <w:snapToGrid w:val="0"/>
        <w:spacing w:line="312" w:lineRule="auto"/>
        <w:ind w:left="5758" w:leftChars="342" w:hanging="5040" w:hangingChars="2100"/>
        <w:rPr>
          <w:rFonts w:hint="eastAsia" w:ascii="宋体" w:hAnsi="宋体" w:cs="宋体"/>
          <w:kern w:val="0"/>
          <w:sz w:val="24"/>
          <w:lang w:val="zh-CN"/>
        </w:rPr>
      </w:pPr>
      <w:r>
        <w:rPr>
          <w:rFonts w:hint="eastAsia" w:ascii="宋体" w:hAnsi="宋体" w:cs="宋体"/>
          <w:kern w:val="0"/>
          <w:sz w:val="24"/>
          <w:lang w:val="zh-CN"/>
        </w:rPr>
        <w:t xml:space="preserve">                                          供应商名称（电子签名）：</w:t>
      </w:r>
    </w:p>
    <w:p w14:paraId="7A9FCAA9">
      <w:pPr>
        <w:snapToGrid w:val="0"/>
        <w:spacing w:line="312" w:lineRule="auto"/>
        <w:jc w:val="right"/>
        <w:rPr>
          <w:rFonts w:hint="eastAsia" w:ascii="宋体" w:hAnsi="宋体" w:cs="宋体"/>
          <w:kern w:val="0"/>
          <w:sz w:val="24"/>
          <w:lang w:val="zh-CN"/>
        </w:rPr>
      </w:pPr>
      <w:r>
        <w:rPr>
          <w:rFonts w:hint="eastAsia" w:ascii="宋体" w:hAnsi="宋体" w:cs="宋体"/>
          <w:kern w:val="0"/>
          <w:sz w:val="24"/>
          <w:lang w:val="zh-CN"/>
        </w:rPr>
        <w:t>分包供应商名称（电子签名/公章）：</w:t>
      </w:r>
    </w:p>
    <w:p w14:paraId="539FF133">
      <w:pPr>
        <w:snapToGrid w:val="0"/>
        <w:spacing w:line="312" w:lineRule="auto"/>
        <w:ind w:firstLine="5760" w:firstLineChars="2400"/>
        <w:rPr>
          <w:rFonts w:hint="eastAsia" w:ascii="宋体" w:hAnsi="宋体" w:cs="宋体"/>
        </w:rPr>
      </w:pPr>
      <w:r>
        <w:rPr>
          <w:rFonts w:hint="eastAsia" w:ascii="宋体" w:hAnsi="宋体" w:cs="宋体"/>
          <w:kern w:val="0"/>
          <w:sz w:val="24"/>
          <w:lang w:val="zh-CN"/>
        </w:rPr>
        <w:t>……</w:t>
      </w:r>
    </w:p>
    <w:p w14:paraId="1EA8DA43">
      <w:pPr>
        <w:spacing w:line="312" w:lineRule="auto"/>
        <w:jc w:val="center"/>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50999A0A">
      <w:pPr>
        <w:widowControl/>
        <w:adjustRightInd/>
        <w:jc w:val="left"/>
        <w:rPr>
          <w:rFonts w:hint="eastAsia" w:ascii="宋体" w:hAnsi="宋体" w:cs="宋体"/>
          <w:sz w:val="24"/>
        </w:rPr>
      </w:pPr>
      <w:r>
        <w:rPr>
          <w:rFonts w:hint="eastAsia" w:ascii="宋体" w:hAnsi="宋体" w:cs="宋体"/>
          <w:sz w:val="24"/>
        </w:rPr>
        <w:t>注：按本格式和要求提供。</w:t>
      </w:r>
    </w:p>
    <w:p w14:paraId="7E0DB47F">
      <w:pPr>
        <w:widowControl/>
        <w:adjustRightInd/>
        <w:jc w:val="left"/>
        <w:rPr>
          <w:rFonts w:hint="eastAsia" w:ascii="宋体" w:hAnsi="宋体" w:cs="宋体"/>
          <w:b/>
          <w:kern w:val="0"/>
          <w:sz w:val="32"/>
          <w:szCs w:val="32"/>
        </w:rPr>
      </w:pPr>
      <w:r>
        <w:rPr>
          <w:rFonts w:ascii="宋体" w:hAnsi="宋体" w:cs="宋体"/>
          <w:b/>
          <w:kern w:val="0"/>
          <w:sz w:val="32"/>
          <w:szCs w:val="32"/>
        </w:rPr>
        <w:br w:type="page"/>
      </w:r>
    </w:p>
    <w:p w14:paraId="29AE07E4">
      <w:pPr>
        <w:snapToGrid w:val="0"/>
        <w:spacing w:line="312" w:lineRule="auto"/>
        <w:rPr>
          <w:rFonts w:hint="eastAsia" w:ascii="宋体" w:hAnsi="宋体" w:cs="宋体"/>
          <w:b/>
          <w:kern w:val="0"/>
          <w:sz w:val="32"/>
          <w:szCs w:val="32"/>
        </w:rPr>
      </w:pPr>
      <w:r>
        <w:rPr>
          <w:rFonts w:hint="eastAsia" w:ascii="宋体" w:hAnsi="宋体" w:cs="宋体"/>
          <w:b/>
          <w:kern w:val="0"/>
          <w:sz w:val="32"/>
          <w:szCs w:val="32"/>
        </w:rPr>
        <w:t>附件7：中小企业声明函</w:t>
      </w:r>
    </w:p>
    <w:p w14:paraId="5BE072B2">
      <w:pPr>
        <w:spacing w:line="288" w:lineRule="auto"/>
        <w:jc w:val="center"/>
        <w:rPr>
          <w:rFonts w:hint="eastAsia" w:ascii="宋体" w:hAnsi="宋体" w:cs="宋体"/>
          <w:b/>
          <w:sz w:val="32"/>
          <w:szCs w:val="32"/>
        </w:rPr>
      </w:pPr>
      <w:r>
        <w:rPr>
          <w:rFonts w:hint="eastAsia" w:ascii="宋体" w:hAnsi="宋体" w:cs="宋体"/>
          <w:b/>
          <w:sz w:val="32"/>
          <w:szCs w:val="32"/>
        </w:rPr>
        <w:t>中小企业声明函（货物）</w:t>
      </w:r>
    </w:p>
    <w:p w14:paraId="53A8574E">
      <w:pPr>
        <w:spacing w:line="288" w:lineRule="auto"/>
        <w:ind w:firstLine="480" w:firstLineChars="200"/>
        <w:rPr>
          <w:rFonts w:hint="eastAsia"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 xml:space="preserve">的 </w:t>
      </w:r>
      <w:r>
        <w:rPr>
          <w:rFonts w:hint="eastAsia" w:ascii="宋体" w:hAnsi="宋体" w:cs="宋体"/>
          <w:sz w:val="24"/>
          <w:u w:val="single"/>
        </w:rPr>
        <w:t>（项目名称）</w:t>
      </w:r>
      <w:r>
        <w:rPr>
          <w:rFonts w:hint="eastAsia" w:ascii="宋体" w:hAnsi="宋体" w:cs="宋体"/>
          <w:sz w:val="24"/>
        </w:rPr>
        <w:t xml:space="preserve"> 采购活动，提供的货物全部由符合政策要求的中小企业制造。相关企业（含联合体中的中小企业、签订分包意向协议的中小企业）的具体情况如下：</w:t>
      </w:r>
    </w:p>
    <w:p w14:paraId="09B9D46D">
      <w:pPr>
        <w:spacing w:line="288"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（宁海县教育局下属学校一职高等网络改造）</w:t>
      </w:r>
      <w:r>
        <w:rPr>
          <w:rFonts w:hint="eastAsia" w:ascii="宋体" w:hAnsi="宋体" w:cs="宋体"/>
          <w:sz w:val="24"/>
        </w:rPr>
        <w:t xml:space="preserve"> ，属于 </w:t>
      </w:r>
      <w:r>
        <w:rPr>
          <w:rFonts w:hint="eastAsia" w:ascii="宋体" w:hAnsi="宋体" w:cs="宋体"/>
          <w:sz w:val="24"/>
          <w:u w:val="single"/>
        </w:rPr>
        <w:t>（工业）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r>
        <w:rPr>
          <w:rFonts w:hint="eastAsia" w:ascii="宋体" w:hAnsi="宋体" w:cs="宋体"/>
          <w:sz w:val="24"/>
        </w:rPr>
        <w:br w:type="textWrapping"/>
      </w:r>
      <w:r>
        <w:rPr>
          <w:rFonts w:hint="eastAsia" w:ascii="宋体" w:hAnsi="宋体" w:cs="宋体"/>
          <w:sz w:val="24"/>
        </w:rPr>
        <w:t xml:space="preserve">    ……</w:t>
      </w:r>
    </w:p>
    <w:p w14:paraId="5BA59E1F">
      <w:pPr>
        <w:spacing w:line="288" w:lineRule="auto"/>
        <w:ind w:firstLine="480" w:firstLineChars="200"/>
        <w:rPr>
          <w:rFonts w:hint="eastAsia"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32B60AE">
      <w:pPr>
        <w:spacing w:line="288" w:lineRule="auto"/>
        <w:ind w:firstLine="480" w:firstLineChars="200"/>
        <w:rPr>
          <w:rFonts w:hint="eastAsia" w:ascii="宋体" w:hAnsi="宋体" w:cs="宋体"/>
          <w:sz w:val="24"/>
        </w:rPr>
      </w:pPr>
      <w:r>
        <w:rPr>
          <w:rFonts w:hint="eastAsia" w:ascii="宋体" w:hAnsi="宋体" w:cs="宋体"/>
          <w:sz w:val="24"/>
        </w:rPr>
        <w:t>本企业对上述声明内容的真实性负责。如有虚假，将依法承担相应责任。</w:t>
      </w:r>
    </w:p>
    <w:p w14:paraId="2B77B281">
      <w:pPr>
        <w:snapToGrid w:val="0"/>
        <w:spacing w:line="288" w:lineRule="auto"/>
        <w:ind w:firstLine="5160" w:firstLineChars="2150"/>
        <w:rPr>
          <w:rFonts w:hint="eastAsia" w:ascii="宋体" w:hAnsi="宋体" w:cs="宋体"/>
          <w:kern w:val="0"/>
          <w:sz w:val="24"/>
        </w:rPr>
      </w:pPr>
      <w:r>
        <w:rPr>
          <w:rFonts w:hint="eastAsia" w:ascii="宋体" w:hAnsi="宋体" w:cs="宋体"/>
          <w:kern w:val="0"/>
          <w:sz w:val="24"/>
          <w:lang w:val="zh-CN"/>
        </w:rPr>
        <w:t>供应商名称（电子签名）：</w:t>
      </w:r>
    </w:p>
    <w:p w14:paraId="4FAE3D14">
      <w:pPr>
        <w:snapToGrid w:val="0"/>
        <w:spacing w:line="288" w:lineRule="auto"/>
        <w:rPr>
          <w:rFonts w:hint="eastAsia"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CF25D62">
      <w:pPr>
        <w:spacing w:line="288" w:lineRule="auto"/>
        <w:ind w:firstLine="480" w:firstLineChars="200"/>
        <w:rPr>
          <w:rFonts w:hint="eastAsia" w:ascii="宋体" w:hAnsi="宋体" w:cs="宋体"/>
          <w:sz w:val="24"/>
        </w:rPr>
      </w:pPr>
      <w:r>
        <w:rPr>
          <w:rFonts w:hint="eastAsia" w:ascii="宋体" w:hAnsi="宋体" w:cs="宋体"/>
          <w:sz w:val="24"/>
        </w:rPr>
        <w:t>从业人员、营业收入、资产总额填报上一年度数据，无上一年度数据的新成立企业可不填报。</w:t>
      </w:r>
    </w:p>
    <w:p w14:paraId="56FF812C">
      <w:pPr>
        <w:spacing w:line="288" w:lineRule="auto"/>
        <w:ind w:right="420" w:firstLine="480" w:firstLineChars="200"/>
        <w:rPr>
          <w:rFonts w:hint="eastAsia" w:ascii="宋体" w:hAnsi="宋体" w:cs="宋体"/>
          <w:sz w:val="24"/>
        </w:rPr>
      </w:pPr>
      <w:r>
        <w:rPr>
          <w:rFonts w:hint="eastAsia" w:ascii="宋体" w:hAnsi="宋体" w:cs="宋体"/>
          <w:sz w:val="24"/>
        </w:rPr>
        <w:t>注：</w:t>
      </w:r>
    </w:p>
    <w:p w14:paraId="7526A900">
      <w:pPr>
        <w:spacing w:line="288" w:lineRule="auto"/>
        <w:ind w:right="420" w:firstLine="480" w:firstLineChars="200"/>
        <w:rPr>
          <w:rFonts w:hint="eastAsia" w:ascii="宋体" w:hAnsi="宋体" w:cs="宋体"/>
          <w:sz w:val="24"/>
        </w:rPr>
      </w:pPr>
      <w:r>
        <w:rPr>
          <w:rFonts w:hint="eastAsia" w:ascii="宋体" w:hAnsi="宋体" w:cs="宋体"/>
          <w:sz w:val="24"/>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A7F6532">
      <w:pPr>
        <w:spacing w:line="288" w:lineRule="auto"/>
        <w:ind w:right="420" w:firstLine="480" w:firstLineChars="200"/>
        <w:rPr>
          <w:rFonts w:hint="eastAsia"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B812524">
      <w:pPr>
        <w:spacing w:line="288" w:lineRule="auto"/>
        <w:ind w:right="420" w:firstLine="480" w:firstLineChars="200"/>
        <w:rPr>
          <w:rFonts w:hint="eastAsia" w:ascii="宋体" w:hAnsi="宋体" w:cs="宋体"/>
          <w:bCs/>
          <w:sz w:val="24"/>
        </w:rPr>
      </w:pPr>
      <w:r>
        <w:rPr>
          <w:rFonts w:hint="eastAsia" w:ascii="宋体" w:hAnsi="宋体" w:cs="宋体"/>
          <w:sz w:val="24"/>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00000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59C">
    <w:pPr>
      <w:pStyle w:val="39"/>
      <w:framePr w:wrap="around" w:vAnchor="text" w:hAnchor="margin" w:xAlign="right" w:y="1"/>
      <w:rPr>
        <w:rStyle w:val="73"/>
      </w:rPr>
    </w:pPr>
    <w:r>
      <w:fldChar w:fldCharType="begin"/>
    </w:r>
    <w:r>
      <w:rPr>
        <w:rStyle w:val="73"/>
      </w:rPr>
      <w:instrText xml:space="preserve">PAGE  </w:instrText>
    </w:r>
    <w:r>
      <w:fldChar w:fldCharType="end"/>
    </w:r>
  </w:p>
  <w:p w14:paraId="1A03B54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F88">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B3F">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FB77B3F">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6FEE">
    <w:pPr>
      <w:pStyle w:val="39"/>
      <w:framePr w:wrap="around" w:vAnchor="text" w:hAnchor="margin" w:xAlign="right" w:y="1"/>
      <w:rPr>
        <w:rStyle w:val="73"/>
      </w:rPr>
    </w:pPr>
    <w:r>
      <w:fldChar w:fldCharType="begin"/>
    </w:r>
    <w:r>
      <w:rPr>
        <w:rStyle w:val="73"/>
      </w:rPr>
      <w:instrText xml:space="preserve">PAGE  </w:instrText>
    </w:r>
    <w:r>
      <w:fldChar w:fldCharType="end"/>
    </w:r>
  </w:p>
  <w:p w14:paraId="7547334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862A">
    <w:pPr>
      <w:pStyle w:val="3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63668">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9663668">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F0B">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FF29">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2DFF29">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056">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47D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0F47D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7F8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5DC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AE5DC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44A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58671">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F58671">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29E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2B60">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EB2B60">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3AAC">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177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DA177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42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F14C">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3AF14C">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511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109D">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AF109D">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C8B6">
    <w:pPr>
      <w:pStyle w:val="40"/>
      <w:pBdr>
        <w:bottom w:val="single" w:color="auto" w:sz="6" w:space="4"/>
      </w:pBdr>
      <w:jc w:val="right"/>
    </w:pPr>
    <w:r>
      <w:t></w:t>
    </w:r>
    <w:r>
      <w:rPr>
        <w:rFonts w:hint="eastAsia"/>
      </w:rPr>
      <w:t xml:space="preserve">           </w:t>
    </w:r>
  </w:p>
  <w:p w14:paraId="5EA792E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C02">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F6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A5">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E3E7">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BD2">
    <w:pPr>
      <w:pStyle w:val="40"/>
      <w:rPr>
        <w:rFonts w:ascii="仿宋_GB2312" w:eastAsia="仿宋_GB2312"/>
        <w:b/>
        <w:i/>
        <w:u w:val="single"/>
      </w:rPr>
    </w:pPr>
    <w:r>
      <w:t></w:t>
    </w:r>
    <w:r>
      <w:rPr>
        <w:rFonts w:hint="eastAsia"/>
      </w:rPr>
      <w:t xml:space="preserve">                                                </w:t>
    </w:r>
    <w:r>
      <w:t xml:space="preserve"> </w:t>
    </w:r>
  </w:p>
  <w:p w14:paraId="4F619E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1F6">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0398">
    <w:pPr>
      <w:pStyle w:val="40"/>
      <w:jc w:val="right"/>
      <w:rPr>
        <w:rFonts w:ascii="仿宋_GB2312" w:eastAsia="仿宋_GB2312"/>
        <w:b/>
        <w:i/>
        <w:u w:val="single"/>
      </w:rPr>
    </w:pPr>
  </w:p>
  <w:p w14:paraId="698479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0B4">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EB4">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5B406"/>
    <w:multiLevelType w:val="singleLevel"/>
    <w:tmpl w:val="4595B406"/>
    <w:lvl w:ilvl="0" w:tentative="0">
      <w:start w:val="1"/>
      <w:numFmt w:val="decimal"/>
      <w:suff w:val="nothing"/>
      <w:lvlText w:val="%1、"/>
      <w:lvlJc w:val="left"/>
    </w:lvl>
  </w:abstractNum>
  <w:abstractNum w:abstractNumId="1">
    <w:nsid w:val="5C3647FD"/>
    <w:multiLevelType w:val="singleLevel"/>
    <w:tmpl w:val="5C3647FD"/>
    <w:lvl w:ilvl="0" w:tentative="0">
      <w:start w:val="1"/>
      <w:numFmt w:val="decimal"/>
      <w:suff w:val="nothing"/>
      <w:lvlText w:val="（%1）"/>
      <w:lvlJc w:val="left"/>
    </w:lvl>
  </w:abstractNum>
  <w:abstractNum w:abstractNumId="2">
    <w:nsid w:val="635AB2D5"/>
    <w:multiLevelType w:val="singleLevel"/>
    <w:tmpl w:val="635AB2D5"/>
    <w:lvl w:ilvl="0" w:tentative="0">
      <w:start w:val="2"/>
      <w:numFmt w:val="chineseCounting"/>
      <w:suff w:val="nothing"/>
      <w:lvlText w:val="%1、"/>
      <w:lvlJc w:val="left"/>
      <w:rPr>
        <w:rFonts w:hint="eastAsia"/>
      </w:rPr>
    </w:lvl>
  </w:abstractNum>
  <w:abstractNum w:abstractNumId="3">
    <w:nsid w:val="6A90DB4D"/>
    <w:multiLevelType w:val="singleLevel"/>
    <w:tmpl w:val="6A90DB4D"/>
    <w:lvl w:ilvl="0" w:tentative="0">
      <w:start w:val="4"/>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5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782"/>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CA4"/>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4C7F"/>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F36323"/>
    <w:rsid w:val="02F5619C"/>
    <w:rsid w:val="02FC45A7"/>
    <w:rsid w:val="0326446A"/>
    <w:rsid w:val="032D5555"/>
    <w:rsid w:val="036634D2"/>
    <w:rsid w:val="03DD35E4"/>
    <w:rsid w:val="04076900"/>
    <w:rsid w:val="041A5A3B"/>
    <w:rsid w:val="042311BA"/>
    <w:rsid w:val="042B157A"/>
    <w:rsid w:val="048605CC"/>
    <w:rsid w:val="048F763B"/>
    <w:rsid w:val="04956A61"/>
    <w:rsid w:val="049F330E"/>
    <w:rsid w:val="04AA775C"/>
    <w:rsid w:val="04AF1889"/>
    <w:rsid w:val="04BC33D8"/>
    <w:rsid w:val="04F66F48"/>
    <w:rsid w:val="05251E14"/>
    <w:rsid w:val="0542404E"/>
    <w:rsid w:val="058B39C0"/>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8061376"/>
    <w:rsid w:val="080A0D72"/>
    <w:rsid w:val="081927FC"/>
    <w:rsid w:val="08452D77"/>
    <w:rsid w:val="086401F8"/>
    <w:rsid w:val="08751CAA"/>
    <w:rsid w:val="0878647D"/>
    <w:rsid w:val="087B3CF2"/>
    <w:rsid w:val="087E4C40"/>
    <w:rsid w:val="088C1544"/>
    <w:rsid w:val="08A871D0"/>
    <w:rsid w:val="08D66AD6"/>
    <w:rsid w:val="08DA33A3"/>
    <w:rsid w:val="08E80F13"/>
    <w:rsid w:val="091048DD"/>
    <w:rsid w:val="09335624"/>
    <w:rsid w:val="0944690F"/>
    <w:rsid w:val="09535675"/>
    <w:rsid w:val="095F057D"/>
    <w:rsid w:val="09642282"/>
    <w:rsid w:val="09673F90"/>
    <w:rsid w:val="09733572"/>
    <w:rsid w:val="09772C16"/>
    <w:rsid w:val="098353B5"/>
    <w:rsid w:val="098F7F12"/>
    <w:rsid w:val="099861CA"/>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BC19AB"/>
    <w:rsid w:val="0CC007F7"/>
    <w:rsid w:val="0CC617AC"/>
    <w:rsid w:val="0CE618DF"/>
    <w:rsid w:val="0CFE707A"/>
    <w:rsid w:val="0D063BDA"/>
    <w:rsid w:val="0D08375F"/>
    <w:rsid w:val="0D184CFB"/>
    <w:rsid w:val="0D2546FA"/>
    <w:rsid w:val="0D4A7419"/>
    <w:rsid w:val="0D5F5E5E"/>
    <w:rsid w:val="0D67257C"/>
    <w:rsid w:val="0D787B4E"/>
    <w:rsid w:val="0D827401"/>
    <w:rsid w:val="0D84094E"/>
    <w:rsid w:val="0D8A00E9"/>
    <w:rsid w:val="0D8D589E"/>
    <w:rsid w:val="0D920070"/>
    <w:rsid w:val="0DA01C73"/>
    <w:rsid w:val="0DD63300"/>
    <w:rsid w:val="0DDC55E4"/>
    <w:rsid w:val="0DF50604"/>
    <w:rsid w:val="0DF702FE"/>
    <w:rsid w:val="0E060E51"/>
    <w:rsid w:val="0E1409F6"/>
    <w:rsid w:val="0E5604B2"/>
    <w:rsid w:val="0E6D5D79"/>
    <w:rsid w:val="0E9A03FC"/>
    <w:rsid w:val="0E9D0089"/>
    <w:rsid w:val="0EB4779A"/>
    <w:rsid w:val="0EB803EE"/>
    <w:rsid w:val="0ECC7523"/>
    <w:rsid w:val="0ED55496"/>
    <w:rsid w:val="0EF94D4B"/>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F1D40"/>
    <w:rsid w:val="111451B1"/>
    <w:rsid w:val="11266F33"/>
    <w:rsid w:val="11362358"/>
    <w:rsid w:val="114F5196"/>
    <w:rsid w:val="118963A1"/>
    <w:rsid w:val="119D5A3B"/>
    <w:rsid w:val="11C6522A"/>
    <w:rsid w:val="11D015CA"/>
    <w:rsid w:val="11D067E4"/>
    <w:rsid w:val="11E104CC"/>
    <w:rsid w:val="11E20309"/>
    <w:rsid w:val="11FA43A7"/>
    <w:rsid w:val="1201785C"/>
    <w:rsid w:val="120A6276"/>
    <w:rsid w:val="120E4F54"/>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BF3CE4"/>
    <w:rsid w:val="13CA16CE"/>
    <w:rsid w:val="141008D8"/>
    <w:rsid w:val="14125FE6"/>
    <w:rsid w:val="142E20E6"/>
    <w:rsid w:val="146D271E"/>
    <w:rsid w:val="147B31CB"/>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9031B"/>
    <w:rsid w:val="15D157AE"/>
    <w:rsid w:val="15F80BFE"/>
    <w:rsid w:val="162163A6"/>
    <w:rsid w:val="16384EDA"/>
    <w:rsid w:val="16A8729C"/>
    <w:rsid w:val="16B33777"/>
    <w:rsid w:val="16BC70A7"/>
    <w:rsid w:val="16C6339E"/>
    <w:rsid w:val="16E34270"/>
    <w:rsid w:val="17200358"/>
    <w:rsid w:val="172F2D79"/>
    <w:rsid w:val="17557BEF"/>
    <w:rsid w:val="175B488E"/>
    <w:rsid w:val="17BB323B"/>
    <w:rsid w:val="17D349C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F06CFB"/>
    <w:rsid w:val="1AF11B8D"/>
    <w:rsid w:val="1B11359C"/>
    <w:rsid w:val="1B2A271F"/>
    <w:rsid w:val="1B530544"/>
    <w:rsid w:val="1B713184"/>
    <w:rsid w:val="1BA209CF"/>
    <w:rsid w:val="1BAA6C8C"/>
    <w:rsid w:val="1BB4777D"/>
    <w:rsid w:val="1BD75AB8"/>
    <w:rsid w:val="1C0459C2"/>
    <w:rsid w:val="1C1B3B4A"/>
    <w:rsid w:val="1C88086E"/>
    <w:rsid w:val="1C9A47BD"/>
    <w:rsid w:val="1CC1038E"/>
    <w:rsid w:val="1D012130"/>
    <w:rsid w:val="1D1E62D0"/>
    <w:rsid w:val="1D266CE1"/>
    <w:rsid w:val="1D3963AF"/>
    <w:rsid w:val="1D6A673C"/>
    <w:rsid w:val="1D9247AE"/>
    <w:rsid w:val="1DAC5E21"/>
    <w:rsid w:val="1DB567EC"/>
    <w:rsid w:val="1DD27F86"/>
    <w:rsid w:val="1DF339D8"/>
    <w:rsid w:val="1DF51A98"/>
    <w:rsid w:val="1E051CD9"/>
    <w:rsid w:val="1E3D060F"/>
    <w:rsid w:val="1E3F7D2E"/>
    <w:rsid w:val="1E4134E4"/>
    <w:rsid w:val="1E5062B3"/>
    <w:rsid w:val="1E523514"/>
    <w:rsid w:val="1E714A66"/>
    <w:rsid w:val="1E802593"/>
    <w:rsid w:val="1E8B6156"/>
    <w:rsid w:val="1E9537AE"/>
    <w:rsid w:val="1EA703CC"/>
    <w:rsid w:val="1EB631C5"/>
    <w:rsid w:val="1EB7330C"/>
    <w:rsid w:val="1F0A0FF3"/>
    <w:rsid w:val="1F47684D"/>
    <w:rsid w:val="1F5771FF"/>
    <w:rsid w:val="1FD52574"/>
    <w:rsid w:val="1FE868A9"/>
    <w:rsid w:val="20034907"/>
    <w:rsid w:val="20173E4B"/>
    <w:rsid w:val="204213F3"/>
    <w:rsid w:val="204E48BC"/>
    <w:rsid w:val="208921B3"/>
    <w:rsid w:val="20973DEB"/>
    <w:rsid w:val="20B26522"/>
    <w:rsid w:val="20B44310"/>
    <w:rsid w:val="21035A46"/>
    <w:rsid w:val="211116EB"/>
    <w:rsid w:val="21354AB4"/>
    <w:rsid w:val="216133FC"/>
    <w:rsid w:val="21786F46"/>
    <w:rsid w:val="219D6918"/>
    <w:rsid w:val="21D56769"/>
    <w:rsid w:val="21E52EF3"/>
    <w:rsid w:val="21F42677"/>
    <w:rsid w:val="21FB5D7B"/>
    <w:rsid w:val="22015E94"/>
    <w:rsid w:val="220B1C3D"/>
    <w:rsid w:val="221D1D20"/>
    <w:rsid w:val="222D7E81"/>
    <w:rsid w:val="22334A87"/>
    <w:rsid w:val="223F4A8D"/>
    <w:rsid w:val="22B365D8"/>
    <w:rsid w:val="22BE6801"/>
    <w:rsid w:val="233500BF"/>
    <w:rsid w:val="23377FF7"/>
    <w:rsid w:val="235002CB"/>
    <w:rsid w:val="236B425F"/>
    <w:rsid w:val="23836192"/>
    <w:rsid w:val="23901F29"/>
    <w:rsid w:val="239C0061"/>
    <w:rsid w:val="23B908A4"/>
    <w:rsid w:val="23E95BEF"/>
    <w:rsid w:val="23FD0064"/>
    <w:rsid w:val="244514B2"/>
    <w:rsid w:val="245375B0"/>
    <w:rsid w:val="245B6DB7"/>
    <w:rsid w:val="24642C0A"/>
    <w:rsid w:val="2466767A"/>
    <w:rsid w:val="24B22173"/>
    <w:rsid w:val="24B95AD9"/>
    <w:rsid w:val="24BE24DA"/>
    <w:rsid w:val="24CF5825"/>
    <w:rsid w:val="24D171E9"/>
    <w:rsid w:val="24D663E6"/>
    <w:rsid w:val="24D757B6"/>
    <w:rsid w:val="24D77F2B"/>
    <w:rsid w:val="24DA6E2F"/>
    <w:rsid w:val="24EC4023"/>
    <w:rsid w:val="251D2E07"/>
    <w:rsid w:val="258B00E2"/>
    <w:rsid w:val="25A4045A"/>
    <w:rsid w:val="25A917A6"/>
    <w:rsid w:val="25BE27CC"/>
    <w:rsid w:val="25CD79B1"/>
    <w:rsid w:val="25F74A5C"/>
    <w:rsid w:val="2600779A"/>
    <w:rsid w:val="26233510"/>
    <w:rsid w:val="2628662C"/>
    <w:rsid w:val="262D45DE"/>
    <w:rsid w:val="26607875"/>
    <w:rsid w:val="267D594A"/>
    <w:rsid w:val="26871DC8"/>
    <w:rsid w:val="26A53EF9"/>
    <w:rsid w:val="26A94201"/>
    <w:rsid w:val="26AC274F"/>
    <w:rsid w:val="26B80C9A"/>
    <w:rsid w:val="26D22DA5"/>
    <w:rsid w:val="26DB434F"/>
    <w:rsid w:val="26FB0042"/>
    <w:rsid w:val="27044A29"/>
    <w:rsid w:val="271B34F6"/>
    <w:rsid w:val="271D34C8"/>
    <w:rsid w:val="276142BF"/>
    <w:rsid w:val="27783712"/>
    <w:rsid w:val="278E13C2"/>
    <w:rsid w:val="27907362"/>
    <w:rsid w:val="279F537D"/>
    <w:rsid w:val="27B0758A"/>
    <w:rsid w:val="28333E1D"/>
    <w:rsid w:val="283B3793"/>
    <w:rsid w:val="28454BD6"/>
    <w:rsid w:val="28455253"/>
    <w:rsid w:val="28551971"/>
    <w:rsid w:val="285B1C53"/>
    <w:rsid w:val="289F7086"/>
    <w:rsid w:val="28C32028"/>
    <w:rsid w:val="28C55834"/>
    <w:rsid w:val="28CC490F"/>
    <w:rsid w:val="28DE40AA"/>
    <w:rsid w:val="29345E77"/>
    <w:rsid w:val="294C65AD"/>
    <w:rsid w:val="295B52D4"/>
    <w:rsid w:val="2965010A"/>
    <w:rsid w:val="29713AED"/>
    <w:rsid w:val="29806583"/>
    <w:rsid w:val="298B3C4C"/>
    <w:rsid w:val="298F27C5"/>
    <w:rsid w:val="29930F11"/>
    <w:rsid w:val="299A1A87"/>
    <w:rsid w:val="29AC483C"/>
    <w:rsid w:val="29E452C9"/>
    <w:rsid w:val="29F26D24"/>
    <w:rsid w:val="2A15033F"/>
    <w:rsid w:val="2A1662C1"/>
    <w:rsid w:val="2A1C7367"/>
    <w:rsid w:val="2A2815FA"/>
    <w:rsid w:val="2A6D6092"/>
    <w:rsid w:val="2A7D76B4"/>
    <w:rsid w:val="2B07396C"/>
    <w:rsid w:val="2B09293F"/>
    <w:rsid w:val="2B326787"/>
    <w:rsid w:val="2B437463"/>
    <w:rsid w:val="2B7807EE"/>
    <w:rsid w:val="2B7B1C0B"/>
    <w:rsid w:val="2BA50BF7"/>
    <w:rsid w:val="2BAB6961"/>
    <w:rsid w:val="2BBF00EC"/>
    <w:rsid w:val="2BC37CFD"/>
    <w:rsid w:val="2BD5237F"/>
    <w:rsid w:val="2BD70597"/>
    <w:rsid w:val="2BE536CE"/>
    <w:rsid w:val="2BE758D9"/>
    <w:rsid w:val="2BE90CC2"/>
    <w:rsid w:val="2BF346BB"/>
    <w:rsid w:val="2BFA11C0"/>
    <w:rsid w:val="2C043A01"/>
    <w:rsid w:val="2C09049E"/>
    <w:rsid w:val="2C0A653C"/>
    <w:rsid w:val="2C191F85"/>
    <w:rsid w:val="2C202DF2"/>
    <w:rsid w:val="2C751549"/>
    <w:rsid w:val="2C86601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D15014"/>
    <w:rsid w:val="2DDD45F4"/>
    <w:rsid w:val="2DEC04BA"/>
    <w:rsid w:val="2DF72DE4"/>
    <w:rsid w:val="2E0220AF"/>
    <w:rsid w:val="2E262354"/>
    <w:rsid w:val="2E4B082A"/>
    <w:rsid w:val="2E5D4E86"/>
    <w:rsid w:val="2E5D790B"/>
    <w:rsid w:val="2E9A3C18"/>
    <w:rsid w:val="2EBB0FEE"/>
    <w:rsid w:val="2EC63002"/>
    <w:rsid w:val="2EE55AE5"/>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9C6071"/>
    <w:rsid w:val="31A92390"/>
    <w:rsid w:val="31AC537E"/>
    <w:rsid w:val="31AE2A82"/>
    <w:rsid w:val="31D519F4"/>
    <w:rsid w:val="31E3679B"/>
    <w:rsid w:val="31E732FD"/>
    <w:rsid w:val="32517576"/>
    <w:rsid w:val="32BE5C2C"/>
    <w:rsid w:val="32D03654"/>
    <w:rsid w:val="32E71A40"/>
    <w:rsid w:val="32FB6478"/>
    <w:rsid w:val="33263B3F"/>
    <w:rsid w:val="336963EB"/>
    <w:rsid w:val="337C3B78"/>
    <w:rsid w:val="33816EEB"/>
    <w:rsid w:val="33A930DF"/>
    <w:rsid w:val="33EB55CD"/>
    <w:rsid w:val="33EC4C02"/>
    <w:rsid w:val="340D2360"/>
    <w:rsid w:val="3410665D"/>
    <w:rsid w:val="34211214"/>
    <w:rsid w:val="34297BBD"/>
    <w:rsid w:val="342E63AB"/>
    <w:rsid w:val="34321327"/>
    <w:rsid w:val="34945B3E"/>
    <w:rsid w:val="34950E68"/>
    <w:rsid w:val="34986E94"/>
    <w:rsid w:val="34AF62C9"/>
    <w:rsid w:val="34C71A6F"/>
    <w:rsid w:val="34CB4388"/>
    <w:rsid w:val="34F67558"/>
    <w:rsid w:val="34FA6E12"/>
    <w:rsid w:val="35045912"/>
    <w:rsid w:val="354D7158"/>
    <w:rsid w:val="357B2720"/>
    <w:rsid w:val="35803E13"/>
    <w:rsid w:val="358D5588"/>
    <w:rsid w:val="359009FB"/>
    <w:rsid w:val="363A3B40"/>
    <w:rsid w:val="363B0967"/>
    <w:rsid w:val="36413AA3"/>
    <w:rsid w:val="3643455C"/>
    <w:rsid w:val="365302AE"/>
    <w:rsid w:val="36607A0A"/>
    <w:rsid w:val="366E227C"/>
    <w:rsid w:val="366F2E0D"/>
    <w:rsid w:val="367B6A5C"/>
    <w:rsid w:val="36A74ADA"/>
    <w:rsid w:val="36AD60D5"/>
    <w:rsid w:val="36B224F9"/>
    <w:rsid w:val="36EC0CC9"/>
    <w:rsid w:val="36FB5E78"/>
    <w:rsid w:val="373F410B"/>
    <w:rsid w:val="378665E9"/>
    <w:rsid w:val="37AD7642"/>
    <w:rsid w:val="37EE7094"/>
    <w:rsid w:val="38296C89"/>
    <w:rsid w:val="382F62A9"/>
    <w:rsid w:val="383002EB"/>
    <w:rsid w:val="384855BD"/>
    <w:rsid w:val="38586797"/>
    <w:rsid w:val="385D15DF"/>
    <w:rsid w:val="386D241A"/>
    <w:rsid w:val="38BC0149"/>
    <w:rsid w:val="38D87D1C"/>
    <w:rsid w:val="394A3E0E"/>
    <w:rsid w:val="39636459"/>
    <w:rsid w:val="396B7F6C"/>
    <w:rsid w:val="39AD58C4"/>
    <w:rsid w:val="39B137C2"/>
    <w:rsid w:val="39B34CB8"/>
    <w:rsid w:val="39B417A9"/>
    <w:rsid w:val="39C600D4"/>
    <w:rsid w:val="39FC5695"/>
    <w:rsid w:val="3A006D8E"/>
    <w:rsid w:val="3A3651E5"/>
    <w:rsid w:val="3A5C70FE"/>
    <w:rsid w:val="3A744481"/>
    <w:rsid w:val="3A854C95"/>
    <w:rsid w:val="3A8C7BEF"/>
    <w:rsid w:val="3A906246"/>
    <w:rsid w:val="3B131EB2"/>
    <w:rsid w:val="3B1D4650"/>
    <w:rsid w:val="3B2349B7"/>
    <w:rsid w:val="3B616CFF"/>
    <w:rsid w:val="3B6259F6"/>
    <w:rsid w:val="3B976654"/>
    <w:rsid w:val="3BAC751F"/>
    <w:rsid w:val="3BC01EFC"/>
    <w:rsid w:val="3BC84AB3"/>
    <w:rsid w:val="3BCA786A"/>
    <w:rsid w:val="3BD31E2F"/>
    <w:rsid w:val="3BF15831"/>
    <w:rsid w:val="3C105946"/>
    <w:rsid w:val="3C471448"/>
    <w:rsid w:val="3C536A3E"/>
    <w:rsid w:val="3C5F759A"/>
    <w:rsid w:val="3C6C525A"/>
    <w:rsid w:val="3C762E6D"/>
    <w:rsid w:val="3C851523"/>
    <w:rsid w:val="3C881F8E"/>
    <w:rsid w:val="3CCE23CB"/>
    <w:rsid w:val="3CD17D17"/>
    <w:rsid w:val="3CE6175C"/>
    <w:rsid w:val="3D2D6B2F"/>
    <w:rsid w:val="3D3C7F39"/>
    <w:rsid w:val="3D440F09"/>
    <w:rsid w:val="3D4504A0"/>
    <w:rsid w:val="3D600CB3"/>
    <w:rsid w:val="3D6066C5"/>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FF45F6"/>
    <w:rsid w:val="40183027"/>
    <w:rsid w:val="4019356B"/>
    <w:rsid w:val="40526FD9"/>
    <w:rsid w:val="40592157"/>
    <w:rsid w:val="406E1CAE"/>
    <w:rsid w:val="407F3FF1"/>
    <w:rsid w:val="40A0133A"/>
    <w:rsid w:val="40C31A53"/>
    <w:rsid w:val="40FF545D"/>
    <w:rsid w:val="410067C8"/>
    <w:rsid w:val="410323DD"/>
    <w:rsid w:val="41285739"/>
    <w:rsid w:val="41863C89"/>
    <w:rsid w:val="418F0D2A"/>
    <w:rsid w:val="41D01505"/>
    <w:rsid w:val="41FF75F5"/>
    <w:rsid w:val="422C1AAB"/>
    <w:rsid w:val="42474939"/>
    <w:rsid w:val="424C3C57"/>
    <w:rsid w:val="42613FF3"/>
    <w:rsid w:val="42660D96"/>
    <w:rsid w:val="428667D2"/>
    <w:rsid w:val="42CD1CE0"/>
    <w:rsid w:val="42D208FA"/>
    <w:rsid w:val="42E1381E"/>
    <w:rsid w:val="42ED6459"/>
    <w:rsid w:val="42FE58DD"/>
    <w:rsid w:val="43174B3D"/>
    <w:rsid w:val="431A7FD2"/>
    <w:rsid w:val="433F0CA0"/>
    <w:rsid w:val="434B790E"/>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E858D0"/>
    <w:rsid w:val="4609638B"/>
    <w:rsid w:val="460E7DA5"/>
    <w:rsid w:val="46422483"/>
    <w:rsid w:val="4647199E"/>
    <w:rsid w:val="4659254A"/>
    <w:rsid w:val="465B0637"/>
    <w:rsid w:val="465E3F0D"/>
    <w:rsid w:val="466A16E6"/>
    <w:rsid w:val="46893F2B"/>
    <w:rsid w:val="469D0882"/>
    <w:rsid w:val="46C4686E"/>
    <w:rsid w:val="46E2098A"/>
    <w:rsid w:val="46E6681C"/>
    <w:rsid w:val="46EE10DD"/>
    <w:rsid w:val="47397975"/>
    <w:rsid w:val="477B778F"/>
    <w:rsid w:val="478203EC"/>
    <w:rsid w:val="478A1A03"/>
    <w:rsid w:val="47B025FA"/>
    <w:rsid w:val="480159E9"/>
    <w:rsid w:val="4809698F"/>
    <w:rsid w:val="480C3F11"/>
    <w:rsid w:val="4811697D"/>
    <w:rsid w:val="4812283E"/>
    <w:rsid w:val="48535EE5"/>
    <w:rsid w:val="486677BF"/>
    <w:rsid w:val="487A3E25"/>
    <w:rsid w:val="488B5503"/>
    <w:rsid w:val="48937E21"/>
    <w:rsid w:val="489A0361"/>
    <w:rsid w:val="48B94FF3"/>
    <w:rsid w:val="48E37AAB"/>
    <w:rsid w:val="48FD4B4C"/>
    <w:rsid w:val="490A68E0"/>
    <w:rsid w:val="491055FE"/>
    <w:rsid w:val="49267254"/>
    <w:rsid w:val="495F5B3E"/>
    <w:rsid w:val="49612585"/>
    <w:rsid w:val="496F77D7"/>
    <w:rsid w:val="497654FD"/>
    <w:rsid w:val="49B64211"/>
    <w:rsid w:val="49F6167F"/>
    <w:rsid w:val="4A064FA0"/>
    <w:rsid w:val="4A16615C"/>
    <w:rsid w:val="4A4424D7"/>
    <w:rsid w:val="4A5B5E8E"/>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80709"/>
    <w:rsid w:val="4DCB4CA4"/>
    <w:rsid w:val="4DD21759"/>
    <w:rsid w:val="4E121FED"/>
    <w:rsid w:val="4E21448E"/>
    <w:rsid w:val="4E5926A7"/>
    <w:rsid w:val="4E793892"/>
    <w:rsid w:val="4E800872"/>
    <w:rsid w:val="4E930FA3"/>
    <w:rsid w:val="4E936C9C"/>
    <w:rsid w:val="4EC569ED"/>
    <w:rsid w:val="4ED50EA1"/>
    <w:rsid w:val="4EEC050C"/>
    <w:rsid w:val="4F104EC3"/>
    <w:rsid w:val="4F22401A"/>
    <w:rsid w:val="4F47354A"/>
    <w:rsid w:val="4F911C54"/>
    <w:rsid w:val="4FC5018F"/>
    <w:rsid w:val="4FE625E0"/>
    <w:rsid w:val="5021480F"/>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832C8"/>
    <w:rsid w:val="519D3C50"/>
    <w:rsid w:val="51A0432A"/>
    <w:rsid w:val="51A86090"/>
    <w:rsid w:val="51B568D7"/>
    <w:rsid w:val="51B7396D"/>
    <w:rsid w:val="51BB20EF"/>
    <w:rsid w:val="51C045ED"/>
    <w:rsid w:val="51E32D2F"/>
    <w:rsid w:val="52263AC6"/>
    <w:rsid w:val="52295D9F"/>
    <w:rsid w:val="522E4CC3"/>
    <w:rsid w:val="5244713B"/>
    <w:rsid w:val="52615633"/>
    <w:rsid w:val="526E5242"/>
    <w:rsid w:val="526F4DE4"/>
    <w:rsid w:val="52721B97"/>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A0A2F"/>
    <w:rsid w:val="53EA44B8"/>
    <w:rsid w:val="54013861"/>
    <w:rsid w:val="54487265"/>
    <w:rsid w:val="544D6070"/>
    <w:rsid w:val="54605E1E"/>
    <w:rsid w:val="549A4A45"/>
    <w:rsid w:val="54B3506A"/>
    <w:rsid w:val="54C97AC2"/>
    <w:rsid w:val="54CA0D16"/>
    <w:rsid w:val="54DD4057"/>
    <w:rsid w:val="54E7490F"/>
    <w:rsid w:val="550764A4"/>
    <w:rsid w:val="550B2BF6"/>
    <w:rsid w:val="551B39E5"/>
    <w:rsid w:val="55214EB5"/>
    <w:rsid w:val="55364EFD"/>
    <w:rsid w:val="555D4828"/>
    <w:rsid w:val="556C45C4"/>
    <w:rsid w:val="557A4C8B"/>
    <w:rsid w:val="558931E1"/>
    <w:rsid w:val="55923347"/>
    <w:rsid w:val="55925180"/>
    <w:rsid w:val="55983B1B"/>
    <w:rsid w:val="55A8376B"/>
    <w:rsid w:val="55B611EB"/>
    <w:rsid w:val="55DC29B6"/>
    <w:rsid w:val="55DD4241"/>
    <w:rsid w:val="55F169BF"/>
    <w:rsid w:val="562C4789"/>
    <w:rsid w:val="566B6D1E"/>
    <w:rsid w:val="568D1D06"/>
    <w:rsid w:val="57032A2C"/>
    <w:rsid w:val="570F5219"/>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4085C"/>
    <w:rsid w:val="58AE4F0C"/>
    <w:rsid w:val="58B85899"/>
    <w:rsid w:val="58CC55CF"/>
    <w:rsid w:val="58E363A9"/>
    <w:rsid w:val="590B1FC3"/>
    <w:rsid w:val="59166304"/>
    <w:rsid w:val="595E1678"/>
    <w:rsid w:val="596A1D3C"/>
    <w:rsid w:val="596D5BD4"/>
    <w:rsid w:val="597E3DD8"/>
    <w:rsid w:val="59AC5554"/>
    <w:rsid w:val="59B352CD"/>
    <w:rsid w:val="59EF245F"/>
    <w:rsid w:val="59F80043"/>
    <w:rsid w:val="5A054806"/>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D14DA"/>
    <w:rsid w:val="5BF9099D"/>
    <w:rsid w:val="5C02690E"/>
    <w:rsid w:val="5C196DA7"/>
    <w:rsid w:val="5C2A013C"/>
    <w:rsid w:val="5C2A048C"/>
    <w:rsid w:val="5C460490"/>
    <w:rsid w:val="5C80234E"/>
    <w:rsid w:val="5C8A680C"/>
    <w:rsid w:val="5CAB62A2"/>
    <w:rsid w:val="5CDD6B6F"/>
    <w:rsid w:val="5CFA1A85"/>
    <w:rsid w:val="5D0C4701"/>
    <w:rsid w:val="5D0F0395"/>
    <w:rsid w:val="5D1F24EF"/>
    <w:rsid w:val="5D22107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34A5B"/>
    <w:rsid w:val="5FFE1E36"/>
    <w:rsid w:val="60232584"/>
    <w:rsid w:val="607330CE"/>
    <w:rsid w:val="60825176"/>
    <w:rsid w:val="608A5EC3"/>
    <w:rsid w:val="609F2AC4"/>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807BC"/>
    <w:rsid w:val="61E81EE3"/>
    <w:rsid w:val="61F94C26"/>
    <w:rsid w:val="62000E56"/>
    <w:rsid w:val="62487121"/>
    <w:rsid w:val="624F3E49"/>
    <w:rsid w:val="62632286"/>
    <w:rsid w:val="62656D70"/>
    <w:rsid w:val="62885958"/>
    <w:rsid w:val="62C7476E"/>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349D6"/>
    <w:rsid w:val="63FE69AC"/>
    <w:rsid w:val="64055776"/>
    <w:rsid w:val="64240056"/>
    <w:rsid w:val="643E143A"/>
    <w:rsid w:val="64460353"/>
    <w:rsid w:val="64491666"/>
    <w:rsid w:val="645816F0"/>
    <w:rsid w:val="648B6EEF"/>
    <w:rsid w:val="64921AB7"/>
    <w:rsid w:val="64C158BF"/>
    <w:rsid w:val="64CE2EAA"/>
    <w:rsid w:val="651971E4"/>
    <w:rsid w:val="65294F03"/>
    <w:rsid w:val="653C3090"/>
    <w:rsid w:val="65854376"/>
    <w:rsid w:val="658767BE"/>
    <w:rsid w:val="65892531"/>
    <w:rsid w:val="65CD0069"/>
    <w:rsid w:val="65E30320"/>
    <w:rsid w:val="66195831"/>
    <w:rsid w:val="661B0E4D"/>
    <w:rsid w:val="662E75B1"/>
    <w:rsid w:val="66342C2E"/>
    <w:rsid w:val="663E784C"/>
    <w:rsid w:val="664A36FF"/>
    <w:rsid w:val="66811B16"/>
    <w:rsid w:val="668B6A45"/>
    <w:rsid w:val="66BA34A1"/>
    <w:rsid w:val="66D165FA"/>
    <w:rsid w:val="670A285C"/>
    <w:rsid w:val="672F3F24"/>
    <w:rsid w:val="673E055F"/>
    <w:rsid w:val="6751439C"/>
    <w:rsid w:val="67551CE3"/>
    <w:rsid w:val="676A4358"/>
    <w:rsid w:val="67796B37"/>
    <w:rsid w:val="67A22552"/>
    <w:rsid w:val="67B22DCC"/>
    <w:rsid w:val="67BE71AA"/>
    <w:rsid w:val="67D90273"/>
    <w:rsid w:val="67DC5685"/>
    <w:rsid w:val="67DE5875"/>
    <w:rsid w:val="67E55852"/>
    <w:rsid w:val="67EB1AB4"/>
    <w:rsid w:val="67EF6A97"/>
    <w:rsid w:val="67F46D4D"/>
    <w:rsid w:val="67FA1285"/>
    <w:rsid w:val="681F15E7"/>
    <w:rsid w:val="68270D00"/>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851F0A"/>
    <w:rsid w:val="69CC2BFF"/>
    <w:rsid w:val="69FD55B8"/>
    <w:rsid w:val="6A0B1C62"/>
    <w:rsid w:val="6A2406C8"/>
    <w:rsid w:val="6A7F65C7"/>
    <w:rsid w:val="6A987242"/>
    <w:rsid w:val="6ADD735F"/>
    <w:rsid w:val="6ADE0BD1"/>
    <w:rsid w:val="6AE96859"/>
    <w:rsid w:val="6B147746"/>
    <w:rsid w:val="6B24787C"/>
    <w:rsid w:val="6B573233"/>
    <w:rsid w:val="6B58630B"/>
    <w:rsid w:val="6B5B6274"/>
    <w:rsid w:val="6B615D5C"/>
    <w:rsid w:val="6B847F5E"/>
    <w:rsid w:val="6B935D53"/>
    <w:rsid w:val="6BC02799"/>
    <w:rsid w:val="6BD149A6"/>
    <w:rsid w:val="6C196F71"/>
    <w:rsid w:val="6C226FCB"/>
    <w:rsid w:val="6C31226F"/>
    <w:rsid w:val="6C312AEA"/>
    <w:rsid w:val="6C552F0B"/>
    <w:rsid w:val="6C8C67B7"/>
    <w:rsid w:val="6C9D744C"/>
    <w:rsid w:val="6D167928"/>
    <w:rsid w:val="6D260D22"/>
    <w:rsid w:val="6D26299B"/>
    <w:rsid w:val="6D32233D"/>
    <w:rsid w:val="6D4772EC"/>
    <w:rsid w:val="6D516379"/>
    <w:rsid w:val="6D5C224E"/>
    <w:rsid w:val="6D9078AF"/>
    <w:rsid w:val="6DAA3FEF"/>
    <w:rsid w:val="6DB8406F"/>
    <w:rsid w:val="6DC0172B"/>
    <w:rsid w:val="6DCB690C"/>
    <w:rsid w:val="6DD41A5B"/>
    <w:rsid w:val="6DDF4FB0"/>
    <w:rsid w:val="6DF43C2E"/>
    <w:rsid w:val="6DF51CA3"/>
    <w:rsid w:val="6E101FDB"/>
    <w:rsid w:val="6E681920"/>
    <w:rsid w:val="6E781728"/>
    <w:rsid w:val="6E8335BD"/>
    <w:rsid w:val="6E8E12EF"/>
    <w:rsid w:val="6E972936"/>
    <w:rsid w:val="6EB40202"/>
    <w:rsid w:val="6ED30A35"/>
    <w:rsid w:val="6ED446C5"/>
    <w:rsid w:val="6F130D38"/>
    <w:rsid w:val="6F250095"/>
    <w:rsid w:val="6F2A7D94"/>
    <w:rsid w:val="6F377216"/>
    <w:rsid w:val="6F55769C"/>
    <w:rsid w:val="6F5B208E"/>
    <w:rsid w:val="6F8331F1"/>
    <w:rsid w:val="6FA31ECE"/>
    <w:rsid w:val="6FAE1A09"/>
    <w:rsid w:val="6FD75BF8"/>
    <w:rsid w:val="6FF922DA"/>
    <w:rsid w:val="700D583A"/>
    <w:rsid w:val="703E5095"/>
    <w:rsid w:val="7060279C"/>
    <w:rsid w:val="706D60A5"/>
    <w:rsid w:val="707723D0"/>
    <w:rsid w:val="70985552"/>
    <w:rsid w:val="709D12FB"/>
    <w:rsid w:val="70AE62DA"/>
    <w:rsid w:val="70B4699F"/>
    <w:rsid w:val="70F4178D"/>
    <w:rsid w:val="70F5661B"/>
    <w:rsid w:val="71360107"/>
    <w:rsid w:val="713A2FED"/>
    <w:rsid w:val="713B688E"/>
    <w:rsid w:val="71461992"/>
    <w:rsid w:val="71A6677C"/>
    <w:rsid w:val="71A8324B"/>
    <w:rsid w:val="71B60406"/>
    <w:rsid w:val="71D43752"/>
    <w:rsid w:val="71DE1BCB"/>
    <w:rsid w:val="71F1796A"/>
    <w:rsid w:val="72154626"/>
    <w:rsid w:val="72262B5D"/>
    <w:rsid w:val="72283FF7"/>
    <w:rsid w:val="722E7212"/>
    <w:rsid w:val="723A0474"/>
    <w:rsid w:val="725923E4"/>
    <w:rsid w:val="725F5415"/>
    <w:rsid w:val="72766AE8"/>
    <w:rsid w:val="72864BF7"/>
    <w:rsid w:val="729023FC"/>
    <w:rsid w:val="729C3F60"/>
    <w:rsid w:val="72E04B6D"/>
    <w:rsid w:val="732301DD"/>
    <w:rsid w:val="732A727E"/>
    <w:rsid w:val="733454E7"/>
    <w:rsid w:val="73C0646E"/>
    <w:rsid w:val="742222F5"/>
    <w:rsid w:val="74391E01"/>
    <w:rsid w:val="74476126"/>
    <w:rsid w:val="74706664"/>
    <w:rsid w:val="747F3682"/>
    <w:rsid w:val="749018A2"/>
    <w:rsid w:val="74930F19"/>
    <w:rsid w:val="749C4185"/>
    <w:rsid w:val="75067759"/>
    <w:rsid w:val="750E27C7"/>
    <w:rsid w:val="751F199D"/>
    <w:rsid w:val="752E6DCD"/>
    <w:rsid w:val="7551380D"/>
    <w:rsid w:val="75600BE5"/>
    <w:rsid w:val="7564475C"/>
    <w:rsid w:val="7583797F"/>
    <w:rsid w:val="75917B29"/>
    <w:rsid w:val="75A679D1"/>
    <w:rsid w:val="75CF09D8"/>
    <w:rsid w:val="75D20F1D"/>
    <w:rsid w:val="75DA2C18"/>
    <w:rsid w:val="75F54412"/>
    <w:rsid w:val="761D08E0"/>
    <w:rsid w:val="761E6A3A"/>
    <w:rsid w:val="765D347C"/>
    <w:rsid w:val="76826699"/>
    <w:rsid w:val="76A10A5E"/>
    <w:rsid w:val="76A870A5"/>
    <w:rsid w:val="76C87133"/>
    <w:rsid w:val="76CD08D5"/>
    <w:rsid w:val="76DB4B92"/>
    <w:rsid w:val="76FE0619"/>
    <w:rsid w:val="77052AA4"/>
    <w:rsid w:val="77136511"/>
    <w:rsid w:val="77340A39"/>
    <w:rsid w:val="77351FD0"/>
    <w:rsid w:val="77472422"/>
    <w:rsid w:val="777F31F2"/>
    <w:rsid w:val="77AB3955"/>
    <w:rsid w:val="77D1700D"/>
    <w:rsid w:val="77EC04CC"/>
    <w:rsid w:val="782D0D9A"/>
    <w:rsid w:val="78520C1D"/>
    <w:rsid w:val="78775729"/>
    <w:rsid w:val="78A42DB0"/>
    <w:rsid w:val="78A656AB"/>
    <w:rsid w:val="78B2245C"/>
    <w:rsid w:val="78B81351"/>
    <w:rsid w:val="78D24798"/>
    <w:rsid w:val="78E172CC"/>
    <w:rsid w:val="78EA1D1F"/>
    <w:rsid w:val="78F527D1"/>
    <w:rsid w:val="7904172F"/>
    <w:rsid w:val="790F7E27"/>
    <w:rsid w:val="792A231A"/>
    <w:rsid w:val="792C76C0"/>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B43DA"/>
    <w:rsid w:val="7AC9522D"/>
    <w:rsid w:val="7AD05746"/>
    <w:rsid w:val="7AEB64F5"/>
    <w:rsid w:val="7B220D7A"/>
    <w:rsid w:val="7B257FFD"/>
    <w:rsid w:val="7B343476"/>
    <w:rsid w:val="7B5A2978"/>
    <w:rsid w:val="7B5A7E4C"/>
    <w:rsid w:val="7B66335D"/>
    <w:rsid w:val="7B667AF9"/>
    <w:rsid w:val="7B7468F8"/>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7788"/>
    <w:rsid w:val="7D0C32F1"/>
    <w:rsid w:val="7D0F408D"/>
    <w:rsid w:val="7D28392F"/>
    <w:rsid w:val="7D491C6C"/>
    <w:rsid w:val="7D5429C0"/>
    <w:rsid w:val="7D6E6D43"/>
    <w:rsid w:val="7D747887"/>
    <w:rsid w:val="7DB57A34"/>
    <w:rsid w:val="7DBA7990"/>
    <w:rsid w:val="7DBD2FDC"/>
    <w:rsid w:val="7DE60973"/>
    <w:rsid w:val="7DEF0916"/>
    <w:rsid w:val="7E0E3838"/>
    <w:rsid w:val="7E1E5218"/>
    <w:rsid w:val="7E9A4E1F"/>
    <w:rsid w:val="7EA7723A"/>
    <w:rsid w:val="7EE527EB"/>
    <w:rsid w:val="7EF56FBB"/>
    <w:rsid w:val="7F01514B"/>
    <w:rsid w:val="7F0768EB"/>
    <w:rsid w:val="7F143BEC"/>
    <w:rsid w:val="7F56725F"/>
    <w:rsid w:val="7F6477A9"/>
    <w:rsid w:val="7F715AF2"/>
    <w:rsid w:val="7F7D2300"/>
    <w:rsid w:val="7F814DD6"/>
    <w:rsid w:val="7F841183"/>
    <w:rsid w:val="7F886E6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5"/>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5"/>
    <w:basedOn w:val="1"/>
    <w:next w:val="1"/>
    <w:autoRedefine/>
    <w:qFormat/>
    <w:uiPriority w:val="0"/>
    <w:pPr>
      <w:ind w:left="1680" w:leftChars="800"/>
    </w:pPr>
  </w:style>
  <w:style w:type="paragraph" w:styleId="25">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8"/>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4"/>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91"/>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9"/>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5"/>
    <w:next w:val="62"/>
    <w:link w:val="124"/>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customStyle="1" w:styleId="80">
    <w:name w:val="标题 1 字符1"/>
    <w:link w:val="2"/>
    <w:autoRedefine/>
    <w:qFormat/>
    <w:uiPriority w:val="9"/>
    <w:rPr>
      <w:b/>
      <w:bCs/>
      <w:kern w:val="44"/>
      <w:sz w:val="44"/>
      <w:szCs w:val="44"/>
    </w:rPr>
  </w:style>
  <w:style w:type="character" w:customStyle="1" w:styleId="81">
    <w:name w:val="标题 2 Char"/>
    <w:autoRedefine/>
    <w:qFormat/>
    <w:uiPriority w:val="0"/>
    <w:rPr>
      <w:rFonts w:ascii="Arial" w:hAnsi="Arial" w:eastAsia="黑体"/>
      <w:b/>
      <w:kern w:val="2"/>
      <w:sz w:val="32"/>
      <w:lang w:val="en-US" w:eastAsia="zh-CN"/>
    </w:rPr>
  </w:style>
  <w:style w:type="paragraph" w:customStyle="1" w:styleId="82">
    <w:name w:val="样式3"/>
    <w:basedOn w:val="83"/>
    <w:next w:val="1"/>
    <w:autoRedefine/>
    <w:qFormat/>
    <w:uiPriority w:val="0"/>
    <w:pPr>
      <w:tabs>
        <w:tab w:val="left" w:pos="2790"/>
        <w:tab w:val="left" w:pos="4230"/>
      </w:tabs>
      <w:spacing w:before="312" w:beforeLines="100"/>
      <w:jc w:val="left"/>
    </w:pPr>
  </w:style>
  <w:style w:type="paragraph" w:customStyle="1" w:styleId="83">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59"/>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1"/>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6"/>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8"/>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3"/>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5"/>
    <w:autoRedefine/>
    <w:qFormat/>
    <w:uiPriority w:val="0"/>
    <w:rPr>
      <w:rFonts w:ascii="宋体"/>
      <w:kern w:val="2"/>
      <w:sz w:val="24"/>
      <w:szCs w:val="21"/>
      <w:lang w:val="zh-CN"/>
    </w:rPr>
  </w:style>
  <w:style w:type="character" w:customStyle="1" w:styleId="185">
    <w:name w:val="标题 9 字符"/>
    <w:link w:val="11"/>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38"/>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8"/>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2"/>
    <w:autoRedefine/>
    <w:qFormat/>
    <w:uiPriority w:val="0"/>
    <w:rPr>
      <w:rFonts w:ascii="仿宋_GB2312" w:hAnsi="仿宋" w:eastAsia="仿宋_GB2312" w:cs="仿宋_GB2312"/>
      <w:sz w:val="32"/>
      <w:szCs w:val="30"/>
      <w:lang w:val="zh-CN"/>
    </w:rPr>
  </w:style>
  <w:style w:type="character" w:customStyle="1" w:styleId="221">
    <w:name w:val="HTML 地址 字符"/>
    <w:link w:val="30"/>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仿宋_GB2312" w:eastAsia="仿宋_GB2312" w:cs="仿宋_GB2312"/>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84"/>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5"/>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0"/>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7"/>
    <w:next w:val="237"/>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7"/>
    <w:next w:val="237"/>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4"/>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4"/>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autoRedefine/>
    <w:qFormat/>
    <w:uiPriority w:val="0"/>
    <w:pPr>
      <w:spacing w:line="318" w:lineRule="atLeast"/>
      <w:ind w:left="369" w:firstLine="369"/>
      <w:textAlignment w:val="baseline"/>
    </w:pPr>
    <w:rPr>
      <w:rFonts w:ascii="宋体"/>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character" w:customStyle="1" w:styleId="966">
    <w:name w:val="标题 1 Char1"/>
    <w:autoRedefine/>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17022</Words>
  <Characters>18211</Characters>
  <Lines>464</Lines>
  <Paragraphs>130</Paragraphs>
  <TotalTime>10</TotalTime>
  <ScaleCrop>false</ScaleCrop>
  <LinksUpToDate>false</LinksUpToDate>
  <CharactersWithSpaces>18581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2023-03-28T06:19:00Z</cp:lastPrinted>
  <dcterms:modified xsi:type="dcterms:W3CDTF">2025-04-03T05:40:35Z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11A303B5AC9A41F29842E861DE04E513_13</vt:lpwstr>
  </property>
  <property fmtid="{D5CDD505-2E9C-101B-9397-08002B2CF9AE}" pid="5" name="KSOTemplateDocerSaveRecord">
    <vt:lpwstr>eyJoZGlkIjoiZDQ3MTgzNzA2NzdiZWM1Yjg1YzAxNmU3NWNmODFjMmMiLCJ1c2VySWQiOiIxMDMwNTc3NTcyIn0=</vt:lpwstr>
  </property>
</Properties>
</file>