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489B20">
      <w:pPr>
        <w:spacing w:line="360" w:lineRule="auto"/>
        <w:jc w:val="center"/>
        <w:rPr>
          <w:rFonts w:ascii="宋体" w:hAnsi="宋体" w:cs="宋体"/>
          <w:b/>
          <w:sz w:val="24"/>
          <w:highlight w:val="none"/>
        </w:rPr>
      </w:pPr>
    </w:p>
    <w:p w14:paraId="15740D45">
      <w:pPr>
        <w:spacing w:line="360" w:lineRule="auto"/>
        <w:jc w:val="center"/>
        <w:rPr>
          <w:rFonts w:ascii="宋体" w:hAnsi="宋体" w:cs="宋体"/>
          <w:b/>
          <w:sz w:val="24"/>
          <w:highlight w:val="none"/>
        </w:rPr>
      </w:pPr>
    </w:p>
    <w:p w14:paraId="202DC019">
      <w:pPr>
        <w:adjustRightInd/>
        <w:spacing w:line="360" w:lineRule="auto"/>
        <w:jc w:val="center"/>
        <w:rPr>
          <w:rFonts w:ascii="宋体" w:hAnsi="宋体" w:cs="宋体"/>
          <w:b/>
          <w:sz w:val="44"/>
          <w:szCs w:val="44"/>
          <w:highlight w:val="none"/>
        </w:rPr>
      </w:pPr>
    </w:p>
    <w:p w14:paraId="162F431F">
      <w:pPr>
        <w:spacing w:line="360" w:lineRule="auto"/>
        <w:jc w:val="center"/>
        <w:rPr>
          <w:rFonts w:ascii="宋体" w:hAnsi="宋体" w:cs="宋体"/>
          <w:b/>
          <w:sz w:val="44"/>
          <w:szCs w:val="44"/>
          <w:highlight w:val="none"/>
        </w:rPr>
      </w:pPr>
    </w:p>
    <w:p w14:paraId="2E2EAD0B">
      <w:pPr>
        <w:adjustRightInd/>
        <w:spacing w:line="360" w:lineRule="auto"/>
        <w:jc w:val="center"/>
        <w:rPr>
          <w:rFonts w:ascii="宋体" w:hAnsi="宋体" w:cs="宋体"/>
          <w:b/>
          <w:sz w:val="48"/>
          <w:szCs w:val="48"/>
          <w:highlight w:val="none"/>
        </w:rPr>
      </w:pPr>
    </w:p>
    <w:p w14:paraId="5674B5D3">
      <w:pPr>
        <w:adjustRightInd/>
        <w:spacing w:line="360" w:lineRule="auto"/>
        <w:jc w:val="center"/>
        <w:outlineLvl w:val="0"/>
        <w:rPr>
          <w:rFonts w:hint="eastAsia" w:ascii="宋体" w:hAnsi="宋体" w:cs="宋体"/>
          <w:sz w:val="48"/>
          <w:szCs w:val="48"/>
          <w:highlight w:val="none"/>
          <w:lang w:eastAsia="zh-CN"/>
        </w:rPr>
      </w:pPr>
      <w:r>
        <w:rPr>
          <w:rFonts w:hint="eastAsia" w:ascii="宋体" w:hAnsi="宋体" w:cs="宋体"/>
          <w:sz w:val="48"/>
          <w:szCs w:val="48"/>
          <w:highlight w:val="none"/>
          <w:lang w:eastAsia="zh-CN"/>
        </w:rPr>
        <w:t>菜篮子食品安全“你点我检”放心工程</w:t>
      </w:r>
    </w:p>
    <w:p w14:paraId="4FB13BFD">
      <w:pPr>
        <w:adjustRightInd/>
        <w:spacing w:line="360" w:lineRule="auto"/>
        <w:jc w:val="center"/>
        <w:outlineLvl w:val="0"/>
        <w:rPr>
          <w:rFonts w:ascii="宋体" w:hAnsi="宋体" w:cs="宋体"/>
          <w:sz w:val="48"/>
          <w:szCs w:val="48"/>
          <w:highlight w:val="none"/>
        </w:rPr>
      </w:pPr>
      <w:r>
        <w:rPr>
          <w:rFonts w:hint="eastAsia" w:ascii="宋体" w:hAnsi="宋体" w:cs="宋体"/>
          <w:sz w:val="48"/>
          <w:szCs w:val="48"/>
          <w:highlight w:val="none"/>
          <w:lang w:eastAsia="zh-CN"/>
        </w:rPr>
        <w:t>(生鲜食材快检)</w:t>
      </w:r>
    </w:p>
    <w:p w14:paraId="5D572D34">
      <w:pPr>
        <w:adjustRightInd/>
        <w:spacing w:line="360" w:lineRule="auto"/>
        <w:jc w:val="center"/>
        <w:rPr>
          <w:rFonts w:ascii="宋体" w:hAnsi="宋体" w:cs="宋体"/>
          <w:sz w:val="48"/>
          <w:szCs w:val="48"/>
          <w:highlight w:val="none"/>
        </w:rPr>
      </w:pPr>
      <w:r>
        <w:rPr>
          <w:rFonts w:hint="eastAsia" w:ascii="宋体" w:hAnsi="宋体" w:cs="宋体"/>
          <w:sz w:val="48"/>
          <w:szCs w:val="48"/>
          <w:highlight w:val="none"/>
        </w:rPr>
        <w:t xml:space="preserve">招标文件 </w:t>
      </w:r>
    </w:p>
    <w:p w14:paraId="746E0AFD">
      <w:pPr>
        <w:adjustRightInd/>
        <w:spacing w:line="360" w:lineRule="auto"/>
        <w:jc w:val="center"/>
        <w:rPr>
          <w:rFonts w:ascii="宋体" w:hAnsi="宋体" w:cs="宋体"/>
          <w:b/>
          <w:sz w:val="44"/>
          <w:szCs w:val="44"/>
          <w:highlight w:val="none"/>
        </w:rPr>
      </w:pPr>
      <w:r>
        <w:rPr>
          <w:rFonts w:hint="eastAsia" w:ascii="宋体" w:hAnsi="宋体" w:cs="宋体"/>
          <w:b/>
          <w:sz w:val="44"/>
          <w:szCs w:val="44"/>
          <w:highlight w:val="none"/>
        </w:rPr>
        <w:t xml:space="preserve"> （电子招投标）</w:t>
      </w:r>
    </w:p>
    <w:p w14:paraId="3CA889B7">
      <w:pPr>
        <w:snapToGrid w:val="0"/>
        <w:spacing w:line="360" w:lineRule="auto"/>
        <w:jc w:val="center"/>
        <w:rPr>
          <w:rFonts w:hint="eastAsia" w:ascii="宋体" w:hAnsi="宋体" w:eastAsia="宋体" w:cs="宋体"/>
          <w:sz w:val="30"/>
          <w:szCs w:val="30"/>
          <w:highlight w:val="none"/>
          <w:lang w:eastAsia="zh-CN"/>
        </w:rPr>
      </w:pPr>
      <w:r>
        <w:rPr>
          <w:rFonts w:hint="eastAsia" w:ascii="宋体" w:hAnsi="宋体" w:cs="宋体"/>
          <w:sz w:val="30"/>
          <w:szCs w:val="30"/>
          <w:highlight w:val="none"/>
        </w:rPr>
        <w:t>编号：</w:t>
      </w:r>
      <w:r>
        <w:rPr>
          <w:rFonts w:hint="eastAsia" w:ascii="宋体" w:hAnsi="宋体" w:cs="宋体"/>
          <w:sz w:val="30"/>
          <w:szCs w:val="30"/>
          <w:highlight w:val="none"/>
          <w:lang w:eastAsia="zh-CN"/>
        </w:rPr>
        <w:t>CBZJ-20256033G</w:t>
      </w:r>
    </w:p>
    <w:p w14:paraId="28B80A6C">
      <w:pPr>
        <w:adjustRightInd/>
        <w:spacing w:line="360" w:lineRule="auto"/>
        <w:rPr>
          <w:rFonts w:ascii="宋体" w:hAnsi="宋体" w:cs="宋体"/>
          <w:sz w:val="28"/>
          <w:szCs w:val="20"/>
          <w:highlight w:val="none"/>
        </w:rPr>
      </w:pPr>
    </w:p>
    <w:p w14:paraId="37749C03">
      <w:pPr>
        <w:spacing w:line="360" w:lineRule="auto"/>
        <w:jc w:val="center"/>
        <w:rPr>
          <w:rFonts w:ascii="宋体" w:hAnsi="宋体" w:cs="宋体"/>
          <w:b/>
          <w:sz w:val="44"/>
          <w:szCs w:val="44"/>
          <w:highlight w:val="none"/>
        </w:rPr>
      </w:pPr>
      <w:r>
        <w:rPr>
          <w:rFonts w:hint="eastAsia" w:ascii="宋体" w:hAnsi="宋体" w:cs="宋体"/>
          <w:b/>
          <w:sz w:val="44"/>
          <w:szCs w:val="44"/>
          <w:highlight w:val="none"/>
        </w:rPr>
        <w:t xml:space="preserve"> </w:t>
      </w:r>
    </w:p>
    <w:p w14:paraId="0F920392">
      <w:pPr>
        <w:spacing w:line="360" w:lineRule="auto"/>
        <w:jc w:val="center"/>
        <w:rPr>
          <w:rFonts w:ascii="宋体" w:hAnsi="宋体" w:cs="宋体"/>
          <w:b/>
          <w:sz w:val="44"/>
          <w:szCs w:val="44"/>
          <w:highlight w:val="none"/>
        </w:rPr>
      </w:pPr>
    </w:p>
    <w:p w14:paraId="6F9FC1C4">
      <w:pPr>
        <w:spacing w:line="360" w:lineRule="auto"/>
        <w:jc w:val="center"/>
        <w:rPr>
          <w:rFonts w:ascii="宋体" w:hAnsi="宋体" w:cs="宋体"/>
          <w:sz w:val="24"/>
          <w:highlight w:val="none"/>
        </w:rPr>
      </w:pPr>
    </w:p>
    <w:p w14:paraId="5ED97237">
      <w:pPr>
        <w:spacing w:line="360" w:lineRule="auto"/>
        <w:jc w:val="center"/>
        <w:rPr>
          <w:rFonts w:ascii="宋体" w:hAnsi="宋体" w:cs="宋体"/>
          <w:sz w:val="24"/>
          <w:highlight w:val="none"/>
        </w:rPr>
      </w:pPr>
    </w:p>
    <w:p w14:paraId="56FF851E">
      <w:pPr>
        <w:spacing w:line="360" w:lineRule="auto"/>
        <w:rPr>
          <w:rFonts w:ascii="宋体" w:hAnsi="宋体" w:cs="宋体"/>
          <w:sz w:val="32"/>
          <w:szCs w:val="32"/>
          <w:highlight w:val="none"/>
        </w:rPr>
      </w:pPr>
    </w:p>
    <w:p w14:paraId="23A2A146">
      <w:pPr>
        <w:snapToGrid w:val="0"/>
        <w:spacing w:line="360" w:lineRule="auto"/>
        <w:jc w:val="center"/>
        <w:rPr>
          <w:rFonts w:hint="eastAsia" w:ascii="宋体" w:hAnsi="宋体" w:eastAsia="宋体" w:cs="宋体"/>
          <w:sz w:val="32"/>
          <w:szCs w:val="32"/>
          <w:highlight w:val="none"/>
          <w:lang w:eastAsia="zh-CN"/>
        </w:rPr>
      </w:pPr>
      <w:r>
        <w:rPr>
          <w:rFonts w:hint="eastAsia" w:ascii="宋体" w:hAnsi="宋体" w:cs="宋体"/>
          <w:sz w:val="32"/>
          <w:szCs w:val="32"/>
          <w:highlight w:val="none"/>
          <w:lang w:eastAsia="zh-CN"/>
        </w:rPr>
        <w:t>宁海县市场监督管理局</w:t>
      </w:r>
    </w:p>
    <w:p w14:paraId="3111B7F2">
      <w:pPr>
        <w:spacing w:line="360" w:lineRule="auto"/>
        <w:jc w:val="center"/>
        <w:outlineLvl w:val="0"/>
        <w:rPr>
          <w:rFonts w:hint="eastAsia" w:ascii="宋体" w:hAnsi="宋体" w:eastAsia="宋体" w:cs="宋体"/>
          <w:bCs/>
          <w:sz w:val="32"/>
          <w:szCs w:val="32"/>
          <w:highlight w:val="none"/>
          <w:lang w:eastAsia="zh-CN"/>
        </w:rPr>
      </w:pPr>
      <w:r>
        <w:rPr>
          <w:rFonts w:hint="eastAsia" w:ascii="宋体" w:hAnsi="宋体" w:cs="宋体"/>
          <w:bCs/>
          <w:sz w:val="32"/>
          <w:szCs w:val="32"/>
          <w:highlight w:val="none"/>
          <w:lang w:eastAsia="zh-CN"/>
        </w:rPr>
        <w:t>浙江中基正采管理咨询有限公司</w:t>
      </w:r>
    </w:p>
    <w:p w14:paraId="0FCA9DA0">
      <w:pPr>
        <w:snapToGrid w:val="0"/>
        <w:spacing w:line="360" w:lineRule="auto"/>
        <w:jc w:val="center"/>
        <w:rPr>
          <w:rFonts w:hint="eastAsia" w:ascii="宋体" w:hAnsi="宋体" w:cs="宋体"/>
          <w:bCs/>
          <w:sz w:val="32"/>
          <w:szCs w:val="32"/>
          <w:highlight w:val="none"/>
        </w:rPr>
        <w:sectPr>
          <w:headerReference r:id="rId4" w:type="first"/>
          <w:headerReference r:id="rId3" w:type="default"/>
          <w:footerReference r:id="rId5" w:type="even"/>
          <w:pgSz w:w="11906" w:h="16838"/>
          <w:pgMar w:top="680" w:right="1418" w:bottom="468" w:left="1418" w:header="851" w:footer="992" w:gutter="0"/>
          <w:cols w:space="720" w:num="1"/>
          <w:titlePg/>
          <w:docGrid w:linePitch="312" w:charSpace="0"/>
        </w:sectPr>
      </w:pPr>
      <w:r>
        <w:rPr>
          <w:rFonts w:hint="eastAsia" w:ascii="宋体" w:hAnsi="宋体" w:cs="宋体"/>
          <w:bCs/>
          <w:sz w:val="32"/>
          <w:szCs w:val="32"/>
          <w:highlight w:val="none"/>
        </w:rPr>
        <w:t>二〇二</w:t>
      </w:r>
      <w:r>
        <w:rPr>
          <w:rFonts w:hint="eastAsia" w:ascii="宋体" w:hAnsi="宋体" w:cs="宋体"/>
          <w:bCs/>
          <w:sz w:val="32"/>
          <w:szCs w:val="32"/>
          <w:highlight w:val="none"/>
          <w:lang w:val="en-US" w:eastAsia="zh-CN"/>
        </w:rPr>
        <w:t>五</w:t>
      </w:r>
      <w:r>
        <w:rPr>
          <w:rFonts w:hint="eastAsia" w:ascii="宋体" w:hAnsi="宋体" w:cs="宋体"/>
          <w:bCs/>
          <w:sz w:val="32"/>
          <w:szCs w:val="32"/>
          <w:highlight w:val="none"/>
        </w:rPr>
        <w:t>年</w:t>
      </w:r>
      <w:r>
        <w:rPr>
          <w:rFonts w:hint="eastAsia" w:ascii="宋体" w:hAnsi="宋体" w:cs="宋体"/>
          <w:bCs/>
          <w:sz w:val="32"/>
          <w:szCs w:val="32"/>
          <w:highlight w:val="none"/>
          <w:lang w:val="en-US" w:eastAsia="zh-CN"/>
        </w:rPr>
        <w:t>三</w:t>
      </w:r>
      <w:r>
        <w:rPr>
          <w:rFonts w:hint="eastAsia" w:ascii="宋体" w:hAnsi="宋体" w:cs="宋体"/>
          <w:bCs/>
          <w:sz w:val="32"/>
          <w:szCs w:val="32"/>
          <w:highlight w:val="none"/>
        </w:rPr>
        <w:t>月</w:t>
      </w:r>
    </w:p>
    <w:p w14:paraId="0E03498D">
      <w:pPr>
        <w:snapToGrid w:val="0"/>
        <w:spacing w:line="360" w:lineRule="auto"/>
        <w:jc w:val="center"/>
        <w:rPr>
          <w:rFonts w:hint="eastAsia" w:ascii="宋体" w:hAnsi="宋体" w:cs="宋体"/>
          <w:bCs/>
          <w:sz w:val="32"/>
          <w:szCs w:val="32"/>
          <w:highlight w:val="none"/>
        </w:rPr>
      </w:pPr>
    </w:p>
    <w:p w14:paraId="6B0DCD60">
      <w:pPr>
        <w:spacing w:line="360" w:lineRule="auto"/>
        <w:jc w:val="center"/>
        <w:rPr>
          <w:rFonts w:ascii="宋体" w:hAnsi="宋体" w:cs="宋体"/>
          <w:sz w:val="24"/>
          <w:highlight w:val="none"/>
        </w:rPr>
      </w:pPr>
      <w:r>
        <w:rPr>
          <w:rFonts w:hint="eastAsia" w:ascii="宋体" w:hAnsi="宋体" w:cs="宋体"/>
          <w:sz w:val="24"/>
          <w:highlight w:val="none"/>
        </w:rPr>
        <w:br w:type="page"/>
      </w:r>
      <w:bookmarkStart w:id="0" w:name="_Hlt67893495"/>
      <w:bookmarkEnd w:id="0"/>
    </w:p>
    <w:p w14:paraId="0B8CDC4E">
      <w:pPr>
        <w:pStyle w:val="640"/>
        <w:outlineLvl w:val="9"/>
        <w:rPr>
          <w:rFonts w:ascii="宋体" w:hAnsi="宋体" w:eastAsia="宋体" w:cs="宋体"/>
          <w:highlight w:val="none"/>
        </w:rPr>
      </w:pPr>
    </w:p>
    <w:p w14:paraId="35EC5C8D">
      <w:pPr>
        <w:spacing w:line="360" w:lineRule="auto"/>
        <w:jc w:val="center"/>
        <w:rPr>
          <w:rFonts w:ascii="宋体" w:hAnsi="宋体" w:cs="宋体"/>
          <w:b/>
          <w:sz w:val="48"/>
          <w:szCs w:val="48"/>
          <w:highlight w:val="none"/>
        </w:rPr>
      </w:pPr>
      <w:r>
        <w:rPr>
          <w:rFonts w:hint="eastAsia" w:ascii="宋体" w:hAnsi="宋体" w:cs="宋体"/>
          <w:b/>
          <w:sz w:val="48"/>
          <w:szCs w:val="48"/>
          <w:highlight w:val="none"/>
        </w:rPr>
        <w:t>目  录</w:t>
      </w:r>
    </w:p>
    <w:sdt>
      <w:sdtPr>
        <w:rPr>
          <w:rFonts w:ascii="宋体" w:hAnsi="宋体" w:eastAsia="宋体" w:cs="Times New Roman"/>
          <w:kern w:val="2"/>
          <w:sz w:val="21"/>
          <w:szCs w:val="24"/>
          <w:highlight w:val="none"/>
          <w:lang w:val="en-US" w:eastAsia="zh-CN" w:bidi="ar-SA"/>
        </w:rPr>
        <w:id w:val="147456721"/>
        <w15:color w:val="DBDBDB"/>
        <w:docPartObj>
          <w:docPartGallery w:val="Table of Contents"/>
          <w:docPartUnique/>
        </w:docPartObj>
      </w:sdtPr>
      <w:sdtEndPr>
        <w:rPr>
          <w:rFonts w:hint="eastAsia" w:ascii="宋体" w:hAnsi="宋体" w:eastAsia="宋体" w:cs="宋体"/>
          <w:kern w:val="2"/>
          <w:sz w:val="32"/>
          <w:szCs w:val="32"/>
          <w:highlight w:val="none"/>
          <w:lang w:val="en-US" w:eastAsia="zh-CN" w:bidi="ar-SA"/>
        </w:rPr>
      </w:sdtEndPr>
      <w:sdtContent>
        <w:p w14:paraId="3C1A2299">
          <w:pPr>
            <w:pStyle w:val="970"/>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TOC \o "1-1" \h \u </w:instrText>
          </w:r>
          <w:r>
            <w:rPr>
              <w:rFonts w:hint="eastAsia" w:ascii="宋体" w:hAnsi="宋体" w:eastAsia="宋体" w:cs="宋体"/>
              <w:sz w:val="32"/>
              <w:szCs w:val="32"/>
              <w:highlight w:val="none"/>
            </w:rPr>
            <w:fldChar w:fldCharType="separate"/>
          </w:r>
        </w:p>
        <w:p w14:paraId="1A42E9FC">
          <w:pPr>
            <w:pStyle w:val="970"/>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HYPERLINK \l _Toc31585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第一部分 招标公告</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_Toc31585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1</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0D9F35E4">
          <w:pPr>
            <w:pStyle w:val="970"/>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HYPERLINK \l _Toc1239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第二部分 投标人须知</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_Toc1239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6</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79835DF7">
          <w:pPr>
            <w:pStyle w:val="970"/>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HYPERLINK \l _Toc29147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第三部分 采购需求</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_Toc29147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24</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49D9DBD4">
          <w:pPr>
            <w:pStyle w:val="970"/>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HYPERLINK \l _Toc29737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第四部分 评标办法</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_Toc29737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39</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4953E542">
          <w:pPr>
            <w:pStyle w:val="970"/>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HYPERLINK \l _Toc24422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第五部分 拟签订的合同文本</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_Toc24422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52</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5FF0FAFA">
          <w:pPr>
            <w:pStyle w:val="970"/>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HYPERLINK \l _Toc22947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第六部分 应提交的有关格式范例</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_Toc22947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65</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61A91AA8">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fldChar w:fldCharType="end"/>
          </w:r>
        </w:p>
      </w:sdtContent>
    </w:sdt>
    <w:p w14:paraId="3D9EAB4F">
      <w:pPr>
        <w:rPr>
          <w:highlight w:val="none"/>
        </w:rPr>
      </w:pPr>
    </w:p>
    <w:p w14:paraId="7A3B927D">
      <w:pPr>
        <w:spacing w:line="360" w:lineRule="auto"/>
        <w:ind w:firstLine="549" w:firstLineChars="229"/>
        <w:rPr>
          <w:rFonts w:ascii="宋体" w:hAnsi="宋体" w:cs="宋体"/>
          <w:sz w:val="24"/>
          <w:highlight w:val="none"/>
        </w:rPr>
      </w:pPr>
      <w:bookmarkStart w:id="1" w:name="_Hlt91233176"/>
      <w:bookmarkEnd w:id="1"/>
      <w:bookmarkStart w:id="2" w:name="_Toc91899869"/>
    </w:p>
    <w:p w14:paraId="5A6FC071">
      <w:pPr>
        <w:spacing w:line="360" w:lineRule="auto"/>
        <w:ind w:firstLine="549" w:firstLineChars="229"/>
        <w:rPr>
          <w:rFonts w:ascii="宋体" w:hAnsi="宋体" w:cs="宋体"/>
          <w:sz w:val="24"/>
          <w:highlight w:val="none"/>
        </w:rPr>
      </w:pPr>
    </w:p>
    <w:p w14:paraId="0C3692A2">
      <w:pPr>
        <w:spacing w:line="360" w:lineRule="auto"/>
        <w:ind w:firstLine="549" w:firstLineChars="229"/>
        <w:rPr>
          <w:rFonts w:ascii="宋体" w:hAnsi="宋体" w:cs="宋体"/>
          <w:sz w:val="24"/>
          <w:highlight w:val="none"/>
        </w:rPr>
      </w:pPr>
    </w:p>
    <w:p w14:paraId="24A413B1">
      <w:pPr>
        <w:spacing w:line="360" w:lineRule="auto"/>
        <w:ind w:firstLine="549" w:firstLineChars="229"/>
        <w:rPr>
          <w:rFonts w:ascii="宋体" w:hAnsi="宋体" w:cs="宋体"/>
          <w:sz w:val="24"/>
          <w:highlight w:val="none"/>
        </w:rPr>
      </w:pPr>
    </w:p>
    <w:p w14:paraId="459421AD">
      <w:pPr>
        <w:spacing w:line="360" w:lineRule="auto"/>
        <w:ind w:firstLine="549" w:firstLineChars="229"/>
        <w:rPr>
          <w:rFonts w:ascii="宋体" w:hAnsi="宋体" w:cs="宋体"/>
          <w:sz w:val="24"/>
          <w:highlight w:val="none"/>
        </w:rPr>
        <w:sectPr>
          <w:pgSz w:w="11906" w:h="16838"/>
          <w:pgMar w:top="680" w:right="1418" w:bottom="468" w:left="1418" w:header="851" w:footer="992" w:gutter="0"/>
          <w:cols w:space="720" w:num="1"/>
          <w:titlePg/>
          <w:docGrid w:linePitch="312" w:charSpace="0"/>
        </w:sectPr>
      </w:pPr>
    </w:p>
    <w:p w14:paraId="2960690C">
      <w:pPr>
        <w:spacing w:line="360" w:lineRule="auto"/>
        <w:ind w:firstLine="549" w:firstLineChars="229"/>
        <w:rPr>
          <w:rFonts w:ascii="宋体" w:hAnsi="宋体" w:cs="宋体"/>
          <w:sz w:val="24"/>
          <w:highlight w:val="none"/>
        </w:rPr>
      </w:pPr>
    </w:p>
    <w:p w14:paraId="5EDCC269">
      <w:pPr>
        <w:spacing w:line="360" w:lineRule="auto"/>
        <w:ind w:firstLine="549" w:firstLineChars="229"/>
        <w:rPr>
          <w:rFonts w:ascii="宋体" w:hAnsi="宋体" w:cs="宋体"/>
          <w:sz w:val="24"/>
          <w:highlight w:val="none"/>
        </w:rPr>
      </w:pPr>
    </w:p>
    <w:p w14:paraId="561B2ACF">
      <w:pPr>
        <w:spacing w:line="360" w:lineRule="auto"/>
        <w:ind w:firstLine="549" w:firstLineChars="229"/>
        <w:rPr>
          <w:rFonts w:ascii="宋体" w:hAnsi="宋体" w:cs="宋体"/>
          <w:sz w:val="24"/>
          <w:highlight w:val="none"/>
        </w:rPr>
      </w:pPr>
    </w:p>
    <w:p w14:paraId="6B4619EB">
      <w:pPr>
        <w:spacing w:line="360" w:lineRule="auto"/>
        <w:ind w:firstLine="549" w:firstLineChars="229"/>
        <w:rPr>
          <w:rFonts w:ascii="宋体" w:hAnsi="宋体" w:cs="宋体"/>
          <w:sz w:val="24"/>
          <w:highlight w:val="none"/>
        </w:rPr>
      </w:pPr>
    </w:p>
    <w:p w14:paraId="7B5D3A96">
      <w:pPr>
        <w:spacing w:line="360" w:lineRule="auto"/>
        <w:ind w:firstLine="549" w:firstLineChars="229"/>
        <w:rPr>
          <w:rFonts w:ascii="宋体" w:hAnsi="宋体" w:cs="宋体"/>
          <w:sz w:val="24"/>
          <w:highlight w:val="none"/>
        </w:rPr>
      </w:pPr>
    </w:p>
    <w:p w14:paraId="429D9430">
      <w:pPr>
        <w:spacing w:line="360" w:lineRule="auto"/>
        <w:ind w:firstLine="549" w:firstLineChars="229"/>
        <w:rPr>
          <w:rFonts w:ascii="宋体" w:hAnsi="宋体" w:cs="宋体"/>
          <w:sz w:val="24"/>
          <w:highlight w:val="none"/>
        </w:rPr>
      </w:pPr>
    </w:p>
    <w:p w14:paraId="324ACD7B">
      <w:pPr>
        <w:spacing w:line="360" w:lineRule="auto"/>
        <w:ind w:firstLine="549" w:firstLineChars="229"/>
        <w:rPr>
          <w:rFonts w:ascii="宋体" w:hAnsi="宋体" w:cs="宋体"/>
          <w:sz w:val="24"/>
          <w:highlight w:val="none"/>
        </w:rPr>
      </w:pPr>
    </w:p>
    <w:p w14:paraId="7AB9AB91">
      <w:pPr>
        <w:spacing w:line="360" w:lineRule="auto"/>
        <w:ind w:firstLine="549" w:firstLineChars="229"/>
        <w:rPr>
          <w:rFonts w:ascii="宋体" w:hAnsi="宋体" w:cs="宋体"/>
          <w:sz w:val="24"/>
          <w:highlight w:val="none"/>
        </w:rPr>
      </w:pPr>
    </w:p>
    <w:p w14:paraId="3FF7C93F">
      <w:pPr>
        <w:spacing w:line="360" w:lineRule="auto"/>
        <w:ind w:firstLine="549" w:firstLineChars="229"/>
        <w:rPr>
          <w:rFonts w:ascii="宋体" w:hAnsi="宋体" w:cs="宋体"/>
          <w:sz w:val="24"/>
          <w:highlight w:val="none"/>
        </w:rPr>
      </w:pPr>
    </w:p>
    <w:p w14:paraId="1FF03B33">
      <w:pPr>
        <w:spacing w:line="360" w:lineRule="auto"/>
        <w:rPr>
          <w:rFonts w:ascii="宋体" w:hAnsi="宋体" w:cs="宋体"/>
          <w:sz w:val="24"/>
          <w:highlight w:val="none"/>
        </w:rPr>
      </w:pPr>
    </w:p>
    <w:bookmarkEnd w:id="2"/>
    <w:p w14:paraId="07FAB1AC">
      <w:pPr>
        <w:adjustRightInd/>
        <w:spacing w:line="360" w:lineRule="auto"/>
        <w:jc w:val="center"/>
        <w:outlineLvl w:val="0"/>
        <w:rPr>
          <w:rFonts w:hint="eastAsia" w:ascii="宋体" w:hAnsi="宋体" w:cs="宋体"/>
          <w:b/>
          <w:sz w:val="36"/>
          <w:szCs w:val="20"/>
          <w:highlight w:val="none"/>
        </w:rPr>
        <w:sectPr>
          <w:pgSz w:w="11906" w:h="16838"/>
          <w:pgMar w:top="680" w:right="1418" w:bottom="468" w:left="1418" w:header="851" w:footer="992" w:gutter="0"/>
          <w:cols w:space="720" w:num="1"/>
          <w:titlePg/>
          <w:docGrid w:linePitch="312" w:charSpace="0"/>
        </w:sectPr>
      </w:pPr>
      <w:bookmarkStart w:id="3" w:name="_Hlt74707423"/>
      <w:bookmarkEnd w:id="3"/>
      <w:bookmarkStart w:id="4" w:name="_Hlt74649545"/>
      <w:bookmarkEnd w:id="4"/>
      <w:bookmarkStart w:id="5" w:name="_Hlt74729822"/>
      <w:bookmarkEnd w:id="5"/>
      <w:bookmarkStart w:id="6" w:name="_Hlt74728647"/>
      <w:bookmarkEnd w:id="6"/>
      <w:bookmarkStart w:id="7" w:name="_Toc31585"/>
      <w:bookmarkStart w:id="8" w:name="第二部分"/>
      <w:bookmarkStart w:id="9" w:name="_Toc91899870"/>
      <w:bookmarkStart w:id="10" w:name="_Toc91899871"/>
    </w:p>
    <w:p w14:paraId="5E1BC7AD">
      <w:pPr>
        <w:adjustRightInd/>
        <w:spacing w:line="360" w:lineRule="auto"/>
        <w:jc w:val="center"/>
        <w:outlineLvl w:val="0"/>
        <w:rPr>
          <w:rFonts w:ascii="宋体" w:hAnsi="宋体" w:cs="宋体"/>
          <w:b/>
          <w:sz w:val="36"/>
          <w:szCs w:val="20"/>
          <w:highlight w:val="none"/>
        </w:rPr>
      </w:pPr>
      <w:r>
        <w:rPr>
          <w:rFonts w:hint="eastAsia" w:ascii="宋体" w:hAnsi="宋体" w:cs="宋体"/>
          <w:b/>
          <w:sz w:val="36"/>
          <w:szCs w:val="20"/>
          <w:highlight w:val="none"/>
        </w:rPr>
        <w:t>第一部分 招标公告</w:t>
      </w:r>
      <w:bookmarkEnd w:id="7"/>
    </w:p>
    <w:p w14:paraId="6AC821DE">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rPr>
      </w:pPr>
      <w:r>
        <w:rPr>
          <w:rFonts w:hint="eastAsia" w:ascii="宋体" w:hAnsi="宋体" w:cs="宋体"/>
          <w:sz w:val="24"/>
          <w:highlight w:val="none"/>
        </w:rPr>
        <w:t>项目概况</w:t>
      </w:r>
    </w:p>
    <w:p w14:paraId="1AC842AD">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u w:val="single"/>
        </w:rPr>
      </w:pPr>
      <w:r>
        <w:rPr>
          <w:rFonts w:hint="eastAsia" w:ascii="宋体" w:hAnsi="宋体" w:cs="宋体"/>
          <w:sz w:val="24"/>
          <w:highlight w:val="none"/>
          <w:u w:val="single"/>
          <w:lang w:eastAsia="zh-CN"/>
        </w:rPr>
        <w:t>菜篮子食品安全“你点我检”放心工程(生鲜食材快检)</w:t>
      </w:r>
      <w:r>
        <w:rPr>
          <w:rFonts w:hint="eastAsia" w:ascii="宋体" w:hAnsi="宋体" w:cs="宋体"/>
          <w:sz w:val="24"/>
          <w:highlight w:val="none"/>
        </w:rPr>
        <w:t>招标项目的潜在投标人应在政采云平台（</w:t>
      </w:r>
      <w:r>
        <w:rPr>
          <w:highlight w:val="none"/>
        </w:rPr>
        <w:fldChar w:fldCharType="begin"/>
      </w:r>
      <w:r>
        <w:rPr>
          <w:highlight w:val="none"/>
        </w:rPr>
        <w:instrText xml:space="preserve"> HYPERLINK "https://www.zcygov.cn/）获取（下载）招标文件，并于202%20年%20月%20日%20点%20分00秒" </w:instrText>
      </w:r>
      <w:r>
        <w:rPr>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w:t>
      </w:r>
      <w:r>
        <w:rPr>
          <w:rStyle w:val="76"/>
          <w:rFonts w:hint="eastAsia" w:ascii="宋体" w:hAnsi="宋体" w:cs="宋体"/>
          <w:snapToGrid/>
          <w:color w:val="auto"/>
          <w:kern w:val="2"/>
          <w:sz w:val="24"/>
          <w:szCs w:val="24"/>
          <w:highlight w:val="none"/>
          <w:lang w:val="en-US" w:eastAsia="zh-CN"/>
        </w:rPr>
        <w:t>2025</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rPr>
        <w:t xml:space="preserve">  </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rPr>
        <w:t xml:space="preserve">  </w:t>
      </w:r>
      <w:r>
        <w:rPr>
          <w:rStyle w:val="76"/>
          <w:rFonts w:hint="eastAsia" w:ascii="宋体" w:hAnsi="宋体" w:eastAsia="宋体" w:cs="宋体"/>
          <w:snapToGrid/>
          <w:color w:val="auto"/>
          <w:kern w:val="2"/>
          <w:sz w:val="24"/>
          <w:szCs w:val="24"/>
          <w:highlight w:val="none"/>
        </w:rPr>
        <w:t>日13点30分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sz w:val="24"/>
          <w:highlight w:val="none"/>
        </w:rPr>
        <w:t>（北京时间）前</w:t>
      </w:r>
      <w:r>
        <w:rPr>
          <w:rFonts w:hint="eastAsia" w:ascii="宋体" w:hAnsi="宋体" w:cs="宋体"/>
          <w:sz w:val="24"/>
          <w:highlight w:val="none"/>
        </w:rPr>
        <w:t>递交（上传）投标文件。</w:t>
      </w:r>
    </w:p>
    <w:p w14:paraId="0FB2B873">
      <w:pPr>
        <w:spacing w:line="360" w:lineRule="auto"/>
        <w:rPr>
          <w:rFonts w:ascii="宋体" w:hAnsi="宋体" w:cs="宋体"/>
          <w:b/>
          <w:sz w:val="24"/>
          <w:highlight w:val="none"/>
        </w:rPr>
      </w:pPr>
      <w:r>
        <w:rPr>
          <w:rFonts w:hint="eastAsia" w:ascii="宋体" w:hAnsi="宋体" w:cs="宋体"/>
          <w:b/>
          <w:sz w:val="24"/>
          <w:highlight w:val="none"/>
        </w:rPr>
        <w:t xml:space="preserve">一、项目基本情况                                            </w:t>
      </w:r>
    </w:p>
    <w:p w14:paraId="565ABFD6">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w:t>
      </w:r>
      <w:r>
        <w:rPr>
          <w:rFonts w:hint="eastAsia" w:ascii="宋体" w:hAnsi="宋体" w:cs="宋体"/>
          <w:b/>
          <w:sz w:val="24"/>
          <w:highlight w:val="none"/>
        </w:rPr>
        <w:t>项目编号：</w:t>
      </w:r>
      <w:r>
        <w:rPr>
          <w:rFonts w:hint="eastAsia" w:ascii="宋体" w:hAnsi="宋体" w:cs="宋体"/>
          <w:sz w:val="24"/>
          <w:highlight w:val="none"/>
          <w:lang w:eastAsia="zh-CN"/>
        </w:rPr>
        <w:t>CBZJ-20256033G</w:t>
      </w:r>
    </w:p>
    <w:p w14:paraId="727E4716">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w:t>
      </w:r>
      <w:r>
        <w:rPr>
          <w:rFonts w:hint="eastAsia" w:ascii="宋体" w:hAnsi="宋体" w:cs="宋体"/>
          <w:b/>
          <w:sz w:val="24"/>
          <w:highlight w:val="none"/>
        </w:rPr>
        <w:t xml:space="preserve"> 项目名称：</w:t>
      </w:r>
      <w:r>
        <w:rPr>
          <w:rFonts w:hint="eastAsia" w:ascii="宋体" w:hAnsi="宋体" w:cs="宋体"/>
          <w:sz w:val="24"/>
          <w:highlight w:val="none"/>
          <w:lang w:eastAsia="zh-CN"/>
        </w:rPr>
        <w:t>菜篮子食品安全“你点我检”放心工程(生鲜食材快检)</w:t>
      </w:r>
    </w:p>
    <w:p w14:paraId="717A08BB">
      <w:pPr>
        <w:spacing w:line="360" w:lineRule="auto"/>
        <w:rPr>
          <w:rFonts w:hint="default" w:ascii="宋体" w:hAnsi="宋体" w:eastAsia="宋体" w:cs="宋体"/>
          <w:b/>
          <w:bCs/>
          <w:sz w:val="24"/>
          <w:highlight w:val="none"/>
          <w:lang w:val="en-US" w:eastAsia="zh-CN"/>
        </w:rPr>
      </w:pPr>
      <w:r>
        <w:rPr>
          <w:rFonts w:hint="eastAsia" w:ascii="宋体" w:hAnsi="宋体" w:cs="宋体"/>
          <w:sz w:val="24"/>
          <w:highlight w:val="none"/>
        </w:rPr>
        <w:t xml:space="preserve">   </w:t>
      </w:r>
      <w:r>
        <w:rPr>
          <w:rFonts w:hint="eastAsia" w:ascii="宋体" w:hAnsi="宋体" w:cs="宋体"/>
          <w:b/>
          <w:sz w:val="24"/>
          <w:highlight w:val="none"/>
        </w:rPr>
        <w:t xml:space="preserve"> 预算金额（元）：</w:t>
      </w:r>
      <w:r>
        <w:rPr>
          <w:rFonts w:hint="eastAsia" w:ascii="宋体" w:hAnsi="宋体" w:cs="宋体"/>
          <w:b/>
          <w:bCs/>
          <w:sz w:val="24"/>
          <w:highlight w:val="none"/>
          <w:lang w:val="en-US" w:eastAsia="zh-CN"/>
        </w:rPr>
        <w:t>2580000.00</w:t>
      </w:r>
    </w:p>
    <w:p w14:paraId="71ADE3CB">
      <w:pPr>
        <w:spacing w:line="360" w:lineRule="auto"/>
        <w:ind w:firstLine="480"/>
        <w:rPr>
          <w:rFonts w:ascii="宋体" w:hAnsi="宋体" w:cs="宋体"/>
          <w:b/>
          <w:bCs/>
          <w:sz w:val="24"/>
          <w:highlight w:val="none"/>
        </w:rPr>
      </w:pPr>
      <w:r>
        <w:rPr>
          <w:rFonts w:hint="eastAsia" w:ascii="宋体" w:hAnsi="宋体" w:cs="宋体"/>
          <w:b/>
          <w:bCs/>
          <w:sz w:val="24"/>
          <w:highlight w:val="none"/>
        </w:rPr>
        <w:t>最高限价（元）：</w:t>
      </w:r>
      <w:r>
        <w:rPr>
          <w:rFonts w:hint="eastAsia" w:ascii="宋体" w:hAnsi="宋体" w:cs="宋体"/>
          <w:b/>
          <w:bCs/>
          <w:sz w:val="24"/>
          <w:highlight w:val="none"/>
          <w:lang w:val="en-US" w:eastAsia="zh-CN"/>
        </w:rPr>
        <w:t>2580000.00</w:t>
      </w:r>
    </w:p>
    <w:p w14:paraId="3708D84F">
      <w:pPr>
        <w:pStyle w:val="5"/>
        <w:spacing w:line="360" w:lineRule="auto"/>
        <w:ind w:firstLine="480"/>
        <w:rPr>
          <w:rFonts w:hAnsi="宋体" w:cs="宋体"/>
          <w:b/>
          <w:color w:val="auto"/>
          <w:sz w:val="24"/>
          <w:highlight w:val="none"/>
        </w:rPr>
      </w:pPr>
      <w:r>
        <w:rPr>
          <w:rFonts w:hint="eastAsia" w:hAnsi="宋体" w:cs="宋体"/>
          <w:b/>
          <w:color w:val="auto"/>
          <w:sz w:val="24"/>
          <w:highlight w:val="none"/>
        </w:rPr>
        <w:t>采购需求：</w:t>
      </w:r>
    </w:p>
    <w:p w14:paraId="695F2863">
      <w:pPr>
        <w:pStyle w:val="5"/>
        <w:spacing w:line="360" w:lineRule="auto"/>
        <w:ind w:firstLine="480"/>
        <w:rPr>
          <w:rFonts w:hAnsi="宋体" w:cs="宋体"/>
          <w:color w:val="auto"/>
          <w:sz w:val="24"/>
          <w:highlight w:val="none"/>
        </w:rPr>
      </w:pPr>
      <w:r>
        <w:rPr>
          <w:rFonts w:hint="eastAsia" w:hAnsi="宋体" w:cs="宋体"/>
          <w:bCs/>
          <w:snapToGrid/>
          <w:color w:val="auto"/>
          <w:kern w:val="2"/>
          <w:sz w:val="24"/>
          <w:szCs w:val="24"/>
          <w:highlight w:val="none"/>
        </w:rPr>
        <w:t>标项名称：</w:t>
      </w:r>
      <w:r>
        <w:rPr>
          <w:rFonts w:hint="eastAsia" w:hAnsi="宋体" w:cs="宋体"/>
          <w:color w:val="auto"/>
          <w:sz w:val="24"/>
          <w:highlight w:val="none"/>
          <w:lang w:eastAsia="zh-CN"/>
        </w:rPr>
        <w:t>菜篮子食品安全“你点我检”放心工程(生鲜食材快检)</w:t>
      </w:r>
    </w:p>
    <w:p w14:paraId="029D4811">
      <w:pPr>
        <w:pStyle w:val="5"/>
        <w:spacing w:line="360" w:lineRule="auto"/>
        <w:ind w:firstLine="480"/>
        <w:rPr>
          <w:rFonts w:hint="default" w:hAnsi="宋体" w:eastAsia="宋体" w:cs="宋体"/>
          <w:bCs/>
          <w:snapToGrid/>
          <w:color w:val="auto"/>
          <w:kern w:val="2"/>
          <w:sz w:val="24"/>
          <w:szCs w:val="24"/>
          <w:highlight w:val="none"/>
          <w:lang w:val="en-US" w:eastAsia="zh-CN"/>
        </w:rPr>
      </w:pPr>
      <w:r>
        <w:rPr>
          <w:rFonts w:hint="eastAsia" w:hAnsi="宋体" w:cs="宋体"/>
          <w:bCs/>
          <w:snapToGrid/>
          <w:color w:val="auto"/>
          <w:kern w:val="2"/>
          <w:sz w:val="24"/>
          <w:szCs w:val="24"/>
          <w:highlight w:val="none"/>
        </w:rPr>
        <w:t>数量：</w:t>
      </w:r>
      <w:r>
        <w:rPr>
          <w:rFonts w:hint="eastAsia" w:hAnsi="宋体" w:cs="宋体"/>
          <w:bCs/>
          <w:snapToGrid/>
          <w:color w:val="auto"/>
          <w:kern w:val="2"/>
          <w:sz w:val="24"/>
          <w:szCs w:val="24"/>
          <w:highlight w:val="none"/>
          <w:lang w:val="en-US" w:eastAsia="zh-CN"/>
        </w:rPr>
        <w:t>1项</w:t>
      </w:r>
    </w:p>
    <w:p w14:paraId="66E26F71">
      <w:pPr>
        <w:pStyle w:val="5"/>
        <w:spacing w:line="360" w:lineRule="auto"/>
        <w:ind w:firstLine="480"/>
        <w:rPr>
          <w:rFonts w:hAnsi="宋体" w:cs="宋体"/>
          <w:bCs/>
          <w:snapToGrid/>
          <w:color w:val="auto"/>
          <w:kern w:val="2"/>
          <w:sz w:val="24"/>
          <w:szCs w:val="24"/>
          <w:highlight w:val="none"/>
        </w:rPr>
      </w:pPr>
      <w:r>
        <w:rPr>
          <w:rFonts w:hint="eastAsia" w:hAnsi="宋体" w:cs="宋体"/>
          <w:bCs/>
          <w:snapToGrid/>
          <w:color w:val="auto"/>
          <w:kern w:val="2"/>
          <w:sz w:val="24"/>
          <w:szCs w:val="24"/>
          <w:highlight w:val="none"/>
        </w:rPr>
        <w:t>预算金额（元）：</w:t>
      </w:r>
      <w:r>
        <w:rPr>
          <w:rFonts w:hint="eastAsia" w:hAnsi="宋体" w:cs="宋体"/>
          <w:bCs/>
          <w:snapToGrid/>
          <w:color w:val="auto"/>
          <w:kern w:val="2"/>
          <w:sz w:val="24"/>
          <w:szCs w:val="24"/>
          <w:highlight w:val="none"/>
          <w:lang w:val="en-US" w:eastAsia="zh-CN"/>
        </w:rPr>
        <w:t>2580000.00</w:t>
      </w:r>
    </w:p>
    <w:p w14:paraId="17DA35E5">
      <w:pPr>
        <w:pStyle w:val="5"/>
        <w:spacing w:line="360" w:lineRule="auto"/>
        <w:ind w:firstLine="480"/>
        <w:rPr>
          <w:rFonts w:hAnsi="宋体" w:cs="宋体"/>
          <w:bCs/>
          <w:snapToGrid/>
          <w:color w:val="auto"/>
          <w:kern w:val="2"/>
          <w:sz w:val="24"/>
          <w:szCs w:val="24"/>
          <w:highlight w:val="none"/>
        </w:rPr>
      </w:pPr>
      <w:r>
        <w:rPr>
          <w:rFonts w:hint="eastAsia" w:hAnsi="宋体" w:cs="宋体"/>
          <w:bCs/>
          <w:snapToGrid/>
          <w:color w:val="auto"/>
          <w:kern w:val="2"/>
          <w:sz w:val="24"/>
          <w:szCs w:val="24"/>
          <w:highlight w:val="none"/>
        </w:rPr>
        <w:t>简要规格描述或项目基本概况介绍、用途：</w:t>
      </w:r>
      <w:r>
        <w:rPr>
          <w:rFonts w:hint="eastAsia" w:ascii="宋体" w:hAnsi="宋体" w:cs="宋体"/>
          <w:color w:val="000000" w:themeColor="text1"/>
          <w:kern w:val="0"/>
          <w:sz w:val="24"/>
          <w:highlight w:val="none"/>
          <w14:textFill>
            <w14:solidFill>
              <w14:schemeClr w14:val="tx1"/>
            </w14:solidFill>
          </w14:textFill>
        </w:rPr>
        <w:t>围绕重点品种和必检项目，依法使用国家规定的快检方法开展食品快检</w:t>
      </w:r>
      <w:r>
        <w:rPr>
          <w:rFonts w:hint="eastAsia" w:hAnsi="宋体" w:cs="宋体"/>
          <w:bCs/>
          <w:snapToGrid/>
          <w:color w:val="auto"/>
          <w:kern w:val="2"/>
          <w:sz w:val="24"/>
          <w:szCs w:val="24"/>
          <w:highlight w:val="none"/>
          <w:lang w:val="en-US" w:eastAsia="zh-CN"/>
        </w:rPr>
        <w:t>，</w:t>
      </w:r>
      <w:r>
        <w:rPr>
          <w:rFonts w:hint="eastAsia" w:hAnsi="宋体" w:cs="宋体"/>
          <w:bCs/>
          <w:snapToGrid/>
          <w:color w:val="auto"/>
          <w:kern w:val="2"/>
          <w:sz w:val="24"/>
          <w:szCs w:val="24"/>
          <w:highlight w:val="none"/>
        </w:rPr>
        <w:t>具体以招标文件第三部分采购需求为准，供应商可点击本公告下方“浏览采购文件”查看采购需求。</w:t>
      </w:r>
    </w:p>
    <w:p w14:paraId="295255A1">
      <w:pPr>
        <w:pStyle w:val="5"/>
        <w:spacing w:line="360" w:lineRule="auto"/>
        <w:ind w:firstLine="480"/>
        <w:rPr>
          <w:rFonts w:hint="default" w:hAnsi="宋体" w:cs="宋体"/>
          <w:b/>
          <w:bCs w:val="0"/>
          <w:snapToGrid/>
          <w:color w:val="auto"/>
          <w:kern w:val="2"/>
          <w:sz w:val="24"/>
          <w:szCs w:val="24"/>
          <w:highlight w:val="none"/>
          <w:lang w:val="en-US"/>
        </w:rPr>
      </w:pPr>
      <w:r>
        <w:rPr>
          <w:rFonts w:hint="eastAsia" w:hAnsi="宋体" w:cs="宋体"/>
          <w:b/>
          <w:bCs w:val="0"/>
          <w:snapToGrid/>
          <w:color w:val="auto"/>
          <w:kern w:val="2"/>
          <w:sz w:val="24"/>
          <w:szCs w:val="24"/>
          <w:highlight w:val="none"/>
        </w:rPr>
        <w:t>备注：</w:t>
      </w:r>
      <w:r>
        <w:rPr>
          <w:rFonts w:hint="eastAsia" w:hAnsi="宋体" w:cs="宋体"/>
          <w:b/>
          <w:bCs w:val="0"/>
          <w:snapToGrid/>
          <w:color w:val="auto"/>
          <w:kern w:val="2"/>
          <w:sz w:val="24"/>
          <w:szCs w:val="24"/>
          <w:highlight w:val="none"/>
          <w:lang w:val="en-US" w:eastAsia="zh-CN"/>
        </w:rPr>
        <w:t>1）如为联合体投标，组成联合体的成员数（含联合体牵头人）不得超过2家。</w:t>
      </w:r>
    </w:p>
    <w:p w14:paraId="56ABC73F">
      <w:pPr>
        <w:pStyle w:val="133"/>
        <w:ind w:firstLine="489"/>
        <w:outlineLvl w:val="2"/>
        <w:rPr>
          <w:rFonts w:ascii="宋体" w:hAnsi="宋体" w:cs="宋体"/>
          <w:bCs/>
          <w:szCs w:val="24"/>
          <w:highlight w:val="none"/>
        </w:rPr>
      </w:pPr>
      <w:r>
        <w:rPr>
          <w:rFonts w:hint="eastAsia" w:ascii="宋体" w:hAnsi="宋体" w:cs="宋体"/>
          <w:b/>
          <w:highlight w:val="none"/>
        </w:rPr>
        <w:t>合同履约期限：</w:t>
      </w:r>
      <w:r>
        <w:rPr>
          <w:rFonts w:hint="eastAsia" w:ascii="宋体" w:hAnsi="宋体" w:cs="宋体"/>
          <w:b w:val="0"/>
          <w:bCs/>
          <w:highlight w:val="none"/>
          <w:lang w:val="en-US" w:eastAsia="zh-CN"/>
        </w:rPr>
        <w:t>本合同服务期限至2025年12月31日止，其中自合同签订之日起至2025年4月30日前完成实验室初步验收，6月30日前完成实验室最终验收。</w:t>
      </w:r>
    </w:p>
    <w:p w14:paraId="170799DA">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int="eastAsia" w:hAnsi="宋体" w:cs="宋体"/>
          <w:color w:val="auto"/>
          <w:kern w:val="0"/>
          <w:sz w:val="24"/>
          <w:highlight w:val="none"/>
        </w:rPr>
        <w:t xml:space="preserve"> </w:t>
      </w:r>
      <w:sdt>
        <w:sdtPr>
          <w:rPr>
            <w:rFonts w:hint="eastAsia" w:hAnsi="宋体" w:cs="宋体"/>
            <w:color w:val="auto"/>
            <w:kern w:val="0"/>
            <w:sz w:val="24"/>
            <w:highlight w:val="none"/>
          </w:rPr>
          <w:id w:val="-441836950"/>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Wingdings" w:hAnsi="Wingdings" w:eastAsia="MS Gothic" w:cs="宋体"/>
              <w:snapToGrid w:val="0"/>
              <w:color w:val="auto"/>
              <w:kern w:val="0"/>
              <w:sz w:val="24"/>
              <w:szCs w:val="20"/>
              <w:highlight w:val="none"/>
              <w:lang w:val="en-US" w:eastAsia="zh-CN" w:bidi="ar-SA"/>
            </w:rPr>
            <w:t>þ</w:t>
          </w:r>
        </w:sdtContent>
      </w:sdt>
      <w:r>
        <w:rPr>
          <w:rFonts w:hint="eastAsia" w:hAnsi="宋体" w:cs="宋体"/>
          <w:b/>
          <w:color w:val="auto"/>
          <w:sz w:val="24"/>
          <w:highlight w:val="none"/>
        </w:rPr>
        <w:t>是；</w:t>
      </w:r>
      <w:sdt>
        <w:sdtPr>
          <w:rPr>
            <w:rFonts w:hint="eastAsia" w:hAnsi="宋体" w:cs="宋体"/>
            <w:color w:val="auto"/>
            <w:kern w:val="0"/>
            <w:sz w:val="24"/>
            <w:highlight w:val="none"/>
          </w:rPr>
          <w:id w:val="-1591624199"/>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ascii="MS Gothic" w:hAnsi="MS Gothic" w:eastAsia="宋体" w:cs="宋体"/>
              <w:snapToGrid w:val="0"/>
              <w:color w:val="auto"/>
              <w:kern w:val="0"/>
              <w:sz w:val="24"/>
              <w:szCs w:val="20"/>
              <w:highlight w:val="none"/>
              <w:lang w:val="en-US" w:eastAsia="zh-CN" w:bidi="ar-SA"/>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19A5EB22">
      <w:pPr>
        <w:spacing w:line="360" w:lineRule="auto"/>
        <w:rPr>
          <w:rFonts w:ascii="宋体" w:hAnsi="宋体" w:cs="宋体"/>
          <w:b/>
          <w:sz w:val="24"/>
          <w:highlight w:val="none"/>
        </w:rPr>
      </w:pPr>
      <w:r>
        <w:rPr>
          <w:rFonts w:hint="eastAsia" w:ascii="宋体" w:hAnsi="宋体" w:cs="宋体"/>
          <w:b/>
          <w:sz w:val="24"/>
          <w:highlight w:val="none"/>
        </w:rPr>
        <w:t>二、申请人的资格要求：</w:t>
      </w:r>
    </w:p>
    <w:p w14:paraId="0D3A2DE7">
      <w:pPr>
        <w:spacing w:line="360" w:lineRule="auto"/>
        <w:ind w:firstLine="480"/>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1. 满足《中华人民共和国政府采购法》第二十二条规定；未被“信用中国”（www.creditchina.gov.cn</w:t>
      </w:r>
      <w:r>
        <w:rPr>
          <w:rFonts w:hint="eastAsia" w:ascii="宋体" w:hAnsi="宋体" w:cs="宋体"/>
          <w:snapToGrid w:val="0"/>
          <w:kern w:val="28"/>
          <w:sz w:val="24"/>
          <w:szCs w:val="20"/>
          <w:highlight w:val="none"/>
          <w:lang w:eastAsia="zh-CN"/>
        </w:rPr>
        <w:t>）</w:t>
      </w:r>
      <w:r>
        <w:rPr>
          <w:rFonts w:hint="eastAsia" w:ascii="宋体" w:hAnsi="宋体" w:cs="宋体"/>
          <w:snapToGrid w:val="0"/>
          <w:kern w:val="28"/>
          <w:sz w:val="24"/>
          <w:szCs w:val="20"/>
          <w:highlight w:val="none"/>
        </w:rPr>
        <w:t>中国政府采购网（www.ccgp.gov.cn）列入失信被执行人、重大税收违法案件当事人名单、政府采购严重违法失信行为记录名单；</w:t>
      </w:r>
    </w:p>
    <w:p w14:paraId="0BFFB363">
      <w:pPr>
        <w:spacing w:line="360" w:lineRule="auto"/>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 xml:space="preserve">    2.</w:t>
      </w:r>
      <w:r>
        <w:rPr>
          <w:rFonts w:hint="eastAsia" w:ascii="宋体" w:hAnsi="宋体" w:cs="宋体"/>
          <w:highlight w:val="none"/>
        </w:rPr>
        <w:t xml:space="preserve"> </w:t>
      </w:r>
      <w:r>
        <w:rPr>
          <w:rFonts w:hint="eastAsia" w:ascii="宋体" w:hAnsi="宋体" w:cs="宋体"/>
          <w:snapToGrid w:val="0"/>
          <w:kern w:val="28"/>
          <w:sz w:val="24"/>
          <w:szCs w:val="20"/>
          <w:highlight w:val="none"/>
        </w:rPr>
        <w:t>以联合体形式投标的，提供联合协议；</w:t>
      </w:r>
    </w:p>
    <w:p w14:paraId="6B91A6D8">
      <w:pPr>
        <w:spacing w:line="360" w:lineRule="auto"/>
        <w:ind w:firstLine="480" w:firstLineChars="200"/>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3.落实政府采购政策需满足的资格要求：</w:t>
      </w:r>
    </w:p>
    <w:p w14:paraId="4DBA8A0E">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无</w:t>
      </w:r>
    </w:p>
    <w:p w14:paraId="084F0FFC">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cs="宋体"/>
              <w:kern w:val="0"/>
              <w:sz w:val="24"/>
              <w:highlight w:val="none"/>
            </w:rPr>
            <w:t>þ</w:t>
          </w:r>
        </w:sdtContent>
      </w:sdt>
      <w:r>
        <w:rPr>
          <w:rFonts w:hint="eastAsia" w:ascii="宋体" w:hAnsi="宋体" w:cs="宋体"/>
          <w:kern w:val="0"/>
          <w:sz w:val="24"/>
          <w:highlight w:val="none"/>
        </w:rPr>
        <w:t>专</w:t>
      </w:r>
      <w:r>
        <w:rPr>
          <w:rFonts w:hint="eastAsia" w:ascii="宋体" w:hAnsi="宋体" w:cs="宋体"/>
          <w:sz w:val="24"/>
          <w:highlight w:val="none"/>
        </w:rPr>
        <w:t>门面向中小企业</w:t>
      </w:r>
    </w:p>
    <w:p w14:paraId="5C24E24E">
      <w:pPr>
        <w:spacing w:line="360" w:lineRule="auto"/>
        <w:ind w:firstLine="897" w:firstLineChars="374"/>
        <w:rPr>
          <w:rFonts w:ascii="宋体" w:hAnsi="宋体" w:cs="宋体"/>
          <w:sz w:val="24"/>
          <w:highlight w:val="none"/>
        </w:rPr>
      </w:pPr>
      <w:sdt>
        <w:sdtPr>
          <w:rPr>
            <w:rFonts w:hint="eastAsia" w:ascii="宋体" w:hAnsi="宋体" w:cs="宋体"/>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cs="宋体"/>
              <w:kern w:val="0"/>
              <w:sz w:val="24"/>
              <w:highlight w:val="none"/>
            </w:rPr>
            <w:t>þ</w:t>
          </w:r>
        </w:sdtContent>
      </w:sdt>
      <w:r>
        <w:rPr>
          <w:rFonts w:hint="eastAsia" w:ascii="宋体" w:hAnsi="宋体" w:cs="宋体"/>
          <w:sz w:val="24"/>
          <w:highlight w:val="none"/>
        </w:rPr>
        <w:t>服务全部由符合政策要求的中小企业承接，提供中小企业声明函；</w:t>
      </w:r>
    </w:p>
    <w:p w14:paraId="0E0AA72D">
      <w:pPr>
        <w:spacing w:line="360" w:lineRule="auto"/>
        <w:ind w:firstLine="897" w:firstLineChars="374"/>
        <w:rPr>
          <w:rFonts w:ascii="宋体" w:hAnsi="宋体" w:cs="宋体"/>
          <w:sz w:val="24"/>
          <w:highlight w:val="none"/>
        </w:rPr>
      </w:pPr>
      <w:sdt>
        <w:sdtPr>
          <w:rPr>
            <w:rFonts w:hint="eastAsia" w:ascii="宋体" w:hAnsi="宋体" w:cs="宋体"/>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服务全部由符合政策要求的小微企业承接，提供中小企业声明函；</w:t>
      </w:r>
    </w:p>
    <w:p w14:paraId="49BC1ED9">
      <w:pPr>
        <w:rPr>
          <w:rFonts w:ascii="宋体" w:hAnsi="宋体" w:cs="宋体"/>
          <w:highlight w:val="none"/>
        </w:rPr>
      </w:pPr>
    </w:p>
    <w:p w14:paraId="50F838D5">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要求以联合体形式参加，提供联合协议和中小企业声明函，联合协议中中小企业合同金额应当达到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%，其中小微企业合同金额应当达到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highlight w:val="none"/>
        </w:rPr>
        <w:t>；</w:t>
      </w:r>
    </w:p>
    <w:p w14:paraId="5DA92097">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要求合同分包，提供分包意向协议和中小企业声明函，分包意向协议中中小企业合同金额应当达到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 ，其中小微企业合同金额应当达到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 ；</w:t>
      </w:r>
      <w:r>
        <w:rPr>
          <w:rFonts w:hint="eastAsia" w:ascii="宋体" w:hAnsi="宋体" w:cs="宋体"/>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highlight w:val="none"/>
        </w:rPr>
        <w:t>；</w:t>
      </w:r>
    </w:p>
    <w:p w14:paraId="3C541932">
      <w:pPr>
        <w:spacing w:line="360" w:lineRule="auto"/>
        <w:ind w:firstLine="480" w:firstLineChars="200"/>
        <w:rPr>
          <w:rFonts w:ascii="宋体" w:hAnsi="宋体" w:cs="宋体"/>
          <w:sz w:val="24"/>
          <w:highlight w:val="none"/>
        </w:rPr>
      </w:pPr>
      <w:r>
        <w:rPr>
          <w:rFonts w:hint="eastAsia" w:ascii="宋体" w:hAnsi="宋体" w:cs="宋体"/>
          <w:sz w:val="24"/>
          <w:highlight w:val="none"/>
        </w:rPr>
        <w:t>4.本项目的特定资格要求：</w:t>
      </w:r>
      <w:r>
        <w:rPr>
          <w:rFonts w:hint="eastAsia" w:ascii="宋体" w:hAnsi="宋体" w:cs="宋体"/>
          <w:sz w:val="24"/>
          <w:highlight w:val="none"/>
          <w:lang w:val="en-US" w:eastAsia="zh-CN"/>
        </w:rPr>
        <w:t>无</w:t>
      </w:r>
      <w:r>
        <w:rPr>
          <w:rFonts w:hint="eastAsia" w:ascii="宋体" w:hAnsi="宋体" w:cs="宋体"/>
          <w:sz w:val="24"/>
          <w:highlight w:val="none"/>
        </w:rPr>
        <w:t>。</w:t>
      </w:r>
    </w:p>
    <w:p w14:paraId="015772ED">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2E0A6D2">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未在中国裁判文书网有行贿犯罪相关记录。（以投标截止日当天中国裁判文书网查询结果为准，如相关记录已失效，供应商需提供相关证明资料；若在开标当天因不可抗力事件导致无法查询且一时无法恢复查询的，可在中标公示期间对中标候选人进行事后查询。中标候选人在中国裁判文书网有行贿犯罪相关记录，采购人将依法取消其中标资格）。</w:t>
      </w:r>
    </w:p>
    <w:p w14:paraId="4F6C8D06">
      <w:pPr>
        <w:spacing w:line="360" w:lineRule="auto"/>
        <w:rPr>
          <w:rFonts w:ascii="宋体" w:hAnsi="宋体" w:cs="宋体"/>
          <w:b/>
          <w:sz w:val="24"/>
          <w:highlight w:val="none"/>
        </w:rPr>
      </w:pPr>
      <w:r>
        <w:rPr>
          <w:rFonts w:hint="eastAsia" w:ascii="宋体" w:hAnsi="宋体" w:cs="宋体"/>
          <w:b/>
          <w:sz w:val="24"/>
          <w:highlight w:val="none"/>
        </w:rPr>
        <w:t xml:space="preserve">三、获取招标文件 </w:t>
      </w:r>
    </w:p>
    <w:p w14:paraId="126AF025">
      <w:pPr>
        <w:spacing w:line="360" w:lineRule="auto"/>
        <w:ind w:firstLine="482" w:firstLineChars="200"/>
        <w:rPr>
          <w:rFonts w:ascii="宋体" w:hAnsi="宋体" w:cs="宋体"/>
          <w:sz w:val="24"/>
          <w:highlight w:val="none"/>
        </w:rPr>
      </w:pPr>
      <w:r>
        <w:rPr>
          <w:rFonts w:hint="eastAsia" w:ascii="宋体" w:hAnsi="宋体" w:cs="宋体"/>
          <w:b/>
          <w:sz w:val="24"/>
          <w:highlight w:val="none"/>
        </w:rPr>
        <w:t>时间：</w:t>
      </w:r>
      <w:r>
        <w:rPr>
          <w:rFonts w:hint="eastAsia" w:ascii="宋体" w:hAnsi="宋体" w:cs="宋体"/>
          <w:sz w:val="24"/>
          <w:highlight w:val="none"/>
          <w:lang w:val="en-US" w:eastAsia="zh-CN"/>
        </w:rPr>
        <w:t>2025</w:t>
      </w:r>
      <w:r>
        <w:rPr>
          <w:rFonts w:hint="eastAsia" w:ascii="宋体" w:hAnsi="宋体" w:cs="宋体"/>
          <w:sz w:val="24"/>
          <w:highlight w:val="none"/>
        </w:rPr>
        <w:t>年  月  日至</w:t>
      </w:r>
      <w:r>
        <w:rPr>
          <w:rFonts w:hint="eastAsia" w:ascii="宋体" w:hAnsi="宋体" w:cs="宋体"/>
          <w:sz w:val="24"/>
          <w:highlight w:val="none"/>
          <w:lang w:val="en-US" w:eastAsia="zh-CN"/>
        </w:rPr>
        <w:t>2025</w:t>
      </w:r>
      <w:r>
        <w:rPr>
          <w:rFonts w:hint="eastAsia" w:ascii="宋体" w:hAnsi="宋体" w:cs="宋体"/>
          <w:sz w:val="24"/>
          <w:highlight w:val="none"/>
        </w:rPr>
        <w:t>年  月  日，每天上午00:00至12:00 ，下午12:00至23:59（北京时间，线上获取法定节假日均可，线下获取文件法定节假日除外）</w:t>
      </w:r>
    </w:p>
    <w:p w14:paraId="2B8B65DA">
      <w:pPr>
        <w:spacing w:line="360" w:lineRule="auto"/>
        <w:ind w:firstLine="482" w:firstLineChars="200"/>
        <w:rPr>
          <w:rFonts w:ascii="宋体" w:hAnsi="宋体" w:cs="宋体"/>
          <w:sz w:val="24"/>
          <w:highlight w:val="none"/>
        </w:rPr>
      </w:pPr>
      <w:r>
        <w:rPr>
          <w:rFonts w:hint="eastAsia" w:ascii="宋体" w:hAnsi="宋体" w:cs="宋体"/>
          <w:b/>
          <w:sz w:val="24"/>
          <w:highlight w:val="none"/>
        </w:rPr>
        <w:t>地点（网址）：</w:t>
      </w:r>
      <w:r>
        <w:rPr>
          <w:rFonts w:hint="eastAsia" w:ascii="宋体" w:hAnsi="宋体" w:cs="宋体"/>
          <w:sz w:val="24"/>
          <w:highlight w:val="none"/>
        </w:rPr>
        <w:t xml:space="preserve">政采云平台（https://www.zcygov.cn/） </w:t>
      </w:r>
    </w:p>
    <w:p w14:paraId="1DCF2EB2">
      <w:pPr>
        <w:spacing w:line="360" w:lineRule="auto"/>
        <w:ind w:firstLine="482" w:firstLineChars="200"/>
        <w:rPr>
          <w:rFonts w:ascii="宋体" w:hAnsi="宋体" w:cs="宋体"/>
          <w:sz w:val="24"/>
          <w:highlight w:val="none"/>
        </w:rPr>
      </w:pPr>
      <w:r>
        <w:rPr>
          <w:rFonts w:hint="eastAsia" w:ascii="宋体" w:hAnsi="宋体" w:cs="宋体"/>
          <w:b/>
          <w:sz w:val="24"/>
          <w:highlight w:val="none"/>
        </w:rPr>
        <w:t>方式：</w:t>
      </w:r>
      <w:r>
        <w:rPr>
          <w:rFonts w:hint="eastAsia" w:ascii="宋体" w:hAnsi="宋体" w:cs="宋体"/>
          <w:sz w:val="24"/>
          <w:highlight w:val="none"/>
        </w:rPr>
        <w:t xml:space="preserve">供应商登录政采云平台https://www.zcygov.cn/在线申请获取采购文件（进入“项目采购”应用，在获取采购文件菜单中选择项目，申请获取采购文件）。 </w:t>
      </w:r>
    </w:p>
    <w:p w14:paraId="303F159E">
      <w:pPr>
        <w:spacing w:line="360" w:lineRule="auto"/>
        <w:ind w:firstLine="482" w:firstLineChars="200"/>
        <w:rPr>
          <w:rFonts w:ascii="宋体" w:hAnsi="宋体" w:cs="宋体"/>
          <w:sz w:val="24"/>
          <w:highlight w:val="none"/>
        </w:rPr>
      </w:pPr>
      <w:r>
        <w:rPr>
          <w:rFonts w:hint="eastAsia" w:ascii="宋体" w:hAnsi="宋体" w:cs="宋体"/>
          <w:b/>
          <w:sz w:val="24"/>
          <w:highlight w:val="none"/>
        </w:rPr>
        <w:t>售价（元）：</w:t>
      </w:r>
      <w:r>
        <w:rPr>
          <w:rFonts w:hint="eastAsia" w:ascii="宋体" w:hAnsi="宋体" w:cs="宋体"/>
          <w:sz w:val="24"/>
          <w:highlight w:val="none"/>
        </w:rPr>
        <w:t xml:space="preserve">0 </w:t>
      </w:r>
      <w:r>
        <w:rPr>
          <w:rFonts w:hint="eastAsia" w:ascii="宋体" w:hAnsi="宋体" w:cs="宋体"/>
          <w:sz w:val="24"/>
          <w:highlight w:val="none"/>
        </w:rPr>
        <w:tab/>
      </w:r>
    </w:p>
    <w:p w14:paraId="7F2D15A7">
      <w:pPr>
        <w:spacing w:line="360" w:lineRule="auto"/>
        <w:rPr>
          <w:rFonts w:ascii="宋体" w:hAnsi="宋体" w:cs="宋体"/>
          <w:b/>
          <w:sz w:val="24"/>
          <w:highlight w:val="none"/>
        </w:rPr>
      </w:pPr>
      <w:r>
        <w:rPr>
          <w:rFonts w:hint="eastAsia" w:ascii="宋体" w:hAnsi="宋体" w:cs="宋体"/>
          <w:b/>
          <w:sz w:val="24"/>
          <w:highlight w:val="none"/>
        </w:rPr>
        <w:t>四、提交投标文件截止时间、开标时间和地点</w:t>
      </w:r>
    </w:p>
    <w:p w14:paraId="7FA49DE7">
      <w:pPr>
        <w:spacing w:line="360" w:lineRule="auto"/>
        <w:ind w:firstLine="482" w:firstLineChars="200"/>
        <w:rPr>
          <w:rFonts w:ascii="宋体" w:hAnsi="宋体" w:cs="宋体"/>
          <w:sz w:val="24"/>
          <w:highlight w:val="none"/>
        </w:rPr>
      </w:pPr>
      <w:r>
        <w:rPr>
          <w:rFonts w:hint="eastAsia" w:ascii="宋体" w:hAnsi="宋体" w:cs="宋体"/>
          <w:b/>
          <w:sz w:val="24"/>
          <w:highlight w:val="none"/>
        </w:rPr>
        <w:t>提交投标文件截止时间：</w:t>
      </w:r>
      <w:r>
        <w:rPr>
          <w:rFonts w:hint="eastAsia" w:ascii="宋体" w:hAnsi="宋体" w:cs="宋体"/>
          <w:sz w:val="24"/>
          <w:highlight w:val="none"/>
          <w:u w:val="single"/>
          <w:lang w:val="en-US" w:eastAsia="zh-CN"/>
        </w:rPr>
        <w:t>2025</w:t>
      </w:r>
      <w:r>
        <w:rPr>
          <w:rFonts w:hint="eastAsia" w:ascii="宋体" w:hAnsi="宋体" w:cs="宋体"/>
          <w:sz w:val="24"/>
          <w:highlight w:val="none"/>
          <w:u w:val="single"/>
        </w:rPr>
        <w:t>年  月  日13点30分00秒</w:t>
      </w:r>
      <w:r>
        <w:rPr>
          <w:rFonts w:hint="eastAsia" w:ascii="宋体" w:hAnsi="宋体" w:cs="宋体"/>
          <w:bCs/>
          <w:sz w:val="24"/>
          <w:highlight w:val="none"/>
          <w:u w:val="single"/>
        </w:rPr>
        <w:t xml:space="preserve"> </w:t>
      </w:r>
      <w:r>
        <w:rPr>
          <w:rFonts w:hint="eastAsia" w:ascii="宋体" w:hAnsi="宋体" w:cs="宋体"/>
          <w:sz w:val="24"/>
          <w:highlight w:val="none"/>
        </w:rPr>
        <w:t>（北京时间）</w:t>
      </w:r>
    </w:p>
    <w:p w14:paraId="694A98E2">
      <w:pPr>
        <w:spacing w:line="360" w:lineRule="auto"/>
        <w:ind w:firstLine="482" w:firstLineChars="200"/>
        <w:rPr>
          <w:rFonts w:ascii="宋体" w:hAnsi="宋体" w:cs="宋体"/>
          <w:b/>
          <w:sz w:val="24"/>
          <w:highlight w:val="none"/>
        </w:rPr>
      </w:pPr>
      <w:r>
        <w:rPr>
          <w:rFonts w:hint="eastAsia" w:ascii="宋体" w:hAnsi="宋体" w:cs="宋体"/>
          <w:b/>
          <w:sz w:val="24"/>
          <w:highlight w:val="none"/>
        </w:rPr>
        <w:t>投标地点（网址）：</w:t>
      </w:r>
      <w:r>
        <w:rPr>
          <w:rFonts w:hint="eastAsia" w:ascii="宋体" w:hAnsi="宋体" w:cs="宋体"/>
          <w:sz w:val="24"/>
          <w:highlight w:val="none"/>
        </w:rPr>
        <w:t xml:space="preserve">政采云平台（https://www.zcygov.cn/） </w:t>
      </w:r>
    </w:p>
    <w:p w14:paraId="6DD7FA94">
      <w:pPr>
        <w:spacing w:line="360" w:lineRule="auto"/>
        <w:ind w:firstLine="482" w:firstLineChars="200"/>
        <w:rPr>
          <w:rFonts w:ascii="宋体" w:hAnsi="宋体" w:cs="宋体"/>
          <w:bCs/>
          <w:sz w:val="24"/>
          <w:highlight w:val="none"/>
          <w:u w:val="single"/>
        </w:rPr>
      </w:pPr>
      <w:r>
        <w:rPr>
          <w:rFonts w:hint="eastAsia" w:ascii="宋体" w:hAnsi="宋体" w:cs="宋体"/>
          <w:b/>
          <w:sz w:val="24"/>
          <w:highlight w:val="none"/>
        </w:rPr>
        <w:t>开标时间：</w:t>
      </w:r>
      <w:r>
        <w:rPr>
          <w:rFonts w:hint="eastAsia" w:ascii="宋体" w:hAnsi="宋体" w:cs="宋体"/>
          <w:sz w:val="24"/>
          <w:highlight w:val="none"/>
          <w:u w:val="single"/>
          <w:lang w:val="en-US" w:eastAsia="zh-CN"/>
        </w:rPr>
        <w:t>2025</w:t>
      </w:r>
      <w:r>
        <w:rPr>
          <w:rFonts w:hint="eastAsia" w:ascii="宋体" w:hAnsi="宋体" w:cs="宋体"/>
          <w:sz w:val="24"/>
          <w:highlight w:val="none"/>
          <w:u w:val="single"/>
        </w:rPr>
        <w:t>年  月  日13点30分00秒</w:t>
      </w:r>
      <w:r>
        <w:rPr>
          <w:rFonts w:hint="eastAsia" w:ascii="宋体" w:hAnsi="宋体" w:cs="宋体"/>
          <w:bCs/>
          <w:sz w:val="24"/>
          <w:highlight w:val="none"/>
          <w:u w:val="single"/>
        </w:rPr>
        <w:t xml:space="preserve">  </w:t>
      </w:r>
    </w:p>
    <w:p w14:paraId="11B4EFDD">
      <w:pPr>
        <w:spacing w:line="360" w:lineRule="auto"/>
        <w:ind w:firstLine="482" w:firstLineChars="200"/>
        <w:rPr>
          <w:rFonts w:ascii="宋体" w:hAnsi="宋体" w:cs="宋体"/>
          <w:sz w:val="24"/>
          <w:highlight w:val="none"/>
        </w:rPr>
      </w:pPr>
      <w:r>
        <w:rPr>
          <w:rFonts w:hint="eastAsia" w:ascii="宋体" w:hAnsi="宋体" w:cs="宋体"/>
          <w:b/>
          <w:sz w:val="24"/>
          <w:highlight w:val="none"/>
        </w:rPr>
        <w:t>开标地点（网址）：</w:t>
      </w:r>
      <w:r>
        <w:rPr>
          <w:rFonts w:hint="eastAsia" w:ascii="宋体" w:hAnsi="宋体" w:cs="宋体"/>
          <w:sz w:val="24"/>
          <w:highlight w:val="none"/>
        </w:rPr>
        <w:t>政采云平台（https://www.zcygov.cn/）</w:t>
      </w:r>
    </w:p>
    <w:p w14:paraId="65629A92">
      <w:pPr>
        <w:spacing w:line="360" w:lineRule="auto"/>
        <w:rPr>
          <w:rFonts w:ascii="宋体" w:hAnsi="宋体" w:cs="宋体"/>
          <w:sz w:val="24"/>
          <w:highlight w:val="none"/>
        </w:rPr>
      </w:pPr>
      <w:r>
        <w:rPr>
          <w:rFonts w:hint="eastAsia" w:ascii="宋体" w:hAnsi="宋体" w:cs="宋体"/>
          <w:b/>
          <w:sz w:val="24"/>
          <w:highlight w:val="none"/>
        </w:rPr>
        <w:t xml:space="preserve">五、公告期限 </w:t>
      </w:r>
    </w:p>
    <w:p w14:paraId="12D0B01A">
      <w:pPr>
        <w:spacing w:line="360" w:lineRule="auto"/>
        <w:ind w:firstLine="480" w:firstLineChars="200"/>
        <w:rPr>
          <w:rFonts w:ascii="宋体" w:hAnsi="宋体" w:cs="宋体"/>
          <w:sz w:val="24"/>
          <w:highlight w:val="none"/>
        </w:rPr>
      </w:pPr>
      <w:r>
        <w:rPr>
          <w:rFonts w:hint="eastAsia" w:ascii="宋体" w:hAnsi="宋体" w:cs="宋体"/>
          <w:sz w:val="24"/>
          <w:highlight w:val="none"/>
        </w:rPr>
        <w:t>自本公告发布之日起5个工作日。</w:t>
      </w:r>
    </w:p>
    <w:p w14:paraId="6B009FD9">
      <w:pPr>
        <w:spacing w:line="360" w:lineRule="auto"/>
        <w:rPr>
          <w:rFonts w:ascii="宋体" w:hAnsi="宋体" w:cs="宋体"/>
          <w:b/>
          <w:sz w:val="24"/>
          <w:highlight w:val="none"/>
        </w:rPr>
      </w:pPr>
      <w:r>
        <w:rPr>
          <w:rFonts w:hint="eastAsia" w:ascii="宋体" w:hAnsi="宋体" w:cs="宋体"/>
          <w:b/>
          <w:sz w:val="24"/>
          <w:highlight w:val="none"/>
        </w:rPr>
        <w:t>六、其他补充事宜</w:t>
      </w:r>
    </w:p>
    <w:p w14:paraId="12012FD6">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5294DCB6">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2.根据《浙江省财政厅关于进一步促进政府采购公平竞争打造最优营商环境的通知》（浙财采监（2021）22号）文件关于“健全行政裁决机制”要求，鼓励供应商在线提起询问，路径为：政采云</w:t>
      </w:r>
      <w:r>
        <w:rPr>
          <w:rFonts w:hint="eastAsia" w:ascii="宋体" w:hAnsi="宋体" w:cs="宋体"/>
          <w:sz w:val="24"/>
          <w:highlight w:val="none"/>
          <w:lang w:eastAsia="zh-CN"/>
        </w:rPr>
        <w:t>－</w:t>
      </w:r>
      <w:r>
        <w:rPr>
          <w:rFonts w:hint="eastAsia" w:ascii="宋体" w:hAnsi="宋体" w:cs="宋体"/>
          <w:sz w:val="24"/>
          <w:highlight w:val="none"/>
        </w:rPr>
        <w:t>项目采购</w:t>
      </w:r>
      <w:r>
        <w:rPr>
          <w:rFonts w:hint="eastAsia" w:ascii="宋体" w:hAnsi="宋体" w:cs="宋体"/>
          <w:sz w:val="24"/>
          <w:highlight w:val="none"/>
          <w:lang w:eastAsia="zh-CN"/>
        </w:rPr>
        <w:t>－</w:t>
      </w:r>
      <w:r>
        <w:rPr>
          <w:rFonts w:hint="eastAsia" w:ascii="宋体" w:hAnsi="宋体" w:cs="宋体"/>
          <w:sz w:val="24"/>
          <w:highlight w:val="none"/>
        </w:rPr>
        <w:t>询问质疑投诉</w:t>
      </w:r>
      <w:r>
        <w:rPr>
          <w:rFonts w:hint="eastAsia" w:ascii="宋体" w:hAnsi="宋体" w:cs="宋体"/>
          <w:sz w:val="24"/>
          <w:highlight w:val="none"/>
          <w:lang w:eastAsia="zh-CN"/>
        </w:rPr>
        <w:t>－</w:t>
      </w:r>
      <w:r>
        <w:rPr>
          <w:rFonts w:hint="eastAsia" w:ascii="宋体" w:hAnsi="宋体" w:cs="宋体"/>
          <w:sz w:val="24"/>
          <w:highlight w:val="none"/>
        </w:rPr>
        <w:t>询问列表</w:t>
      </w:r>
      <w:r>
        <w:rPr>
          <w:rFonts w:hint="eastAsia" w:ascii="宋体" w:hAnsi="宋体" w:cs="宋体"/>
          <w:sz w:val="24"/>
          <w:highlight w:val="none"/>
          <w:lang w:eastAsia="zh-CN"/>
        </w:rPr>
        <w:t>：</w:t>
      </w:r>
      <w:r>
        <w:rPr>
          <w:rFonts w:hint="eastAsia" w:ascii="宋体" w:hAnsi="宋体" w:cs="宋体"/>
          <w:sz w:val="24"/>
          <w:highlight w:val="none"/>
        </w:rPr>
        <w:t>鼓励供应商在线提起质疑，路径为：政采云</w:t>
      </w:r>
      <w:r>
        <w:rPr>
          <w:rFonts w:hint="eastAsia" w:ascii="宋体" w:hAnsi="宋体" w:cs="宋体"/>
          <w:sz w:val="24"/>
          <w:highlight w:val="none"/>
          <w:lang w:eastAsia="zh-CN"/>
        </w:rPr>
        <w:t>－</w:t>
      </w:r>
      <w:r>
        <w:rPr>
          <w:rFonts w:hint="eastAsia" w:ascii="宋体" w:hAnsi="宋体" w:cs="宋体"/>
          <w:sz w:val="24"/>
          <w:highlight w:val="none"/>
        </w:rPr>
        <w:t>项目采购</w:t>
      </w:r>
      <w:r>
        <w:rPr>
          <w:rFonts w:hint="eastAsia" w:ascii="宋体" w:hAnsi="宋体" w:cs="宋体"/>
          <w:sz w:val="24"/>
          <w:highlight w:val="none"/>
          <w:lang w:eastAsia="zh-CN"/>
        </w:rPr>
        <w:t>－</w:t>
      </w:r>
      <w:r>
        <w:rPr>
          <w:rFonts w:hint="eastAsia" w:ascii="宋体" w:hAnsi="宋体" w:cs="宋体"/>
          <w:sz w:val="24"/>
          <w:highlight w:val="none"/>
        </w:rPr>
        <w:t>询问质疑投诉</w:t>
      </w:r>
      <w:r>
        <w:rPr>
          <w:rFonts w:hint="eastAsia" w:ascii="宋体" w:hAnsi="宋体" w:cs="宋体"/>
          <w:sz w:val="24"/>
          <w:highlight w:val="none"/>
          <w:lang w:eastAsia="zh-CN"/>
        </w:rPr>
        <w:t>－</w:t>
      </w:r>
      <w:r>
        <w:rPr>
          <w:rFonts w:hint="eastAsia" w:ascii="宋体" w:hAnsi="宋体" w:cs="宋体"/>
          <w:sz w:val="24"/>
          <w:highlight w:val="none"/>
        </w:rPr>
        <w:t>质疑列表。质疑供应商对在线质疑答复不满意的，可在线提起投诉，路径为：浙江政府服务网</w:t>
      </w:r>
      <w:r>
        <w:rPr>
          <w:rFonts w:hint="eastAsia" w:ascii="宋体" w:hAnsi="宋体" w:cs="宋体"/>
          <w:sz w:val="24"/>
          <w:highlight w:val="none"/>
          <w:lang w:eastAsia="zh-CN"/>
        </w:rPr>
        <w:t>－</w:t>
      </w:r>
      <w:r>
        <w:rPr>
          <w:rFonts w:hint="eastAsia" w:ascii="宋体" w:hAnsi="宋体" w:cs="宋体"/>
          <w:sz w:val="24"/>
          <w:highlight w:val="none"/>
        </w:rPr>
        <w:t>政府采购投诉处理</w:t>
      </w:r>
      <w:r>
        <w:rPr>
          <w:rFonts w:hint="eastAsia" w:ascii="宋体" w:hAnsi="宋体" w:cs="宋体"/>
          <w:sz w:val="24"/>
          <w:highlight w:val="none"/>
          <w:lang w:eastAsia="zh-CN"/>
        </w:rPr>
        <w:t>－</w:t>
      </w:r>
      <w:r>
        <w:rPr>
          <w:rFonts w:hint="eastAsia" w:ascii="宋体" w:hAnsi="宋体" w:cs="宋体"/>
          <w:sz w:val="24"/>
          <w:highlight w:val="none"/>
        </w:rPr>
        <w:t>在线办理。</w:t>
      </w:r>
    </w:p>
    <w:p w14:paraId="33E42642">
      <w:pPr>
        <w:spacing w:line="360" w:lineRule="auto"/>
        <w:ind w:firstLine="480" w:firstLineChars="200"/>
        <w:rPr>
          <w:rFonts w:ascii="宋体" w:hAnsi="宋体" w:cs="宋体"/>
          <w:sz w:val="24"/>
          <w:highlight w:val="none"/>
        </w:rPr>
      </w:pPr>
      <w:r>
        <w:rPr>
          <w:rFonts w:hint="eastAsia" w:ascii="宋体" w:hAnsi="宋体" w:cs="宋体"/>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29C7A48">
      <w:pPr>
        <w:spacing w:line="360" w:lineRule="auto"/>
        <w:ind w:firstLine="480" w:firstLineChars="200"/>
        <w:rPr>
          <w:rFonts w:ascii="宋体" w:hAnsi="宋体" w:cs="宋体"/>
          <w:sz w:val="24"/>
          <w:highlight w:val="none"/>
        </w:rPr>
      </w:pPr>
      <w:r>
        <w:rPr>
          <w:rFonts w:hint="eastAsia" w:ascii="宋体" w:hAnsi="宋体" w:cs="宋体"/>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w:t>
      </w:r>
      <w:r>
        <w:rPr>
          <w:rFonts w:hint="eastAsia" w:ascii="宋体" w:hAnsi="宋体" w:cs="宋体"/>
          <w:sz w:val="24"/>
          <w:highlight w:val="none"/>
          <w:lang w:eastAsia="zh-CN"/>
        </w:rPr>
        <w:t>－－</w:t>
      </w:r>
      <w:r>
        <w:rPr>
          <w:rFonts w:hint="eastAsia" w:ascii="宋体" w:hAnsi="宋体" w:cs="宋体"/>
          <w:sz w:val="24"/>
          <w:highlight w:val="none"/>
        </w:rPr>
        <w:t>点击“商家入驻”，进行政府采购供应商资料填写；申领CA数字证书---申领流程详见“浙江政府采购网-下载专区</w:t>
      </w:r>
      <w:r>
        <w:rPr>
          <w:rFonts w:hint="eastAsia" w:ascii="宋体" w:hAnsi="宋体" w:cs="宋体"/>
          <w:sz w:val="24"/>
          <w:highlight w:val="none"/>
          <w:lang w:eastAsia="zh-CN"/>
        </w:rPr>
        <w:t>－</w:t>
      </w:r>
      <w:r>
        <w:rPr>
          <w:rFonts w:hint="eastAsia" w:ascii="宋体" w:hAnsi="宋体" w:cs="宋体"/>
          <w:sz w:val="24"/>
          <w:highlight w:val="none"/>
        </w:rPr>
        <w:t>电子交易客户端-CA驱动和申领流程”；安装“政采云电子交易客户端”----前往“浙江政府采购网-下载专区</w:t>
      </w:r>
      <w:r>
        <w:rPr>
          <w:rFonts w:hint="eastAsia" w:ascii="宋体" w:hAnsi="宋体" w:cs="宋体"/>
          <w:sz w:val="24"/>
          <w:highlight w:val="none"/>
          <w:lang w:eastAsia="zh-CN"/>
        </w:rPr>
        <w:t>－</w:t>
      </w:r>
      <w:r>
        <w:rPr>
          <w:rFonts w:hint="eastAsia" w:ascii="宋体" w:hAnsi="宋体" w:cs="宋体"/>
          <w:sz w:val="24"/>
          <w:highlight w:val="none"/>
        </w:rPr>
        <w:t>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w:t>
      </w:r>
      <w:r>
        <w:rPr>
          <w:rFonts w:hint="eastAsia" w:ascii="宋体" w:hAnsi="宋体" w:cs="宋体"/>
          <w:sz w:val="24"/>
          <w:highlight w:val="none"/>
          <w:lang w:eastAsia="zh-CN"/>
        </w:rPr>
        <w:t>”“</w:t>
      </w:r>
      <w:r>
        <w:rPr>
          <w:rFonts w:hint="eastAsia" w:ascii="宋体" w:hAnsi="宋体" w:cs="宋体"/>
          <w:sz w:val="24"/>
          <w:highlight w:val="none"/>
        </w:rPr>
        <w:t>导入投标文件</w:t>
      </w:r>
      <w:r>
        <w:rPr>
          <w:rFonts w:hint="eastAsia" w:ascii="宋体" w:hAnsi="宋体" w:cs="宋体"/>
          <w:sz w:val="24"/>
          <w:highlight w:val="none"/>
          <w:lang w:eastAsia="zh-CN"/>
        </w:rPr>
        <w:t>”“</w:t>
      </w:r>
      <w:r>
        <w:rPr>
          <w:rFonts w:hint="eastAsia" w:ascii="宋体" w:hAnsi="宋体" w:cs="宋体"/>
          <w:sz w:val="24"/>
          <w:highlight w:val="none"/>
        </w:rPr>
        <w:t>标书关联</w:t>
      </w:r>
      <w:r>
        <w:rPr>
          <w:rFonts w:hint="eastAsia" w:ascii="宋体" w:hAnsi="宋体" w:cs="宋体"/>
          <w:sz w:val="24"/>
          <w:highlight w:val="none"/>
          <w:lang w:eastAsia="zh-CN"/>
        </w:rPr>
        <w:t>”“</w:t>
      </w:r>
      <w:r>
        <w:rPr>
          <w:rFonts w:hint="eastAsia" w:ascii="宋体" w:hAnsi="宋体" w:cs="宋体"/>
          <w:sz w:val="24"/>
          <w:highlight w:val="none"/>
        </w:rPr>
        <w:t>标书检查</w:t>
      </w:r>
      <w:r>
        <w:rPr>
          <w:rFonts w:hint="eastAsia" w:ascii="宋体" w:hAnsi="宋体" w:cs="宋体"/>
          <w:sz w:val="24"/>
          <w:highlight w:val="none"/>
          <w:lang w:eastAsia="zh-CN"/>
        </w:rPr>
        <w:t>”“</w:t>
      </w:r>
      <w:r>
        <w:rPr>
          <w:rFonts w:hint="eastAsia" w:ascii="宋体" w:hAnsi="宋体" w:cs="宋体"/>
          <w:sz w:val="24"/>
          <w:highlight w:val="none"/>
        </w:rPr>
        <w:t>电子签名</w:t>
      </w:r>
      <w:r>
        <w:rPr>
          <w:rFonts w:hint="eastAsia" w:ascii="宋体" w:hAnsi="宋体" w:cs="宋体"/>
          <w:sz w:val="24"/>
          <w:highlight w:val="none"/>
          <w:lang w:eastAsia="zh-CN"/>
        </w:rPr>
        <w:t>”“</w:t>
      </w:r>
      <w:r>
        <w:rPr>
          <w:rFonts w:hint="eastAsia" w:ascii="宋体" w:hAnsi="宋体" w:cs="宋体"/>
          <w:sz w:val="24"/>
          <w:highlight w:val="none"/>
        </w:rPr>
        <w:t>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w:t>
      </w:r>
      <w:r>
        <w:rPr>
          <w:rFonts w:hint="eastAsia" w:ascii="宋体" w:hAnsi="宋体" w:cs="宋体"/>
          <w:sz w:val="24"/>
          <w:highlight w:val="none"/>
          <w:lang w:eastAsia="zh-CN"/>
        </w:rPr>
        <w:t>－</w:t>
      </w:r>
      <w:r>
        <w:rPr>
          <w:rFonts w:hint="eastAsia" w:ascii="宋体" w:hAnsi="宋体" w:cs="宋体"/>
          <w:sz w:val="24"/>
          <w:highlight w:val="none"/>
        </w:rPr>
        <w:t>帮助文档</w:t>
      </w:r>
      <w:r>
        <w:rPr>
          <w:rFonts w:hint="eastAsia" w:ascii="宋体" w:hAnsi="宋体" w:cs="宋体"/>
          <w:sz w:val="24"/>
          <w:highlight w:val="none"/>
          <w:lang w:eastAsia="zh-CN"/>
        </w:rPr>
        <w:t>－</w:t>
      </w:r>
      <w:r>
        <w:rPr>
          <w:rFonts w:hint="eastAsia" w:ascii="宋体" w:hAnsi="宋体" w:cs="宋体"/>
          <w:sz w:val="24"/>
          <w:highlight w:val="none"/>
        </w:rPr>
        <w:t>项目采购</w:t>
      </w:r>
      <w:r>
        <w:rPr>
          <w:rFonts w:hint="eastAsia" w:ascii="宋体" w:hAnsi="宋体" w:cs="宋体"/>
          <w:sz w:val="24"/>
          <w:highlight w:val="none"/>
          <w:lang w:eastAsia="zh-CN"/>
        </w:rPr>
        <w:t>－</w:t>
      </w:r>
      <w:r>
        <w:rPr>
          <w:rFonts w:hint="eastAsia" w:ascii="宋体" w:hAnsi="宋体" w:cs="宋体"/>
          <w:sz w:val="24"/>
          <w:highlight w:val="none"/>
        </w:rPr>
        <w:t>操作流程</w:t>
      </w:r>
      <w:r>
        <w:rPr>
          <w:rFonts w:hint="eastAsia" w:ascii="宋体" w:hAnsi="宋体" w:cs="宋体"/>
          <w:sz w:val="24"/>
          <w:highlight w:val="none"/>
          <w:lang w:eastAsia="zh-CN"/>
        </w:rPr>
        <w:t>－</w:t>
      </w:r>
      <w:r>
        <w:rPr>
          <w:rFonts w:hint="eastAsia" w:ascii="宋体" w:hAnsi="宋体" w:cs="宋体"/>
          <w:sz w:val="24"/>
          <w:highlight w:val="none"/>
        </w:rPr>
        <w:t>电子招投标</w:t>
      </w:r>
      <w:r>
        <w:rPr>
          <w:rFonts w:hint="eastAsia" w:ascii="宋体" w:hAnsi="宋体" w:cs="宋体"/>
          <w:sz w:val="24"/>
          <w:highlight w:val="none"/>
          <w:lang w:eastAsia="zh-CN"/>
        </w:rPr>
        <w:t>－</w:t>
      </w:r>
      <w:r>
        <w:rPr>
          <w:rFonts w:hint="eastAsia" w:ascii="宋体" w:hAnsi="宋体" w:cs="宋体"/>
          <w:sz w:val="24"/>
          <w:highlight w:val="none"/>
        </w:rPr>
        <w:t>政府采购项目电子交易管理操作指南</w:t>
      </w:r>
      <w:r>
        <w:rPr>
          <w:rFonts w:hint="eastAsia" w:ascii="宋体" w:hAnsi="宋体" w:cs="宋体"/>
          <w:sz w:val="24"/>
          <w:highlight w:val="none"/>
          <w:lang w:eastAsia="zh-CN"/>
        </w:rPr>
        <w:t>－</w:t>
      </w:r>
      <w:r>
        <w:rPr>
          <w:rFonts w:hint="eastAsia" w:ascii="宋体" w:hAnsi="宋体" w:cs="宋体"/>
          <w:sz w:val="24"/>
          <w:highlight w:val="none"/>
        </w:rPr>
        <w:t>供应商”。（3）招标文件公告期限与招标公告的公告期限一致。（4）本招标公告中二、申请人的资格要求：第一条中的“重大税收违法案件当事人名单”即为“重大税收违法失信主体”。</w:t>
      </w:r>
    </w:p>
    <w:p w14:paraId="580C00DC">
      <w:pPr>
        <w:spacing w:line="360" w:lineRule="auto"/>
        <w:rPr>
          <w:rFonts w:ascii="宋体" w:hAnsi="宋体" w:cs="宋体"/>
          <w:b/>
          <w:sz w:val="24"/>
          <w:highlight w:val="none"/>
        </w:rPr>
      </w:pPr>
      <w:r>
        <w:rPr>
          <w:rFonts w:hint="eastAsia" w:ascii="宋体" w:hAnsi="宋体" w:cs="宋体"/>
          <w:b/>
          <w:sz w:val="24"/>
          <w:highlight w:val="none"/>
        </w:rPr>
        <w:t>七、对本次采购提出询问、质疑、投诉，请按以下方式联系</w:t>
      </w:r>
    </w:p>
    <w:p w14:paraId="5F89D68E">
      <w:pPr>
        <w:spacing w:line="360" w:lineRule="auto"/>
        <w:ind w:firstLine="480" w:firstLineChars="200"/>
        <w:rPr>
          <w:rFonts w:ascii="宋体" w:hAnsi="宋体" w:cs="宋体"/>
          <w:sz w:val="24"/>
          <w:highlight w:val="none"/>
        </w:rPr>
      </w:pPr>
      <w:r>
        <w:rPr>
          <w:rFonts w:hint="eastAsia" w:ascii="宋体" w:hAnsi="宋体" w:cs="宋体"/>
          <w:sz w:val="24"/>
          <w:highlight w:val="none"/>
        </w:rPr>
        <w:t>1.采购人信息</w:t>
      </w:r>
    </w:p>
    <w:p w14:paraId="5845881D">
      <w:pPr>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名    称：宁海县市场监督管理局</w:t>
      </w:r>
    </w:p>
    <w:p w14:paraId="42BEF69E">
      <w:pPr>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 xml:space="preserve">地    址：宁海县环城西路36号 </w:t>
      </w:r>
    </w:p>
    <w:p w14:paraId="6043035C">
      <w:pPr>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 xml:space="preserve">传    真：/ </w:t>
      </w:r>
    </w:p>
    <w:p w14:paraId="226F5EF8">
      <w:pPr>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项目联系人（询问）：</w:t>
      </w:r>
      <w:r>
        <w:rPr>
          <w:rFonts w:hint="eastAsia" w:ascii="宋体" w:hAnsi="宋体" w:cs="宋体"/>
          <w:color w:val="000000" w:themeColor="text1"/>
          <w:sz w:val="24"/>
          <w:highlight w:val="none"/>
          <w:lang w:val="en-US" w:eastAsia="zh-CN"/>
          <w14:textFill>
            <w14:solidFill>
              <w14:schemeClr w14:val="tx1"/>
            </w14:solidFill>
          </w14:textFill>
        </w:rPr>
        <w:t>戴宁宁</w:t>
      </w:r>
      <w:r>
        <w:rPr>
          <w:rFonts w:hint="eastAsia" w:ascii="宋体" w:hAnsi="宋体" w:cs="宋体"/>
          <w:sz w:val="24"/>
          <w:highlight w:val="none"/>
          <w:lang w:eastAsia="zh-CN"/>
        </w:rPr>
        <w:t xml:space="preserve"> </w:t>
      </w:r>
    </w:p>
    <w:p w14:paraId="090167F3">
      <w:pPr>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项目联系方式（询问）：</w:t>
      </w:r>
      <w:r>
        <w:rPr>
          <w:rFonts w:hint="eastAsia" w:ascii="宋体" w:hAnsi="宋体" w:cs="宋体"/>
          <w:color w:val="000000" w:themeColor="text1"/>
          <w:sz w:val="24"/>
          <w:highlight w:val="none"/>
          <w:lang w:val="en-US" w:eastAsia="zh-CN"/>
          <w14:textFill>
            <w14:solidFill>
              <w14:schemeClr w14:val="tx1"/>
            </w14:solidFill>
          </w14:textFill>
        </w:rPr>
        <w:t>0574-65571701</w:t>
      </w:r>
    </w:p>
    <w:p w14:paraId="1D1CCBAE">
      <w:pP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sz w:val="24"/>
          <w:highlight w:val="none"/>
          <w:lang w:eastAsia="zh-CN"/>
        </w:rPr>
        <w:t>质</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疑联系人：王军锋 </w:t>
      </w:r>
    </w:p>
    <w:p w14:paraId="7088A66C">
      <w:pP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质疑联系方式：0574-65571702</w:t>
      </w:r>
    </w:p>
    <w:p w14:paraId="6DB8AB1F">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2.采购代理机构信息            </w:t>
      </w:r>
    </w:p>
    <w:p w14:paraId="6089A751">
      <w:pPr>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名    称：</w:t>
      </w:r>
      <w:r>
        <w:rPr>
          <w:rFonts w:hint="eastAsia" w:ascii="宋体" w:hAnsi="宋体" w:cs="宋体"/>
          <w:sz w:val="24"/>
          <w:highlight w:val="none"/>
          <w:lang w:eastAsia="zh-CN"/>
        </w:rPr>
        <w:t>浙江中基正采管理咨询有限公司</w:t>
      </w:r>
    </w:p>
    <w:p w14:paraId="1BE4AD36">
      <w:pPr>
        <w:spacing w:line="360" w:lineRule="auto"/>
        <w:ind w:firstLine="480" w:firstLineChars="200"/>
        <w:rPr>
          <w:rFonts w:ascii="宋体" w:hAnsi="宋体" w:cs="宋体"/>
          <w:sz w:val="24"/>
          <w:highlight w:val="none"/>
        </w:rPr>
      </w:pPr>
      <w:r>
        <w:rPr>
          <w:rFonts w:hint="eastAsia" w:ascii="宋体" w:hAnsi="宋体" w:cs="宋体"/>
          <w:sz w:val="24"/>
          <w:highlight w:val="none"/>
        </w:rPr>
        <w:t>地    址：宁波市鄞州区天童南路666号中基大厦19楼</w:t>
      </w:r>
    </w:p>
    <w:p w14:paraId="2ED5C1D7">
      <w:pPr>
        <w:spacing w:line="360" w:lineRule="auto"/>
        <w:ind w:firstLine="480" w:firstLineChars="200"/>
        <w:rPr>
          <w:rFonts w:ascii="宋体" w:hAnsi="宋体" w:cs="宋体"/>
          <w:sz w:val="24"/>
          <w:highlight w:val="none"/>
        </w:rPr>
      </w:pPr>
      <w:r>
        <w:rPr>
          <w:rFonts w:hint="eastAsia" w:ascii="宋体" w:hAnsi="宋体" w:cs="宋体"/>
          <w:sz w:val="24"/>
          <w:highlight w:val="none"/>
        </w:rPr>
        <w:t>传    真：0574-87425373</w:t>
      </w:r>
    </w:p>
    <w:p w14:paraId="597A2B0C">
      <w:pPr>
        <w:spacing w:line="360" w:lineRule="auto"/>
        <w:ind w:firstLine="480" w:firstLineChars="200"/>
        <w:rPr>
          <w:rFonts w:hint="default" w:ascii="宋体" w:hAnsi="宋体" w:eastAsia="宋体" w:cs="宋体"/>
          <w:sz w:val="24"/>
          <w:highlight w:val="none"/>
          <w:lang w:val="en-US" w:eastAsia="zh-CN"/>
        </w:rPr>
      </w:pPr>
      <w:r>
        <w:rPr>
          <w:rFonts w:hint="eastAsia" w:ascii="宋体" w:hAnsi="宋体" w:cs="宋体"/>
          <w:sz w:val="24"/>
          <w:highlight w:val="none"/>
        </w:rPr>
        <w:t>项目联系人（询问）：</w:t>
      </w:r>
      <w:r>
        <w:rPr>
          <w:rFonts w:hint="eastAsia" w:ascii="宋体" w:hAnsi="宋体" w:cs="宋体"/>
          <w:sz w:val="24"/>
          <w:highlight w:val="none"/>
          <w:lang w:val="en-US" w:eastAsia="zh-CN"/>
        </w:rPr>
        <w:t>朱贤东、史宇骁</w:t>
      </w:r>
    </w:p>
    <w:p w14:paraId="3ED25250">
      <w:pPr>
        <w:spacing w:line="360" w:lineRule="auto"/>
        <w:ind w:firstLine="480" w:firstLineChars="200"/>
        <w:rPr>
          <w:rFonts w:hint="default" w:ascii="宋体" w:hAnsi="宋体" w:eastAsia="宋体" w:cs="宋体"/>
          <w:sz w:val="24"/>
          <w:highlight w:val="none"/>
          <w:lang w:val="en-US" w:eastAsia="zh-CN"/>
        </w:rPr>
      </w:pPr>
      <w:r>
        <w:rPr>
          <w:rFonts w:hint="eastAsia" w:ascii="宋体" w:hAnsi="宋体" w:cs="宋体"/>
          <w:sz w:val="24"/>
          <w:highlight w:val="none"/>
        </w:rPr>
        <w:t>项目联系方式（询问）：0574-8742</w:t>
      </w:r>
      <w:r>
        <w:rPr>
          <w:rFonts w:hint="eastAsia" w:ascii="宋体" w:hAnsi="宋体" w:cs="宋体"/>
          <w:sz w:val="24"/>
          <w:highlight w:val="none"/>
          <w:lang w:val="en-US" w:eastAsia="zh-CN"/>
        </w:rPr>
        <w:t>5583</w:t>
      </w:r>
    </w:p>
    <w:p w14:paraId="4A796BEB">
      <w:pPr>
        <w:spacing w:line="360" w:lineRule="auto"/>
        <w:ind w:firstLine="480" w:firstLineChars="200"/>
        <w:rPr>
          <w:rFonts w:hint="default" w:ascii="宋体" w:hAnsi="宋体" w:eastAsia="宋体" w:cs="宋体"/>
          <w:sz w:val="24"/>
          <w:highlight w:val="none"/>
          <w:lang w:val="en-US" w:eastAsia="zh-CN"/>
        </w:rPr>
      </w:pPr>
      <w:r>
        <w:rPr>
          <w:rFonts w:hint="eastAsia" w:ascii="宋体" w:hAnsi="宋体" w:cs="宋体"/>
          <w:sz w:val="24"/>
          <w:highlight w:val="none"/>
        </w:rPr>
        <w:t>质疑联系人：</w:t>
      </w:r>
      <w:r>
        <w:rPr>
          <w:rFonts w:hint="eastAsia" w:ascii="宋体" w:hAnsi="宋体" w:cs="宋体"/>
          <w:sz w:val="24"/>
          <w:highlight w:val="none"/>
          <w:lang w:val="en-US" w:eastAsia="zh-CN"/>
        </w:rPr>
        <w:t>王近娜</w:t>
      </w:r>
    </w:p>
    <w:p w14:paraId="6076C315">
      <w:pPr>
        <w:spacing w:line="360" w:lineRule="auto"/>
        <w:ind w:firstLine="480" w:firstLineChars="200"/>
        <w:rPr>
          <w:rFonts w:hint="default" w:ascii="宋体" w:hAnsi="宋体" w:eastAsia="宋体" w:cs="宋体"/>
          <w:sz w:val="24"/>
          <w:highlight w:val="none"/>
          <w:lang w:val="en-US" w:eastAsia="zh-CN"/>
        </w:rPr>
      </w:pPr>
      <w:r>
        <w:rPr>
          <w:rFonts w:hint="eastAsia" w:ascii="宋体" w:hAnsi="宋体" w:cs="宋体"/>
          <w:sz w:val="24"/>
          <w:highlight w:val="none"/>
        </w:rPr>
        <w:t>质疑联系方式：0574-8742</w:t>
      </w:r>
      <w:r>
        <w:rPr>
          <w:rFonts w:hint="eastAsia" w:ascii="宋体" w:hAnsi="宋体" w:cs="宋体"/>
          <w:sz w:val="24"/>
          <w:highlight w:val="none"/>
          <w:lang w:val="en-US" w:eastAsia="zh-CN"/>
        </w:rPr>
        <w:t>5279</w:t>
      </w:r>
    </w:p>
    <w:p w14:paraId="048C4116">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3.同级政府采购监督管理部门            </w:t>
      </w:r>
    </w:p>
    <w:p w14:paraId="13A98BE9">
      <w:pPr>
        <w:spacing w:line="360" w:lineRule="auto"/>
        <w:ind w:firstLine="480" w:firstLineChars="200"/>
        <w:rPr>
          <w:rFonts w:ascii="宋体" w:hAnsi="宋体" w:cs="宋体"/>
          <w:sz w:val="24"/>
          <w:highlight w:val="none"/>
        </w:rPr>
      </w:pPr>
      <w:r>
        <w:rPr>
          <w:rFonts w:hint="eastAsia" w:ascii="宋体" w:hAnsi="宋体" w:cs="宋体"/>
          <w:sz w:val="24"/>
          <w:highlight w:val="none"/>
        </w:rPr>
        <w:t>名    称：宁海县政府采购管理办公室</w:t>
      </w:r>
    </w:p>
    <w:p w14:paraId="6A6935D8">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地    址：宁海县跃龙街道桃源中路218号 </w:t>
      </w:r>
    </w:p>
    <w:p w14:paraId="61439541">
      <w:pPr>
        <w:spacing w:line="360" w:lineRule="auto"/>
        <w:ind w:firstLine="480" w:firstLineChars="200"/>
        <w:rPr>
          <w:rFonts w:ascii="宋体" w:hAnsi="宋体" w:cs="宋体"/>
          <w:sz w:val="24"/>
          <w:highlight w:val="none"/>
        </w:rPr>
      </w:pPr>
      <w:r>
        <w:rPr>
          <w:rFonts w:hint="eastAsia" w:ascii="宋体" w:hAnsi="宋体" w:cs="宋体"/>
          <w:sz w:val="24"/>
          <w:highlight w:val="none"/>
        </w:rPr>
        <w:t>传    真：0574-65265612</w:t>
      </w:r>
    </w:p>
    <w:p w14:paraId="78C1CD21">
      <w:pPr>
        <w:spacing w:line="360" w:lineRule="auto"/>
        <w:ind w:firstLine="480" w:firstLineChars="200"/>
        <w:rPr>
          <w:rFonts w:ascii="宋体" w:hAnsi="宋体" w:cs="宋体"/>
          <w:sz w:val="24"/>
          <w:highlight w:val="none"/>
        </w:rPr>
      </w:pPr>
      <w:r>
        <w:rPr>
          <w:rFonts w:hint="eastAsia" w:ascii="宋体" w:hAnsi="宋体" w:cs="宋体"/>
          <w:sz w:val="24"/>
          <w:highlight w:val="none"/>
        </w:rPr>
        <w:t>联系人 ：王老师</w:t>
      </w:r>
      <w:bookmarkStart w:id="542" w:name="_GoBack"/>
      <w:bookmarkEnd w:id="542"/>
    </w:p>
    <w:p w14:paraId="3DE7681E">
      <w:pPr>
        <w:spacing w:line="360" w:lineRule="auto"/>
        <w:ind w:firstLine="480"/>
        <w:rPr>
          <w:rFonts w:ascii="宋体" w:hAnsi="宋体" w:cs="宋体"/>
          <w:sz w:val="24"/>
          <w:highlight w:val="none"/>
        </w:rPr>
      </w:pPr>
      <w:r>
        <w:rPr>
          <w:rFonts w:hint="eastAsia" w:ascii="宋体" w:hAnsi="宋体" w:cs="宋体"/>
          <w:sz w:val="24"/>
          <w:highlight w:val="none"/>
        </w:rPr>
        <w:t>监督投诉电话：0574-65265668</w:t>
      </w:r>
    </w:p>
    <w:p w14:paraId="71922DC6">
      <w:pPr>
        <w:spacing w:line="360" w:lineRule="auto"/>
        <w:ind w:firstLine="240" w:firstLineChars="100"/>
        <w:rPr>
          <w:rFonts w:ascii="宋体" w:hAnsi="宋体" w:cs="宋体"/>
          <w:sz w:val="24"/>
          <w:highlight w:val="none"/>
        </w:rPr>
      </w:pPr>
      <w:r>
        <w:rPr>
          <w:rFonts w:hint="eastAsia" w:ascii="宋体" w:hAnsi="宋体" w:cs="宋体"/>
          <w:sz w:val="24"/>
          <w:highlight w:val="none"/>
        </w:rPr>
        <w:t>若对项目采购电子交易系统操作有疑问，可登录政采云（https://www.zcygov.cn/），点击右侧咨询小采，获取采小蜜智能服务管家帮助，或拨打政采云服务热线95763获取热线服务帮助。</w:t>
      </w:r>
    </w:p>
    <w:p w14:paraId="0FF2EDD5">
      <w:pPr>
        <w:spacing w:line="360" w:lineRule="auto"/>
        <w:ind w:firstLine="480" w:firstLineChars="200"/>
        <w:rPr>
          <w:rFonts w:ascii="宋体" w:hAnsi="宋体" w:cs="宋体"/>
          <w:sz w:val="24"/>
          <w:highlight w:val="none"/>
        </w:rPr>
      </w:pPr>
      <w:r>
        <w:rPr>
          <w:rFonts w:hint="eastAsia" w:ascii="宋体" w:hAnsi="宋体" w:cs="宋体"/>
          <w:sz w:val="24"/>
          <w:highlight w:val="none"/>
        </w:rPr>
        <w:t>CA问题联系电话（人工）：汇信CA 400-888-4636；天谷CA 400-087-8198。</w:t>
      </w:r>
    </w:p>
    <w:p w14:paraId="759AC33E">
      <w:pPr>
        <w:widowControl/>
        <w:adjustRightInd/>
        <w:jc w:val="left"/>
        <w:rPr>
          <w:rFonts w:ascii="宋体" w:hAnsi="宋体" w:cs="宋体"/>
          <w:b/>
          <w:sz w:val="36"/>
          <w:szCs w:val="20"/>
          <w:highlight w:val="none"/>
        </w:rPr>
      </w:pPr>
      <w:r>
        <w:rPr>
          <w:rFonts w:hint="eastAsia" w:ascii="宋体" w:hAnsi="宋体" w:cs="宋体"/>
          <w:b/>
          <w:sz w:val="36"/>
          <w:szCs w:val="20"/>
          <w:highlight w:val="none"/>
        </w:rPr>
        <w:br w:type="page"/>
      </w:r>
    </w:p>
    <w:p w14:paraId="4D410A93">
      <w:pPr>
        <w:adjustRightInd/>
        <w:spacing w:line="360" w:lineRule="auto"/>
        <w:jc w:val="center"/>
        <w:outlineLvl w:val="0"/>
        <w:rPr>
          <w:rFonts w:ascii="宋体" w:hAnsi="宋体" w:cs="宋体"/>
          <w:b/>
          <w:sz w:val="36"/>
          <w:szCs w:val="20"/>
          <w:highlight w:val="none"/>
        </w:rPr>
      </w:pPr>
      <w:bookmarkStart w:id="11" w:name="_Toc1239"/>
      <w:r>
        <w:rPr>
          <w:rFonts w:hint="eastAsia" w:ascii="宋体" w:hAnsi="宋体" w:cs="宋体"/>
          <w:b/>
          <w:sz w:val="36"/>
          <w:szCs w:val="20"/>
          <w:highlight w:val="none"/>
        </w:rPr>
        <w:t>第二部分</w:t>
      </w:r>
      <w:bookmarkEnd w:id="8"/>
      <w:r>
        <w:rPr>
          <w:rFonts w:hint="eastAsia" w:ascii="宋体" w:hAnsi="宋体" w:cs="宋体"/>
          <w:b/>
          <w:sz w:val="36"/>
          <w:szCs w:val="20"/>
          <w:highlight w:val="none"/>
        </w:rPr>
        <w:t xml:space="preserve"> 投标人须知</w:t>
      </w:r>
      <w:bookmarkEnd w:id="9"/>
      <w:bookmarkEnd w:id="11"/>
    </w:p>
    <w:p w14:paraId="533F7634">
      <w:pPr>
        <w:adjustRightInd/>
        <w:spacing w:line="360" w:lineRule="auto"/>
        <w:ind w:firstLine="3845" w:firstLineChars="1197"/>
        <w:outlineLvl w:val="0"/>
        <w:rPr>
          <w:rFonts w:ascii="宋体" w:hAnsi="宋体" w:cs="宋体"/>
          <w:b/>
          <w:sz w:val="32"/>
          <w:szCs w:val="20"/>
          <w:highlight w:val="none"/>
        </w:rPr>
      </w:pPr>
      <w:bookmarkStart w:id="12" w:name="_Toc5573"/>
      <w:r>
        <w:rPr>
          <w:rFonts w:hint="eastAsia" w:ascii="宋体" w:hAnsi="宋体" w:cs="宋体"/>
          <w:b/>
          <w:sz w:val="32"/>
          <w:szCs w:val="20"/>
          <w:highlight w:val="none"/>
        </w:rPr>
        <w:t>前附表</w:t>
      </w:r>
      <w:bookmarkEnd w:id="12"/>
    </w:p>
    <w:tbl>
      <w:tblPr>
        <w:tblStyle w:val="62"/>
        <w:tblW w:w="902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629"/>
        <w:gridCol w:w="1473"/>
        <w:gridCol w:w="6918"/>
      </w:tblGrid>
      <w:tr w14:paraId="7A6A04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44A689B3">
            <w:pPr>
              <w:snapToGrid w:val="0"/>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473" w:type="dxa"/>
            <w:tcBorders>
              <w:top w:val="single" w:color="000000" w:sz="8" w:space="0"/>
              <w:left w:val="single" w:color="auto" w:sz="4" w:space="0"/>
              <w:bottom w:val="single" w:color="000000" w:sz="8" w:space="0"/>
              <w:right w:val="single" w:color="000000" w:sz="8" w:space="0"/>
            </w:tcBorders>
            <w:vAlign w:val="center"/>
          </w:tcPr>
          <w:p w14:paraId="43FD6594">
            <w:pPr>
              <w:snapToGrid w:val="0"/>
              <w:spacing w:line="360" w:lineRule="auto"/>
              <w:jc w:val="center"/>
              <w:rPr>
                <w:rFonts w:ascii="宋体" w:hAnsi="宋体" w:cs="宋体"/>
                <w:b/>
                <w:sz w:val="24"/>
                <w:highlight w:val="none"/>
              </w:rPr>
            </w:pPr>
            <w:r>
              <w:rPr>
                <w:rFonts w:hint="eastAsia" w:ascii="宋体" w:hAnsi="宋体" w:cs="宋体"/>
                <w:b/>
                <w:sz w:val="24"/>
                <w:highlight w:val="none"/>
              </w:rPr>
              <w:t>事项</w:t>
            </w:r>
          </w:p>
        </w:tc>
        <w:tc>
          <w:tcPr>
            <w:tcW w:w="6918" w:type="dxa"/>
            <w:tcBorders>
              <w:top w:val="single" w:color="000000" w:sz="8" w:space="0"/>
              <w:left w:val="single" w:color="000000" w:sz="2" w:space="0"/>
              <w:bottom w:val="single" w:color="000000" w:sz="8" w:space="0"/>
              <w:right w:val="single" w:color="000000" w:sz="8" w:space="0"/>
            </w:tcBorders>
            <w:vAlign w:val="center"/>
          </w:tcPr>
          <w:p w14:paraId="6B2EB887">
            <w:pPr>
              <w:snapToGrid w:val="0"/>
              <w:spacing w:line="360" w:lineRule="auto"/>
              <w:jc w:val="center"/>
              <w:rPr>
                <w:rFonts w:ascii="宋体" w:hAnsi="宋体" w:cs="宋体"/>
                <w:b/>
                <w:sz w:val="24"/>
                <w:highlight w:val="none"/>
              </w:rPr>
            </w:pPr>
            <w:r>
              <w:rPr>
                <w:rFonts w:hint="eastAsia" w:ascii="宋体" w:hAnsi="宋体" w:cs="宋体"/>
                <w:b/>
                <w:sz w:val="24"/>
                <w:highlight w:val="none"/>
              </w:rPr>
              <w:t>本项目的特别规定</w:t>
            </w:r>
          </w:p>
        </w:tc>
      </w:tr>
      <w:tr w14:paraId="64B527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02C83C2">
            <w:pPr>
              <w:snapToGrid w:val="0"/>
              <w:spacing w:line="360" w:lineRule="auto"/>
              <w:jc w:val="center"/>
              <w:rPr>
                <w:rFonts w:ascii="宋体" w:hAnsi="宋体" w:cs="宋体"/>
                <w:sz w:val="24"/>
                <w:highlight w:val="none"/>
              </w:rPr>
            </w:pPr>
            <w:r>
              <w:rPr>
                <w:rFonts w:hint="eastAsia" w:ascii="宋体" w:hAnsi="宋体" w:cs="宋体"/>
                <w:sz w:val="24"/>
                <w:highlight w:val="none"/>
              </w:rPr>
              <w:t>1</w:t>
            </w:r>
          </w:p>
        </w:tc>
        <w:tc>
          <w:tcPr>
            <w:tcW w:w="1473" w:type="dxa"/>
            <w:tcBorders>
              <w:top w:val="single" w:color="000000" w:sz="8" w:space="0"/>
              <w:left w:val="single" w:color="auto" w:sz="4" w:space="0"/>
              <w:bottom w:val="single" w:color="000000" w:sz="8" w:space="0"/>
              <w:right w:val="single" w:color="000000" w:sz="8" w:space="0"/>
            </w:tcBorders>
            <w:vAlign w:val="center"/>
          </w:tcPr>
          <w:p w14:paraId="56C77E5F">
            <w:pPr>
              <w:snapToGrid w:val="0"/>
              <w:spacing w:line="360" w:lineRule="auto"/>
              <w:jc w:val="center"/>
              <w:rPr>
                <w:rFonts w:hint="eastAsia" w:ascii="宋体" w:hAnsi="宋体" w:cs="宋体"/>
                <w:b/>
                <w:sz w:val="24"/>
                <w:highlight w:val="none"/>
              </w:rPr>
            </w:pPr>
            <w:r>
              <w:rPr>
                <w:rFonts w:hint="eastAsia" w:ascii="宋体" w:hAnsi="宋体" w:cs="宋体"/>
                <w:b/>
                <w:sz w:val="24"/>
                <w:highlight w:val="none"/>
              </w:rPr>
              <w:t>项目属性</w:t>
            </w:r>
          </w:p>
        </w:tc>
        <w:tc>
          <w:tcPr>
            <w:tcW w:w="6918" w:type="dxa"/>
            <w:tcBorders>
              <w:top w:val="single" w:color="000000" w:sz="8" w:space="0"/>
              <w:left w:val="single" w:color="000000" w:sz="2" w:space="0"/>
              <w:bottom w:val="single" w:color="000000" w:sz="8" w:space="0"/>
              <w:right w:val="single" w:color="000000" w:sz="8" w:space="0"/>
            </w:tcBorders>
            <w:vAlign w:val="center"/>
          </w:tcPr>
          <w:p w14:paraId="3E47D4A2">
            <w:pPr>
              <w:spacing w:line="360" w:lineRule="auto"/>
              <w:rPr>
                <w:rFonts w:ascii="宋体" w:hAnsi="宋体" w:cs="宋体"/>
                <w:sz w:val="24"/>
                <w:highlight w:val="none"/>
              </w:rPr>
            </w:pPr>
            <w:r>
              <w:rPr>
                <w:rFonts w:hint="eastAsia" w:ascii="宋体" w:hAnsi="宋体" w:cs="宋体"/>
                <w:sz w:val="24"/>
                <w:highlight w:val="none"/>
              </w:rPr>
              <w:t>服务类。</w:t>
            </w:r>
          </w:p>
        </w:tc>
      </w:tr>
      <w:tr w14:paraId="51495D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4C066CD">
            <w:pPr>
              <w:snapToGrid w:val="0"/>
              <w:spacing w:line="360" w:lineRule="auto"/>
              <w:jc w:val="center"/>
              <w:rPr>
                <w:rFonts w:ascii="宋体" w:hAnsi="宋体" w:cs="宋体"/>
                <w:sz w:val="24"/>
                <w:highlight w:val="none"/>
              </w:rPr>
            </w:pPr>
            <w:r>
              <w:rPr>
                <w:rFonts w:hint="eastAsia" w:ascii="宋体" w:hAnsi="宋体" w:cs="宋体"/>
                <w:sz w:val="24"/>
                <w:highlight w:val="none"/>
              </w:rPr>
              <w:t>2</w:t>
            </w:r>
          </w:p>
        </w:tc>
        <w:tc>
          <w:tcPr>
            <w:tcW w:w="1473" w:type="dxa"/>
            <w:tcBorders>
              <w:top w:val="single" w:color="000000" w:sz="8" w:space="0"/>
              <w:left w:val="single" w:color="auto" w:sz="4" w:space="0"/>
              <w:bottom w:val="single" w:color="000000" w:sz="8" w:space="0"/>
              <w:right w:val="single" w:color="000000" w:sz="8" w:space="0"/>
            </w:tcBorders>
            <w:vAlign w:val="center"/>
          </w:tcPr>
          <w:p w14:paraId="34349479">
            <w:pPr>
              <w:snapToGrid w:val="0"/>
              <w:spacing w:line="360" w:lineRule="auto"/>
              <w:jc w:val="center"/>
              <w:rPr>
                <w:rFonts w:hint="eastAsia" w:ascii="宋体" w:hAnsi="宋体" w:cs="宋体"/>
                <w:b/>
                <w:sz w:val="24"/>
                <w:highlight w:val="none"/>
              </w:rPr>
            </w:pPr>
            <w:r>
              <w:rPr>
                <w:rFonts w:hint="eastAsia" w:ascii="宋体" w:hAnsi="宋体" w:cs="宋体"/>
                <w:b/>
                <w:sz w:val="24"/>
                <w:highlight w:val="none"/>
              </w:rPr>
              <w:t>采购标的及其对应的中小企业划分标准所属行业</w:t>
            </w:r>
          </w:p>
        </w:tc>
        <w:tc>
          <w:tcPr>
            <w:tcW w:w="6918" w:type="dxa"/>
            <w:tcBorders>
              <w:top w:val="single" w:color="000000" w:sz="8" w:space="0"/>
              <w:left w:val="single" w:color="000000" w:sz="2" w:space="0"/>
              <w:bottom w:val="single" w:color="000000" w:sz="8" w:space="0"/>
              <w:right w:val="single" w:color="000000" w:sz="8" w:space="0"/>
            </w:tcBorders>
            <w:vAlign w:val="center"/>
          </w:tcPr>
          <w:p w14:paraId="6030C32B">
            <w:pPr>
              <w:snapToGrid w:val="0"/>
              <w:spacing w:line="360" w:lineRule="auto"/>
              <w:rPr>
                <w:rFonts w:ascii="宋体" w:hAnsi="宋体" w:cs="宋体"/>
                <w:kern w:val="0"/>
                <w:sz w:val="24"/>
                <w:highlight w:val="none"/>
              </w:rPr>
            </w:pPr>
            <w:r>
              <w:rPr>
                <w:rFonts w:hint="eastAsia" w:ascii="宋体" w:hAnsi="宋体" w:cs="宋体"/>
                <w:kern w:val="0"/>
                <w:sz w:val="24"/>
                <w:highlight w:val="none"/>
              </w:rPr>
              <w:t>（1）本项目服务专门面向中小企业。</w:t>
            </w:r>
          </w:p>
          <w:p w14:paraId="49BC20F6">
            <w:pPr>
              <w:snapToGrid w:val="0"/>
              <w:spacing w:line="360" w:lineRule="auto"/>
              <w:rPr>
                <w:rFonts w:ascii="宋体" w:hAnsi="宋体" w:cs="宋体"/>
                <w:highlight w:val="none"/>
              </w:rPr>
            </w:pPr>
            <w:r>
              <w:rPr>
                <w:rFonts w:hint="eastAsia" w:ascii="宋体" w:hAnsi="宋体" w:cs="宋体"/>
                <w:kern w:val="0"/>
                <w:sz w:val="24"/>
                <w:highlight w:val="none"/>
              </w:rPr>
              <w:t>（2）标的：</w:t>
            </w:r>
            <w:r>
              <w:rPr>
                <w:rFonts w:hint="eastAsia" w:ascii="宋体" w:hAnsi="宋体" w:cs="宋体"/>
                <w:kern w:val="0"/>
                <w:sz w:val="24"/>
                <w:highlight w:val="none"/>
                <w:u w:val="single"/>
                <w:lang w:eastAsia="zh-CN"/>
              </w:rPr>
              <w:t>菜篮子食品安全“你点我检”放心工程(生鲜食材快检)</w:t>
            </w:r>
            <w:r>
              <w:rPr>
                <w:rFonts w:hint="eastAsia" w:ascii="宋体" w:hAnsi="宋体" w:cs="宋体"/>
                <w:kern w:val="0"/>
                <w:sz w:val="24"/>
                <w:highlight w:val="none"/>
              </w:rPr>
              <w:t>，属于</w:t>
            </w:r>
            <w:r>
              <w:rPr>
                <w:rFonts w:hint="eastAsia" w:ascii="宋体" w:hAnsi="宋体" w:cs="宋体"/>
                <w:kern w:val="0"/>
                <w:sz w:val="24"/>
                <w:highlight w:val="none"/>
                <w:u w:val="single"/>
              </w:rPr>
              <w:t>其他未列明</w:t>
            </w:r>
            <w:r>
              <w:rPr>
                <w:rFonts w:hint="eastAsia" w:ascii="宋体" w:hAnsi="宋体" w:cs="宋体"/>
                <w:kern w:val="0"/>
                <w:sz w:val="24"/>
                <w:highlight w:val="none"/>
              </w:rPr>
              <w:t>行业；</w:t>
            </w:r>
          </w:p>
        </w:tc>
      </w:tr>
      <w:tr w14:paraId="0CE42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68673B6">
            <w:pPr>
              <w:snapToGrid w:val="0"/>
              <w:spacing w:line="360" w:lineRule="auto"/>
              <w:jc w:val="center"/>
              <w:rPr>
                <w:rFonts w:ascii="宋体" w:hAnsi="宋体" w:cs="宋体"/>
                <w:sz w:val="24"/>
                <w:highlight w:val="none"/>
              </w:rPr>
            </w:pPr>
            <w:r>
              <w:rPr>
                <w:rFonts w:hint="eastAsia" w:ascii="宋体" w:hAnsi="宋体" w:cs="宋体"/>
                <w:sz w:val="24"/>
                <w:highlight w:val="none"/>
              </w:rPr>
              <w:t>3</w:t>
            </w:r>
          </w:p>
        </w:tc>
        <w:tc>
          <w:tcPr>
            <w:tcW w:w="1473" w:type="dxa"/>
            <w:tcBorders>
              <w:top w:val="single" w:color="000000" w:sz="8" w:space="0"/>
              <w:left w:val="single" w:color="auto" w:sz="4" w:space="0"/>
              <w:bottom w:val="single" w:color="000000" w:sz="8" w:space="0"/>
              <w:right w:val="single" w:color="000000" w:sz="8" w:space="0"/>
            </w:tcBorders>
            <w:vAlign w:val="center"/>
          </w:tcPr>
          <w:p w14:paraId="6F11D3D9">
            <w:pPr>
              <w:snapToGrid w:val="0"/>
              <w:spacing w:line="360" w:lineRule="auto"/>
              <w:jc w:val="center"/>
              <w:rPr>
                <w:rFonts w:hint="eastAsia" w:ascii="宋体" w:hAnsi="宋体" w:cs="宋体"/>
                <w:b/>
                <w:sz w:val="24"/>
                <w:highlight w:val="none"/>
              </w:rPr>
            </w:pPr>
            <w:r>
              <w:rPr>
                <w:rFonts w:hint="eastAsia" w:ascii="宋体" w:hAnsi="宋体" w:cs="宋体"/>
                <w:b/>
                <w:sz w:val="24"/>
                <w:highlight w:val="none"/>
              </w:rPr>
              <w:t>是否允许采购进口产品</w:t>
            </w:r>
          </w:p>
        </w:tc>
        <w:tc>
          <w:tcPr>
            <w:tcW w:w="6918" w:type="dxa"/>
            <w:tcBorders>
              <w:top w:val="single" w:color="000000" w:sz="8" w:space="0"/>
              <w:left w:val="single" w:color="000000" w:sz="2" w:space="0"/>
              <w:bottom w:val="single" w:color="000000" w:sz="8" w:space="0"/>
              <w:right w:val="single" w:color="000000" w:sz="8" w:space="0"/>
            </w:tcBorders>
            <w:vAlign w:val="center"/>
          </w:tcPr>
          <w:p w14:paraId="19F917A8">
            <w:pPr>
              <w:spacing w:line="360" w:lineRule="auto"/>
              <w:rPr>
                <w:rFonts w:ascii="宋体" w:hAnsi="宋体" w:cs="宋体"/>
                <w:kern w:val="0"/>
                <w:sz w:val="24"/>
                <w:highlight w:val="none"/>
              </w:rPr>
            </w:pPr>
            <w:sdt>
              <w:sdtPr>
                <w:rPr>
                  <w:rFonts w:hint="eastAsia" w:ascii="宋体" w:hAnsi="宋体" w:cs="宋体"/>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F0FE"/>
                </w:r>
              </w:sdtContent>
            </w:sdt>
            <w:r>
              <w:rPr>
                <w:rFonts w:hint="eastAsia" w:ascii="宋体" w:hAnsi="宋体" w:cs="宋体"/>
                <w:kern w:val="0"/>
                <w:sz w:val="24"/>
                <w:highlight w:val="none"/>
              </w:rPr>
              <w:t>本项目不允许采购进口产品。</w:t>
            </w:r>
          </w:p>
          <w:p w14:paraId="040D4A32">
            <w:pPr>
              <w:spacing w:line="360" w:lineRule="auto"/>
              <w:rPr>
                <w:rFonts w:ascii="宋体" w:hAnsi="宋体" w:cs="宋体"/>
                <w:highlight w:val="none"/>
              </w:rPr>
            </w:pPr>
            <w:sdt>
              <w:sdtPr>
                <w:rPr>
                  <w:rFonts w:hint="eastAsia" w:ascii="宋体" w:hAnsi="宋体" w:cs="宋体"/>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可以就</w:t>
            </w:r>
            <w:r>
              <w:rPr>
                <w:rFonts w:hint="eastAsia" w:ascii="宋体" w:hAnsi="宋体" w:cs="宋体"/>
                <w:sz w:val="24"/>
                <w:highlight w:val="none"/>
                <w:u w:val="single"/>
              </w:rPr>
              <w:t xml:space="preserve">    </w:t>
            </w:r>
            <w:r>
              <w:rPr>
                <w:rFonts w:hint="eastAsia" w:ascii="宋体" w:hAnsi="宋体" w:cs="宋体"/>
                <w:kern w:val="0"/>
                <w:sz w:val="24"/>
                <w:highlight w:val="none"/>
              </w:rPr>
              <w:t>采购进口产品。</w:t>
            </w:r>
          </w:p>
        </w:tc>
      </w:tr>
      <w:tr w14:paraId="37F6BE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70E5284">
            <w:pPr>
              <w:snapToGrid w:val="0"/>
              <w:spacing w:line="360" w:lineRule="auto"/>
              <w:jc w:val="center"/>
              <w:rPr>
                <w:rFonts w:ascii="宋体" w:hAnsi="宋体" w:cs="宋体"/>
                <w:sz w:val="24"/>
                <w:highlight w:val="none"/>
              </w:rPr>
            </w:pPr>
            <w:r>
              <w:rPr>
                <w:rFonts w:hint="eastAsia" w:ascii="宋体" w:hAnsi="宋体" w:cs="宋体"/>
                <w:sz w:val="24"/>
                <w:highlight w:val="none"/>
              </w:rPr>
              <w:t>4</w:t>
            </w:r>
          </w:p>
        </w:tc>
        <w:tc>
          <w:tcPr>
            <w:tcW w:w="1473" w:type="dxa"/>
            <w:tcBorders>
              <w:top w:val="single" w:color="000000" w:sz="8" w:space="0"/>
              <w:left w:val="single" w:color="auto" w:sz="4" w:space="0"/>
              <w:bottom w:val="single" w:color="000000" w:sz="8" w:space="0"/>
              <w:right w:val="single" w:color="000000" w:sz="8" w:space="0"/>
            </w:tcBorders>
            <w:vAlign w:val="center"/>
          </w:tcPr>
          <w:p w14:paraId="6B805CE1">
            <w:pPr>
              <w:snapToGrid w:val="0"/>
              <w:spacing w:line="360" w:lineRule="auto"/>
              <w:jc w:val="center"/>
              <w:rPr>
                <w:rFonts w:hint="eastAsia" w:ascii="宋体" w:hAnsi="宋体" w:cs="宋体"/>
                <w:b/>
                <w:sz w:val="24"/>
                <w:highlight w:val="none"/>
              </w:rPr>
            </w:pPr>
            <w:r>
              <w:rPr>
                <w:rFonts w:hint="eastAsia" w:ascii="宋体" w:hAnsi="宋体" w:cs="宋体"/>
                <w:b/>
                <w:sz w:val="24"/>
                <w:highlight w:val="none"/>
              </w:rPr>
              <w:t>分包</w:t>
            </w:r>
          </w:p>
        </w:tc>
        <w:tc>
          <w:tcPr>
            <w:tcW w:w="6918" w:type="dxa"/>
            <w:tcBorders>
              <w:top w:val="single" w:color="000000" w:sz="8" w:space="0"/>
              <w:left w:val="single" w:color="000000" w:sz="2" w:space="0"/>
              <w:bottom w:val="single" w:color="000000" w:sz="8" w:space="0"/>
              <w:right w:val="single" w:color="000000" w:sz="8" w:space="0"/>
            </w:tcBorders>
            <w:vAlign w:val="center"/>
          </w:tcPr>
          <w:p w14:paraId="606D5368">
            <w:pPr>
              <w:spacing w:line="360" w:lineRule="auto"/>
              <w:rPr>
                <w:rFonts w:hint="eastAsia" w:ascii="宋体" w:hAnsi="宋体" w:cs="宋体"/>
                <w:sz w:val="24"/>
                <w:highlight w:val="none"/>
              </w:rPr>
            </w:pPr>
            <w:sdt>
              <w:sdtPr>
                <w:rPr>
                  <w:rFonts w:hint="eastAsia" w:ascii="宋体" w:hAnsi="宋体" w:cs="宋体"/>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cs="宋体"/>
                <w:kern w:val="0"/>
                <w:sz w:val="24"/>
                <w:highlight w:val="none"/>
              </w:rPr>
              <w:t xml:space="preserve"> A</w:t>
            </w:r>
            <w:r>
              <w:rPr>
                <w:rFonts w:hint="eastAsia" w:ascii="宋体" w:hAnsi="宋体" w:cs="宋体"/>
                <w:sz w:val="24"/>
                <w:highlight w:val="none"/>
              </w:rPr>
              <w:t>同意将非主体、非关键性的</w:t>
            </w:r>
            <w:r>
              <w:rPr>
                <w:rFonts w:hint="eastAsia" w:ascii="宋体" w:hAnsi="宋体" w:cs="宋体"/>
                <w:sz w:val="24"/>
                <w:highlight w:val="none"/>
                <w:u w:val="single"/>
              </w:rPr>
              <w:t xml:space="preserve"> </w:t>
            </w:r>
            <w:r>
              <w:rPr>
                <w:rFonts w:hint="eastAsia" w:ascii="宋体" w:hAnsi="宋体" w:cs="宋体"/>
                <w:color w:val="000000" w:themeColor="text1"/>
                <w:sz w:val="24"/>
                <w:highlight w:val="none"/>
                <w:u w:val="single"/>
                <w14:textFill>
                  <w14:solidFill>
                    <w14:schemeClr w14:val="tx1"/>
                  </w14:solidFill>
                </w14:textFill>
              </w:rPr>
              <w:t>运输等</w:t>
            </w:r>
            <w:r>
              <w:rPr>
                <w:rFonts w:hint="eastAsia" w:ascii="宋体" w:hAnsi="宋体" w:cs="宋体"/>
                <w:sz w:val="24"/>
                <w:highlight w:val="none"/>
                <w:u w:val="single"/>
              </w:rPr>
              <w:t xml:space="preserve"> </w:t>
            </w:r>
            <w:r>
              <w:rPr>
                <w:rFonts w:hint="eastAsia" w:ascii="宋体" w:hAnsi="宋体" w:cs="宋体"/>
                <w:sz w:val="24"/>
                <w:highlight w:val="none"/>
              </w:rPr>
              <w:t>工作分包。</w:t>
            </w:r>
          </w:p>
          <w:p w14:paraId="36781628">
            <w:pPr>
              <w:spacing w:line="360" w:lineRule="auto"/>
              <w:rPr>
                <w:rFonts w:ascii="宋体" w:hAnsi="宋体" w:cs="宋体"/>
                <w:sz w:val="24"/>
                <w:highlight w:val="none"/>
              </w:rPr>
            </w:pPr>
            <w:sdt>
              <w:sdtPr>
                <w:rPr>
                  <w:rFonts w:hint="eastAsia" w:ascii="宋体" w:hAnsi="宋体" w:cs="宋体"/>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宋体" w:cs="宋体"/>
                    <w:kern w:val="0"/>
                    <w:sz w:val="24"/>
                    <w:szCs w:val="24"/>
                    <w:highlight w:val="none"/>
                    <w:lang w:val="en-US" w:eastAsia="zh-CN" w:bidi="ar-SA"/>
                  </w:rPr>
                  <w:t>☐</w:t>
                </w:r>
              </w:sdtContent>
            </w:sdt>
            <w:r>
              <w:rPr>
                <w:rFonts w:hint="eastAsia" w:ascii="宋体" w:hAnsi="宋体" w:cs="宋体"/>
                <w:kern w:val="0"/>
                <w:sz w:val="24"/>
                <w:highlight w:val="none"/>
              </w:rPr>
              <w:t xml:space="preserve"> B</w:t>
            </w:r>
            <w:r>
              <w:rPr>
                <w:rFonts w:hint="eastAsia" w:ascii="宋体" w:hAnsi="宋体" w:cs="宋体"/>
                <w:sz w:val="24"/>
                <w:highlight w:val="none"/>
              </w:rPr>
              <w:t>不同意分包。</w:t>
            </w:r>
          </w:p>
        </w:tc>
      </w:tr>
      <w:tr w14:paraId="247381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FE77617">
            <w:pPr>
              <w:snapToGrid w:val="0"/>
              <w:spacing w:line="360" w:lineRule="auto"/>
              <w:jc w:val="center"/>
              <w:rPr>
                <w:rFonts w:ascii="宋体" w:hAnsi="宋体" w:cs="宋体"/>
                <w:sz w:val="24"/>
                <w:highlight w:val="none"/>
              </w:rPr>
            </w:pPr>
            <w:r>
              <w:rPr>
                <w:rFonts w:hint="eastAsia" w:ascii="宋体" w:hAnsi="宋体" w:cs="宋体"/>
                <w:sz w:val="24"/>
                <w:highlight w:val="none"/>
              </w:rPr>
              <w:t>5</w:t>
            </w:r>
          </w:p>
        </w:tc>
        <w:tc>
          <w:tcPr>
            <w:tcW w:w="1473" w:type="dxa"/>
            <w:tcBorders>
              <w:top w:val="single" w:color="000000" w:sz="8" w:space="0"/>
              <w:left w:val="single" w:color="auto" w:sz="4" w:space="0"/>
              <w:bottom w:val="single" w:color="000000" w:sz="8" w:space="0"/>
              <w:right w:val="single" w:color="000000" w:sz="8" w:space="0"/>
            </w:tcBorders>
            <w:vAlign w:val="center"/>
          </w:tcPr>
          <w:p w14:paraId="3DA9FBE4">
            <w:pPr>
              <w:snapToGrid w:val="0"/>
              <w:spacing w:line="360" w:lineRule="auto"/>
              <w:jc w:val="center"/>
              <w:rPr>
                <w:rFonts w:hint="eastAsia" w:ascii="宋体" w:hAnsi="宋体" w:cs="宋体"/>
                <w:b/>
                <w:sz w:val="24"/>
                <w:highlight w:val="none"/>
              </w:rPr>
            </w:pPr>
            <w:r>
              <w:rPr>
                <w:rFonts w:hint="eastAsia" w:ascii="宋体" w:hAnsi="宋体" w:cs="宋体"/>
                <w:b/>
                <w:sz w:val="24"/>
                <w:highlight w:val="none"/>
              </w:rPr>
              <w:t>开标前答疑会或现场考察</w:t>
            </w:r>
          </w:p>
        </w:tc>
        <w:tc>
          <w:tcPr>
            <w:tcW w:w="6918" w:type="dxa"/>
            <w:tcBorders>
              <w:top w:val="single" w:color="000000" w:sz="8" w:space="0"/>
              <w:left w:val="single" w:color="000000" w:sz="2" w:space="0"/>
              <w:bottom w:val="single" w:color="000000" w:sz="8" w:space="0"/>
              <w:right w:val="single" w:color="000000" w:sz="8" w:space="0"/>
            </w:tcBorders>
            <w:vAlign w:val="center"/>
          </w:tcPr>
          <w:p w14:paraId="3D3121C3">
            <w:pPr>
              <w:spacing w:line="360" w:lineRule="auto"/>
              <w:rPr>
                <w:rFonts w:ascii="宋体" w:hAnsi="宋体" w:cs="宋体"/>
                <w:sz w:val="24"/>
                <w:highlight w:val="none"/>
              </w:rPr>
            </w:pPr>
            <w:sdt>
              <w:sdtPr>
                <w:rPr>
                  <w:rFonts w:hint="eastAsia" w:ascii="宋体" w:hAnsi="宋体" w:cs="宋体"/>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cs="宋体"/>
                    <w:kern w:val="0"/>
                    <w:sz w:val="24"/>
                    <w:highlight w:val="none"/>
                  </w:rPr>
                  <w:t>þ</w:t>
                </w:r>
              </w:sdtContent>
            </w:sdt>
            <w:r>
              <w:rPr>
                <w:rFonts w:hint="eastAsia" w:ascii="宋体" w:hAnsi="宋体" w:cs="宋体"/>
                <w:kern w:val="0"/>
                <w:sz w:val="24"/>
                <w:highlight w:val="none"/>
              </w:rPr>
              <w:t>A</w:t>
            </w:r>
            <w:r>
              <w:rPr>
                <w:rFonts w:hint="eastAsia" w:ascii="宋体" w:hAnsi="宋体" w:cs="宋体"/>
                <w:sz w:val="24"/>
                <w:highlight w:val="none"/>
              </w:rPr>
              <w:t>不组织。</w:t>
            </w:r>
          </w:p>
          <w:p w14:paraId="20E8F7B4">
            <w:pPr>
              <w:spacing w:line="360" w:lineRule="auto"/>
              <w:rPr>
                <w:rFonts w:ascii="宋体" w:hAnsi="宋体" w:cs="宋体"/>
                <w:sz w:val="24"/>
                <w:szCs w:val="20"/>
                <w:highlight w:val="none"/>
              </w:rPr>
            </w:pPr>
            <w:sdt>
              <w:sdtPr>
                <w:rPr>
                  <w:rFonts w:hint="eastAsia" w:ascii="宋体" w:hAnsi="宋体" w:cs="宋体"/>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B组织，</w:t>
            </w:r>
            <w:r>
              <w:rPr>
                <w:rFonts w:hint="eastAsia" w:ascii="宋体" w:hAnsi="宋体" w:cs="宋体"/>
                <w:sz w:val="24"/>
                <w:highlight w:val="none"/>
              </w:rPr>
              <w:t>时间：</w:t>
            </w:r>
            <w:r>
              <w:rPr>
                <w:rFonts w:hint="eastAsia" w:ascii="宋体" w:hAnsi="宋体" w:cs="宋体"/>
                <w:sz w:val="24"/>
                <w:highlight w:val="none"/>
                <w:u w:val="single"/>
              </w:rPr>
              <w:t xml:space="preserve">      </w:t>
            </w:r>
            <w:r>
              <w:rPr>
                <w:rFonts w:hint="eastAsia" w:ascii="宋体" w:hAnsi="宋体" w:cs="宋体"/>
                <w:sz w:val="24"/>
                <w:highlight w:val="none"/>
                <w:u w:val="none"/>
                <w:lang w:eastAsia="zh-CN"/>
              </w:rPr>
              <w:t>，</w:t>
            </w:r>
            <w:r>
              <w:rPr>
                <w:rFonts w:hint="eastAsia" w:ascii="宋体" w:hAnsi="宋体" w:cs="宋体"/>
                <w:sz w:val="24"/>
                <w:highlight w:val="none"/>
              </w:rPr>
              <w:t>地点：</w:t>
            </w:r>
            <w:r>
              <w:rPr>
                <w:rFonts w:hint="eastAsia" w:ascii="宋体" w:hAnsi="宋体" w:cs="宋体"/>
                <w:sz w:val="24"/>
                <w:highlight w:val="none"/>
                <w:u w:val="single"/>
              </w:rPr>
              <w:t xml:space="preserve">      </w:t>
            </w:r>
            <w:r>
              <w:rPr>
                <w:rFonts w:hint="eastAsia" w:ascii="宋体" w:hAnsi="宋体" w:cs="宋体"/>
                <w:sz w:val="24"/>
                <w:highlight w:val="none"/>
              </w:rPr>
              <w:t>，联系人：</w:t>
            </w:r>
            <w:r>
              <w:rPr>
                <w:rFonts w:hint="eastAsia" w:ascii="宋体" w:hAnsi="宋体" w:cs="宋体"/>
                <w:sz w:val="24"/>
                <w:highlight w:val="none"/>
                <w:u w:val="single"/>
              </w:rPr>
              <w:t xml:space="preserve">      </w:t>
            </w:r>
            <w:r>
              <w:rPr>
                <w:rFonts w:hint="eastAsia" w:ascii="宋体" w:hAnsi="宋体" w:cs="宋体"/>
                <w:sz w:val="24"/>
                <w:highlight w:val="none"/>
              </w:rPr>
              <w:t>，联系方式：</w:t>
            </w:r>
            <w:r>
              <w:rPr>
                <w:rFonts w:hint="eastAsia" w:ascii="宋体" w:hAnsi="宋体" w:cs="宋体"/>
                <w:sz w:val="24"/>
                <w:highlight w:val="none"/>
                <w:u w:val="single"/>
              </w:rPr>
              <w:t xml:space="preserve">      </w:t>
            </w:r>
            <w:r>
              <w:rPr>
                <w:rFonts w:hint="eastAsia" w:ascii="宋体" w:hAnsi="宋体" w:cs="宋体"/>
                <w:sz w:val="24"/>
                <w:szCs w:val="20"/>
                <w:highlight w:val="none"/>
              </w:rPr>
              <w:t>。</w:t>
            </w:r>
          </w:p>
        </w:tc>
      </w:tr>
      <w:tr w14:paraId="1D74EA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E32F57A">
            <w:pPr>
              <w:snapToGrid w:val="0"/>
              <w:spacing w:line="360" w:lineRule="auto"/>
              <w:jc w:val="center"/>
              <w:rPr>
                <w:rFonts w:ascii="宋体" w:hAnsi="宋体" w:cs="宋体"/>
                <w:sz w:val="24"/>
                <w:highlight w:val="none"/>
              </w:rPr>
            </w:pPr>
            <w:r>
              <w:rPr>
                <w:rFonts w:hint="eastAsia" w:ascii="宋体" w:hAnsi="宋体" w:cs="宋体"/>
                <w:sz w:val="24"/>
                <w:highlight w:val="none"/>
              </w:rPr>
              <w:t>6</w:t>
            </w:r>
          </w:p>
        </w:tc>
        <w:tc>
          <w:tcPr>
            <w:tcW w:w="1473" w:type="dxa"/>
            <w:tcBorders>
              <w:top w:val="single" w:color="000000" w:sz="8" w:space="0"/>
              <w:left w:val="single" w:color="auto" w:sz="4" w:space="0"/>
              <w:bottom w:val="single" w:color="000000" w:sz="8" w:space="0"/>
              <w:right w:val="single" w:color="000000" w:sz="8" w:space="0"/>
            </w:tcBorders>
            <w:vAlign w:val="center"/>
          </w:tcPr>
          <w:p w14:paraId="0400391E">
            <w:pPr>
              <w:snapToGrid w:val="0"/>
              <w:spacing w:line="360" w:lineRule="auto"/>
              <w:jc w:val="center"/>
              <w:rPr>
                <w:rFonts w:ascii="宋体" w:hAnsi="宋体" w:cs="宋体"/>
                <w:b/>
                <w:sz w:val="24"/>
                <w:highlight w:val="none"/>
              </w:rPr>
            </w:pPr>
            <w:r>
              <w:rPr>
                <w:rFonts w:hint="eastAsia" w:ascii="宋体" w:hAnsi="宋体" w:cs="宋体"/>
                <w:b/>
                <w:sz w:val="24"/>
                <w:highlight w:val="none"/>
              </w:rPr>
              <w:t>样品提供</w:t>
            </w:r>
          </w:p>
        </w:tc>
        <w:tc>
          <w:tcPr>
            <w:tcW w:w="6918" w:type="dxa"/>
            <w:tcBorders>
              <w:top w:val="single" w:color="000000" w:sz="8" w:space="0"/>
              <w:left w:val="single" w:color="000000" w:sz="2" w:space="0"/>
              <w:bottom w:val="single" w:color="000000" w:sz="8" w:space="0"/>
              <w:right w:val="single" w:color="000000" w:sz="8" w:space="0"/>
            </w:tcBorders>
            <w:vAlign w:val="center"/>
          </w:tcPr>
          <w:p w14:paraId="179BE7AD">
            <w:pPr>
              <w:spacing w:line="360" w:lineRule="auto"/>
              <w:rPr>
                <w:rFonts w:ascii="宋体" w:hAnsi="宋体" w:cs="宋体"/>
                <w:sz w:val="24"/>
                <w:highlight w:val="none"/>
              </w:rPr>
            </w:pPr>
            <w:sdt>
              <w:sdtPr>
                <w:rPr>
                  <w:rFonts w:hint="eastAsia" w:ascii="宋体" w:hAnsi="宋体" w:cs="宋体"/>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cs="宋体"/>
                    <w:kern w:val="0"/>
                    <w:sz w:val="24"/>
                    <w:highlight w:val="none"/>
                  </w:rPr>
                  <w:t>þ</w:t>
                </w:r>
              </w:sdtContent>
            </w:sdt>
            <w:r>
              <w:rPr>
                <w:rFonts w:hint="eastAsia" w:ascii="宋体" w:hAnsi="宋体" w:cs="宋体"/>
                <w:kern w:val="0"/>
                <w:sz w:val="24"/>
                <w:highlight w:val="none"/>
              </w:rPr>
              <w:t>A</w:t>
            </w:r>
            <w:r>
              <w:rPr>
                <w:rFonts w:hint="eastAsia" w:ascii="宋体" w:hAnsi="宋体" w:cs="宋体"/>
                <w:sz w:val="24"/>
                <w:highlight w:val="none"/>
              </w:rPr>
              <w:t>不要求提供。</w:t>
            </w:r>
          </w:p>
          <w:p w14:paraId="53139F07">
            <w:pPr>
              <w:spacing w:line="360" w:lineRule="auto"/>
              <w:rPr>
                <w:rFonts w:ascii="宋体" w:hAnsi="宋体" w:cs="宋体"/>
                <w:kern w:val="0"/>
                <w:sz w:val="24"/>
                <w:highlight w:val="none"/>
              </w:rPr>
            </w:pPr>
            <w:sdt>
              <w:sdtPr>
                <w:rPr>
                  <w:rFonts w:hint="eastAsia" w:ascii="宋体" w:hAnsi="宋体" w:cs="宋体"/>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B要求提供，</w:t>
            </w:r>
          </w:p>
          <w:p w14:paraId="32C8BED0">
            <w:pPr>
              <w:spacing w:line="360" w:lineRule="auto"/>
              <w:rPr>
                <w:rFonts w:ascii="宋体" w:hAnsi="宋体" w:cs="宋体"/>
                <w:kern w:val="0"/>
                <w:sz w:val="24"/>
                <w:highlight w:val="none"/>
              </w:rPr>
            </w:pPr>
            <w:r>
              <w:rPr>
                <w:rFonts w:hint="eastAsia" w:ascii="宋体" w:hAnsi="宋体" w:cs="宋体"/>
                <w:kern w:val="0"/>
                <w:sz w:val="24"/>
                <w:highlight w:val="none"/>
              </w:rPr>
              <w:t>（1）</w:t>
            </w:r>
            <w:r>
              <w:rPr>
                <w:rFonts w:hint="eastAsia" w:ascii="宋体" w:hAnsi="宋体" w:cs="宋体"/>
                <w:snapToGrid w:val="0"/>
                <w:kern w:val="28"/>
                <w:sz w:val="24"/>
                <w:highlight w:val="none"/>
              </w:rPr>
              <w:t>样品：</w:t>
            </w:r>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5A4D0149">
            <w:pPr>
              <w:spacing w:line="360" w:lineRule="auto"/>
              <w:rPr>
                <w:rFonts w:ascii="宋体" w:hAnsi="宋体" w:cs="宋体"/>
                <w:kern w:val="0"/>
                <w:sz w:val="24"/>
                <w:highlight w:val="none"/>
              </w:rPr>
            </w:pPr>
            <w:r>
              <w:rPr>
                <w:rFonts w:hint="eastAsia" w:ascii="宋体" w:hAnsi="宋体" w:cs="宋体"/>
                <w:kern w:val="0"/>
                <w:sz w:val="24"/>
                <w:highlight w:val="none"/>
              </w:rPr>
              <w:t>（2）</w:t>
            </w:r>
            <w:r>
              <w:rPr>
                <w:rFonts w:hint="eastAsia" w:ascii="宋体" w:hAnsi="宋体" w:cs="宋体"/>
                <w:snapToGrid w:val="0"/>
                <w:kern w:val="28"/>
                <w:sz w:val="24"/>
                <w:highlight w:val="none"/>
              </w:rPr>
              <w:t>样品制作的标准和要求：</w:t>
            </w:r>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5737318C">
            <w:pPr>
              <w:spacing w:line="360" w:lineRule="auto"/>
              <w:rPr>
                <w:rFonts w:ascii="宋体" w:hAnsi="宋体" w:cs="宋体"/>
                <w:kern w:val="0"/>
                <w:sz w:val="24"/>
                <w:highlight w:val="none"/>
              </w:rPr>
            </w:pPr>
            <w:r>
              <w:rPr>
                <w:rFonts w:hint="eastAsia" w:ascii="宋体" w:hAnsi="宋体" w:cs="宋体"/>
                <w:kern w:val="0"/>
                <w:sz w:val="24"/>
                <w:highlight w:val="none"/>
              </w:rPr>
              <w:t>（3）样品的评审方法以及评审标准</w:t>
            </w:r>
            <w:r>
              <w:rPr>
                <w:rFonts w:hint="eastAsia" w:ascii="宋体" w:hAnsi="宋体" w:cs="宋体"/>
                <w:snapToGrid w:val="0"/>
                <w:kern w:val="28"/>
                <w:sz w:val="24"/>
                <w:highlight w:val="none"/>
              </w:rPr>
              <w:t>：详见</w:t>
            </w:r>
            <w:r>
              <w:rPr>
                <w:rFonts w:hint="eastAsia" w:ascii="宋体" w:hAnsi="宋体" w:cs="宋体"/>
                <w:sz w:val="24"/>
                <w:highlight w:val="none"/>
                <w:u w:val="single"/>
              </w:rPr>
              <w:t>评标办法</w:t>
            </w:r>
            <w:r>
              <w:rPr>
                <w:rFonts w:hint="eastAsia" w:ascii="宋体" w:hAnsi="宋体" w:cs="宋体"/>
                <w:kern w:val="0"/>
                <w:sz w:val="24"/>
                <w:highlight w:val="none"/>
              </w:rPr>
              <w:t>；</w:t>
            </w:r>
          </w:p>
          <w:p w14:paraId="7B74B481">
            <w:pPr>
              <w:spacing w:line="360" w:lineRule="auto"/>
              <w:rPr>
                <w:rFonts w:ascii="宋体" w:hAnsi="宋体" w:cs="宋体"/>
                <w:kern w:val="0"/>
                <w:sz w:val="24"/>
                <w:highlight w:val="none"/>
              </w:rPr>
            </w:pPr>
            <w:r>
              <w:rPr>
                <w:rFonts w:hint="eastAsia" w:ascii="宋体" w:hAnsi="宋体" w:cs="宋体"/>
                <w:kern w:val="0"/>
                <w:sz w:val="24"/>
                <w:highlight w:val="none"/>
              </w:rPr>
              <w:t>（4）是否需要随样品提交检测报告：</w:t>
            </w:r>
            <w:sdt>
              <w:sdtPr>
                <w:rPr>
                  <w:rFonts w:hint="eastAsia" w:ascii="宋体" w:hAnsi="宋体" w:cs="宋体"/>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否；</w:t>
            </w:r>
            <w:sdt>
              <w:sdtPr>
                <w:rPr>
                  <w:rFonts w:hint="eastAsia" w:ascii="宋体" w:hAnsi="宋体" w:cs="宋体"/>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是，检测机构的要求</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kern w:val="0"/>
                <w:sz w:val="24"/>
                <w:highlight w:val="none"/>
              </w:rPr>
              <w:t>；检测内容</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473DA13D">
            <w:pPr>
              <w:spacing w:line="360" w:lineRule="auto"/>
              <w:rPr>
                <w:rFonts w:ascii="宋体" w:hAnsi="宋体" w:cs="宋体"/>
                <w:sz w:val="24"/>
                <w:highlight w:val="none"/>
              </w:rPr>
            </w:pPr>
            <w:r>
              <w:rPr>
                <w:rFonts w:hint="eastAsia" w:ascii="宋体" w:hAnsi="宋体" w:cs="宋体"/>
                <w:sz w:val="24"/>
                <w:highlight w:val="none"/>
              </w:rPr>
              <w:t>（5）提供样品的时间：</w:t>
            </w:r>
            <w:r>
              <w:rPr>
                <w:rFonts w:hint="eastAsia" w:ascii="宋体" w:hAnsi="宋体" w:cs="宋体"/>
                <w:sz w:val="24"/>
                <w:highlight w:val="none"/>
                <w:u w:val="single"/>
              </w:rPr>
              <w:t xml:space="preserve">    </w:t>
            </w:r>
            <w:r>
              <w:rPr>
                <w:rFonts w:hint="eastAsia" w:ascii="宋体" w:hAnsi="宋体" w:cs="宋体"/>
                <w:kern w:val="0"/>
                <w:sz w:val="24"/>
                <w:highlight w:val="none"/>
              </w:rPr>
              <w:t>；地点：</w:t>
            </w:r>
            <w:r>
              <w:rPr>
                <w:rFonts w:hint="eastAsia" w:ascii="宋体" w:hAnsi="宋体" w:cs="宋体"/>
                <w:sz w:val="24"/>
                <w:highlight w:val="none"/>
                <w:u w:val="single"/>
              </w:rPr>
              <w:t xml:space="preserve">    </w:t>
            </w:r>
            <w:r>
              <w:rPr>
                <w:rFonts w:hint="eastAsia" w:ascii="宋体" w:hAnsi="宋体" w:cs="宋体"/>
                <w:kern w:val="0"/>
                <w:sz w:val="24"/>
                <w:highlight w:val="none"/>
              </w:rPr>
              <w:t>；联系人</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28"/>
                <w:sz w:val="24"/>
                <w:highlight w:val="none"/>
              </w:rPr>
              <w:t>联系电话：</w:t>
            </w:r>
            <w:r>
              <w:rPr>
                <w:rFonts w:hint="eastAsia" w:ascii="宋体" w:hAnsi="宋体" w:cs="宋体"/>
                <w:sz w:val="24"/>
                <w:highlight w:val="none"/>
                <w:u w:val="single"/>
              </w:rPr>
              <w:t xml:space="preserve">    </w:t>
            </w:r>
            <w:r>
              <w:rPr>
                <w:rFonts w:hint="eastAsia" w:ascii="宋体" w:hAnsi="宋体" w:cs="宋体"/>
                <w:sz w:val="24"/>
                <w:highlight w:val="none"/>
              </w:rPr>
              <w:t>。请投标人在上述时间内提供样品并按规定位置安装完毕。超过截止时间的，采购人或采购代理机构将不予接收，并将清场并封闭样品现场。</w:t>
            </w:r>
          </w:p>
          <w:p w14:paraId="225F7C0D">
            <w:pPr>
              <w:spacing w:line="360" w:lineRule="auto"/>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sz w:val="24"/>
                <w:highlight w:val="none"/>
                <w:lang w:eastAsia="zh-CN"/>
              </w:rPr>
              <w:t>（</w:t>
            </w:r>
            <w:r>
              <w:rPr>
                <w:rFonts w:hint="eastAsia" w:ascii="宋体" w:hAnsi="宋体" w:cs="宋体"/>
                <w:sz w:val="24"/>
                <w:highlight w:val="none"/>
              </w:rPr>
              <w:t>6</w:t>
            </w:r>
            <w:r>
              <w:rPr>
                <w:rFonts w:hint="eastAsia" w:ascii="宋体" w:hAnsi="宋体" w:cs="宋体"/>
                <w:sz w:val="24"/>
                <w:highlight w:val="none"/>
                <w:lang w:eastAsia="zh-CN"/>
              </w:rPr>
              <w:t>）</w:t>
            </w:r>
            <w:r>
              <w:rPr>
                <w:rFonts w:hint="eastAsia" w:ascii="宋体" w:hAnsi="宋体" w:cs="宋体"/>
                <w:sz w:val="24"/>
                <w:highlight w:val="none"/>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4426BEDD">
            <w:pPr>
              <w:spacing w:line="360" w:lineRule="auto"/>
              <w:rPr>
                <w:rFonts w:ascii="宋体" w:hAnsi="宋体" w:cs="宋体"/>
                <w:b/>
                <w:sz w:val="24"/>
                <w:highlight w:val="none"/>
              </w:rPr>
            </w:pPr>
            <w:r>
              <w:rPr>
                <w:rFonts w:hint="eastAsia" w:ascii="宋体" w:hAnsi="宋体" w:cs="宋体"/>
                <w:sz w:val="24"/>
                <w:highlight w:val="none"/>
              </w:rPr>
              <w:t>（7）制作、运输、安装和保管样品所发生的一切费用由投标人自理。</w:t>
            </w:r>
          </w:p>
        </w:tc>
      </w:tr>
      <w:tr w14:paraId="54E41C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94F0571">
            <w:pPr>
              <w:snapToGrid w:val="0"/>
              <w:spacing w:line="360" w:lineRule="auto"/>
              <w:jc w:val="center"/>
              <w:rPr>
                <w:rFonts w:ascii="宋体" w:hAnsi="宋体" w:cs="宋体"/>
                <w:sz w:val="24"/>
                <w:highlight w:val="none"/>
              </w:rPr>
            </w:pPr>
            <w:r>
              <w:rPr>
                <w:rFonts w:hint="eastAsia" w:ascii="宋体" w:hAnsi="宋体" w:cs="宋体"/>
                <w:sz w:val="24"/>
                <w:highlight w:val="none"/>
              </w:rPr>
              <w:t>7</w:t>
            </w:r>
          </w:p>
        </w:tc>
        <w:tc>
          <w:tcPr>
            <w:tcW w:w="1473" w:type="dxa"/>
            <w:tcBorders>
              <w:top w:val="single" w:color="000000" w:sz="8" w:space="0"/>
              <w:left w:val="single" w:color="auto" w:sz="4" w:space="0"/>
              <w:bottom w:val="single" w:color="000000" w:sz="8" w:space="0"/>
              <w:right w:val="single" w:color="000000" w:sz="8" w:space="0"/>
            </w:tcBorders>
            <w:vAlign w:val="center"/>
          </w:tcPr>
          <w:p w14:paraId="579080DD">
            <w:pPr>
              <w:snapToGrid w:val="0"/>
              <w:spacing w:line="360" w:lineRule="auto"/>
              <w:jc w:val="center"/>
              <w:rPr>
                <w:rFonts w:ascii="宋体" w:hAnsi="宋体" w:cs="宋体"/>
                <w:bCs/>
                <w:sz w:val="24"/>
                <w:highlight w:val="none"/>
              </w:rPr>
            </w:pPr>
            <w:r>
              <w:rPr>
                <w:rFonts w:hint="eastAsia" w:ascii="宋体" w:hAnsi="宋体" w:cs="宋体"/>
                <w:b/>
                <w:sz w:val="24"/>
                <w:highlight w:val="none"/>
              </w:rPr>
              <w:t>方案讲解演示</w:t>
            </w:r>
          </w:p>
        </w:tc>
        <w:tc>
          <w:tcPr>
            <w:tcW w:w="6918" w:type="dxa"/>
            <w:tcBorders>
              <w:top w:val="single" w:color="000000" w:sz="8" w:space="0"/>
              <w:left w:val="single" w:color="000000" w:sz="2" w:space="0"/>
              <w:bottom w:val="single" w:color="000000" w:sz="8" w:space="0"/>
              <w:right w:val="single" w:color="000000" w:sz="8" w:space="0"/>
            </w:tcBorders>
            <w:vAlign w:val="center"/>
          </w:tcPr>
          <w:p w14:paraId="5DAC7CB1">
            <w:pPr>
              <w:spacing w:line="360" w:lineRule="auto"/>
              <w:rPr>
                <w:rFonts w:ascii="宋体" w:hAnsi="宋体" w:cs="宋体"/>
                <w:sz w:val="24"/>
                <w:highlight w:val="none"/>
              </w:rPr>
            </w:pPr>
            <w:sdt>
              <w:sdtPr>
                <w:rPr>
                  <w:rFonts w:hint="eastAsia" w:ascii="宋体" w:hAnsi="宋体" w:cs="宋体"/>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cs="宋体"/>
                    <w:kern w:val="0"/>
                    <w:sz w:val="24"/>
                    <w:highlight w:val="none"/>
                  </w:rPr>
                  <w:t>þ</w:t>
                </w:r>
              </w:sdtContent>
            </w:sdt>
            <w:r>
              <w:rPr>
                <w:rFonts w:hint="eastAsia" w:ascii="宋体" w:hAnsi="宋体" w:cs="宋体"/>
                <w:kern w:val="0"/>
                <w:sz w:val="24"/>
                <w:highlight w:val="none"/>
              </w:rPr>
              <w:t>A</w:t>
            </w:r>
            <w:r>
              <w:rPr>
                <w:rFonts w:hint="eastAsia" w:ascii="宋体" w:hAnsi="宋体" w:cs="宋体"/>
                <w:sz w:val="24"/>
                <w:highlight w:val="none"/>
              </w:rPr>
              <w:t>不组织。</w:t>
            </w:r>
          </w:p>
          <w:p w14:paraId="3D388D69">
            <w:pPr>
              <w:spacing w:line="360" w:lineRule="auto"/>
              <w:rPr>
                <w:rFonts w:ascii="宋体" w:hAnsi="宋体" w:cs="宋体"/>
                <w:kern w:val="0"/>
                <w:sz w:val="24"/>
                <w:highlight w:val="none"/>
              </w:rPr>
            </w:pPr>
            <w:sdt>
              <w:sdtPr>
                <w:rPr>
                  <w:rFonts w:hint="eastAsia" w:ascii="宋体" w:hAnsi="宋体" w:cs="宋体"/>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B组织。</w:t>
            </w:r>
          </w:p>
          <w:p w14:paraId="3D95B954">
            <w:pPr>
              <w:snapToGrid w:val="0"/>
              <w:spacing w:line="360" w:lineRule="auto"/>
              <w:rPr>
                <w:rFonts w:ascii="宋体" w:hAnsi="宋体" w:cs="宋体"/>
                <w:kern w:val="0"/>
                <w:sz w:val="24"/>
                <w:highlight w:val="none"/>
              </w:rPr>
            </w:pPr>
            <w:r>
              <w:rPr>
                <w:rFonts w:hint="eastAsia" w:ascii="宋体" w:hAnsi="宋体" w:cs="宋体"/>
                <w:kern w:val="0"/>
                <w:sz w:val="24"/>
                <w:highlight w:val="none"/>
              </w:rPr>
              <w:t>（1）在评标时安排每个投标人进行方案讲解演示。每个投标人时间不超过</w:t>
            </w:r>
            <w:r>
              <w:rPr>
                <w:rFonts w:hint="eastAsia" w:ascii="宋体" w:hAnsi="宋体" w:cs="宋体"/>
                <w:kern w:val="0"/>
                <w:sz w:val="24"/>
                <w:highlight w:val="none"/>
                <w:u w:val="single"/>
              </w:rPr>
              <w:t>20（编制时可根据项目情况进行调整）</w:t>
            </w:r>
            <w:r>
              <w:rPr>
                <w:rFonts w:hint="eastAsia" w:ascii="宋体" w:hAnsi="宋体" w:cs="宋体"/>
                <w:kern w:val="0"/>
                <w:sz w:val="24"/>
                <w:highlight w:val="none"/>
              </w:rPr>
              <w:t>分钟，讲解次序以投标文件解密时间先后次序为准，讲解演示人员不超过</w:t>
            </w:r>
            <w:r>
              <w:rPr>
                <w:rFonts w:hint="eastAsia" w:ascii="宋体" w:hAnsi="宋体" w:cs="宋体"/>
                <w:kern w:val="0"/>
                <w:sz w:val="24"/>
                <w:highlight w:val="none"/>
                <w:u w:val="single"/>
              </w:rPr>
              <w:t>3（编制时可根据项目情况进行调整）</w:t>
            </w:r>
            <w:r>
              <w:rPr>
                <w:rFonts w:hint="eastAsia" w:ascii="宋体" w:hAnsi="宋体" w:cs="宋体"/>
                <w:kern w:val="0"/>
                <w:sz w:val="24"/>
                <w:highlight w:val="none"/>
              </w:rPr>
              <w:t>人。讲解演示结束后按要求解答评标委员会提问。</w:t>
            </w:r>
          </w:p>
          <w:p w14:paraId="33F3B098">
            <w:pPr>
              <w:snapToGrid w:val="0"/>
              <w:spacing w:line="360" w:lineRule="auto"/>
              <w:rPr>
                <w:rFonts w:ascii="宋体" w:hAnsi="宋体" w:cs="宋体"/>
                <w:kern w:val="0"/>
                <w:sz w:val="24"/>
                <w:highlight w:val="none"/>
              </w:rPr>
            </w:pPr>
            <w:r>
              <w:rPr>
                <w:rFonts w:hint="eastAsia" w:ascii="宋体" w:hAnsi="宋体" w:cs="宋体"/>
                <w:kern w:val="0"/>
                <w:sz w:val="24"/>
                <w:highlight w:val="none"/>
              </w:rPr>
              <w:t>（2）方案讲解演示可选择以下其中一种方式：</w:t>
            </w:r>
          </w:p>
          <w:p w14:paraId="26CA9255">
            <w:pPr>
              <w:snapToGrid w:val="0"/>
              <w:spacing w:line="360" w:lineRule="auto"/>
              <w:rPr>
                <w:rFonts w:ascii="宋体" w:hAnsi="宋体" w:cs="宋体"/>
                <w:kern w:val="0"/>
                <w:sz w:val="24"/>
                <w:highlight w:val="none"/>
              </w:rPr>
            </w:pPr>
            <w:r>
              <w:rPr>
                <w:rFonts w:hint="eastAsia" w:ascii="宋体" w:hAnsi="宋体" w:cs="宋体"/>
                <w:kern w:val="0"/>
                <w:sz w:val="24"/>
                <w:highlight w:val="none"/>
              </w:rPr>
              <w:t>方式一：政采云平台在线讲解演示。政采云平台在线讲解需投标人根据政采云平台操作要求做好准备工作，提前完善软硬件配置环境。</w:t>
            </w:r>
          </w:p>
          <w:p w14:paraId="445C9BEC">
            <w:pPr>
              <w:snapToGrid w:val="0"/>
              <w:spacing w:line="360" w:lineRule="auto"/>
              <w:rPr>
                <w:rFonts w:ascii="宋体" w:hAnsi="宋体" w:cs="宋体"/>
                <w:kern w:val="0"/>
                <w:sz w:val="24"/>
                <w:highlight w:val="none"/>
              </w:rPr>
            </w:pPr>
            <w:r>
              <w:rPr>
                <w:rFonts w:hint="eastAsia" w:ascii="宋体" w:hAnsi="宋体" w:cs="宋体"/>
                <w:kern w:val="0"/>
                <w:sz w:val="24"/>
                <w:highlight w:val="none"/>
              </w:rPr>
              <w:t>方式二：交易中心现场讲解演示。现场讲解地点为</w:t>
            </w:r>
            <w:r>
              <w:rPr>
                <w:rFonts w:hint="eastAsia" w:ascii="宋体" w:hAnsi="宋体" w:cs="宋体"/>
                <w:kern w:val="0"/>
                <w:sz w:val="24"/>
                <w:highlight w:val="none"/>
                <w:u w:val="single"/>
              </w:rPr>
              <w:t xml:space="preserve">     </w:t>
            </w:r>
            <w:r>
              <w:rPr>
                <w:rFonts w:hint="eastAsia" w:ascii="宋体" w:hAnsi="宋体" w:cs="宋体"/>
                <w:kern w:val="0"/>
                <w:sz w:val="24"/>
                <w:highlight w:val="none"/>
              </w:rPr>
              <w:t>，讲解演示所用电脑等设备由投标人自备。现场讲解演示人员进场时提供讲解人员名单（加盖公章或授权代表签名）及身份证明，否则不得讲解演示。</w:t>
            </w:r>
          </w:p>
          <w:p w14:paraId="2FD68CCB">
            <w:pPr>
              <w:snapToGrid w:val="0"/>
              <w:spacing w:line="360" w:lineRule="auto"/>
              <w:rPr>
                <w:rFonts w:ascii="宋体" w:hAnsi="宋体" w:cs="宋体"/>
                <w:b/>
                <w:kern w:val="0"/>
                <w:sz w:val="24"/>
                <w:highlight w:val="none"/>
                <w:lang w:val="zh-CN"/>
              </w:rPr>
            </w:pPr>
            <w:r>
              <w:rPr>
                <w:rFonts w:hint="eastAsia" w:ascii="宋体" w:hAnsi="宋体" w:cs="宋体"/>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1B36E9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4E201237">
            <w:pPr>
              <w:snapToGrid w:val="0"/>
              <w:spacing w:line="360" w:lineRule="auto"/>
              <w:jc w:val="center"/>
              <w:rPr>
                <w:rFonts w:ascii="宋体" w:hAnsi="宋体" w:cs="宋体"/>
                <w:sz w:val="24"/>
                <w:highlight w:val="none"/>
              </w:rPr>
            </w:pPr>
            <w:r>
              <w:rPr>
                <w:rFonts w:hint="eastAsia" w:ascii="宋体" w:hAnsi="宋体" w:cs="宋体"/>
                <w:sz w:val="24"/>
                <w:highlight w:val="none"/>
              </w:rPr>
              <w:t>8</w:t>
            </w:r>
          </w:p>
        </w:tc>
        <w:tc>
          <w:tcPr>
            <w:tcW w:w="1473" w:type="dxa"/>
            <w:vMerge w:val="restart"/>
            <w:tcBorders>
              <w:top w:val="single" w:color="000000" w:sz="8" w:space="0"/>
              <w:left w:val="single" w:color="auto" w:sz="4" w:space="0"/>
              <w:right w:val="single" w:color="000000" w:sz="8" w:space="0"/>
            </w:tcBorders>
            <w:vAlign w:val="center"/>
          </w:tcPr>
          <w:p w14:paraId="3F67B54D">
            <w:pPr>
              <w:snapToGrid w:val="0"/>
              <w:spacing w:line="360" w:lineRule="auto"/>
              <w:jc w:val="center"/>
              <w:rPr>
                <w:rFonts w:ascii="宋体" w:hAnsi="宋体" w:cs="宋体"/>
                <w:b/>
                <w:sz w:val="24"/>
                <w:highlight w:val="none"/>
              </w:rPr>
            </w:pPr>
            <w:r>
              <w:rPr>
                <w:rFonts w:hint="eastAsia" w:ascii="宋体" w:hAnsi="宋体" w:cs="宋体"/>
                <w:b/>
                <w:sz w:val="24"/>
                <w:highlight w:val="none"/>
              </w:rPr>
              <w:t>投标人应当提供的资格、资信证明文件</w:t>
            </w:r>
          </w:p>
        </w:tc>
        <w:tc>
          <w:tcPr>
            <w:tcW w:w="6918" w:type="dxa"/>
            <w:tcBorders>
              <w:top w:val="single" w:color="000000" w:sz="8" w:space="0"/>
              <w:left w:val="single" w:color="000000" w:sz="2" w:space="0"/>
              <w:bottom w:val="single" w:color="auto" w:sz="4" w:space="0"/>
              <w:right w:val="single" w:color="000000" w:sz="8" w:space="0"/>
            </w:tcBorders>
            <w:vAlign w:val="center"/>
          </w:tcPr>
          <w:p w14:paraId="08A32557">
            <w:pPr>
              <w:spacing w:line="360" w:lineRule="auto"/>
              <w:rPr>
                <w:rFonts w:ascii="宋体" w:hAnsi="宋体" w:cs="宋体"/>
                <w:sz w:val="24"/>
                <w:highlight w:val="none"/>
              </w:rPr>
            </w:pPr>
            <w:r>
              <w:rPr>
                <w:rFonts w:hint="eastAsia" w:ascii="宋体" w:hAnsi="宋体" w:cs="宋体"/>
                <w:sz w:val="24"/>
                <w:highlight w:val="none"/>
              </w:rPr>
              <w:t>（1）资格证明文件：见招标文件第二部分11.1。</w:t>
            </w:r>
          </w:p>
          <w:p w14:paraId="75DC3053">
            <w:pPr>
              <w:spacing w:line="360" w:lineRule="auto"/>
              <w:rPr>
                <w:rFonts w:ascii="宋体" w:hAnsi="宋体" w:cs="宋体"/>
                <w:snapToGrid w:val="0"/>
                <w:kern w:val="0"/>
                <w:szCs w:val="21"/>
                <w:highlight w:val="none"/>
              </w:rPr>
            </w:pPr>
            <w:r>
              <w:rPr>
                <w:rFonts w:hint="eastAsia" w:ascii="宋体" w:hAnsi="宋体" w:cs="宋体"/>
                <w:kern w:val="0"/>
                <w:sz w:val="24"/>
                <w:highlight w:val="none"/>
                <w:lang w:val="zh-CN"/>
              </w:rPr>
              <w:t>投标人未提供有效的资格证明文件的，视为投标人不具备招标文件中规定的资格要求，投标无效。</w:t>
            </w:r>
          </w:p>
        </w:tc>
      </w:tr>
      <w:tr w14:paraId="4F4BE1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vMerge w:val="continue"/>
            <w:tcBorders>
              <w:left w:val="single" w:color="auto" w:sz="4" w:space="0"/>
              <w:bottom w:val="single" w:color="auto" w:sz="4" w:space="0"/>
              <w:right w:val="single" w:color="auto" w:sz="4" w:space="0"/>
            </w:tcBorders>
            <w:vAlign w:val="center"/>
          </w:tcPr>
          <w:p w14:paraId="24A5A516">
            <w:pPr>
              <w:snapToGrid w:val="0"/>
              <w:spacing w:line="360" w:lineRule="auto"/>
              <w:jc w:val="center"/>
              <w:rPr>
                <w:rFonts w:ascii="宋体" w:hAnsi="宋体" w:cs="宋体"/>
                <w:sz w:val="24"/>
                <w:highlight w:val="none"/>
              </w:rPr>
            </w:pPr>
          </w:p>
        </w:tc>
        <w:tc>
          <w:tcPr>
            <w:tcW w:w="1473" w:type="dxa"/>
            <w:vMerge w:val="continue"/>
            <w:tcBorders>
              <w:left w:val="single" w:color="auto" w:sz="4" w:space="0"/>
              <w:bottom w:val="single" w:color="000000" w:sz="8" w:space="0"/>
              <w:right w:val="single" w:color="000000" w:sz="8" w:space="0"/>
            </w:tcBorders>
            <w:vAlign w:val="center"/>
          </w:tcPr>
          <w:p w14:paraId="01BAF019">
            <w:pPr>
              <w:snapToGrid w:val="0"/>
              <w:spacing w:line="360" w:lineRule="auto"/>
              <w:jc w:val="center"/>
              <w:rPr>
                <w:rFonts w:ascii="宋体" w:hAnsi="宋体" w:cs="宋体"/>
                <w:b/>
                <w:sz w:val="24"/>
                <w:highlight w:val="none"/>
              </w:rPr>
            </w:pPr>
          </w:p>
        </w:tc>
        <w:tc>
          <w:tcPr>
            <w:tcW w:w="6918" w:type="dxa"/>
            <w:tcBorders>
              <w:top w:val="single" w:color="auto" w:sz="4" w:space="0"/>
              <w:left w:val="single" w:color="000000" w:sz="2" w:space="0"/>
              <w:bottom w:val="single" w:color="000000" w:sz="8" w:space="0"/>
              <w:right w:val="single" w:color="000000" w:sz="8" w:space="0"/>
            </w:tcBorders>
            <w:vAlign w:val="center"/>
          </w:tcPr>
          <w:p w14:paraId="7B999DE9">
            <w:pPr>
              <w:spacing w:line="360" w:lineRule="auto"/>
              <w:rPr>
                <w:rFonts w:ascii="宋体" w:hAnsi="宋体" w:cs="宋体"/>
                <w:sz w:val="24"/>
                <w:highlight w:val="none"/>
              </w:rPr>
            </w:pPr>
            <w:r>
              <w:rPr>
                <w:rFonts w:hint="eastAsia" w:ascii="宋体" w:hAnsi="宋体" w:cs="宋体"/>
                <w:sz w:val="24"/>
                <w:highlight w:val="none"/>
              </w:rPr>
              <w:t>（2）资信证明文件：根据招标文件第四部分评标办法提供。</w:t>
            </w:r>
          </w:p>
        </w:tc>
      </w:tr>
      <w:tr w14:paraId="529E21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D1C33DC">
            <w:pPr>
              <w:snapToGrid w:val="0"/>
              <w:spacing w:line="360" w:lineRule="auto"/>
              <w:jc w:val="center"/>
              <w:rPr>
                <w:rFonts w:ascii="宋体" w:hAnsi="宋体" w:cs="宋体"/>
                <w:sz w:val="24"/>
                <w:highlight w:val="none"/>
              </w:rPr>
            </w:pPr>
            <w:r>
              <w:rPr>
                <w:rFonts w:hint="eastAsia" w:ascii="宋体" w:hAnsi="宋体" w:cs="宋体"/>
                <w:sz w:val="24"/>
                <w:highlight w:val="none"/>
              </w:rPr>
              <w:t>9</w:t>
            </w:r>
          </w:p>
        </w:tc>
        <w:tc>
          <w:tcPr>
            <w:tcW w:w="1473" w:type="dxa"/>
            <w:tcBorders>
              <w:top w:val="single" w:color="000000" w:sz="8" w:space="0"/>
              <w:left w:val="single" w:color="000000" w:sz="2" w:space="0"/>
              <w:bottom w:val="single" w:color="000000" w:sz="8" w:space="0"/>
              <w:right w:val="single" w:color="000000" w:sz="8" w:space="0"/>
            </w:tcBorders>
            <w:vAlign w:val="center"/>
          </w:tcPr>
          <w:p w14:paraId="2DFE4C40">
            <w:pPr>
              <w:snapToGrid w:val="0"/>
              <w:spacing w:line="360" w:lineRule="auto"/>
              <w:jc w:val="center"/>
              <w:rPr>
                <w:rFonts w:ascii="宋体" w:hAnsi="宋体" w:cs="宋体"/>
                <w:b/>
                <w:sz w:val="24"/>
                <w:highlight w:val="none"/>
              </w:rPr>
            </w:pPr>
            <w:r>
              <w:rPr>
                <w:rFonts w:hint="eastAsia" w:ascii="宋体" w:hAnsi="宋体" w:cs="宋体"/>
                <w:b/>
                <w:sz w:val="24"/>
                <w:highlight w:val="none"/>
              </w:rPr>
              <w:t>节能产品、环境标志产品</w:t>
            </w:r>
          </w:p>
        </w:tc>
        <w:tc>
          <w:tcPr>
            <w:tcW w:w="6918" w:type="dxa"/>
            <w:tcBorders>
              <w:top w:val="single" w:color="000000" w:sz="8" w:space="0"/>
              <w:left w:val="single" w:color="000000" w:sz="2" w:space="0"/>
              <w:bottom w:val="single" w:color="000000" w:sz="8" w:space="0"/>
              <w:right w:val="single" w:color="000000" w:sz="8" w:space="0"/>
            </w:tcBorders>
            <w:vAlign w:val="center"/>
          </w:tcPr>
          <w:p w14:paraId="0FBFF81D">
            <w:pPr>
              <w:snapToGrid w:val="0"/>
              <w:spacing w:line="360" w:lineRule="auto"/>
              <w:rPr>
                <w:rFonts w:ascii="宋体" w:hAnsi="宋体" w:cs="宋体"/>
                <w:highlight w:val="none"/>
              </w:rPr>
            </w:pPr>
            <w:r>
              <w:rPr>
                <w:rFonts w:hint="eastAsia" w:ascii="宋体" w:hAnsi="宋体" w:cs="宋体"/>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DBA67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76DFD8D">
            <w:pPr>
              <w:snapToGrid w:val="0"/>
              <w:spacing w:line="360" w:lineRule="auto"/>
              <w:jc w:val="center"/>
              <w:rPr>
                <w:rFonts w:ascii="宋体" w:hAnsi="宋体" w:cs="宋体"/>
                <w:sz w:val="24"/>
                <w:highlight w:val="none"/>
              </w:rPr>
            </w:pPr>
            <w:r>
              <w:rPr>
                <w:rFonts w:hint="eastAsia" w:ascii="宋体" w:hAnsi="宋体" w:cs="宋体"/>
                <w:sz w:val="24"/>
                <w:highlight w:val="none"/>
              </w:rPr>
              <w:t>10</w:t>
            </w:r>
          </w:p>
        </w:tc>
        <w:tc>
          <w:tcPr>
            <w:tcW w:w="1473" w:type="dxa"/>
            <w:tcBorders>
              <w:top w:val="single" w:color="000000" w:sz="8" w:space="0"/>
              <w:left w:val="single" w:color="000000" w:sz="2" w:space="0"/>
              <w:bottom w:val="single" w:color="000000" w:sz="8" w:space="0"/>
              <w:right w:val="single" w:color="000000" w:sz="8" w:space="0"/>
            </w:tcBorders>
            <w:vAlign w:val="center"/>
          </w:tcPr>
          <w:p w14:paraId="71A4BC46">
            <w:pPr>
              <w:snapToGrid w:val="0"/>
              <w:spacing w:line="360" w:lineRule="auto"/>
              <w:jc w:val="center"/>
              <w:rPr>
                <w:rFonts w:ascii="宋体" w:hAnsi="宋体" w:cs="宋体"/>
                <w:b/>
                <w:sz w:val="24"/>
                <w:highlight w:val="none"/>
              </w:rPr>
            </w:pPr>
            <w:r>
              <w:rPr>
                <w:rFonts w:hint="eastAsia" w:ascii="宋体" w:hAnsi="宋体" w:cs="宋体"/>
                <w:b/>
                <w:sz w:val="24"/>
                <w:highlight w:val="none"/>
              </w:rPr>
              <w:t>报价要求</w:t>
            </w:r>
          </w:p>
        </w:tc>
        <w:tc>
          <w:tcPr>
            <w:tcW w:w="6918" w:type="dxa"/>
            <w:tcBorders>
              <w:top w:val="single" w:color="000000" w:sz="8" w:space="0"/>
              <w:left w:val="single" w:color="000000" w:sz="2" w:space="0"/>
              <w:bottom w:val="single" w:color="000000" w:sz="8" w:space="0"/>
              <w:right w:val="single" w:color="000000" w:sz="8" w:space="0"/>
            </w:tcBorders>
            <w:vAlign w:val="center"/>
          </w:tcPr>
          <w:p w14:paraId="57D7B028">
            <w:pPr>
              <w:snapToGrid w:val="0"/>
              <w:spacing w:line="360" w:lineRule="auto"/>
              <w:jc w:val="left"/>
              <w:rPr>
                <w:rFonts w:hint="default" w:ascii="宋体" w:hAnsi="宋体" w:eastAsia="宋体" w:cs="宋体"/>
                <w:b/>
                <w:kern w:val="0"/>
                <w:sz w:val="24"/>
                <w:highlight w:val="none"/>
                <w:lang w:val="en-US" w:eastAsia="zh-CN"/>
              </w:rPr>
            </w:pPr>
            <w:r>
              <w:rPr>
                <w:rFonts w:hint="eastAsia" w:ascii="宋体" w:hAnsi="宋体" w:cs="宋体"/>
                <w:kern w:val="0"/>
                <w:sz w:val="24"/>
                <w:highlight w:val="none"/>
                <w:lang w:val="zh-CN"/>
              </w:rPr>
              <w:t>有关本项目实施所需的所有费用（含税费）均计入报价。</w:t>
            </w:r>
            <w:r>
              <w:rPr>
                <w:rFonts w:hint="eastAsia" w:ascii="宋体" w:hAnsi="宋体" w:cs="宋体"/>
                <w:b/>
                <w:bCs/>
                <w:kern w:val="0"/>
                <w:sz w:val="24"/>
                <w:highlight w:val="none"/>
                <w:lang w:val="zh-CN"/>
              </w:rPr>
              <w:t>投标文件</w:t>
            </w:r>
            <w:r>
              <w:rPr>
                <w:rFonts w:hint="eastAsia" w:ascii="宋体" w:hAnsi="宋体" w:cs="宋体"/>
                <w:b/>
                <w:bCs/>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highlight w:val="none"/>
                <w:lang w:val="zh-CN"/>
              </w:rPr>
              <w:t>投标文件中价格全部采用</w:t>
            </w:r>
            <w:r>
              <w:rPr>
                <w:rFonts w:hint="eastAsia" w:ascii="宋体" w:hAnsi="宋体" w:cs="宋体"/>
                <w:kern w:val="0"/>
                <w:sz w:val="24"/>
                <w:highlight w:val="none"/>
                <w:lang w:val="en-US" w:eastAsia="zh-CN"/>
              </w:rPr>
              <w:t>人民币</w:t>
            </w:r>
            <w:r>
              <w:rPr>
                <w:rFonts w:hint="eastAsia" w:ascii="宋体" w:hAnsi="宋体" w:cs="宋体"/>
                <w:kern w:val="0"/>
                <w:sz w:val="24"/>
                <w:highlight w:val="none"/>
                <w:lang w:val="zh-CN"/>
              </w:rPr>
              <w:t>报价。招标文件未列明，而投标人认为必需的费用也需列入报价。</w:t>
            </w:r>
            <w:r>
              <w:rPr>
                <w:rFonts w:hint="eastAsia" w:ascii="宋体" w:hAnsi="宋体" w:cs="宋体"/>
                <w:b/>
                <w:color w:val="000000" w:themeColor="text1"/>
                <w:kern w:val="0"/>
                <w:sz w:val="24"/>
                <w:highlight w:val="none"/>
                <w:lang w:val="zh-CN"/>
                <w14:textFill>
                  <w14:solidFill>
                    <w14:schemeClr w14:val="tx1"/>
                  </w14:solidFill>
                </w14:textFill>
              </w:rPr>
              <w:t>投标报价须是完成本项目的所有费用，包括但不限于</w:t>
            </w:r>
            <w:r>
              <w:rPr>
                <w:rFonts w:hint="eastAsia" w:ascii="宋体" w:hAnsi="宋体" w:cs="宋体"/>
                <w:b/>
                <w:color w:val="000000" w:themeColor="text1"/>
                <w:kern w:val="0"/>
                <w:sz w:val="24"/>
                <w:highlight w:val="none"/>
                <w:lang w:val="en-US" w:eastAsia="zh-CN"/>
                <w14:textFill>
                  <w14:solidFill>
                    <w14:schemeClr w14:val="tx1"/>
                  </w14:solidFill>
                </w14:textFill>
              </w:rPr>
              <w:t>试剂、设备</w:t>
            </w:r>
            <w:r>
              <w:rPr>
                <w:rFonts w:hint="eastAsia" w:ascii="宋体" w:hAnsi="宋体" w:cs="宋体"/>
                <w:b/>
                <w:color w:val="000000" w:themeColor="text1"/>
                <w:kern w:val="0"/>
                <w:sz w:val="24"/>
                <w:highlight w:val="none"/>
                <w:lang w:val="zh-CN"/>
                <w14:textFill>
                  <w14:solidFill>
                    <w14:schemeClr w14:val="tx1"/>
                  </w14:solidFill>
                </w14:textFill>
              </w:rPr>
              <w:t>、材料、人工费、安装调试费</w:t>
            </w:r>
            <w:r>
              <w:rPr>
                <w:rFonts w:hint="eastAsia" w:ascii="宋体" w:hAnsi="宋体" w:cs="宋体"/>
                <w:b/>
                <w:color w:val="000000" w:themeColor="text1"/>
                <w:kern w:val="0"/>
                <w:sz w:val="24"/>
                <w:highlight w:val="none"/>
                <w:lang w:val="en-US" w:eastAsia="zh-CN"/>
                <w14:textFill>
                  <w14:solidFill>
                    <w14:schemeClr w14:val="tx1"/>
                  </w14:solidFill>
                </w14:textFill>
              </w:rPr>
              <w:t>、运输、质保期、售后服务、</w:t>
            </w:r>
            <w:r>
              <w:rPr>
                <w:rFonts w:hint="eastAsia" w:ascii="宋体" w:hAnsi="宋体" w:cs="宋体"/>
                <w:b/>
                <w:color w:val="000000" w:themeColor="text1"/>
                <w:kern w:val="0"/>
                <w:sz w:val="24"/>
                <w:highlight w:val="none"/>
                <w:lang w:val="zh-CN"/>
                <w14:textFill>
                  <w14:solidFill>
                    <w14:schemeClr w14:val="tx1"/>
                  </w14:solidFill>
                </w14:textFill>
              </w:rPr>
              <w:t>培训、验收费用、保险、交通、利润、税金和其它伴随服务等所有工作内容的费用。</w:t>
            </w:r>
            <w:r>
              <w:rPr>
                <w:rFonts w:hint="eastAsia" w:ascii="宋体" w:hAnsi="宋体" w:cs="宋体"/>
                <w:b/>
                <w:color w:val="000000" w:themeColor="text1"/>
                <w:kern w:val="0"/>
                <w:sz w:val="24"/>
                <w:highlight w:val="none"/>
                <w:lang w:val="en-US" w:eastAsia="zh-CN"/>
                <w14:textFill>
                  <w14:solidFill>
                    <w14:schemeClr w14:val="tx1"/>
                  </w14:solidFill>
                </w14:textFill>
              </w:rPr>
              <w:t>本项目投标报价以综合单价形式报价，在项目实施过程中，按实际采购量，按实结算。</w:t>
            </w:r>
          </w:p>
          <w:p w14:paraId="088DC993">
            <w:pPr>
              <w:snapToGrid w:val="0"/>
              <w:spacing w:line="360" w:lineRule="auto"/>
              <w:jc w:val="left"/>
              <w:rPr>
                <w:rFonts w:ascii="宋体" w:hAnsi="宋体" w:cs="宋体"/>
                <w:b/>
                <w:kern w:val="0"/>
                <w:sz w:val="24"/>
                <w:highlight w:val="none"/>
                <w:lang w:val="zh-CN"/>
              </w:rPr>
            </w:pPr>
            <w:r>
              <w:rPr>
                <w:rFonts w:hint="eastAsia" w:ascii="宋体" w:hAnsi="宋体" w:cs="宋体"/>
                <w:b/>
                <w:kern w:val="0"/>
                <w:sz w:val="24"/>
                <w:highlight w:val="none"/>
                <w:lang w:val="zh-CN"/>
              </w:rPr>
              <w:t>投标报价出现下列情形的，投标无效：</w:t>
            </w:r>
          </w:p>
          <w:p w14:paraId="427AB41D">
            <w:pPr>
              <w:snapToGrid w:val="0"/>
              <w:spacing w:line="360" w:lineRule="auto"/>
              <w:ind w:firstLine="241" w:firstLineChars="100"/>
              <w:jc w:val="left"/>
              <w:rPr>
                <w:rFonts w:ascii="宋体" w:hAnsi="宋体" w:cs="宋体"/>
                <w:b/>
                <w:kern w:val="0"/>
                <w:sz w:val="24"/>
                <w:highlight w:val="none"/>
                <w:lang w:val="zh-CN"/>
              </w:rPr>
            </w:pPr>
            <w:r>
              <w:rPr>
                <w:rFonts w:hint="eastAsia" w:ascii="宋体" w:hAnsi="宋体" w:cs="宋体"/>
                <w:b/>
                <w:kern w:val="0"/>
                <w:sz w:val="24"/>
                <w:highlight w:val="none"/>
                <w:lang w:val="zh-CN"/>
              </w:rPr>
              <w:t>投标文件出现不是唯一的、有选择性投标报价的；</w:t>
            </w:r>
          </w:p>
          <w:p w14:paraId="785CA0B6">
            <w:pPr>
              <w:snapToGrid w:val="0"/>
              <w:spacing w:line="360" w:lineRule="auto"/>
              <w:ind w:firstLine="241" w:firstLineChars="100"/>
              <w:jc w:val="left"/>
              <w:rPr>
                <w:rFonts w:ascii="宋体" w:hAnsi="宋体" w:cs="宋体"/>
                <w:kern w:val="0"/>
                <w:sz w:val="24"/>
                <w:highlight w:val="none"/>
                <w:lang w:val="zh-CN"/>
              </w:rPr>
            </w:pPr>
            <w:r>
              <w:rPr>
                <w:rFonts w:hint="eastAsia" w:ascii="宋体" w:hAnsi="宋体" w:cs="宋体"/>
                <w:b/>
                <w:kern w:val="0"/>
                <w:sz w:val="24"/>
                <w:highlight w:val="none"/>
                <w:lang w:val="zh-CN"/>
              </w:rPr>
              <w:t>投标报价超过招标文件中规定的预算金额或者最高限价（</w:t>
            </w:r>
            <w:r>
              <w:rPr>
                <w:rFonts w:hint="eastAsia" w:ascii="宋体" w:hAnsi="宋体" w:cs="宋体"/>
                <w:b/>
                <w:kern w:val="0"/>
                <w:sz w:val="24"/>
                <w:highlight w:val="none"/>
                <w:lang w:val="en-US" w:eastAsia="zh-CN"/>
              </w:rPr>
              <w:t>包括</w:t>
            </w:r>
            <w:r>
              <w:rPr>
                <w:rFonts w:hint="eastAsia" w:ascii="宋体" w:hAnsi="宋体" w:cs="宋体"/>
                <w:b/>
                <w:kern w:val="0"/>
                <w:sz w:val="24"/>
                <w:highlight w:val="none"/>
                <w:lang w:val="zh-CN"/>
              </w:rPr>
              <w:t>投标报价折扣系数最高限价）的；</w:t>
            </w:r>
          </w:p>
          <w:p w14:paraId="148E60B4">
            <w:pPr>
              <w:spacing w:line="360" w:lineRule="auto"/>
              <w:ind w:firstLine="241" w:firstLineChars="100"/>
              <w:rPr>
                <w:rFonts w:hint="eastAsia" w:ascii="宋体" w:hAnsi="宋体" w:eastAsia="宋体" w:cs="宋体"/>
                <w:b/>
                <w:sz w:val="24"/>
                <w:highlight w:val="none"/>
                <w:lang w:eastAsia="zh-CN"/>
              </w:rPr>
            </w:pPr>
            <w:r>
              <w:rPr>
                <w:rFonts w:hint="eastAsia" w:ascii="宋体" w:hAnsi="宋体" w:cs="宋体"/>
                <w:b/>
                <w:kern w:val="0"/>
                <w:sz w:val="24"/>
                <w:highlight w:val="none"/>
              </w:rPr>
              <w:t>报价明显低于其他通过符合性审查投标人的报价</w:t>
            </w:r>
            <w:r>
              <w:rPr>
                <w:rFonts w:hint="eastAsia" w:ascii="宋体" w:hAnsi="宋体" w:cs="宋体"/>
                <w:b/>
                <w:kern w:val="0"/>
                <w:sz w:val="24"/>
                <w:highlight w:val="none"/>
                <w:lang w:eastAsia="zh-CN"/>
              </w:rPr>
              <w:t>（</w:t>
            </w:r>
            <w:r>
              <w:rPr>
                <w:rFonts w:hint="eastAsia" w:ascii="宋体" w:hAnsi="宋体" w:cs="宋体"/>
                <w:b/>
                <w:kern w:val="0"/>
                <w:sz w:val="24"/>
                <w:highlight w:val="none"/>
                <w:lang w:val="en-US" w:eastAsia="zh-CN"/>
              </w:rPr>
              <w:t>低于最高限价50%的</w:t>
            </w:r>
            <w:r>
              <w:rPr>
                <w:rFonts w:hint="eastAsia" w:ascii="宋体" w:hAnsi="宋体" w:cs="宋体"/>
                <w:b/>
                <w:kern w:val="0"/>
                <w:sz w:val="24"/>
                <w:highlight w:val="none"/>
                <w:lang w:eastAsia="zh-CN"/>
              </w:rPr>
              <w:t>）</w:t>
            </w:r>
            <w:r>
              <w:rPr>
                <w:rFonts w:hint="eastAsia" w:ascii="宋体" w:hAnsi="宋体" w:cs="宋体"/>
                <w:b/>
                <w:kern w:val="0"/>
                <w:sz w:val="24"/>
                <w:highlight w:val="none"/>
              </w:rPr>
              <w:t>，有可能影响产品质量或者不能诚信履约的，未能按要求提供书面说明或者提交相关证明材料证明其报价合理性的</w:t>
            </w:r>
            <w:r>
              <w:rPr>
                <w:rFonts w:hint="eastAsia" w:ascii="宋体" w:hAnsi="宋体" w:cs="宋体"/>
                <w:b/>
                <w:sz w:val="24"/>
                <w:szCs w:val="21"/>
                <w:highlight w:val="none"/>
                <w:lang w:eastAsia="zh-CN"/>
              </w:rPr>
              <w:t>；</w:t>
            </w:r>
          </w:p>
          <w:p w14:paraId="35209329">
            <w:pPr>
              <w:spacing w:line="360" w:lineRule="auto"/>
              <w:ind w:firstLine="241" w:firstLineChars="100"/>
              <w:rPr>
                <w:rFonts w:ascii="宋体" w:hAnsi="宋体" w:cs="宋体"/>
                <w:sz w:val="24"/>
                <w:highlight w:val="none"/>
              </w:rPr>
            </w:pPr>
            <w:r>
              <w:rPr>
                <w:rFonts w:hint="eastAsia" w:ascii="宋体" w:hAnsi="宋体" w:cs="宋体"/>
                <w:b/>
                <w:kern w:val="0"/>
                <w:sz w:val="24"/>
                <w:highlight w:val="none"/>
              </w:rPr>
              <w:t>投标人对根据修正原则修正后的报价不确认的</w:t>
            </w:r>
            <w:r>
              <w:rPr>
                <w:rFonts w:hint="eastAsia" w:ascii="宋体" w:hAnsi="宋体" w:cs="宋体"/>
                <w:b/>
                <w:sz w:val="24"/>
                <w:highlight w:val="none"/>
              </w:rPr>
              <w:t>。</w:t>
            </w:r>
          </w:p>
        </w:tc>
      </w:tr>
      <w:tr w14:paraId="52635A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08" w:hRule="atLeast"/>
          <w:tblHeader/>
        </w:trPr>
        <w:tc>
          <w:tcPr>
            <w:tcW w:w="629" w:type="dxa"/>
            <w:tcBorders>
              <w:top w:val="single" w:color="auto" w:sz="4" w:space="0"/>
              <w:left w:val="single" w:color="000000" w:sz="8" w:space="0"/>
              <w:right w:val="single" w:color="000000" w:sz="2" w:space="0"/>
            </w:tcBorders>
            <w:vAlign w:val="center"/>
          </w:tcPr>
          <w:p w14:paraId="331FCBFF">
            <w:pPr>
              <w:snapToGrid w:val="0"/>
              <w:spacing w:line="360" w:lineRule="auto"/>
              <w:jc w:val="center"/>
              <w:rPr>
                <w:rFonts w:ascii="宋体" w:hAnsi="宋体" w:cs="宋体"/>
                <w:sz w:val="24"/>
                <w:highlight w:val="none"/>
              </w:rPr>
            </w:pPr>
            <w:r>
              <w:rPr>
                <w:rFonts w:hint="eastAsia" w:ascii="宋体" w:hAnsi="宋体" w:cs="宋体"/>
                <w:sz w:val="24"/>
                <w:highlight w:val="none"/>
              </w:rPr>
              <w:t>11</w:t>
            </w:r>
          </w:p>
        </w:tc>
        <w:tc>
          <w:tcPr>
            <w:tcW w:w="1473" w:type="dxa"/>
            <w:tcBorders>
              <w:top w:val="single" w:color="000000" w:sz="8" w:space="0"/>
              <w:left w:val="single" w:color="000000" w:sz="2" w:space="0"/>
              <w:right w:val="single" w:color="000000" w:sz="8" w:space="0"/>
            </w:tcBorders>
            <w:vAlign w:val="center"/>
          </w:tcPr>
          <w:p w14:paraId="65E1BCF7">
            <w:pPr>
              <w:snapToGrid w:val="0"/>
              <w:spacing w:line="360" w:lineRule="auto"/>
              <w:jc w:val="center"/>
              <w:rPr>
                <w:rFonts w:ascii="宋体" w:hAnsi="宋体" w:cs="宋体"/>
                <w:b/>
                <w:sz w:val="24"/>
                <w:highlight w:val="none"/>
              </w:rPr>
            </w:pPr>
            <w:r>
              <w:rPr>
                <w:rFonts w:hint="eastAsia" w:ascii="宋体" w:hAnsi="宋体" w:cs="宋体"/>
                <w:b/>
                <w:sz w:val="24"/>
                <w:highlight w:val="none"/>
              </w:rPr>
              <w:t>中小企业信用融资</w:t>
            </w:r>
          </w:p>
        </w:tc>
        <w:tc>
          <w:tcPr>
            <w:tcW w:w="6918" w:type="dxa"/>
            <w:tcBorders>
              <w:top w:val="single" w:color="000000" w:sz="8" w:space="0"/>
              <w:left w:val="single" w:color="000000" w:sz="2" w:space="0"/>
              <w:right w:val="single" w:color="000000" w:sz="8" w:space="0"/>
            </w:tcBorders>
            <w:vAlign w:val="center"/>
          </w:tcPr>
          <w:p w14:paraId="201B4CF0">
            <w:pPr>
              <w:spacing w:line="360" w:lineRule="auto"/>
              <w:ind w:firstLine="480" w:firstLineChars="200"/>
              <w:rPr>
                <w:rFonts w:ascii="宋体" w:hAnsi="宋体" w:cs="宋体"/>
                <w:sz w:val="24"/>
                <w:highlight w:val="none"/>
              </w:rPr>
            </w:pPr>
            <w:r>
              <w:rPr>
                <w:rFonts w:hint="eastAsia" w:ascii="宋体" w:hAnsi="宋体" w:cs="宋体"/>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21751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89A36E6">
            <w:pPr>
              <w:snapToGrid w:val="0"/>
              <w:spacing w:line="360" w:lineRule="auto"/>
              <w:jc w:val="center"/>
              <w:rPr>
                <w:rFonts w:ascii="宋体" w:hAnsi="宋体" w:cs="宋体"/>
                <w:sz w:val="24"/>
                <w:highlight w:val="none"/>
              </w:rPr>
            </w:pPr>
            <w:r>
              <w:rPr>
                <w:rFonts w:hint="eastAsia" w:ascii="宋体" w:hAnsi="宋体" w:cs="宋体"/>
                <w:sz w:val="24"/>
                <w:highlight w:val="none"/>
              </w:rPr>
              <w:t>12</w:t>
            </w:r>
          </w:p>
        </w:tc>
        <w:tc>
          <w:tcPr>
            <w:tcW w:w="1473" w:type="dxa"/>
            <w:tcBorders>
              <w:top w:val="single" w:color="000000" w:sz="8" w:space="0"/>
              <w:left w:val="single" w:color="000000" w:sz="2" w:space="0"/>
              <w:bottom w:val="single" w:color="auto" w:sz="4" w:space="0"/>
              <w:right w:val="single" w:color="000000" w:sz="8" w:space="0"/>
            </w:tcBorders>
            <w:vAlign w:val="center"/>
          </w:tcPr>
          <w:p w14:paraId="5F38FB28">
            <w:pPr>
              <w:snapToGrid w:val="0"/>
              <w:spacing w:line="360" w:lineRule="auto"/>
              <w:jc w:val="center"/>
              <w:rPr>
                <w:rFonts w:ascii="宋体" w:hAnsi="宋体" w:cs="宋体"/>
                <w:b/>
                <w:sz w:val="24"/>
                <w:highlight w:val="none"/>
              </w:rPr>
            </w:pPr>
            <w:r>
              <w:rPr>
                <w:rFonts w:hint="eastAsia" w:ascii="宋体" w:hAnsi="宋体" w:cs="宋体"/>
                <w:b/>
                <w:sz w:val="24"/>
                <w:highlight w:val="none"/>
              </w:rPr>
              <w:t>备份投标文件送达时间、地点和签收人员</w:t>
            </w:r>
          </w:p>
        </w:tc>
        <w:tc>
          <w:tcPr>
            <w:tcW w:w="6918" w:type="dxa"/>
            <w:tcBorders>
              <w:top w:val="single" w:color="000000" w:sz="8" w:space="0"/>
              <w:left w:val="single" w:color="000000" w:sz="2" w:space="0"/>
              <w:bottom w:val="single" w:color="000000" w:sz="8" w:space="0"/>
              <w:right w:val="single" w:color="000000" w:sz="8" w:space="0"/>
            </w:tcBorders>
            <w:vAlign w:val="center"/>
          </w:tcPr>
          <w:p w14:paraId="28081310">
            <w:pPr>
              <w:spacing w:line="360" w:lineRule="auto"/>
              <w:rPr>
                <w:rFonts w:ascii="宋体" w:hAnsi="宋体" w:cs="宋体"/>
                <w:snapToGrid w:val="0"/>
                <w:sz w:val="24"/>
                <w:highlight w:val="none"/>
              </w:rPr>
            </w:pPr>
            <w:r>
              <w:rPr>
                <w:rFonts w:hint="eastAsia" w:ascii="宋体" w:hAnsi="宋体" w:cs="宋体"/>
                <w:snapToGrid w:val="0"/>
                <w:sz w:val="24"/>
                <w:szCs w:val="21"/>
                <w:highlight w:val="none"/>
              </w:rPr>
              <w:t>（1）</w:t>
            </w:r>
            <w:r>
              <w:rPr>
                <w:rFonts w:hint="eastAsia" w:ascii="宋体" w:hAnsi="宋体" w:cs="宋体"/>
                <w:snapToGrid w:val="0"/>
                <w:sz w:val="24"/>
                <w:highlight w:val="none"/>
              </w:rPr>
              <w:t>直接提交备份投标文件的：</w:t>
            </w:r>
          </w:p>
          <w:p w14:paraId="58D00502">
            <w:pPr>
              <w:spacing w:line="360" w:lineRule="auto"/>
              <w:rPr>
                <w:rFonts w:ascii="宋体" w:hAnsi="宋体" w:cs="宋体"/>
                <w:snapToGrid w:val="0"/>
                <w:sz w:val="24"/>
                <w:highlight w:val="none"/>
              </w:rPr>
            </w:pPr>
            <w:r>
              <w:rPr>
                <w:rFonts w:hint="eastAsia" w:ascii="宋体" w:hAnsi="宋体" w:cs="宋体"/>
                <w:snapToGrid w:val="0"/>
                <w:kern w:val="28"/>
                <w:sz w:val="24"/>
                <w:highlight w:val="none"/>
              </w:rPr>
              <w:t>备份投标文件送达地点：</w:t>
            </w:r>
            <w:r>
              <w:rPr>
                <w:rFonts w:hint="eastAsia" w:ascii="宋体" w:hAnsi="宋体" w:cs="宋体"/>
                <w:snapToGrid w:val="0"/>
                <w:kern w:val="28"/>
                <w:sz w:val="24"/>
                <w:highlight w:val="none"/>
                <w:u w:val="single"/>
              </w:rPr>
              <w:t>宁海县公共资源交易中心五楼【具体受理场所详见当日电子指示屏】。</w:t>
            </w:r>
          </w:p>
          <w:p w14:paraId="3F5D0068">
            <w:pPr>
              <w:spacing w:line="360" w:lineRule="auto"/>
              <w:rPr>
                <w:rFonts w:ascii="宋体" w:hAnsi="宋体" w:cs="宋体"/>
                <w:snapToGrid w:val="0"/>
                <w:sz w:val="24"/>
                <w:highlight w:val="none"/>
              </w:rPr>
            </w:pPr>
            <w:r>
              <w:rPr>
                <w:rFonts w:hint="eastAsia" w:ascii="宋体" w:hAnsi="宋体" w:cs="宋体"/>
                <w:snapToGrid w:val="0"/>
                <w:kern w:val="28"/>
                <w:sz w:val="24"/>
                <w:highlight w:val="none"/>
              </w:rPr>
              <w:t>（2）</w:t>
            </w:r>
            <w:r>
              <w:rPr>
                <w:rFonts w:hint="eastAsia" w:ascii="宋体" w:hAnsi="宋体" w:cs="宋体"/>
                <w:snapToGrid w:val="0"/>
                <w:sz w:val="24"/>
                <w:highlight w:val="none"/>
              </w:rPr>
              <w:t>以邮政快递方式递交备份投标文件的：</w:t>
            </w:r>
          </w:p>
          <w:p w14:paraId="6DE57816">
            <w:pPr>
              <w:spacing w:line="360" w:lineRule="auto"/>
              <w:rPr>
                <w:rFonts w:ascii="宋体" w:hAnsi="宋体" w:cs="宋体"/>
                <w:snapToGrid w:val="0"/>
                <w:kern w:val="28"/>
                <w:sz w:val="24"/>
                <w:highlight w:val="none"/>
              </w:rPr>
            </w:pPr>
            <w:r>
              <w:rPr>
                <w:rFonts w:hint="eastAsia" w:ascii="宋体" w:hAnsi="宋体" w:cs="宋体"/>
                <w:sz w:val="24"/>
                <w:highlight w:val="none"/>
              </w:rPr>
              <w:t>备份投标文件送达</w:t>
            </w:r>
            <w:r>
              <w:rPr>
                <w:rFonts w:hint="eastAsia" w:ascii="宋体" w:hAnsi="宋体" w:cs="宋体"/>
                <w:snapToGrid w:val="0"/>
                <w:sz w:val="24"/>
                <w:highlight w:val="none"/>
              </w:rPr>
              <w:t>截止时间：</w:t>
            </w:r>
            <w:r>
              <w:rPr>
                <w:rFonts w:hint="eastAsia" w:ascii="宋体" w:hAnsi="宋体" w:cs="宋体"/>
                <w:snapToGrid w:val="0"/>
                <w:sz w:val="24"/>
                <w:highlight w:val="none"/>
                <w:u w:val="single"/>
              </w:rPr>
              <w:t>开标时间前一个工作日的16:00止。</w:t>
            </w:r>
          </w:p>
          <w:p w14:paraId="173CC9D3">
            <w:pPr>
              <w:pStyle w:val="33"/>
              <w:spacing w:line="360" w:lineRule="auto"/>
              <w:rPr>
                <w:rFonts w:hAnsi="宋体" w:cs="宋体"/>
                <w:kern w:val="28"/>
                <w:sz w:val="24"/>
                <w:highlight w:val="none"/>
              </w:rPr>
            </w:pPr>
            <w:r>
              <w:rPr>
                <w:rFonts w:hint="eastAsia" w:hAnsi="宋体" w:cs="宋体"/>
                <w:kern w:val="28"/>
                <w:sz w:val="24"/>
                <w:szCs w:val="24"/>
                <w:highlight w:val="none"/>
              </w:rPr>
              <w:t>备份投标文件送达地点：</w:t>
            </w:r>
            <w:r>
              <w:rPr>
                <w:rFonts w:hint="eastAsia" w:hAnsi="宋体" w:cs="宋体"/>
                <w:sz w:val="24"/>
                <w:highlight w:val="none"/>
                <w:u w:val="single"/>
              </w:rPr>
              <w:t xml:space="preserve"> 宁波市鄞州区天童南路666号中基大厦19楼业务六部 </w:t>
            </w:r>
            <w:r>
              <w:rPr>
                <w:rFonts w:hint="eastAsia" w:hAnsi="宋体" w:cs="宋体"/>
                <w:kern w:val="28"/>
                <w:sz w:val="24"/>
                <w:szCs w:val="24"/>
                <w:highlight w:val="none"/>
              </w:rPr>
              <w:t>；备份投标文件签收人员联系电话：</w:t>
            </w:r>
            <w:r>
              <w:rPr>
                <w:rFonts w:hint="eastAsia" w:hAnsi="宋体" w:cs="宋体"/>
                <w:sz w:val="24"/>
                <w:highlight w:val="none"/>
                <w:u w:val="single"/>
              </w:rPr>
              <w:t xml:space="preserve"> </w:t>
            </w:r>
            <w:r>
              <w:rPr>
                <w:rFonts w:hint="eastAsia" w:hAnsi="宋体" w:cs="宋体"/>
                <w:sz w:val="24"/>
                <w:highlight w:val="none"/>
                <w:u w:val="single"/>
                <w:lang w:val="en-US" w:eastAsia="zh-CN"/>
              </w:rPr>
              <w:t>王工</w:t>
            </w:r>
            <w:r>
              <w:rPr>
                <w:rFonts w:hint="eastAsia" w:hAnsi="宋体" w:cs="宋体"/>
                <w:sz w:val="24"/>
                <w:highlight w:val="none"/>
                <w:u w:val="single"/>
              </w:rPr>
              <w:t>0574-87425</w:t>
            </w:r>
            <w:r>
              <w:rPr>
                <w:rFonts w:hint="eastAsia" w:hAnsi="宋体" w:cs="宋体"/>
                <w:sz w:val="24"/>
                <w:highlight w:val="none"/>
                <w:u w:val="single"/>
                <w:lang w:val="en-US" w:eastAsia="zh-CN"/>
              </w:rPr>
              <w:t>279</w:t>
            </w:r>
            <w:r>
              <w:rPr>
                <w:rFonts w:hint="eastAsia" w:hAnsi="宋体" w:cs="宋体"/>
                <w:sz w:val="24"/>
                <w:highlight w:val="none"/>
                <w:u w:val="single"/>
              </w:rPr>
              <w:t xml:space="preserve"> </w:t>
            </w:r>
            <w:r>
              <w:rPr>
                <w:rFonts w:hint="eastAsia" w:hAnsi="宋体" w:cs="宋体"/>
                <w:sz w:val="24"/>
                <w:szCs w:val="24"/>
                <w:highlight w:val="none"/>
              </w:rPr>
              <w:t>。</w:t>
            </w:r>
            <w:r>
              <w:rPr>
                <w:rFonts w:hint="eastAsia" w:hAnsi="宋体" w:cs="宋体"/>
                <w:b/>
                <w:sz w:val="24"/>
                <w:szCs w:val="24"/>
                <w:highlight w:val="none"/>
              </w:rPr>
              <w:t>采购人、采购代理机构不强制或变相强制投标人提交备份投标文件。</w:t>
            </w:r>
          </w:p>
        </w:tc>
      </w:tr>
      <w:tr w14:paraId="5E50C7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39BE87E">
            <w:pPr>
              <w:snapToGrid w:val="0"/>
              <w:spacing w:line="360" w:lineRule="auto"/>
              <w:jc w:val="center"/>
              <w:rPr>
                <w:rFonts w:ascii="宋体" w:hAnsi="宋体" w:cs="宋体"/>
                <w:sz w:val="24"/>
                <w:highlight w:val="none"/>
              </w:rPr>
            </w:pPr>
            <w:r>
              <w:rPr>
                <w:rFonts w:hint="eastAsia" w:ascii="宋体" w:hAnsi="宋体" w:cs="宋体"/>
                <w:sz w:val="24"/>
                <w:highlight w:val="none"/>
              </w:rPr>
              <w:t>13</w:t>
            </w:r>
          </w:p>
        </w:tc>
        <w:tc>
          <w:tcPr>
            <w:tcW w:w="1473" w:type="dxa"/>
            <w:tcBorders>
              <w:top w:val="single" w:color="auto" w:sz="4" w:space="0"/>
              <w:left w:val="single" w:color="auto" w:sz="4" w:space="0"/>
              <w:bottom w:val="single" w:color="auto" w:sz="4" w:space="0"/>
              <w:right w:val="single" w:color="auto" w:sz="4" w:space="0"/>
            </w:tcBorders>
            <w:vAlign w:val="center"/>
          </w:tcPr>
          <w:p w14:paraId="2F32E318">
            <w:pPr>
              <w:snapToGrid w:val="0"/>
              <w:spacing w:line="360" w:lineRule="auto"/>
              <w:jc w:val="center"/>
              <w:rPr>
                <w:rFonts w:ascii="宋体" w:hAnsi="宋体" w:cs="宋体"/>
                <w:b/>
                <w:sz w:val="24"/>
                <w:highlight w:val="none"/>
              </w:rPr>
            </w:pPr>
            <w:r>
              <w:rPr>
                <w:rFonts w:hint="eastAsia" w:ascii="宋体" w:hAnsi="宋体" w:cs="宋体"/>
                <w:b/>
                <w:sz w:val="24"/>
                <w:highlight w:val="none"/>
              </w:rPr>
              <w:t>特别说明</w:t>
            </w:r>
          </w:p>
        </w:tc>
        <w:tc>
          <w:tcPr>
            <w:tcW w:w="6918" w:type="dxa"/>
            <w:tcBorders>
              <w:top w:val="single" w:color="000000" w:sz="8" w:space="0"/>
              <w:left w:val="single" w:color="auto" w:sz="4" w:space="0"/>
              <w:bottom w:val="single" w:color="000000" w:sz="8" w:space="0"/>
              <w:right w:val="single" w:color="000000" w:sz="8" w:space="0"/>
            </w:tcBorders>
            <w:vAlign w:val="center"/>
          </w:tcPr>
          <w:p w14:paraId="4E3EE7D5">
            <w:pPr>
              <w:spacing w:line="360" w:lineRule="auto"/>
              <w:rPr>
                <w:rFonts w:ascii="宋体" w:hAnsi="宋体" w:cs="宋体"/>
                <w:snapToGrid w:val="0"/>
                <w:kern w:val="28"/>
                <w:sz w:val="24"/>
                <w:highlight w:val="none"/>
              </w:rPr>
            </w:pPr>
            <w:r>
              <w:rPr>
                <w:rFonts w:hint="eastAsia" w:ascii="宋体" w:hAnsi="宋体" w:cs="宋体"/>
                <w:snapToGrid w:val="0"/>
                <w:color w:val="000000" w:themeColor="text1"/>
                <w:kern w:val="28"/>
                <w:sz w:val="24"/>
                <w:highlight w:val="none"/>
                <w14:textFill>
                  <w14:solidFill>
                    <w14:schemeClr w14:val="tx1"/>
                  </w14:solidFill>
                </w14:textFill>
              </w:rPr>
              <w:t>如为联合体投标，联合体各方提供证明材料均予以认可。</w:t>
            </w:r>
          </w:p>
        </w:tc>
      </w:tr>
      <w:tr w14:paraId="4193BF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8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F43EDE8">
            <w:pPr>
              <w:snapToGrid w:val="0"/>
              <w:spacing w:line="360" w:lineRule="auto"/>
              <w:jc w:val="center"/>
              <w:rPr>
                <w:rFonts w:ascii="宋体" w:hAnsi="宋体" w:cs="宋体"/>
                <w:sz w:val="24"/>
                <w:highlight w:val="none"/>
              </w:rPr>
            </w:pPr>
            <w:r>
              <w:rPr>
                <w:rFonts w:hint="eastAsia" w:ascii="宋体" w:hAnsi="宋体" w:cs="宋体"/>
                <w:sz w:val="24"/>
                <w:highlight w:val="none"/>
              </w:rPr>
              <w:t>14</w:t>
            </w:r>
          </w:p>
        </w:tc>
        <w:tc>
          <w:tcPr>
            <w:tcW w:w="1473" w:type="dxa"/>
            <w:tcBorders>
              <w:top w:val="single" w:color="auto" w:sz="4" w:space="0"/>
              <w:left w:val="single" w:color="auto" w:sz="4" w:space="0"/>
              <w:bottom w:val="single" w:color="auto" w:sz="4" w:space="0"/>
              <w:right w:val="single" w:color="auto" w:sz="4" w:space="0"/>
            </w:tcBorders>
            <w:vAlign w:val="center"/>
          </w:tcPr>
          <w:p w14:paraId="0C0AAA03">
            <w:pPr>
              <w:snapToGrid w:val="0"/>
              <w:spacing w:line="360" w:lineRule="auto"/>
              <w:jc w:val="center"/>
              <w:rPr>
                <w:rFonts w:ascii="宋体" w:hAnsi="宋体" w:cs="宋体"/>
                <w:b/>
                <w:sz w:val="24"/>
                <w:highlight w:val="none"/>
              </w:rPr>
            </w:pPr>
            <w:r>
              <w:rPr>
                <w:rFonts w:hint="eastAsia" w:ascii="宋体" w:hAnsi="宋体" w:cs="宋体"/>
                <w:b/>
                <w:sz w:val="24"/>
                <w:highlight w:val="none"/>
              </w:rPr>
              <w:t>招标代理服务费</w:t>
            </w:r>
          </w:p>
        </w:tc>
        <w:tc>
          <w:tcPr>
            <w:tcW w:w="6918" w:type="dxa"/>
            <w:tcBorders>
              <w:top w:val="single" w:color="000000" w:sz="8" w:space="0"/>
              <w:left w:val="single" w:color="auto" w:sz="4" w:space="0"/>
              <w:bottom w:val="single" w:color="000000" w:sz="8" w:space="0"/>
              <w:right w:val="single" w:color="000000" w:sz="8" w:space="0"/>
            </w:tcBorders>
            <w:vAlign w:val="center"/>
          </w:tcPr>
          <w:p w14:paraId="0639842B">
            <w:pPr>
              <w:spacing w:line="360" w:lineRule="auto"/>
              <w:rPr>
                <w:rFonts w:hint="eastAsia" w:ascii="宋体" w:hAnsi="宋体" w:eastAsia="宋体" w:cs="宋体"/>
                <w:snapToGrid w:val="0"/>
                <w:kern w:val="28"/>
                <w:sz w:val="24"/>
                <w:highlight w:val="none"/>
                <w:lang w:eastAsia="zh-CN"/>
              </w:rPr>
            </w:pPr>
            <w:r>
              <w:rPr>
                <w:rFonts w:hint="eastAsia" w:ascii="宋体" w:hAnsi="宋体" w:eastAsia="宋体" w:cs="宋体"/>
                <w:snapToGrid w:val="0"/>
                <w:kern w:val="28"/>
                <w:sz w:val="24"/>
                <w:highlight w:val="none"/>
                <w:lang w:eastAsia="zh-CN"/>
              </w:rPr>
              <w:t>招标代理服务费的收取标准：采购代理机构按照宁波市招标投标协会制定发布规定的《宁波市招标(采购)代理服务收费标准指引》的收费标准，根据</w:t>
            </w:r>
            <w:r>
              <w:rPr>
                <w:rFonts w:hint="eastAsia" w:ascii="宋体" w:hAnsi="宋体" w:cs="宋体"/>
                <w:snapToGrid w:val="0"/>
                <w:kern w:val="28"/>
                <w:sz w:val="24"/>
                <w:highlight w:val="none"/>
                <w:lang w:val="en-US" w:eastAsia="zh-CN"/>
              </w:rPr>
              <w:t>服务</w:t>
            </w:r>
            <w:r>
              <w:rPr>
                <w:rFonts w:hint="eastAsia" w:ascii="宋体" w:hAnsi="宋体" w:eastAsia="宋体" w:cs="宋体"/>
                <w:snapToGrid w:val="0"/>
                <w:kern w:val="28"/>
                <w:sz w:val="24"/>
                <w:highlight w:val="none"/>
                <w:lang w:eastAsia="zh-CN"/>
              </w:rPr>
              <w:t>招标的标准，以中标金额为基数计算，向中标人收取招标代理服务费。关于本次采购的服务费汇入以下账户：</w:t>
            </w:r>
          </w:p>
          <w:p w14:paraId="33537D5D">
            <w:pPr>
              <w:spacing w:line="360" w:lineRule="auto"/>
              <w:rPr>
                <w:rFonts w:hint="eastAsia" w:ascii="宋体" w:hAnsi="宋体" w:eastAsia="宋体" w:cs="宋体"/>
                <w:snapToGrid w:val="0"/>
                <w:kern w:val="28"/>
                <w:sz w:val="24"/>
                <w:highlight w:val="none"/>
                <w:lang w:eastAsia="zh-CN"/>
              </w:rPr>
            </w:pPr>
            <w:r>
              <w:rPr>
                <w:rFonts w:hint="eastAsia" w:ascii="宋体" w:hAnsi="宋体" w:eastAsia="宋体" w:cs="宋体"/>
                <w:snapToGrid w:val="0"/>
                <w:kern w:val="28"/>
                <w:sz w:val="24"/>
                <w:highlight w:val="none"/>
                <w:lang w:eastAsia="zh-CN"/>
              </w:rPr>
              <w:t>开户银行： 宁波银行股份有限公司鄞州中心区支行</w:t>
            </w:r>
          </w:p>
          <w:p w14:paraId="7DD1F49D">
            <w:pPr>
              <w:spacing w:line="360" w:lineRule="auto"/>
              <w:rPr>
                <w:rFonts w:hint="eastAsia" w:ascii="宋体" w:hAnsi="宋体" w:eastAsia="宋体" w:cs="宋体"/>
                <w:snapToGrid w:val="0"/>
                <w:kern w:val="28"/>
                <w:sz w:val="24"/>
                <w:highlight w:val="none"/>
                <w:lang w:eastAsia="zh-CN"/>
              </w:rPr>
            </w:pPr>
            <w:r>
              <w:rPr>
                <w:rFonts w:hint="eastAsia" w:ascii="宋体" w:hAnsi="宋体" w:eastAsia="宋体" w:cs="宋体"/>
                <w:snapToGrid w:val="0"/>
                <w:kern w:val="28"/>
                <w:sz w:val="24"/>
                <w:highlight w:val="none"/>
                <w:lang w:eastAsia="zh-CN"/>
              </w:rPr>
              <w:t>账    号： 30010122001229488</w:t>
            </w:r>
          </w:p>
          <w:p w14:paraId="34F0C16D">
            <w:pPr>
              <w:spacing w:line="360" w:lineRule="auto"/>
              <w:rPr>
                <w:rFonts w:hint="eastAsia" w:ascii="宋体" w:hAnsi="宋体" w:eastAsia="宋体" w:cs="宋体"/>
                <w:snapToGrid w:val="0"/>
                <w:kern w:val="28"/>
                <w:sz w:val="24"/>
                <w:highlight w:val="none"/>
                <w:lang w:eastAsia="zh-CN"/>
              </w:rPr>
            </w:pPr>
            <w:r>
              <w:rPr>
                <w:rFonts w:hint="eastAsia" w:ascii="宋体" w:hAnsi="宋体" w:eastAsia="宋体" w:cs="宋体"/>
                <w:snapToGrid w:val="0"/>
                <w:kern w:val="28"/>
                <w:sz w:val="24"/>
                <w:highlight w:val="none"/>
                <w:lang w:eastAsia="zh-CN"/>
              </w:rPr>
              <w:t>户    名： 浙江中基正采管理咨询有限公司</w:t>
            </w:r>
          </w:p>
          <w:p w14:paraId="4AA1DCB8">
            <w:pPr>
              <w:spacing w:line="360" w:lineRule="auto"/>
              <w:rPr>
                <w:rFonts w:hint="eastAsia" w:ascii="宋体" w:hAnsi="宋体" w:eastAsia="宋体" w:cs="宋体"/>
                <w:snapToGrid w:val="0"/>
                <w:kern w:val="28"/>
                <w:sz w:val="24"/>
                <w:highlight w:val="none"/>
                <w:lang w:eastAsia="zh-CN"/>
              </w:rPr>
            </w:pPr>
            <w:r>
              <w:rPr>
                <w:rFonts w:hint="eastAsia" w:ascii="宋体" w:hAnsi="宋体" w:eastAsia="宋体" w:cs="宋体"/>
                <w:snapToGrid w:val="0"/>
                <w:kern w:val="28"/>
                <w:sz w:val="24"/>
                <w:highlight w:val="none"/>
                <w:lang w:eastAsia="zh-CN"/>
              </w:rPr>
              <w:t>注：中标人接到本公司通知后5个工作日内向本采购代理机构领取中标通知书（根据中标人需求可采用邮寄或到采购代理机构现场领取）。</w:t>
            </w:r>
          </w:p>
        </w:tc>
      </w:tr>
    </w:tbl>
    <w:p w14:paraId="5C1C8E68">
      <w:pPr>
        <w:snapToGrid w:val="0"/>
        <w:spacing w:line="360" w:lineRule="auto"/>
        <w:jc w:val="center"/>
        <w:rPr>
          <w:rFonts w:ascii="宋体" w:hAnsi="宋体" w:cs="宋体"/>
          <w:b/>
          <w:sz w:val="32"/>
          <w:szCs w:val="20"/>
          <w:highlight w:val="none"/>
        </w:rPr>
      </w:pPr>
    </w:p>
    <w:bookmarkEnd w:id="10"/>
    <w:p w14:paraId="4E90004D">
      <w:pPr>
        <w:adjustRightInd/>
        <w:spacing w:line="360" w:lineRule="auto"/>
        <w:ind w:firstLine="3845" w:firstLineChars="1197"/>
        <w:outlineLvl w:val="0"/>
        <w:rPr>
          <w:rFonts w:ascii="宋体" w:hAnsi="宋体" w:cs="宋体"/>
          <w:b/>
          <w:sz w:val="32"/>
          <w:szCs w:val="20"/>
          <w:highlight w:val="none"/>
        </w:rPr>
      </w:pPr>
      <w:bookmarkStart w:id="13" w:name="_Toc23671"/>
      <w:bookmarkStart w:id="14" w:name="第三部分"/>
      <w:bookmarkStart w:id="15" w:name="_Toc164416483"/>
      <w:r>
        <w:rPr>
          <w:rFonts w:hint="eastAsia" w:ascii="宋体" w:hAnsi="宋体" w:cs="宋体"/>
          <w:b/>
          <w:sz w:val="32"/>
          <w:szCs w:val="20"/>
          <w:highlight w:val="none"/>
        </w:rPr>
        <w:t>一、总则</w:t>
      </w:r>
      <w:bookmarkEnd w:id="13"/>
    </w:p>
    <w:p w14:paraId="05685F9F">
      <w:pPr>
        <w:snapToGrid w:val="0"/>
        <w:spacing w:line="360" w:lineRule="auto"/>
        <w:ind w:firstLine="361" w:firstLineChars="150"/>
        <w:jc w:val="left"/>
        <w:outlineLvl w:val="1"/>
        <w:rPr>
          <w:rFonts w:ascii="宋体" w:hAnsi="宋体" w:cs="宋体"/>
          <w:b/>
          <w:sz w:val="24"/>
          <w:highlight w:val="none"/>
        </w:rPr>
      </w:pPr>
      <w:r>
        <w:rPr>
          <w:rFonts w:hint="eastAsia" w:ascii="宋体" w:hAnsi="宋体" w:cs="宋体"/>
          <w:b/>
          <w:sz w:val="24"/>
          <w:highlight w:val="none"/>
        </w:rPr>
        <w:t>1. 适用范围</w:t>
      </w:r>
    </w:p>
    <w:p w14:paraId="1028FB7B">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本招标文件适用于该项目的招标、投标、开标、资格审查及信用信息查询、评标、定标、合同、验收等行为（</w:t>
      </w:r>
      <w:r>
        <w:rPr>
          <w:rFonts w:hint="eastAsia" w:ascii="宋体" w:hAnsi="宋体" w:cs="宋体"/>
          <w:sz w:val="24"/>
          <w:highlight w:val="none"/>
          <w:lang w:eastAsia="zh-CN"/>
        </w:rPr>
        <w:t>法律法规</w:t>
      </w:r>
      <w:r>
        <w:rPr>
          <w:rFonts w:hint="eastAsia" w:ascii="宋体" w:hAnsi="宋体" w:cs="宋体"/>
          <w:sz w:val="24"/>
          <w:highlight w:val="none"/>
        </w:rPr>
        <w:t>另有规定的，从其规定）。</w:t>
      </w:r>
    </w:p>
    <w:p w14:paraId="0F445150">
      <w:pPr>
        <w:adjustRightInd/>
        <w:spacing w:line="360" w:lineRule="auto"/>
        <w:outlineLvl w:val="0"/>
        <w:rPr>
          <w:rFonts w:ascii="宋体" w:hAnsi="宋体" w:cs="宋体"/>
          <w:b/>
          <w:sz w:val="24"/>
          <w:highlight w:val="none"/>
        </w:rPr>
      </w:pPr>
      <w:r>
        <w:rPr>
          <w:rFonts w:hint="eastAsia" w:ascii="宋体" w:hAnsi="宋体" w:cs="宋体"/>
          <w:b/>
          <w:sz w:val="24"/>
          <w:highlight w:val="none"/>
        </w:rPr>
        <w:t xml:space="preserve">   </w:t>
      </w:r>
      <w:bookmarkStart w:id="16" w:name="_Toc22433"/>
      <w:r>
        <w:rPr>
          <w:rFonts w:hint="eastAsia" w:ascii="宋体" w:hAnsi="宋体" w:cs="宋体"/>
          <w:b/>
          <w:sz w:val="24"/>
          <w:highlight w:val="none"/>
        </w:rPr>
        <w:t>2.定义</w:t>
      </w:r>
      <w:bookmarkEnd w:id="16"/>
    </w:p>
    <w:p w14:paraId="4AF0234F">
      <w:pPr>
        <w:spacing w:line="360" w:lineRule="auto"/>
        <w:ind w:firstLine="480" w:firstLineChars="200"/>
        <w:rPr>
          <w:rFonts w:ascii="宋体" w:hAnsi="宋体" w:cs="宋体"/>
          <w:sz w:val="24"/>
          <w:highlight w:val="none"/>
        </w:rPr>
      </w:pPr>
      <w:r>
        <w:rPr>
          <w:rFonts w:hint="eastAsia" w:ascii="宋体" w:hAnsi="宋体" w:cs="宋体"/>
          <w:sz w:val="24"/>
          <w:highlight w:val="none"/>
        </w:rPr>
        <w:t>2.1 “采购人”系指招标公告中载明的本项目的采购人。</w:t>
      </w:r>
    </w:p>
    <w:p w14:paraId="79875ED8">
      <w:pPr>
        <w:spacing w:line="360" w:lineRule="auto"/>
        <w:ind w:firstLine="480" w:firstLineChars="200"/>
        <w:rPr>
          <w:rFonts w:ascii="宋体" w:hAnsi="宋体" w:cs="宋体"/>
          <w:sz w:val="24"/>
          <w:highlight w:val="none"/>
        </w:rPr>
      </w:pPr>
      <w:r>
        <w:rPr>
          <w:rFonts w:hint="eastAsia" w:ascii="宋体" w:hAnsi="宋体" w:cs="宋体"/>
          <w:sz w:val="24"/>
          <w:highlight w:val="none"/>
        </w:rPr>
        <w:t>2.2 “采购代理机构”系指招标公告中载明的本项目的采购代理机构。</w:t>
      </w:r>
    </w:p>
    <w:p w14:paraId="594E79CE">
      <w:pPr>
        <w:spacing w:line="360" w:lineRule="auto"/>
        <w:ind w:firstLine="480" w:firstLineChars="200"/>
        <w:rPr>
          <w:rFonts w:ascii="宋体" w:hAnsi="宋体" w:cs="宋体"/>
          <w:sz w:val="24"/>
          <w:highlight w:val="none"/>
        </w:rPr>
      </w:pPr>
      <w:r>
        <w:rPr>
          <w:rFonts w:hint="eastAsia" w:ascii="宋体" w:hAnsi="宋体" w:cs="宋体"/>
          <w:sz w:val="24"/>
          <w:highlight w:val="none"/>
        </w:rPr>
        <w:t>2.3 “投标人”系指响应招标、参加投标竞争的法人、其他组织或者自然人。</w:t>
      </w:r>
    </w:p>
    <w:p w14:paraId="32A3BEE9">
      <w:pPr>
        <w:spacing w:line="360" w:lineRule="auto"/>
        <w:ind w:firstLine="480" w:firstLineChars="200"/>
        <w:rPr>
          <w:rFonts w:ascii="宋体" w:hAnsi="宋体" w:cs="宋体"/>
          <w:sz w:val="24"/>
          <w:highlight w:val="none"/>
        </w:rPr>
      </w:pPr>
      <w:r>
        <w:rPr>
          <w:rFonts w:hint="eastAsia" w:ascii="宋体" w:hAnsi="宋体" w:cs="宋体"/>
          <w:sz w:val="24"/>
          <w:highlight w:val="none"/>
        </w:rPr>
        <w:t>2.4 “负责人”系指法人企业的法定负责人，或其他组织为法律、行政法规规定代表单位行使职权的主要负责人，或自然人本人。</w:t>
      </w:r>
    </w:p>
    <w:p w14:paraId="4EDFB9C6">
      <w:pPr>
        <w:spacing w:line="360" w:lineRule="auto"/>
        <w:ind w:firstLine="480" w:firstLineChars="200"/>
        <w:rPr>
          <w:rFonts w:ascii="宋体" w:hAnsi="宋体" w:cs="宋体"/>
          <w:sz w:val="24"/>
          <w:highlight w:val="none"/>
        </w:rPr>
      </w:pPr>
      <w:r>
        <w:rPr>
          <w:rFonts w:hint="eastAsia" w:ascii="宋体" w:hAnsi="宋体" w:cs="宋体"/>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7E6C58E">
      <w:pPr>
        <w:spacing w:line="360" w:lineRule="auto"/>
        <w:ind w:firstLine="480" w:firstLineChars="200"/>
        <w:rPr>
          <w:rFonts w:ascii="宋体" w:hAnsi="宋体" w:cs="宋体"/>
          <w:sz w:val="24"/>
          <w:highlight w:val="none"/>
        </w:rPr>
      </w:pPr>
      <w:r>
        <w:rPr>
          <w:rFonts w:hint="eastAsia" w:ascii="宋体" w:hAnsi="宋体" w:cs="宋体"/>
          <w:sz w:val="24"/>
          <w:highlight w:val="none"/>
        </w:rPr>
        <w:t>2.6“电子交易平台”系指本项目政府采购活动所依托的政府采购云平台（https://www.zcygov.cn/）。</w:t>
      </w:r>
    </w:p>
    <w:p w14:paraId="6B35D69D">
      <w:pPr>
        <w:spacing w:line="360" w:lineRule="auto"/>
        <w:ind w:firstLine="480" w:firstLineChars="200"/>
        <w:rPr>
          <w:rFonts w:ascii="宋体" w:hAnsi="宋体" w:cs="宋体"/>
          <w:sz w:val="24"/>
          <w:highlight w:val="none"/>
        </w:rPr>
      </w:pPr>
      <w:r>
        <w:rPr>
          <w:rFonts w:hint="eastAsia" w:ascii="宋体" w:hAnsi="宋体" w:cs="宋体"/>
          <w:sz w:val="24"/>
          <w:highlight w:val="none"/>
        </w:rPr>
        <w:t>2.7 “▲” 系指实质性要求条款，“</w:t>
      </w:r>
      <w:sdt>
        <w:sdtPr>
          <w:rPr>
            <w:rFonts w:hint="eastAsia" w:ascii="宋体" w:hAnsi="宋体" w:cs="宋体"/>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cs="宋体"/>
          <w:sz w:val="24"/>
          <w:highlight w:val="none"/>
        </w:rPr>
        <w:t>” 系指适用本项目的要求，“</w:t>
      </w:r>
      <w:sdt>
        <w:sdtPr>
          <w:rPr>
            <w:rFonts w:hint="eastAsia" w:ascii="宋体" w:hAnsi="宋体" w:cs="宋体"/>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 系指不适用本项目的要求。</w:t>
      </w:r>
    </w:p>
    <w:p w14:paraId="0B7732CF">
      <w:pPr>
        <w:spacing w:line="360" w:lineRule="auto"/>
        <w:ind w:firstLine="241" w:firstLineChars="100"/>
        <w:rPr>
          <w:rFonts w:ascii="宋体" w:hAnsi="宋体" w:cs="宋体"/>
          <w:b/>
          <w:sz w:val="24"/>
          <w:highlight w:val="none"/>
        </w:rPr>
      </w:pPr>
      <w:r>
        <w:rPr>
          <w:rFonts w:hint="eastAsia" w:ascii="宋体" w:hAnsi="宋体" w:cs="宋体"/>
          <w:b/>
          <w:sz w:val="24"/>
          <w:highlight w:val="none"/>
        </w:rPr>
        <w:t>3.</w:t>
      </w:r>
      <w:r>
        <w:rPr>
          <w:rFonts w:hint="eastAsia" w:ascii="宋体" w:hAnsi="宋体" w:cs="宋体"/>
          <w:highlight w:val="none"/>
        </w:rPr>
        <w:t xml:space="preserve"> </w:t>
      </w:r>
      <w:r>
        <w:rPr>
          <w:rFonts w:hint="eastAsia" w:ascii="宋体" w:hAnsi="宋体" w:cs="宋体"/>
          <w:b/>
          <w:sz w:val="24"/>
          <w:highlight w:val="none"/>
        </w:rPr>
        <w:t>采购项目需要落实的政府采购政策</w:t>
      </w:r>
    </w:p>
    <w:p w14:paraId="76E4E6B8">
      <w:pPr>
        <w:spacing w:line="360" w:lineRule="auto"/>
        <w:ind w:firstLine="240" w:firstLineChars="100"/>
        <w:rPr>
          <w:rFonts w:ascii="宋体" w:hAnsi="宋体" w:cs="宋体"/>
          <w:sz w:val="24"/>
          <w:highlight w:val="none"/>
        </w:rPr>
      </w:pPr>
      <w:r>
        <w:rPr>
          <w:rFonts w:hint="eastAsia" w:ascii="宋体" w:hAnsi="宋体" w:cs="宋体"/>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highlight w:val="none"/>
        </w:rPr>
        <w:t>优先采购向我国企业转让技术、与我国企业签订消化吸收再创新方案的供应商的进口产品</w:t>
      </w:r>
      <w:r>
        <w:rPr>
          <w:rFonts w:hint="eastAsia" w:ascii="宋体" w:hAnsi="宋体" w:cs="宋体"/>
          <w:sz w:val="24"/>
          <w:highlight w:val="none"/>
        </w:rPr>
        <w:t>。</w:t>
      </w:r>
    </w:p>
    <w:p w14:paraId="46741189">
      <w:pPr>
        <w:spacing w:line="360" w:lineRule="auto"/>
        <w:ind w:firstLine="240" w:firstLineChars="100"/>
        <w:rPr>
          <w:rFonts w:ascii="宋体" w:hAnsi="宋体" w:cs="宋体"/>
          <w:sz w:val="24"/>
          <w:highlight w:val="none"/>
        </w:rPr>
      </w:pPr>
      <w:r>
        <w:rPr>
          <w:rFonts w:hint="eastAsia" w:ascii="宋体" w:hAnsi="宋体" w:cs="宋体"/>
          <w:sz w:val="24"/>
          <w:highlight w:val="none"/>
        </w:rPr>
        <w:t>3.2 支持绿色发展</w:t>
      </w:r>
    </w:p>
    <w:p w14:paraId="6DD195CD">
      <w:pPr>
        <w:spacing w:line="360" w:lineRule="auto"/>
        <w:ind w:firstLine="480" w:firstLineChars="200"/>
        <w:rPr>
          <w:rFonts w:ascii="宋体" w:hAnsi="宋体" w:cs="宋体"/>
          <w:b/>
          <w:sz w:val="24"/>
          <w:highlight w:val="none"/>
        </w:rPr>
      </w:pPr>
      <w:r>
        <w:rPr>
          <w:rFonts w:hint="eastAsia" w:ascii="宋体" w:hAnsi="宋体" w:cs="宋体"/>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C6CBBEE">
      <w:pPr>
        <w:spacing w:line="360" w:lineRule="auto"/>
        <w:ind w:firstLine="480" w:firstLineChars="200"/>
        <w:rPr>
          <w:rFonts w:ascii="宋体" w:hAnsi="宋体" w:cs="宋体"/>
          <w:sz w:val="24"/>
          <w:highlight w:val="none"/>
        </w:rPr>
      </w:pPr>
      <w:r>
        <w:rPr>
          <w:rFonts w:hint="eastAsia" w:ascii="宋体" w:hAnsi="宋体" w:cs="宋体"/>
          <w:sz w:val="24"/>
          <w:highlight w:val="none"/>
        </w:rPr>
        <w:t>3.2.2 修缮、装修类项目采购建材的，采购人应将绿色建筑和绿色建材性能、指标等作为实质性条件纳入招标文件和合同。</w:t>
      </w:r>
    </w:p>
    <w:p w14:paraId="127266DD">
      <w:pPr>
        <w:spacing w:line="360" w:lineRule="auto"/>
        <w:ind w:firstLine="480" w:firstLineChars="200"/>
        <w:rPr>
          <w:rFonts w:ascii="宋体" w:hAnsi="宋体" w:cs="宋体"/>
          <w:sz w:val="24"/>
          <w:highlight w:val="none"/>
        </w:rPr>
      </w:pPr>
      <w:r>
        <w:rPr>
          <w:rFonts w:hint="eastAsia" w:ascii="宋体" w:hAnsi="宋体" w:cs="宋体"/>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ascii="宋体" w:hAnsi="宋体" w:cs="宋体"/>
          <w:sz w:val="24"/>
          <w:highlight w:val="none"/>
          <w:lang w:eastAsia="zh-CN"/>
        </w:rPr>
        <w:t>》《</w:t>
      </w:r>
      <w:r>
        <w:rPr>
          <w:rFonts w:hint="eastAsia" w:ascii="宋体" w:hAnsi="宋体" w:cs="宋体"/>
          <w:sz w:val="24"/>
          <w:highlight w:val="none"/>
        </w:rPr>
        <w:t>快递包装政府采购需求标准（试行）》。鼓励采购单位优先采购秸秆环保板材等资源综合利用产品。鼓励采购单位优先采购绿色物流配送服务、提供新能源交通工具的租赁服务。</w:t>
      </w:r>
    </w:p>
    <w:p w14:paraId="49E0F81D">
      <w:pPr>
        <w:spacing w:line="360" w:lineRule="auto"/>
        <w:ind w:firstLine="480" w:firstLineChars="200"/>
        <w:rPr>
          <w:rFonts w:ascii="宋体" w:hAnsi="宋体" w:cs="宋体"/>
          <w:sz w:val="24"/>
          <w:highlight w:val="none"/>
        </w:rPr>
      </w:pPr>
      <w:r>
        <w:rPr>
          <w:rFonts w:hint="eastAsia" w:ascii="宋体" w:hAnsi="宋体" w:cs="宋体"/>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569B437B">
      <w:pPr>
        <w:spacing w:line="360" w:lineRule="auto"/>
        <w:ind w:firstLine="240" w:firstLineChars="100"/>
        <w:rPr>
          <w:rFonts w:ascii="宋体" w:hAnsi="宋体" w:cs="宋体"/>
          <w:sz w:val="24"/>
          <w:highlight w:val="none"/>
        </w:rPr>
      </w:pPr>
      <w:r>
        <w:rPr>
          <w:rFonts w:hint="eastAsia" w:ascii="宋体" w:hAnsi="宋体" w:cs="宋体"/>
          <w:sz w:val="24"/>
          <w:highlight w:val="none"/>
        </w:rPr>
        <w:t>3.3支持中小企业发展</w:t>
      </w:r>
    </w:p>
    <w:p w14:paraId="1D78A272">
      <w:pPr>
        <w:spacing w:line="360" w:lineRule="auto"/>
        <w:ind w:firstLine="480" w:firstLineChars="200"/>
        <w:rPr>
          <w:rFonts w:ascii="宋体" w:hAnsi="宋体" w:cs="宋体"/>
          <w:sz w:val="24"/>
          <w:highlight w:val="none"/>
        </w:rPr>
      </w:pPr>
      <w:r>
        <w:rPr>
          <w:rFonts w:hint="eastAsia" w:ascii="宋体" w:hAnsi="宋体" w:cs="宋体"/>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7FCC44F">
      <w:pPr>
        <w:spacing w:line="360" w:lineRule="auto"/>
        <w:ind w:firstLine="480" w:firstLineChars="200"/>
        <w:rPr>
          <w:rFonts w:ascii="宋体" w:hAnsi="宋体" w:cs="宋体"/>
          <w:sz w:val="24"/>
          <w:highlight w:val="none"/>
        </w:rPr>
      </w:pPr>
      <w:r>
        <w:rPr>
          <w:rFonts w:hint="eastAsia" w:ascii="宋体" w:hAnsi="宋体" w:cs="宋体"/>
          <w:sz w:val="24"/>
          <w:highlight w:val="none"/>
        </w:rPr>
        <w:t>符合中小企业划分标准的个体工商户，在政府采购活动中视同中小企业。</w:t>
      </w:r>
    </w:p>
    <w:p w14:paraId="7703DCD1">
      <w:pPr>
        <w:widowControl/>
        <w:spacing w:line="360" w:lineRule="auto"/>
        <w:ind w:firstLine="480" w:firstLineChars="200"/>
        <w:jc w:val="left"/>
        <w:rPr>
          <w:rFonts w:ascii="宋体" w:hAnsi="宋体" w:cs="宋体"/>
          <w:kern w:val="0"/>
          <w:sz w:val="24"/>
          <w:highlight w:val="none"/>
        </w:rPr>
      </w:pPr>
      <w:r>
        <w:rPr>
          <w:rFonts w:hint="eastAsia" w:ascii="宋体" w:hAnsi="宋体" w:cs="宋体"/>
          <w:bCs/>
          <w:sz w:val="24"/>
          <w:highlight w:val="none"/>
        </w:rPr>
        <w:t>3.3.2</w:t>
      </w:r>
      <w:r>
        <w:rPr>
          <w:rFonts w:hint="eastAsia" w:ascii="宋体" w:hAnsi="宋体" w:cs="宋体"/>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A3B411F">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以联合体形式参加政府采购活动，联合体各方均为中小企业的，联合体视同中小企业。其中，联合体各方均为小微企业的，联合体视同小微企业。</w:t>
      </w:r>
    </w:p>
    <w:p w14:paraId="7E3E448F">
      <w:pPr>
        <w:spacing w:line="360" w:lineRule="auto"/>
        <w:ind w:firstLine="480" w:firstLineChars="200"/>
        <w:rPr>
          <w:rFonts w:ascii="宋体" w:hAnsi="宋体" w:cs="宋体"/>
          <w:sz w:val="24"/>
          <w:highlight w:val="none"/>
        </w:rPr>
      </w:pPr>
      <w:r>
        <w:rPr>
          <w:rFonts w:hint="eastAsia" w:ascii="宋体" w:hAnsi="宋体" w:cs="宋体"/>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5D91D48">
      <w:pPr>
        <w:spacing w:line="360" w:lineRule="auto"/>
        <w:ind w:firstLine="480" w:firstLineChars="200"/>
        <w:rPr>
          <w:rFonts w:ascii="宋体" w:hAnsi="宋体" w:cs="宋体"/>
          <w:sz w:val="24"/>
          <w:highlight w:val="none"/>
        </w:rPr>
      </w:pPr>
      <w:r>
        <w:rPr>
          <w:rFonts w:hint="eastAsia" w:ascii="宋体" w:hAnsi="宋体" w:cs="宋体"/>
          <w:sz w:val="24"/>
          <w:highlight w:val="none"/>
        </w:rPr>
        <w:t>3.3.4符合《关于促进残疾人就业政府采购政策的通知》（财库〔2017〕141号）规定的条件并提供《残疾人福利性单位声明函》（附件1）的残疾人福利性单位视同小型、微型企业；</w:t>
      </w:r>
    </w:p>
    <w:p w14:paraId="65452C3E">
      <w:pPr>
        <w:spacing w:line="360" w:lineRule="auto"/>
        <w:ind w:firstLine="480" w:firstLineChars="200"/>
        <w:rPr>
          <w:rFonts w:ascii="宋体" w:hAnsi="宋体" w:cs="宋体"/>
          <w:sz w:val="24"/>
          <w:highlight w:val="none"/>
        </w:rPr>
      </w:pPr>
      <w:r>
        <w:rPr>
          <w:rFonts w:hint="eastAsia" w:ascii="宋体" w:hAnsi="宋体" w:cs="宋体"/>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9BF459A">
      <w:pPr>
        <w:spacing w:line="360" w:lineRule="auto"/>
        <w:ind w:firstLine="480" w:firstLineChars="200"/>
        <w:rPr>
          <w:rFonts w:ascii="宋体" w:hAnsi="宋体" w:cs="宋体"/>
          <w:sz w:val="24"/>
          <w:highlight w:val="none"/>
        </w:rPr>
      </w:pPr>
      <w:r>
        <w:rPr>
          <w:rFonts w:hint="eastAsia" w:ascii="宋体" w:hAnsi="宋体" w:cs="宋体"/>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9DE012F">
      <w:pPr>
        <w:spacing w:line="360" w:lineRule="auto"/>
        <w:ind w:firstLine="480" w:firstLineChars="200"/>
        <w:rPr>
          <w:rFonts w:ascii="宋体" w:hAnsi="宋体" w:cs="宋体"/>
          <w:sz w:val="24"/>
          <w:highlight w:val="none"/>
        </w:rPr>
      </w:pPr>
      <w:r>
        <w:rPr>
          <w:rFonts w:hint="eastAsia" w:ascii="宋体" w:hAnsi="宋体" w:cs="宋体"/>
          <w:sz w:val="24"/>
          <w:highlight w:val="none"/>
        </w:rPr>
        <w:t>3.3.7中小企业享受扶持政策获得政府采购合同的，小微企业不得将合同分包给大中型企业，中型企业不得将合同分包给大型企业。</w:t>
      </w:r>
    </w:p>
    <w:p w14:paraId="44E0328E">
      <w:pPr>
        <w:spacing w:line="360" w:lineRule="auto"/>
        <w:ind w:firstLine="240" w:firstLineChars="100"/>
        <w:rPr>
          <w:rFonts w:ascii="宋体" w:hAnsi="宋体" w:cs="宋体"/>
          <w:sz w:val="24"/>
          <w:highlight w:val="none"/>
        </w:rPr>
      </w:pPr>
      <w:r>
        <w:rPr>
          <w:rFonts w:hint="eastAsia" w:ascii="宋体" w:hAnsi="宋体" w:cs="宋体"/>
          <w:sz w:val="24"/>
          <w:highlight w:val="none"/>
        </w:rPr>
        <w:t>3.4</w:t>
      </w:r>
      <w:r>
        <w:rPr>
          <w:rFonts w:hint="eastAsia" w:ascii="宋体" w:hAnsi="宋体" w:cs="宋体"/>
          <w:bCs/>
          <w:sz w:val="24"/>
          <w:highlight w:val="none"/>
        </w:rPr>
        <w:t>支持创新发展</w:t>
      </w:r>
    </w:p>
    <w:p w14:paraId="68003A30">
      <w:pPr>
        <w:spacing w:line="360" w:lineRule="auto"/>
        <w:ind w:firstLine="480" w:firstLineChars="200"/>
        <w:rPr>
          <w:rFonts w:ascii="宋体" w:hAnsi="宋体" w:cs="宋体"/>
          <w:sz w:val="24"/>
          <w:highlight w:val="none"/>
        </w:rPr>
      </w:pPr>
      <w:r>
        <w:rPr>
          <w:rFonts w:hint="eastAsia" w:ascii="宋体" w:hAnsi="宋体" w:cs="宋体"/>
          <w:sz w:val="24"/>
          <w:highlight w:val="none"/>
        </w:rPr>
        <w:t>3.4.1 采购人优先采购被认定为首台套产品和“制造精品”的自主创新产品。</w:t>
      </w:r>
    </w:p>
    <w:p w14:paraId="6BC54403">
      <w:pPr>
        <w:spacing w:line="360" w:lineRule="auto"/>
        <w:ind w:firstLine="480" w:firstLineChars="200"/>
        <w:rPr>
          <w:rFonts w:ascii="宋体" w:hAnsi="宋体" w:cs="宋体"/>
          <w:sz w:val="24"/>
          <w:highlight w:val="none"/>
        </w:rPr>
      </w:pPr>
      <w:r>
        <w:rPr>
          <w:rFonts w:hint="eastAsia" w:ascii="宋体" w:hAnsi="宋体" w:cs="宋体"/>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09CF1B9B">
      <w:pPr>
        <w:spacing w:line="360" w:lineRule="auto"/>
        <w:rPr>
          <w:rFonts w:ascii="宋体" w:hAnsi="宋体" w:cs="宋体"/>
          <w:sz w:val="24"/>
          <w:highlight w:val="none"/>
        </w:rPr>
      </w:pPr>
      <w:r>
        <w:rPr>
          <w:rFonts w:hint="eastAsia" w:ascii="宋体" w:hAnsi="宋体" w:cs="宋体"/>
          <w:sz w:val="24"/>
          <w:highlight w:val="none"/>
        </w:rPr>
        <w:t>3.5平等对待内外资企业和符合条件的破产重整企业</w:t>
      </w:r>
    </w:p>
    <w:p w14:paraId="6962CE2A">
      <w:pPr>
        <w:spacing w:line="360" w:lineRule="auto"/>
        <w:ind w:firstLine="240" w:firstLineChars="100"/>
        <w:rPr>
          <w:rFonts w:ascii="宋体" w:hAnsi="宋体" w:cs="宋体"/>
          <w:b/>
          <w:sz w:val="24"/>
          <w:highlight w:val="none"/>
        </w:rPr>
      </w:pPr>
      <w:r>
        <w:rPr>
          <w:rFonts w:hint="eastAsia" w:ascii="宋体" w:hAnsi="宋体" w:cs="宋体"/>
          <w:sz w:val="24"/>
          <w:highlight w:val="none"/>
        </w:rPr>
        <w:t>平等对待内外资企业和符合条件的破产重整企业，切实保障企业公平竞争，平等维护企业的合法利益。</w:t>
      </w:r>
      <w:r>
        <w:rPr>
          <w:rFonts w:hint="eastAsia" w:ascii="宋体" w:hAnsi="宋体" w:cs="宋体"/>
          <w:sz w:val="24"/>
          <w:highlight w:val="none"/>
        </w:rPr>
        <w:cr/>
      </w:r>
      <w:r>
        <w:rPr>
          <w:rFonts w:hint="eastAsia" w:ascii="宋体" w:hAnsi="宋体" w:cs="宋体"/>
          <w:b/>
          <w:sz w:val="24"/>
          <w:highlight w:val="none"/>
        </w:rPr>
        <w:t>4. 询问、质疑、投诉</w:t>
      </w:r>
    </w:p>
    <w:p w14:paraId="0E8C1EB1">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0822253">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4.2供应商询问</w:t>
      </w:r>
    </w:p>
    <w:p w14:paraId="0B6BA292">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B487B67">
      <w:pPr>
        <w:autoSpaceDE w:val="0"/>
        <w:autoSpaceDN w:val="0"/>
        <w:spacing w:line="360" w:lineRule="auto"/>
        <w:ind w:firstLine="240" w:firstLineChars="100"/>
        <w:jc w:val="left"/>
        <w:rPr>
          <w:rFonts w:ascii="宋体" w:hAnsi="宋体" w:cs="宋体"/>
          <w:kern w:val="0"/>
          <w:sz w:val="24"/>
          <w:highlight w:val="none"/>
          <w:lang w:val="zh-CN"/>
        </w:rPr>
      </w:pPr>
      <w:r>
        <w:rPr>
          <w:rFonts w:hint="eastAsia" w:ascii="宋体" w:hAnsi="宋体" w:cs="宋体"/>
          <w:kern w:val="0"/>
          <w:sz w:val="24"/>
          <w:highlight w:val="none"/>
          <w:lang w:val="zh-CN"/>
        </w:rPr>
        <w:t>4.3供应商质疑</w:t>
      </w:r>
    </w:p>
    <w:p w14:paraId="66B2F961">
      <w:pPr>
        <w:pStyle w:val="33"/>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.1提出质疑的供应商应当是参与所质疑项目采购活动的供应商。潜在供应商已依法获取其可质疑的招标文件的，可以对该文件提出质疑。</w:t>
      </w:r>
    </w:p>
    <w:p w14:paraId="7B15EBB5">
      <w:pPr>
        <w:pStyle w:val="33"/>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300670F">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117E57EF">
      <w:pPr>
        <w:pStyle w:val="33"/>
        <w:spacing w:line="360" w:lineRule="auto"/>
        <w:ind w:left="479" w:leftChars="228"/>
        <w:rPr>
          <w:rFonts w:hAnsi="宋体" w:cs="宋体"/>
          <w:sz w:val="24"/>
          <w:highlight w:val="none"/>
        </w:rPr>
      </w:pPr>
      <w:r>
        <w:rPr>
          <w:rFonts w:hint="eastAsia" w:hAnsi="宋体" w:cs="宋体"/>
          <w:sz w:val="24"/>
          <w:highlight w:val="none"/>
        </w:rPr>
        <w:t>4.3.2.2对采购过程提出质疑的，质疑期限为各采购程序环节结束之日起计算。4.3.2.3对采购结果提出质疑的，质疑期限自采购结果公告期限届满之日起计算。</w:t>
      </w:r>
    </w:p>
    <w:p w14:paraId="3700291E">
      <w:pPr>
        <w:pStyle w:val="33"/>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4.3.3</w:t>
      </w:r>
      <w:r>
        <w:rPr>
          <w:rFonts w:hint="eastAsia" w:hAnsi="宋体" w:cs="宋体"/>
          <w:sz w:val="24"/>
          <w:highlight w:val="none"/>
        </w:rPr>
        <w:t>供应商提出质疑应当提交质疑函和必要的证明材料。质疑函应当包括下列内容：</w:t>
      </w:r>
    </w:p>
    <w:p w14:paraId="1C362DB5">
      <w:pPr>
        <w:pStyle w:val="33"/>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4.3.3.1供应商的姓名或者名称、地址、邮编、联系人及联系电话；</w:t>
      </w:r>
    </w:p>
    <w:p w14:paraId="65842901">
      <w:pPr>
        <w:pStyle w:val="33"/>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4.3.3.2质疑项目的名称、编号；</w:t>
      </w:r>
    </w:p>
    <w:p w14:paraId="1A260AAB">
      <w:pPr>
        <w:pStyle w:val="33"/>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4.3.3.3具体、明确的质疑事项和与质疑事项相关的请求；</w:t>
      </w:r>
    </w:p>
    <w:p w14:paraId="40740CE6">
      <w:pPr>
        <w:pStyle w:val="33"/>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4.3.3.4事实依据；</w:t>
      </w:r>
    </w:p>
    <w:p w14:paraId="3F1FB809">
      <w:pPr>
        <w:pStyle w:val="33"/>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4.3.3.5必要的法律依据；</w:t>
      </w:r>
    </w:p>
    <w:p w14:paraId="3EE3FB00">
      <w:pPr>
        <w:pStyle w:val="33"/>
        <w:spacing w:line="360" w:lineRule="auto"/>
        <w:ind w:firstLine="960" w:firstLineChars="400"/>
        <w:rPr>
          <w:rFonts w:hAnsi="宋体" w:cs="宋体"/>
          <w:kern w:val="0"/>
          <w:sz w:val="24"/>
          <w:highlight w:val="none"/>
        </w:rPr>
      </w:pPr>
      <w:r>
        <w:rPr>
          <w:rFonts w:hint="eastAsia" w:hAnsi="宋体" w:cs="宋体"/>
          <w:kern w:val="0"/>
          <w:sz w:val="24"/>
          <w:highlight w:val="none"/>
          <w:lang w:val="zh-CN"/>
        </w:rPr>
        <w:t>4.3.3.6提出质疑的日期。</w:t>
      </w:r>
    </w:p>
    <w:p w14:paraId="4B20FEA6">
      <w:pPr>
        <w:pStyle w:val="892"/>
        <w:shd w:val="clear" w:color="auto" w:fill="FFFFFF"/>
        <w:snapToGrid w:val="0"/>
        <w:spacing w:after="240" w:afterAutospacing="0" w:line="360" w:lineRule="auto"/>
        <w:ind w:firstLine="400"/>
        <w:contextualSpacing/>
        <w:rPr>
          <w:highlight w:val="none"/>
        </w:rPr>
      </w:pPr>
      <w:r>
        <w:rPr>
          <w:rFonts w:hint="eastAsia"/>
          <w:highlight w:val="none"/>
        </w:rPr>
        <w:t>供应商提交的质疑函需一式三份。供应商为自然人的，应当由本人签字；供应商为法人或者其他组织的，应当由法定代表人、主要负责人，或者其授权代表签字或者盖章，并加盖公章。</w:t>
      </w:r>
    </w:p>
    <w:p w14:paraId="4BD6035D">
      <w:pPr>
        <w:pStyle w:val="892"/>
        <w:shd w:val="clear" w:color="auto" w:fill="FFFFFF"/>
        <w:snapToGrid w:val="0"/>
        <w:spacing w:after="240" w:afterAutospacing="0" w:line="360" w:lineRule="auto"/>
        <w:ind w:firstLine="400"/>
        <w:contextualSpacing/>
        <w:rPr>
          <w:highlight w:val="none"/>
        </w:rPr>
      </w:pPr>
      <w:r>
        <w:rPr>
          <w:rFonts w:hint="eastAsia"/>
          <w:highlight w:val="none"/>
        </w:rPr>
        <w:t>质疑函范本及制作说明详见附件2。</w:t>
      </w:r>
    </w:p>
    <w:p w14:paraId="6C4BF78D">
      <w:pPr>
        <w:pStyle w:val="892"/>
        <w:shd w:val="clear" w:color="auto" w:fill="FFFFFF"/>
        <w:snapToGrid w:val="0"/>
        <w:spacing w:after="240" w:afterAutospacing="0" w:line="360" w:lineRule="auto"/>
        <w:ind w:firstLine="400"/>
        <w:contextualSpacing/>
        <w:rPr>
          <w:highlight w:val="none"/>
        </w:rPr>
      </w:pPr>
      <w:r>
        <w:rPr>
          <w:rFonts w:hint="eastAsia"/>
          <w:highlight w:val="none"/>
        </w:rPr>
        <w:t>4.3.4对同一采购程序环节的质疑，供应商须在法定质疑期内一次性提出。</w:t>
      </w:r>
    </w:p>
    <w:p w14:paraId="3964C439">
      <w:pPr>
        <w:pStyle w:val="892"/>
        <w:shd w:val="clear" w:color="auto" w:fill="FFFFFF"/>
        <w:snapToGrid w:val="0"/>
        <w:spacing w:after="240" w:afterAutospacing="0" w:line="360" w:lineRule="auto"/>
        <w:ind w:firstLine="400"/>
        <w:contextualSpacing/>
        <w:rPr>
          <w:highlight w:val="none"/>
        </w:rPr>
      </w:pPr>
      <w:r>
        <w:rPr>
          <w:rFonts w:hint="eastAsia"/>
          <w:highlight w:val="none"/>
          <w:lang w:val="zh-CN"/>
        </w:rPr>
        <w:t>4.3</w:t>
      </w:r>
      <w:r>
        <w:rPr>
          <w:rFonts w:hint="eastAsia"/>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浙江省财政厅关于进一步加强政府采购公平竞争打造最优营商环境的通知》（浙财采监〔2021〕2</w:t>
      </w:r>
      <w:r>
        <w:rPr>
          <w:rFonts w:hint="eastAsia"/>
          <w:highlight w:val="none"/>
          <w:lang w:val="en-US" w:eastAsia="zh-CN"/>
        </w:rPr>
        <w:t>2</w:t>
      </w:r>
      <w:r>
        <w:rPr>
          <w:rFonts w:hint="eastAsia"/>
          <w:highlight w:val="none"/>
        </w:rPr>
        <w:t>号）</w:t>
      </w:r>
      <w:r>
        <w:rPr>
          <w:rFonts w:hint="eastAsia"/>
          <w:highlight w:val="none"/>
          <w:lang w:eastAsia="zh-CN"/>
        </w:rPr>
        <w:t>，</w:t>
      </w:r>
      <w:r>
        <w:rPr>
          <w:rFonts w:hint="eastAsia"/>
          <w:highlight w:val="none"/>
        </w:rPr>
        <w:t>采购人或者采购代理机构在质疑回复后5个工作日内，在浙江政府采购网的“其他公告”栏目公开质疑答复，答复内容应当完整。质疑函作为附件上传。</w:t>
      </w:r>
    </w:p>
    <w:p w14:paraId="69C89D0A">
      <w:pPr>
        <w:pStyle w:val="892"/>
        <w:shd w:val="clear" w:color="auto" w:fill="FFFFFF"/>
        <w:snapToGrid w:val="0"/>
        <w:spacing w:after="240" w:afterAutospacing="0" w:line="360" w:lineRule="auto"/>
        <w:ind w:firstLine="400"/>
        <w:contextualSpacing/>
        <w:rPr>
          <w:highlight w:val="none"/>
        </w:rPr>
      </w:pPr>
      <w:r>
        <w:rPr>
          <w:rFonts w:hint="eastAsia"/>
          <w:highlight w:val="none"/>
          <w:lang w:val="zh-CN"/>
        </w:rPr>
        <w:t>4.3</w:t>
      </w:r>
      <w:r>
        <w:rPr>
          <w:rFonts w:hint="eastAsia"/>
          <w:highlight w:val="none"/>
        </w:rPr>
        <w:t>.6询问或者质疑事项可能影响采购结果的，采购人应当暂停签订合同，已经签订合同的，应当中止履行合同。</w:t>
      </w:r>
    </w:p>
    <w:p w14:paraId="503D7CC5">
      <w:pPr>
        <w:pStyle w:val="892"/>
        <w:shd w:val="clear" w:color="auto" w:fill="FFFFFF"/>
        <w:snapToGrid w:val="0"/>
        <w:spacing w:after="240" w:afterAutospacing="0" w:line="360" w:lineRule="auto"/>
        <w:ind w:firstLine="480" w:firstLineChars="200"/>
        <w:contextualSpacing/>
        <w:rPr>
          <w:highlight w:val="none"/>
          <w:lang w:val="zh-CN"/>
        </w:rPr>
      </w:pPr>
      <w:r>
        <w:rPr>
          <w:rFonts w:hint="eastAsia"/>
          <w:highlight w:val="none"/>
          <w:lang w:val="zh-CN"/>
        </w:rPr>
        <w:t>4.4供应商投诉</w:t>
      </w:r>
    </w:p>
    <w:p w14:paraId="61E8803C">
      <w:pPr>
        <w:pStyle w:val="892"/>
        <w:shd w:val="clear" w:color="auto" w:fill="FFFFFF"/>
        <w:snapToGrid w:val="0"/>
        <w:spacing w:after="240" w:afterAutospacing="0" w:line="360" w:lineRule="auto"/>
        <w:ind w:firstLine="400"/>
        <w:contextualSpacing/>
        <w:rPr>
          <w:highlight w:val="none"/>
        </w:rPr>
      </w:pPr>
      <w:r>
        <w:rPr>
          <w:rFonts w:hint="eastAsia"/>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2F8C6280">
      <w:pPr>
        <w:pStyle w:val="892"/>
        <w:shd w:val="clear" w:color="auto" w:fill="FFFFFF"/>
        <w:snapToGrid w:val="0"/>
        <w:spacing w:after="240" w:afterAutospacing="0" w:line="360" w:lineRule="auto"/>
        <w:ind w:firstLine="400"/>
        <w:contextualSpacing/>
        <w:rPr>
          <w:highlight w:val="none"/>
        </w:rPr>
      </w:pPr>
      <w:r>
        <w:rPr>
          <w:rFonts w:hint="eastAsia"/>
          <w:highlight w:val="none"/>
        </w:rPr>
        <w:t>4.4.</w:t>
      </w:r>
      <w:r>
        <w:rPr>
          <w:rFonts w:hint="eastAsia"/>
          <w:highlight w:val="none"/>
          <w:lang w:val="zh-CN"/>
        </w:rPr>
        <w:t>2</w:t>
      </w:r>
      <w:r>
        <w:rPr>
          <w:rFonts w:hint="eastAsia"/>
          <w:highlight w:val="none"/>
        </w:rPr>
        <w:t>供应商投诉的事项不得超出已质疑事项的范围，基于质疑答复内容提出的投诉事项除外。</w:t>
      </w:r>
    </w:p>
    <w:p w14:paraId="37ABA723">
      <w:pPr>
        <w:pStyle w:val="892"/>
        <w:shd w:val="clear" w:color="auto" w:fill="FFFFFF"/>
        <w:snapToGrid w:val="0"/>
        <w:spacing w:after="240" w:afterAutospacing="0" w:line="360" w:lineRule="auto"/>
        <w:ind w:firstLine="400"/>
        <w:contextualSpacing/>
        <w:rPr>
          <w:highlight w:val="none"/>
        </w:rPr>
      </w:pPr>
      <w:r>
        <w:rPr>
          <w:rFonts w:hint="eastAsia"/>
          <w:highlight w:val="none"/>
        </w:rPr>
        <w:t>4.4.3供应商投诉应当有明确的请求和必要的证明材料。</w:t>
      </w:r>
    </w:p>
    <w:p w14:paraId="4F37AD00">
      <w:pPr>
        <w:pStyle w:val="892"/>
        <w:shd w:val="clear" w:color="auto" w:fill="FFFFFF"/>
        <w:snapToGrid w:val="0"/>
        <w:spacing w:after="240" w:afterAutospacing="0" w:line="360" w:lineRule="auto"/>
        <w:ind w:firstLine="400"/>
        <w:contextualSpacing/>
        <w:rPr>
          <w:highlight w:val="none"/>
        </w:rPr>
      </w:pPr>
      <w:r>
        <w:rPr>
          <w:rFonts w:hint="eastAsia"/>
          <w:highlight w:val="none"/>
        </w:rPr>
        <w:t>4.4.4以联合体形式参加政府采购活动的，其投诉应当由组成联合体的所有供应商共同提出。</w:t>
      </w:r>
    </w:p>
    <w:p w14:paraId="25F4B730">
      <w:pPr>
        <w:pStyle w:val="892"/>
        <w:shd w:val="clear" w:color="auto" w:fill="FFFFFF"/>
        <w:snapToGrid w:val="0"/>
        <w:spacing w:after="240" w:afterAutospacing="0" w:line="360" w:lineRule="auto"/>
        <w:ind w:firstLine="400"/>
        <w:contextualSpacing/>
        <w:rPr>
          <w:highlight w:val="none"/>
        </w:rPr>
      </w:pPr>
      <w:r>
        <w:rPr>
          <w:rFonts w:hint="eastAsia"/>
          <w:highlight w:val="none"/>
        </w:rPr>
        <w:t>4.4.5投诉材料寄送相关信息详见《第一部分  招标公告》。</w:t>
      </w:r>
    </w:p>
    <w:p w14:paraId="38246C47">
      <w:pPr>
        <w:pStyle w:val="892"/>
        <w:shd w:val="clear" w:color="auto" w:fill="FFFFFF"/>
        <w:snapToGrid w:val="0"/>
        <w:spacing w:after="240" w:afterAutospacing="0" w:line="360" w:lineRule="auto"/>
        <w:ind w:firstLine="400"/>
        <w:contextualSpacing/>
        <w:rPr>
          <w:highlight w:val="none"/>
        </w:rPr>
      </w:pPr>
      <w:r>
        <w:rPr>
          <w:rFonts w:hint="eastAsia"/>
          <w:highlight w:val="none"/>
        </w:rPr>
        <w:t>投诉书范本及制作说明详见附件3。</w:t>
      </w:r>
    </w:p>
    <w:p w14:paraId="685AB057">
      <w:pPr>
        <w:pStyle w:val="133"/>
        <w:snapToGrid w:val="0"/>
        <w:spacing w:before="0"/>
        <w:ind w:firstLine="360"/>
        <w:rPr>
          <w:rFonts w:ascii="宋体" w:hAnsi="宋体" w:cs="宋体"/>
          <w:sz w:val="18"/>
          <w:szCs w:val="18"/>
          <w:highlight w:val="none"/>
        </w:rPr>
      </w:pPr>
    </w:p>
    <w:p w14:paraId="7A2BDD8E">
      <w:pPr>
        <w:adjustRightInd/>
        <w:spacing w:line="360" w:lineRule="auto"/>
        <w:jc w:val="center"/>
        <w:outlineLvl w:val="0"/>
        <w:rPr>
          <w:rFonts w:ascii="宋体" w:hAnsi="宋体" w:cs="宋体"/>
          <w:b/>
          <w:sz w:val="32"/>
          <w:szCs w:val="20"/>
          <w:highlight w:val="none"/>
        </w:rPr>
      </w:pPr>
      <w:r>
        <w:rPr>
          <w:rFonts w:hint="eastAsia" w:ascii="宋体" w:hAnsi="宋体" w:cs="宋体"/>
          <w:b/>
          <w:sz w:val="32"/>
          <w:szCs w:val="20"/>
          <w:highlight w:val="none"/>
        </w:rPr>
        <w:t xml:space="preserve">      </w:t>
      </w:r>
      <w:bookmarkStart w:id="17" w:name="_Toc1367"/>
      <w:r>
        <w:rPr>
          <w:rFonts w:hint="eastAsia" w:ascii="宋体" w:hAnsi="宋体" w:cs="宋体"/>
          <w:b/>
          <w:sz w:val="32"/>
          <w:szCs w:val="20"/>
          <w:highlight w:val="none"/>
        </w:rPr>
        <w:t>二、招标文件的构成、澄清、修改</w:t>
      </w:r>
      <w:bookmarkEnd w:id="17"/>
    </w:p>
    <w:p w14:paraId="7FDF9CA0">
      <w:pPr>
        <w:pStyle w:val="33"/>
        <w:spacing w:line="360" w:lineRule="auto"/>
        <w:rPr>
          <w:rFonts w:hAnsi="宋体" w:cs="宋体"/>
          <w:b/>
          <w:sz w:val="24"/>
          <w:szCs w:val="24"/>
          <w:highlight w:val="none"/>
        </w:rPr>
      </w:pPr>
      <w:r>
        <w:rPr>
          <w:rFonts w:hint="eastAsia" w:hAnsi="宋体" w:cs="宋体"/>
          <w:b/>
          <w:sz w:val="24"/>
          <w:szCs w:val="24"/>
          <w:highlight w:val="none"/>
        </w:rPr>
        <w:t>5．招标文件的构成</w:t>
      </w:r>
    </w:p>
    <w:p w14:paraId="408892B2">
      <w:pPr>
        <w:pStyle w:val="33"/>
        <w:spacing w:line="360" w:lineRule="auto"/>
        <w:ind w:firstLine="480" w:firstLineChars="200"/>
        <w:rPr>
          <w:rFonts w:hAnsi="宋体" w:cs="宋体"/>
          <w:sz w:val="24"/>
          <w:szCs w:val="24"/>
          <w:highlight w:val="none"/>
        </w:rPr>
      </w:pPr>
      <w:r>
        <w:rPr>
          <w:rFonts w:hint="eastAsia" w:hAnsi="宋体" w:cs="宋体"/>
          <w:sz w:val="24"/>
          <w:szCs w:val="24"/>
          <w:highlight w:val="none"/>
        </w:rPr>
        <w:t>5.1 招标文件包括下列文件及附件：</w:t>
      </w:r>
    </w:p>
    <w:p w14:paraId="52709825">
      <w:pPr>
        <w:pStyle w:val="33"/>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5.1.1招标公告；</w:t>
      </w:r>
    </w:p>
    <w:p w14:paraId="4489A958">
      <w:pPr>
        <w:pStyle w:val="33"/>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5.1.2投标人须知；</w:t>
      </w:r>
    </w:p>
    <w:p w14:paraId="70327001">
      <w:pPr>
        <w:pStyle w:val="33"/>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5.1.3采购需求；</w:t>
      </w:r>
    </w:p>
    <w:p w14:paraId="59FFCACD">
      <w:pPr>
        <w:pStyle w:val="33"/>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5.1.4评标办法；</w:t>
      </w:r>
    </w:p>
    <w:p w14:paraId="4513FEA7">
      <w:pPr>
        <w:pStyle w:val="33"/>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5.1.5拟签订的合同文本；</w:t>
      </w:r>
    </w:p>
    <w:p w14:paraId="2B1D20E4">
      <w:pPr>
        <w:pStyle w:val="33"/>
        <w:tabs>
          <w:tab w:val="left" w:pos="840"/>
        </w:tabs>
        <w:spacing w:line="360" w:lineRule="auto"/>
        <w:ind w:firstLine="960" w:firstLineChars="400"/>
        <w:rPr>
          <w:rFonts w:hAnsi="宋体" w:cs="宋体"/>
          <w:sz w:val="24"/>
          <w:szCs w:val="24"/>
          <w:highlight w:val="none"/>
        </w:rPr>
      </w:pPr>
      <w:r>
        <w:rPr>
          <w:rFonts w:hint="eastAsia" w:hAnsi="宋体" w:cs="宋体"/>
          <w:sz w:val="24"/>
          <w:highlight w:val="none"/>
        </w:rPr>
        <w:t>5.1.6</w:t>
      </w:r>
      <w:r>
        <w:rPr>
          <w:rFonts w:hint="eastAsia" w:hAnsi="宋体" w:cs="宋体"/>
          <w:sz w:val="24"/>
          <w:szCs w:val="24"/>
          <w:highlight w:val="none"/>
        </w:rPr>
        <w:t>应提交的有关格式范例。</w:t>
      </w:r>
    </w:p>
    <w:p w14:paraId="1783849A">
      <w:pPr>
        <w:spacing w:line="360" w:lineRule="auto"/>
        <w:ind w:firstLine="480" w:firstLineChars="200"/>
        <w:rPr>
          <w:rFonts w:ascii="宋体" w:hAnsi="宋体" w:cs="宋体"/>
          <w:sz w:val="24"/>
          <w:highlight w:val="none"/>
        </w:rPr>
      </w:pPr>
      <w:r>
        <w:rPr>
          <w:rFonts w:hint="eastAsia" w:ascii="宋体" w:hAnsi="宋体" w:cs="宋体"/>
          <w:sz w:val="24"/>
          <w:highlight w:val="none"/>
        </w:rPr>
        <w:t>5.2与本项目有关的</w:t>
      </w:r>
      <w:r>
        <w:rPr>
          <w:rFonts w:hint="eastAsia" w:ascii="宋体" w:hAnsi="宋体" w:cs="宋体"/>
          <w:bCs/>
          <w:sz w:val="24"/>
          <w:highlight w:val="none"/>
        </w:rPr>
        <w:t>澄清或者修改的内容为招标文件的组成部分</w:t>
      </w:r>
      <w:r>
        <w:rPr>
          <w:rFonts w:hint="eastAsia" w:ascii="宋体" w:hAnsi="宋体" w:cs="宋体"/>
          <w:sz w:val="24"/>
          <w:highlight w:val="none"/>
        </w:rPr>
        <w:t>。</w:t>
      </w:r>
    </w:p>
    <w:p w14:paraId="2B82BD25">
      <w:pPr>
        <w:pStyle w:val="33"/>
        <w:spacing w:line="360" w:lineRule="auto"/>
        <w:rPr>
          <w:rFonts w:hAnsi="宋体" w:cs="宋体"/>
          <w:b/>
          <w:sz w:val="24"/>
          <w:szCs w:val="24"/>
          <w:highlight w:val="none"/>
        </w:rPr>
      </w:pPr>
      <w:r>
        <w:rPr>
          <w:rFonts w:hint="eastAsia" w:hAnsi="宋体" w:cs="宋体"/>
          <w:b/>
          <w:sz w:val="24"/>
          <w:szCs w:val="24"/>
          <w:highlight w:val="none"/>
        </w:rPr>
        <w:t>6. 招标文件的澄清、修改</w:t>
      </w:r>
    </w:p>
    <w:p w14:paraId="519F0CEE">
      <w:pPr>
        <w:pStyle w:val="133"/>
        <w:snapToGrid w:val="0"/>
        <w:spacing w:before="0"/>
        <w:ind w:firstLine="480"/>
        <w:rPr>
          <w:rFonts w:ascii="宋体" w:hAnsi="宋体" w:cs="宋体"/>
          <w:highlight w:val="none"/>
        </w:rPr>
      </w:pPr>
      <w:r>
        <w:rPr>
          <w:rFonts w:hint="eastAsia" w:ascii="宋体" w:hAnsi="宋体" w:cs="宋体"/>
          <w:highlight w:val="none"/>
        </w:rPr>
        <w:t>6.1已获取招标文件的潜在投标人，若有问题需要澄清，应于投标截止时间前，以书面形式向采购代理机构提出。</w:t>
      </w:r>
    </w:p>
    <w:p w14:paraId="5DBFF428">
      <w:pPr>
        <w:pStyle w:val="133"/>
        <w:snapToGrid w:val="0"/>
        <w:spacing w:before="0"/>
        <w:ind w:firstLine="480"/>
        <w:rPr>
          <w:rFonts w:ascii="宋体" w:hAnsi="宋体" w:cs="宋体"/>
          <w:highlight w:val="none"/>
        </w:rPr>
      </w:pPr>
      <w:r>
        <w:rPr>
          <w:rFonts w:hint="eastAsia" w:ascii="宋体" w:hAnsi="宋体" w:cs="宋体"/>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8067960">
      <w:pPr>
        <w:pStyle w:val="23"/>
        <w:rPr>
          <w:rFonts w:hAnsi="宋体" w:cs="宋体"/>
          <w:sz w:val="18"/>
          <w:szCs w:val="18"/>
          <w:highlight w:val="none"/>
          <w:lang w:val="en-US"/>
        </w:rPr>
      </w:pPr>
      <w:r>
        <w:rPr>
          <w:rFonts w:hint="eastAsia" w:hAnsi="宋体" w:cs="宋体"/>
          <w:szCs w:val="24"/>
          <w:highlight w:val="none"/>
          <w:lang w:val="en-US"/>
        </w:rPr>
        <w:t xml:space="preserve">    </w:t>
      </w:r>
    </w:p>
    <w:p w14:paraId="1B6B1F5C">
      <w:pPr>
        <w:adjustRightInd/>
        <w:spacing w:line="360" w:lineRule="auto"/>
        <w:jc w:val="center"/>
        <w:outlineLvl w:val="0"/>
        <w:rPr>
          <w:rFonts w:ascii="宋体" w:hAnsi="宋体" w:cs="宋体"/>
          <w:b/>
          <w:sz w:val="30"/>
          <w:szCs w:val="20"/>
          <w:highlight w:val="none"/>
        </w:rPr>
      </w:pPr>
      <w:bookmarkStart w:id="18" w:name="_Toc14280"/>
      <w:r>
        <w:rPr>
          <w:rFonts w:hint="eastAsia" w:ascii="宋体" w:hAnsi="宋体" w:cs="宋体"/>
          <w:b/>
          <w:sz w:val="30"/>
          <w:szCs w:val="20"/>
          <w:highlight w:val="none"/>
        </w:rPr>
        <w:t>三、投标</w:t>
      </w:r>
      <w:bookmarkEnd w:id="18"/>
    </w:p>
    <w:p w14:paraId="779ECAD6">
      <w:pPr>
        <w:pStyle w:val="33"/>
        <w:spacing w:line="360" w:lineRule="auto"/>
        <w:rPr>
          <w:rFonts w:hAnsi="宋体" w:cs="宋体"/>
          <w:b/>
          <w:sz w:val="24"/>
          <w:szCs w:val="24"/>
          <w:highlight w:val="none"/>
        </w:rPr>
      </w:pPr>
      <w:r>
        <w:rPr>
          <w:rFonts w:hint="eastAsia" w:hAnsi="宋体" w:cs="宋体"/>
          <w:b/>
          <w:sz w:val="24"/>
          <w:szCs w:val="24"/>
          <w:highlight w:val="none"/>
        </w:rPr>
        <w:t>7. 招标文件的获取</w:t>
      </w:r>
    </w:p>
    <w:p w14:paraId="21D85959">
      <w:pPr>
        <w:spacing w:line="360" w:lineRule="auto"/>
        <w:ind w:firstLine="480" w:firstLineChars="200"/>
        <w:rPr>
          <w:rFonts w:ascii="宋体" w:hAnsi="宋体" w:cs="宋体"/>
          <w:snapToGrid w:val="0"/>
          <w:kern w:val="28"/>
          <w:sz w:val="24"/>
          <w:highlight w:val="none"/>
        </w:rPr>
      </w:pPr>
      <w:r>
        <w:rPr>
          <w:rFonts w:hint="eastAsia" w:ascii="宋体" w:hAnsi="宋体" w:cs="宋体"/>
          <w:snapToGrid w:val="0"/>
          <w:kern w:val="28"/>
          <w:sz w:val="24"/>
          <w:highlight w:val="none"/>
        </w:rPr>
        <w:t>详见招标公告中获取招标文件的时间期限、地点、方式及招标文件售价。</w:t>
      </w:r>
    </w:p>
    <w:p w14:paraId="03E86A80">
      <w:pPr>
        <w:pStyle w:val="33"/>
        <w:spacing w:line="360" w:lineRule="auto"/>
        <w:rPr>
          <w:rFonts w:hAnsi="宋体" w:cs="宋体"/>
          <w:b/>
          <w:sz w:val="24"/>
          <w:szCs w:val="24"/>
          <w:highlight w:val="none"/>
        </w:rPr>
      </w:pPr>
      <w:r>
        <w:rPr>
          <w:rFonts w:hint="eastAsia" w:hAnsi="宋体" w:cs="宋体"/>
          <w:b/>
          <w:sz w:val="24"/>
          <w:szCs w:val="24"/>
          <w:highlight w:val="none"/>
        </w:rPr>
        <w:t>8.开标前答疑会或现场考察</w:t>
      </w:r>
    </w:p>
    <w:p w14:paraId="064A68B3">
      <w:pPr>
        <w:pStyle w:val="33"/>
        <w:spacing w:line="360" w:lineRule="auto"/>
        <w:ind w:firstLine="480" w:firstLineChars="200"/>
        <w:rPr>
          <w:rFonts w:hAnsi="宋体" w:cs="宋体"/>
          <w:sz w:val="24"/>
          <w:szCs w:val="24"/>
          <w:highlight w:val="none"/>
        </w:rPr>
      </w:pPr>
      <w:r>
        <w:rPr>
          <w:rFonts w:hint="eastAsia" w:hAnsi="宋体" w:cs="宋体"/>
          <w:sz w:val="24"/>
          <w:szCs w:val="24"/>
          <w:highlight w:val="none"/>
        </w:rPr>
        <w:t>采购人组织潜在投标人现场考察或者召开开标前答疑会的，潜在投标人按第二部分投标人须知前附表的规定参加现场考察或者开标前答疑会。</w:t>
      </w:r>
    </w:p>
    <w:p w14:paraId="6F9F5758">
      <w:pPr>
        <w:pStyle w:val="33"/>
        <w:spacing w:line="360" w:lineRule="auto"/>
        <w:rPr>
          <w:rFonts w:hAnsi="宋体" w:cs="宋体"/>
          <w:b/>
          <w:szCs w:val="24"/>
          <w:highlight w:val="none"/>
        </w:rPr>
      </w:pPr>
      <w:r>
        <w:rPr>
          <w:rFonts w:hint="eastAsia" w:hAnsi="宋体" w:cs="宋体"/>
          <w:b/>
          <w:kern w:val="28"/>
          <w:sz w:val="24"/>
          <w:szCs w:val="24"/>
          <w:highlight w:val="none"/>
        </w:rPr>
        <w:t>9.投标保证金</w:t>
      </w:r>
    </w:p>
    <w:p w14:paraId="4EE6AD46">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02923C43">
      <w:pPr>
        <w:pStyle w:val="33"/>
        <w:spacing w:line="360" w:lineRule="auto"/>
        <w:rPr>
          <w:rFonts w:hAnsi="宋体" w:cs="宋体"/>
          <w:b/>
          <w:sz w:val="24"/>
          <w:szCs w:val="24"/>
          <w:highlight w:val="none"/>
        </w:rPr>
      </w:pPr>
      <w:r>
        <w:rPr>
          <w:rFonts w:hint="eastAsia" w:hAnsi="宋体" w:cs="宋体"/>
          <w:b/>
          <w:sz w:val="24"/>
          <w:szCs w:val="24"/>
          <w:highlight w:val="none"/>
        </w:rPr>
        <w:t>10. 投标文件的语言</w:t>
      </w:r>
    </w:p>
    <w:p w14:paraId="3F1E840C">
      <w:pPr>
        <w:autoSpaceDE w:val="0"/>
        <w:autoSpaceDN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投标文件及投标人与采购有关的来往通知、函件和文件均应使用中文。</w:t>
      </w:r>
    </w:p>
    <w:p w14:paraId="10BC9290">
      <w:pPr>
        <w:pStyle w:val="33"/>
        <w:spacing w:line="360" w:lineRule="auto"/>
        <w:rPr>
          <w:rFonts w:hAnsi="宋体" w:cs="宋体"/>
          <w:b/>
          <w:sz w:val="24"/>
          <w:szCs w:val="24"/>
          <w:highlight w:val="none"/>
        </w:rPr>
      </w:pPr>
      <w:r>
        <w:rPr>
          <w:rFonts w:hint="eastAsia" w:hAnsi="宋体" w:cs="宋体"/>
          <w:b/>
          <w:sz w:val="24"/>
          <w:szCs w:val="24"/>
          <w:highlight w:val="none"/>
        </w:rPr>
        <w:t>11. 投标文件的组成</w:t>
      </w:r>
    </w:p>
    <w:p w14:paraId="2D4F4C65">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11.1</w:t>
      </w:r>
      <w:r>
        <w:rPr>
          <w:rFonts w:hint="eastAsia" w:ascii="宋体" w:hAnsi="宋体" w:cs="宋体"/>
          <w:b/>
          <w:sz w:val="24"/>
          <w:highlight w:val="none"/>
        </w:rPr>
        <w:t>资格文件</w:t>
      </w:r>
      <w:r>
        <w:rPr>
          <w:rFonts w:hint="eastAsia" w:ascii="宋体" w:hAnsi="宋体" w:cs="宋体"/>
          <w:sz w:val="24"/>
          <w:highlight w:val="none"/>
        </w:rPr>
        <w:t>：</w:t>
      </w:r>
    </w:p>
    <w:p w14:paraId="56328D5D">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11.1.1符合参加政府采购活动应当具备的一般条件的承诺函；</w:t>
      </w:r>
    </w:p>
    <w:p w14:paraId="6C661E58">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11.1.2</w:t>
      </w:r>
      <w:r>
        <w:rPr>
          <w:rFonts w:hint="eastAsia" w:ascii="宋体" w:hAnsi="宋体" w:cs="宋体"/>
          <w:snapToGrid w:val="0"/>
          <w:kern w:val="28"/>
          <w:sz w:val="24"/>
          <w:szCs w:val="20"/>
          <w:highlight w:val="none"/>
        </w:rPr>
        <w:t>联合协议（如果有</w:t>
      </w:r>
      <w:r>
        <w:rPr>
          <w:rFonts w:hint="eastAsia" w:ascii="宋体" w:hAnsi="宋体" w:cs="宋体"/>
          <w:snapToGrid w:val="0"/>
          <w:kern w:val="28"/>
          <w:sz w:val="24"/>
          <w:szCs w:val="20"/>
          <w:highlight w:val="none"/>
          <w:lang w:eastAsia="zh-CN"/>
        </w:rPr>
        <w:t>）</w:t>
      </w:r>
      <w:r>
        <w:rPr>
          <w:rFonts w:hint="eastAsia" w:ascii="宋体" w:hAnsi="宋体" w:cs="宋体"/>
          <w:snapToGrid w:val="0"/>
          <w:kern w:val="28"/>
          <w:sz w:val="24"/>
          <w:szCs w:val="20"/>
          <w:highlight w:val="none"/>
        </w:rPr>
        <w:t>；</w:t>
      </w:r>
    </w:p>
    <w:p w14:paraId="24A715F3">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11.1.3落实政府采购政策需满足的资格要求</w:t>
      </w:r>
      <w:r>
        <w:rPr>
          <w:rFonts w:hint="eastAsia" w:ascii="宋体" w:hAnsi="宋体" w:cs="宋体"/>
          <w:snapToGrid w:val="0"/>
          <w:kern w:val="28"/>
          <w:sz w:val="24"/>
          <w:szCs w:val="20"/>
          <w:highlight w:val="none"/>
        </w:rPr>
        <w:t>（如果有</w:t>
      </w:r>
      <w:r>
        <w:rPr>
          <w:rFonts w:hint="eastAsia" w:ascii="宋体" w:hAnsi="宋体" w:cs="宋体"/>
          <w:snapToGrid w:val="0"/>
          <w:kern w:val="28"/>
          <w:sz w:val="24"/>
          <w:szCs w:val="20"/>
          <w:highlight w:val="none"/>
          <w:lang w:eastAsia="zh-CN"/>
        </w:rPr>
        <w:t>）</w:t>
      </w:r>
      <w:r>
        <w:rPr>
          <w:rFonts w:hint="eastAsia" w:ascii="宋体" w:hAnsi="宋体" w:cs="宋体"/>
          <w:sz w:val="24"/>
          <w:highlight w:val="none"/>
        </w:rPr>
        <w:t>；</w:t>
      </w:r>
    </w:p>
    <w:p w14:paraId="3901C80C">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11.1.4本项目的特定资格要求</w:t>
      </w:r>
      <w:r>
        <w:rPr>
          <w:rFonts w:hint="eastAsia" w:ascii="宋体" w:hAnsi="宋体" w:cs="宋体"/>
          <w:snapToGrid w:val="0"/>
          <w:kern w:val="28"/>
          <w:sz w:val="24"/>
          <w:szCs w:val="20"/>
          <w:highlight w:val="none"/>
        </w:rPr>
        <w:t>（如果有</w:t>
      </w:r>
      <w:r>
        <w:rPr>
          <w:rFonts w:hint="eastAsia" w:ascii="宋体" w:hAnsi="宋体" w:cs="宋体"/>
          <w:snapToGrid w:val="0"/>
          <w:kern w:val="28"/>
          <w:sz w:val="24"/>
          <w:szCs w:val="20"/>
          <w:highlight w:val="none"/>
          <w:lang w:eastAsia="zh-CN"/>
        </w:rPr>
        <w:t>）</w:t>
      </w:r>
      <w:r>
        <w:rPr>
          <w:rFonts w:hint="eastAsia" w:ascii="宋体" w:hAnsi="宋体" w:cs="宋体"/>
          <w:sz w:val="24"/>
          <w:highlight w:val="none"/>
        </w:rPr>
        <w:t>。</w:t>
      </w:r>
    </w:p>
    <w:p w14:paraId="146433C0">
      <w:pPr>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 xml:space="preserve">  </w:t>
      </w:r>
      <w:r>
        <w:rPr>
          <w:rFonts w:hint="eastAsia" w:ascii="宋体" w:hAnsi="宋体" w:cs="宋体"/>
          <w:sz w:val="24"/>
          <w:highlight w:val="none"/>
        </w:rPr>
        <w:t>商务技术</w:t>
      </w:r>
      <w:r>
        <w:rPr>
          <w:rFonts w:hint="eastAsia" w:ascii="宋体" w:hAnsi="宋体" w:cs="宋体"/>
          <w:sz w:val="24"/>
          <w:highlight w:val="none"/>
          <w:lang w:val="zh-CN"/>
        </w:rPr>
        <w:t>文件：</w:t>
      </w:r>
    </w:p>
    <w:p w14:paraId="632219D9">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11.2.1投标函；</w:t>
      </w:r>
      <w:r>
        <w:rPr>
          <w:rFonts w:hint="eastAsia" w:ascii="宋体" w:hAnsi="宋体" w:cs="宋体"/>
          <w:sz w:val="24"/>
          <w:highlight w:val="none"/>
          <w:lang w:val="zh-CN"/>
        </w:rPr>
        <w:t xml:space="preserve"> </w:t>
      </w:r>
    </w:p>
    <w:p w14:paraId="2E469684">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11.2.2授权委托书或法定代表人（单位负责人、自然人本人）身份证明；</w:t>
      </w:r>
    </w:p>
    <w:p w14:paraId="65090305">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11.2.3分包意向协议</w:t>
      </w:r>
      <w:r>
        <w:rPr>
          <w:rFonts w:hint="eastAsia" w:ascii="宋体" w:hAnsi="宋体" w:cs="宋体"/>
          <w:snapToGrid w:val="0"/>
          <w:kern w:val="28"/>
          <w:sz w:val="24"/>
          <w:szCs w:val="20"/>
          <w:highlight w:val="none"/>
        </w:rPr>
        <w:t>（如果有</w:t>
      </w:r>
      <w:r>
        <w:rPr>
          <w:rFonts w:hint="eastAsia" w:ascii="宋体" w:hAnsi="宋体" w:cs="宋体"/>
          <w:snapToGrid w:val="0"/>
          <w:kern w:val="28"/>
          <w:sz w:val="24"/>
          <w:szCs w:val="20"/>
          <w:highlight w:val="none"/>
          <w:lang w:eastAsia="zh-CN"/>
        </w:rPr>
        <w:t>）</w:t>
      </w:r>
      <w:r>
        <w:rPr>
          <w:rFonts w:hint="eastAsia" w:ascii="宋体" w:hAnsi="宋体" w:cs="宋体"/>
          <w:sz w:val="24"/>
          <w:highlight w:val="none"/>
        </w:rPr>
        <w:t>；</w:t>
      </w:r>
    </w:p>
    <w:p w14:paraId="25C5B215">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11.2.4符合性审查资料；</w:t>
      </w:r>
    </w:p>
    <w:p w14:paraId="2C4D8C3F">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11.2.5评标标准相应的商务技术资料；</w:t>
      </w:r>
    </w:p>
    <w:p w14:paraId="360A24B4">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11.2.6商务技术偏离表；</w:t>
      </w:r>
    </w:p>
    <w:p w14:paraId="3E2EE2BC">
      <w:pPr>
        <w:snapToGrid w:val="0"/>
        <w:spacing w:line="360" w:lineRule="auto"/>
        <w:ind w:firstLine="960" w:firstLineChars="400"/>
        <w:rPr>
          <w:rFonts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7</w:t>
      </w:r>
      <w:r>
        <w:rPr>
          <w:rFonts w:hint="eastAsia" w:ascii="宋体" w:hAnsi="宋体" w:cs="宋体"/>
          <w:sz w:val="24"/>
          <w:highlight w:val="none"/>
          <w:lang w:val="zh-CN"/>
        </w:rPr>
        <w:t>政府采购供应商廉洁自律承诺书；</w:t>
      </w:r>
    </w:p>
    <w:p w14:paraId="27BD1BDE">
      <w:pPr>
        <w:snapToGrid w:val="0"/>
        <w:spacing w:line="360" w:lineRule="auto"/>
        <w:ind w:firstLine="480" w:firstLineChars="200"/>
        <w:rPr>
          <w:rFonts w:ascii="宋体" w:hAnsi="宋体" w:cs="宋体"/>
          <w:sz w:val="24"/>
          <w:highlight w:val="none"/>
          <w:u w:val="single"/>
          <w:lang w:val="zh-CN"/>
        </w:rPr>
      </w:pPr>
      <w:r>
        <w:rPr>
          <w:rFonts w:hint="eastAsia" w:ascii="宋体" w:hAnsi="宋体" w:cs="宋体"/>
          <w:kern w:val="0"/>
          <w:sz w:val="24"/>
          <w:highlight w:val="none"/>
          <w:lang w:val="zh-CN"/>
        </w:rPr>
        <w:t>11.</w:t>
      </w:r>
      <w:r>
        <w:rPr>
          <w:rFonts w:hint="eastAsia" w:ascii="宋体" w:hAnsi="宋体" w:cs="宋体"/>
          <w:kern w:val="0"/>
          <w:sz w:val="24"/>
          <w:highlight w:val="none"/>
        </w:rPr>
        <w:t>3</w:t>
      </w:r>
      <w:r>
        <w:rPr>
          <w:rFonts w:hint="eastAsia" w:ascii="宋体" w:hAnsi="宋体" w:cs="宋体"/>
          <w:b/>
          <w:sz w:val="24"/>
          <w:highlight w:val="none"/>
        </w:rPr>
        <w:t>报价文件：</w:t>
      </w:r>
      <w:r>
        <w:rPr>
          <w:rFonts w:hint="eastAsia" w:ascii="宋体" w:hAnsi="宋体" w:cs="宋体"/>
          <w:sz w:val="24"/>
          <w:highlight w:val="none"/>
        </w:rPr>
        <w:t xml:space="preserve"> </w:t>
      </w:r>
    </w:p>
    <w:p w14:paraId="1CE2D7C3">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11.3.1开标一览表（报价表）；</w:t>
      </w:r>
    </w:p>
    <w:p w14:paraId="3BCB960B">
      <w:pPr>
        <w:snapToGrid w:val="0"/>
        <w:spacing w:line="360" w:lineRule="auto"/>
        <w:ind w:firstLine="960" w:firstLineChars="400"/>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11.3.2分项报价表；</w:t>
      </w:r>
    </w:p>
    <w:p w14:paraId="457C0B96">
      <w:pPr>
        <w:snapToGrid w:val="0"/>
        <w:spacing w:line="360" w:lineRule="auto"/>
        <w:ind w:firstLine="960" w:firstLineChars="400"/>
        <w:rPr>
          <w:rFonts w:hint="eastAsia" w:ascii="宋体" w:hAnsi="宋体" w:eastAsia="宋体" w:cs="宋体"/>
          <w:sz w:val="24"/>
          <w:highlight w:val="none"/>
          <w:lang w:eastAsia="zh-CN"/>
        </w:rPr>
      </w:pPr>
      <w:r>
        <w:rPr>
          <w:rFonts w:hint="eastAsia" w:ascii="宋体" w:hAnsi="宋体" w:cs="宋体"/>
          <w:sz w:val="24"/>
          <w:highlight w:val="none"/>
        </w:rPr>
        <w:t>11.3.</w:t>
      </w:r>
      <w:r>
        <w:rPr>
          <w:rFonts w:hint="eastAsia" w:ascii="宋体" w:hAnsi="宋体" w:cs="宋体"/>
          <w:sz w:val="24"/>
          <w:highlight w:val="none"/>
          <w:lang w:val="en-US" w:eastAsia="zh-CN"/>
        </w:rPr>
        <w:t>3</w:t>
      </w:r>
      <w:r>
        <w:rPr>
          <w:rFonts w:hint="eastAsia" w:ascii="宋体" w:hAnsi="宋体" w:cs="宋体"/>
          <w:sz w:val="24"/>
          <w:highlight w:val="none"/>
        </w:rPr>
        <w:t>中小企业声明函</w:t>
      </w:r>
      <w:r>
        <w:rPr>
          <w:rFonts w:hint="eastAsia" w:ascii="宋体" w:hAnsi="宋体" w:cs="宋体"/>
          <w:sz w:val="24"/>
          <w:highlight w:val="none"/>
          <w:lang w:eastAsia="zh-CN"/>
        </w:rPr>
        <w:t>。</w:t>
      </w:r>
    </w:p>
    <w:p w14:paraId="0DB9AC3E">
      <w:pPr>
        <w:spacing w:line="360" w:lineRule="auto"/>
        <w:ind w:firstLine="723" w:firstLineChars="300"/>
        <w:rPr>
          <w:rFonts w:ascii="宋体" w:hAnsi="宋体" w:cs="宋体"/>
          <w:b/>
          <w:sz w:val="24"/>
          <w:highlight w:val="none"/>
        </w:rPr>
      </w:pPr>
      <w:r>
        <w:rPr>
          <w:rFonts w:hint="eastAsia" w:ascii="宋体" w:hAnsi="宋体" w:cs="宋体"/>
          <w:b/>
          <w:sz w:val="24"/>
          <w:highlight w:val="none"/>
        </w:rPr>
        <w:t>投标文件含有采购人不能接受的附加条件的，投标无效；</w:t>
      </w:r>
    </w:p>
    <w:p w14:paraId="271183BE">
      <w:pPr>
        <w:spacing w:line="360" w:lineRule="auto"/>
        <w:ind w:firstLine="723" w:firstLineChars="300"/>
        <w:rPr>
          <w:rFonts w:ascii="宋体" w:hAnsi="宋体" w:cs="宋体"/>
          <w:b/>
          <w:sz w:val="24"/>
          <w:szCs w:val="21"/>
          <w:highlight w:val="none"/>
        </w:rPr>
      </w:pPr>
      <w:r>
        <w:rPr>
          <w:rFonts w:hint="eastAsia" w:ascii="宋体" w:hAnsi="宋体" w:cs="宋体"/>
          <w:b/>
          <w:sz w:val="24"/>
          <w:highlight w:val="none"/>
        </w:rPr>
        <w:t>投标人提供虚假材料投标的，投标无效。</w:t>
      </w:r>
    </w:p>
    <w:p w14:paraId="65F7D2DC">
      <w:pPr>
        <w:pStyle w:val="133"/>
        <w:snapToGrid w:val="0"/>
        <w:spacing w:before="0"/>
        <w:ind w:firstLine="0" w:firstLineChars="0"/>
        <w:outlineLvl w:val="0"/>
        <w:rPr>
          <w:rFonts w:ascii="宋体" w:hAnsi="宋体" w:cs="宋体"/>
          <w:b/>
          <w:szCs w:val="24"/>
          <w:highlight w:val="none"/>
        </w:rPr>
      </w:pPr>
      <w:bookmarkStart w:id="19" w:name="_Toc25133"/>
      <w:r>
        <w:rPr>
          <w:rFonts w:hint="eastAsia" w:ascii="宋体" w:hAnsi="宋体" w:cs="宋体"/>
          <w:b/>
          <w:szCs w:val="24"/>
          <w:highlight w:val="none"/>
        </w:rPr>
        <w:t>12</w:t>
      </w:r>
      <w:r>
        <w:rPr>
          <w:rFonts w:hint="eastAsia" w:ascii="宋体" w:hAnsi="宋体" w:cs="宋体"/>
          <w:b/>
          <w:kern w:val="0"/>
          <w:szCs w:val="24"/>
          <w:highlight w:val="none"/>
          <w:lang w:val="zh-CN"/>
        </w:rPr>
        <w:t xml:space="preserve">. </w:t>
      </w:r>
      <w:r>
        <w:rPr>
          <w:rFonts w:hint="eastAsia" w:ascii="宋体" w:hAnsi="宋体" w:cs="宋体"/>
          <w:b/>
          <w:szCs w:val="24"/>
          <w:highlight w:val="none"/>
        </w:rPr>
        <w:t>投标文件的编制</w:t>
      </w:r>
      <w:bookmarkEnd w:id="19"/>
    </w:p>
    <w:p w14:paraId="6F611CA8">
      <w:pPr>
        <w:spacing w:line="360" w:lineRule="auto"/>
        <w:ind w:firstLine="480" w:firstLineChars="200"/>
        <w:rPr>
          <w:rFonts w:ascii="宋体" w:hAnsi="宋体" w:cs="宋体"/>
          <w:b/>
          <w:sz w:val="24"/>
          <w:highlight w:val="none"/>
        </w:rPr>
      </w:pPr>
      <w:r>
        <w:rPr>
          <w:rFonts w:hint="eastAsia" w:ascii="宋体" w:hAnsi="宋体" w:cs="宋体"/>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B9557F5">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B5C46AB">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12.3使用“政采云电子交易客户端”需要提前申领CA数字证书，申领流程请自行前往“浙江政府采购网-下载专区－电子交易客户端-CA驱动和申领流程”进行查阅。</w:t>
      </w:r>
    </w:p>
    <w:p w14:paraId="0E0FE0EC">
      <w:pPr>
        <w:snapToGrid w:val="0"/>
        <w:spacing w:line="360" w:lineRule="auto"/>
        <w:rPr>
          <w:rFonts w:ascii="宋体" w:hAnsi="宋体" w:cs="宋体"/>
          <w:b/>
          <w:sz w:val="24"/>
          <w:highlight w:val="none"/>
        </w:rPr>
      </w:pPr>
      <w:r>
        <w:rPr>
          <w:rFonts w:hint="eastAsia" w:ascii="宋体" w:hAnsi="宋体" w:cs="宋体"/>
          <w:b/>
          <w:sz w:val="24"/>
          <w:highlight w:val="none"/>
        </w:rPr>
        <w:t>13.投标文件的签署、盖章</w:t>
      </w:r>
    </w:p>
    <w:p w14:paraId="12346633">
      <w:pPr>
        <w:pStyle w:val="133"/>
        <w:snapToGrid w:val="0"/>
        <w:spacing w:before="0"/>
        <w:ind w:firstLine="480"/>
        <w:rPr>
          <w:rFonts w:ascii="宋体" w:hAnsi="宋体" w:cs="宋体"/>
          <w:b/>
          <w:highlight w:val="none"/>
        </w:rPr>
      </w:pPr>
      <w:r>
        <w:rPr>
          <w:rFonts w:hint="eastAsia" w:ascii="宋体" w:hAnsi="宋体" w:cs="宋体"/>
          <w:szCs w:val="24"/>
          <w:highlight w:val="none"/>
        </w:rPr>
        <w:t>13.1投标文件按照招标文件第六部分格式要</w:t>
      </w:r>
      <w:r>
        <w:rPr>
          <w:rFonts w:hint="eastAsia" w:ascii="宋体" w:hAnsi="宋体" w:cs="宋体"/>
          <w:highlight w:val="none"/>
        </w:rPr>
        <w:t>求进行签署、盖章。</w:t>
      </w:r>
      <w:r>
        <w:rPr>
          <w:rFonts w:hint="eastAsia" w:ascii="宋体" w:hAnsi="宋体" w:cs="宋体"/>
          <w:b/>
          <w:highlight w:val="none"/>
        </w:rPr>
        <w:t>▲投标人的投标文件未按照招标文件要求签署、盖章的，其投标无效</w:t>
      </w:r>
      <w:r>
        <w:rPr>
          <w:rFonts w:hint="eastAsia" w:ascii="宋体" w:hAnsi="宋体" w:cs="宋体"/>
          <w:szCs w:val="24"/>
          <w:highlight w:val="none"/>
        </w:rPr>
        <w:t>。</w:t>
      </w:r>
    </w:p>
    <w:p w14:paraId="7F41694C">
      <w:pPr>
        <w:pStyle w:val="133"/>
        <w:snapToGrid w:val="0"/>
        <w:spacing w:before="0"/>
        <w:ind w:firstLine="480"/>
        <w:rPr>
          <w:rFonts w:ascii="宋体" w:hAnsi="宋体" w:cs="宋体"/>
          <w:highlight w:val="none"/>
        </w:rPr>
      </w:pPr>
      <w:r>
        <w:rPr>
          <w:rFonts w:hint="eastAsia" w:ascii="宋体" w:hAnsi="宋体" w:cs="宋体"/>
          <w:highlight w:val="none"/>
        </w:rPr>
        <w:t>13.2为确保网上操作合法、有效和安全，投标人应当在投标截止时间前完成在“政府采购云平台”的身份认证，确保在电子投标过程中能够对相关数据电文进行加密和使用电子签名。</w:t>
      </w:r>
    </w:p>
    <w:p w14:paraId="0B718059">
      <w:pPr>
        <w:pStyle w:val="133"/>
        <w:snapToGrid w:val="0"/>
        <w:spacing w:before="0"/>
        <w:ind w:firstLine="480"/>
        <w:rPr>
          <w:rFonts w:ascii="宋体" w:hAnsi="宋体" w:cs="宋体"/>
          <w:szCs w:val="24"/>
          <w:highlight w:val="none"/>
        </w:rPr>
      </w:pPr>
      <w:r>
        <w:rPr>
          <w:rFonts w:hint="eastAsia" w:ascii="宋体" w:hAnsi="宋体" w:cs="宋体"/>
          <w:highlight w:val="none"/>
        </w:rPr>
        <w:t>13.3招标文件对投标文件签署、盖章的要求适用于电子签名。</w:t>
      </w:r>
    </w:p>
    <w:p w14:paraId="1C5593DA">
      <w:pPr>
        <w:pStyle w:val="133"/>
        <w:spacing w:before="0"/>
        <w:ind w:firstLine="0" w:firstLineChars="0"/>
        <w:rPr>
          <w:rFonts w:ascii="宋体" w:hAnsi="宋体" w:cs="宋体"/>
          <w:b/>
          <w:szCs w:val="24"/>
          <w:highlight w:val="none"/>
        </w:rPr>
      </w:pPr>
      <w:r>
        <w:rPr>
          <w:rFonts w:hint="eastAsia" w:ascii="宋体" w:hAnsi="宋体" w:cs="宋体"/>
          <w:b/>
          <w:szCs w:val="24"/>
          <w:highlight w:val="none"/>
        </w:rPr>
        <w:t>14. 投标文件的提交、补充、修改、撤回</w:t>
      </w:r>
    </w:p>
    <w:p w14:paraId="1A15CA8B">
      <w:pPr>
        <w:pStyle w:val="133"/>
        <w:ind w:firstLine="480"/>
        <w:rPr>
          <w:rFonts w:ascii="宋体" w:hAnsi="宋体" w:cs="宋体"/>
          <w:szCs w:val="24"/>
          <w:highlight w:val="none"/>
        </w:rPr>
      </w:pPr>
      <w:r>
        <w:rPr>
          <w:rFonts w:hint="eastAsia" w:ascii="宋体" w:hAnsi="宋体" w:cs="宋体"/>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10800C0">
      <w:pPr>
        <w:pStyle w:val="133"/>
        <w:spacing w:before="0"/>
        <w:ind w:firstLine="480"/>
        <w:rPr>
          <w:rFonts w:ascii="宋体" w:hAnsi="宋体" w:cs="宋体"/>
          <w:szCs w:val="24"/>
          <w:highlight w:val="none"/>
        </w:rPr>
      </w:pPr>
      <w:r>
        <w:rPr>
          <w:rFonts w:hint="eastAsia" w:ascii="宋体" w:hAnsi="宋体" w:cs="宋体"/>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B119FD0">
      <w:pPr>
        <w:pStyle w:val="133"/>
        <w:spacing w:before="0"/>
        <w:ind w:firstLine="480"/>
        <w:rPr>
          <w:rFonts w:ascii="宋体" w:hAnsi="宋体" w:cs="宋体"/>
          <w:szCs w:val="24"/>
          <w:highlight w:val="none"/>
        </w:rPr>
      </w:pPr>
      <w:r>
        <w:rPr>
          <w:rFonts w:hint="eastAsia" w:ascii="宋体" w:hAnsi="宋体" w:cs="宋体"/>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2E2CD524">
      <w:pPr>
        <w:pStyle w:val="33"/>
        <w:spacing w:line="360" w:lineRule="auto"/>
        <w:rPr>
          <w:rFonts w:hAnsi="宋体" w:cs="宋体"/>
          <w:b/>
          <w:sz w:val="24"/>
          <w:szCs w:val="24"/>
          <w:highlight w:val="none"/>
        </w:rPr>
      </w:pPr>
      <w:r>
        <w:rPr>
          <w:rFonts w:hint="eastAsia" w:hAnsi="宋体" w:cs="宋体"/>
          <w:b/>
          <w:sz w:val="24"/>
          <w:szCs w:val="24"/>
          <w:highlight w:val="none"/>
        </w:rPr>
        <w:t>15.备份投标文件（文件后缀为：bfbs）</w:t>
      </w:r>
    </w:p>
    <w:p w14:paraId="08F9931C">
      <w:pPr>
        <w:pStyle w:val="33"/>
        <w:spacing w:line="360" w:lineRule="auto"/>
        <w:ind w:firstLine="360" w:firstLineChars="150"/>
        <w:rPr>
          <w:rFonts w:hAnsi="宋体" w:cs="宋体"/>
          <w:b/>
          <w:sz w:val="24"/>
          <w:szCs w:val="24"/>
          <w:highlight w:val="none"/>
        </w:rPr>
      </w:pPr>
      <w:r>
        <w:rPr>
          <w:rFonts w:hint="eastAsia" w:hAnsi="宋体" w:cs="宋体"/>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sz w:val="24"/>
          <w:szCs w:val="24"/>
          <w:highlight w:val="none"/>
        </w:rPr>
        <w:t>但采购人、采购代理机构不强制或变相强制投标人提交备份投标文件。</w:t>
      </w:r>
    </w:p>
    <w:p w14:paraId="698D4228">
      <w:pPr>
        <w:spacing w:line="360" w:lineRule="auto"/>
        <w:ind w:firstLine="480" w:firstLineChars="200"/>
        <w:rPr>
          <w:rFonts w:ascii="宋体" w:hAnsi="宋体" w:cs="宋体"/>
          <w:b/>
          <w:snapToGrid w:val="0"/>
          <w:sz w:val="24"/>
          <w:highlight w:val="none"/>
        </w:rPr>
      </w:pPr>
      <w:r>
        <w:rPr>
          <w:rFonts w:hint="eastAsia" w:ascii="宋体" w:hAnsi="宋体" w:cs="宋体"/>
          <w:snapToGrid w:val="0"/>
          <w:sz w:val="24"/>
          <w:highlight w:val="none"/>
        </w:rPr>
        <w:t>15.2备份投标文件须在“政采云投标客户端”制作生成，并储存在</w:t>
      </w:r>
      <w:r>
        <w:rPr>
          <w:rFonts w:hint="eastAsia" w:ascii="宋体" w:hAnsi="宋体" w:cs="宋体"/>
          <w:snapToGrid w:val="0"/>
          <w:sz w:val="24"/>
          <w:szCs w:val="21"/>
          <w:highlight w:val="none"/>
        </w:rPr>
        <w:t>U盘</w:t>
      </w:r>
      <w:r>
        <w:rPr>
          <w:rFonts w:hint="eastAsia" w:ascii="宋体" w:hAnsi="宋体" w:cs="宋体"/>
          <w:snapToGrid w:val="0"/>
          <w:sz w:val="24"/>
          <w:highlight w:val="none"/>
        </w:rPr>
        <w:t>中。备份投标文件应当密封包装并在包装上加盖公章并注明投标项目名称，投标人名称</w:t>
      </w:r>
      <w:r>
        <w:rPr>
          <w:rFonts w:hint="eastAsia" w:ascii="宋体" w:hAnsi="宋体" w:cs="宋体"/>
          <w:snapToGrid w:val="0"/>
          <w:sz w:val="24"/>
          <w:highlight w:val="none"/>
          <w:lang w:eastAsia="zh-CN"/>
        </w:rPr>
        <w:t>（</w:t>
      </w:r>
      <w:r>
        <w:rPr>
          <w:rFonts w:hint="eastAsia" w:ascii="宋体" w:hAnsi="宋体" w:cs="宋体"/>
          <w:snapToGrid w:val="0"/>
          <w:sz w:val="24"/>
          <w:highlight w:val="none"/>
        </w:rPr>
        <w:t>联合体投标的，包装物封面需注明联合体投标，并注明联合体成员各方的名称和联合协议中约定的牵头人的名称</w:t>
      </w:r>
      <w:r>
        <w:rPr>
          <w:rFonts w:hint="eastAsia" w:ascii="宋体" w:hAnsi="宋体" w:cs="宋体"/>
          <w:snapToGrid w:val="0"/>
          <w:sz w:val="24"/>
          <w:highlight w:val="none"/>
          <w:lang w:eastAsia="zh-CN"/>
        </w:rPr>
        <w:t>）</w:t>
      </w:r>
      <w:r>
        <w:rPr>
          <w:rFonts w:hint="eastAsia" w:ascii="宋体" w:hAnsi="宋体" w:cs="宋体"/>
          <w:snapToGrid w:val="0"/>
          <w:sz w:val="24"/>
          <w:highlight w:val="none"/>
        </w:rPr>
        <w:t>。</w:t>
      </w:r>
      <w:r>
        <w:rPr>
          <w:rFonts w:hint="eastAsia" w:ascii="宋体" w:hAnsi="宋体" w:cs="宋体"/>
          <w:b/>
          <w:snapToGrid w:val="0"/>
          <w:sz w:val="24"/>
          <w:szCs w:val="21"/>
          <w:highlight w:val="none"/>
        </w:rPr>
        <w:t>不符合上述制作、</w:t>
      </w:r>
      <w:r>
        <w:rPr>
          <w:rFonts w:hint="eastAsia" w:ascii="宋体" w:hAnsi="宋体" w:cs="宋体"/>
          <w:b/>
          <w:snapToGrid w:val="0"/>
          <w:sz w:val="24"/>
          <w:highlight w:val="none"/>
        </w:rPr>
        <w:t>存储、密封规定的备份投标文件将被视为无效或者被拒绝接收。</w:t>
      </w:r>
    </w:p>
    <w:p w14:paraId="6B2FE014">
      <w:pPr>
        <w:spacing w:line="360" w:lineRule="auto"/>
        <w:ind w:firstLine="480" w:firstLineChars="200"/>
        <w:rPr>
          <w:rFonts w:ascii="宋体" w:hAnsi="宋体" w:cs="宋体"/>
          <w:snapToGrid w:val="0"/>
          <w:sz w:val="24"/>
          <w:highlight w:val="none"/>
        </w:rPr>
      </w:pPr>
      <w:r>
        <w:rPr>
          <w:rFonts w:hint="eastAsia" w:ascii="宋体" w:hAnsi="宋体" w:cs="宋体"/>
          <w:snapToGrid w:val="0"/>
          <w:sz w:val="24"/>
          <w:highlight w:val="none"/>
        </w:rPr>
        <w:t>15.3直接提交备份投标文件的，投标人应于投标截止时间前在</w:t>
      </w:r>
      <w:r>
        <w:rPr>
          <w:rFonts w:hint="eastAsia" w:ascii="宋体" w:hAnsi="宋体" w:cs="宋体"/>
          <w:sz w:val="24"/>
          <w:highlight w:val="none"/>
        </w:rPr>
        <w:t>招标文件第二部分投标人须知前附表规定的备份投标文件送达地点</w:t>
      </w:r>
      <w:r>
        <w:rPr>
          <w:rFonts w:hint="eastAsia" w:ascii="宋体" w:hAnsi="宋体" w:cs="宋体"/>
          <w:snapToGrid w:val="0"/>
          <w:sz w:val="24"/>
          <w:highlight w:val="none"/>
        </w:rPr>
        <w:t>将备份投标文件提交给采购代理机构，采购代理机构将拒绝接受逾期送达的备份投标文件。</w:t>
      </w:r>
    </w:p>
    <w:p w14:paraId="26B46085">
      <w:pPr>
        <w:spacing w:line="360" w:lineRule="auto"/>
        <w:ind w:firstLine="480" w:firstLineChars="200"/>
        <w:rPr>
          <w:rFonts w:ascii="宋体" w:hAnsi="宋体" w:cs="宋体"/>
          <w:snapToGrid w:val="0"/>
          <w:sz w:val="24"/>
          <w:highlight w:val="none"/>
        </w:rPr>
      </w:pPr>
      <w:r>
        <w:rPr>
          <w:rFonts w:hint="eastAsia" w:ascii="宋体" w:hAnsi="宋体" w:cs="宋体"/>
          <w:snapToGrid w:val="0"/>
          <w:sz w:val="24"/>
          <w:highlight w:val="none"/>
        </w:rPr>
        <w:t>15.4以邮政快递方式递交备份投标文件的，投标人应先将备份投标文件按要求密封和标记，再进行邮政快递包装后邮寄。备份投标文件须在</w:t>
      </w:r>
      <w:r>
        <w:rPr>
          <w:rFonts w:hint="eastAsia" w:ascii="宋体" w:hAnsi="宋体" w:cs="宋体"/>
          <w:sz w:val="24"/>
          <w:highlight w:val="none"/>
        </w:rPr>
        <w:t>第二部分投标人须知前附表规定的备份投标文件送达</w:t>
      </w:r>
      <w:r>
        <w:rPr>
          <w:rFonts w:hint="eastAsia" w:ascii="宋体" w:hAnsi="宋体" w:cs="宋体"/>
          <w:snapToGrid w:val="0"/>
          <w:sz w:val="24"/>
          <w:highlight w:val="none"/>
        </w:rPr>
        <w:t>截止时间之前送达</w:t>
      </w:r>
      <w:r>
        <w:rPr>
          <w:rFonts w:hint="eastAsia" w:ascii="宋体" w:hAnsi="宋体" w:cs="宋体"/>
          <w:sz w:val="24"/>
          <w:highlight w:val="none"/>
        </w:rPr>
        <w:t>招标文件第二部分投标人须知前附表规定的备份投标文件送达地点；</w:t>
      </w:r>
      <w:r>
        <w:rPr>
          <w:rFonts w:hint="eastAsia" w:ascii="宋体" w:hAnsi="宋体" w:cs="宋体"/>
          <w:snapToGrid w:val="0"/>
          <w:sz w:val="24"/>
          <w:highlight w:val="none"/>
        </w:rPr>
        <w:t>送达时间以签收人签收时间为准。采购代理机构将拒绝接受逾期送达的备份投标文件。邮寄过程中，电子备份投标文件发生泄露、遗失、损坏或延期送达等情况的，由投标人自行负责。</w:t>
      </w:r>
    </w:p>
    <w:p w14:paraId="70E78E87">
      <w:pPr>
        <w:pStyle w:val="33"/>
        <w:spacing w:line="360" w:lineRule="auto"/>
        <w:ind w:firstLine="479" w:firstLineChars="199"/>
        <w:rPr>
          <w:rFonts w:hAnsi="宋体" w:cs="宋体"/>
          <w:b/>
          <w:sz w:val="24"/>
          <w:szCs w:val="24"/>
          <w:highlight w:val="none"/>
        </w:rPr>
      </w:pPr>
      <w:r>
        <w:rPr>
          <w:rFonts w:hint="eastAsia" w:hAnsi="宋体" w:cs="宋体"/>
          <w:b/>
          <w:sz w:val="24"/>
          <w:szCs w:val="24"/>
          <w:highlight w:val="none"/>
        </w:rPr>
        <w:t>15.5投标人仅提交备份投标文件，未在电子交易平台传输递交投标文件的，投标无效。</w:t>
      </w:r>
    </w:p>
    <w:p w14:paraId="7E53C46E">
      <w:pPr>
        <w:pStyle w:val="133"/>
        <w:spacing w:before="0"/>
        <w:ind w:firstLine="0" w:firstLineChars="0"/>
        <w:rPr>
          <w:rFonts w:ascii="宋体" w:hAnsi="宋体" w:cs="宋体"/>
          <w:b/>
          <w:szCs w:val="24"/>
          <w:highlight w:val="none"/>
        </w:rPr>
      </w:pPr>
      <w:r>
        <w:rPr>
          <w:rFonts w:hint="eastAsia" w:ascii="宋体" w:hAnsi="宋体" w:cs="宋体"/>
          <w:b/>
          <w:szCs w:val="24"/>
          <w:highlight w:val="none"/>
        </w:rPr>
        <w:t>16.投标文件的无效处理</w:t>
      </w:r>
    </w:p>
    <w:p w14:paraId="6EA3A5AC">
      <w:pPr>
        <w:pStyle w:val="25"/>
        <w:spacing w:line="360" w:lineRule="auto"/>
        <w:ind w:firstLine="360" w:firstLineChars="150"/>
        <w:rPr>
          <w:rFonts w:hint="eastAsia" w:eastAsia="宋体" w:cs="宋体"/>
          <w:szCs w:val="21"/>
          <w:highlight w:val="none"/>
          <w:lang w:eastAsia="zh-CN"/>
        </w:rPr>
      </w:pPr>
      <w:r>
        <w:rPr>
          <w:rFonts w:hint="eastAsia" w:cs="宋体"/>
          <w:szCs w:val="21"/>
          <w:highlight w:val="none"/>
        </w:rPr>
        <w:t>有招标文件第四部分4.2规定的情形之一的，投标无效</w:t>
      </w:r>
      <w:r>
        <w:rPr>
          <w:rFonts w:hint="eastAsia" w:cs="宋体"/>
          <w:szCs w:val="21"/>
          <w:highlight w:val="none"/>
          <w:lang w:eastAsia="zh-CN"/>
        </w:rPr>
        <w:t>。</w:t>
      </w:r>
    </w:p>
    <w:p w14:paraId="17179F1D">
      <w:pPr>
        <w:pStyle w:val="133"/>
        <w:spacing w:before="0"/>
        <w:ind w:firstLine="0" w:firstLineChars="0"/>
        <w:rPr>
          <w:rFonts w:ascii="宋体" w:hAnsi="宋体" w:cs="宋体"/>
          <w:b/>
          <w:szCs w:val="24"/>
          <w:highlight w:val="none"/>
        </w:rPr>
      </w:pPr>
      <w:r>
        <w:rPr>
          <w:rFonts w:hint="eastAsia" w:ascii="宋体" w:hAnsi="宋体" w:cs="宋体"/>
          <w:b/>
          <w:szCs w:val="24"/>
          <w:highlight w:val="none"/>
        </w:rPr>
        <w:t>17.投标有效期</w:t>
      </w:r>
    </w:p>
    <w:p w14:paraId="003FD71B">
      <w:pPr>
        <w:spacing w:line="360" w:lineRule="auto"/>
        <w:ind w:firstLine="480" w:firstLineChars="200"/>
        <w:rPr>
          <w:rFonts w:ascii="宋体" w:hAnsi="宋体" w:cs="宋体"/>
          <w:b/>
          <w:sz w:val="24"/>
          <w:szCs w:val="21"/>
          <w:highlight w:val="none"/>
        </w:rPr>
      </w:pPr>
      <w:r>
        <w:rPr>
          <w:rFonts w:hint="eastAsia" w:ascii="宋体" w:hAnsi="宋体" w:cs="宋体"/>
          <w:sz w:val="24"/>
          <w:szCs w:val="20"/>
          <w:highlight w:val="none"/>
        </w:rPr>
        <w:t>17.1投标有效期为从提交投标文件的截止之日起90天。▲</w:t>
      </w:r>
      <w:r>
        <w:rPr>
          <w:rFonts w:hint="eastAsia" w:ascii="宋体" w:hAnsi="宋体" w:cs="宋体"/>
          <w:b/>
          <w:sz w:val="24"/>
          <w:szCs w:val="20"/>
          <w:highlight w:val="none"/>
        </w:rPr>
        <w:t>投标人的投标文件中承</w:t>
      </w:r>
      <w:r>
        <w:rPr>
          <w:rFonts w:hint="eastAsia" w:ascii="宋体" w:hAnsi="宋体" w:cs="宋体"/>
          <w:b/>
          <w:sz w:val="24"/>
          <w:szCs w:val="21"/>
          <w:highlight w:val="none"/>
        </w:rPr>
        <w:t>诺的投标有效期少于招标文件中载明的投标有效期的，投标无效。</w:t>
      </w:r>
    </w:p>
    <w:p w14:paraId="2C2BE9CC">
      <w:pPr>
        <w:pStyle w:val="133"/>
        <w:spacing w:before="0"/>
        <w:ind w:firstLine="480"/>
        <w:rPr>
          <w:rFonts w:ascii="宋体" w:hAnsi="宋体" w:cs="宋体"/>
          <w:highlight w:val="none"/>
        </w:rPr>
      </w:pPr>
      <w:r>
        <w:rPr>
          <w:rFonts w:hint="eastAsia" w:ascii="宋体" w:hAnsi="宋体" w:cs="宋体"/>
          <w:highlight w:val="none"/>
        </w:rPr>
        <w:t>17.2投标文件合格投递后，自投标截止日期起，在投标有效期内有效。</w:t>
      </w:r>
    </w:p>
    <w:p w14:paraId="2BB4F96D">
      <w:pPr>
        <w:pStyle w:val="133"/>
        <w:spacing w:before="0"/>
        <w:ind w:firstLine="480"/>
        <w:rPr>
          <w:rFonts w:ascii="宋体" w:hAnsi="宋体" w:cs="宋体"/>
          <w:highlight w:val="none"/>
        </w:rPr>
      </w:pPr>
      <w:r>
        <w:rPr>
          <w:rFonts w:hint="eastAsia" w:ascii="宋体" w:hAnsi="宋体" w:cs="宋体"/>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58D182F1">
      <w:pPr>
        <w:pStyle w:val="133"/>
        <w:spacing w:before="0"/>
        <w:ind w:firstLine="653"/>
        <w:rPr>
          <w:rFonts w:ascii="宋体" w:hAnsi="宋体" w:cs="宋体"/>
          <w:b/>
          <w:sz w:val="32"/>
          <w:highlight w:val="none"/>
        </w:rPr>
      </w:pPr>
    </w:p>
    <w:p w14:paraId="7899482A">
      <w:pPr>
        <w:pStyle w:val="133"/>
        <w:spacing w:before="0"/>
        <w:ind w:firstLine="1928" w:firstLineChars="600"/>
        <w:rPr>
          <w:rFonts w:ascii="宋体" w:hAnsi="宋体" w:cs="宋体"/>
          <w:b/>
          <w:sz w:val="32"/>
          <w:highlight w:val="none"/>
        </w:rPr>
      </w:pPr>
      <w:r>
        <w:rPr>
          <w:rFonts w:hint="eastAsia" w:ascii="宋体" w:hAnsi="宋体" w:cs="宋体"/>
          <w:b/>
          <w:sz w:val="32"/>
          <w:highlight w:val="none"/>
        </w:rPr>
        <w:t>四、开标、资格审查与信用信息查询</w:t>
      </w:r>
    </w:p>
    <w:p w14:paraId="2B7273B0">
      <w:pPr>
        <w:pStyle w:val="560"/>
        <w:spacing w:before="0" w:line="360" w:lineRule="auto"/>
        <w:ind w:left="0" w:firstLine="241" w:firstLineChars="100"/>
        <w:contextualSpacing/>
        <w:rPr>
          <w:rFonts w:ascii="宋体" w:hAnsi="宋体" w:cs="宋体"/>
          <w:sz w:val="24"/>
          <w:highlight w:val="none"/>
        </w:rPr>
      </w:pPr>
      <w:r>
        <w:rPr>
          <w:rFonts w:hint="eastAsia" w:ascii="宋体" w:hAnsi="宋体" w:cs="宋体"/>
          <w:b/>
          <w:sz w:val="24"/>
          <w:szCs w:val="24"/>
          <w:highlight w:val="none"/>
        </w:rPr>
        <w:t>18.开标</w:t>
      </w:r>
      <w:r>
        <w:rPr>
          <w:rFonts w:hint="eastAsia" w:ascii="宋体" w:hAnsi="宋体" w:cs="宋体"/>
          <w:sz w:val="24"/>
          <w:highlight w:val="none"/>
        </w:rPr>
        <w:t xml:space="preserve"> </w:t>
      </w:r>
    </w:p>
    <w:p w14:paraId="60CCE726">
      <w:pPr>
        <w:pStyle w:val="560"/>
        <w:spacing w:before="0" w:line="360" w:lineRule="auto"/>
        <w:ind w:left="0" w:firstLine="480" w:firstLineChars="200"/>
        <w:contextualSpacing/>
        <w:rPr>
          <w:rFonts w:ascii="宋体" w:hAnsi="宋体" w:cs="宋体"/>
          <w:sz w:val="24"/>
          <w:highlight w:val="none"/>
        </w:rPr>
      </w:pPr>
      <w:r>
        <w:rPr>
          <w:rFonts w:hint="eastAsia" w:ascii="宋体" w:hAnsi="宋体" w:cs="宋体"/>
          <w:sz w:val="24"/>
          <w:highlight w:val="none"/>
        </w:rPr>
        <w:t>18.1采购代理机构按照招标文件规定的时间通过电子交易平台组织开标，所有投标人均应当准时在线参加。投标人不足3家的，不得开标。</w:t>
      </w:r>
    </w:p>
    <w:p w14:paraId="2FCC9032">
      <w:pPr>
        <w:pStyle w:val="560"/>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55C49D83">
      <w:pPr>
        <w:pStyle w:val="560"/>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18.2.1具体开标程序：</w:t>
      </w:r>
    </w:p>
    <w:p w14:paraId="72DB9223">
      <w:pPr>
        <w:pStyle w:val="560"/>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第一阶段：</w:t>
      </w:r>
    </w:p>
    <w:p w14:paraId="6C8249F7">
      <w:pPr>
        <w:pStyle w:val="560"/>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投标截止时间后，供应商登录政府采购云平台，用“项目采购</w:t>
      </w:r>
      <w:r>
        <w:rPr>
          <w:rFonts w:hint="eastAsia" w:ascii="宋体" w:hAnsi="宋体" w:cs="宋体"/>
          <w:sz w:val="24"/>
          <w:highlight w:val="none"/>
          <w:lang w:eastAsia="zh-CN"/>
        </w:rPr>
        <w:t>－</w:t>
      </w:r>
      <w:r>
        <w:rPr>
          <w:rFonts w:hint="eastAsia" w:ascii="宋体" w:hAnsi="宋体" w:cs="宋体"/>
          <w:sz w:val="24"/>
          <w:highlight w:val="none"/>
        </w:rPr>
        <w:t>开标评标”功能对电子投标文件进行在线解密，在线解密电子投标文件时间为开标时间后30分钟内。</w:t>
      </w:r>
    </w:p>
    <w:p w14:paraId="5D5C6F4E">
      <w:pPr>
        <w:pStyle w:val="560"/>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在政府采购云平台开启已解密供应商的“资格文件、商务技术文件”，并做开标记录；</w:t>
      </w:r>
    </w:p>
    <w:p w14:paraId="3E26F6CD">
      <w:pPr>
        <w:pStyle w:val="560"/>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第二阶段：</w:t>
      </w:r>
    </w:p>
    <w:p w14:paraId="77D6ECC9">
      <w:pPr>
        <w:pStyle w:val="560"/>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（1）在政府采购云平台宣告第一阶段评审无效供应商名单及理由；</w:t>
      </w:r>
    </w:p>
    <w:p w14:paraId="0B46E4D1">
      <w:pPr>
        <w:pStyle w:val="560"/>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（2）公布经第一阶段评审符合招标文件要求的供应商的商务技术得分情况；</w:t>
      </w:r>
    </w:p>
    <w:p w14:paraId="39C4DAE7">
      <w:pPr>
        <w:pStyle w:val="560"/>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（3）在政府采购云平台开启除第一阶段无效标外的供应商的“报价文件”，并做开标记录；</w:t>
      </w:r>
    </w:p>
    <w:p w14:paraId="500E9381">
      <w:pPr>
        <w:pStyle w:val="560"/>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（4）在政府采购云平台公布评审结果。</w:t>
      </w:r>
    </w:p>
    <w:p w14:paraId="5A3D8F8F">
      <w:pPr>
        <w:pStyle w:val="560"/>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（5）开标会议结束。</w:t>
      </w:r>
    </w:p>
    <w:p w14:paraId="06B936AC">
      <w:pPr>
        <w:pStyle w:val="560"/>
        <w:spacing w:before="0" w:line="360" w:lineRule="auto"/>
        <w:ind w:left="0" w:firstLine="240" w:firstLineChars="100"/>
        <w:contextualSpacing/>
        <w:rPr>
          <w:rFonts w:ascii="宋体" w:hAnsi="宋体" w:cs="宋体"/>
          <w:b/>
          <w:sz w:val="24"/>
          <w:highlight w:val="none"/>
        </w:rPr>
      </w:pPr>
      <w:r>
        <w:rPr>
          <w:rFonts w:hint="eastAsia" w:ascii="宋体" w:hAnsi="宋体" w:cs="宋体"/>
          <w:sz w:val="24"/>
          <w:highlight w:val="none"/>
        </w:rPr>
        <w:t>　18.3</w:t>
      </w:r>
      <w:r>
        <w:rPr>
          <w:rFonts w:hint="eastAsia" w:ascii="宋体" w:hAnsi="宋体" w:cs="宋体"/>
          <w:b/>
          <w:sz w:val="24"/>
          <w:highlight w:val="none"/>
        </w:rPr>
        <w:t>投标文件未按时解密，投标人提供了备份投标文件的，以备份投标文件作为依据，否则视为投标文件撤回。投标文件已按时解密的，备份投标文件自动失效。</w:t>
      </w:r>
    </w:p>
    <w:p w14:paraId="0A73102C">
      <w:pPr>
        <w:widowControl/>
        <w:spacing w:before="100" w:beforeAutospacing="1" w:after="240" w:line="360" w:lineRule="auto"/>
        <w:jc w:val="left"/>
        <w:rPr>
          <w:rFonts w:ascii="宋体" w:hAnsi="宋体" w:cs="宋体"/>
          <w:b/>
          <w:sz w:val="24"/>
          <w:szCs w:val="20"/>
          <w:highlight w:val="none"/>
        </w:rPr>
      </w:pPr>
      <w:r>
        <w:rPr>
          <w:rFonts w:hint="eastAsia" w:ascii="宋体" w:hAnsi="宋体" w:cs="宋体"/>
          <w:b/>
          <w:sz w:val="24"/>
          <w:szCs w:val="20"/>
          <w:highlight w:val="none"/>
        </w:rPr>
        <w:t>　19、资格审查</w:t>
      </w:r>
    </w:p>
    <w:p w14:paraId="7B40177C">
      <w:pPr>
        <w:snapToGrid w:val="0"/>
        <w:spacing w:line="360" w:lineRule="auto"/>
        <w:ind w:firstLine="480" w:firstLineChars="200"/>
        <w:rPr>
          <w:rFonts w:ascii="宋体" w:hAnsi="宋体" w:cs="宋体"/>
          <w:sz w:val="24"/>
          <w:highlight w:val="none"/>
        </w:rPr>
      </w:pPr>
      <w:r>
        <w:rPr>
          <w:rFonts w:hint="eastAsia" w:ascii="宋体" w:hAnsi="宋体" w:cs="宋体"/>
          <w:kern w:val="0"/>
          <w:sz w:val="24"/>
          <w:highlight w:val="none"/>
        </w:rPr>
        <w:t>19.1</w:t>
      </w:r>
      <w:r>
        <w:rPr>
          <w:rFonts w:hint="eastAsia" w:ascii="宋体" w:hAnsi="宋体" w:cs="宋体"/>
          <w:sz w:val="24"/>
          <w:highlight w:val="none"/>
        </w:rPr>
        <w:t>采购人或采购代理机构依据法律法规和招标文件的规定，对投标人的资格进行审查。</w:t>
      </w:r>
    </w:p>
    <w:p w14:paraId="64D1F664">
      <w:pPr>
        <w:pStyle w:val="133"/>
        <w:spacing w:before="0"/>
        <w:ind w:firstLine="480"/>
        <w:rPr>
          <w:rFonts w:ascii="宋体" w:hAnsi="宋体" w:cs="宋体"/>
          <w:highlight w:val="none"/>
        </w:rPr>
      </w:pPr>
      <w:r>
        <w:rPr>
          <w:rFonts w:hint="eastAsia" w:ascii="宋体" w:hAnsi="宋体" w:cs="宋体"/>
          <w:kern w:val="0"/>
          <w:szCs w:val="24"/>
          <w:highlight w:val="none"/>
        </w:rPr>
        <w:t>19.2投标人未按照招标文件要求提供与</w:t>
      </w:r>
      <w:r>
        <w:rPr>
          <w:rFonts w:hint="eastAsia" w:ascii="宋体" w:hAnsi="宋体" w:cs="宋体"/>
          <w:highlight w:val="none"/>
        </w:rPr>
        <w:t>资格条件相应的</w:t>
      </w:r>
      <w:r>
        <w:rPr>
          <w:rFonts w:hint="eastAsia" w:ascii="宋体" w:hAnsi="宋体" w:cs="宋体"/>
          <w:kern w:val="0"/>
          <w:szCs w:val="24"/>
          <w:highlight w:val="none"/>
        </w:rPr>
        <w:t>有效资格证明材料的，视为</w:t>
      </w:r>
      <w:r>
        <w:rPr>
          <w:rFonts w:hint="eastAsia" w:ascii="宋体" w:hAnsi="宋体" w:cs="宋体"/>
          <w:highlight w:val="none"/>
        </w:rPr>
        <w:t>投标人不具备招标文件中规定的资格要求，其投标无效。</w:t>
      </w:r>
    </w:p>
    <w:p w14:paraId="65E64E64">
      <w:pPr>
        <w:pStyle w:val="133"/>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3对未通过资格审查的投标人，采购人或采购代理机构告知其未通过的原因。</w:t>
      </w:r>
    </w:p>
    <w:p w14:paraId="4F5A3A07">
      <w:pPr>
        <w:pStyle w:val="133"/>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4合格投标人不足3家的，不再评标。</w:t>
      </w:r>
    </w:p>
    <w:p w14:paraId="5371075E">
      <w:pPr>
        <w:pStyle w:val="133"/>
        <w:spacing w:before="0"/>
        <w:ind w:firstLine="0" w:firstLineChars="0"/>
        <w:rPr>
          <w:rFonts w:ascii="宋体" w:hAnsi="宋体" w:cs="宋体"/>
          <w:b/>
          <w:szCs w:val="24"/>
          <w:highlight w:val="none"/>
        </w:rPr>
      </w:pPr>
      <w:r>
        <w:rPr>
          <w:rFonts w:hint="eastAsia" w:ascii="宋体" w:hAnsi="宋体" w:cs="宋体"/>
          <w:b/>
          <w:szCs w:val="24"/>
          <w:highlight w:val="none"/>
        </w:rPr>
        <w:t>20、信用信息查询</w:t>
      </w:r>
    </w:p>
    <w:p w14:paraId="32347F69">
      <w:pPr>
        <w:pStyle w:val="133"/>
        <w:spacing w:before="0"/>
        <w:ind w:firstLine="495" w:firstLineChars="0"/>
        <w:rPr>
          <w:rFonts w:ascii="宋体" w:hAnsi="宋体" w:cs="宋体"/>
          <w:kern w:val="0"/>
          <w:szCs w:val="24"/>
          <w:highlight w:val="none"/>
        </w:rPr>
      </w:pPr>
      <w:r>
        <w:rPr>
          <w:rFonts w:hint="eastAsia" w:ascii="宋体" w:hAnsi="宋体" w:cs="宋体"/>
          <w:kern w:val="0"/>
          <w:szCs w:val="24"/>
          <w:highlight w:val="none"/>
        </w:rPr>
        <w:t>20.1信用信息查询渠道及截止时间：采购代理机构将在资格审查时通过“信用中国”网站</w:t>
      </w:r>
      <w:r>
        <w:rPr>
          <w:rFonts w:hint="eastAsia" w:ascii="宋体" w:hAnsi="宋体" w:cs="宋体"/>
          <w:kern w:val="0"/>
          <w:szCs w:val="24"/>
          <w:highlight w:val="none"/>
          <w:lang w:eastAsia="zh-CN"/>
        </w:rPr>
        <w:t>（</w:t>
      </w:r>
      <w:r>
        <w:rPr>
          <w:rFonts w:hint="eastAsia" w:ascii="宋体" w:hAnsi="宋体" w:cs="宋体"/>
          <w:kern w:val="0"/>
          <w:szCs w:val="24"/>
          <w:highlight w:val="none"/>
        </w:rPr>
        <w:t>www.creditchina.gov.cn</w:t>
      </w:r>
      <w:r>
        <w:rPr>
          <w:rFonts w:hint="eastAsia" w:ascii="宋体" w:hAnsi="宋体" w:cs="宋体"/>
          <w:kern w:val="0"/>
          <w:szCs w:val="24"/>
          <w:highlight w:val="none"/>
          <w:lang w:eastAsia="zh-CN"/>
        </w:rPr>
        <w:t>）</w:t>
      </w:r>
      <w:r>
        <w:rPr>
          <w:rFonts w:hint="eastAsia" w:ascii="宋体" w:hAnsi="宋体" w:cs="宋体"/>
          <w:kern w:val="0"/>
          <w:szCs w:val="24"/>
          <w:highlight w:val="none"/>
        </w:rPr>
        <w:t>、中国政府采购网</w:t>
      </w:r>
      <w:r>
        <w:rPr>
          <w:rFonts w:hint="eastAsia" w:ascii="宋体" w:hAnsi="宋体" w:cs="宋体"/>
          <w:kern w:val="0"/>
          <w:szCs w:val="24"/>
          <w:highlight w:val="none"/>
          <w:lang w:eastAsia="zh-CN"/>
        </w:rPr>
        <w:t>（</w:t>
      </w:r>
      <w:r>
        <w:rPr>
          <w:rFonts w:hint="eastAsia" w:ascii="宋体" w:hAnsi="宋体" w:cs="宋体"/>
          <w:kern w:val="0"/>
          <w:szCs w:val="24"/>
          <w:highlight w:val="none"/>
        </w:rPr>
        <w:t>www.ccgp.gov.cn</w:t>
      </w:r>
      <w:r>
        <w:rPr>
          <w:rFonts w:hint="eastAsia" w:ascii="宋体" w:hAnsi="宋体" w:cs="宋体"/>
          <w:kern w:val="0"/>
          <w:szCs w:val="24"/>
          <w:highlight w:val="none"/>
          <w:lang w:eastAsia="zh-CN"/>
        </w:rPr>
        <w:t>）</w:t>
      </w:r>
      <w:r>
        <w:rPr>
          <w:rFonts w:hint="eastAsia" w:ascii="宋体" w:hAnsi="宋体" w:cs="宋体"/>
          <w:kern w:val="0"/>
          <w:szCs w:val="24"/>
          <w:highlight w:val="none"/>
        </w:rPr>
        <w:t>渠道查询投标人接受资格时的信用记录。</w:t>
      </w:r>
    </w:p>
    <w:p w14:paraId="2308A5F4">
      <w:pPr>
        <w:pStyle w:val="133"/>
        <w:spacing w:before="0"/>
        <w:ind w:firstLine="495" w:firstLineChars="0"/>
        <w:rPr>
          <w:rFonts w:ascii="宋体" w:hAnsi="宋体" w:cs="宋体"/>
          <w:kern w:val="0"/>
          <w:szCs w:val="24"/>
          <w:highlight w:val="none"/>
        </w:rPr>
      </w:pPr>
      <w:r>
        <w:rPr>
          <w:rFonts w:hint="eastAsia" w:ascii="宋体" w:hAnsi="宋体" w:cs="宋体"/>
          <w:kern w:val="0"/>
          <w:szCs w:val="24"/>
          <w:highlight w:val="none"/>
        </w:rPr>
        <w:t>20.2信用信息查询记录和证据留存的具体方式：现场查询的投标人的信用记录、查询结果经确认后将与采购文件一起存档。</w:t>
      </w:r>
    </w:p>
    <w:p w14:paraId="1DD34E12">
      <w:pPr>
        <w:pStyle w:val="133"/>
        <w:spacing w:before="0"/>
        <w:ind w:firstLine="495" w:firstLineChars="0"/>
        <w:rPr>
          <w:rFonts w:ascii="宋体" w:hAnsi="宋体" w:cs="宋体"/>
          <w:kern w:val="0"/>
          <w:szCs w:val="24"/>
          <w:highlight w:val="none"/>
        </w:rPr>
      </w:pPr>
      <w:r>
        <w:rPr>
          <w:rFonts w:hint="eastAsia" w:ascii="宋体" w:hAnsi="宋体" w:cs="宋体"/>
          <w:kern w:val="0"/>
          <w:szCs w:val="24"/>
          <w:highlight w:val="none"/>
        </w:rPr>
        <w:t>20.3信用信息的使用规则：经查询列入失信被执行人名单、重大税收违法案件当事人名单（重大税收违法失信主体）、政府采购严重违法失信行为记录名单的投标人将被拒绝参与政府采购活动。</w:t>
      </w:r>
    </w:p>
    <w:p w14:paraId="4E66C681">
      <w:pPr>
        <w:pStyle w:val="133"/>
        <w:spacing w:before="0"/>
        <w:ind w:firstLine="480"/>
        <w:rPr>
          <w:rFonts w:ascii="宋体" w:hAnsi="宋体" w:cs="宋体"/>
          <w:highlight w:val="none"/>
        </w:rPr>
      </w:pPr>
      <w:r>
        <w:rPr>
          <w:rFonts w:hint="eastAsia" w:ascii="宋体" w:hAnsi="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highlight w:val="none"/>
        </w:rPr>
        <w:t>。</w:t>
      </w:r>
    </w:p>
    <w:p w14:paraId="57DA2505">
      <w:pPr>
        <w:pStyle w:val="133"/>
        <w:spacing w:before="0"/>
        <w:ind w:firstLine="0" w:firstLineChars="0"/>
        <w:rPr>
          <w:rFonts w:ascii="宋体" w:hAnsi="宋体" w:cs="宋体"/>
          <w:kern w:val="0"/>
          <w:szCs w:val="24"/>
          <w:highlight w:val="none"/>
        </w:rPr>
      </w:pPr>
    </w:p>
    <w:p w14:paraId="66CB08B5">
      <w:pPr>
        <w:snapToGrid w:val="0"/>
        <w:spacing w:line="360" w:lineRule="auto"/>
        <w:jc w:val="center"/>
        <w:outlineLvl w:val="0"/>
        <w:rPr>
          <w:rFonts w:ascii="宋体" w:hAnsi="宋体" w:cs="宋体"/>
          <w:b/>
          <w:sz w:val="36"/>
          <w:szCs w:val="36"/>
          <w:highlight w:val="none"/>
        </w:rPr>
      </w:pPr>
      <w:bookmarkStart w:id="20" w:name="_Toc132"/>
      <w:r>
        <w:rPr>
          <w:rFonts w:hint="eastAsia" w:ascii="宋体" w:hAnsi="宋体" w:cs="宋体"/>
          <w:b/>
          <w:sz w:val="36"/>
          <w:szCs w:val="36"/>
          <w:highlight w:val="none"/>
        </w:rPr>
        <w:t>五、评标</w:t>
      </w:r>
      <w:bookmarkEnd w:id="20"/>
    </w:p>
    <w:p w14:paraId="1619E412">
      <w:pPr>
        <w:spacing w:line="360" w:lineRule="auto"/>
        <w:rPr>
          <w:rFonts w:ascii="宋体" w:hAnsi="宋体" w:cs="宋体"/>
          <w:b/>
          <w:sz w:val="24"/>
          <w:highlight w:val="none"/>
        </w:rPr>
      </w:pPr>
      <w:bookmarkStart w:id="21" w:name="_Toc91899903"/>
      <w:r>
        <w:rPr>
          <w:rFonts w:hint="eastAsia" w:ascii="宋体" w:hAnsi="宋体" w:cs="宋体"/>
          <w:b/>
          <w:sz w:val="24"/>
          <w:highlight w:val="none"/>
        </w:rPr>
        <w:t>21.</w:t>
      </w:r>
      <w:r>
        <w:rPr>
          <w:rFonts w:hint="eastAsia" w:ascii="宋体" w:hAnsi="宋体" w:cs="宋体"/>
          <w:highlight w:val="none"/>
        </w:rPr>
        <w:t xml:space="preserve"> </w:t>
      </w:r>
      <w:r>
        <w:rPr>
          <w:rFonts w:hint="eastAsia" w:ascii="宋体" w:hAnsi="宋体" w:cs="宋体"/>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highlight w:val="none"/>
        </w:rPr>
        <w:t>详见招标文件第四部分评标办法。</w:t>
      </w:r>
    </w:p>
    <w:p w14:paraId="7A4F319F">
      <w:pPr>
        <w:spacing w:line="360" w:lineRule="auto"/>
        <w:rPr>
          <w:rFonts w:ascii="宋体" w:hAnsi="宋体" w:cs="宋体"/>
          <w:b/>
          <w:sz w:val="24"/>
          <w:highlight w:val="none"/>
        </w:rPr>
      </w:pPr>
    </w:p>
    <w:p w14:paraId="4B2F8B9C">
      <w:pPr>
        <w:snapToGrid w:val="0"/>
        <w:spacing w:line="360" w:lineRule="auto"/>
        <w:jc w:val="center"/>
        <w:outlineLvl w:val="0"/>
        <w:rPr>
          <w:rFonts w:ascii="宋体" w:hAnsi="宋体" w:cs="宋体"/>
          <w:b/>
          <w:sz w:val="36"/>
          <w:szCs w:val="36"/>
          <w:highlight w:val="none"/>
        </w:rPr>
      </w:pPr>
      <w:bookmarkStart w:id="22" w:name="_Toc25823"/>
      <w:r>
        <w:rPr>
          <w:rFonts w:hint="eastAsia" w:ascii="宋体" w:hAnsi="宋体" w:cs="宋体"/>
          <w:b/>
          <w:sz w:val="36"/>
          <w:szCs w:val="36"/>
          <w:highlight w:val="none"/>
        </w:rPr>
        <w:t>六、定 标</w:t>
      </w:r>
      <w:bookmarkEnd w:id="22"/>
    </w:p>
    <w:p w14:paraId="7A0BBA42">
      <w:pPr>
        <w:pStyle w:val="25"/>
        <w:spacing w:line="360" w:lineRule="auto"/>
        <w:ind w:left="487" w:hanging="479" w:hangingChars="199"/>
        <w:rPr>
          <w:rFonts w:cs="宋体"/>
          <w:b/>
          <w:highlight w:val="none"/>
        </w:rPr>
      </w:pPr>
      <w:r>
        <w:rPr>
          <w:rFonts w:hint="eastAsia" w:cs="宋体"/>
          <w:b/>
          <w:highlight w:val="none"/>
        </w:rPr>
        <w:t>22. 确定中标人（</w:t>
      </w:r>
      <w:r>
        <w:rPr>
          <w:rFonts w:hint="eastAsia" w:cs="宋体"/>
          <w:b/>
          <w:highlight w:val="none"/>
          <w:lang w:val="en-US" w:eastAsia="zh-CN"/>
        </w:rPr>
        <w:t>本项目</w:t>
      </w:r>
      <w:r>
        <w:rPr>
          <w:rFonts w:hint="eastAsia" w:cs="宋体"/>
          <w:b/>
          <w:highlight w:val="none"/>
        </w:rPr>
        <w:t>确定</w:t>
      </w:r>
      <w:r>
        <w:rPr>
          <w:rFonts w:hint="eastAsia" w:cs="宋体"/>
          <w:b/>
          <w:highlight w:val="none"/>
          <w:lang w:val="en-US" w:eastAsia="zh-CN"/>
        </w:rPr>
        <w:t>1</w:t>
      </w:r>
      <w:r>
        <w:rPr>
          <w:rFonts w:hint="eastAsia" w:cs="宋体"/>
          <w:b/>
          <w:highlight w:val="none"/>
        </w:rPr>
        <w:t>位中标人）</w:t>
      </w:r>
    </w:p>
    <w:p w14:paraId="2EF566F8">
      <w:pPr>
        <w:pStyle w:val="133"/>
        <w:snapToGrid w:val="0"/>
        <w:spacing w:before="0"/>
        <w:ind w:firstLine="480"/>
        <w:rPr>
          <w:rFonts w:ascii="宋体" w:hAnsi="宋体" w:cs="宋体"/>
          <w:b/>
          <w:szCs w:val="24"/>
          <w:highlight w:val="none"/>
        </w:rPr>
      </w:pPr>
      <w:r>
        <w:rPr>
          <w:rFonts w:hint="eastAsia" w:ascii="宋体" w:hAnsi="宋体" w:cs="宋体"/>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177C0EA4">
      <w:pPr>
        <w:pStyle w:val="133"/>
        <w:snapToGrid w:val="0"/>
        <w:spacing w:before="0"/>
        <w:ind w:firstLine="0" w:firstLineChars="0"/>
        <w:rPr>
          <w:rFonts w:ascii="宋体" w:hAnsi="宋体" w:cs="宋体"/>
          <w:b/>
          <w:szCs w:val="24"/>
          <w:highlight w:val="none"/>
        </w:rPr>
      </w:pPr>
      <w:r>
        <w:rPr>
          <w:rFonts w:hint="eastAsia" w:ascii="宋体" w:hAnsi="宋体" w:cs="宋体"/>
          <w:b/>
          <w:szCs w:val="24"/>
          <w:highlight w:val="none"/>
        </w:rPr>
        <w:t>23. 中标通知与中标结果公告</w:t>
      </w:r>
    </w:p>
    <w:p w14:paraId="0D4A5531">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23.1自中标人确定之日起2个工作日内，采购代理机构通过电子交易平台向中标人发出中标通知书，同时编制发布采购结果公告。</w:t>
      </w:r>
    </w:p>
    <w:p w14:paraId="77B2E155">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23.2中标结果公告内容包括采购人及其委托的采购代理机构的名称、地址、联系方式，项目名称和项目编号，中标人名称、地址和中标金额，主要中标标的的名称、服务范围、服务要求、服务时间、服务标准，开标记录、</w:t>
      </w:r>
      <w:bookmarkStart w:id="23" w:name="_Hlk101184471"/>
      <w:r>
        <w:rPr>
          <w:rFonts w:hint="eastAsia" w:ascii="宋体" w:hAnsi="宋体" w:cs="宋体"/>
          <w:sz w:val="24"/>
          <w:highlight w:val="none"/>
        </w:rPr>
        <w:t>资格审查情况、评审专家抽取规则、符合性审查情况、</w:t>
      </w:r>
      <w:bookmarkEnd w:id="23"/>
      <w:r>
        <w:rPr>
          <w:rFonts w:hint="eastAsia" w:ascii="宋体" w:hAnsi="宋体" w:cs="宋体"/>
          <w:sz w:val="24"/>
          <w:highlight w:val="none"/>
        </w:rPr>
        <w:t>未中标情况说明、中标公告期限以及评审专家名单、评分汇总及明细。</w:t>
      </w:r>
    </w:p>
    <w:p w14:paraId="247B8459">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23.3公告期限为1个工作日。</w:t>
      </w:r>
    </w:p>
    <w:p w14:paraId="31911796">
      <w:pPr>
        <w:snapToGrid w:val="0"/>
        <w:spacing w:line="360" w:lineRule="auto"/>
        <w:ind w:left="120" w:leftChars="57" w:firstLine="482" w:firstLineChars="150"/>
        <w:jc w:val="center"/>
        <w:rPr>
          <w:rFonts w:ascii="宋体" w:hAnsi="宋体" w:cs="宋体"/>
          <w:b/>
          <w:sz w:val="32"/>
          <w:highlight w:val="none"/>
        </w:rPr>
      </w:pPr>
    </w:p>
    <w:p w14:paraId="26429363">
      <w:pPr>
        <w:snapToGrid w:val="0"/>
        <w:spacing w:line="360" w:lineRule="auto"/>
        <w:ind w:left="120" w:leftChars="57" w:firstLine="482" w:firstLineChars="150"/>
        <w:jc w:val="center"/>
        <w:rPr>
          <w:rFonts w:ascii="宋体" w:hAnsi="宋体" w:cs="宋体"/>
          <w:b/>
          <w:sz w:val="32"/>
          <w:highlight w:val="none"/>
        </w:rPr>
      </w:pPr>
      <w:r>
        <w:rPr>
          <w:rFonts w:hint="eastAsia" w:ascii="宋体" w:hAnsi="宋体" w:cs="宋体"/>
          <w:b/>
          <w:sz w:val="32"/>
          <w:highlight w:val="none"/>
        </w:rPr>
        <w:t>七、合同授予</w:t>
      </w:r>
    </w:p>
    <w:p w14:paraId="631CF1CA">
      <w:pPr>
        <w:pStyle w:val="25"/>
        <w:spacing w:line="360" w:lineRule="auto"/>
        <w:ind w:left="487" w:hanging="479" w:hangingChars="199"/>
        <w:rPr>
          <w:rFonts w:cs="宋体"/>
          <w:b/>
          <w:highlight w:val="none"/>
        </w:rPr>
      </w:pPr>
      <w:r>
        <w:rPr>
          <w:rFonts w:hint="eastAsia" w:cs="宋体"/>
          <w:b/>
          <w:highlight w:val="none"/>
        </w:rPr>
        <w:t xml:space="preserve">24. </w:t>
      </w:r>
      <w:r>
        <w:rPr>
          <w:rFonts w:hint="eastAsia" w:cs="宋体"/>
          <w:highlight w:val="none"/>
        </w:rPr>
        <w:t>合同主要条款详见第五部分拟签订的合同文本。</w:t>
      </w:r>
    </w:p>
    <w:p w14:paraId="6874AE65">
      <w:pPr>
        <w:pStyle w:val="25"/>
        <w:spacing w:line="360" w:lineRule="auto"/>
        <w:ind w:left="487" w:hanging="479" w:hangingChars="199"/>
        <w:rPr>
          <w:rFonts w:cs="宋体"/>
          <w:b/>
          <w:highlight w:val="none"/>
        </w:rPr>
      </w:pPr>
      <w:r>
        <w:rPr>
          <w:rFonts w:hint="eastAsia" w:cs="宋体"/>
          <w:b/>
          <w:highlight w:val="none"/>
        </w:rPr>
        <w:t>25. 合同的签订</w:t>
      </w:r>
    </w:p>
    <w:p w14:paraId="5F5334A0">
      <w:pPr>
        <w:widowControl/>
        <w:shd w:val="clear" w:color="auto" w:fill="FFFFFF"/>
        <w:spacing w:line="360" w:lineRule="auto"/>
        <w:ind w:firstLine="480"/>
        <w:jc w:val="left"/>
        <w:rPr>
          <w:rFonts w:ascii="宋体" w:hAnsi="宋体" w:cs="宋体"/>
          <w:kern w:val="0"/>
          <w:sz w:val="24"/>
          <w:highlight w:val="none"/>
        </w:rPr>
      </w:pPr>
      <w:r>
        <w:rPr>
          <w:rFonts w:hint="eastAsia" w:ascii="宋体" w:hAnsi="宋体" w:cs="宋体"/>
          <w:sz w:val="24"/>
          <w:highlight w:val="none"/>
        </w:rPr>
        <w:t>25.1</w:t>
      </w:r>
      <w:r>
        <w:rPr>
          <w:rFonts w:hint="eastAsia" w:ascii="宋体" w:hAnsi="宋体" w:cs="宋体"/>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w:t>
      </w:r>
    </w:p>
    <w:p w14:paraId="1616D976">
      <w:pPr>
        <w:pStyle w:val="133"/>
        <w:snapToGrid w:val="0"/>
        <w:spacing w:before="0"/>
        <w:ind w:firstLine="480"/>
        <w:rPr>
          <w:rFonts w:ascii="宋体" w:hAnsi="宋体" w:cs="宋体"/>
          <w:kern w:val="0"/>
          <w:highlight w:val="none"/>
        </w:rPr>
      </w:pPr>
      <w:r>
        <w:rPr>
          <w:rFonts w:hint="eastAsia" w:ascii="宋体" w:hAnsi="宋体" w:cs="宋体"/>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5A13699">
      <w:pPr>
        <w:pStyle w:val="133"/>
        <w:snapToGrid w:val="0"/>
        <w:spacing w:before="0"/>
        <w:ind w:firstLine="480"/>
        <w:rPr>
          <w:rFonts w:ascii="宋体" w:hAnsi="宋体" w:cs="宋体"/>
          <w:highlight w:val="none"/>
        </w:rPr>
      </w:pPr>
      <w:r>
        <w:rPr>
          <w:rFonts w:hint="eastAsia" w:ascii="宋体" w:hAnsi="宋体" w:cs="宋体"/>
          <w:highlight w:val="none"/>
        </w:rPr>
        <w:t>25.3如签订合同并生效后，采购人无故拒绝或延期，除按照合同条款处理外，列入不良行为记录一次，并给予通报。</w:t>
      </w:r>
    </w:p>
    <w:p w14:paraId="14B83DF0">
      <w:pPr>
        <w:pStyle w:val="133"/>
        <w:snapToGrid w:val="0"/>
        <w:spacing w:before="0"/>
        <w:ind w:firstLine="480"/>
        <w:rPr>
          <w:rFonts w:ascii="宋体" w:hAnsi="宋体" w:cs="宋体"/>
          <w:highlight w:val="none"/>
        </w:rPr>
      </w:pPr>
      <w:r>
        <w:rPr>
          <w:rFonts w:hint="eastAsia" w:ascii="宋体" w:hAnsi="宋体" w:cs="宋体"/>
          <w:highlight w:val="none"/>
        </w:rPr>
        <w:t>25.4中标人拒绝与采购人签订合同的，采购人可以按照评审报告推荐的中标或者成交候选人名单排序，确定下一候选人为中标人，也可以重新开展政府采购活动。</w:t>
      </w:r>
    </w:p>
    <w:p w14:paraId="7B2CD60F">
      <w:pPr>
        <w:pStyle w:val="133"/>
        <w:snapToGrid w:val="0"/>
        <w:spacing w:before="0" w:after="120"/>
        <w:ind w:firstLine="480"/>
        <w:rPr>
          <w:rFonts w:ascii="宋体" w:hAnsi="宋体" w:cs="宋体"/>
          <w:highlight w:val="none"/>
        </w:rPr>
      </w:pPr>
      <w:r>
        <w:rPr>
          <w:rFonts w:hint="eastAsia" w:ascii="宋体" w:hAnsi="宋体" w:cs="宋体"/>
          <w:highlight w:val="none"/>
        </w:rPr>
        <w:t>25.5采购合同由采购人与中标人根据招标文件、投标文件等内容通过政府采购电子交易平台在线签订，自动备案。（由采购人自行选择线上签订或线下签订）</w:t>
      </w:r>
    </w:p>
    <w:p w14:paraId="021CEE4C">
      <w:pPr>
        <w:pStyle w:val="25"/>
        <w:spacing w:line="360" w:lineRule="auto"/>
        <w:ind w:left="487" w:hanging="479" w:hangingChars="199"/>
        <w:rPr>
          <w:rFonts w:cs="宋体"/>
          <w:b/>
          <w:highlight w:val="none"/>
        </w:rPr>
      </w:pPr>
      <w:r>
        <w:rPr>
          <w:rFonts w:hint="eastAsia" w:cs="宋体"/>
          <w:b/>
          <w:highlight w:val="none"/>
        </w:rPr>
        <w:t>26. 履约保证金</w:t>
      </w:r>
    </w:p>
    <w:p w14:paraId="2AEE7BDA">
      <w:pPr>
        <w:tabs>
          <w:tab w:val="left" w:pos="0"/>
        </w:tabs>
        <w:spacing w:line="360" w:lineRule="auto"/>
        <w:ind w:firstLine="482"/>
        <w:rPr>
          <w:rFonts w:ascii="宋体" w:hAnsi="宋体" w:cs="宋体"/>
          <w:sz w:val="24"/>
          <w:highlight w:val="none"/>
        </w:rPr>
      </w:pPr>
      <w:r>
        <w:rPr>
          <w:rFonts w:hint="eastAsia" w:ascii="宋体" w:hAnsi="宋体" w:cs="宋体"/>
          <w:kern w:val="0"/>
          <w:sz w:val="24"/>
          <w:highlight w:val="none"/>
        </w:rPr>
        <w:t>拟签订的合同文本要求中标人提交履约保证金的，供应商应当以支票、汇票、本票或者金融机构、担保机构出具的保函等非现金形式提交</w:t>
      </w:r>
      <w:r>
        <w:rPr>
          <w:rFonts w:hint="eastAsia" w:ascii="宋体" w:hAnsi="宋体" w:cs="宋体"/>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1A12346A">
      <w:pPr>
        <w:pStyle w:val="3"/>
        <w:ind w:left="0" w:firstLine="480" w:firstLineChars="200"/>
        <w:rPr>
          <w:rFonts w:ascii="宋体" w:hAnsi="宋体" w:eastAsia="宋体" w:cs="宋体"/>
          <w:b w:val="0"/>
          <w:bCs w:val="0"/>
          <w:snapToGrid w:val="0"/>
          <w:kern w:val="28"/>
          <w:sz w:val="24"/>
          <w:highlight w:val="none"/>
        </w:rPr>
      </w:pPr>
      <w:r>
        <w:rPr>
          <w:rFonts w:hint="eastAsia" w:ascii="宋体" w:hAnsi="宋体" w:eastAsia="宋体" w:cs="宋体"/>
          <w:b w:val="0"/>
          <w:bCs w:val="0"/>
          <w:snapToGrid w:val="0"/>
          <w:kern w:val="28"/>
          <w:sz w:val="24"/>
          <w:highlight w:val="none"/>
        </w:rPr>
        <w:t>供应商</w:t>
      </w:r>
      <w:r>
        <w:rPr>
          <w:rFonts w:hint="eastAsia" w:ascii="宋体" w:hAnsi="宋体" w:eastAsia="宋体" w:cs="宋体"/>
          <w:b w:val="0"/>
          <w:bCs w:val="0"/>
          <w:snapToGrid w:val="0"/>
          <w:kern w:val="28"/>
          <w:sz w:val="24"/>
          <w:highlight w:val="none"/>
          <w:lang w:val="en-US"/>
        </w:rPr>
        <w:t>可</w:t>
      </w:r>
      <w:r>
        <w:rPr>
          <w:rFonts w:hint="eastAsia" w:ascii="宋体" w:hAnsi="宋体" w:eastAsia="宋体" w:cs="宋体"/>
          <w:b w:val="0"/>
          <w:bCs w:val="0"/>
          <w:snapToGrid w:val="0"/>
          <w:kern w:val="28"/>
          <w:sz w:val="24"/>
          <w:highlight w:val="none"/>
        </w:rPr>
        <w:t>登录政采云平台</w:t>
      </w:r>
      <w:r>
        <w:rPr>
          <w:rFonts w:hint="eastAsia" w:ascii="宋体" w:hAnsi="宋体" w:eastAsia="宋体" w:cs="宋体"/>
          <w:b w:val="0"/>
          <w:bCs w:val="0"/>
          <w:snapToGrid w:val="0"/>
          <w:kern w:val="28"/>
          <w:sz w:val="24"/>
          <w:highlight w:val="none"/>
          <w:lang w:eastAsia="zh-CN"/>
        </w:rPr>
        <w:t>－</w:t>
      </w:r>
      <w:r>
        <w:rPr>
          <w:rFonts w:hint="eastAsia" w:ascii="宋体" w:hAnsi="宋体" w:eastAsia="宋体" w:cs="宋体"/>
          <w:b w:val="0"/>
          <w:bCs w:val="0"/>
          <w:snapToGrid w:val="0"/>
          <w:kern w:val="28"/>
          <w:sz w:val="24"/>
          <w:highlight w:val="none"/>
        </w:rP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771854C">
      <w:pPr>
        <w:pStyle w:val="3"/>
        <w:rPr>
          <w:rFonts w:ascii="宋体" w:hAnsi="宋体" w:eastAsia="宋体" w:cs="宋体"/>
          <w:highlight w:val="none"/>
        </w:rPr>
      </w:pPr>
      <w:r>
        <w:rPr>
          <w:rFonts w:hint="eastAsia" w:ascii="宋体" w:hAnsi="宋体" w:eastAsia="宋体" w:cs="宋体"/>
          <w:sz w:val="24"/>
          <w:highlight w:val="none"/>
          <w:lang w:val="en-US"/>
        </w:rPr>
        <w:t>27.预付款</w:t>
      </w:r>
    </w:p>
    <w:p w14:paraId="2F68CC24">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采购单位应当在政府采购合同中约定预付款，对中小企业合同预付款比例原则上不低于合同金额的40</w:t>
      </w:r>
      <w:r>
        <w:rPr>
          <w:rFonts w:hint="eastAsia" w:ascii="宋体" w:hAnsi="宋体" w:cs="宋体"/>
          <w:sz w:val="24"/>
          <w:highlight w:val="none"/>
          <w:lang w:val="en-US" w:eastAsia="zh-CN"/>
        </w:rPr>
        <w:t>%</w:t>
      </w:r>
      <w:r>
        <w:rPr>
          <w:rFonts w:hint="eastAsia" w:ascii="宋体" w:hAnsi="宋体" w:cs="宋体"/>
          <w:sz w:val="24"/>
          <w:highlight w:val="none"/>
        </w:rPr>
        <w:t>，不高于合同金额的70%；项目分年安排预算的，每年预付款比例不低于项目年度计划支付资金额的40</w:t>
      </w:r>
      <w:r>
        <w:rPr>
          <w:rFonts w:hint="eastAsia" w:ascii="宋体" w:hAnsi="宋体" w:cs="宋体"/>
          <w:sz w:val="24"/>
          <w:highlight w:val="none"/>
          <w:lang w:val="en-US" w:eastAsia="zh-CN"/>
        </w:rPr>
        <w:t>%</w:t>
      </w:r>
      <w:r>
        <w:rPr>
          <w:rFonts w:hint="eastAsia" w:ascii="宋体" w:hAnsi="宋体" w:cs="宋体"/>
          <w:sz w:val="24"/>
          <w:highlight w:val="none"/>
        </w:rPr>
        <w:t>，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本项采购明确无预付款约定，经费按每月考核结算。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4ACA5A94">
      <w:pPr>
        <w:pStyle w:val="23"/>
        <w:rPr>
          <w:highlight w:val="none"/>
        </w:rPr>
      </w:pPr>
    </w:p>
    <w:p w14:paraId="626C5226">
      <w:pPr>
        <w:snapToGrid w:val="0"/>
        <w:spacing w:line="360" w:lineRule="auto"/>
        <w:ind w:firstLine="3357" w:firstLineChars="1045"/>
        <w:rPr>
          <w:rFonts w:ascii="宋体" w:hAnsi="宋体" w:cs="宋体"/>
          <w:b/>
          <w:sz w:val="24"/>
          <w:highlight w:val="none"/>
        </w:rPr>
      </w:pPr>
      <w:r>
        <w:rPr>
          <w:rFonts w:hint="eastAsia" w:ascii="宋体" w:hAnsi="宋体" w:cs="宋体"/>
          <w:b/>
          <w:sz w:val="32"/>
          <w:highlight w:val="none"/>
        </w:rPr>
        <w:t>八、电子交易活动的中止</w:t>
      </w:r>
    </w:p>
    <w:p w14:paraId="70986A2C">
      <w:pPr>
        <w:pStyle w:val="133"/>
        <w:snapToGrid w:val="0"/>
        <w:spacing w:before="0"/>
        <w:ind w:firstLine="0" w:firstLineChars="0"/>
        <w:rPr>
          <w:rFonts w:ascii="宋体" w:hAnsi="宋体" w:cs="宋体"/>
          <w:highlight w:val="none"/>
        </w:rPr>
      </w:pPr>
      <w:r>
        <w:rPr>
          <w:rFonts w:hint="eastAsia" w:ascii="宋体" w:hAnsi="宋体" w:cs="宋体"/>
          <w:b/>
          <w:bCs/>
          <w:highlight w:val="none"/>
        </w:rPr>
        <w:t>2</w:t>
      </w:r>
      <w:r>
        <w:rPr>
          <w:rFonts w:hint="eastAsia" w:ascii="宋体" w:hAnsi="宋体" w:cs="宋体"/>
          <w:b/>
          <w:bCs/>
          <w:szCs w:val="24"/>
          <w:highlight w:val="none"/>
        </w:rPr>
        <w:t>8</w:t>
      </w:r>
      <w:r>
        <w:rPr>
          <w:rFonts w:hint="eastAsia" w:ascii="宋体" w:hAnsi="宋体" w:cs="宋体"/>
          <w:b/>
          <w:szCs w:val="24"/>
          <w:highlight w:val="none"/>
        </w:rPr>
        <w:t>. 电子交易活动的中止。</w:t>
      </w:r>
      <w:r>
        <w:rPr>
          <w:rFonts w:hint="eastAsia" w:ascii="宋体" w:hAnsi="宋体" w:cs="宋体"/>
          <w:highlight w:val="none"/>
        </w:rPr>
        <w:t>采购过程中出现以下情形，导致电子交易平台无法正常运行，或者无法保证电子交易的公平、公正和安全时，采购代理机构可中止电子交易活动：</w:t>
      </w:r>
    </w:p>
    <w:p w14:paraId="222E092E">
      <w:pPr>
        <w:pStyle w:val="133"/>
        <w:snapToGrid w:val="0"/>
        <w:spacing w:before="0"/>
        <w:ind w:firstLine="480"/>
        <w:rPr>
          <w:rFonts w:ascii="宋体" w:hAnsi="宋体" w:cs="宋体"/>
          <w:highlight w:val="none"/>
        </w:rPr>
      </w:pPr>
      <w:r>
        <w:rPr>
          <w:rFonts w:hint="eastAsia" w:ascii="宋体" w:hAnsi="宋体" w:cs="宋体"/>
          <w:highlight w:val="none"/>
        </w:rPr>
        <w:t xml:space="preserve">28.1电子交易平台发生故障而无法登录访问的； </w:t>
      </w:r>
    </w:p>
    <w:p w14:paraId="5B22F277">
      <w:pPr>
        <w:pStyle w:val="133"/>
        <w:snapToGrid w:val="0"/>
        <w:spacing w:before="0"/>
        <w:ind w:firstLine="480"/>
        <w:rPr>
          <w:rFonts w:ascii="宋体" w:hAnsi="宋体" w:cs="宋体"/>
          <w:highlight w:val="none"/>
        </w:rPr>
      </w:pPr>
      <w:r>
        <w:rPr>
          <w:rFonts w:hint="eastAsia" w:ascii="宋体" w:hAnsi="宋体" w:cs="宋体"/>
          <w:highlight w:val="none"/>
        </w:rPr>
        <w:t>28.2电子交易平台应用或数据库出现错误，不能进行正常操作的；</w:t>
      </w:r>
    </w:p>
    <w:p w14:paraId="66BCA761">
      <w:pPr>
        <w:pStyle w:val="133"/>
        <w:snapToGrid w:val="0"/>
        <w:spacing w:before="0"/>
        <w:ind w:firstLine="480"/>
        <w:rPr>
          <w:rFonts w:ascii="宋体" w:hAnsi="宋体" w:cs="宋体"/>
          <w:highlight w:val="none"/>
        </w:rPr>
      </w:pPr>
      <w:r>
        <w:rPr>
          <w:rFonts w:hint="eastAsia" w:ascii="宋体" w:hAnsi="宋体" w:cs="宋体"/>
          <w:highlight w:val="none"/>
        </w:rPr>
        <w:t>28.3电子交易平台发现严重安全漏洞，有潜在泄密危险的；</w:t>
      </w:r>
    </w:p>
    <w:p w14:paraId="6E6E2082">
      <w:pPr>
        <w:pStyle w:val="133"/>
        <w:snapToGrid w:val="0"/>
        <w:spacing w:before="0"/>
        <w:ind w:firstLine="480"/>
        <w:rPr>
          <w:rFonts w:ascii="宋体" w:hAnsi="宋体" w:cs="宋体"/>
          <w:highlight w:val="none"/>
        </w:rPr>
      </w:pPr>
      <w:r>
        <w:rPr>
          <w:rFonts w:hint="eastAsia" w:ascii="宋体" w:hAnsi="宋体" w:cs="宋体"/>
          <w:highlight w:val="none"/>
        </w:rPr>
        <w:t xml:space="preserve">28.4病毒发作导致不能进行正常操作的； </w:t>
      </w:r>
    </w:p>
    <w:p w14:paraId="11E20720">
      <w:pPr>
        <w:pStyle w:val="133"/>
        <w:snapToGrid w:val="0"/>
        <w:spacing w:before="0"/>
        <w:ind w:firstLine="480"/>
        <w:rPr>
          <w:rFonts w:ascii="宋体" w:hAnsi="宋体" w:cs="宋体"/>
          <w:highlight w:val="none"/>
        </w:rPr>
      </w:pPr>
      <w:r>
        <w:rPr>
          <w:rFonts w:hint="eastAsia" w:ascii="宋体" w:hAnsi="宋体" w:cs="宋体"/>
          <w:highlight w:val="none"/>
        </w:rPr>
        <w:t>28.5其他无法保证电子交易的公平、公正和安全的情况。</w:t>
      </w:r>
    </w:p>
    <w:p w14:paraId="27381FAF">
      <w:pPr>
        <w:pStyle w:val="133"/>
        <w:snapToGrid w:val="0"/>
        <w:spacing w:before="0"/>
        <w:ind w:firstLine="0" w:firstLineChars="0"/>
        <w:rPr>
          <w:rFonts w:ascii="宋体" w:hAnsi="宋体" w:cs="宋体"/>
          <w:highlight w:val="none"/>
        </w:rPr>
      </w:pPr>
      <w:r>
        <w:rPr>
          <w:rFonts w:hint="eastAsia" w:ascii="宋体" w:hAnsi="宋体" w:cs="宋体"/>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0AFF266C">
      <w:pPr>
        <w:snapToGrid w:val="0"/>
        <w:spacing w:line="360" w:lineRule="auto"/>
        <w:ind w:left="120" w:leftChars="57" w:firstLine="482" w:firstLineChars="150"/>
        <w:jc w:val="center"/>
        <w:rPr>
          <w:rFonts w:hint="eastAsia" w:ascii="宋体" w:hAnsi="宋体" w:cs="宋体"/>
          <w:b/>
          <w:sz w:val="32"/>
          <w:highlight w:val="none"/>
        </w:rPr>
      </w:pPr>
    </w:p>
    <w:p w14:paraId="1AE6CDCD">
      <w:pPr>
        <w:snapToGrid w:val="0"/>
        <w:spacing w:line="360" w:lineRule="auto"/>
        <w:ind w:left="120" w:leftChars="57" w:firstLine="482" w:firstLineChars="150"/>
        <w:jc w:val="center"/>
        <w:rPr>
          <w:rFonts w:ascii="宋体" w:hAnsi="宋体" w:cs="宋体"/>
          <w:b/>
          <w:sz w:val="32"/>
          <w:highlight w:val="none"/>
        </w:rPr>
      </w:pPr>
      <w:r>
        <w:rPr>
          <w:rFonts w:hint="eastAsia" w:ascii="宋体" w:hAnsi="宋体" w:cs="宋体"/>
          <w:b/>
          <w:sz w:val="32"/>
          <w:highlight w:val="none"/>
        </w:rPr>
        <w:t>九、验收</w:t>
      </w:r>
    </w:p>
    <w:p w14:paraId="2371F882">
      <w:pPr>
        <w:pStyle w:val="25"/>
        <w:spacing w:line="360" w:lineRule="auto"/>
        <w:ind w:firstLine="0" w:firstLineChars="0"/>
        <w:rPr>
          <w:rFonts w:cs="宋体"/>
          <w:b/>
          <w:highlight w:val="none"/>
        </w:rPr>
      </w:pPr>
      <w:r>
        <w:rPr>
          <w:rFonts w:hint="eastAsia" w:cs="宋体"/>
          <w:b/>
          <w:highlight w:val="none"/>
        </w:rPr>
        <w:t>30.验收</w:t>
      </w:r>
    </w:p>
    <w:p w14:paraId="66574E31">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E5FAC21">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30.2采购人可以邀请参加本项目的其他投标人或者第三方机构参与验收。参与验收的投标人或者第三方机构的意见作为验收书的参考资料一并存档。</w:t>
      </w:r>
    </w:p>
    <w:p w14:paraId="775B5144">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5499165">
      <w:pPr>
        <w:tabs>
          <w:tab w:val="left" w:pos="0"/>
        </w:tabs>
        <w:spacing w:line="360" w:lineRule="auto"/>
        <w:ind w:firstLine="480"/>
        <w:rPr>
          <w:rFonts w:ascii="宋体" w:hAnsi="宋体" w:cs="宋体"/>
          <w:sz w:val="18"/>
          <w:szCs w:val="18"/>
          <w:highlight w:val="none"/>
        </w:rPr>
      </w:pPr>
      <w:r>
        <w:rPr>
          <w:rFonts w:hint="eastAsia" w:ascii="宋体" w:hAnsi="宋体" w:cs="宋体"/>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1"/>
    <w:p w14:paraId="29411383">
      <w:pPr>
        <w:tabs>
          <w:tab w:val="left" w:pos="0"/>
        </w:tabs>
        <w:spacing w:line="360" w:lineRule="auto"/>
        <w:ind w:firstLine="480"/>
        <w:rPr>
          <w:rFonts w:ascii="宋体" w:hAnsi="宋体" w:cs="宋体"/>
          <w:kern w:val="0"/>
          <w:sz w:val="24"/>
          <w:highlight w:val="none"/>
        </w:rPr>
        <w:sectPr>
          <w:footerReference r:id="rId7" w:type="first"/>
          <w:footerReference r:id="rId6" w:type="default"/>
          <w:pgSz w:w="11906" w:h="16838"/>
          <w:pgMar w:top="680" w:right="1418" w:bottom="468" w:left="1418" w:header="851" w:footer="992" w:gutter="0"/>
          <w:pgNumType w:start="1"/>
          <w:cols w:space="720" w:num="1"/>
          <w:titlePg/>
          <w:docGrid w:linePitch="312" w:charSpace="0"/>
        </w:sectPr>
      </w:pPr>
      <w:bookmarkStart w:id="24" w:name="_Hlt75236011"/>
      <w:bookmarkEnd w:id="24"/>
      <w:bookmarkStart w:id="25" w:name="_Hlt68072990"/>
      <w:bookmarkEnd w:id="25"/>
      <w:bookmarkStart w:id="26" w:name="_Hlt75236290"/>
      <w:bookmarkEnd w:id="26"/>
      <w:bookmarkStart w:id="27" w:name="_Hlt68072998"/>
      <w:bookmarkEnd w:id="27"/>
      <w:bookmarkStart w:id="28" w:name="_Hlt68403820"/>
      <w:bookmarkEnd w:id="28"/>
      <w:bookmarkStart w:id="29" w:name="_Hlt74729768"/>
      <w:bookmarkEnd w:id="29"/>
      <w:bookmarkStart w:id="30" w:name="_Hlt68073093"/>
      <w:bookmarkEnd w:id="30"/>
      <w:bookmarkStart w:id="31" w:name="_Hlt75236101"/>
      <w:bookmarkEnd w:id="31"/>
      <w:bookmarkStart w:id="32" w:name="_Hlt74707468"/>
      <w:bookmarkEnd w:id="32"/>
      <w:bookmarkStart w:id="33" w:name="_Hlt68057669"/>
      <w:bookmarkEnd w:id="33"/>
      <w:bookmarkStart w:id="34" w:name="_Hlt74714665"/>
      <w:bookmarkEnd w:id="34"/>
      <w:bookmarkStart w:id="35" w:name="_Hlt74730295"/>
      <w:bookmarkEnd w:id="35"/>
    </w:p>
    <w:bookmarkEnd w:id="14"/>
    <w:bookmarkEnd w:id="15"/>
    <w:p w14:paraId="3E5EBC4A">
      <w:pPr>
        <w:spacing w:line="360" w:lineRule="auto"/>
        <w:jc w:val="center"/>
        <w:outlineLvl w:val="0"/>
        <w:rPr>
          <w:rFonts w:ascii="宋体" w:hAnsi="宋体" w:cs="宋体"/>
          <w:b/>
          <w:sz w:val="36"/>
          <w:szCs w:val="36"/>
          <w:highlight w:val="none"/>
        </w:rPr>
      </w:pPr>
      <w:bookmarkStart w:id="36" w:name="_Toc29147"/>
      <w:bookmarkStart w:id="37" w:name="第四部分"/>
      <w:r>
        <w:rPr>
          <w:rFonts w:hint="eastAsia" w:ascii="宋体" w:hAnsi="宋体" w:cs="宋体"/>
          <w:b/>
          <w:sz w:val="36"/>
          <w:szCs w:val="36"/>
          <w:highlight w:val="none"/>
        </w:rPr>
        <w:t>第三部分   采购需求</w:t>
      </w:r>
      <w:bookmarkEnd w:id="36"/>
    </w:p>
    <w:p w14:paraId="69FBB288">
      <w:pPr>
        <w:widowControl/>
        <w:adjustRightInd/>
        <w:spacing w:line="360" w:lineRule="auto"/>
        <w:jc w:val="left"/>
        <w:rPr>
          <w:rFonts w:hint="eastAsia" w:ascii="宋体" w:hAnsi="宋体" w:cs="宋体"/>
          <w:b/>
          <w:kern w:val="0"/>
          <w:sz w:val="24"/>
          <w:highlight w:val="none"/>
        </w:rPr>
      </w:pPr>
      <w:bookmarkStart w:id="38" w:name="_Toc317685548"/>
      <w:bookmarkStart w:id="39" w:name="_Toc329697494"/>
      <w:r>
        <w:rPr>
          <w:rFonts w:hint="eastAsia" w:ascii="宋体" w:hAnsi="宋体" w:cs="宋体"/>
          <w:b/>
          <w:kern w:val="0"/>
          <w:sz w:val="24"/>
          <w:highlight w:val="none"/>
        </w:rPr>
        <w:t>一、重要商务要求一览表</w:t>
      </w:r>
    </w:p>
    <w:tbl>
      <w:tblPr>
        <w:tblStyle w:val="62"/>
        <w:tblW w:w="8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2"/>
        <w:gridCol w:w="6497"/>
      </w:tblGrid>
      <w:tr w14:paraId="31821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722" w:type="dxa"/>
            <w:vAlign w:val="center"/>
          </w:tcPr>
          <w:p w14:paraId="2C8EF583">
            <w:pPr>
              <w:adjustRightInd/>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hAnsi="宋体" w:cs="宋体"/>
                <w:b/>
                <w:bCs/>
                <w:color w:val="000000" w:themeColor="text1"/>
                <w:sz w:val="24"/>
                <w:highlight w:val="none"/>
                <w14:textFill>
                  <w14:solidFill>
                    <w14:schemeClr w14:val="tx1"/>
                  </w14:solidFill>
                </w14:textFill>
              </w:rPr>
              <w:t>项目</w:t>
            </w:r>
          </w:p>
        </w:tc>
        <w:tc>
          <w:tcPr>
            <w:tcW w:w="6497" w:type="dxa"/>
            <w:vAlign w:val="center"/>
          </w:tcPr>
          <w:p w14:paraId="58FB4AEE">
            <w:pPr>
              <w:adjustRightInd/>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hAnsi="宋体" w:cs="宋体"/>
                <w:b/>
                <w:bCs/>
                <w:color w:val="000000" w:themeColor="text1"/>
                <w:sz w:val="24"/>
                <w:highlight w:val="none"/>
                <w14:textFill>
                  <w14:solidFill>
                    <w14:schemeClr w14:val="tx1"/>
                  </w14:solidFill>
                </w14:textFill>
              </w:rPr>
              <w:t>要</w:t>
            </w:r>
            <w:r>
              <w:rPr>
                <w:rFonts w:hAnsi="宋体" w:cs="宋体"/>
                <w:b/>
                <w:bCs/>
                <w:color w:val="000000" w:themeColor="text1"/>
                <w:sz w:val="24"/>
                <w:highlight w:val="none"/>
                <w14:textFill>
                  <w14:solidFill>
                    <w14:schemeClr w14:val="tx1"/>
                  </w14:solidFill>
                </w14:textFill>
              </w:rPr>
              <w:t xml:space="preserve"> </w:t>
            </w:r>
            <w:r>
              <w:rPr>
                <w:rFonts w:hint="eastAsia" w:hAnsi="宋体" w:cs="宋体"/>
                <w:b/>
                <w:bCs/>
                <w:color w:val="000000" w:themeColor="text1"/>
                <w:sz w:val="24"/>
                <w:highlight w:val="none"/>
                <w14:textFill>
                  <w14:solidFill>
                    <w14:schemeClr w14:val="tx1"/>
                  </w14:solidFill>
                </w14:textFill>
              </w:rPr>
              <w:t>求</w:t>
            </w:r>
            <w:r>
              <w:rPr>
                <w:rFonts w:hAnsi="宋体" w:cs="宋体"/>
                <w:b/>
                <w:bCs/>
                <w:color w:val="000000" w:themeColor="text1"/>
                <w:sz w:val="24"/>
                <w:highlight w:val="none"/>
                <w14:textFill>
                  <w14:solidFill>
                    <w14:schemeClr w14:val="tx1"/>
                  </w14:solidFill>
                </w14:textFill>
              </w:rPr>
              <w:t xml:space="preserve"> </w:t>
            </w:r>
          </w:p>
        </w:tc>
      </w:tr>
      <w:tr w14:paraId="163F4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722" w:type="dxa"/>
            <w:vAlign w:val="center"/>
          </w:tcPr>
          <w:p w14:paraId="0F1AC661">
            <w:pPr>
              <w:adjustRightInd/>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▲1、质保期</w:t>
            </w:r>
          </w:p>
        </w:tc>
        <w:tc>
          <w:tcPr>
            <w:tcW w:w="6497" w:type="dxa"/>
            <w:vAlign w:val="center"/>
          </w:tcPr>
          <w:p w14:paraId="139DE9FD">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仪器设备质保期为验收合格并办理正式移交使用手续后</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年，快检试剂盒质保期为验收合格并办理正式移交使用手续后</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年。</w:t>
            </w:r>
          </w:p>
        </w:tc>
      </w:tr>
      <w:tr w14:paraId="4F0B3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22" w:type="dxa"/>
            <w:vAlign w:val="center"/>
          </w:tcPr>
          <w:p w14:paraId="47812A63">
            <w:pPr>
              <w:adjustRightInd/>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2、售后服务要求</w:t>
            </w:r>
          </w:p>
        </w:tc>
        <w:tc>
          <w:tcPr>
            <w:tcW w:w="6497" w:type="dxa"/>
            <w:vAlign w:val="center"/>
          </w:tcPr>
          <w:p w14:paraId="76AB03B5">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快检室设备应</w:t>
            </w:r>
            <w:r>
              <w:rPr>
                <w:rFonts w:hint="eastAsia" w:ascii="宋体" w:hAnsi="宋体" w:cs="宋体"/>
                <w:color w:val="000000" w:themeColor="text1"/>
                <w:sz w:val="24"/>
                <w:highlight w:val="none"/>
                <w14:textFill>
                  <w14:solidFill>
                    <w14:schemeClr w14:val="tx1"/>
                  </w14:solidFill>
                </w14:textFill>
              </w:rPr>
              <w:t>定期上门保养、24小时故障响应（如需现场服务约定12小时到场，条件允许的情况下48小时内解决）。</w:t>
            </w:r>
          </w:p>
        </w:tc>
      </w:tr>
      <w:tr w14:paraId="7ED3A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22" w:type="dxa"/>
            <w:vAlign w:val="center"/>
          </w:tcPr>
          <w:p w14:paraId="0C5F1816">
            <w:pPr>
              <w:adjustRightInd/>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3、质量标准</w:t>
            </w:r>
          </w:p>
        </w:tc>
        <w:tc>
          <w:tcPr>
            <w:tcW w:w="6497" w:type="dxa"/>
            <w:vAlign w:val="center"/>
          </w:tcPr>
          <w:p w14:paraId="4A53E3CD">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标人保证所提供的货物应符合招标文件要求及国家技术规格和质量标准的出厂原装合格产品，如发生所供的货物与合同不符，采购人有权拒收或退货，由此产生的一切责任和后果由供应商承担，在所供货物交付时，中标人必须向采购人提供说明书、质量保证书、保修卡等必须具备的相关资料和必备附件。</w:t>
            </w:r>
          </w:p>
        </w:tc>
      </w:tr>
      <w:tr w14:paraId="5B2AC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22" w:type="dxa"/>
            <w:vAlign w:val="center"/>
          </w:tcPr>
          <w:p w14:paraId="67AAC028">
            <w:pPr>
              <w:adjustRightInd/>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4、数量变更要求</w:t>
            </w:r>
          </w:p>
        </w:tc>
        <w:tc>
          <w:tcPr>
            <w:tcW w:w="6497" w:type="dxa"/>
            <w:vAlign w:val="center"/>
          </w:tcPr>
          <w:p w14:paraId="63F3FAF2">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供应商应配合采购人因实际情况变化而调整部分定购设备数量的权力，供应商应对设备和服务明细报价，按中标单价不变的前提下进行调整，双方不得拒绝。</w:t>
            </w:r>
          </w:p>
        </w:tc>
      </w:tr>
      <w:tr w14:paraId="1527C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722" w:type="dxa"/>
            <w:vAlign w:val="center"/>
          </w:tcPr>
          <w:p w14:paraId="4CB5CADC">
            <w:pPr>
              <w:adjustRightInd/>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lang w:val="en-US" w:eastAsia="zh-CN"/>
                <w14:textFill>
                  <w14:solidFill>
                    <w14:schemeClr w14:val="tx1"/>
                  </w14:solidFill>
                </w14:textFill>
              </w:rPr>
              <w:t>合同履行时间</w:t>
            </w:r>
            <w:r>
              <w:rPr>
                <w:rFonts w:hint="eastAsia" w:ascii="宋体" w:hAnsi="宋体" w:cs="宋体"/>
                <w:color w:val="000000" w:themeColor="text1"/>
                <w:sz w:val="24"/>
                <w:highlight w:val="none"/>
                <w14:textFill>
                  <w14:solidFill>
                    <w14:schemeClr w14:val="tx1"/>
                  </w14:solidFill>
                </w14:textFill>
              </w:rPr>
              <w:t>及</w:t>
            </w:r>
            <w:r>
              <w:rPr>
                <w:rFonts w:hint="eastAsia" w:ascii="宋体" w:hAnsi="宋体" w:cs="宋体"/>
                <w:color w:val="000000" w:themeColor="text1"/>
                <w:sz w:val="24"/>
                <w:highlight w:val="none"/>
                <w:lang w:val="en-US" w:eastAsia="zh-CN"/>
                <w14:textFill>
                  <w14:solidFill>
                    <w14:schemeClr w14:val="tx1"/>
                  </w14:solidFill>
                </w14:textFill>
              </w:rPr>
              <w:t>实施</w:t>
            </w:r>
            <w:r>
              <w:rPr>
                <w:rFonts w:hint="eastAsia" w:ascii="宋体" w:hAnsi="宋体" w:cs="宋体"/>
                <w:color w:val="000000" w:themeColor="text1"/>
                <w:sz w:val="24"/>
                <w:highlight w:val="none"/>
                <w14:textFill>
                  <w14:solidFill>
                    <w14:schemeClr w14:val="tx1"/>
                  </w14:solidFill>
                </w14:textFill>
              </w:rPr>
              <w:t>地点</w:t>
            </w:r>
          </w:p>
        </w:tc>
        <w:tc>
          <w:tcPr>
            <w:tcW w:w="6497" w:type="dxa"/>
            <w:vAlign w:val="center"/>
          </w:tcPr>
          <w:p w14:paraId="58C8C7A2">
            <w:pPr>
              <w:snapToGrid w:val="0"/>
              <w:spacing w:line="360" w:lineRule="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5.1</w:t>
            </w:r>
            <w:r>
              <w:rPr>
                <w:rFonts w:hint="eastAsia" w:ascii="宋体" w:hAnsi="宋体" w:cs="宋体"/>
                <w:color w:val="000000" w:themeColor="text1"/>
                <w:sz w:val="24"/>
                <w:highlight w:val="none"/>
                <w:lang w:val="en-US" w:eastAsia="zh-CN"/>
                <w14:textFill>
                  <w14:solidFill>
                    <w14:schemeClr w14:val="tx1"/>
                  </w14:solidFill>
                </w14:textFill>
              </w:rPr>
              <w:t>合同履行时间</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详见第一部分 招标公告</w:t>
            </w:r>
          </w:p>
          <w:p w14:paraId="496DB239">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5.2</w:t>
            </w:r>
            <w:r>
              <w:rPr>
                <w:rFonts w:hint="eastAsia" w:ascii="宋体" w:hAnsi="宋体" w:cs="宋体"/>
                <w:color w:val="000000" w:themeColor="text1"/>
                <w:sz w:val="24"/>
                <w:highlight w:val="none"/>
                <w:lang w:val="en-US" w:eastAsia="zh-CN"/>
                <w14:textFill>
                  <w14:solidFill>
                    <w14:schemeClr w14:val="tx1"/>
                  </w14:solidFill>
                </w14:textFill>
              </w:rPr>
              <w:t>实施</w:t>
            </w:r>
            <w:r>
              <w:rPr>
                <w:rFonts w:hint="eastAsia" w:ascii="宋体" w:hAnsi="宋体" w:cs="宋体"/>
                <w:color w:val="000000" w:themeColor="text1"/>
                <w:sz w:val="24"/>
                <w:highlight w:val="none"/>
                <w14:textFill>
                  <w14:solidFill>
                    <w14:schemeClr w14:val="tx1"/>
                  </w14:solidFill>
                </w14:textFill>
              </w:rPr>
              <w:t>地点：采购人指定</w:t>
            </w:r>
            <w:r>
              <w:rPr>
                <w:rFonts w:hint="eastAsia" w:ascii="宋体" w:hAnsi="宋体" w:cs="宋体"/>
                <w:color w:val="000000" w:themeColor="text1"/>
                <w:sz w:val="24"/>
                <w:highlight w:val="none"/>
                <w:lang w:val="en-US" w:eastAsia="zh-CN"/>
                <w14:textFill>
                  <w14:solidFill>
                    <w14:schemeClr w14:val="tx1"/>
                  </w14:solidFill>
                </w14:textFill>
              </w:rPr>
              <w:t>实验室</w:t>
            </w:r>
            <w:r>
              <w:rPr>
                <w:rFonts w:hint="eastAsia" w:ascii="宋体" w:hAnsi="宋体" w:cs="宋体"/>
                <w:color w:val="000000" w:themeColor="text1"/>
                <w:sz w:val="24"/>
                <w:highlight w:val="none"/>
                <w14:textFill>
                  <w14:solidFill>
                    <w14:schemeClr w14:val="tx1"/>
                  </w14:solidFill>
                </w14:textFill>
              </w:rPr>
              <w:t>内。</w:t>
            </w:r>
          </w:p>
        </w:tc>
      </w:tr>
      <w:tr w14:paraId="01716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22" w:type="dxa"/>
            <w:vAlign w:val="center"/>
          </w:tcPr>
          <w:p w14:paraId="3FB9A624">
            <w:pPr>
              <w:adjustRightInd/>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6、付款方式</w:t>
            </w:r>
          </w:p>
        </w:tc>
        <w:tc>
          <w:tcPr>
            <w:tcW w:w="6497" w:type="dxa"/>
            <w:vAlign w:val="center"/>
          </w:tcPr>
          <w:p w14:paraId="099B8A44">
            <w:pPr>
              <w:adjustRightInd/>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6.1合同生效并具备实施条件后7个工作日内，采购人向中标人支付合同额的40%作为预付款；（若在签订合同时，中标人明确表示</w:t>
            </w:r>
            <w:r>
              <w:rPr>
                <w:rFonts w:hint="eastAsia" w:ascii="宋体" w:hAnsi="宋体" w:eastAsia="宋体" w:cs="宋体"/>
                <w:color w:val="000000" w:themeColor="text1"/>
                <w:sz w:val="24"/>
                <w:highlight w:val="none"/>
                <w14:textFill>
                  <w14:solidFill>
                    <w14:schemeClr w14:val="tx1"/>
                  </w14:solidFill>
                </w14:textFill>
              </w:rPr>
              <w:t>无需预付款的，采购人可不予支付预付款。预付款支付约定以合同中约定为准。）</w:t>
            </w:r>
          </w:p>
          <w:p w14:paraId="40C2FB5A">
            <w:pPr>
              <w:adjustRightInd/>
              <w:spacing w:line="360" w:lineRule="auto"/>
              <w:jc w:val="left"/>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6.2试剂采购及日常检测</w:t>
            </w:r>
            <w:r>
              <w:rPr>
                <w:rFonts w:hint="eastAsia" w:ascii="宋体" w:hAnsi="宋体" w:eastAsia="宋体" w:cs="宋体"/>
                <w:color w:val="000000" w:themeColor="text1"/>
                <w:sz w:val="24"/>
                <w:highlight w:val="none"/>
                <w:lang w:val="en-US" w:eastAsia="zh-CN"/>
                <w14:textFill>
                  <w14:solidFill>
                    <w14:schemeClr w14:val="tx1"/>
                  </w14:solidFill>
                </w14:textFill>
              </w:rPr>
              <w:t>部分：</w:t>
            </w:r>
            <w:r>
              <w:rPr>
                <w:rFonts w:hint="eastAsia" w:ascii="宋体" w:hAnsi="宋体" w:eastAsia="宋体" w:cs="宋体"/>
                <w:color w:val="000000" w:themeColor="text1"/>
                <w:sz w:val="24"/>
                <w:highlight w:val="none"/>
                <w:lang w:eastAsia="zh-CN"/>
                <w14:textFill>
                  <w14:solidFill>
                    <w14:schemeClr w14:val="tx1"/>
                  </w14:solidFill>
                </w14:textFill>
              </w:rPr>
              <w:t>根据实际</w:t>
            </w:r>
            <w:r>
              <w:rPr>
                <w:rFonts w:hint="eastAsia" w:ascii="宋体" w:hAnsi="宋体" w:eastAsia="宋体" w:cs="宋体"/>
                <w:color w:val="000000" w:themeColor="text1"/>
                <w:sz w:val="24"/>
                <w:highlight w:val="none"/>
                <w:lang w:val="en-US" w:eastAsia="zh-CN"/>
                <w14:textFill>
                  <w14:solidFill>
                    <w14:schemeClr w14:val="tx1"/>
                  </w14:solidFill>
                </w14:textFill>
              </w:rPr>
              <w:t>采购量按实</w:t>
            </w:r>
            <w:r>
              <w:rPr>
                <w:rFonts w:hint="eastAsia" w:ascii="宋体" w:hAnsi="宋体" w:eastAsia="宋体" w:cs="宋体"/>
                <w:color w:val="000000" w:themeColor="text1"/>
                <w:sz w:val="24"/>
                <w:highlight w:val="none"/>
                <w:lang w:eastAsia="zh-CN"/>
                <w14:textFill>
                  <w14:solidFill>
                    <w14:schemeClr w14:val="tx1"/>
                  </w14:solidFill>
                </w14:textFill>
              </w:rPr>
              <w:t>进行结算，</w:t>
            </w:r>
            <w:r>
              <w:rPr>
                <w:rFonts w:hint="eastAsia" w:ascii="宋体" w:hAnsi="宋体" w:eastAsia="宋体" w:cs="宋体"/>
                <w:color w:val="000000" w:themeColor="text1"/>
                <w:sz w:val="24"/>
                <w:highlight w:val="none"/>
                <w:lang w:val="en-US" w:eastAsia="zh-CN"/>
                <w14:textFill>
                  <w14:solidFill>
                    <w14:schemeClr w14:val="tx1"/>
                  </w14:solidFill>
                </w14:textFill>
              </w:rPr>
              <w:t>按季支付。（每季度支付费用=实际数量×单价）</w:t>
            </w:r>
          </w:p>
          <w:p w14:paraId="356692A2">
            <w:pPr>
              <w:adjustRightInd/>
              <w:spacing w:line="360" w:lineRule="auto"/>
              <w:jc w:val="left"/>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6.3快检室建设部分：实验室最终验收合格后支付至快检室建设费用的100%。</w:t>
            </w:r>
          </w:p>
          <w:p w14:paraId="4573AC93">
            <w:pPr>
              <w:keepNext w:val="0"/>
              <w:keepLines w:val="0"/>
              <w:widowControl/>
              <w:suppressLineNumbers w:val="0"/>
              <w:jc w:val="left"/>
              <w:rPr>
                <w:rFonts w:hint="default"/>
                <w:highlight w:val="none"/>
                <w:lang w:val="en-US"/>
              </w:rPr>
            </w:pPr>
            <w:r>
              <w:rPr>
                <w:rFonts w:hint="eastAsia" w:ascii="宋体" w:hAnsi="宋体" w:eastAsia="宋体" w:cs="宋体"/>
                <w:color w:val="000000" w:themeColor="text1"/>
                <w:sz w:val="24"/>
                <w:highlight w:val="none"/>
                <w:lang w:val="en-US" w:eastAsia="zh-CN"/>
                <w14:textFill>
                  <w14:solidFill>
                    <w14:schemeClr w14:val="tx1"/>
                  </w14:solidFill>
                </w14:textFill>
              </w:rPr>
              <w:t>6.4</w:t>
            </w:r>
            <w:r>
              <w:rPr>
                <w:rFonts w:ascii="宋体" w:hAnsi="宋体" w:eastAsia="宋体" w:cs="宋体"/>
                <w:kern w:val="0"/>
                <w:sz w:val="24"/>
                <w:szCs w:val="24"/>
                <w:highlight w:val="none"/>
                <w:lang w:val="en-US" w:eastAsia="zh-CN" w:bidi="ar"/>
              </w:rPr>
              <w:t>款项将首先从</w:t>
            </w:r>
            <w:r>
              <w:rPr>
                <w:rFonts w:hint="eastAsia" w:ascii="宋体" w:hAnsi="宋体" w:eastAsia="宋体" w:cs="宋体"/>
                <w:kern w:val="0"/>
                <w:sz w:val="24"/>
                <w:szCs w:val="24"/>
                <w:highlight w:val="none"/>
                <w:lang w:val="en-US" w:eastAsia="zh-CN" w:bidi="ar"/>
              </w:rPr>
              <w:t>采购人</w:t>
            </w:r>
            <w:r>
              <w:rPr>
                <w:rFonts w:ascii="宋体" w:hAnsi="宋体" w:eastAsia="宋体" w:cs="宋体"/>
                <w:kern w:val="0"/>
                <w:sz w:val="24"/>
                <w:szCs w:val="24"/>
                <w:highlight w:val="none"/>
                <w:lang w:val="en-US" w:eastAsia="zh-CN" w:bidi="ar"/>
              </w:rPr>
              <w:t>已支付的预付款中进行等额抵扣。</w:t>
            </w:r>
          </w:p>
        </w:tc>
      </w:tr>
      <w:tr w14:paraId="64EB0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1722" w:type="dxa"/>
            <w:vAlign w:val="center"/>
          </w:tcPr>
          <w:p w14:paraId="4625DFDE">
            <w:pPr>
              <w:adjustRightInd/>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7、履约保证金</w:t>
            </w:r>
          </w:p>
        </w:tc>
        <w:tc>
          <w:tcPr>
            <w:tcW w:w="6497" w:type="dxa"/>
            <w:vAlign w:val="center"/>
          </w:tcPr>
          <w:p w14:paraId="05029BCA">
            <w:pPr>
              <w:adjustRightInd/>
              <w:spacing w:line="360" w:lineRule="auto"/>
              <w:jc w:val="left"/>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7.1履约保证金金额：合同暂定总价的1%；</w:t>
            </w:r>
          </w:p>
          <w:p w14:paraId="348021B2">
            <w:pPr>
              <w:adjustRightInd/>
              <w:spacing w:line="360" w:lineRule="auto"/>
              <w:jc w:val="left"/>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7.2履约保证金形式：银行汇票（电汇）、支票（仅限于使用宁波大市区范围内的银行开具的支票）、银行保函、保险保单等非现金形式；</w:t>
            </w:r>
          </w:p>
          <w:p w14:paraId="79AE51E7">
            <w:pPr>
              <w:adjustRightInd/>
              <w:spacing w:line="360" w:lineRule="auto"/>
              <w:jc w:val="left"/>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7.3履约保证金的退取：在中标人履行完采购合同约定义务事项后及时退还。（如中标人未能履行合同规定的任何义务，采购人有权从履约保证金中得到相应补偿）</w:t>
            </w:r>
          </w:p>
        </w:tc>
      </w:tr>
      <w:tr w14:paraId="7F89F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722" w:type="dxa"/>
            <w:vAlign w:val="center"/>
          </w:tcPr>
          <w:p w14:paraId="0D95FB74">
            <w:pPr>
              <w:adjustRightInd/>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8、验收</w:t>
            </w:r>
          </w:p>
        </w:tc>
        <w:tc>
          <w:tcPr>
            <w:tcW w:w="6497" w:type="dxa"/>
            <w:vAlign w:val="center"/>
          </w:tcPr>
          <w:p w14:paraId="182DEB5C">
            <w:pPr>
              <w:adjustRightInd/>
              <w:spacing w:line="360"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8.1采购人有权自行或委托监理单位聘请专家对货物进行抽检验收，验收费用由中标人承担，若抽检不合格则采购人将对货物进行退货或者赔款处理，如退货后重新交货的货物仍不能通过验收，采购人有权取消合同，中标人承担全部责任。</w:t>
            </w:r>
          </w:p>
        </w:tc>
      </w:tr>
      <w:tr w14:paraId="54879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722" w:type="dxa"/>
            <w:shd w:val="clear" w:color="auto" w:fill="auto"/>
            <w:vAlign w:val="center"/>
          </w:tcPr>
          <w:p w14:paraId="2945BA53">
            <w:pPr>
              <w:tabs>
                <w:tab w:val="left" w:pos="3234"/>
              </w:tabs>
              <w:adjustRightInd/>
              <w:spacing w:line="360" w:lineRule="auto"/>
              <w:jc w:val="left"/>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lang w:val="en-US" w:eastAsia="zh-CN"/>
              </w:rPr>
              <w:t>9</w:t>
            </w:r>
            <w:r>
              <w:rPr>
                <w:rFonts w:hint="eastAsia" w:ascii="宋体" w:hAnsi="宋体" w:cs="宋体"/>
                <w:sz w:val="24"/>
                <w:highlight w:val="none"/>
              </w:rPr>
              <w:t>、合同终止</w:t>
            </w:r>
          </w:p>
        </w:tc>
        <w:tc>
          <w:tcPr>
            <w:tcW w:w="6497" w:type="dxa"/>
            <w:shd w:val="clear" w:color="auto" w:fill="auto"/>
            <w:vAlign w:val="center"/>
          </w:tcPr>
          <w:p w14:paraId="32DA423D">
            <w:pPr>
              <w:adjustRightInd/>
              <w:spacing w:line="360" w:lineRule="auto"/>
              <w:jc w:val="left"/>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rPr>
              <w:t>中标人在合同有效期内，不得无理由终止合同，确有特殊情况的，须提前两个月向采购人提出书面申请，经采购人同意后，方可终止合同。因中标人发生重大差错事故的，采购人可有权单方面终止合同，中标人承担全部责任。</w:t>
            </w:r>
          </w:p>
        </w:tc>
      </w:tr>
      <w:bookmarkEnd w:id="38"/>
      <w:bookmarkEnd w:id="39"/>
    </w:tbl>
    <w:p w14:paraId="3B30DBA2">
      <w:pPr>
        <w:adjustRightInd/>
        <w:spacing w:line="360" w:lineRule="auto"/>
        <w:rPr>
          <w:rFonts w:ascii="宋体" w:hAnsi="宋体" w:cs="宋体"/>
          <w:b/>
          <w:sz w:val="24"/>
          <w:highlight w:val="none"/>
        </w:rPr>
      </w:pPr>
      <w:bookmarkStart w:id="40" w:name="_Toc17869"/>
      <w:r>
        <w:rPr>
          <w:rFonts w:hint="eastAsia" w:ascii="宋体" w:hAnsi="宋体" w:cs="宋体"/>
          <w:b/>
          <w:sz w:val="24"/>
          <w:highlight w:val="none"/>
          <w:lang w:val="en-US" w:eastAsia="zh-CN"/>
        </w:rPr>
        <w:t>二</w:t>
      </w:r>
      <w:r>
        <w:rPr>
          <w:rFonts w:hint="eastAsia" w:ascii="宋体" w:hAnsi="宋体" w:cs="宋体"/>
          <w:b/>
          <w:sz w:val="24"/>
          <w:highlight w:val="none"/>
        </w:rPr>
        <w:t>、</w:t>
      </w:r>
      <w:r>
        <w:rPr>
          <w:rFonts w:hint="eastAsia" w:ascii="宋体" w:hAnsi="Calibri"/>
          <w:b/>
          <w:color w:val="000000" w:themeColor="text1"/>
          <w:sz w:val="24"/>
          <w:highlight w:val="none"/>
          <w:lang w:val="en-US" w:eastAsia="zh-CN"/>
          <w14:textFill>
            <w14:solidFill>
              <w14:schemeClr w14:val="tx1"/>
            </w14:solidFill>
          </w14:textFill>
        </w:rPr>
        <w:t>项目背景</w:t>
      </w:r>
    </w:p>
    <w:p w14:paraId="5E040F96">
      <w:pPr>
        <w:spacing w:line="360" w:lineRule="auto"/>
        <w:ind w:firstLine="480" w:firstLineChars="200"/>
        <w:jc w:val="left"/>
        <w:rPr>
          <w:rFonts w:hint="eastAsia" w:ascii="宋体" w:hAnsi="宋体" w:cs="宋体"/>
          <w:color w:val="333333"/>
          <w:kern w:val="0"/>
          <w:sz w:val="24"/>
          <w:highlight w:val="none"/>
          <w:lang w:val="en-US" w:eastAsia="zh-CN"/>
        </w:rPr>
      </w:pPr>
      <w:r>
        <w:rPr>
          <w:rFonts w:hint="eastAsia" w:ascii="宋体" w:hAnsi="宋体" w:eastAsia="宋体" w:cs="宋体"/>
          <w:color w:val="000000" w:themeColor="text1"/>
          <w:sz w:val="24"/>
          <w:highlight w:val="none"/>
          <w:lang w:val="en-US" w:eastAsia="zh-CN"/>
          <w14:textFill>
            <w14:solidFill>
              <w14:schemeClr w14:val="tx1"/>
            </w14:solidFill>
          </w14:textFill>
        </w:rPr>
        <w:t>食品安全直接关系到人民群众的身体健康和生命安全。为进一步保障群众菜篮子安全，充分发挥食用农产品快速检测在守护</w:t>
      </w:r>
      <w:r>
        <w:rPr>
          <w:rFonts w:hint="eastAsia" w:ascii="宋体" w:hAnsi="宋体" w:cs="宋体"/>
          <w:color w:val="000000" w:themeColor="text1"/>
          <w:sz w:val="24"/>
          <w:highlight w:val="none"/>
          <w:lang w:val="en-US" w:eastAsia="zh-CN"/>
          <w14:textFill>
            <w14:solidFill>
              <w14:schemeClr w14:val="tx1"/>
            </w14:solidFill>
          </w14:textFill>
        </w:rPr>
        <w:t>菜篮子</w:t>
      </w:r>
      <w:r>
        <w:rPr>
          <w:rFonts w:hint="eastAsia" w:ascii="宋体" w:hAnsi="宋体" w:eastAsia="宋体" w:cs="宋体"/>
          <w:color w:val="000000" w:themeColor="text1"/>
          <w:sz w:val="24"/>
          <w:highlight w:val="none"/>
          <w:lang w:val="en-US" w:eastAsia="zh-CN"/>
          <w14:textFill>
            <w14:solidFill>
              <w14:schemeClr w14:val="tx1"/>
            </w14:solidFill>
          </w14:textFill>
        </w:rPr>
        <w:t>安全中的重要作用，提高食品快检靶向性和准确率，强化风险筛查实现风险分级、主体分类管理，提升食用农产品质量安全管理水平。</w:t>
      </w:r>
    </w:p>
    <w:p w14:paraId="045FFF20">
      <w:pPr>
        <w:spacing w:line="360" w:lineRule="auto"/>
        <w:jc w:val="left"/>
        <w:rPr>
          <w:rFonts w:hint="default" w:ascii="宋体" w:hAnsi="宋体" w:eastAsia="宋体" w:cs="宋体"/>
          <w:b/>
          <w:bCs/>
          <w:color w:val="333333"/>
          <w:kern w:val="0"/>
          <w:sz w:val="24"/>
          <w:highlight w:val="none"/>
          <w:lang w:val="en-US" w:eastAsia="zh-CN"/>
        </w:rPr>
      </w:pPr>
      <w:r>
        <w:rPr>
          <w:rFonts w:hint="eastAsia" w:ascii="宋体" w:hAnsi="宋体" w:cs="宋体"/>
          <w:b/>
          <w:bCs/>
          <w:color w:val="333333"/>
          <w:kern w:val="0"/>
          <w:sz w:val="24"/>
          <w:highlight w:val="none"/>
          <w:lang w:val="en-US" w:eastAsia="zh-CN"/>
        </w:rPr>
        <w:t>三</w:t>
      </w:r>
      <w:r>
        <w:rPr>
          <w:rFonts w:hint="eastAsia" w:ascii="宋体" w:hAnsi="宋体" w:cs="宋体"/>
          <w:b/>
          <w:bCs/>
          <w:color w:val="333333"/>
          <w:kern w:val="0"/>
          <w:sz w:val="24"/>
          <w:highlight w:val="none"/>
        </w:rPr>
        <w:t>、</w:t>
      </w:r>
      <w:r>
        <w:rPr>
          <w:rFonts w:hint="eastAsia" w:ascii="宋体" w:hAnsi="Calibri" w:eastAsia="宋体" w:cs="Times New Roman"/>
          <w:b/>
          <w:color w:val="000000" w:themeColor="text1"/>
          <w:sz w:val="24"/>
          <w:highlight w:val="none"/>
          <w:lang w:val="en-US" w:eastAsia="zh-CN"/>
          <w14:textFill>
            <w14:solidFill>
              <w14:schemeClr w14:val="tx1"/>
            </w14:solidFill>
          </w14:textFill>
        </w:rPr>
        <w:t>项目建设内容</w:t>
      </w:r>
    </w:p>
    <w:p w14:paraId="3FD688CE">
      <w:pPr>
        <w:spacing w:line="360" w:lineRule="auto"/>
        <w:ind w:firstLine="480" w:firstLineChars="200"/>
        <w:jc w:val="left"/>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（一）围绕重点品种和必检项目，依法使用国家规定的快检方法开展食用农产品快检。2025年监管快检总批次不少于8000批次。</w:t>
      </w:r>
    </w:p>
    <w:p w14:paraId="2994D937">
      <w:pPr>
        <w:spacing w:line="360" w:lineRule="auto"/>
        <w:ind w:firstLine="480" w:firstLineChars="200"/>
        <w:jc w:val="left"/>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（二）采购食品快检试剂10万份；</w:t>
      </w:r>
    </w:p>
    <w:p w14:paraId="48E399B4">
      <w:pPr>
        <w:spacing w:line="360" w:lineRule="auto"/>
        <w:ind w:firstLine="480" w:firstLineChars="200"/>
        <w:jc w:val="left"/>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（三）完成13家农贸（批）市场食品快检室的改造提升。</w:t>
      </w:r>
    </w:p>
    <w:p w14:paraId="310273CE">
      <w:pPr>
        <w:adjustRightInd/>
        <w:spacing w:line="360" w:lineRule="auto"/>
        <w:rPr>
          <w:rFonts w:hint="eastAsia" w:ascii="宋体" w:hAnsi="宋体" w:eastAsia="宋体" w:cs="宋体"/>
          <w:b/>
          <w:bCs/>
          <w:sz w:val="24"/>
          <w:highlight w:val="none"/>
          <w:lang w:val="en-US" w:eastAsia="ar-SA" w:bidi="ar"/>
        </w:rPr>
      </w:pPr>
      <w:r>
        <w:rPr>
          <w:rFonts w:hint="eastAsia" w:ascii="宋体" w:hAnsi="宋体" w:eastAsia="宋体" w:cs="宋体"/>
          <w:b/>
          <w:bCs/>
          <w:sz w:val="24"/>
          <w:highlight w:val="none"/>
          <w:lang w:val="en-US" w:eastAsia="zh-CN" w:bidi="ar"/>
        </w:rPr>
        <w:t>四、</w:t>
      </w:r>
      <w:r>
        <w:rPr>
          <w:rFonts w:hint="eastAsia" w:ascii="宋体" w:hAnsi="宋体" w:cs="宋体"/>
          <w:b/>
          <w:bCs/>
          <w:color w:val="000000" w:themeColor="text1"/>
          <w:sz w:val="24"/>
          <w:highlight w:val="none"/>
          <w:lang w:val="en-US" w:eastAsia="zh-CN"/>
          <w14:textFill>
            <w14:solidFill>
              <w14:schemeClr w14:val="tx1"/>
            </w14:solidFill>
          </w14:textFill>
        </w:rPr>
        <w:t>具体实施要求</w:t>
      </w:r>
    </w:p>
    <w:p w14:paraId="3A518D48">
      <w:pPr>
        <w:spacing w:line="360" w:lineRule="auto"/>
        <w:ind w:firstLine="482" w:firstLineChars="200"/>
        <w:jc w:val="left"/>
        <w:rPr>
          <w:rFonts w:hint="eastAsia" w:ascii="宋体" w:hAnsi="宋体" w:cs="宋体"/>
          <w:color w:val="333333"/>
          <w:kern w:val="0"/>
          <w:sz w:val="24"/>
          <w:highlight w:val="none"/>
          <w:lang w:val="en-US" w:eastAsia="zh-CN"/>
        </w:rPr>
      </w:pPr>
      <w:r>
        <w:rPr>
          <w:rFonts w:hint="eastAsia" w:ascii="宋体" w:hAnsi="宋体" w:eastAsia="宋体" w:cs="宋体"/>
          <w:b/>
          <w:bCs/>
          <w:color w:val="000000" w:themeColor="text1"/>
          <w:sz w:val="24"/>
          <w:highlight w:val="none"/>
          <w:lang w:val="en-US" w:eastAsia="zh-CN"/>
          <w14:textFill>
            <w14:solidFill>
              <w14:schemeClr w14:val="tx1"/>
            </w14:solidFill>
          </w14:textFill>
        </w:rPr>
        <w:t>（一）试剂采购及日常检测</w:t>
      </w:r>
    </w:p>
    <w:p w14:paraId="0106302B">
      <w:pPr>
        <w:spacing w:line="360" w:lineRule="auto"/>
        <w:ind w:firstLine="480" w:firstLineChars="200"/>
        <w:jc w:val="left"/>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1、检测服务对象</w:t>
      </w:r>
    </w:p>
    <w:p w14:paraId="218CE518">
      <w:pPr>
        <w:spacing w:line="360" w:lineRule="auto"/>
        <w:ind w:firstLine="480" w:firstLineChars="200"/>
        <w:jc w:val="left"/>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宁海县辖区内食品经营单位：农批市场、农贸市场、集中交易点、大中型商超、生鲜门店等。</w:t>
      </w:r>
    </w:p>
    <w:p w14:paraId="1EFFA404">
      <w:pPr>
        <w:spacing w:line="360" w:lineRule="auto"/>
        <w:ind w:firstLine="480" w:firstLineChars="200"/>
        <w:jc w:val="left"/>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2、检测服务内容</w:t>
      </w:r>
    </w:p>
    <w:p w14:paraId="0E74FA7A">
      <w:pPr>
        <w:spacing w:line="360" w:lineRule="auto"/>
        <w:ind w:firstLine="480" w:firstLineChars="200"/>
        <w:jc w:val="left"/>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2.1日常每月的快速检测任务，具体检测项目和对象由县市场监管局提供。</w:t>
      </w:r>
    </w:p>
    <w:p w14:paraId="0D5B74BD">
      <w:pPr>
        <w:spacing w:line="360" w:lineRule="auto"/>
        <w:ind w:firstLine="480" w:firstLineChars="200"/>
        <w:jc w:val="left"/>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2.2专项快速检测，根据市场情况，由县市场监督管理局拟定开展各项针对性的食品安全快速检测。</w:t>
      </w:r>
    </w:p>
    <w:p w14:paraId="0FE1594D">
      <w:pPr>
        <w:spacing w:line="360" w:lineRule="auto"/>
        <w:ind w:firstLine="480" w:firstLineChars="200"/>
        <w:jc w:val="left"/>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3、检测服务要求</w:t>
      </w:r>
    </w:p>
    <w:p w14:paraId="2AAF9BCE">
      <w:pPr>
        <w:spacing w:line="360" w:lineRule="auto"/>
        <w:ind w:firstLine="480" w:firstLineChars="200"/>
        <w:jc w:val="left"/>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3.1监管</w:t>
      </w:r>
      <w:r>
        <w:rPr>
          <w:rFonts w:hint="default" w:ascii="宋体" w:hAnsi="宋体" w:eastAsia="宋体" w:cs="宋体"/>
          <w:color w:val="000000" w:themeColor="text1"/>
          <w:sz w:val="24"/>
          <w:highlight w:val="none"/>
          <w:lang w:val="en-US" w:eastAsia="zh-CN"/>
          <w14:textFill>
            <w14:solidFill>
              <w14:schemeClr w14:val="tx1"/>
            </w14:solidFill>
          </w14:textFill>
        </w:rPr>
        <w:t>快检阳性率达到</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default" w:ascii="宋体" w:hAnsi="宋体" w:eastAsia="宋体" w:cs="宋体"/>
          <w:color w:val="000000" w:themeColor="text1"/>
          <w:sz w:val="24"/>
          <w:highlight w:val="none"/>
          <w:lang w:val="en-US" w:eastAsia="zh-CN"/>
          <w14:textFill>
            <w14:solidFill>
              <w14:schemeClr w14:val="tx1"/>
            </w14:solidFill>
          </w14:textFill>
        </w:rPr>
        <w:t>%以上。充分发挥快检风险筛查作用，借助大数据分析，实现食品安全风险提前拦截，深化重点品种隐患闭环治理，不断提升食用农产品质量安全水平。</w:t>
      </w:r>
    </w:p>
    <w:p w14:paraId="395BF2C2">
      <w:pPr>
        <w:spacing w:line="360" w:lineRule="auto"/>
        <w:ind w:firstLine="480" w:firstLineChars="200"/>
        <w:jc w:val="left"/>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3.2 精准确定快检项目。专项监督快检项目有腐霉利、克百威、噻虫胺、氟苯尼考、甲硝唑、黄曲霉毒素、倍硫磷、甲氧苄啶、恩诺沙星、灭蝇胺、丙溴磷等，具体参考《浙江省食品安全数字化追溯管理重点品种目录及主体目录》、省局《关于印发浙江省“菜篮子安全守护微改革”实施办法的通知》、省局文件《浙江省食品快检项目名单（2024年版）》、市局文件《浙江省食品快检必检名单（2024年版）》的要求。如有更改，参考2025年省市局最新要求进行。</w:t>
      </w:r>
    </w:p>
    <w:p w14:paraId="6BE4E905">
      <w:pPr>
        <w:spacing w:line="360" w:lineRule="auto"/>
        <w:ind w:firstLine="480" w:firstLineChars="200"/>
        <w:jc w:val="left"/>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3.3强化快检过程记录备查。应记录快检食品和被检测单位（或摊位）名称、售货人姓名及联系电话、检测项目、检测日期、检测结果、食品快检产品和试剂、检测人员签名等信息。食品快检操作人员及所在机构应对食品快检过程、数据和结果信息的真实、完整和可追溯负责。</w:t>
      </w:r>
    </w:p>
    <w:p w14:paraId="4EE81949">
      <w:pPr>
        <w:spacing w:line="360" w:lineRule="auto"/>
        <w:ind w:firstLine="480" w:firstLineChars="200"/>
        <w:jc w:val="left"/>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3.4依据《浙江省食品安全数字化追溯规定》，严格查验被抽样食品是否符合法定要求，对于有“浙食链”追溯码的食品，抽样时记录其追溯码，并及时在“浙食链”系统中录入快检结果。对已确认不合格的食品，运用“浙食链”或者查询其纸质台账进行追溯，溯源确定并及时通知相关生产经营者停止经营，记录停止经营和通知情况。</w:t>
      </w:r>
    </w:p>
    <w:p w14:paraId="691B20E5">
      <w:pPr>
        <w:spacing w:line="360" w:lineRule="auto"/>
        <w:ind w:firstLine="480" w:firstLineChars="200"/>
        <w:jc w:val="left"/>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3.5中标人须在检测完成后及时上传检测信息至指定的系统平台（快检一件事）。</w:t>
      </w:r>
    </w:p>
    <w:p w14:paraId="71D1458D">
      <w:pPr>
        <w:spacing w:line="360" w:lineRule="auto"/>
        <w:ind w:firstLine="480" w:firstLineChars="200"/>
        <w:jc w:val="left"/>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3.6强化快检结果及时反应制度，快检结果能及时快速得出，并提供快检结果，对快检阳性行为作出及时反应，能准确无误</w:t>
      </w:r>
      <w:r>
        <w:rPr>
          <w:rFonts w:hint="eastAsia" w:ascii="宋体" w:hAnsi="宋体" w:cs="宋体"/>
          <w:color w:val="000000" w:themeColor="text1"/>
          <w:sz w:val="24"/>
          <w:highlight w:val="none"/>
          <w:lang w:val="en-US" w:eastAsia="zh-CN"/>
          <w14:textFill>
            <w14:solidFill>
              <w14:schemeClr w14:val="tx1"/>
            </w14:solidFill>
          </w14:textFill>
        </w:rPr>
        <w:t>地</w:t>
      </w:r>
      <w:r>
        <w:rPr>
          <w:rFonts w:hint="eastAsia" w:ascii="宋体" w:hAnsi="宋体" w:eastAsia="宋体" w:cs="宋体"/>
          <w:color w:val="000000" w:themeColor="text1"/>
          <w:sz w:val="24"/>
          <w:highlight w:val="none"/>
          <w:lang w:val="en-US" w:eastAsia="zh-CN"/>
          <w14:textFill>
            <w14:solidFill>
              <w14:schemeClr w14:val="tx1"/>
            </w14:solidFill>
          </w14:textFill>
        </w:rPr>
        <w:t>列入监督抽检。</w:t>
      </w:r>
    </w:p>
    <w:p w14:paraId="652BAFD3">
      <w:pPr>
        <w:spacing w:line="360" w:lineRule="auto"/>
        <w:ind w:firstLine="480" w:firstLineChars="200"/>
        <w:jc w:val="left"/>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3.7中标人须配备快速检测车辆及相应便携式检测设备（提供车辆资料、设备清单及投用本项目的承诺书加盖CA签章，格式自拟）。</w:t>
      </w:r>
    </w:p>
    <w:p w14:paraId="1BA98EB3">
      <w:pPr>
        <w:spacing w:line="360" w:lineRule="auto"/>
        <w:ind w:firstLine="480" w:firstLineChars="200"/>
        <w:jc w:val="left"/>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3.8中标人配备2台新食用农产品检测仪（分析仪）（注：须为2024年1月以后出厂的设备，提供相关出厂证明或承诺书加盖CA签章，格式自拟）。</w:t>
      </w:r>
    </w:p>
    <w:p w14:paraId="14FD3CFB">
      <w:pPr>
        <w:spacing w:line="360" w:lineRule="auto"/>
        <w:ind w:firstLine="480" w:firstLineChars="200"/>
        <w:jc w:val="left"/>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3.9本项目实施团队现场工作人员不少于3人，所有人员需取得“农产品食品检验员”职业技能等级证书（投标文件中需提供人员名单及身份证复印件、劳动合同）。</w:t>
      </w:r>
    </w:p>
    <w:p w14:paraId="25ABBFE4">
      <w:pPr>
        <w:spacing w:line="360" w:lineRule="auto"/>
        <w:ind w:firstLine="480" w:firstLineChars="200"/>
        <w:jc w:val="left"/>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3.10数字化建设：推动监管快检从抽样环节到快检结果直接应用模块</w:t>
      </w:r>
      <w:r>
        <w:rPr>
          <w:rFonts w:hint="eastAsia" w:ascii="宋体" w:hAnsi="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食品经营主体通过对接或导入方式贯通快检数据。推动农批市场、农贸市场、校园配送企业等主体的快检数据与“浙食链”溯源数据自动集成，实现上下游主体“检测+溯源”数据自动流转，并加强数据的收集、分析和利用，不断提高风险筛查靶向性和准确率。</w:t>
      </w:r>
    </w:p>
    <w:p w14:paraId="693FB120">
      <w:pPr>
        <w:adjustRightInd/>
        <w:snapToGrid w:val="0"/>
        <w:spacing w:before="120" w:beforeLines="50" w:after="120" w:afterLines="50" w:line="360" w:lineRule="auto"/>
        <w:ind w:firstLine="480" w:firstLineChars="200"/>
        <w:outlineLvl w:val="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、试剂要求</w:t>
      </w:r>
    </w:p>
    <w:p w14:paraId="37A9A705">
      <w:pPr>
        <w:adjustRightInd/>
        <w:snapToGrid w:val="0"/>
        <w:spacing w:before="120" w:beforeLines="50" w:after="120" w:afterLines="50" w:line="360" w:lineRule="auto"/>
        <w:ind w:firstLine="480" w:firstLineChars="200"/>
        <w:outlineLvl w:val="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.1</w:t>
      </w:r>
      <w:r>
        <w:rPr>
          <w:rFonts w:hint="default" w:ascii="宋体" w:hAnsi="宋体" w:eastAsia="宋体" w:cs="宋体"/>
          <w:color w:val="auto"/>
          <w:sz w:val="24"/>
          <w:highlight w:val="none"/>
          <w:lang w:val="en-US" w:eastAsia="zh-CN"/>
        </w:rPr>
        <w:t>试剂需适用</w:t>
      </w:r>
      <w:r>
        <w:rPr>
          <w:rFonts w:hint="eastAsia" w:ascii="宋体" w:hAnsi="宋体" w:cs="宋体"/>
          <w:color w:val="auto"/>
          <w:sz w:val="24"/>
          <w:highlight w:val="none"/>
          <w:lang w:val="en-US" w:eastAsia="zh-CN"/>
        </w:rPr>
        <w:t>已建成的、准备改建的</w:t>
      </w:r>
      <w:r>
        <w:rPr>
          <w:rFonts w:hint="default" w:ascii="宋体" w:hAnsi="宋体" w:eastAsia="宋体" w:cs="宋体"/>
          <w:color w:val="auto"/>
          <w:sz w:val="24"/>
          <w:highlight w:val="none"/>
          <w:lang w:val="en-US" w:eastAsia="zh-CN"/>
        </w:rPr>
        <w:t>“甬有食安”快检室配备的仪器</w:t>
      </w:r>
      <w:r>
        <w:rPr>
          <w:rFonts w:hint="eastAsia" w:ascii="宋体" w:hAnsi="宋体" w:cs="宋体"/>
          <w:color w:val="auto"/>
          <w:sz w:val="24"/>
          <w:highlight w:val="none"/>
          <w:lang w:val="en-US" w:eastAsia="zh-CN"/>
        </w:rPr>
        <w:t>（其中已建成的便携式食品安全智能分析仪型号为MC-ZHZ-16T，如试剂不能直接适配该型号仪器，由中标人自行调整原有设备仪器参数，以保证试剂能正常使用）</w:t>
      </w:r>
      <w:r>
        <w:rPr>
          <w:rFonts w:hint="eastAsia" w:ascii="宋体" w:hAnsi="宋体" w:eastAsia="宋体" w:cs="宋体"/>
          <w:color w:val="auto"/>
          <w:sz w:val="24"/>
          <w:highlight w:val="none"/>
          <w:lang w:val="en-US" w:eastAsia="zh-CN"/>
        </w:rPr>
        <w:t>。</w:t>
      </w:r>
    </w:p>
    <w:p w14:paraId="3FC6DCF4">
      <w:pPr>
        <w:adjustRightInd/>
        <w:snapToGrid w:val="0"/>
        <w:spacing w:before="120" w:beforeLines="50" w:after="120" w:afterLines="50" w:line="360" w:lineRule="auto"/>
        <w:ind w:firstLine="480" w:firstLineChars="200"/>
        <w:outlineLvl w:val="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.2试剂品种如下：</w:t>
      </w:r>
    </w:p>
    <w:p w14:paraId="365521CA">
      <w:pPr>
        <w:adjustRightInd/>
        <w:snapToGrid w:val="0"/>
        <w:spacing w:before="120" w:beforeLines="50" w:after="120" w:afterLines="50" w:line="360" w:lineRule="auto"/>
        <w:ind w:firstLine="480" w:firstLineChars="200"/>
        <w:outlineLvl w:val="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.2.</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政府购买服务类快检</w:t>
      </w:r>
      <w:r>
        <w:rPr>
          <w:rFonts w:hint="eastAsia" w:ascii="宋体" w:hAnsi="宋体" w:cs="宋体"/>
          <w:color w:val="auto"/>
          <w:sz w:val="24"/>
          <w:highlight w:val="none"/>
          <w:lang w:val="en-US" w:eastAsia="zh-CN"/>
        </w:rPr>
        <w:t>试剂</w:t>
      </w:r>
    </w:p>
    <w:tbl>
      <w:tblPr>
        <w:tblStyle w:val="63"/>
        <w:tblW w:w="85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2"/>
        <w:gridCol w:w="1953"/>
        <w:gridCol w:w="3504"/>
        <w:gridCol w:w="2356"/>
      </w:tblGrid>
      <w:tr w14:paraId="660F7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tcPr>
          <w:p w14:paraId="20619998">
            <w:pPr>
              <w:spacing w:line="460" w:lineRule="exact"/>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序号</w:t>
            </w:r>
          </w:p>
        </w:tc>
        <w:tc>
          <w:tcPr>
            <w:tcW w:w="1953" w:type="dxa"/>
          </w:tcPr>
          <w:p w14:paraId="56E83A68">
            <w:pPr>
              <w:spacing w:line="460" w:lineRule="exact"/>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大类</w:t>
            </w:r>
          </w:p>
        </w:tc>
        <w:tc>
          <w:tcPr>
            <w:tcW w:w="3504" w:type="dxa"/>
          </w:tcPr>
          <w:p w14:paraId="75487B1A">
            <w:pPr>
              <w:spacing w:line="460" w:lineRule="exact"/>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样品名称</w:t>
            </w:r>
          </w:p>
        </w:tc>
        <w:tc>
          <w:tcPr>
            <w:tcW w:w="2356" w:type="dxa"/>
          </w:tcPr>
          <w:p w14:paraId="064A32A5">
            <w:pPr>
              <w:spacing w:line="460" w:lineRule="exact"/>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检测项目</w:t>
            </w:r>
          </w:p>
        </w:tc>
      </w:tr>
      <w:tr w14:paraId="0068E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Merge w:val="restart"/>
            <w:vAlign w:val="center"/>
          </w:tcPr>
          <w:p w14:paraId="73A34026">
            <w:pPr>
              <w:spacing w:line="46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953" w:type="dxa"/>
            <w:vMerge w:val="restart"/>
            <w:vAlign w:val="center"/>
          </w:tcPr>
          <w:p w14:paraId="18CDD9EA">
            <w:pPr>
              <w:spacing w:line="46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蔬菜</w:t>
            </w:r>
          </w:p>
        </w:tc>
        <w:tc>
          <w:tcPr>
            <w:tcW w:w="3504" w:type="dxa"/>
            <w:vAlign w:val="center"/>
          </w:tcPr>
          <w:p w14:paraId="4D3BF4CD">
            <w:pPr>
              <w:spacing w:line="4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豇豆</w:t>
            </w:r>
          </w:p>
        </w:tc>
        <w:tc>
          <w:tcPr>
            <w:tcW w:w="2356" w:type="dxa"/>
            <w:vAlign w:val="center"/>
          </w:tcPr>
          <w:p w14:paraId="09D6ED04">
            <w:pPr>
              <w:spacing w:line="4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灭蝇胺</w:t>
            </w:r>
          </w:p>
        </w:tc>
      </w:tr>
      <w:tr w14:paraId="2BDFD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Merge w:val="continue"/>
            <w:vAlign w:val="center"/>
          </w:tcPr>
          <w:p w14:paraId="6F0B3F55">
            <w:pPr>
              <w:spacing w:line="460" w:lineRule="exact"/>
              <w:jc w:val="center"/>
              <w:rPr>
                <w:rFonts w:hint="default" w:ascii="宋体" w:hAnsi="宋体" w:eastAsia="宋体" w:cs="宋体"/>
                <w:color w:val="auto"/>
                <w:sz w:val="24"/>
                <w:szCs w:val="24"/>
                <w:highlight w:val="none"/>
                <w:lang w:val="en-US" w:eastAsia="zh-CN"/>
              </w:rPr>
            </w:pPr>
          </w:p>
        </w:tc>
        <w:tc>
          <w:tcPr>
            <w:tcW w:w="1953" w:type="dxa"/>
            <w:vMerge w:val="continue"/>
            <w:vAlign w:val="center"/>
          </w:tcPr>
          <w:p w14:paraId="5F7EC719">
            <w:pPr>
              <w:spacing w:line="460" w:lineRule="exact"/>
              <w:jc w:val="center"/>
              <w:rPr>
                <w:rFonts w:hint="eastAsia" w:ascii="宋体" w:hAnsi="宋体" w:eastAsia="宋体" w:cs="宋体"/>
                <w:color w:val="auto"/>
                <w:sz w:val="24"/>
                <w:szCs w:val="24"/>
                <w:highlight w:val="none"/>
                <w:lang w:val="en-US" w:eastAsia="zh-CN"/>
              </w:rPr>
            </w:pPr>
          </w:p>
        </w:tc>
        <w:tc>
          <w:tcPr>
            <w:tcW w:w="3504" w:type="dxa"/>
            <w:vAlign w:val="center"/>
          </w:tcPr>
          <w:p w14:paraId="762D16FB">
            <w:pPr>
              <w:spacing w:line="4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韭菜</w:t>
            </w:r>
          </w:p>
        </w:tc>
        <w:tc>
          <w:tcPr>
            <w:tcW w:w="2356" w:type="dxa"/>
            <w:vAlign w:val="center"/>
          </w:tcPr>
          <w:p w14:paraId="26216084">
            <w:pPr>
              <w:spacing w:line="4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腐霉利</w:t>
            </w:r>
          </w:p>
        </w:tc>
      </w:tr>
      <w:tr w14:paraId="54565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Merge w:val="continue"/>
            <w:vAlign w:val="center"/>
          </w:tcPr>
          <w:p w14:paraId="45EB3A69">
            <w:pPr>
              <w:spacing w:line="460" w:lineRule="exact"/>
              <w:jc w:val="center"/>
              <w:rPr>
                <w:rFonts w:hint="default" w:ascii="宋体" w:hAnsi="宋体" w:eastAsia="宋体" w:cs="宋体"/>
                <w:color w:val="auto"/>
                <w:sz w:val="24"/>
                <w:szCs w:val="24"/>
                <w:highlight w:val="none"/>
                <w:lang w:val="en-US" w:eastAsia="zh-CN"/>
              </w:rPr>
            </w:pPr>
          </w:p>
        </w:tc>
        <w:tc>
          <w:tcPr>
            <w:tcW w:w="1953" w:type="dxa"/>
            <w:vMerge w:val="continue"/>
            <w:vAlign w:val="center"/>
          </w:tcPr>
          <w:p w14:paraId="55F95936">
            <w:pPr>
              <w:spacing w:line="460" w:lineRule="exact"/>
              <w:jc w:val="center"/>
              <w:rPr>
                <w:rFonts w:hint="eastAsia" w:ascii="宋体" w:hAnsi="宋体" w:eastAsia="宋体" w:cs="宋体"/>
                <w:color w:val="auto"/>
                <w:sz w:val="24"/>
                <w:szCs w:val="24"/>
                <w:highlight w:val="none"/>
                <w:lang w:val="en-US" w:eastAsia="zh-CN"/>
              </w:rPr>
            </w:pPr>
          </w:p>
        </w:tc>
        <w:tc>
          <w:tcPr>
            <w:tcW w:w="3504" w:type="dxa"/>
            <w:vAlign w:val="center"/>
          </w:tcPr>
          <w:p w14:paraId="101C8224">
            <w:pPr>
              <w:spacing w:line="4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豆芽</w:t>
            </w:r>
          </w:p>
        </w:tc>
        <w:tc>
          <w:tcPr>
            <w:tcW w:w="2356" w:type="dxa"/>
            <w:vAlign w:val="center"/>
          </w:tcPr>
          <w:p w14:paraId="4EB5BB49">
            <w:pPr>
              <w:spacing w:line="4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喹诺酮类药物</w:t>
            </w:r>
          </w:p>
        </w:tc>
      </w:tr>
      <w:tr w14:paraId="74774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14:paraId="1A1B130D">
            <w:pPr>
              <w:spacing w:line="46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953" w:type="dxa"/>
            <w:vAlign w:val="center"/>
          </w:tcPr>
          <w:p w14:paraId="009F1DC2">
            <w:pPr>
              <w:spacing w:line="46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水果</w:t>
            </w:r>
          </w:p>
        </w:tc>
        <w:tc>
          <w:tcPr>
            <w:tcW w:w="3504" w:type="dxa"/>
            <w:vAlign w:val="center"/>
          </w:tcPr>
          <w:p w14:paraId="611284FE">
            <w:pPr>
              <w:spacing w:line="4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柑、橙、橘</w:t>
            </w:r>
          </w:p>
        </w:tc>
        <w:tc>
          <w:tcPr>
            <w:tcW w:w="2356" w:type="dxa"/>
            <w:vAlign w:val="center"/>
          </w:tcPr>
          <w:p w14:paraId="05742AE1">
            <w:pPr>
              <w:spacing w:line="4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丙溴磷</w:t>
            </w:r>
          </w:p>
        </w:tc>
      </w:tr>
      <w:tr w14:paraId="2D117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Merge w:val="restart"/>
            <w:vAlign w:val="center"/>
          </w:tcPr>
          <w:p w14:paraId="47DA9D11">
            <w:pPr>
              <w:spacing w:line="46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953" w:type="dxa"/>
            <w:vMerge w:val="restart"/>
            <w:vAlign w:val="center"/>
          </w:tcPr>
          <w:p w14:paraId="044CBD7A">
            <w:pPr>
              <w:spacing w:line="46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畜禽肉及副产品</w:t>
            </w:r>
          </w:p>
        </w:tc>
        <w:tc>
          <w:tcPr>
            <w:tcW w:w="3504" w:type="dxa"/>
            <w:vMerge w:val="restart"/>
            <w:vAlign w:val="center"/>
          </w:tcPr>
          <w:p w14:paraId="466A5DE2">
            <w:pPr>
              <w:spacing w:line="4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鸡肉</w:t>
            </w:r>
          </w:p>
        </w:tc>
        <w:tc>
          <w:tcPr>
            <w:tcW w:w="2356" w:type="dxa"/>
            <w:vAlign w:val="center"/>
          </w:tcPr>
          <w:p w14:paraId="6F9CB3A4">
            <w:pPr>
              <w:spacing w:line="4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甲氧苄啶</w:t>
            </w:r>
          </w:p>
        </w:tc>
      </w:tr>
      <w:tr w14:paraId="2E758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Merge w:val="continue"/>
            <w:vAlign w:val="center"/>
          </w:tcPr>
          <w:p w14:paraId="64268A6E">
            <w:pPr>
              <w:spacing w:line="460" w:lineRule="exact"/>
              <w:jc w:val="center"/>
              <w:rPr>
                <w:rFonts w:hint="eastAsia" w:ascii="宋体" w:hAnsi="宋体" w:eastAsia="宋体" w:cs="宋体"/>
                <w:color w:val="auto"/>
                <w:sz w:val="24"/>
                <w:szCs w:val="24"/>
                <w:highlight w:val="none"/>
                <w:lang w:val="en-US" w:eastAsia="zh-CN"/>
              </w:rPr>
            </w:pPr>
          </w:p>
        </w:tc>
        <w:tc>
          <w:tcPr>
            <w:tcW w:w="1953" w:type="dxa"/>
            <w:vMerge w:val="continue"/>
            <w:vAlign w:val="center"/>
          </w:tcPr>
          <w:p w14:paraId="0F1EA2C4">
            <w:pPr>
              <w:spacing w:line="460" w:lineRule="exact"/>
              <w:jc w:val="center"/>
              <w:rPr>
                <w:rFonts w:hint="eastAsia" w:ascii="宋体" w:hAnsi="宋体" w:eastAsia="宋体" w:cs="宋体"/>
                <w:color w:val="auto"/>
                <w:sz w:val="24"/>
                <w:szCs w:val="24"/>
                <w:highlight w:val="none"/>
                <w:lang w:val="en-US" w:eastAsia="zh-CN"/>
              </w:rPr>
            </w:pPr>
          </w:p>
        </w:tc>
        <w:tc>
          <w:tcPr>
            <w:tcW w:w="3504" w:type="dxa"/>
            <w:vMerge w:val="continue"/>
            <w:vAlign w:val="center"/>
          </w:tcPr>
          <w:p w14:paraId="70618301">
            <w:pPr>
              <w:spacing w:line="460" w:lineRule="exact"/>
              <w:jc w:val="center"/>
              <w:rPr>
                <w:rFonts w:hint="eastAsia" w:ascii="宋体" w:hAnsi="宋体" w:eastAsia="宋体" w:cs="宋体"/>
                <w:color w:val="auto"/>
                <w:sz w:val="24"/>
                <w:szCs w:val="24"/>
                <w:highlight w:val="none"/>
                <w:lang w:val="en-US" w:eastAsia="zh-CN"/>
              </w:rPr>
            </w:pPr>
          </w:p>
        </w:tc>
        <w:tc>
          <w:tcPr>
            <w:tcW w:w="2356" w:type="dxa"/>
            <w:vAlign w:val="center"/>
          </w:tcPr>
          <w:p w14:paraId="053306DB">
            <w:pPr>
              <w:spacing w:line="4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恩诺沙星</w:t>
            </w:r>
          </w:p>
        </w:tc>
      </w:tr>
      <w:tr w14:paraId="0C20F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Merge w:val="continue"/>
            <w:vAlign w:val="center"/>
          </w:tcPr>
          <w:p w14:paraId="668E6FA6">
            <w:pPr>
              <w:spacing w:line="460" w:lineRule="exact"/>
              <w:jc w:val="center"/>
              <w:rPr>
                <w:rFonts w:hint="default" w:ascii="宋体" w:hAnsi="宋体" w:eastAsia="宋体" w:cs="宋体"/>
                <w:color w:val="auto"/>
                <w:sz w:val="24"/>
                <w:szCs w:val="24"/>
                <w:highlight w:val="none"/>
                <w:lang w:val="en-US" w:eastAsia="zh-CN"/>
              </w:rPr>
            </w:pPr>
          </w:p>
        </w:tc>
        <w:tc>
          <w:tcPr>
            <w:tcW w:w="1953" w:type="dxa"/>
            <w:vMerge w:val="continue"/>
            <w:vAlign w:val="center"/>
          </w:tcPr>
          <w:p w14:paraId="75FFBBD1">
            <w:pPr>
              <w:spacing w:line="460" w:lineRule="exact"/>
              <w:jc w:val="center"/>
              <w:rPr>
                <w:rFonts w:hint="eastAsia" w:ascii="宋体" w:hAnsi="宋体" w:eastAsia="宋体" w:cs="宋体"/>
                <w:color w:val="auto"/>
                <w:sz w:val="24"/>
                <w:szCs w:val="24"/>
                <w:highlight w:val="none"/>
                <w:lang w:val="en-US" w:eastAsia="zh-CN"/>
              </w:rPr>
            </w:pPr>
          </w:p>
        </w:tc>
        <w:tc>
          <w:tcPr>
            <w:tcW w:w="3504" w:type="dxa"/>
            <w:vAlign w:val="center"/>
          </w:tcPr>
          <w:p w14:paraId="0A494192">
            <w:pPr>
              <w:spacing w:line="4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猪肉</w:t>
            </w:r>
          </w:p>
        </w:tc>
        <w:tc>
          <w:tcPr>
            <w:tcW w:w="2356" w:type="dxa"/>
            <w:vAlign w:val="center"/>
          </w:tcPr>
          <w:p w14:paraId="0191E363">
            <w:pPr>
              <w:spacing w:line="4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恩诺沙星</w:t>
            </w:r>
          </w:p>
        </w:tc>
      </w:tr>
      <w:tr w14:paraId="0CE15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Merge w:val="continue"/>
            <w:vAlign w:val="center"/>
          </w:tcPr>
          <w:p w14:paraId="291CDA83">
            <w:pPr>
              <w:spacing w:line="460" w:lineRule="exact"/>
              <w:jc w:val="center"/>
              <w:rPr>
                <w:rFonts w:hint="eastAsia" w:ascii="宋体" w:hAnsi="宋体" w:eastAsia="宋体" w:cs="宋体"/>
                <w:color w:val="auto"/>
                <w:sz w:val="24"/>
                <w:szCs w:val="24"/>
                <w:highlight w:val="none"/>
                <w:lang w:val="en-US" w:eastAsia="zh-CN"/>
              </w:rPr>
            </w:pPr>
          </w:p>
        </w:tc>
        <w:tc>
          <w:tcPr>
            <w:tcW w:w="1953" w:type="dxa"/>
            <w:vMerge w:val="continue"/>
            <w:vAlign w:val="center"/>
          </w:tcPr>
          <w:p w14:paraId="0CCE5D01">
            <w:pPr>
              <w:spacing w:line="460" w:lineRule="exact"/>
              <w:jc w:val="center"/>
              <w:rPr>
                <w:rFonts w:hint="eastAsia" w:ascii="宋体" w:hAnsi="宋体" w:eastAsia="宋体" w:cs="宋体"/>
                <w:color w:val="auto"/>
                <w:sz w:val="24"/>
                <w:szCs w:val="24"/>
                <w:highlight w:val="none"/>
                <w:lang w:val="en-US" w:eastAsia="zh-CN"/>
              </w:rPr>
            </w:pPr>
          </w:p>
        </w:tc>
        <w:tc>
          <w:tcPr>
            <w:tcW w:w="3504" w:type="dxa"/>
            <w:vAlign w:val="center"/>
          </w:tcPr>
          <w:p w14:paraId="71A8D56B">
            <w:pPr>
              <w:spacing w:line="4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牛肉</w:t>
            </w:r>
          </w:p>
        </w:tc>
        <w:tc>
          <w:tcPr>
            <w:tcW w:w="2356" w:type="dxa"/>
            <w:vAlign w:val="center"/>
          </w:tcPr>
          <w:p w14:paraId="3CCB9617">
            <w:pPr>
              <w:spacing w:line="4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克伦特罗</w:t>
            </w:r>
          </w:p>
        </w:tc>
      </w:tr>
      <w:tr w14:paraId="201E4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Merge w:val="continue"/>
            <w:vAlign w:val="center"/>
          </w:tcPr>
          <w:p w14:paraId="718FD23A">
            <w:pPr>
              <w:spacing w:line="460" w:lineRule="exact"/>
              <w:jc w:val="center"/>
              <w:rPr>
                <w:rFonts w:hint="eastAsia" w:ascii="宋体" w:hAnsi="宋体" w:eastAsia="宋体" w:cs="宋体"/>
                <w:color w:val="auto"/>
                <w:sz w:val="24"/>
                <w:szCs w:val="24"/>
                <w:highlight w:val="none"/>
                <w:lang w:val="en-US" w:eastAsia="zh-CN"/>
              </w:rPr>
            </w:pPr>
          </w:p>
        </w:tc>
        <w:tc>
          <w:tcPr>
            <w:tcW w:w="1953" w:type="dxa"/>
            <w:vMerge w:val="continue"/>
            <w:vAlign w:val="center"/>
          </w:tcPr>
          <w:p w14:paraId="3ED171DA">
            <w:pPr>
              <w:spacing w:line="460" w:lineRule="exact"/>
              <w:jc w:val="center"/>
              <w:rPr>
                <w:rFonts w:hint="eastAsia" w:ascii="宋体" w:hAnsi="宋体" w:eastAsia="宋体" w:cs="宋体"/>
                <w:color w:val="auto"/>
                <w:sz w:val="24"/>
                <w:szCs w:val="24"/>
                <w:highlight w:val="none"/>
                <w:lang w:val="en-US" w:eastAsia="zh-CN"/>
              </w:rPr>
            </w:pPr>
          </w:p>
        </w:tc>
        <w:tc>
          <w:tcPr>
            <w:tcW w:w="3504" w:type="dxa"/>
            <w:vAlign w:val="center"/>
          </w:tcPr>
          <w:p w14:paraId="189AF81F">
            <w:pPr>
              <w:spacing w:line="4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鸭肉</w:t>
            </w:r>
          </w:p>
        </w:tc>
        <w:tc>
          <w:tcPr>
            <w:tcW w:w="2356" w:type="dxa"/>
            <w:vAlign w:val="center"/>
          </w:tcPr>
          <w:p w14:paraId="7ACDBCB7">
            <w:pPr>
              <w:spacing w:line="4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恩诺沙星</w:t>
            </w:r>
          </w:p>
        </w:tc>
      </w:tr>
      <w:tr w14:paraId="4F595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Merge w:val="restart"/>
            <w:vAlign w:val="center"/>
          </w:tcPr>
          <w:p w14:paraId="09029AF9">
            <w:pPr>
              <w:spacing w:line="46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953" w:type="dxa"/>
            <w:vMerge w:val="restart"/>
            <w:vAlign w:val="center"/>
          </w:tcPr>
          <w:p w14:paraId="22D08E6C">
            <w:pPr>
              <w:spacing w:line="4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水产品</w:t>
            </w:r>
          </w:p>
        </w:tc>
        <w:tc>
          <w:tcPr>
            <w:tcW w:w="3504" w:type="dxa"/>
            <w:vMerge w:val="restart"/>
            <w:vAlign w:val="center"/>
          </w:tcPr>
          <w:p w14:paraId="4F4FEE65">
            <w:pPr>
              <w:spacing w:line="4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淡水鱼</w:t>
            </w:r>
          </w:p>
        </w:tc>
        <w:tc>
          <w:tcPr>
            <w:tcW w:w="2356" w:type="dxa"/>
            <w:vAlign w:val="center"/>
          </w:tcPr>
          <w:p w14:paraId="7EC9C11D">
            <w:pPr>
              <w:spacing w:line="4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恩诺沙星</w:t>
            </w:r>
          </w:p>
        </w:tc>
      </w:tr>
      <w:tr w14:paraId="0442D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Merge w:val="continue"/>
            <w:vAlign w:val="center"/>
          </w:tcPr>
          <w:p w14:paraId="62889BAC">
            <w:pPr>
              <w:spacing w:line="460" w:lineRule="exact"/>
              <w:jc w:val="center"/>
              <w:rPr>
                <w:rFonts w:hint="eastAsia" w:ascii="宋体" w:hAnsi="宋体" w:eastAsia="宋体" w:cs="宋体"/>
                <w:color w:val="auto"/>
                <w:sz w:val="24"/>
                <w:szCs w:val="24"/>
                <w:highlight w:val="none"/>
                <w:lang w:val="en-US" w:eastAsia="zh-CN"/>
              </w:rPr>
            </w:pPr>
          </w:p>
        </w:tc>
        <w:tc>
          <w:tcPr>
            <w:tcW w:w="1953" w:type="dxa"/>
            <w:vMerge w:val="continue"/>
            <w:vAlign w:val="center"/>
          </w:tcPr>
          <w:p w14:paraId="094AED96">
            <w:pPr>
              <w:spacing w:line="460" w:lineRule="exact"/>
              <w:jc w:val="center"/>
              <w:rPr>
                <w:rFonts w:hint="eastAsia" w:ascii="宋体" w:hAnsi="宋体" w:eastAsia="宋体" w:cs="宋体"/>
                <w:color w:val="auto"/>
                <w:sz w:val="24"/>
                <w:szCs w:val="24"/>
                <w:highlight w:val="none"/>
                <w:lang w:val="en-US" w:eastAsia="zh-CN"/>
              </w:rPr>
            </w:pPr>
          </w:p>
        </w:tc>
        <w:tc>
          <w:tcPr>
            <w:tcW w:w="3504" w:type="dxa"/>
            <w:vMerge w:val="continue"/>
            <w:vAlign w:val="center"/>
          </w:tcPr>
          <w:p w14:paraId="3BA6BCA6">
            <w:pPr>
              <w:spacing w:line="460" w:lineRule="exact"/>
              <w:jc w:val="center"/>
              <w:rPr>
                <w:rFonts w:hint="eastAsia" w:ascii="宋体" w:hAnsi="宋体" w:eastAsia="宋体" w:cs="宋体"/>
                <w:color w:val="auto"/>
                <w:sz w:val="24"/>
                <w:szCs w:val="24"/>
                <w:highlight w:val="none"/>
                <w:lang w:val="en-US" w:eastAsia="zh-CN"/>
              </w:rPr>
            </w:pPr>
          </w:p>
        </w:tc>
        <w:tc>
          <w:tcPr>
            <w:tcW w:w="2356" w:type="dxa"/>
            <w:vAlign w:val="center"/>
          </w:tcPr>
          <w:p w14:paraId="58104E03">
            <w:pPr>
              <w:spacing w:line="4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孔雀石绿</w:t>
            </w:r>
          </w:p>
        </w:tc>
      </w:tr>
      <w:tr w14:paraId="7248D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Merge w:val="continue"/>
            <w:vAlign w:val="center"/>
          </w:tcPr>
          <w:p w14:paraId="30F3D1B1">
            <w:pPr>
              <w:spacing w:line="460" w:lineRule="exact"/>
              <w:jc w:val="center"/>
              <w:rPr>
                <w:rFonts w:hint="eastAsia" w:ascii="宋体" w:hAnsi="宋体" w:eastAsia="宋体" w:cs="宋体"/>
                <w:color w:val="auto"/>
                <w:sz w:val="24"/>
                <w:szCs w:val="24"/>
                <w:highlight w:val="none"/>
                <w:lang w:val="en-US" w:eastAsia="zh-CN"/>
              </w:rPr>
            </w:pPr>
          </w:p>
        </w:tc>
        <w:tc>
          <w:tcPr>
            <w:tcW w:w="1953" w:type="dxa"/>
            <w:vMerge w:val="continue"/>
            <w:vAlign w:val="center"/>
          </w:tcPr>
          <w:p w14:paraId="26769B6F">
            <w:pPr>
              <w:spacing w:line="460" w:lineRule="exact"/>
              <w:jc w:val="center"/>
              <w:rPr>
                <w:rFonts w:hint="eastAsia" w:ascii="宋体" w:hAnsi="宋体" w:eastAsia="宋体" w:cs="宋体"/>
                <w:color w:val="auto"/>
                <w:sz w:val="24"/>
                <w:szCs w:val="24"/>
                <w:highlight w:val="none"/>
                <w:lang w:val="en-US" w:eastAsia="zh-CN"/>
              </w:rPr>
            </w:pPr>
          </w:p>
        </w:tc>
        <w:tc>
          <w:tcPr>
            <w:tcW w:w="3504" w:type="dxa"/>
            <w:vMerge w:val="restart"/>
            <w:vAlign w:val="center"/>
          </w:tcPr>
          <w:p w14:paraId="7B45BAC6">
            <w:pPr>
              <w:spacing w:line="4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牛蛙</w:t>
            </w:r>
          </w:p>
        </w:tc>
        <w:tc>
          <w:tcPr>
            <w:tcW w:w="2356" w:type="dxa"/>
            <w:vAlign w:val="center"/>
          </w:tcPr>
          <w:p w14:paraId="14801C34">
            <w:pPr>
              <w:spacing w:line="4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恩诺沙星</w:t>
            </w:r>
          </w:p>
        </w:tc>
      </w:tr>
      <w:tr w14:paraId="1921A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Merge w:val="continue"/>
            <w:vAlign w:val="center"/>
          </w:tcPr>
          <w:p w14:paraId="13CD73FD">
            <w:pPr>
              <w:spacing w:line="460" w:lineRule="exact"/>
              <w:jc w:val="center"/>
              <w:rPr>
                <w:rFonts w:hint="eastAsia" w:ascii="宋体" w:hAnsi="宋体" w:eastAsia="宋体" w:cs="宋体"/>
                <w:color w:val="auto"/>
                <w:sz w:val="24"/>
                <w:szCs w:val="24"/>
                <w:highlight w:val="none"/>
                <w:lang w:val="en-US" w:eastAsia="zh-CN"/>
              </w:rPr>
            </w:pPr>
          </w:p>
        </w:tc>
        <w:tc>
          <w:tcPr>
            <w:tcW w:w="1953" w:type="dxa"/>
            <w:vMerge w:val="continue"/>
            <w:vAlign w:val="center"/>
          </w:tcPr>
          <w:p w14:paraId="62393247">
            <w:pPr>
              <w:spacing w:line="460" w:lineRule="exact"/>
              <w:jc w:val="center"/>
              <w:rPr>
                <w:rFonts w:hint="eastAsia" w:ascii="宋体" w:hAnsi="宋体" w:eastAsia="宋体" w:cs="宋体"/>
                <w:color w:val="auto"/>
                <w:sz w:val="24"/>
                <w:szCs w:val="24"/>
                <w:highlight w:val="none"/>
                <w:lang w:val="en-US" w:eastAsia="zh-CN"/>
              </w:rPr>
            </w:pPr>
          </w:p>
        </w:tc>
        <w:tc>
          <w:tcPr>
            <w:tcW w:w="3504" w:type="dxa"/>
            <w:vMerge w:val="continue"/>
            <w:vAlign w:val="center"/>
          </w:tcPr>
          <w:p w14:paraId="5EBBC661">
            <w:pPr>
              <w:spacing w:line="460" w:lineRule="exact"/>
              <w:jc w:val="center"/>
              <w:rPr>
                <w:rFonts w:hint="eastAsia" w:ascii="宋体" w:hAnsi="宋体" w:eastAsia="宋体" w:cs="宋体"/>
                <w:color w:val="auto"/>
                <w:sz w:val="24"/>
                <w:szCs w:val="24"/>
                <w:highlight w:val="none"/>
                <w:lang w:val="en-US" w:eastAsia="zh-CN"/>
              </w:rPr>
            </w:pPr>
          </w:p>
        </w:tc>
        <w:tc>
          <w:tcPr>
            <w:tcW w:w="2356" w:type="dxa"/>
            <w:vAlign w:val="center"/>
          </w:tcPr>
          <w:p w14:paraId="2D09F571">
            <w:pPr>
              <w:spacing w:line="4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呋喃唑酮代谢物</w:t>
            </w:r>
          </w:p>
        </w:tc>
      </w:tr>
      <w:tr w14:paraId="4A580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Merge w:val="continue"/>
            <w:vAlign w:val="center"/>
          </w:tcPr>
          <w:p w14:paraId="67355E06">
            <w:pPr>
              <w:spacing w:line="460" w:lineRule="exact"/>
              <w:jc w:val="center"/>
              <w:rPr>
                <w:rFonts w:hint="eastAsia" w:ascii="宋体" w:hAnsi="宋体" w:eastAsia="宋体" w:cs="宋体"/>
                <w:color w:val="auto"/>
                <w:sz w:val="24"/>
                <w:szCs w:val="24"/>
                <w:highlight w:val="none"/>
                <w:lang w:val="en-US" w:eastAsia="zh-CN"/>
              </w:rPr>
            </w:pPr>
          </w:p>
        </w:tc>
        <w:tc>
          <w:tcPr>
            <w:tcW w:w="1953" w:type="dxa"/>
            <w:vMerge w:val="continue"/>
            <w:vAlign w:val="center"/>
          </w:tcPr>
          <w:p w14:paraId="17843CF9">
            <w:pPr>
              <w:spacing w:line="460" w:lineRule="exact"/>
              <w:jc w:val="center"/>
              <w:rPr>
                <w:rFonts w:hint="eastAsia" w:ascii="宋体" w:hAnsi="宋体" w:eastAsia="宋体" w:cs="宋体"/>
                <w:color w:val="auto"/>
                <w:sz w:val="24"/>
                <w:szCs w:val="24"/>
                <w:highlight w:val="none"/>
                <w:lang w:val="en-US" w:eastAsia="zh-CN"/>
              </w:rPr>
            </w:pPr>
          </w:p>
        </w:tc>
        <w:tc>
          <w:tcPr>
            <w:tcW w:w="3504" w:type="dxa"/>
            <w:vMerge w:val="continue"/>
            <w:vAlign w:val="center"/>
          </w:tcPr>
          <w:p w14:paraId="6E91094F">
            <w:pPr>
              <w:spacing w:line="460" w:lineRule="exact"/>
              <w:jc w:val="center"/>
              <w:rPr>
                <w:rFonts w:hint="eastAsia" w:ascii="宋体" w:hAnsi="宋体" w:eastAsia="宋体" w:cs="宋体"/>
                <w:color w:val="auto"/>
                <w:sz w:val="24"/>
                <w:szCs w:val="24"/>
                <w:highlight w:val="none"/>
                <w:lang w:val="en-US" w:eastAsia="zh-CN"/>
              </w:rPr>
            </w:pPr>
          </w:p>
        </w:tc>
        <w:tc>
          <w:tcPr>
            <w:tcW w:w="2356" w:type="dxa"/>
            <w:vAlign w:val="center"/>
          </w:tcPr>
          <w:p w14:paraId="3B972142">
            <w:pPr>
              <w:spacing w:line="4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呋喃西林代谢物</w:t>
            </w:r>
          </w:p>
        </w:tc>
      </w:tr>
      <w:tr w14:paraId="5522A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Merge w:val="continue"/>
            <w:vAlign w:val="center"/>
          </w:tcPr>
          <w:p w14:paraId="58503CDB">
            <w:pPr>
              <w:spacing w:line="460" w:lineRule="exact"/>
              <w:jc w:val="center"/>
              <w:rPr>
                <w:rFonts w:hint="eastAsia" w:ascii="宋体" w:hAnsi="宋体" w:eastAsia="宋体" w:cs="宋体"/>
                <w:color w:val="auto"/>
                <w:sz w:val="24"/>
                <w:szCs w:val="24"/>
                <w:highlight w:val="none"/>
                <w:lang w:val="en-US" w:eastAsia="zh-CN"/>
              </w:rPr>
            </w:pPr>
          </w:p>
        </w:tc>
        <w:tc>
          <w:tcPr>
            <w:tcW w:w="1953" w:type="dxa"/>
            <w:vMerge w:val="continue"/>
            <w:vAlign w:val="center"/>
          </w:tcPr>
          <w:p w14:paraId="4362F9F5">
            <w:pPr>
              <w:spacing w:line="460" w:lineRule="exact"/>
              <w:jc w:val="center"/>
              <w:rPr>
                <w:rFonts w:hint="eastAsia" w:ascii="宋体" w:hAnsi="宋体" w:eastAsia="宋体" w:cs="宋体"/>
                <w:color w:val="auto"/>
                <w:sz w:val="24"/>
                <w:szCs w:val="24"/>
                <w:highlight w:val="none"/>
                <w:lang w:val="en-US" w:eastAsia="zh-CN"/>
              </w:rPr>
            </w:pPr>
          </w:p>
        </w:tc>
        <w:tc>
          <w:tcPr>
            <w:tcW w:w="3504" w:type="dxa"/>
            <w:vAlign w:val="center"/>
          </w:tcPr>
          <w:p w14:paraId="44AC60A5">
            <w:pPr>
              <w:spacing w:line="4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海水鱼</w:t>
            </w:r>
          </w:p>
        </w:tc>
        <w:tc>
          <w:tcPr>
            <w:tcW w:w="2356" w:type="dxa"/>
            <w:vAlign w:val="center"/>
          </w:tcPr>
          <w:p w14:paraId="381BAEA7">
            <w:pPr>
              <w:spacing w:line="4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恩诺沙星</w:t>
            </w:r>
          </w:p>
        </w:tc>
      </w:tr>
      <w:tr w14:paraId="19D71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Merge w:val="continue"/>
            <w:vAlign w:val="center"/>
          </w:tcPr>
          <w:p w14:paraId="6559C99E">
            <w:pPr>
              <w:spacing w:line="460" w:lineRule="exact"/>
              <w:jc w:val="center"/>
              <w:rPr>
                <w:rFonts w:hint="eastAsia" w:ascii="宋体" w:hAnsi="宋体" w:eastAsia="宋体" w:cs="宋体"/>
                <w:color w:val="auto"/>
                <w:sz w:val="24"/>
                <w:szCs w:val="24"/>
                <w:highlight w:val="none"/>
                <w:lang w:val="en-US" w:eastAsia="zh-CN"/>
              </w:rPr>
            </w:pPr>
          </w:p>
        </w:tc>
        <w:tc>
          <w:tcPr>
            <w:tcW w:w="1953" w:type="dxa"/>
            <w:vMerge w:val="continue"/>
            <w:vAlign w:val="center"/>
          </w:tcPr>
          <w:p w14:paraId="5D680E69">
            <w:pPr>
              <w:spacing w:line="460" w:lineRule="exact"/>
              <w:jc w:val="center"/>
              <w:rPr>
                <w:rFonts w:hint="eastAsia" w:ascii="宋体" w:hAnsi="宋体" w:eastAsia="宋体" w:cs="宋体"/>
                <w:color w:val="auto"/>
                <w:sz w:val="24"/>
                <w:szCs w:val="24"/>
                <w:highlight w:val="none"/>
                <w:lang w:val="en-US" w:eastAsia="zh-CN"/>
              </w:rPr>
            </w:pPr>
          </w:p>
        </w:tc>
        <w:tc>
          <w:tcPr>
            <w:tcW w:w="3504" w:type="dxa"/>
            <w:vAlign w:val="center"/>
          </w:tcPr>
          <w:p w14:paraId="21CB2EF6">
            <w:pPr>
              <w:spacing w:line="4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淡水虾</w:t>
            </w:r>
          </w:p>
        </w:tc>
        <w:tc>
          <w:tcPr>
            <w:tcW w:w="2356" w:type="dxa"/>
            <w:vAlign w:val="center"/>
          </w:tcPr>
          <w:p w14:paraId="12BA2872">
            <w:pPr>
              <w:spacing w:line="4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恩诺沙星</w:t>
            </w:r>
          </w:p>
        </w:tc>
      </w:tr>
      <w:tr w14:paraId="093C9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14:paraId="5A23709B">
            <w:pPr>
              <w:spacing w:line="46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953" w:type="dxa"/>
            <w:vAlign w:val="center"/>
          </w:tcPr>
          <w:p w14:paraId="387CDEFC">
            <w:pPr>
              <w:spacing w:line="4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生干坚果及籽类</w:t>
            </w:r>
          </w:p>
        </w:tc>
        <w:tc>
          <w:tcPr>
            <w:tcW w:w="3504" w:type="dxa"/>
            <w:vAlign w:val="center"/>
          </w:tcPr>
          <w:p w14:paraId="0FEB21D0">
            <w:pPr>
              <w:spacing w:line="4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生干坚果及籽类</w:t>
            </w:r>
          </w:p>
        </w:tc>
        <w:tc>
          <w:tcPr>
            <w:tcW w:w="2356" w:type="dxa"/>
            <w:vAlign w:val="center"/>
          </w:tcPr>
          <w:p w14:paraId="47AEE7FC">
            <w:pPr>
              <w:spacing w:line="46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黄曲霉毒素B</w:t>
            </w:r>
            <w:r>
              <w:rPr>
                <w:rFonts w:hint="eastAsia" w:ascii="宋体" w:hAnsi="宋体" w:eastAsia="宋体" w:cs="宋体"/>
                <w:color w:val="auto"/>
                <w:sz w:val="24"/>
                <w:szCs w:val="24"/>
                <w:highlight w:val="none"/>
                <w:vertAlign w:val="subscript"/>
                <w:lang w:val="en-US" w:eastAsia="zh-CN"/>
              </w:rPr>
              <w:t>1</w:t>
            </w:r>
          </w:p>
        </w:tc>
      </w:tr>
    </w:tbl>
    <w:p w14:paraId="45EB24A3">
      <w:pPr>
        <w:adjustRightInd/>
        <w:snapToGrid w:val="0"/>
        <w:spacing w:before="120" w:beforeLines="50" w:after="120" w:afterLines="50" w:line="360" w:lineRule="auto"/>
        <w:ind w:firstLine="482" w:firstLineChars="200"/>
        <w:outlineLvl w:val="0"/>
        <w:rPr>
          <w:rFonts w:hint="default" w:ascii="宋体" w:hAnsi="宋体" w:cs="宋体"/>
          <w:color w:val="auto"/>
          <w:sz w:val="24"/>
          <w:highlight w:val="none"/>
          <w:lang w:val="en-US" w:eastAsia="zh-CN"/>
        </w:rPr>
      </w:pPr>
      <w:r>
        <w:rPr>
          <w:rFonts w:hint="eastAsia" w:ascii="宋体" w:hAnsi="宋体" w:eastAsia="宋体" w:cs="宋体"/>
          <w:b/>
          <w:bCs/>
          <w:color w:val="auto"/>
          <w:sz w:val="24"/>
          <w:highlight w:val="none"/>
          <w:lang w:val="en-US" w:eastAsia="zh-CN"/>
        </w:rPr>
        <w:t>▲备注：</w:t>
      </w:r>
      <w:r>
        <w:rPr>
          <w:rFonts w:hint="eastAsia" w:ascii="宋体" w:hAnsi="宋体" w:cs="宋体"/>
          <w:b/>
          <w:bCs/>
          <w:color w:val="auto"/>
          <w:sz w:val="24"/>
          <w:highlight w:val="none"/>
          <w:lang w:val="en-US" w:eastAsia="zh-CN"/>
        </w:rPr>
        <w:t>以上试剂采购项目，需根据省市局2025年最新工作要求进行调整。</w:t>
      </w:r>
    </w:p>
    <w:p w14:paraId="500B65D6">
      <w:pPr>
        <w:adjustRightInd/>
        <w:snapToGrid w:val="0"/>
        <w:spacing w:before="120" w:beforeLines="50" w:after="120" w:afterLines="50" w:line="360" w:lineRule="auto"/>
        <w:ind w:firstLine="480" w:firstLineChars="200"/>
        <w:outlineLvl w:val="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、试剂在应对应急事件时，能快速提供。</w:t>
      </w:r>
    </w:p>
    <w:p w14:paraId="6FF45E38">
      <w:pPr>
        <w:adjustRightInd/>
        <w:snapToGrid w:val="0"/>
        <w:spacing w:before="120" w:beforeLines="50" w:after="120" w:afterLines="50" w:line="360" w:lineRule="auto"/>
        <w:ind w:firstLine="480" w:firstLineChars="200"/>
        <w:outlineLvl w:val="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、检测综合单价最高限价</w:t>
      </w:r>
    </w:p>
    <w:tbl>
      <w:tblPr>
        <w:tblStyle w:val="62"/>
        <w:tblW w:w="4895" w:type="pct"/>
        <w:tblInd w:w="173" w:type="dxa"/>
        <w:tblLayout w:type="autofit"/>
        <w:tblCellMar>
          <w:top w:w="0" w:type="dxa"/>
          <w:left w:w="108" w:type="dxa"/>
          <w:bottom w:w="0" w:type="dxa"/>
          <w:right w:w="108" w:type="dxa"/>
        </w:tblCellMar>
      </w:tblPr>
      <w:tblGrid>
        <w:gridCol w:w="2296"/>
        <w:gridCol w:w="3722"/>
        <w:gridCol w:w="2299"/>
      </w:tblGrid>
      <w:tr w14:paraId="6659C534">
        <w:tblPrEx>
          <w:tblCellMar>
            <w:top w:w="0" w:type="dxa"/>
            <w:left w:w="108" w:type="dxa"/>
            <w:bottom w:w="0" w:type="dxa"/>
            <w:right w:w="108" w:type="dxa"/>
          </w:tblCellMar>
        </w:tblPrEx>
        <w:trPr>
          <w:trHeight w:val="538" w:hRule="atLeast"/>
        </w:trPr>
        <w:tc>
          <w:tcPr>
            <w:tcW w:w="1380" w:type="pct"/>
            <w:tcBorders>
              <w:top w:val="single" w:color="auto" w:sz="4" w:space="0"/>
              <w:left w:val="single" w:color="auto" w:sz="4" w:space="0"/>
              <w:bottom w:val="single" w:color="auto" w:sz="4" w:space="0"/>
              <w:right w:val="single" w:color="auto" w:sz="4" w:space="0"/>
            </w:tcBorders>
            <w:noWrap w:val="0"/>
            <w:vAlign w:val="center"/>
          </w:tcPr>
          <w:p w14:paraId="3ED5EDB6">
            <w:pPr>
              <w:spacing w:line="46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名称</w:t>
            </w:r>
          </w:p>
        </w:tc>
        <w:tc>
          <w:tcPr>
            <w:tcW w:w="2237" w:type="pct"/>
            <w:tcBorders>
              <w:top w:val="single" w:color="auto" w:sz="4" w:space="0"/>
              <w:left w:val="nil"/>
              <w:bottom w:val="single" w:color="auto" w:sz="4" w:space="0"/>
              <w:right w:val="single" w:color="auto" w:sz="4" w:space="0"/>
            </w:tcBorders>
            <w:noWrap w:val="0"/>
            <w:vAlign w:val="center"/>
          </w:tcPr>
          <w:p w14:paraId="148F285C">
            <w:pPr>
              <w:spacing w:line="46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综合</w:t>
            </w:r>
            <w:r>
              <w:rPr>
                <w:rFonts w:hint="eastAsia" w:ascii="宋体" w:hAnsi="宋体" w:eastAsia="宋体" w:cs="宋体"/>
                <w:color w:val="auto"/>
                <w:sz w:val="24"/>
                <w:szCs w:val="24"/>
                <w:highlight w:val="none"/>
              </w:rPr>
              <w:t>单价</w:t>
            </w:r>
            <w:r>
              <w:rPr>
                <w:rFonts w:hint="eastAsia" w:ascii="宋体" w:hAnsi="宋体" w:eastAsia="宋体" w:cs="宋体"/>
                <w:color w:val="auto"/>
                <w:sz w:val="24"/>
                <w:szCs w:val="24"/>
                <w:highlight w:val="none"/>
                <w:lang w:eastAsia="zh-CN"/>
              </w:rPr>
              <w:t>最高限价</w:t>
            </w:r>
          </w:p>
        </w:tc>
        <w:tc>
          <w:tcPr>
            <w:tcW w:w="1382" w:type="pct"/>
            <w:tcBorders>
              <w:top w:val="single" w:color="auto" w:sz="4" w:space="0"/>
              <w:left w:val="nil"/>
              <w:bottom w:val="single" w:color="auto" w:sz="4" w:space="0"/>
              <w:right w:val="single" w:color="auto" w:sz="4" w:space="0"/>
            </w:tcBorders>
            <w:noWrap w:val="0"/>
            <w:vAlign w:val="center"/>
          </w:tcPr>
          <w:p w14:paraId="154CEC4C">
            <w:pPr>
              <w:spacing w:line="46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暂定数量</w:t>
            </w:r>
          </w:p>
        </w:tc>
      </w:tr>
      <w:tr w14:paraId="358C0AE6">
        <w:tblPrEx>
          <w:tblCellMar>
            <w:top w:w="0" w:type="dxa"/>
            <w:left w:w="108" w:type="dxa"/>
            <w:bottom w:w="0" w:type="dxa"/>
            <w:right w:w="108" w:type="dxa"/>
          </w:tblCellMar>
        </w:tblPrEx>
        <w:trPr>
          <w:trHeight w:val="538" w:hRule="atLeast"/>
        </w:trPr>
        <w:tc>
          <w:tcPr>
            <w:tcW w:w="1380" w:type="pct"/>
            <w:tcBorders>
              <w:top w:val="single" w:color="auto" w:sz="4" w:space="0"/>
              <w:left w:val="single" w:color="auto" w:sz="4" w:space="0"/>
              <w:bottom w:val="single" w:color="auto" w:sz="4" w:space="0"/>
              <w:right w:val="single" w:color="auto" w:sz="4" w:space="0"/>
            </w:tcBorders>
            <w:noWrap w:val="0"/>
            <w:vAlign w:val="center"/>
          </w:tcPr>
          <w:p w14:paraId="5A3030A5">
            <w:pPr>
              <w:spacing w:line="46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试剂采购</w:t>
            </w:r>
          </w:p>
        </w:tc>
        <w:tc>
          <w:tcPr>
            <w:tcW w:w="2237" w:type="pct"/>
            <w:tcBorders>
              <w:top w:val="single" w:color="auto" w:sz="4" w:space="0"/>
              <w:left w:val="nil"/>
              <w:bottom w:val="single" w:color="auto" w:sz="4" w:space="0"/>
              <w:right w:val="single" w:color="auto" w:sz="4" w:space="0"/>
            </w:tcBorders>
            <w:noWrap w:val="0"/>
            <w:vAlign w:val="center"/>
          </w:tcPr>
          <w:p w14:paraId="35E5C520">
            <w:pPr>
              <w:spacing w:line="46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元</w:t>
            </w:r>
            <w:r>
              <w:rPr>
                <w:rFonts w:hint="eastAsia" w:ascii="宋体" w:hAnsi="宋体" w:eastAsia="宋体" w:cs="宋体"/>
                <w:color w:val="auto"/>
                <w:sz w:val="24"/>
                <w:szCs w:val="24"/>
                <w:highlight w:val="none"/>
              </w:rPr>
              <w:t>/批次</w:t>
            </w:r>
          </w:p>
        </w:tc>
        <w:tc>
          <w:tcPr>
            <w:tcW w:w="1382" w:type="pct"/>
            <w:tcBorders>
              <w:top w:val="single" w:color="auto" w:sz="4" w:space="0"/>
              <w:left w:val="nil"/>
              <w:bottom w:val="single" w:color="auto" w:sz="4" w:space="0"/>
              <w:right w:val="single" w:color="auto" w:sz="4" w:space="0"/>
            </w:tcBorders>
            <w:noWrap w:val="0"/>
            <w:vAlign w:val="center"/>
          </w:tcPr>
          <w:p w14:paraId="450EDB36">
            <w:pPr>
              <w:spacing w:line="460" w:lineRule="exact"/>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100000</w:t>
            </w:r>
            <w:r>
              <w:rPr>
                <w:rFonts w:hint="eastAsia" w:ascii="宋体" w:hAnsi="宋体" w:eastAsia="宋体" w:cs="宋体"/>
                <w:color w:val="auto"/>
                <w:sz w:val="24"/>
                <w:szCs w:val="24"/>
                <w:highlight w:val="none"/>
              </w:rPr>
              <w:t>批次</w:t>
            </w:r>
          </w:p>
        </w:tc>
      </w:tr>
      <w:tr w14:paraId="29D18DED">
        <w:tblPrEx>
          <w:tblCellMar>
            <w:top w:w="0" w:type="dxa"/>
            <w:left w:w="108" w:type="dxa"/>
            <w:bottom w:w="0" w:type="dxa"/>
            <w:right w:w="108" w:type="dxa"/>
          </w:tblCellMar>
        </w:tblPrEx>
        <w:trPr>
          <w:trHeight w:val="552" w:hRule="atLeast"/>
        </w:trPr>
        <w:tc>
          <w:tcPr>
            <w:tcW w:w="1380" w:type="pct"/>
            <w:tcBorders>
              <w:top w:val="single" w:color="auto" w:sz="4" w:space="0"/>
              <w:left w:val="single" w:color="auto" w:sz="4" w:space="0"/>
              <w:bottom w:val="single" w:color="auto" w:sz="4" w:space="0"/>
              <w:right w:val="single" w:color="auto" w:sz="4" w:space="0"/>
            </w:tcBorders>
            <w:noWrap w:val="0"/>
            <w:vAlign w:val="center"/>
          </w:tcPr>
          <w:p w14:paraId="2909DE45">
            <w:pPr>
              <w:spacing w:line="4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日常快速检测</w:t>
            </w:r>
          </w:p>
        </w:tc>
        <w:tc>
          <w:tcPr>
            <w:tcW w:w="2237" w:type="pct"/>
            <w:tcBorders>
              <w:top w:val="single" w:color="auto" w:sz="4" w:space="0"/>
              <w:left w:val="nil"/>
              <w:bottom w:val="single" w:color="auto" w:sz="4" w:space="0"/>
              <w:right w:val="single" w:color="auto" w:sz="4" w:space="0"/>
            </w:tcBorders>
            <w:noWrap w:val="0"/>
            <w:vAlign w:val="center"/>
          </w:tcPr>
          <w:p w14:paraId="1B27721A">
            <w:pPr>
              <w:spacing w:line="46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元/</w:t>
            </w:r>
            <w:r>
              <w:rPr>
                <w:rFonts w:hint="eastAsia" w:ascii="宋体" w:hAnsi="宋体" w:cs="宋体"/>
                <w:color w:val="auto"/>
                <w:sz w:val="24"/>
                <w:szCs w:val="24"/>
                <w:highlight w:val="none"/>
                <w:lang w:eastAsia="zh-CN"/>
              </w:rPr>
              <w:t>批次</w:t>
            </w:r>
          </w:p>
        </w:tc>
        <w:tc>
          <w:tcPr>
            <w:tcW w:w="1382" w:type="pct"/>
            <w:tcBorders>
              <w:top w:val="single" w:color="auto" w:sz="4" w:space="0"/>
              <w:left w:val="nil"/>
              <w:bottom w:val="single" w:color="auto" w:sz="4" w:space="0"/>
              <w:right w:val="single" w:color="auto" w:sz="4" w:space="0"/>
            </w:tcBorders>
            <w:noWrap w:val="0"/>
            <w:vAlign w:val="center"/>
          </w:tcPr>
          <w:p w14:paraId="0DC6D1CE">
            <w:pPr>
              <w:spacing w:line="460" w:lineRule="exact"/>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2000</w:t>
            </w:r>
            <w:r>
              <w:rPr>
                <w:rFonts w:hint="eastAsia" w:ascii="宋体" w:hAnsi="宋体" w:eastAsia="宋体" w:cs="宋体"/>
                <w:color w:val="auto"/>
                <w:sz w:val="24"/>
                <w:szCs w:val="24"/>
                <w:highlight w:val="none"/>
              </w:rPr>
              <w:t>批次</w:t>
            </w:r>
          </w:p>
        </w:tc>
      </w:tr>
      <w:tr w14:paraId="42E23355">
        <w:tblPrEx>
          <w:tblCellMar>
            <w:top w:w="0" w:type="dxa"/>
            <w:left w:w="108" w:type="dxa"/>
            <w:bottom w:w="0" w:type="dxa"/>
            <w:right w:w="108" w:type="dxa"/>
          </w:tblCellMar>
        </w:tblPrEx>
        <w:trPr>
          <w:trHeight w:val="574" w:hRule="atLeast"/>
        </w:trPr>
        <w:tc>
          <w:tcPr>
            <w:tcW w:w="1380" w:type="pct"/>
            <w:vMerge w:val="restart"/>
            <w:tcBorders>
              <w:top w:val="single" w:color="auto" w:sz="4" w:space="0"/>
              <w:left w:val="single" w:color="auto" w:sz="4" w:space="0"/>
              <w:right w:val="single" w:color="auto" w:sz="4" w:space="0"/>
            </w:tcBorders>
            <w:noWrap w:val="0"/>
            <w:vAlign w:val="center"/>
          </w:tcPr>
          <w:p w14:paraId="38080F36">
            <w:pPr>
              <w:spacing w:line="4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专项快速检测</w:t>
            </w:r>
          </w:p>
        </w:tc>
        <w:tc>
          <w:tcPr>
            <w:tcW w:w="2237" w:type="pct"/>
            <w:tcBorders>
              <w:top w:val="single" w:color="auto" w:sz="4" w:space="0"/>
              <w:left w:val="nil"/>
              <w:bottom w:val="single" w:color="auto" w:sz="4" w:space="0"/>
              <w:right w:val="single" w:color="auto" w:sz="4" w:space="0"/>
            </w:tcBorders>
            <w:noWrap w:val="0"/>
            <w:vAlign w:val="center"/>
          </w:tcPr>
          <w:p w14:paraId="67E0B2A1">
            <w:pPr>
              <w:spacing w:line="4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农残15元/</w:t>
            </w:r>
            <w:r>
              <w:rPr>
                <w:rFonts w:hint="eastAsia" w:ascii="宋体" w:hAnsi="宋体" w:cs="宋体"/>
                <w:color w:val="auto"/>
                <w:sz w:val="24"/>
                <w:szCs w:val="24"/>
                <w:highlight w:val="none"/>
                <w:lang w:eastAsia="zh-CN"/>
              </w:rPr>
              <w:t>项</w:t>
            </w:r>
            <w:r>
              <w:rPr>
                <w:rFonts w:hint="eastAsia" w:ascii="宋体" w:hAnsi="宋体" w:eastAsia="宋体" w:cs="宋体"/>
                <w:color w:val="auto"/>
                <w:sz w:val="24"/>
                <w:szCs w:val="24"/>
                <w:highlight w:val="none"/>
              </w:rPr>
              <w:t>次</w:t>
            </w:r>
          </w:p>
        </w:tc>
        <w:tc>
          <w:tcPr>
            <w:tcW w:w="1382" w:type="pct"/>
            <w:tcBorders>
              <w:top w:val="single" w:color="auto" w:sz="4" w:space="0"/>
              <w:left w:val="nil"/>
              <w:bottom w:val="single" w:color="auto" w:sz="4" w:space="0"/>
              <w:right w:val="single" w:color="auto" w:sz="4" w:space="0"/>
            </w:tcBorders>
            <w:noWrap w:val="0"/>
            <w:vAlign w:val="center"/>
          </w:tcPr>
          <w:p w14:paraId="215C2601">
            <w:pPr>
              <w:spacing w:line="46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4000</w:t>
            </w:r>
            <w:r>
              <w:rPr>
                <w:rFonts w:hint="eastAsia" w:ascii="宋体" w:hAnsi="宋体" w:eastAsia="宋体" w:cs="宋体"/>
                <w:color w:val="auto"/>
                <w:sz w:val="24"/>
                <w:szCs w:val="24"/>
                <w:highlight w:val="none"/>
              </w:rPr>
              <w:t>批次</w:t>
            </w:r>
          </w:p>
        </w:tc>
      </w:tr>
      <w:tr w14:paraId="03CCDB34">
        <w:tblPrEx>
          <w:tblCellMar>
            <w:top w:w="0" w:type="dxa"/>
            <w:left w:w="108" w:type="dxa"/>
            <w:bottom w:w="0" w:type="dxa"/>
            <w:right w:w="108" w:type="dxa"/>
          </w:tblCellMar>
        </w:tblPrEx>
        <w:trPr>
          <w:trHeight w:val="574" w:hRule="atLeast"/>
        </w:trPr>
        <w:tc>
          <w:tcPr>
            <w:tcW w:w="1380" w:type="pct"/>
            <w:vMerge w:val="continue"/>
            <w:tcBorders>
              <w:left w:val="single" w:color="auto" w:sz="4" w:space="0"/>
              <w:bottom w:val="single" w:color="auto" w:sz="4" w:space="0"/>
              <w:right w:val="single" w:color="auto" w:sz="4" w:space="0"/>
            </w:tcBorders>
            <w:noWrap w:val="0"/>
            <w:vAlign w:val="center"/>
          </w:tcPr>
          <w:p w14:paraId="62BF2112">
            <w:pPr>
              <w:spacing w:line="460" w:lineRule="exact"/>
              <w:jc w:val="center"/>
              <w:rPr>
                <w:rFonts w:hint="eastAsia" w:ascii="宋体" w:hAnsi="宋体" w:eastAsia="宋体" w:cs="宋体"/>
                <w:color w:val="auto"/>
                <w:sz w:val="24"/>
                <w:szCs w:val="24"/>
                <w:highlight w:val="none"/>
              </w:rPr>
            </w:pPr>
          </w:p>
        </w:tc>
        <w:tc>
          <w:tcPr>
            <w:tcW w:w="2237" w:type="pct"/>
            <w:tcBorders>
              <w:top w:val="single" w:color="auto" w:sz="4" w:space="0"/>
              <w:left w:val="nil"/>
              <w:bottom w:val="single" w:color="auto" w:sz="4" w:space="0"/>
              <w:right w:val="single" w:color="auto" w:sz="4" w:space="0"/>
            </w:tcBorders>
            <w:noWrap w:val="0"/>
            <w:vAlign w:val="center"/>
          </w:tcPr>
          <w:p w14:paraId="1354987D">
            <w:pPr>
              <w:spacing w:line="4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非农残24元/</w:t>
            </w:r>
            <w:r>
              <w:rPr>
                <w:rFonts w:hint="eastAsia" w:ascii="宋体" w:hAnsi="宋体" w:cs="宋体"/>
                <w:color w:val="auto"/>
                <w:sz w:val="24"/>
                <w:szCs w:val="24"/>
                <w:highlight w:val="none"/>
                <w:lang w:eastAsia="zh-CN"/>
              </w:rPr>
              <w:t>项</w:t>
            </w:r>
            <w:r>
              <w:rPr>
                <w:rFonts w:hint="eastAsia" w:ascii="宋体" w:hAnsi="宋体" w:eastAsia="宋体" w:cs="宋体"/>
                <w:color w:val="auto"/>
                <w:sz w:val="24"/>
                <w:szCs w:val="24"/>
                <w:highlight w:val="none"/>
              </w:rPr>
              <w:t>次</w:t>
            </w:r>
          </w:p>
        </w:tc>
        <w:tc>
          <w:tcPr>
            <w:tcW w:w="1382" w:type="pct"/>
            <w:tcBorders>
              <w:top w:val="single" w:color="auto" w:sz="4" w:space="0"/>
              <w:left w:val="nil"/>
              <w:bottom w:val="single" w:color="auto" w:sz="4" w:space="0"/>
              <w:right w:val="single" w:color="auto" w:sz="4" w:space="0"/>
            </w:tcBorders>
            <w:noWrap w:val="0"/>
            <w:vAlign w:val="center"/>
          </w:tcPr>
          <w:p w14:paraId="46BCC899">
            <w:pPr>
              <w:spacing w:line="460" w:lineRule="exact"/>
              <w:jc w:val="center"/>
              <w:rPr>
                <w:rFonts w:hint="default" w:ascii="宋体" w:hAnsi="宋体" w:eastAsia="宋体" w:cs="宋体"/>
                <w:color w:val="auto"/>
                <w:sz w:val="24"/>
                <w:szCs w:val="24"/>
                <w:highlight w:val="none"/>
                <w:lang w:val="en-US"/>
              </w:rPr>
            </w:pPr>
            <w:r>
              <w:rPr>
                <w:rFonts w:hint="eastAsia" w:ascii="宋体" w:hAnsi="宋体" w:cs="宋体"/>
                <w:color w:val="auto"/>
                <w:sz w:val="24"/>
                <w:szCs w:val="24"/>
                <w:highlight w:val="none"/>
                <w:lang w:val="en-US" w:eastAsia="zh-CN"/>
              </w:rPr>
              <w:t>2000</w:t>
            </w:r>
            <w:r>
              <w:rPr>
                <w:rFonts w:hint="eastAsia" w:ascii="宋体" w:hAnsi="宋体" w:eastAsia="宋体" w:cs="宋体"/>
                <w:color w:val="auto"/>
                <w:sz w:val="24"/>
                <w:szCs w:val="24"/>
                <w:highlight w:val="none"/>
              </w:rPr>
              <w:t>批次</w:t>
            </w:r>
          </w:p>
        </w:tc>
      </w:tr>
    </w:tbl>
    <w:p w14:paraId="44072BDC">
      <w:pPr>
        <w:adjustRightInd/>
        <w:snapToGrid w:val="0"/>
        <w:spacing w:before="120" w:beforeLines="50" w:after="120" w:afterLines="50" w:line="360" w:lineRule="auto"/>
        <w:ind w:firstLine="482" w:firstLineChars="200"/>
        <w:outlineLvl w:val="0"/>
        <w:rPr>
          <w:rFonts w:hint="eastAsia"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备注：</w:t>
      </w:r>
    </w:p>
    <w:p w14:paraId="3E45E541">
      <w:pPr>
        <w:adjustRightInd/>
        <w:snapToGrid w:val="0"/>
        <w:spacing w:before="120" w:beforeLines="50" w:after="120" w:afterLines="50" w:line="360" w:lineRule="auto"/>
        <w:ind w:firstLine="482" w:firstLineChars="200"/>
        <w:outlineLvl w:val="0"/>
        <w:rPr>
          <w:rFonts w:hint="eastAsia"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w:t>
      </w:r>
      <w:r>
        <w:rPr>
          <w:rFonts w:hint="eastAsia" w:ascii="宋体" w:hAnsi="宋体" w:cs="宋体"/>
          <w:b/>
          <w:bCs/>
          <w:color w:val="000000" w:themeColor="text1"/>
          <w:sz w:val="24"/>
          <w:highlight w:val="none"/>
          <w:lang w:val="en-US" w:eastAsia="zh-CN"/>
          <w14:textFill>
            <w14:solidFill>
              <w14:schemeClr w14:val="tx1"/>
            </w14:solidFill>
          </w14:textFill>
        </w:rPr>
        <w:t>（1）以上数量为暂定数量，项目实施过程中，</w:t>
      </w:r>
      <w:r>
        <w:rPr>
          <w:rFonts w:hint="eastAsia" w:ascii="宋体" w:hAnsi="宋体" w:eastAsia="宋体" w:cs="宋体"/>
          <w:b/>
          <w:bCs/>
          <w:color w:val="000000" w:themeColor="text1"/>
          <w:sz w:val="24"/>
          <w:highlight w:val="none"/>
          <w:lang w:val="en-US" w:eastAsia="zh-CN"/>
          <w14:textFill>
            <w14:solidFill>
              <w14:schemeClr w14:val="tx1"/>
            </w14:solidFill>
          </w14:textFill>
        </w:rPr>
        <w:t>按实际数量结算。投标综合单价不能超过上表综合单价最高限价，超过综合单价最高限价的投标无效。</w:t>
      </w:r>
    </w:p>
    <w:p w14:paraId="0AEE50C3">
      <w:pPr>
        <w:numPr>
          <w:ilvl w:val="-1"/>
          <w:numId w:val="0"/>
        </w:numPr>
        <w:adjustRightInd/>
        <w:snapToGrid w:val="0"/>
        <w:spacing w:before="120" w:beforeLines="50" w:after="120" w:afterLines="50" w:line="360" w:lineRule="auto"/>
        <w:ind w:firstLine="482" w:firstLineChars="200"/>
        <w:outlineLvl w:val="0"/>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（2）专项快速检测部分投标时的数量暂按每批次1项次计算（即农残暂定4000项次，非农残暂定2000项次），项目实施时，按实际项次，按实结算。</w:t>
      </w:r>
    </w:p>
    <w:p w14:paraId="66B49BDC">
      <w:pPr>
        <w:numPr>
          <w:ilvl w:val="-1"/>
          <w:numId w:val="0"/>
        </w:numPr>
        <w:adjustRightInd/>
        <w:snapToGrid w:val="0"/>
        <w:spacing w:before="120" w:beforeLines="50" w:after="120" w:afterLines="50" w:line="360" w:lineRule="auto"/>
        <w:ind w:firstLine="482" w:firstLineChars="200"/>
        <w:outlineLvl w:val="0"/>
        <w:rPr>
          <w:rFonts w:hint="default" w:ascii="宋体" w:hAnsi="宋体" w:cs="宋体"/>
          <w:b/>
          <w:bCs/>
          <w:color w:val="auto"/>
          <w:sz w:val="24"/>
          <w:szCs w:val="24"/>
          <w:highlight w:val="none"/>
          <w:lang w:val="en-US" w:eastAsia="zh-CN"/>
        </w:rPr>
      </w:pPr>
      <w:r>
        <w:rPr>
          <w:rFonts w:hint="eastAsia" w:ascii="宋体" w:hAnsi="宋体" w:eastAsia="宋体" w:cs="宋体"/>
          <w:b/>
          <w:bCs/>
          <w:color w:val="000000" w:themeColor="text1"/>
          <w:sz w:val="24"/>
          <w:highlight w:val="none"/>
          <w:lang w:val="en-US" w:eastAsia="zh-CN"/>
          <w14:textFill>
            <w14:solidFill>
              <w14:schemeClr w14:val="tx1"/>
            </w14:solidFill>
          </w14:textFill>
        </w:rPr>
        <w:t>▲</w:t>
      </w:r>
      <w:r>
        <w:rPr>
          <w:rFonts w:hint="eastAsia" w:ascii="宋体" w:hAnsi="宋体" w:cs="宋体"/>
          <w:b/>
          <w:bCs/>
          <w:color w:val="auto"/>
          <w:sz w:val="24"/>
          <w:szCs w:val="24"/>
          <w:highlight w:val="none"/>
          <w:lang w:val="en-US" w:eastAsia="zh-CN"/>
        </w:rPr>
        <w:t>（3）上表中试剂综合单价最高限价并非指单一试剂的单价限价，而是用于合同履行期间计算试剂采购部分的结算金额而设置的单价限价；无论试剂市场单价高低，试剂采购部分均按中标综合单价，按实际供货量，按实结算。采购人有权要求中标人提供市场单价高于上表中试剂综合单价最高限价的产品，中标人不可拒绝供货，由此可能产生的风险由中标人承担。</w:t>
      </w:r>
    </w:p>
    <w:p w14:paraId="1741B555">
      <w:pPr>
        <w:spacing w:line="460" w:lineRule="exact"/>
        <w:ind w:left="418" w:leftChars="199" w:firstLine="0" w:firstLineChars="0"/>
        <w:rPr>
          <w:rFonts w:hint="eastAsia"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（二）快检室建设</w:t>
      </w:r>
    </w:p>
    <w:p w14:paraId="481E5AC5">
      <w:pPr>
        <w:adjustRightInd/>
        <w:snapToGrid w:val="0"/>
        <w:spacing w:before="120" w:beforeLines="50" w:after="120" w:afterLines="50" w:line="360" w:lineRule="auto"/>
        <w:ind w:firstLine="480" w:firstLineChars="200"/>
        <w:outlineLvl w:val="0"/>
        <w:rPr>
          <w:rFonts w:hint="eastAsia" w:ascii="宋体" w:hAnsi="宋体" w:eastAsia="宋体" w:cs="宋体"/>
          <w:color w:val="auto"/>
          <w:sz w:val="24"/>
          <w:highlight w:val="none"/>
          <w:lang w:val="en-US" w:eastAsia="zh-CN"/>
        </w:rPr>
      </w:pPr>
      <w:r>
        <w:rPr>
          <w:rFonts w:hint="eastAsia" w:ascii="宋体" w:hAnsi="宋体" w:eastAsia="宋体" w:cs="宋体"/>
          <w:color w:val="000000" w:themeColor="text1"/>
          <w:sz w:val="24"/>
          <w:highlight w:val="none"/>
          <w:lang w:val="en-US" w:eastAsia="zh-CN"/>
          <w14:textFill>
            <w14:solidFill>
              <w14:schemeClr w14:val="tx1"/>
            </w14:solidFill>
          </w14:textFill>
        </w:rPr>
        <w:t>采购人共有13</w:t>
      </w:r>
      <w:r>
        <w:rPr>
          <w:rFonts w:hint="eastAsia" w:ascii="宋体" w:hAnsi="宋体" w:eastAsia="宋体" w:cs="宋体"/>
          <w:color w:val="auto"/>
          <w:sz w:val="24"/>
          <w:highlight w:val="none"/>
          <w:lang w:val="en-US" w:eastAsia="zh-CN"/>
        </w:rPr>
        <w:t>个实验室，其中4个</w:t>
      </w:r>
      <w:r>
        <w:rPr>
          <w:rFonts w:hint="eastAsia" w:ascii="宋体" w:hAnsi="宋体" w:cs="宋体"/>
          <w:color w:val="auto"/>
          <w:sz w:val="24"/>
          <w:highlight w:val="none"/>
          <w:lang w:val="en-US" w:eastAsia="zh-CN"/>
        </w:rPr>
        <w:t>实验室建设已部分</w:t>
      </w:r>
      <w:r>
        <w:rPr>
          <w:rFonts w:hint="eastAsia" w:ascii="宋体" w:hAnsi="宋体" w:eastAsia="宋体" w:cs="宋体"/>
          <w:color w:val="auto"/>
          <w:sz w:val="24"/>
          <w:highlight w:val="none"/>
          <w:lang w:val="en-US" w:eastAsia="zh-CN"/>
        </w:rPr>
        <w:t>完成</w:t>
      </w:r>
      <w:r>
        <w:rPr>
          <w:rFonts w:hint="eastAsia" w:ascii="宋体" w:hAnsi="宋体" w:cs="宋体"/>
          <w:color w:val="auto"/>
          <w:sz w:val="24"/>
          <w:highlight w:val="none"/>
          <w:lang w:val="en-US" w:eastAsia="zh-CN"/>
        </w:rPr>
        <w:t>，需进行改造提升，其</w:t>
      </w:r>
      <w:r>
        <w:rPr>
          <w:rFonts w:hint="eastAsia" w:ascii="宋体" w:hAnsi="宋体" w:eastAsia="宋体" w:cs="宋体"/>
          <w:color w:val="auto"/>
          <w:sz w:val="24"/>
          <w:highlight w:val="none"/>
          <w:lang w:val="en-US" w:eastAsia="zh-CN"/>
        </w:rPr>
        <w:t>余9个实验室需进行改造</w:t>
      </w:r>
      <w:r>
        <w:rPr>
          <w:rFonts w:hint="eastAsia" w:ascii="宋体" w:hAnsi="宋体" w:cs="宋体"/>
          <w:color w:val="auto"/>
          <w:sz w:val="24"/>
          <w:highlight w:val="none"/>
          <w:lang w:val="en-US" w:eastAsia="zh-CN"/>
        </w:rPr>
        <w:t>，项目实施过程中，按实际建设数量结算</w:t>
      </w:r>
      <w:r>
        <w:rPr>
          <w:rFonts w:hint="eastAsia" w:ascii="宋体" w:hAnsi="宋体" w:eastAsia="宋体" w:cs="宋体"/>
          <w:color w:val="auto"/>
          <w:sz w:val="24"/>
          <w:highlight w:val="none"/>
          <w:lang w:val="en-US" w:eastAsia="zh-CN"/>
        </w:rPr>
        <w:t>。改造要求参考</w:t>
      </w:r>
      <w:r>
        <w:rPr>
          <w:rFonts w:hint="eastAsia" w:ascii="宋体" w:hAnsi="宋体" w:cs="宋体"/>
          <w:color w:val="auto"/>
          <w:sz w:val="24"/>
          <w:highlight w:val="none"/>
          <w:lang w:val="en-US" w:eastAsia="zh-CN"/>
        </w:rPr>
        <w:t>宁波市民生实事“甬有食安”项目建设标准要求，可适当增加快检易耗</w:t>
      </w:r>
      <w:r>
        <w:rPr>
          <w:rFonts w:hint="eastAsia" w:ascii="宋体" w:hAnsi="宋体" w:eastAsia="宋体" w:cs="宋体"/>
          <w:color w:val="auto"/>
          <w:sz w:val="24"/>
          <w:highlight w:val="none"/>
          <w:lang w:val="en-US" w:eastAsia="zh-CN"/>
        </w:rPr>
        <w:t>品。</w:t>
      </w:r>
    </w:p>
    <w:p w14:paraId="60CE27BC">
      <w:pPr>
        <w:adjustRightInd/>
        <w:snapToGrid w:val="0"/>
        <w:spacing w:before="120" w:beforeLines="50" w:after="120" w:afterLines="50" w:line="360" w:lineRule="auto"/>
        <w:ind w:firstLine="480" w:firstLineChars="200"/>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1、整体要求：</w:t>
      </w:r>
    </w:p>
    <w:p w14:paraId="13813602">
      <w:pPr>
        <w:adjustRightInd/>
        <w:snapToGrid w:val="0"/>
        <w:spacing w:before="120" w:beforeLines="50" w:after="120" w:afterLines="50" w:line="360" w:lineRule="auto"/>
        <w:ind w:firstLine="480" w:firstLineChars="200"/>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1.1检测室外观标准化：检测室独立设置，“检测室”标识清晰明显，悬挂“你送我检”便民免费服务标识和检测室信息公示牌。</w:t>
      </w:r>
    </w:p>
    <w:p w14:paraId="5F23C9BA">
      <w:pPr>
        <w:adjustRightInd/>
        <w:snapToGrid w:val="0"/>
        <w:spacing w:before="120" w:beforeLines="50" w:after="120" w:afterLines="50" w:line="360" w:lineRule="auto"/>
        <w:ind w:firstLine="480" w:firstLineChars="200"/>
        <w:outlineLvl w:val="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auto"/>
          <w:sz w:val="24"/>
          <w:highlight w:val="none"/>
          <w:lang w:val="en-US" w:eastAsia="zh-CN"/>
        </w:rPr>
        <w:t>1.2检测室布局标准化：检测室面积符合相应星级标准，地面干净、防滑，墙面和顶面宜为白色，悬挂检测室工作规程</w:t>
      </w:r>
      <w:r>
        <w:rPr>
          <w:rFonts w:hint="eastAsia" w:ascii="宋体" w:hAnsi="宋体" w:eastAsia="宋体" w:cs="宋体"/>
          <w:color w:val="000000" w:themeColor="text1"/>
          <w:sz w:val="24"/>
          <w:highlight w:val="none"/>
          <w:lang w:val="en-US" w:eastAsia="zh-CN"/>
          <w14:textFill>
            <w14:solidFill>
              <w14:schemeClr w14:val="tx1"/>
            </w14:solidFill>
          </w14:textFill>
        </w:rPr>
        <w:t>、抽样检测流程等公示牌，检测室应划分为检测区域和办公区域并有明显分区标识。</w:t>
      </w:r>
    </w:p>
    <w:p w14:paraId="0D3037F5">
      <w:pPr>
        <w:adjustRightInd/>
        <w:snapToGrid w:val="0"/>
        <w:spacing w:before="120" w:beforeLines="50" w:after="120" w:afterLines="50" w:line="360" w:lineRule="auto"/>
        <w:ind w:firstLine="480" w:firstLineChars="200"/>
        <w:outlineLvl w:val="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1.3检测室仪器设备配备标准化：检测室应配备与检测品种、项目相匹配的食品安全快速检测设备、辅助设备和检测试剂、样品存储设备等，为了保障数据的更真实，抽样采用采样器，全程检测数据智能对接，排除人为干预。建立仪器设备档案，记录并保存仪器的购买、维护保养、校准和检测项目等信息。</w:t>
      </w:r>
    </w:p>
    <w:p w14:paraId="7CC83527">
      <w:pPr>
        <w:adjustRightInd/>
        <w:snapToGrid w:val="0"/>
        <w:spacing w:before="120" w:beforeLines="50" w:after="120" w:afterLines="50" w:line="360" w:lineRule="auto"/>
        <w:ind w:firstLine="480" w:firstLineChars="200"/>
        <w:outlineLvl w:val="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2、设备采购清单及技术要求</w:t>
      </w:r>
    </w:p>
    <w:p w14:paraId="7FA4F321">
      <w:pPr>
        <w:adjustRightInd/>
        <w:snapToGrid w:val="0"/>
        <w:spacing w:before="120" w:beforeLines="50" w:after="120" w:afterLines="50" w:line="360" w:lineRule="auto"/>
        <w:ind w:firstLine="480" w:firstLineChars="200"/>
        <w:outlineLvl w:val="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2.1设备仪器（以下数量暂按1个实验室预估，投标时按以下数量报价。实施过程中，按实际采购数量按实结算，由此产生的风险由投标人自行承担。）</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1243"/>
        <w:gridCol w:w="5625"/>
        <w:gridCol w:w="869"/>
      </w:tblGrid>
      <w:tr w14:paraId="5FBBF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58" w:type="dxa"/>
            <w:noWrap w:val="0"/>
            <w:vAlign w:val="top"/>
          </w:tcPr>
          <w:p w14:paraId="40A411B5">
            <w:pPr>
              <w:rPr>
                <w:rFonts w:hint="eastAsia" w:ascii="宋体" w:hAnsi="宋体" w:eastAsia="宋体" w:cs="宋体"/>
                <w:i w:val="0"/>
                <w:iCs w:val="0"/>
                <w:caps w:val="0"/>
                <w:color w:val="171A1D"/>
                <w:spacing w:val="0"/>
                <w:sz w:val="24"/>
                <w:szCs w:val="24"/>
                <w:highlight w:val="none"/>
                <w:shd w:val="clear" w:color="auto" w:fill="FFFFFF"/>
                <w:vertAlign w:val="baseline"/>
                <w:lang w:eastAsia="zh-CN"/>
              </w:rPr>
            </w:pPr>
            <w:r>
              <w:rPr>
                <w:rFonts w:hint="eastAsia" w:ascii="宋体" w:hAnsi="宋体" w:eastAsia="宋体" w:cs="宋体"/>
                <w:i w:val="0"/>
                <w:iCs w:val="0"/>
                <w:caps w:val="0"/>
                <w:color w:val="171A1D"/>
                <w:spacing w:val="0"/>
                <w:sz w:val="24"/>
                <w:szCs w:val="24"/>
                <w:highlight w:val="none"/>
                <w:shd w:val="clear" w:color="auto" w:fill="FFFFFF"/>
                <w:vertAlign w:val="baseline"/>
                <w:lang w:eastAsia="zh-CN"/>
              </w:rPr>
              <w:t>序号</w:t>
            </w:r>
          </w:p>
        </w:tc>
        <w:tc>
          <w:tcPr>
            <w:tcW w:w="1243" w:type="dxa"/>
            <w:noWrap w:val="0"/>
            <w:vAlign w:val="top"/>
          </w:tcPr>
          <w:p w14:paraId="291A000B">
            <w:pPr>
              <w:rPr>
                <w:rFonts w:hint="eastAsia" w:ascii="宋体" w:hAnsi="宋体" w:eastAsia="宋体" w:cs="宋体"/>
                <w:i w:val="0"/>
                <w:iCs w:val="0"/>
                <w:caps w:val="0"/>
                <w:color w:val="171A1D"/>
                <w:spacing w:val="0"/>
                <w:kern w:val="0"/>
                <w:sz w:val="24"/>
                <w:szCs w:val="24"/>
                <w:highlight w:val="none"/>
                <w:shd w:val="clear" w:color="auto" w:fill="FFFFFF"/>
                <w:vertAlign w:val="baseline"/>
                <w:lang w:val="en-US" w:eastAsia="zh-CN" w:bidi="ar-SA"/>
              </w:rPr>
            </w:pPr>
            <w:r>
              <w:rPr>
                <w:rFonts w:hint="eastAsia" w:ascii="宋体" w:hAnsi="宋体" w:eastAsia="宋体" w:cs="宋体"/>
                <w:i w:val="0"/>
                <w:iCs w:val="0"/>
                <w:caps w:val="0"/>
                <w:color w:val="171A1D"/>
                <w:spacing w:val="0"/>
                <w:sz w:val="24"/>
                <w:szCs w:val="24"/>
                <w:highlight w:val="none"/>
                <w:shd w:val="clear" w:color="auto" w:fill="FFFFFF"/>
                <w:vertAlign w:val="baseline"/>
                <w:lang w:eastAsia="zh-CN"/>
              </w:rPr>
              <w:t>产品名称</w:t>
            </w:r>
          </w:p>
        </w:tc>
        <w:tc>
          <w:tcPr>
            <w:tcW w:w="5625" w:type="dxa"/>
            <w:noWrap w:val="0"/>
            <w:vAlign w:val="top"/>
          </w:tcPr>
          <w:p w14:paraId="4D8FDA8C">
            <w:pPr>
              <w:jc w:val="center"/>
              <w:rPr>
                <w:rFonts w:hint="eastAsia" w:ascii="宋体" w:hAnsi="宋体" w:eastAsia="宋体" w:cs="宋体"/>
                <w:i w:val="0"/>
                <w:iCs w:val="0"/>
                <w:caps w:val="0"/>
                <w:color w:val="171A1D"/>
                <w:spacing w:val="0"/>
                <w:sz w:val="24"/>
                <w:szCs w:val="24"/>
                <w:highlight w:val="none"/>
                <w:shd w:val="clear" w:color="auto" w:fill="FFFFFF"/>
                <w:vertAlign w:val="baseline"/>
                <w:lang w:eastAsia="zh-CN"/>
              </w:rPr>
            </w:pPr>
            <w:r>
              <w:rPr>
                <w:rFonts w:hint="eastAsia" w:ascii="宋体" w:hAnsi="宋体" w:eastAsia="宋体" w:cs="宋体"/>
                <w:i w:val="0"/>
                <w:iCs w:val="0"/>
                <w:caps w:val="0"/>
                <w:color w:val="171A1D"/>
                <w:spacing w:val="0"/>
                <w:sz w:val="24"/>
                <w:szCs w:val="24"/>
                <w:highlight w:val="none"/>
                <w:shd w:val="clear" w:color="auto" w:fill="FFFFFF"/>
                <w:vertAlign w:val="baseline"/>
                <w:lang w:eastAsia="zh-CN"/>
              </w:rPr>
              <w:t>技术参数</w:t>
            </w:r>
          </w:p>
        </w:tc>
        <w:tc>
          <w:tcPr>
            <w:tcW w:w="869" w:type="dxa"/>
            <w:noWrap w:val="0"/>
            <w:vAlign w:val="top"/>
          </w:tcPr>
          <w:p w14:paraId="075DCE81">
            <w:pPr>
              <w:jc w:val="center"/>
              <w:rPr>
                <w:rFonts w:hint="default" w:ascii="宋体" w:hAnsi="宋体" w:eastAsia="宋体" w:cs="宋体"/>
                <w:i w:val="0"/>
                <w:iCs w:val="0"/>
                <w:caps w:val="0"/>
                <w:color w:val="171A1D"/>
                <w:spacing w:val="0"/>
                <w:sz w:val="24"/>
                <w:szCs w:val="24"/>
                <w:highlight w:val="none"/>
                <w:shd w:val="clear" w:color="auto" w:fill="FFFFFF"/>
                <w:vertAlign w:val="baseline"/>
                <w:lang w:val="en-US" w:eastAsia="zh-CN"/>
              </w:rPr>
            </w:pPr>
            <w:r>
              <w:rPr>
                <w:rFonts w:hint="eastAsia" w:ascii="宋体" w:hAnsi="宋体" w:eastAsia="宋体" w:cs="宋体"/>
                <w:i w:val="0"/>
                <w:iCs w:val="0"/>
                <w:caps w:val="0"/>
                <w:color w:val="171A1D"/>
                <w:spacing w:val="0"/>
                <w:sz w:val="24"/>
                <w:szCs w:val="24"/>
                <w:highlight w:val="none"/>
                <w:shd w:val="clear" w:color="auto" w:fill="FFFFFF"/>
                <w:vertAlign w:val="baseline"/>
                <w:lang w:val="en-US" w:eastAsia="zh-CN"/>
              </w:rPr>
              <w:t>数量</w:t>
            </w:r>
          </w:p>
        </w:tc>
      </w:tr>
      <w:tr w14:paraId="6F9E2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noWrap w:val="0"/>
            <w:vAlign w:val="center"/>
          </w:tcPr>
          <w:p w14:paraId="362E3B4F">
            <w:pPr>
              <w:jc w:val="center"/>
              <w:rPr>
                <w:rFonts w:hint="eastAsia" w:ascii="宋体" w:hAnsi="宋体" w:eastAsia="宋体" w:cs="宋体"/>
                <w:i w:val="0"/>
                <w:iCs w:val="0"/>
                <w:caps w:val="0"/>
                <w:color w:val="171A1D"/>
                <w:spacing w:val="0"/>
                <w:sz w:val="24"/>
                <w:szCs w:val="24"/>
                <w:highlight w:val="none"/>
                <w:shd w:val="clear" w:color="auto" w:fill="FFFFFF"/>
                <w:vertAlign w:val="baseline"/>
                <w:lang w:val="en-US" w:eastAsia="zh-CN"/>
              </w:rPr>
            </w:pPr>
            <w:r>
              <w:rPr>
                <w:rFonts w:hint="eastAsia" w:ascii="宋体" w:hAnsi="宋体" w:eastAsia="宋体" w:cs="宋体"/>
                <w:i w:val="0"/>
                <w:iCs w:val="0"/>
                <w:caps w:val="0"/>
                <w:color w:val="171A1D"/>
                <w:spacing w:val="0"/>
                <w:sz w:val="24"/>
                <w:szCs w:val="24"/>
                <w:highlight w:val="none"/>
                <w:shd w:val="clear" w:color="auto" w:fill="FFFFFF"/>
                <w:vertAlign w:val="baseline"/>
                <w:lang w:val="en-US" w:eastAsia="zh-CN"/>
              </w:rPr>
              <w:t>1</w:t>
            </w:r>
          </w:p>
        </w:tc>
        <w:tc>
          <w:tcPr>
            <w:tcW w:w="1243" w:type="dxa"/>
            <w:noWrap w:val="0"/>
            <w:vAlign w:val="center"/>
          </w:tcPr>
          <w:p w14:paraId="02172273">
            <w:pPr>
              <w:jc w:val="center"/>
              <w:rPr>
                <w:rFonts w:hint="eastAsia" w:ascii="宋体" w:hAnsi="宋体" w:eastAsia="宋体" w:cs="宋体"/>
                <w:i w:val="0"/>
                <w:iCs w:val="0"/>
                <w:caps w:val="0"/>
                <w:color w:val="171A1D"/>
                <w:spacing w:val="0"/>
                <w:kern w:val="0"/>
                <w:sz w:val="24"/>
                <w:szCs w:val="24"/>
                <w:highlight w:val="none"/>
                <w:shd w:val="clear" w:color="auto" w:fill="FFFFFF"/>
                <w:vertAlign w:val="baseline"/>
                <w:lang w:val="en-US" w:eastAsia="zh-CN" w:bidi="ar-SA"/>
              </w:rPr>
            </w:pPr>
            <w:r>
              <w:rPr>
                <w:rFonts w:hint="eastAsia" w:ascii="宋体" w:hAnsi="宋体" w:eastAsia="宋体" w:cs="宋体"/>
                <w:i w:val="0"/>
                <w:iCs w:val="0"/>
                <w:caps w:val="0"/>
                <w:color w:val="171A1D"/>
                <w:spacing w:val="0"/>
                <w:sz w:val="24"/>
                <w:szCs w:val="24"/>
                <w:highlight w:val="none"/>
                <w:shd w:val="clear" w:color="auto" w:fill="FFFFFF"/>
              </w:rPr>
              <w:t>便携式食品安全智能分析仪（可使用胶体金检测方法）</w:t>
            </w:r>
          </w:p>
        </w:tc>
        <w:tc>
          <w:tcPr>
            <w:tcW w:w="5625" w:type="dxa"/>
            <w:noWrap w:val="0"/>
            <w:vAlign w:val="top"/>
          </w:tcPr>
          <w:p w14:paraId="506CEB2B">
            <w:pPr>
              <w:rPr>
                <w:rFonts w:hint="eastAsia" w:ascii="宋体" w:hAnsi="宋体" w:eastAsia="宋体" w:cs="宋体"/>
                <w:i w:val="0"/>
                <w:iCs w:val="0"/>
                <w:caps w:val="0"/>
                <w:color w:val="171A1D"/>
                <w:spacing w:val="0"/>
                <w:sz w:val="24"/>
                <w:szCs w:val="24"/>
                <w:highlight w:val="none"/>
                <w:shd w:val="clear" w:color="auto" w:fill="FFFFFF"/>
                <w:vertAlign w:val="baseline"/>
                <w:lang w:val="en-US" w:eastAsia="zh-CN"/>
              </w:rPr>
            </w:pPr>
            <w:r>
              <w:rPr>
                <w:rFonts w:hint="eastAsia" w:ascii="宋体" w:hAnsi="宋体" w:eastAsia="宋体" w:cs="宋体"/>
                <w:i w:val="0"/>
                <w:iCs w:val="0"/>
                <w:caps w:val="0"/>
                <w:color w:val="171A1D"/>
                <w:spacing w:val="0"/>
                <w:sz w:val="24"/>
                <w:szCs w:val="24"/>
                <w:highlight w:val="none"/>
                <w:shd w:val="clear" w:color="auto" w:fill="FFFFFF"/>
                <w:vertAlign w:val="baseline"/>
                <w:lang w:val="en-US" w:eastAsia="zh-CN"/>
              </w:rPr>
              <w:t>1、仪器采用便携式箱仪一体化设计，集分光光度检测模块、高通量胶体金检测模块、数字化管理模块、无线通信模块等模块于一体，可检测农药残留、兽药残留、抗生素、食用油卫生指标、可能违法添加非食用物质及易滥用食品添加剂等指标。</w:t>
            </w:r>
          </w:p>
          <w:p w14:paraId="10B83845">
            <w:pPr>
              <w:rPr>
                <w:rFonts w:hint="eastAsia" w:ascii="宋体" w:hAnsi="宋体" w:eastAsia="宋体" w:cs="宋体"/>
                <w:i w:val="0"/>
                <w:iCs w:val="0"/>
                <w:caps w:val="0"/>
                <w:color w:val="171A1D"/>
                <w:spacing w:val="0"/>
                <w:sz w:val="24"/>
                <w:szCs w:val="24"/>
                <w:highlight w:val="none"/>
                <w:shd w:val="clear" w:color="auto" w:fill="FFFFFF"/>
                <w:vertAlign w:val="baseline"/>
                <w:lang w:val="en-US" w:eastAsia="zh-CN"/>
              </w:rPr>
            </w:pPr>
            <w:r>
              <w:rPr>
                <w:rFonts w:hint="eastAsia" w:ascii="宋体" w:hAnsi="宋体" w:eastAsia="宋体" w:cs="宋体"/>
                <w:i w:val="0"/>
                <w:iCs w:val="0"/>
                <w:caps w:val="0"/>
                <w:color w:val="171A1D"/>
                <w:spacing w:val="0"/>
                <w:sz w:val="24"/>
                <w:szCs w:val="24"/>
                <w:highlight w:val="none"/>
                <w:shd w:val="clear" w:color="auto" w:fill="FFFFFF"/>
                <w:vertAlign w:val="baseline"/>
                <w:lang w:val="en-US" w:eastAsia="zh-CN"/>
              </w:rPr>
              <w:t>2、仪器采用便携式箱体化防水、抗压、防撞击、防腐蚀一体机设计，具有良好的电磁屏蔽性和导热性，携带安全，可满足车载环境、无电源环境以及户外检测需求。</w:t>
            </w:r>
          </w:p>
          <w:p w14:paraId="5FDA2585">
            <w:pPr>
              <w:rPr>
                <w:rFonts w:hint="eastAsia" w:ascii="宋体" w:hAnsi="宋体" w:eastAsia="宋体" w:cs="宋体"/>
                <w:i w:val="0"/>
                <w:iCs w:val="0"/>
                <w:caps w:val="0"/>
                <w:color w:val="171A1D"/>
                <w:spacing w:val="0"/>
                <w:sz w:val="24"/>
                <w:szCs w:val="24"/>
                <w:highlight w:val="none"/>
                <w:shd w:val="clear" w:color="auto" w:fill="FFFFFF"/>
                <w:vertAlign w:val="baseline"/>
                <w:lang w:val="en-US" w:eastAsia="zh-CN"/>
              </w:rPr>
            </w:pPr>
            <w:r>
              <w:rPr>
                <w:rFonts w:hint="eastAsia" w:ascii="宋体" w:hAnsi="宋体" w:eastAsia="宋体" w:cs="宋体"/>
                <w:i w:val="0"/>
                <w:iCs w:val="0"/>
                <w:caps w:val="0"/>
                <w:color w:val="171A1D"/>
                <w:spacing w:val="0"/>
                <w:sz w:val="24"/>
                <w:szCs w:val="24"/>
                <w:highlight w:val="none"/>
                <w:shd w:val="clear" w:color="auto" w:fill="FFFFFF"/>
                <w:vertAlign w:val="baseline"/>
                <w:lang w:val="en-US" w:eastAsia="zh-CN"/>
              </w:rPr>
              <w:t>3、智能安卓操作系统，将农残检测模块、数字化管理模块、无线通信模块等集成于一体</w:t>
            </w:r>
            <w:r>
              <w:rPr>
                <w:rFonts w:hint="eastAsia" w:ascii="宋体" w:hAnsi="宋体" w:cs="宋体"/>
                <w:i w:val="0"/>
                <w:iCs w:val="0"/>
                <w:caps w:val="0"/>
                <w:color w:val="171A1D"/>
                <w:spacing w:val="0"/>
                <w:sz w:val="24"/>
                <w:szCs w:val="24"/>
                <w:highlight w:val="none"/>
                <w:shd w:val="clear" w:color="auto" w:fill="FFFFFF"/>
                <w:vertAlign w:val="baseline"/>
                <w:lang w:val="en-US" w:eastAsia="zh-CN"/>
              </w:rPr>
              <w:t>。</w:t>
            </w:r>
          </w:p>
          <w:p w14:paraId="770A2849">
            <w:pPr>
              <w:rPr>
                <w:rFonts w:hint="eastAsia" w:ascii="宋体" w:hAnsi="宋体" w:eastAsia="宋体" w:cs="宋体"/>
                <w:i w:val="0"/>
                <w:iCs w:val="0"/>
                <w:caps w:val="0"/>
                <w:color w:val="171A1D"/>
                <w:spacing w:val="0"/>
                <w:sz w:val="24"/>
                <w:szCs w:val="24"/>
                <w:highlight w:val="none"/>
                <w:shd w:val="clear" w:color="auto" w:fill="FFFFFF"/>
                <w:vertAlign w:val="baseline"/>
                <w:lang w:val="en-US" w:eastAsia="zh-CN"/>
              </w:rPr>
            </w:pPr>
            <w:r>
              <w:rPr>
                <w:rFonts w:hint="eastAsia" w:ascii="宋体" w:hAnsi="宋体" w:eastAsia="宋体" w:cs="宋体"/>
                <w:i w:val="0"/>
                <w:iCs w:val="0"/>
                <w:caps w:val="0"/>
                <w:color w:val="171A1D"/>
                <w:spacing w:val="0"/>
                <w:sz w:val="24"/>
                <w:szCs w:val="24"/>
                <w:highlight w:val="none"/>
                <w:shd w:val="clear" w:color="auto" w:fill="FFFFFF"/>
                <w:vertAlign w:val="baseline"/>
                <w:lang w:val="en-US" w:eastAsia="zh-CN"/>
              </w:rPr>
              <w:t>4、检测数据通过仪器对接市局、省局相关要求和功能，含培训费、运费、税费和软件升级费用。</w:t>
            </w:r>
          </w:p>
          <w:p w14:paraId="79FB813E">
            <w:pPr>
              <w:rPr>
                <w:rFonts w:hint="eastAsia" w:ascii="宋体" w:hAnsi="宋体" w:eastAsia="宋体" w:cs="宋体"/>
                <w:i w:val="0"/>
                <w:iCs w:val="0"/>
                <w:caps w:val="0"/>
                <w:color w:val="171A1D"/>
                <w:spacing w:val="0"/>
                <w:sz w:val="24"/>
                <w:szCs w:val="24"/>
                <w:highlight w:val="none"/>
                <w:shd w:val="clear" w:color="auto" w:fill="FFFFFF"/>
                <w:vertAlign w:val="baseline"/>
                <w:lang w:val="en-US" w:eastAsia="zh-CN"/>
              </w:rPr>
            </w:pPr>
            <w:r>
              <w:rPr>
                <w:rFonts w:hint="eastAsia" w:ascii="宋体" w:hAnsi="宋体" w:eastAsia="宋体" w:cs="宋体"/>
                <w:i w:val="0"/>
                <w:iCs w:val="0"/>
                <w:caps w:val="0"/>
                <w:color w:val="171A1D"/>
                <w:spacing w:val="0"/>
                <w:sz w:val="24"/>
                <w:szCs w:val="24"/>
                <w:highlight w:val="none"/>
                <w:shd w:val="clear" w:color="auto" w:fill="FFFFFF"/>
                <w:vertAlign w:val="baseline"/>
                <w:lang w:val="en-US" w:eastAsia="zh-CN"/>
              </w:rPr>
              <w:t>5、</w:t>
            </w:r>
            <w:r>
              <w:rPr>
                <w:rFonts w:hint="eastAsia" w:ascii="宋体" w:hAnsi="宋体" w:eastAsia="宋体" w:cs="宋体"/>
                <w:i w:val="0"/>
                <w:iCs w:val="0"/>
                <w:caps w:val="0"/>
                <w:color w:val="171A1D"/>
                <w:spacing w:val="0"/>
                <w:sz w:val="24"/>
                <w:szCs w:val="24"/>
                <w:highlight w:val="none"/>
                <w:shd w:val="clear" w:color="auto" w:fill="FFFFFF"/>
                <w:vertAlign w:val="baseline"/>
                <w:lang w:eastAsia="zh-CN"/>
              </w:rPr>
              <w:t>分光光度模块</w:t>
            </w:r>
          </w:p>
          <w:p w14:paraId="1D19F51A">
            <w:pPr>
              <w:rPr>
                <w:rFonts w:hint="eastAsia" w:ascii="宋体" w:hAnsi="宋体" w:eastAsia="宋体" w:cs="宋体"/>
                <w:i w:val="0"/>
                <w:iCs w:val="0"/>
                <w:caps w:val="0"/>
                <w:color w:val="171A1D"/>
                <w:spacing w:val="0"/>
                <w:sz w:val="24"/>
                <w:szCs w:val="24"/>
                <w:highlight w:val="none"/>
                <w:shd w:val="clear" w:color="auto" w:fill="FFFFFF"/>
                <w:vertAlign w:val="baseline"/>
                <w:lang w:eastAsia="zh-CN"/>
              </w:rPr>
            </w:pPr>
            <w:r>
              <w:rPr>
                <w:rFonts w:hint="eastAsia" w:ascii="宋体" w:hAnsi="宋体" w:eastAsia="宋体" w:cs="宋体"/>
                <w:i w:val="0"/>
                <w:iCs w:val="0"/>
                <w:caps w:val="0"/>
                <w:color w:val="171A1D"/>
                <w:spacing w:val="0"/>
                <w:sz w:val="24"/>
                <w:szCs w:val="24"/>
                <w:highlight w:val="none"/>
                <w:shd w:val="clear" w:color="auto" w:fill="FFFFFF"/>
                <w:vertAlign w:val="baseline"/>
                <w:lang w:val="en-US" w:eastAsia="zh-CN"/>
              </w:rPr>
              <w:t>5</w:t>
            </w:r>
            <w:r>
              <w:rPr>
                <w:rFonts w:hint="eastAsia" w:ascii="宋体" w:hAnsi="宋体" w:eastAsia="宋体" w:cs="宋体"/>
                <w:i w:val="0"/>
                <w:iCs w:val="0"/>
                <w:caps w:val="0"/>
                <w:color w:val="171A1D"/>
                <w:spacing w:val="0"/>
                <w:sz w:val="24"/>
                <w:szCs w:val="24"/>
                <w:highlight w:val="none"/>
                <w:shd w:val="clear" w:color="auto" w:fill="FFFFFF"/>
                <w:vertAlign w:val="baseline"/>
                <w:lang w:eastAsia="zh-CN"/>
              </w:rPr>
              <w:t>.1 光源：LED光源，波长410mm、520mm、590mm、620mm，可根据需求选配其他波长。</w:t>
            </w:r>
          </w:p>
          <w:p w14:paraId="6E2165D6">
            <w:pPr>
              <w:rPr>
                <w:rFonts w:hint="eastAsia" w:ascii="宋体" w:hAnsi="宋体" w:eastAsia="宋体" w:cs="宋体"/>
                <w:i w:val="0"/>
                <w:iCs w:val="0"/>
                <w:caps w:val="0"/>
                <w:color w:val="171A1D"/>
                <w:spacing w:val="0"/>
                <w:sz w:val="24"/>
                <w:szCs w:val="24"/>
                <w:highlight w:val="none"/>
                <w:shd w:val="clear" w:color="auto" w:fill="FFFFFF"/>
                <w:vertAlign w:val="baseline"/>
                <w:lang w:eastAsia="zh-CN"/>
              </w:rPr>
            </w:pPr>
            <w:r>
              <w:rPr>
                <w:rFonts w:hint="eastAsia" w:ascii="宋体" w:hAnsi="宋体" w:eastAsia="宋体" w:cs="宋体"/>
                <w:i w:val="0"/>
                <w:iCs w:val="0"/>
                <w:caps w:val="0"/>
                <w:color w:val="171A1D"/>
                <w:spacing w:val="0"/>
                <w:sz w:val="24"/>
                <w:szCs w:val="24"/>
                <w:highlight w:val="none"/>
                <w:shd w:val="clear" w:color="auto" w:fill="FFFFFF"/>
                <w:vertAlign w:val="baseline"/>
                <w:lang w:val="en-US" w:eastAsia="zh-CN"/>
              </w:rPr>
              <w:t>5</w:t>
            </w:r>
            <w:r>
              <w:rPr>
                <w:rFonts w:hint="eastAsia" w:ascii="宋体" w:hAnsi="宋体" w:eastAsia="宋体" w:cs="宋体"/>
                <w:i w:val="0"/>
                <w:iCs w:val="0"/>
                <w:caps w:val="0"/>
                <w:color w:val="171A1D"/>
                <w:spacing w:val="0"/>
                <w:sz w:val="24"/>
                <w:szCs w:val="24"/>
                <w:highlight w:val="none"/>
                <w:shd w:val="clear" w:color="auto" w:fill="FFFFFF"/>
                <w:vertAlign w:val="baseline"/>
                <w:lang w:eastAsia="zh-CN"/>
              </w:rPr>
              <w:t>.2 检测器：硅光电池。</w:t>
            </w:r>
          </w:p>
          <w:p w14:paraId="03EF17E4">
            <w:pPr>
              <w:rPr>
                <w:rFonts w:hint="eastAsia" w:ascii="宋体" w:hAnsi="宋体" w:eastAsia="宋体" w:cs="宋体"/>
                <w:i w:val="0"/>
                <w:iCs w:val="0"/>
                <w:caps w:val="0"/>
                <w:color w:val="171A1D"/>
                <w:spacing w:val="0"/>
                <w:sz w:val="24"/>
                <w:szCs w:val="24"/>
                <w:highlight w:val="none"/>
                <w:shd w:val="clear" w:color="auto" w:fill="FFFFFF"/>
                <w:vertAlign w:val="baseline"/>
                <w:lang w:eastAsia="zh-CN"/>
              </w:rPr>
            </w:pPr>
            <w:r>
              <w:rPr>
                <w:rFonts w:hint="eastAsia" w:ascii="宋体" w:hAnsi="宋体" w:eastAsia="宋体" w:cs="宋体"/>
                <w:i w:val="0"/>
                <w:iCs w:val="0"/>
                <w:caps w:val="0"/>
                <w:color w:val="171A1D"/>
                <w:spacing w:val="0"/>
                <w:sz w:val="24"/>
                <w:szCs w:val="24"/>
                <w:highlight w:val="none"/>
                <w:shd w:val="clear" w:color="auto" w:fill="FFFFFF"/>
                <w:vertAlign w:val="baseline"/>
                <w:lang w:val="en-US" w:eastAsia="zh-CN"/>
              </w:rPr>
              <w:t>5</w:t>
            </w:r>
            <w:r>
              <w:rPr>
                <w:rFonts w:hint="eastAsia" w:ascii="宋体" w:hAnsi="宋体" w:eastAsia="宋体" w:cs="宋体"/>
                <w:i w:val="0"/>
                <w:iCs w:val="0"/>
                <w:caps w:val="0"/>
                <w:color w:val="171A1D"/>
                <w:spacing w:val="0"/>
                <w:sz w:val="24"/>
                <w:szCs w:val="24"/>
                <w:highlight w:val="none"/>
                <w:shd w:val="clear" w:color="auto" w:fill="FFFFFF"/>
                <w:vertAlign w:val="baseline"/>
                <w:lang w:eastAsia="zh-CN"/>
              </w:rPr>
              <w:t>.3 检测通道：≥</w:t>
            </w:r>
            <w:r>
              <w:rPr>
                <w:rFonts w:hint="eastAsia" w:ascii="宋体" w:hAnsi="宋体" w:eastAsia="宋体" w:cs="宋体"/>
                <w:i w:val="0"/>
                <w:iCs w:val="0"/>
                <w:caps w:val="0"/>
                <w:color w:val="171A1D"/>
                <w:spacing w:val="0"/>
                <w:sz w:val="24"/>
                <w:szCs w:val="24"/>
                <w:highlight w:val="none"/>
                <w:shd w:val="clear" w:color="auto" w:fill="FFFFFF"/>
                <w:vertAlign w:val="baseline"/>
                <w:lang w:val="en-US" w:eastAsia="zh-CN"/>
              </w:rPr>
              <w:t>16</w:t>
            </w:r>
            <w:r>
              <w:rPr>
                <w:rFonts w:hint="eastAsia" w:ascii="宋体" w:hAnsi="宋体" w:eastAsia="宋体" w:cs="宋体"/>
                <w:i w:val="0"/>
                <w:iCs w:val="0"/>
                <w:caps w:val="0"/>
                <w:color w:val="171A1D"/>
                <w:spacing w:val="0"/>
                <w:sz w:val="24"/>
                <w:szCs w:val="24"/>
                <w:highlight w:val="none"/>
                <w:shd w:val="clear" w:color="auto" w:fill="FFFFFF"/>
                <w:vertAlign w:val="baseline"/>
                <w:lang w:eastAsia="zh-CN"/>
              </w:rPr>
              <w:t>通道。</w:t>
            </w:r>
          </w:p>
          <w:p w14:paraId="0BB9E328">
            <w:pPr>
              <w:rPr>
                <w:rFonts w:hint="eastAsia" w:ascii="宋体" w:hAnsi="宋体" w:eastAsia="宋体" w:cs="宋体"/>
                <w:i w:val="0"/>
                <w:iCs w:val="0"/>
                <w:caps w:val="0"/>
                <w:color w:val="171A1D"/>
                <w:spacing w:val="0"/>
                <w:sz w:val="24"/>
                <w:szCs w:val="24"/>
                <w:highlight w:val="none"/>
                <w:shd w:val="clear" w:color="auto" w:fill="FFFFFF"/>
                <w:vertAlign w:val="baseline"/>
                <w:lang w:eastAsia="zh-CN"/>
              </w:rPr>
            </w:pPr>
            <w:r>
              <w:rPr>
                <w:rFonts w:hint="eastAsia" w:ascii="宋体" w:hAnsi="宋体" w:cs="宋体"/>
                <w:bCs/>
                <w:color w:val="000000" w:themeColor="text1"/>
                <w:kern w:val="0"/>
                <w:sz w:val="24"/>
                <w:highlight w:val="none"/>
                <w:lang w:eastAsia="zh-CN"/>
                <w14:textFill>
                  <w14:solidFill>
                    <w14:schemeClr w14:val="tx1"/>
                  </w14:solidFill>
                </w14:textFill>
              </w:rPr>
              <w:t>▲</w:t>
            </w:r>
            <w:r>
              <w:rPr>
                <w:rFonts w:hint="eastAsia" w:ascii="宋体" w:hAnsi="宋体" w:eastAsia="宋体" w:cs="宋体"/>
                <w:i w:val="0"/>
                <w:iCs w:val="0"/>
                <w:caps w:val="0"/>
                <w:color w:val="171A1D"/>
                <w:spacing w:val="0"/>
                <w:sz w:val="24"/>
                <w:szCs w:val="24"/>
                <w:highlight w:val="none"/>
                <w:shd w:val="clear" w:color="auto" w:fill="FFFFFF"/>
                <w:vertAlign w:val="baseline"/>
                <w:lang w:val="en-US" w:eastAsia="zh-CN"/>
              </w:rPr>
              <w:t>5</w:t>
            </w:r>
            <w:r>
              <w:rPr>
                <w:rFonts w:hint="eastAsia" w:ascii="宋体" w:hAnsi="宋体" w:eastAsia="宋体" w:cs="宋体"/>
                <w:i w:val="0"/>
                <w:iCs w:val="0"/>
                <w:caps w:val="0"/>
                <w:color w:val="171A1D"/>
                <w:spacing w:val="0"/>
                <w:sz w:val="24"/>
                <w:szCs w:val="24"/>
                <w:highlight w:val="none"/>
                <w:shd w:val="clear" w:color="auto" w:fill="FFFFFF"/>
                <w:vertAlign w:val="baseline"/>
                <w:lang w:eastAsia="zh-CN"/>
              </w:rPr>
              <w:t>.4 波长误差：≤±2.0nm，提供法定计量检定机构出具的带有CMA或CNAS认证标识的校准证书复印件。</w:t>
            </w:r>
          </w:p>
          <w:p w14:paraId="39D295AA">
            <w:pPr>
              <w:rPr>
                <w:rFonts w:hint="eastAsia" w:ascii="宋体" w:hAnsi="宋体" w:eastAsia="宋体" w:cs="宋体"/>
                <w:i w:val="0"/>
                <w:iCs w:val="0"/>
                <w:caps w:val="0"/>
                <w:color w:val="171A1D"/>
                <w:spacing w:val="0"/>
                <w:sz w:val="24"/>
                <w:szCs w:val="24"/>
                <w:highlight w:val="none"/>
                <w:shd w:val="clear" w:color="auto" w:fill="FFFFFF"/>
                <w:vertAlign w:val="baseline"/>
                <w:lang w:eastAsia="zh-CN"/>
              </w:rPr>
            </w:pPr>
            <w:r>
              <w:rPr>
                <w:rFonts w:hint="eastAsia" w:ascii="宋体" w:hAnsi="宋体" w:eastAsia="宋体" w:cs="宋体"/>
                <w:i w:val="0"/>
                <w:iCs w:val="0"/>
                <w:caps w:val="0"/>
                <w:color w:val="171A1D"/>
                <w:spacing w:val="0"/>
                <w:sz w:val="24"/>
                <w:szCs w:val="24"/>
                <w:highlight w:val="none"/>
                <w:shd w:val="clear" w:color="auto" w:fill="FFFFFF"/>
                <w:vertAlign w:val="baseline"/>
                <w:lang w:val="en-US" w:eastAsia="zh-CN"/>
              </w:rPr>
              <w:t>5</w:t>
            </w:r>
            <w:r>
              <w:rPr>
                <w:rFonts w:hint="eastAsia" w:ascii="宋体" w:hAnsi="宋体" w:eastAsia="宋体" w:cs="宋体"/>
                <w:i w:val="0"/>
                <w:iCs w:val="0"/>
                <w:caps w:val="0"/>
                <w:color w:val="171A1D"/>
                <w:spacing w:val="0"/>
                <w:sz w:val="24"/>
                <w:szCs w:val="24"/>
                <w:highlight w:val="none"/>
                <w:shd w:val="clear" w:color="auto" w:fill="FFFFFF"/>
                <w:vertAlign w:val="baseline"/>
                <w:lang w:eastAsia="zh-CN"/>
              </w:rPr>
              <w:t>.5 透射比示值误差：≤±1.0%，提供法定计量检定机构出具的带有CMA或CNAS认证标识的校准证书复印件。</w:t>
            </w:r>
          </w:p>
          <w:p w14:paraId="0E582215">
            <w:pPr>
              <w:rPr>
                <w:rFonts w:hint="eastAsia" w:ascii="宋体" w:hAnsi="宋体" w:eastAsia="宋体" w:cs="宋体"/>
                <w:i w:val="0"/>
                <w:iCs w:val="0"/>
                <w:caps w:val="0"/>
                <w:color w:val="171A1D"/>
                <w:spacing w:val="0"/>
                <w:sz w:val="24"/>
                <w:szCs w:val="24"/>
                <w:highlight w:val="none"/>
                <w:shd w:val="clear" w:color="auto" w:fill="FFFFFF"/>
                <w:vertAlign w:val="baseline"/>
                <w:lang w:eastAsia="zh-CN"/>
              </w:rPr>
            </w:pPr>
            <w:r>
              <w:rPr>
                <w:rFonts w:hint="eastAsia" w:ascii="宋体" w:hAnsi="宋体" w:eastAsia="宋体" w:cs="宋体"/>
                <w:i w:val="0"/>
                <w:iCs w:val="0"/>
                <w:caps w:val="0"/>
                <w:color w:val="171A1D"/>
                <w:spacing w:val="0"/>
                <w:sz w:val="24"/>
                <w:szCs w:val="24"/>
                <w:highlight w:val="none"/>
                <w:shd w:val="clear" w:color="auto" w:fill="FFFFFF"/>
                <w:vertAlign w:val="baseline"/>
                <w:lang w:val="en-US" w:eastAsia="zh-CN"/>
              </w:rPr>
              <w:t>5</w:t>
            </w:r>
            <w:r>
              <w:rPr>
                <w:rFonts w:hint="eastAsia" w:ascii="宋体" w:hAnsi="宋体" w:eastAsia="宋体" w:cs="宋体"/>
                <w:i w:val="0"/>
                <w:iCs w:val="0"/>
                <w:caps w:val="0"/>
                <w:color w:val="171A1D"/>
                <w:spacing w:val="0"/>
                <w:sz w:val="24"/>
                <w:szCs w:val="24"/>
                <w:highlight w:val="none"/>
                <w:shd w:val="clear" w:color="auto" w:fill="FFFFFF"/>
                <w:vertAlign w:val="baseline"/>
                <w:lang w:eastAsia="zh-CN"/>
              </w:rPr>
              <w:t>.6 透射比重复性：≤±0.5%，提供法定计量检定机构出具的带有CMA或CNAS认证标识的校准证书复印件。</w:t>
            </w:r>
          </w:p>
          <w:p w14:paraId="4D3B66C6">
            <w:pPr>
              <w:rPr>
                <w:rFonts w:hint="eastAsia" w:ascii="宋体" w:hAnsi="宋体" w:eastAsia="宋体" w:cs="宋体"/>
                <w:i w:val="0"/>
                <w:iCs w:val="0"/>
                <w:caps w:val="0"/>
                <w:color w:val="171A1D"/>
                <w:spacing w:val="0"/>
                <w:sz w:val="24"/>
                <w:szCs w:val="24"/>
                <w:highlight w:val="none"/>
                <w:shd w:val="clear" w:color="auto" w:fill="FFFFFF"/>
                <w:vertAlign w:val="baseline"/>
                <w:lang w:eastAsia="zh-CN"/>
              </w:rPr>
            </w:pPr>
            <w:r>
              <w:rPr>
                <w:rFonts w:hint="eastAsia" w:ascii="宋体" w:hAnsi="宋体" w:cs="宋体"/>
                <w:bCs/>
                <w:color w:val="000000" w:themeColor="text1"/>
                <w:kern w:val="0"/>
                <w:sz w:val="24"/>
                <w:highlight w:val="none"/>
                <w:lang w:eastAsia="zh-CN"/>
                <w14:textFill>
                  <w14:solidFill>
                    <w14:schemeClr w14:val="tx1"/>
                  </w14:solidFill>
                </w14:textFill>
              </w:rPr>
              <w:t>▲</w:t>
            </w:r>
            <w:r>
              <w:rPr>
                <w:rFonts w:hint="eastAsia" w:ascii="宋体" w:hAnsi="宋体" w:eastAsia="宋体" w:cs="宋体"/>
                <w:i w:val="0"/>
                <w:iCs w:val="0"/>
                <w:caps w:val="0"/>
                <w:color w:val="171A1D"/>
                <w:spacing w:val="0"/>
                <w:sz w:val="24"/>
                <w:szCs w:val="24"/>
                <w:highlight w:val="none"/>
                <w:shd w:val="clear" w:color="auto" w:fill="FFFFFF"/>
                <w:vertAlign w:val="baseline"/>
                <w:lang w:val="en-US" w:eastAsia="zh-CN"/>
              </w:rPr>
              <w:t>5</w:t>
            </w:r>
            <w:r>
              <w:rPr>
                <w:rFonts w:hint="eastAsia" w:ascii="宋体" w:hAnsi="宋体" w:eastAsia="宋体" w:cs="宋体"/>
                <w:i w:val="0"/>
                <w:iCs w:val="0"/>
                <w:caps w:val="0"/>
                <w:color w:val="171A1D"/>
                <w:spacing w:val="0"/>
                <w:sz w:val="24"/>
                <w:szCs w:val="24"/>
                <w:highlight w:val="none"/>
                <w:shd w:val="clear" w:color="auto" w:fill="FFFFFF"/>
                <w:vertAlign w:val="baseline"/>
                <w:lang w:eastAsia="zh-CN"/>
              </w:rPr>
              <w:t>.7稳定性(10min）：≤±0.005，提供法定计量检定机构出具的带有CMA或CNAS认证标识的校准证书复印件。</w:t>
            </w:r>
          </w:p>
          <w:p w14:paraId="6B06E141">
            <w:pPr>
              <w:rPr>
                <w:rFonts w:hint="eastAsia" w:ascii="宋体" w:hAnsi="宋体" w:eastAsia="宋体" w:cs="宋体"/>
                <w:i w:val="0"/>
                <w:iCs w:val="0"/>
                <w:caps w:val="0"/>
                <w:color w:val="171A1D"/>
                <w:spacing w:val="0"/>
                <w:sz w:val="24"/>
                <w:szCs w:val="24"/>
                <w:highlight w:val="none"/>
                <w:shd w:val="clear" w:color="auto" w:fill="FFFFFF"/>
                <w:vertAlign w:val="baseline"/>
                <w:lang w:eastAsia="zh-CN"/>
              </w:rPr>
            </w:pPr>
            <w:r>
              <w:rPr>
                <w:rFonts w:hint="eastAsia" w:ascii="宋体" w:hAnsi="宋体" w:cs="宋体"/>
                <w:bCs/>
                <w:color w:val="000000" w:themeColor="text1"/>
                <w:kern w:val="0"/>
                <w:sz w:val="24"/>
                <w:highlight w:val="none"/>
                <w:lang w:eastAsia="zh-CN"/>
                <w14:textFill>
                  <w14:solidFill>
                    <w14:schemeClr w14:val="tx1"/>
                  </w14:solidFill>
                </w14:textFill>
              </w:rPr>
              <w:t>▲</w:t>
            </w:r>
            <w:r>
              <w:rPr>
                <w:rFonts w:hint="eastAsia" w:ascii="宋体" w:hAnsi="宋体" w:eastAsia="宋体" w:cs="宋体"/>
                <w:i w:val="0"/>
                <w:iCs w:val="0"/>
                <w:caps w:val="0"/>
                <w:color w:val="171A1D"/>
                <w:spacing w:val="0"/>
                <w:sz w:val="24"/>
                <w:szCs w:val="24"/>
                <w:highlight w:val="none"/>
                <w:shd w:val="clear" w:color="auto" w:fill="FFFFFF"/>
                <w:vertAlign w:val="baseline"/>
                <w:lang w:val="en-US" w:eastAsia="zh-CN"/>
              </w:rPr>
              <w:t>5</w:t>
            </w:r>
            <w:r>
              <w:rPr>
                <w:rFonts w:hint="eastAsia" w:ascii="宋体" w:hAnsi="宋体" w:eastAsia="宋体" w:cs="宋体"/>
                <w:i w:val="0"/>
                <w:iCs w:val="0"/>
                <w:caps w:val="0"/>
                <w:color w:val="171A1D"/>
                <w:spacing w:val="0"/>
                <w:sz w:val="24"/>
                <w:szCs w:val="24"/>
                <w:highlight w:val="none"/>
                <w:shd w:val="clear" w:color="auto" w:fill="FFFFFF"/>
                <w:vertAlign w:val="baseline"/>
                <w:lang w:eastAsia="zh-CN"/>
              </w:rPr>
              <w:t>.8 通道间误差：≤0.05 ，提供法定计量检定机构出具的带有CMA或CNAS认证标识的校准证书复印件。</w:t>
            </w:r>
          </w:p>
          <w:p w14:paraId="4F7BF0A3">
            <w:pPr>
              <w:rPr>
                <w:rFonts w:hint="eastAsia" w:ascii="宋体" w:hAnsi="宋体" w:eastAsia="宋体" w:cs="宋体"/>
                <w:i w:val="0"/>
                <w:iCs w:val="0"/>
                <w:caps w:val="0"/>
                <w:color w:val="171A1D"/>
                <w:spacing w:val="0"/>
                <w:sz w:val="24"/>
                <w:szCs w:val="24"/>
                <w:highlight w:val="none"/>
                <w:shd w:val="clear" w:color="auto" w:fill="FFFFFF"/>
                <w:vertAlign w:val="baseline"/>
                <w:lang w:eastAsia="zh-CN"/>
              </w:rPr>
            </w:pPr>
            <w:r>
              <w:rPr>
                <w:rFonts w:hint="eastAsia" w:ascii="宋体" w:hAnsi="宋体" w:eastAsia="宋体" w:cs="宋体"/>
                <w:i w:val="0"/>
                <w:iCs w:val="0"/>
                <w:caps w:val="0"/>
                <w:color w:val="171A1D"/>
                <w:spacing w:val="0"/>
                <w:sz w:val="24"/>
                <w:szCs w:val="24"/>
                <w:highlight w:val="none"/>
                <w:shd w:val="clear" w:color="auto" w:fill="FFFFFF"/>
                <w:vertAlign w:val="baseline"/>
                <w:lang w:val="en-US" w:eastAsia="zh-CN"/>
              </w:rPr>
              <w:t>5</w:t>
            </w:r>
            <w:r>
              <w:rPr>
                <w:rFonts w:hint="eastAsia" w:ascii="宋体" w:hAnsi="宋体" w:eastAsia="宋体" w:cs="宋体"/>
                <w:i w:val="0"/>
                <w:iCs w:val="0"/>
                <w:caps w:val="0"/>
                <w:color w:val="171A1D"/>
                <w:spacing w:val="0"/>
                <w:sz w:val="24"/>
                <w:szCs w:val="24"/>
                <w:highlight w:val="none"/>
                <w:shd w:val="clear" w:color="auto" w:fill="FFFFFF"/>
                <w:vertAlign w:val="baseline"/>
                <w:lang w:eastAsia="zh-CN"/>
              </w:rPr>
              <w:t>.9 灵敏度：0.8mg/L甲胺磷抑制率≥70%；0.1mg/L灭多威抑制率≥85%，提供法定计量检定机构出具的带有CMA或CNAS认证标识的校准证书复印件。</w:t>
            </w:r>
          </w:p>
          <w:p w14:paraId="1681B484">
            <w:pPr>
              <w:rPr>
                <w:rFonts w:hint="eastAsia" w:ascii="宋体" w:hAnsi="宋体" w:eastAsia="宋体" w:cs="宋体"/>
                <w:i w:val="0"/>
                <w:iCs w:val="0"/>
                <w:caps w:val="0"/>
                <w:color w:val="171A1D"/>
                <w:spacing w:val="0"/>
                <w:sz w:val="24"/>
                <w:szCs w:val="24"/>
                <w:highlight w:val="none"/>
                <w:shd w:val="clear" w:color="auto" w:fill="FFFFFF"/>
                <w:vertAlign w:val="baseline"/>
                <w:lang w:eastAsia="zh-CN"/>
              </w:rPr>
            </w:pPr>
            <w:r>
              <w:rPr>
                <w:rFonts w:hint="eastAsia" w:ascii="宋体" w:hAnsi="宋体" w:eastAsia="宋体" w:cs="宋体"/>
                <w:i w:val="0"/>
                <w:iCs w:val="0"/>
                <w:caps w:val="0"/>
                <w:color w:val="171A1D"/>
                <w:spacing w:val="0"/>
                <w:sz w:val="24"/>
                <w:szCs w:val="24"/>
                <w:highlight w:val="none"/>
                <w:shd w:val="clear" w:color="auto" w:fill="FFFFFF"/>
                <w:vertAlign w:val="baseline"/>
                <w:lang w:val="en-US" w:eastAsia="zh-CN"/>
              </w:rPr>
              <w:t>5</w:t>
            </w:r>
            <w:r>
              <w:rPr>
                <w:rFonts w:hint="eastAsia" w:ascii="宋体" w:hAnsi="宋体" w:eastAsia="宋体" w:cs="宋体"/>
                <w:i w:val="0"/>
                <w:iCs w:val="0"/>
                <w:caps w:val="0"/>
                <w:color w:val="171A1D"/>
                <w:spacing w:val="0"/>
                <w:sz w:val="24"/>
                <w:szCs w:val="24"/>
                <w:highlight w:val="none"/>
                <w:shd w:val="clear" w:color="auto" w:fill="FFFFFF"/>
                <w:vertAlign w:val="baseline"/>
                <w:lang w:eastAsia="zh-CN"/>
              </w:rPr>
              <w:t>.10 仪器带有恒温检测模块，孵育过程在样品槽中进行，无需移动检测液体，在保证反应温度稳定的同时还能有效减少边缘效应导致的温度误差。</w:t>
            </w:r>
          </w:p>
          <w:p w14:paraId="482EFE6D">
            <w:pPr>
              <w:rPr>
                <w:rFonts w:hint="eastAsia" w:ascii="宋体" w:hAnsi="宋体" w:eastAsia="宋体" w:cs="宋体"/>
                <w:i w:val="0"/>
                <w:iCs w:val="0"/>
                <w:caps w:val="0"/>
                <w:color w:val="171A1D"/>
                <w:spacing w:val="0"/>
                <w:sz w:val="24"/>
                <w:szCs w:val="24"/>
                <w:highlight w:val="none"/>
                <w:shd w:val="clear" w:color="auto" w:fill="FFFFFF"/>
                <w:vertAlign w:val="baseline"/>
                <w:lang w:eastAsia="zh-CN"/>
              </w:rPr>
            </w:pPr>
            <w:r>
              <w:rPr>
                <w:rFonts w:hint="eastAsia" w:ascii="宋体" w:hAnsi="宋体" w:eastAsia="宋体" w:cs="宋体"/>
                <w:i w:val="0"/>
                <w:iCs w:val="0"/>
                <w:caps w:val="0"/>
                <w:color w:val="171A1D"/>
                <w:spacing w:val="0"/>
                <w:sz w:val="24"/>
                <w:szCs w:val="24"/>
                <w:highlight w:val="none"/>
                <w:shd w:val="clear" w:color="auto" w:fill="FFFFFF"/>
                <w:vertAlign w:val="baseline"/>
                <w:lang w:val="en-US" w:eastAsia="zh-CN"/>
              </w:rPr>
              <w:t>5</w:t>
            </w:r>
            <w:r>
              <w:rPr>
                <w:rFonts w:hint="eastAsia" w:ascii="宋体" w:hAnsi="宋体" w:eastAsia="宋体" w:cs="宋体"/>
                <w:i w:val="0"/>
                <w:iCs w:val="0"/>
                <w:caps w:val="0"/>
                <w:color w:val="171A1D"/>
                <w:spacing w:val="0"/>
                <w:sz w:val="24"/>
                <w:szCs w:val="24"/>
                <w:highlight w:val="none"/>
                <w:shd w:val="clear" w:color="auto" w:fill="FFFFFF"/>
                <w:vertAlign w:val="baseline"/>
                <w:lang w:eastAsia="zh-CN"/>
              </w:rPr>
              <w:t>.11 温控精度：±1.0℃</w:t>
            </w:r>
          </w:p>
          <w:p w14:paraId="3923F918">
            <w:pPr>
              <w:rPr>
                <w:rFonts w:hint="eastAsia" w:ascii="宋体" w:hAnsi="宋体" w:eastAsia="宋体" w:cs="宋体"/>
                <w:i w:val="0"/>
                <w:iCs w:val="0"/>
                <w:caps w:val="0"/>
                <w:color w:val="171A1D"/>
                <w:spacing w:val="0"/>
                <w:sz w:val="24"/>
                <w:szCs w:val="24"/>
                <w:highlight w:val="none"/>
                <w:shd w:val="clear" w:color="auto" w:fill="FFFFFF"/>
                <w:vertAlign w:val="baseline"/>
                <w:lang w:eastAsia="zh-CN"/>
              </w:rPr>
            </w:pPr>
            <w:r>
              <w:rPr>
                <w:rFonts w:hint="eastAsia" w:ascii="宋体" w:hAnsi="宋体" w:eastAsia="宋体" w:cs="宋体"/>
                <w:i w:val="0"/>
                <w:iCs w:val="0"/>
                <w:caps w:val="0"/>
                <w:color w:val="171A1D"/>
                <w:spacing w:val="0"/>
                <w:sz w:val="24"/>
                <w:szCs w:val="24"/>
                <w:highlight w:val="none"/>
                <w:shd w:val="clear" w:color="auto" w:fill="FFFFFF"/>
                <w:vertAlign w:val="baseline"/>
                <w:lang w:val="en-US" w:eastAsia="zh-CN"/>
              </w:rPr>
              <w:t>5</w:t>
            </w:r>
            <w:r>
              <w:rPr>
                <w:rFonts w:hint="eastAsia" w:ascii="宋体" w:hAnsi="宋体" w:eastAsia="宋体" w:cs="宋体"/>
                <w:i w:val="0"/>
                <w:iCs w:val="0"/>
                <w:caps w:val="0"/>
                <w:color w:val="171A1D"/>
                <w:spacing w:val="0"/>
                <w:sz w:val="24"/>
                <w:szCs w:val="24"/>
                <w:highlight w:val="none"/>
                <w:shd w:val="clear" w:color="auto" w:fill="FFFFFF"/>
                <w:vertAlign w:val="baseline"/>
                <w:lang w:eastAsia="zh-CN"/>
              </w:rPr>
              <w:t>.12 具有通道异常指示功能，可指示当前通道光强状态、通道异常检测。</w:t>
            </w:r>
          </w:p>
          <w:p w14:paraId="2A6C3752">
            <w:pPr>
              <w:rPr>
                <w:rFonts w:hint="eastAsia" w:ascii="宋体" w:hAnsi="宋体" w:eastAsia="宋体" w:cs="宋体"/>
                <w:i w:val="0"/>
                <w:iCs w:val="0"/>
                <w:caps w:val="0"/>
                <w:color w:val="171A1D"/>
                <w:spacing w:val="0"/>
                <w:sz w:val="24"/>
                <w:szCs w:val="24"/>
                <w:highlight w:val="none"/>
                <w:shd w:val="clear" w:color="auto" w:fill="FFFFFF"/>
                <w:vertAlign w:val="baseline"/>
                <w:lang w:eastAsia="zh-CN"/>
              </w:rPr>
            </w:pPr>
            <w:r>
              <w:rPr>
                <w:rFonts w:hint="eastAsia" w:ascii="宋体" w:hAnsi="宋体" w:eastAsia="宋体" w:cs="宋体"/>
                <w:i w:val="0"/>
                <w:iCs w:val="0"/>
                <w:caps w:val="0"/>
                <w:color w:val="171A1D"/>
                <w:spacing w:val="0"/>
                <w:sz w:val="24"/>
                <w:szCs w:val="24"/>
                <w:highlight w:val="none"/>
                <w:shd w:val="clear" w:color="auto" w:fill="FFFFFF"/>
                <w:vertAlign w:val="baseline"/>
                <w:lang w:val="en-US" w:eastAsia="zh-CN"/>
              </w:rPr>
              <w:t>5</w:t>
            </w:r>
            <w:r>
              <w:rPr>
                <w:rFonts w:hint="eastAsia" w:ascii="宋体" w:hAnsi="宋体" w:eastAsia="宋体" w:cs="宋体"/>
                <w:i w:val="0"/>
                <w:iCs w:val="0"/>
                <w:caps w:val="0"/>
                <w:color w:val="171A1D"/>
                <w:spacing w:val="0"/>
                <w:sz w:val="24"/>
                <w:szCs w:val="24"/>
                <w:highlight w:val="none"/>
                <w:shd w:val="clear" w:color="auto" w:fill="FFFFFF"/>
                <w:vertAlign w:val="baseline"/>
                <w:lang w:eastAsia="zh-CN"/>
              </w:rPr>
              <w:t>.13内置比色皿识别传感器，可自动识别每个通道是否放入比色皿，并通过指示灯进行提示。</w:t>
            </w:r>
          </w:p>
          <w:p w14:paraId="32E81A64">
            <w:pPr>
              <w:rPr>
                <w:rFonts w:hint="eastAsia" w:ascii="宋体" w:hAnsi="宋体" w:eastAsia="宋体" w:cs="宋体"/>
                <w:i w:val="0"/>
                <w:iCs w:val="0"/>
                <w:caps w:val="0"/>
                <w:color w:val="171A1D"/>
                <w:spacing w:val="0"/>
                <w:sz w:val="24"/>
                <w:szCs w:val="24"/>
                <w:highlight w:val="none"/>
                <w:shd w:val="clear" w:color="auto" w:fill="FFFFFF"/>
                <w:vertAlign w:val="baseline"/>
                <w:lang w:eastAsia="zh-CN"/>
              </w:rPr>
            </w:pPr>
            <w:r>
              <w:rPr>
                <w:rFonts w:hint="eastAsia" w:ascii="宋体" w:hAnsi="宋体" w:eastAsia="宋体" w:cs="宋体"/>
                <w:i w:val="0"/>
                <w:iCs w:val="0"/>
                <w:caps w:val="0"/>
                <w:color w:val="171A1D"/>
                <w:spacing w:val="0"/>
                <w:sz w:val="24"/>
                <w:szCs w:val="24"/>
                <w:highlight w:val="none"/>
                <w:shd w:val="clear" w:color="auto" w:fill="FFFFFF"/>
                <w:vertAlign w:val="baseline"/>
                <w:lang w:val="en-US" w:eastAsia="zh-CN"/>
              </w:rPr>
              <w:t>6、</w:t>
            </w:r>
            <w:r>
              <w:rPr>
                <w:rFonts w:hint="eastAsia" w:ascii="宋体" w:hAnsi="宋体" w:eastAsia="宋体" w:cs="宋体"/>
                <w:i w:val="0"/>
                <w:iCs w:val="0"/>
                <w:caps w:val="0"/>
                <w:color w:val="171A1D"/>
                <w:spacing w:val="0"/>
                <w:sz w:val="24"/>
                <w:szCs w:val="24"/>
                <w:highlight w:val="none"/>
                <w:shd w:val="clear" w:color="auto" w:fill="FFFFFF"/>
                <w:vertAlign w:val="baseline"/>
                <w:lang w:eastAsia="zh-CN"/>
              </w:rPr>
              <w:t>高通量胶体金检测模块：</w:t>
            </w:r>
          </w:p>
          <w:p w14:paraId="5A517F23">
            <w:pPr>
              <w:rPr>
                <w:rFonts w:hint="eastAsia" w:ascii="宋体" w:hAnsi="宋体" w:eastAsia="宋体" w:cs="宋体"/>
                <w:i w:val="0"/>
                <w:iCs w:val="0"/>
                <w:caps w:val="0"/>
                <w:color w:val="171A1D"/>
                <w:spacing w:val="0"/>
                <w:sz w:val="24"/>
                <w:szCs w:val="24"/>
                <w:highlight w:val="none"/>
                <w:shd w:val="clear" w:color="auto" w:fill="FFFFFF"/>
                <w:vertAlign w:val="baseline"/>
                <w:lang w:eastAsia="zh-CN"/>
              </w:rPr>
            </w:pPr>
            <w:r>
              <w:rPr>
                <w:rFonts w:hint="eastAsia" w:ascii="宋体" w:hAnsi="宋体" w:eastAsia="宋体" w:cs="宋体"/>
                <w:i w:val="0"/>
                <w:iCs w:val="0"/>
                <w:caps w:val="0"/>
                <w:color w:val="171A1D"/>
                <w:spacing w:val="0"/>
                <w:sz w:val="24"/>
                <w:szCs w:val="24"/>
                <w:highlight w:val="none"/>
                <w:shd w:val="clear" w:color="auto" w:fill="FFFFFF"/>
                <w:vertAlign w:val="baseline"/>
                <w:lang w:val="en-US" w:eastAsia="zh-CN"/>
              </w:rPr>
              <w:t>6</w:t>
            </w:r>
            <w:r>
              <w:rPr>
                <w:rFonts w:hint="eastAsia" w:ascii="宋体" w:hAnsi="宋体" w:eastAsia="宋体" w:cs="宋体"/>
                <w:i w:val="0"/>
                <w:iCs w:val="0"/>
                <w:caps w:val="0"/>
                <w:color w:val="171A1D"/>
                <w:spacing w:val="0"/>
                <w:sz w:val="24"/>
                <w:szCs w:val="24"/>
                <w:highlight w:val="none"/>
                <w:shd w:val="clear" w:color="auto" w:fill="FFFFFF"/>
                <w:vertAlign w:val="baseline"/>
                <w:lang w:eastAsia="zh-CN"/>
              </w:rPr>
              <w:t>.1 检测原理：采用CMOS成像处理技术及胶体金免疫层析技术，自动分析、采集，将检测结果以数字化形式显示，并可根据国标参考限值自动判断检测结果。</w:t>
            </w:r>
          </w:p>
          <w:p w14:paraId="74DC6173">
            <w:pPr>
              <w:rPr>
                <w:rFonts w:hint="eastAsia" w:ascii="宋体" w:hAnsi="宋体" w:eastAsia="宋体" w:cs="宋体"/>
                <w:i w:val="0"/>
                <w:iCs w:val="0"/>
                <w:caps w:val="0"/>
                <w:color w:val="171A1D"/>
                <w:spacing w:val="0"/>
                <w:sz w:val="24"/>
                <w:szCs w:val="24"/>
                <w:highlight w:val="none"/>
                <w:shd w:val="clear" w:color="auto" w:fill="FFFFFF"/>
                <w:vertAlign w:val="baseline"/>
                <w:lang w:eastAsia="zh-CN"/>
              </w:rPr>
            </w:pPr>
            <w:r>
              <w:rPr>
                <w:rFonts w:hint="eastAsia" w:ascii="宋体" w:hAnsi="宋体" w:eastAsia="宋体" w:cs="宋体"/>
                <w:i w:val="0"/>
                <w:iCs w:val="0"/>
                <w:caps w:val="0"/>
                <w:color w:val="171A1D"/>
                <w:spacing w:val="0"/>
                <w:sz w:val="24"/>
                <w:szCs w:val="24"/>
                <w:highlight w:val="none"/>
                <w:shd w:val="clear" w:color="auto" w:fill="FFFFFF"/>
                <w:vertAlign w:val="baseline"/>
                <w:lang w:val="en-US" w:eastAsia="zh-CN"/>
              </w:rPr>
              <w:t>6</w:t>
            </w:r>
            <w:r>
              <w:rPr>
                <w:rFonts w:hint="eastAsia" w:ascii="宋体" w:hAnsi="宋体" w:eastAsia="宋体" w:cs="宋体"/>
                <w:i w:val="0"/>
                <w:iCs w:val="0"/>
                <w:caps w:val="0"/>
                <w:color w:val="171A1D"/>
                <w:spacing w:val="0"/>
                <w:sz w:val="24"/>
                <w:szCs w:val="24"/>
                <w:highlight w:val="none"/>
                <w:shd w:val="clear" w:color="auto" w:fill="FFFFFF"/>
                <w:vertAlign w:val="baseline"/>
                <w:lang w:eastAsia="zh-CN"/>
              </w:rPr>
              <w:t>.2 光源：双阵列线LED光源。</w:t>
            </w:r>
          </w:p>
          <w:p w14:paraId="3884F9FF">
            <w:pPr>
              <w:rPr>
                <w:rFonts w:hint="eastAsia" w:ascii="宋体" w:hAnsi="宋体" w:eastAsia="宋体" w:cs="宋体"/>
                <w:i w:val="0"/>
                <w:iCs w:val="0"/>
                <w:caps w:val="0"/>
                <w:color w:val="171A1D"/>
                <w:spacing w:val="0"/>
                <w:sz w:val="24"/>
                <w:szCs w:val="24"/>
                <w:highlight w:val="none"/>
                <w:shd w:val="clear" w:color="auto" w:fill="FFFFFF"/>
                <w:vertAlign w:val="baseline"/>
                <w:lang w:eastAsia="zh-CN"/>
              </w:rPr>
            </w:pPr>
            <w:r>
              <w:rPr>
                <w:rFonts w:hint="eastAsia" w:ascii="宋体" w:hAnsi="宋体" w:eastAsia="宋体" w:cs="宋体"/>
                <w:i w:val="0"/>
                <w:iCs w:val="0"/>
                <w:caps w:val="0"/>
                <w:color w:val="171A1D"/>
                <w:spacing w:val="0"/>
                <w:sz w:val="24"/>
                <w:szCs w:val="24"/>
                <w:highlight w:val="none"/>
                <w:shd w:val="clear" w:color="auto" w:fill="FFFFFF"/>
                <w:vertAlign w:val="baseline"/>
                <w:lang w:val="en-US" w:eastAsia="zh-CN"/>
              </w:rPr>
              <w:t>6</w:t>
            </w:r>
            <w:r>
              <w:rPr>
                <w:rFonts w:hint="eastAsia" w:ascii="宋体" w:hAnsi="宋体" w:eastAsia="宋体" w:cs="宋体"/>
                <w:i w:val="0"/>
                <w:iCs w:val="0"/>
                <w:caps w:val="0"/>
                <w:color w:val="171A1D"/>
                <w:spacing w:val="0"/>
                <w:sz w:val="24"/>
                <w:szCs w:val="24"/>
                <w:highlight w:val="none"/>
                <w:shd w:val="clear" w:color="auto" w:fill="FFFFFF"/>
                <w:vertAlign w:val="baseline"/>
                <w:lang w:eastAsia="zh-CN"/>
              </w:rPr>
              <w:t>.3 探测器：CMOS成像探测，≥300万像素。</w:t>
            </w:r>
          </w:p>
          <w:p w14:paraId="4E27BFCF">
            <w:pPr>
              <w:rPr>
                <w:rFonts w:hint="eastAsia" w:ascii="宋体" w:hAnsi="宋体" w:eastAsia="宋体" w:cs="宋体"/>
                <w:i w:val="0"/>
                <w:iCs w:val="0"/>
                <w:caps w:val="0"/>
                <w:color w:val="171A1D"/>
                <w:spacing w:val="0"/>
                <w:sz w:val="24"/>
                <w:szCs w:val="24"/>
                <w:highlight w:val="none"/>
                <w:shd w:val="clear" w:color="auto" w:fill="FFFFFF"/>
                <w:vertAlign w:val="baseline"/>
                <w:lang w:eastAsia="zh-CN"/>
              </w:rPr>
            </w:pPr>
            <w:r>
              <w:rPr>
                <w:rFonts w:hint="eastAsia" w:ascii="宋体" w:hAnsi="宋体" w:eastAsia="宋体" w:cs="宋体"/>
                <w:i w:val="0"/>
                <w:iCs w:val="0"/>
                <w:caps w:val="0"/>
                <w:color w:val="171A1D"/>
                <w:spacing w:val="0"/>
                <w:sz w:val="24"/>
                <w:szCs w:val="24"/>
                <w:highlight w:val="none"/>
                <w:shd w:val="clear" w:color="auto" w:fill="FFFFFF"/>
                <w:vertAlign w:val="baseline"/>
                <w:lang w:val="en-US" w:eastAsia="zh-CN"/>
              </w:rPr>
              <w:t>6</w:t>
            </w:r>
            <w:r>
              <w:rPr>
                <w:rFonts w:hint="eastAsia" w:ascii="宋体" w:hAnsi="宋体" w:eastAsia="宋体" w:cs="宋体"/>
                <w:i w:val="0"/>
                <w:iCs w:val="0"/>
                <w:caps w:val="0"/>
                <w:color w:val="171A1D"/>
                <w:spacing w:val="0"/>
                <w:sz w:val="24"/>
                <w:szCs w:val="24"/>
                <w:highlight w:val="none"/>
                <w:shd w:val="clear" w:color="auto" w:fill="FFFFFF"/>
                <w:vertAlign w:val="baseline"/>
                <w:lang w:eastAsia="zh-CN"/>
              </w:rPr>
              <w:t>.4样品池尺寸：≥20mm。</w:t>
            </w:r>
          </w:p>
          <w:p w14:paraId="423316F6">
            <w:pPr>
              <w:rPr>
                <w:rFonts w:hint="eastAsia" w:ascii="宋体" w:hAnsi="宋体" w:eastAsia="宋体" w:cs="宋体"/>
                <w:i w:val="0"/>
                <w:iCs w:val="0"/>
                <w:caps w:val="0"/>
                <w:color w:val="171A1D"/>
                <w:spacing w:val="0"/>
                <w:sz w:val="24"/>
                <w:szCs w:val="24"/>
                <w:highlight w:val="none"/>
                <w:shd w:val="clear" w:color="auto" w:fill="FFFFFF"/>
                <w:vertAlign w:val="baseline"/>
                <w:lang w:eastAsia="zh-CN"/>
              </w:rPr>
            </w:pPr>
            <w:r>
              <w:rPr>
                <w:rFonts w:hint="eastAsia" w:ascii="宋体" w:hAnsi="宋体" w:cs="宋体"/>
                <w:bCs/>
                <w:color w:val="000000" w:themeColor="text1"/>
                <w:kern w:val="0"/>
                <w:sz w:val="24"/>
                <w:highlight w:val="none"/>
                <w:lang w:eastAsia="zh-CN"/>
                <w14:textFill>
                  <w14:solidFill>
                    <w14:schemeClr w14:val="tx1"/>
                  </w14:solidFill>
                </w14:textFill>
              </w:rPr>
              <w:t>▲</w:t>
            </w:r>
            <w:r>
              <w:rPr>
                <w:rFonts w:hint="eastAsia" w:ascii="宋体" w:hAnsi="宋体" w:eastAsia="宋体" w:cs="宋体"/>
                <w:i w:val="0"/>
                <w:iCs w:val="0"/>
                <w:caps w:val="0"/>
                <w:color w:val="171A1D"/>
                <w:spacing w:val="0"/>
                <w:sz w:val="24"/>
                <w:szCs w:val="24"/>
                <w:highlight w:val="none"/>
                <w:shd w:val="clear" w:color="auto" w:fill="FFFFFF"/>
                <w:vertAlign w:val="baseline"/>
                <w:lang w:val="en-US" w:eastAsia="zh-CN"/>
              </w:rPr>
              <w:t>6</w:t>
            </w:r>
            <w:r>
              <w:rPr>
                <w:rFonts w:hint="eastAsia" w:ascii="宋体" w:hAnsi="宋体" w:eastAsia="宋体" w:cs="宋体"/>
                <w:i w:val="0"/>
                <w:iCs w:val="0"/>
                <w:caps w:val="0"/>
                <w:color w:val="171A1D"/>
                <w:spacing w:val="0"/>
                <w:sz w:val="24"/>
                <w:szCs w:val="24"/>
                <w:highlight w:val="none"/>
                <w:shd w:val="clear" w:color="auto" w:fill="FFFFFF"/>
                <w:vertAlign w:val="baseline"/>
                <w:lang w:eastAsia="zh-CN"/>
              </w:rPr>
              <w:t>.5 示值误差（n≥10）：±0.1，</w:t>
            </w:r>
            <w:r>
              <w:rPr>
                <w:rFonts w:hint="eastAsia" w:ascii="宋体" w:hAnsi="宋体" w:cs="宋体"/>
                <w:i w:val="0"/>
                <w:iCs w:val="0"/>
                <w:caps w:val="0"/>
                <w:color w:val="171A1D"/>
                <w:spacing w:val="0"/>
                <w:sz w:val="24"/>
                <w:szCs w:val="24"/>
                <w:highlight w:val="none"/>
                <w:shd w:val="clear" w:color="auto" w:fill="FFFFFF"/>
                <w:vertAlign w:val="baseline"/>
                <w:lang w:val="en-US" w:eastAsia="zh-CN"/>
              </w:rPr>
              <w:t>投标文件需</w:t>
            </w:r>
            <w:r>
              <w:rPr>
                <w:rFonts w:hint="eastAsia" w:ascii="宋体" w:hAnsi="宋体" w:eastAsia="宋体" w:cs="宋体"/>
                <w:i w:val="0"/>
                <w:iCs w:val="0"/>
                <w:caps w:val="0"/>
                <w:color w:val="171A1D"/>
                <w:spacing w:val="0"/>
                <w:sz w:val="24"/>
                <w:szCs w:val="24"/>
                <w:highlight w:val="none"/>
                <w:shd w:val="clear" w:color="auto" w:fill="FFFFFF"/>
                <w:vertAlign w:val="baseline"/>
                <w:lang w:eastAsia="zh-CN"/>
              </w:rPr>
              <w:t>提供计量机构出具的测试报告扫描件。</w:t>
            </w:r>
          </w:p>
          <w:p w14:paraId="69EC1ABD">
            <w:pPr>
              <w:rPr>
                <w:rFonts w:hint="eastAsia" w:ascii="宋体" w:hAnsi="宋体" w:eastAsia="宋体" w:cs="宋体"/>
                <w:i w:val="0"/>
                <w:iCs w:val="0"/>
                <w:caps w:val="0"/>
                <w:color w:val="171A1D"/>
                <w:spacing w:val="0"/>
                <w:sz w:val="24"/>
                <w:szCs w:val="24"/>
                <w:highlight w:val="none"/>
                <w:shd w:val="clear" w:color="auto" w:fill="FFFFFF"/>
                <w:vertAlign w:val="baseline"/>
                <w:lang w:eastAsia="zh-CN"/>
              </w:rPr>
            </w:pPr>
            <w:r>
              <w:rPr>
                <w:rFonts w:hint="eastAsia" w:ascii="宋体" w:hAnsi="宋体" w:eastAsia="宋体" w:cs="宋体"/>
                <w:i w:val="0"/>
                <w:iCs w:val="0"/>
                <w:caps w:val="0"/>
                <w:color w:val="171A1D"/>
                <w:spacing w:val="0"/>
                <w:sz w:val="24"/>
                <w:szCs w:val="24"/>
                <w:highlight w:val="none"/>
                <w:shd w:val="clear" w:color="auto" w:fill="FFFFFF"/>
                <w:vertAlign w:val="baseline"/>
                <w:lang w:val="en-US" w:eastAsia="zh-CN"/>
              </w:rPr>
              <w:t>6</w:t>
            </w:r>
            <w:r>
              <w:rPr>
                <w:rFonts w:hint="eastAsia" w:ascii="宋体" w:hAnsi="宋体" w:eastAsia="宋体" w:cs="宋体"/>
                <w:i w:val="0"/>
                <w:iCs w:val="0"/>
                <w:caps w:val="0"/>
                <w:color w:val="171A1D"/>
                <w:spacing w:val="0"/>
                <w:sz w:val="24"/>
                <w:szCs w:val="24"/>
                <w:highlight w:val="none"/>
                <w:shd w:val="clear" w:color="auto" w:fill="FFFFFF"/>
                <w:vertAlign w:val="baseline"/>
                <w:lang w:eastAsia="zh-CN"/>
              </w:rPr>
              <w:t>.6 示值重复性（n≥10）：±0.5%，</w:t>
            </w:r>
            <w:r>
              <w:rPr>
                <w:rFonts w:hint="eastAsia" w:ascii="宋体" w:hAnsi="宋体" w:cs="宋体"/>
                <w:i w:val="0"/>
                <w:iCs w:val="0"/>
                <w:caps w:val="0"/>
                <w:color w:val="171A1D"/>
                <w:spacing w:val="0"/>
                <w:sz w:val="24"/>
                <w:szCs w:val="24"/>
                <w:highlight w:val="none"/>
                <w:shd w:val="clear" w:color="auto" w:fill="FFFFFF"/>
                <w:vertAlign w:val="baseline"/>
                <w:lang w:val="en-US" w:eastAsia="zh-CN"/>
              </w:rPr>
              <w:t>投标文件需</w:t>
            </w:r>
            <w:r>
              <w:rPr>
                <w:rFonts w:hint="eastAsia" w:ascii="宋体" w:hAnsi="宋体" w:eastAsia="宋体" w:cs="宋体"/>
                <w:i w:val="0"/>
                <w:iCs w:val="0"/>
                <w:caps w:val="0"/>
                <w:color w:val="171A1D"/>
                <w:spacing w:val="0"/>
                <w:sz w:val="24"/>
                <w:szCs w:val="24"/>
                <w:highlight w:val="none"/>
                <w:shd w:val="clear" w:color="auto" w:fill="FFFFFF"/>
                <w:vertAlign w:val="baseline"/>
                <w:lang w:eastAsia="zh-CN"/>
              </w:rPr>
              <w:t>提供计量机构出具的测试报告扫描件。</w:t>
            </w:r>
          </w:p>
          <w:p w14:paraId="25A72F4A">
            <w:pPr>
              <w:rPr>
                <w:rFonts w:hint="eastAsia" w:ascii="宋体" w:hAnsi="宋体" w:eastAsia="宋体" w:cs="宋体"/>
                <w:i w:val="0"/>
                <w:iCs w:val="0"/>
                <w:caps w:val="0"/>
                <w:color w:val="171A1D"/>
                <w:spacing w:val="0"/>
                <w:sz w:val="24"/>
                <w:szCs w:val="24"/>
                <w:highlight w:val="none"/>
                <w:shd w:val="clear" w:color="auto" w:fill="FFFFFF"/>
                <w:vertAlign w:val="baseline"/>
                <w:lang w:eastAsia="zh-CN"/>
              </w:rPr>
            </w:pPr>
            <w:r>
              <w:rPr>
                <w:rFonts w:hint="eastAsia" w:ascii="宋体" w:hAnsi="宋体" w:cs="宋体"/>
                <w:bCs/>
                <w:color w:val="000000" w:themeColor="text1"/>
                <w:kern w:val="0"/>
                <w:sz w:val="24"/>
                <w:highlight w:val="none"/>
                <w:lang w:eastAsia="zh-CN"/>
                <w14:textFill>
                  <w14:solidFill>
                    <w14:schemeClr w14:val="tx1"/>
                  </w14:solidFill>
                </w14:textFill>
              </w:rPr>
              <w:t>▲</w:t>
            </w:r>
            <w:r>
              <w:rPr>
                <w:rFonts w:hint="eastAsia" w:ascii="宋体" w:hAnsi="宋体" w:eastAsia="宋体" w:cs="宋体"/>
                <w:i w:val="0"/>
                <w:iCs w:val="0"/>
                <w:caps w:val="0"/>
                <w:color w:val="171A1D"/>
                <w:spacing w:val="0"/>
                <w:sz w:val="24"/>
                <w:szCs w:val="24"/>
                <w:highlight w:val="none"/>
                <w:shd w:val="clear" w:color="auto" w:fill="FFFFFF"/>
                <w:vertAlign w:val="baseline"/>
                <w:lang w:val="en-US" w:eastAsia="zh-CN"/>
              </w:rPr>
              <w:t>6</w:t>
            </w:r>
            <w:r>
              <w:rPr>
                <w:rFonts w:hint="eastAsia" w:ascii="宋体" w:hAnsi="宋体" w:eastAsia="宋体" w:cs="宋体"/>
                <w:i w:val="0"/>
                <w:iCs w:val="0"/>
                <w:caps w:val="0"/>
                <w:color w:val="171A1D"/>
                <w:spacing w:val="0"/>
                <w:sz w:val="24"/>
                <w:szCs w:val="24"/>
                <w:highlight w:val="none"/>
                <w:shd w:val="clear" w:color="auto" w:fill="FFFFFF"/>
                <w:vertAlign w:val="baseline"/>
                <w:lang w:eastAsia="zh-CN"/>
              </w:rPr>
              <w:t>.7 示值稳定性（60min,n≥10）：±5.0%，</w:t>
            </w:r>
            <w:r>
              <w:rPr>
                <w:rFonts w:hint="eastAsia" w:ascii="宋体" w:hAnsi="宋体" w:cs="宋体"/>
                <w:i w:val="0"/>
                <w:iCs w:val="0"/>
                <w:caps w:val="0"/>
                <w:color w:val="171A1D"/>
                <w:spacing w:val="0"/>
                <w:sz w:val="24"/>
                <w:szCs w:val="24"/>
                <w:highlight w:val="none"/>
                <w:shd w:val="clear" w:color="auto" w:fill="FFFFFF"/>
                <w:vertAlign w:val="baseline"/>
                <w:lang w:val="en-US" w:eastAsia="zh-CN"/>
              </w:rPr>
              <w:t>投标文件需</w:t>
            </w:r>
            <w:r>
              <w:rPr>
                <w:rFonts w:hint="eastAsia" w:ascii="宋体" w:hAnsi="宋体" w:eastAsia="宋体" w:cs="宋体"/>
                <w:i w:val="0"/>
                <w:iCs w:val="0"/>
                <w:caps w:val="0"/>
                <w:color w:val="171A1D"/>
                <w:spacing w:val="0"/>
                <w:sz w:val="24"/>
                <w:szCs w:val="24"/>
                <w:highlight w:val="none"/>
                <w:shd w:val="clear" w:color="auto" w:fill="FFFFFF"/>
                <w:vertAlign w:val="baseline"/>
                <w:lang w:eastAsia="zh-CN"/>
              </w:rPr>
              <w:t>提供计量机构出具的测试报告扫描件。</w:t>
            </w:r>
          </w:p>
          <w:p w14:paraId="05F1412C">
            <w:pPr>
              <w:rPr>
                <w:rFonts w:hint="eastAsia" w:ascii="宋体" w:hAnsi="宋体" w:eastAsia="宋体" w:cs="宋体"/>
                <w:i w:val="0"/>
                <w:iCs w:val="0"/>
                <w:caps w:val="0"/>
                <w:color w:val="171A1D"/>
                <w:spacing w:val="0"/>
                <w:sz w:val="24"/>
                <w:szCs w:val="24"/>
                <w:highlight w:val="none"/>
                <w:shd w:val="clear" w:color="auto" w:fill="FFFFFF"/>
                <w:vertAlign w:val="baseline"/>
                <w:lang w:eastAsia="zh-CN"/>
              </w:rPr>
            </w:pPr>
            <w:r>
              <w:rPr>
                <w:rFonts w:hint="eastAsia" w:ascii="宋体" w:hAnsi="宋体" w:eastAsia="宋体" w:cs="宋体"/>
                <w:i w:val="0"/>
                <w:iCs w:val="0"/>
                <w:caps w:val="0"/>
                <w:color w:val="171A1D"/>
                <w:spacing w:val="0"/>
                <w:sz w:val="24"/>
                <w:szCs w:val="24"/>
                <w:highlight w:val="none"/>
                <w:shd w:val="clear" w:color="auto" w:fill="FFFFFF"/>
                <w:vertAlign w:val="baseline"/>
                <w:lang w:val="en-US" w:eastAsia="zh-CN"/>
              </w:rPr>
              <w:t>6</w:t>
            </w:r>
            <w:r>
              <w:rPr>
                <w:rFonts w:hint="eastAsia" w:ascii="宋体" w:hAnsi="宋体" w:eastAsia="宋体" w:cs="宋体"/>
                <w:i w:val="0"/>
                <w:iCs w:val="0"/>
                <w:caps w:val="0"/>
                <w:color w:val="171A1D"/>
                <w:spacing w:val="0"/>
                <w:sz w:val="24"/>
                <w:szCs w:val="24"/>
                <w:highlight w:val="none"/>
                <w:shd w:val="clear" w:color="auto" w:fill="FFFFFF"/>
                <w:vertAlign w:val="baseline"/>
                <w:lang w:eastAsia="zh-CN"/>
              </w:rPr>
              <w:t>.8 T/C 精密性(相对标准偏差): CV值≤5%。</w:t>
            </w:r>
          </w:p>
          <w:p w14:paraId="7FED898E">
            <w:pPr>
              <w:rPr>
                <w:rFonts w:hint="eastAsia" w:ascii="宋体" w:hAnsi="宋体" w:eastAsia="宋体" w:cs="宋体"/>
                <w:i w:val="0"/>
                <w:iCs w:val="0"/>
                <w:caps w:val="0"/>
                <w:color w:val="171A1D"/>
                <w:spacing w:val="0"/>
                <w:sz w:val="24"/>
                <w:szCs w:val="24"/>
                <w:highlight w:val="none"/>
                <w:shd w:val="clear" w:color="auto" w:fill="FFFFFF"/>
                <w:vertAlign w:val="baseline"/>
                <w:lang w:eastAsia="zh-CN"/>
              </w:rPr>
            </w:pPr>
            <w:r>
              <w:rPr>
                <w:rFonts w:hint="eastAsia" w:ascii="宋体" w:hAnsi="宋体" w:eastAsia="宋体" w:cs="宋体"/>
                <w:i w:val="0"/>
                <w:iCs w:val="0"/>
                <w:caps w:val="0"/>
                <w:color w:val="171A1D"/>
                <w:spacing w:val="0"/>
                <w:sz w:val="24"/>
                <w:szCs w:val="24"/>
                <w:highlight w:val="none"/>
                <w:shd w:val="clear" w:color="auto" w:fill="FFFFFF"/>
                <w:vertAlign w:val="baseline"/>
                <w:lang w:val="en-US" w:eastAsia="zh-CN"/>
              </w:rPr>
              <w:t>6</w:t>
            </w:r>
            <w:r>
              <w:rPr>
                <w:rFonts w:hint="eastAsia" w:ascii="宋体" w:hAnsi="宋体" w:eastAsia="宋体" w:cs="宋体"/>
                <w:i w:val="0"/>
                <w:iCs w:val="0"/>
                <w:caps w:val="0"/>
                <w:color w:val="171A1D"/>
                <w:spacing w:val="0"/>
                <w:sz w:val="24"/>
                <w:szCs w:val="24"/>
                <w:highlight w:val="none"/>
                <w:shd w:val="clear" w:color="auto" w:fill="FFFFFF"/>
                <w:vertAlign w:val="baseline"/>
                <w:lang w:eastAsia="zh-CN"/>
              </w:rPr>
              <w:t>.9 检测时间：≤5秒。</w:t>
            </w:r>
          </w:p>
          <w:p w14:paraId="54217970">
            <w:pPr>
              <w:rPr>
                <w:rFonts w:hint="eastAsia" w:ascii="宋体" w:hAnsi="宋体" w:eastAsia="宋体" w:cs="宋体"/>
                <w:i w:val="0"/>
                <w:iCs w:val="0"/>
                <w:caps w:val="0"/>
                <w:color w:val="171A1D"/>
                <w:spacing w:val="0"/>
                <w:sz w:val="24"/>
                <w:szCs w:val="24"/>
                <w:highlight w:val="none"/>
                <w:shd w:val="clear" w:color="auto" w:fill="FFFFFF"/>
                <w:vertAlign w:val="baseline"/>
                <w:lang w:eastAsia="zh-CN"/>
              </w:rPr>
            </w:pPr>
            <w:r>
              <w:rPr>
                <w:rFonts w:hint="eastAsia" w:ascii="宋体" w:hAnsi="宋体" w:eastAsia="宋体" w:cs="宋体"/>
                <w:i w:val="0"/>
                <w:iCs w:val="0"/>
                <w:caps w:val="0"/>
                <w:color w:val="171A1D"/>
                <w:spacing w:val="0"/>
                <w:sz w:val="24"/>
                <w:szCs w:val="24"/>
                <w:highlight w:val="none"/>
                <w:shd w:val="clear" w:color="auto" w:fill="FFFFFF"/>
                <w:vertAlign w:val="baseline"/>
                <w:lang w:val="en-US" w:eastAsia="zh-CN"/>
              </w:rPr>
              <w:t>6</w:t>
            </w:r>
            <w:r>
              <w:rPr>
                <w:rFonts w:hint="eastAsia" w:ascii="宋体" w:hAnsi="宋体" w:eastAsia="宋体" w:cs="宋体"/>
                <w:i w:val="0"/>
                <w:iCs w:val="0"/>
                <w:caps w:val="0"/>
                <w:color w:val="171A1D"/>
                <w:spacing w:val="0"/>
                <w:sz w:val="24"/>
                <w:szCs w:val="24"/>
                <w:highlight w:val="none"/>
                <w:shd w:val="clear" w:color="auto" w:fill="FFFFFF"/>
                <w:vertAlign w:val="baseline"/>
                <w:lang w:eastAsia="zh-CN"/>
              </w:rPr>
              <w:t>.10 CT线位置自动识别扫描，无需人工调整，自动获取峰位置，实时显示检测谱图，自动半定性或半定量分析。</w:t>
            </w:r>
          </w:p>
          <w:p w14:paraId="6B90B69A">
            <w:pPr>
              <w:rPr>
                <w:rFonts w:hint="eastAsia" w:ascii="宋体" w:hAnsi="宋体" w:eastAsia="宋体" w:cs="宋体"/>
                <w:i w:val="0"/>
                <w:iCs w:val="0"/>
                <w:caps w:val="0"/>
                <w:color w:val="171A1D"/>
                <w:spacing w:val="0"/>
                <w:sz w:val="24"/>
                <w:szCs w:val="24"/>
                <w:highlight w:val="none"/>
                <w:shd w:val="clear" w:color="auto" w:fill="FFFFFF"/>
                <w:vertAlign w:val="baseline"/>
                <w:lang w:eastAsia="zh-CN"/>
              </w:rPr>
            </w:pPr>
            <w:r>
              <w:rPr>
                <w:rFonts w:hint="eastAsia" w:ascii="宋体" w:hAnsi="宋体" w:cs="宋体"/>
                <w:bCs/>
                <w:color w:val="000000" w:themeColor="text1"/>
                <w:kern w:val="0"/>
                <w:sz w:val="24"/>
                <w:highlight w:val="none"/>
                <w:lang w:eastAsia="zh-CN"/>
                <w14:textFill>
                  <w14:solidFill>
                    <w14:schemeClr w14:val="tx1"/>
                  </w14:solidFill>
                </w14:textFill>
              </w:rPr>
              <w:t>▲</w:t>
            </w:r>
            <w:r>
              <w:rPr>
                <w:rFonts w:hint="eastAsia" w:ascii="宋体" w:hAnsi="宋体" w:eastAsia="宋体" w:cs="宋体"/>
                <w:i w:val="0"/>
                <w:iCs w:val="0"/>
                <w:caps w:val="0"/>
                <w:color w:val="171A1D"/>
                <w:spacing w:val="0"/>
                <w:sz w:val="24"/>
                <w:szCs w:val="24"/>
                <w:highlight w:val="none"/>
                <w:shd w:val="clear" w:color="auto" w:fill="FFFFFF"/>
                <w:vertAlign w:val="baseline"/>
                <w:lang w:val="en-US" w:eastAsia="zh-CN"/>
              </w:rPr>
              <w:t>6</w:t>
            </w:r>
            <w:r>
              <w:rPr>
                <w:rFonts w:hint="eastAsia" w:ascii="宋体" w:hAnsi="宋体" w:eastAsia="宋体" w:cs="宋体"/>
                <w:i w:val="0"/>
                <w:iCs w:val="0"/>
                <w:caps w:val="0"/>
                <w:color w:val="171A1D"/>
                <w:spacing w:val="0"/>
                <w:sz w:val="24"/>
                <w:szCs w:val="24"/>
                <w:highlight w:val="none"/>
                <w:shd w:val="clear" w:color="auto" w:fill="FFFFFF"/>
                <w:vertAlign w:val="baseline"/>
                <w:lang w:eastAsia="zh-CN"/>
              </w:rPr>
              <w:t>.11 支持不同厂家生产的胶体金产品。</w:t>
            </w:r>
          </w:p>
          <w:p w14:paraId="2B6C9F4D">
            <w:pPr>
              <w:rPr>
                <w:rFonts w:hint="eastAsia" w:ascii="宋体" w:hAnsi="宋体" w:eastAsia="宋体" w:cs="宋体"/>
                <w:i w:val="0"/>
                <w:iCs w:val="0"/>
                <w:caps w:val="0"/>
                <w:color w:val="171A1D"/>
                <w:spacing w:val="0"/>
                <w:sz w:val="24"/>
                <w:szCs w:val="24"/>
                <w:highlight w:val="none"/>
                <w:shd w:val="clear" w:color="auto" w:fill="FFFFFF"/>
                <w:vertAlign w:val="baseline"/>
                <w:lang w:eastAsia="zh-CN"/>
              </w:rPr>
            </w:pPr>
            <w:r>
              <w:rPr>
                <w:rFonts w:hint="eastAsia" w:ascii="宋体" w:hAnsi="宋体" w:eastAsia="宋体" w:cs="宋体"/>
                <w:i w:val="0"/>
                <w:iCs w:val="0"/>
                <w:caps w:val="0"/>
                <w:color w:val="171A1D"/>
                <w:spacing w:val="0"/>
                <w:sz w:val="24"/>
                <w:szCs w:val="24"/>
                <w:highlight w:val="none"/>
                <w:shd w:val="clear" w:color="auto" w:fill="FFFFFF"/>
                <w:vertAlign w:val="baseline"/>
                <w:lang w:val="en-US" w:eastAsia="zh-CN"/>
              </w:rPr>
              <w:t>6</w:t>
            </w:r>
            <w:r>
              <w:rPr>
                <w:rFonts w:hint="eastAsia" w:ascii="宋体" w:hAnsi="宋体" w:eastAsia="宋体" w:cs="宋体"/>
                <w:i w:val="0"/>
                <w:iCs w:val="0"/>
                <w:caps w:val="0"/>
                <w:color w:val="171A1D"/>
                <w:spacing w:val="0"/>
                <w:sz w:val="24"/>
                <w:szCs w:val="24"/>
                <w:highlight w:val="none"/>
                <w:shd w:val="clear" w:color="auto" w:fill="FFFFFF"/>
                <w:vertAlign w:val="baseline"/>
                <w:lang w:eastAsia="zh-CN"/>
              </w:rPr>
              <w:t>.12 可根据不同食用农产品重点品种及易超标常规药物参数，配备单卡（裸条）、双联卡、三联卡、四联卡、六联卡、八联卡、十二联卡、十六联卡等多联卡，多种产品类型自由选择，提供仪器检测界面截图或仪器图片证明。</w:t>
            </w:r>
          </w:p>
          <w:p w14:paraId="66F069BA">
            <w:pPr>
              <w:rPr>
                <w:rFonts w:hint="eastAsia" w:ascii="宋体" w:hAnsi="宋体" w:eastAsia="宋体" w:cs="宋体"/>
                <w:i w:val="0"/>
                <w:iCs w:val="0"/>
                <w:caps w:val="0"/>
                <w:color w:val="171A1D"/>
                <w:spacing w:val="0"/>
                <w:sz w:val="24"/>
                <w:szCs w:val="24"/>
                <w:highlight w:val="none"/>
                <w:shd w:val="clear" w:color="auto" w:fill="FFFFFF"/>
                <w:vertAlign w:val="baseline"/>
                <w:lang w:eastAsia="zh-CN"/>
              </w:rPr>
            </w:pPr>
            <w:r>
              <w:rPr>
                <w:rFonts w:hint="eastAsia" w:ascii="宋体" w:hAnsi="宋体" w:eastAsia="宋体" w:cs="宋体"/>
                <w:i w:val="0"/>
                <w:iCs w:val="0"/>
                <w:caps w:val="0"/>
                <w:color w:val="171A1D"/>
                <w:spacing w:val="0"/>
                <w:sz w:val="24"/>
                <w:szCs w:val="24"/>
                <w:highlight w:val="none"/>
                <w:shd w:val="clear" w:color="auto" w:fill="FFFFFF"/>
                <w:vertAlign w:val="baseline"/>
                <w:lang w:val="en-US" w:eastAsia="zh-CN"/>
              </w:rPr>
              <w:t>6</w:t>
            </w:r>
            <w:r>
              <w:rPr>
                <w:rFonts w:hint="eastAsia" w:ascii="宋体" w:hAnsi="宋体" w:eastAsia="宋体" w:cs="宋体"/>
                <w:i w:val="0"/>
                <w:iCs w:val="0"/>
                <w:caps w:val="0"/>
                <w:color w:val="171A1D"/>
                <w:spacing w:val="0"/>
                <w:sz w:val="24"/>
                <w:szCs w:val="24"/>
                <w:highlight w:val="none"/>
                <w:shd w:val="clear" w:color="auto" w:fill="FFFFFF"/>
                <w:vertAlign w:val="baseline"/>
                <w:lang w:eastAsia="zh-CN"/>
              </w:rPr>
              <w:t>.13 具备追溯功能：能自动识别检测卡上的二维码，获取检测卡项目、货号、批号、序列号等信息，检测图片和曲线实时保存，方便后期数据溯源，提供仪器检测界面截图或仪器图片证明。</w:t>
            </w:r>
          </w:p>
          <w:p w14:paraId="2F095B68">
            <w:pPr>
              <w:rPr>
                <w:rFonts w:hint="eastAsia" w:ascii="宋体" w:hAnsi="宋体" w:eastAsia="宋体" w:cs="宋体"/>
                <w:i w:val="0"/>
                <w:iCs w:val="0"/>
                <w:caps w:val="0"/>
                <w:color w:val="171A1D"/>
                <w:spacing w:val="0"/>
                <w:sz w:val="24"/>
                <w:szCs w:val="24"/>
                <w:highlight w:val="none"/>
                <w:shd w:val="clear" w:color="auto" w:fill="FFFFFF"/>
                <w:vertAlign w:val="baseline"/>
                <w:lang w:eastAsia="zh-CN"/>
              </w:rPr>
            </w:pPr>
            <w:r>
              <w:rPr>
                <w:rFonts w:hint="eastAsia" w:ascii="宋体" w:hAnsi="宋体" w:eastAsia="宋体" w:cs="宋体"/>
                <w:i w:val="0"/>
                <w:iCs w:val="0"/>
                <w:caps w:val="0"/>
                <w:color w:val="171A1D"/>
                <w:spacing w:val="0"/>
                <w:sz w:val="24"/>
                <w:szCs w:val="24"/>
                <w:highlight w:val="none"/>
                <w:shd w:val="clear" w:color="auto" w:fill="FFFFFF"/>
                <w:vertAlign w:val="baseline"/>
                <w:lang w:val="en-US" w:eastAsia="zh-CN"/>
              </w:rPr>
              <w:t>7</w:t>
            </w:r>
            <w:r>
              <w:rPr>
                <w:rFonts w:hint="eastAsia" w:ascii="宋体" w:hAnsi="宋体" w:eastAsia="宋体" w:cs="宋体"/>
                <w:i w:val="0"/>
                <w:iCs w:val="0"/>
                <w:caps w:val="0"/>
                <w:color w:val="171A1D"/>
                <w:spacing w:val="0"/>
                <w:sz w:val="24"/>
                <w:szCs w:val="24"/>
                <w:highlight w:val="none"/>
                <w:shd w:val="clear" w:color="auto" w:fill="FFFFFF"/>
                <w:vertAlign w:val="baseline"/>
                <w:lang w:eastAsia="zh-CN"/>
              </w:rPr>
              <w:t>、数字化管理模块：</w:t>
            </w:r>
          </w:p>
          <w:p w14:paraId="0F92D6CD">
            <w:pPr>
              <w:rPr>
                <w:rFonts w:hint="eastAsia" w:ascii="宋体" w:hAnsi="宋体" w:eastAsia="宋体" w:cs="宋体"/>
                <w:i w:val="0"/>
                <w:iCs w:val="0"/>
                <w:caps w:val="0"/>
                <w:color w:val="171A1D"/>
                <w:spacing w:val="0"/>
                <w:sz w:val="24"/>
                <w:szCs w:val="24"/>
                <w:highlight w:val="none"/>
                <w:shd w:val="clear" w:color="auto" w:fill="FFFFFF"/>
                <w:vertAlign w:val="baseline"/>
                <w:lang w:eastAsia="zh-CN"/>
              </w:rPr>
            </w:pPr>
            <w:r>
              <w:rPr>
                <w:rFonts w:hint="eastAsia" w:ascii="宋体" w:hAnsi="宋体" w:eastAsia="宋体" w:cs="宋体"/>
                <w:i w:val="0"/>
                <w:iCs w:val="0"/>
                <w:caps w:val="0"/>
                <w:color w:val="171A1D"/>
                <w:spacing w:val="0"/>
                <w:sz w:val="24"/>
                <w:szCs w:val="24"/>
                <w:highlight w:val="none"/>
                <w:shd w:val="clear" w:color="auto" w:fill="FFFFFF"/>
                <w:vertAlign w:val="baseline"/>
                <w:lang w:val="en-US" w:eastAsia="zh-CN"/>
              </w:rPr>
              <w:t>7</w:t>
            </w:r>
            <w:r>
              <w:rPr>
                <w:rFonts w:hint="eastAsia" w:ascii="宋体" w:hAnsi="宋体" w:eastAsia="宋体" w:cs="宋体"/>
                <w:i w:val="0"/>
                <w:iCs w:val="0"/>
                <w:caps w:val="0"/>
                <w:color w:val="171A1D"/>
                <w:spacing w:val="0"/>
                <w:sz w:val="24"/>
                <w:szCs w:val="24"/>
                <w:highlight w:val="none"/>
                <w:shd w:val="clear" w:color="auto" w:fill="FFFFFF"/>
                <w:vertAlign w:val="baseline"/>
                <w:lang w:eastAsia="zh-CN"/>
              </w:rPr>
              <w:t>.1 操作系统：Android 11.0以上版本系统，</w:t>
            </w:r>
          </w:p>
          <w:p w14:paraId="49EE090E">
            <w:pPr>
              <w:rPr>
                <w:rFonts w:hint="eastAsia" w:ascii="宋体" w:hAnsi="宋体" w:eastAsia="宋体" w:cs="宋体"/>
                <w:i w:val="0"/>
                <w:iCs w:val="0"/>
                <w:caps w:val="0"/>
                <w:color w:val="171A1D"/>
                <w:spacing w:val="0"/>
                <w:sz w:val="24"/>
                <w:szCs w:val="24"/>
                <w:highlight w:val="none"/>
                <w:shd w:val="clear" w:color="auto" w:fill="FFFFFF"/>
                <w:vertAlign w:val="baseline"/>
                <w:lang w:eastAsia="zh-CN"/>
              </w:rPr>
            </w:pPr>
            <w:r>
              <w:rPr>
                <w:rFonts w:hint="eastAsia" w:ascii="宋体" w:hAnsi="宋体" w:eastAsia="宋体" w:cs="宋体"/>
                <w:i w:val="0"/>
                <w:iCs w:val="0"/>
                <w:caps w:val="0"/>
                <w:color w:val="171A1D"/>
                <w:spacing w:val="0"/>
                <w:sz w:val="24"/>
                <w:szCs w:val="24"/>
                <w:highlight w:val="none"/>
                <w:shd w:val="clear" w:color="auto" w:fill="FFFFFF"/>
                <w:vertAlign w:val="baseline"/>
                <w:lang w:val="en-US" w:eastAsia="zh-CN"/>
              </w:rPr>
              <w:t>7</w:t>
            </w:r>
            <w:r>
              <w:rPr>
                <w:rFonts w:hint="eastAsia" w:ascii="宋体" w:hAnsi="宋体" w:eastAsia="宋体" w:cs="宋体"/>
                <w:i w:val="0"/>
                <w:iCs w:val="0"/>
                <w:caps w:val="0"/>
                <w:color w:val="171A1D"/>
                <w:spacing w:val="0"/>
                <w:sz w:val="24"/>
                <w:szCs w:val="24"/>
                <w:highlight w:val="none"/>
                <w:shd w:val="clear" w:color="auto" w:fill="FFFFFF"/>
                <w:vertAlign w:val="baseline"/>
                <w:lang w:eastAsia="zh-CN"/>
              </w:rPr>
              <w:t>.2 处理器：配备相当于64位4核心1.7GHZ及以上性能的CPU。</w:t>
            </w:r>
          </w:p>
          <w:p w14:paraId="0CDB3C7E">
            <w:pPr>
              <w:rPr>
                <w:rFonts w:hint="eastAsia" w:ascii="宋体" w:hAnsi="宋体" w:eastAsia="宋体" w:cs="宋体"/>
                <w:i w:val="0"/>
                <w:iCs w:val="0"/>
                <w:caps w:val="0"/>
                <w:color w:val="171A1D"/>
                <w:spacing w:val="0"/>
                <w:sz w:val="24"/>
                <w:szCs w:val="24"/>
                <w:highlight w:val="none"/>
                <w:shd w:val="clear" w:color="auto" w:fill="FFFFFF"/>
                <w:vertAlign w:val="baseline"/>
                <w:lang w:eastAsia="zh-CN"/>
              </w:rPr>
            </w:pPr>
            <w:r>
              <w:rPr>
                <w:rFonts w:hint="eastAsia" w:ascii="宋体" w:hAnsi="宋体" w:eastAsia="宋体" w:cs="宋体"/>
                <w:i w:val="0"/>
                <w:iCs w:val="0"/>
                <w:caps w:val="0"/>
                <w:color w:val="171A1D"/>
                <w:spacing w:val="0"/>
                <w:sz w:val="24"/>
                <w:szCs w:val="24"/>
                <w:highlight w:val="none"/>
                <w:shd w:val="clear" w:color="auto" w:fill="FFFFFF"/>
                <w:vertAlign w:val="baseline"/>
                <w:lang w:val="en-US" w:eastAsia="zh-CN"/>
              </w:rPr>
              <w:t>7</w:t>
            </w:r>
            <w:r>
              <w:rPr>
                <w:rFonts w:hint="eastAsia" w:ascii="宋体" w:hAnsi="宋体" w:eastAsia="宋体" w:cs="宋体"/>
                <w:i w:val="0"/>
                <w:iCs w:val="0"/>
                <w:caps w:val="0"/>
                <w:color w:val="171A1D"/>
                <w:spacing w:val="0"/>
                <w:sz w:val="24"/>
                <w:szCs w:val="24"/>
                <w:highlight w:val="none"/>
                <w:shd w:val="clear" w:color="auto" w:fill="FFFFFF"/>
                <w:vertAlign w:val="baseline"/>
                <w:lang w:eastAsia="zh-CN"/>
              </w:rPr>
              <w:t>.3 运行内存：≥4GB。</w:t>
            </w:r>
          </w:p>
          <w:p w14:paraId="63F69393">
            <w:pPr>
              <w:rPr>
                <w:rFonts w:hint="eastAsia" w:ascii="宋体" w:hAnsi="宋体" w:eastAsia="宋体" w:cs="宋体"/>
                <w:i w:val="0"/>
                <w:iCs w:val="0"/>
                <w:caps w:val="0"/>
                <w:color w:val="171A1D"/>
                <w:spacing w:val="0"/>
                <w:sz w:val="24"/>
                <w:szCs w:val="24"/>
                <w:highlight w:val="none"/>
                <w:shd w:val="clear" w:color="auto" w:fill="FFFFFF"/>
                <w:vertAlign w:val="baseline"/>
                <w:lang w:eastAsia="zh-CN"/>
              </w:rPr>
            </w:pPr>
            <w:r>
              <w:rPr>
                <w:rFonts w:hint="eastAsia" w:ascii="宋体" w:hAnsi="宋体" w:eastAsia="宋体" w:cs="宋体"/>
                <w:i w:val="0"/>
                <w:iCs w:val="0"/>
                <w:caps w:val="0"/>
                <w:color w:val="171A1D"/>
                <w:spacing w:val="0"/>
                <w:sz w:val="24"/>
                <w:szCs w:val="24"/>
                <w:highlight w:val="none"/>
                <w:shd w:val="clear" w:color="auto" w:fill="FFFFFF"/>
                <w:vertAlign w:val="baseline"/>
                <w:lang w:val="en-US" w:eastAsia="zh-CN"/>
              </w:rPr>
              <w:t>7</w:t>
            </w:r>
            <w:r>
              <w:rPr>
                <w:rFonts w:hint="eastAsia" w:ascii="宋体" w:hAnsi="宋体" w:eastAsia="宋体" w:cs="宋体"/>
                <w:i w:val="0"/>
                <w:iCs w:val="0"/>
                <w:caps w:val="0"/>
                <w:color w:val="171A1D"/>
                <w:spacing w:val="0"/>
                <w:sz w:val="24"/>
                <w:szCs w:val="24"/>
                <w:highlight w:val="none"/>
                <w:shd w:val="clear" w:color="auto" w:fill="FFFFFF"/>
                <w:vertAlign w:val="baseline"/>
                <w:lang w:eastAsia="zh-CN"/>
              </w:rPr>
              <w:t>.4 数据存储：≥32GB，可存储至少50000条数据，并可根据需要扩展存储容量。</w:t>
            </w:r>
          </w:p>
          <w:p w14:paraId="4065E449">
            <w:pPr>
              <w:rPr>
                <w:rFonts w:hint="eastAsia" w:ascii="宋体" w:hAnsi="宋体" w:eastAsia="宋体" w:cs="宋体"/>
                <w:i w:val="0"/>
                <w:iCs w:val="0"/>
                <w:caps w:val="0"/>
                <w:color w:val="171A1D"/>
                <w:spacing w:val="0"/>
                <w:sz w:val="24"/>
                <w:szCs w:val="24"/>
                <w:highlight w:val="none"/>
                <w:shd w:val="clear" w:color="auto" w:fill="FFFFFF"/>
                <w:vertAlign w:val="baseline"/>
                <w:lang w:eastAsia="zh-CN"/>
              </w:rPr>
            </w:pPr>
            <w:r>
              <w:rPr>
                <w:rFonts w:hint="eastAsia" w:ascii="宋体" w:hAnsi="宋体" w:eastAsia="宋体" w:cs="宋体"/>
                <w:i w:val="0"/>
                <w:iCs w:val="0"/>
                <w:caps w:val="0"/>
                <w:color w:val="171A1D"/>
                <w:spacing w:val="0"/>
                <w:sz w:val="24"/>
                <w:szCs w:val="24"/>
                <w:highlight w:val="none"/>
                <w:shd w:val="clear" w:color="auto" w:fill="FFFFFF"/>
                <w:vertAlign w:val="baseline"/>
                <w:lang w:val="en-US" w:eastAsia="zh-CN"/>
              </w:rPr>
              <w:t>7</w:t>
            </w:r>
            <w:r>
              <w:rPr>
                <w:rFonts w:hint="eastAsia" w:ascii="宋体" w:hAnsi="宋体" w:eastAsia="宋体" w:cs="宋体"/>
                <w:i w:val="0"/>
                <w:iCs w:val="0"/>
                <w:caps w:val="0"/>
                <w:color w:val="171A1D"/>
                <w:spacing w:val="0"/>
                <w:sz w:val="24"/>
                <w:szCs w:val="24"/>
                <w:highlight w:val="none"/>
                <w:shd w:val="clear" w:color="auto" w:fill="FFFFFF"/>
                <w:vertAlign w:val="baseline"/>
                <w:lang w:eastAsia="zh-CN"/>
              </w:rPr>
              <w:t>.5 显示屏：≥11寸，电容触摸显示屏，分辨率≥1920×1080。</w:t>
            </w:r>
          </w:p>
          <w:p w14:paraId="61606ACB">
            <w:pPr>
              <w:rPr>
                <w:rFonts w:hint="eastAsia" w:ascii="宋体" w:hAnsi="宋体" w:eastAsia="宋体" w:cs="宋体"/>
                <w:i w:val="0"/>
                <w:iCs w:val="0"/>
                <w:caps w:val="0"/>
                <w:color w:val="171A1D"/>
                <w:spacing w:val="0"/>
                <w:sz w:val="24"/>
                <w:szCs w:val="24"/>
                <w:highlight w:val="none"/>
                <w:shd w:val="clear" w:color="auto" w:fill="FFFFFF"/>
                <w:vertAlign w:val="baseline"/>
                <w:lang w:eastAsia="zh-CN"/>
              </w:rPr>
            </w:pPr>
            <w:r>
              <w:rPr>
                <w:rFonts w:hint="eastAsia" w:ascii="宋体" w:hAnsi="宋体" w:eastAsia="宋体" w:cs="宋体"/>
                <w:i w:val="0"/>
                <w:iCs w:val="0"/>
                <w:caps w:val="0"/>
                <w:color w:val="171A1D"/>
                <w:spacing w:val="0"/>
                <w:sz w:val="24"/>
                <w:szCs w:val="24"/>
                <w:highlight w:val="none"/>
                <w:shd w:val="clear" w:color="auto" w:fill="FFFFFF"/>
                <w:vertAlign w:val="baseline"/>
                <w:lang w:val="en-US" w:eastAsia="zh-CN"/>
              </w:rPr>
              <w:t>7</w:t>
            </w:r>
            <w:r>
              <w:rPr>
                <w:rFonts w:hint="eastAsia" w:ascii="宋体" w:hAnsi="宋体" w:eastAsia="宋体" w:cs="宋体"/>
                <w:i w:val="0"/>
                <w:iCs w:val="0"/>
                <w:caps w:val="0"/>
                <w:color w:val="171A1D"/>
                <w:spacing w:val="0"/>
                <w:sz w:val="24"/>
                <w:szCs w:val="24"/>
                <w:highlight w:val="none"/>
                <w:shd w:val="clear" w:color="auto" w:fill="FFFFFF"/>
                <w:vertAlign w:val="baseline"/>
                <w:lang w:eastAsia="zh-CN"/>
              </w:rPr>
              <w:t>.6 输入方式：触摸输入、支持多点触控。</w:t>
            </w:r>
          </w:p>
          <w:p w14:paraId="3B073080">
            <w:pPr>
              <w:rPr>
                <w:rFonts w:hint="eastAsia" w:ascii="宋体" w:hAnsi="宋体" w:eastAsia="宋体" w:cs="宋体"/>
                <w:i w:val="0"/>
                <w:iCs w:val="0"/>
                <w:caps w:val="0"/>
                <w:color w:val="171A1D"/>
                <w:spacing w:val="0"/>
                <w:sz w:val="24"/>
                <w:szCs w:val="24"/>
                <w:highlight w:val="none"/>
                <w:shd w:val="clear" w:color="auto" w:fill="FFFFFF"/>
                <w:vertAlign w:val="baseline"/>
                <w:lang w:eastAsia="zh-CN"/>
              </w:rPr>
            </w:pPr>
            <w:r>
              <w:rPr>
                <w:rFonts w:hint="eastAsia" w:ascii="宋体" w:hAnsi="宋体" w:eastAsia="宋体" w:cs="宋体"/>
                <w:i w:val="0"/>
                <w:iCs w:val="0"/>
                <w:caps w:val="0"/>
                <w:color w:val="171A1D"/>
                <w:spacing w:val="0"/>
                <w:sz w:val="24"/>
                <w:szCs w:val="24"/>
                <w:highlight w:val="none"/>
                <w:shd w:val="clear" w:color="auto" w:fill="FFFFFF"/>
                <w:vertAlign w:val="baseline"/>
                <w:lang w:val="en-US" w:eastAsia="zh-CN"/>
              </w:rPr>
              <w:t>7</w:t>
            </w:r>
            <w:r>
              <w:rPr>
                <w:rFonts w:hint="eastAsia" w:ascii="宋体" w:hAnsi="宋体" w:eastAsia="宋体" w:cs="宋体"/>
                <w:i w:val="0"/>
                <w:iCs w:val="0"/>
                <w:caps w:val="0"/>
                <w:color w:val="171A1D"/>
                <w:spacing w:val="0"/>
                <w:sz w:val="24"/>
                <w:szCs w:val="24"/>
                <w:highlight w:val="none"/>
                <w:shd w:val="clear" w:color="auto" w:fill="FFFFFF"/>
                <w:vertAlign w:val="baseline"/>
                <w:lang w:eastAsia="zh-CN"/>
              </w:rPr>
              <w:t>.7 仪器具有检测任务接收功能，可快速接收监控网络平台发派的检测任务，在任务接收列表中用户可以选择检测任务进行快检操作，操作完的任务将自动上传到监控网络平台。</w:t>
            </w:r>
          </w:p>
          <w:p w14:paraId="74DE0087">
            <w:pPr>
              <w:rPr>
                <w:rFonts w:hint="eastAsia" w:ascii="宋体" w:hAnsi="宋体" w:eastAsia="宋体" w:cs="宋体"/>
                <w:i w:val="0"/>
                <w:iCs w:val="0"/>
                <w:caps w:val="0"/>
                <w:color w:val="171A1D"/>
                <w:spacing w:val="0"/>
                <w:sz w:val="24"/>
                <w:szCs w:val="24"/>
                <w:highlight w:val="none"/>
                <w:shd w:val="clear" w:color="auto" w:fill="FFFFFF"/>
                <w:vertAlign w:val="baseline"/>
                <w:lang w:eastAsia="zh-CN"/>
              </w:rPr>
            </w:pPr>
            <w:r>
              <w:rPr>
                <w:rFonts w:hint="eastAsia" w:ascii="宋体" w:hAnsi="宋体" w:eastAsia="宋体" w:cs="宋体"/>
                <w:i w:val="0"/>
                <w:iCs w:val="0"/>
                <w:caps w:val="0"/>
                <w:color w:val="171A1D"/>
                <w:spacing w:val="0"/>
                <w:sz w:val="24"/>
                <w:szCs w:val="24"/>
                <w:highlight w:val="none"/>
                <w:shd w:val="clear" w:color="auto" w:fill="FFFFFF"/>
                <w:vertAlign w:val="baseline"/>
                <w:lang w:val="en-US" w:eastAsia="zh-CN"/>
              </w:rPr>
              <w:t>7</w:t>
            </w:r>
            <w:r>
              <w:rPr>
                <w:rFonts w:hint="eastAsia" w:ascii="宋体" w:hAnsi="宋体" w:eastAsia="宋体" w:cs="宋体"/>
                <w:i w:val="0"/>
                <w:iCs w:val="0"/>
                <w:caps w:val="0"/>
                <w:color w:val="171A1D"/>
                <w:spacing w:val="0"/>
                <w:sz w:val="24"/>
                <w:szCs w:val="24"/>
                <w:highlight w:val="none"/>
                <w:shd w:val="clear" w:color="auto" w:fill="FFFFFF"/>
                <w:vertAlign w:val="baseline"/>
                <w:lang w:eastAsia="zh-CN"/>
              </w:rPr>
              <w:t>.8 数据输出：检测结果数据支持断网保存、联网联机上报，监测数据可直接上传至监控网络平台，与原有平台无缝对接。</w:t>
            </w:r>
          </w:p>
          <w:p w14:paraId="5E2A716F">
            <w:pPr>
              <w:rPr>
                <w:rFonts w:hint="eastAsia" w:ascii="宋体" w:hAnsi="宋体" w:eastAsia="宋体" w:cs="宋体"/>
                <w:i w:val="0"/>
                <w:iCs w:val="0"/>
                <w:caps w:val="0"/>
                <w:color w:val="171A1D"/>
                <w:spacing w:val="0"/>
                <w:sz w:val="24"/>
                <w:szCs w:val="24"/>
                <w:highlight w:val="none"/>
                <w:shd w:val="clear" w:color="auto" w:fill="FFFFFF"/>
                <w:vertAlign w:val="baseline"/>
                <w:lang w:eastAsia="zh-CN"/>
              </w:rPr>
            </w:pPr>
            <w:r>
              <w:rPr>
                <w:rFonts w:hint="eastAsia" w:ascii="宋体" w:hAnsi="宋体" w:eastAsia="宋体" w:cs="宋体"/>
                <w:i w:val="0"/>
                <w:iCs w:val="0"/>
                <w:caps w:val="0"/>
                <w:color w:val="171A1D"/>
                <w:spacing w:val="0"/>
                <w:sz w:val="24"/>
                <w:szCs w:val="24"/>
                <w:highlight w:val="none"/>
                <w:shd w:val="clear" w:color="auto" w:fill="FFFFFF"/>
                <w:vertAlign w:val="baseline"/>
                <w:lang w:val="en-US" w:eastAsia="zh-CN"/>
              </w:rPr>
              <w:t>7</w:t>
            </w:r>
            <w:r>
              <w:rPr>
                <w:rFonts w:hint="eastAsia" w:ascii="宋体" w:hAnsi="宋体" w:eastAsia="宋体" w:cs="宋体"/>
                <w:i w:val="0"/>
                <w:iCs w:val="0"/>
                <w:caps w:val="0"/>
                <w:color w:val="171A1D"/>
                <w:spacing w:val="0"/>
                <w:sz w:val="24"/>
                <w:szCs w:val="24"/>
                <w:highlight w:val="none"/>
                <w:shd w:val="clear" w:color="auto" w:fill="FFFFFF"/>
                <w:vertAlign w:val="baseline"/>
                <w:lang w:eastAsia="zh-CN"/>
              </w:rPr>
              <w:t>.9 具有自动诊断系统故障功能，联网情况下软件可自动远程更新。</w:t>
            </w:r>
          </w:p>
          <w:p w14:paraId="34625DEF">
            <w:pPr>
              <w:rPr>
                <w:rFonts w:hint="eastAsia" w:ascii="宋体" w:hAnsi="宋体" w:eastAsia="宋体" w:cs="宋体"/>
                <w:i w:val="0"/>
                <w:iCs w:val="0"/>
                <w:caps w:val="0"/>
                <w:color w:val="171A1D"/>
                <w:spacing w:val="0"/>
                <w:sz w:val="24"/>
                <w:szCs w:val="24"/>
                <w:highlight w:val="none"/>
                <w:shd w:val="clear" w:color="auto" w:fill="FFFFFF"/>
                <w:vertAlign w:val="baseline"/>
                <w:lang w:eastAsia="zh-CN"/>
              </w:rPr>
            </w:pPr>
            <w:r>
              <w:rPr>
                <w:rFonts w:hint="eastAsia" w:ascii="宋体" w:hAnsi="宋体" w:eastAsia="宋体" w:cs="宋体"/>
                <w:i w:val="0"/>
                <w:iCs w:val="0"/>
                <w:caps w:val="0"/>
                <w:color w:val="171A1D"/>
                <w:spacing w:val="0"/>
                <w:sz w:val="24"/>
                <w:szCs w:val="24"/>
                <w:highlight w:val="none"/>
                <w:shd w:val="clear" w:color="auto" w:fill="FFFFFF"/>
                <w:vertAlign w:val="baseline"/>
                <w:lang w:val="en-US" w:eastAsia="zh-CN"/>
              </w:rPr>
              <w:t>7</w:t>
            </w:r>
            <w:r>
              <w:rPr>
                <w:rFonts w:hint="eastAsia" w:ascii="宋体" w:hAnsi="宋体" w:eastAsia="宋体" w:cs="宋体"/>
                <w:i w:val="0"/>
                <w:iCs w:val="0"/>
                <w:caps w:val="0"/>
                <w:color w:val="171A1D"/>
                <w:spacing w:val="0"/>
                <w:sz w:val="24"/>
                <w:szCs w:val="24"/>
                <w:highlight w:val="none"/>
                <w:shd w:val="clear" w:color="auto" w:fill="FFFFFF"/>
                <w:vertAlign w:val="baseline"/>
                <w:lang w:eastAsia="zh-CN"/>
              </w:rPr>
              <w:t>.10 内置专属售后服务板块，采用AES/RSA 2048位非对称算法加密，可通过客服与技术人员在线协助的方式，降低沟通成本，提升检测效率。</w:t>
            </w:r>
          </w:p>
          <w:p w14:paraId="3026E755">
            <w:pPr>
              <w:rPr>
                <w:rFonts w:hint="eastAsia" w:ascii="宋体" w:hAnsi="宋体" w:eastAsia="宋体" w:cs="宋体"/>
                <w:i w:val="0"/>
                <w:iCs w:val="0"/>
                <w:caps w:val="0"/>
                <w:color w:val="171A1D"/>
                <w:spacing w:val="0"/>
                <w:sz w:val="24"/>
                <w:szCs w:val="24"/>
                <w:highlight w:val="none"/>
                <w:shd w:val="clear" w:color="auto" w:fill="FFFFFF"/>
                <w:vertAlign w:val="baseline"/>
                <w:lang w:eastAsia="zh-CN"/>
              </w:rPr>
            </w:pPr>
            <w:r>
              <w:rPr>
                <w:rFonts w:hint="eastAsia" w:ascii="宋体" w:hAnsi="宋体" w:eastAsia="宋体" w:cs="宋体"/>
                <w:i w:val="0"/>
                <w:iCs w:val="0"/>
                <w:caps w:val="0"/>
                <w:color w:val="171A1D"/>
                <w:spacing w:val="0"/>
                <w:sz w:val="24"/>
                <w:szCs w:val="24"/>
                <w:highlight w:val="none"/>
                <w:shd w:val="clear" w:color="auto" w:fill="FFFFFF"/>
                <w:vertAlign w:val="baseline"/>
                <w:lang w:val="en-US" w:eastAsia="zh-CN"/>
              </w:rPr>
              <w:t>8</w:t>
            </w:r>
            <w:r>
              <w:rPr>
                <w:rFonts w:hint="eastAsia" w:ascii="宋体" w:hAnsi="宋体" w:eastAsia="宋体" w:cs="宋体"/>
                <w:i w:val="0"/>
                <w:iCs w:val="0"/>
                <w:caps w:val="0"/>
                <w:color w:val="171A1D"/>
                <w:spacing w:val="0"/>
                <w:sz w:val="24"/>
                <w:szCs w:val="24"/>
                <w:highlight w:val="none"/>
                <w:shd w:val="clear" w:color="auto" w:fill="FFFFFF"/>
                <w:vertAlign w:val="baseline"/>
                <w:lang w:eastAsia="zh-CN"/>
              </w:rPr>
              <w:t>、无线通讯模块：</w:t>
            </w:r>
          </w:p>
          <w:p w14:paraId="6A955295">
            <w:pPr>
              <w:rPr>
                <w:rFonts w:hint="eastAsia" w:ascii="宋体" w:hAnsi="宋体" w:eastAsia="宋体" w:cs="宋体"/>
                <w:i w:val="0"/>
                <w:iCs w:val="0"/>
                <w:caps w:val="0"/>
                <w:color w:val="171A1D"/>
                <w:spacing w:val="0"/>
                <w:sz w:val="24"/>
                <w:szCs w:val="24"/>
                <w:highlight w:val="none"/>
                <w:shd w:val="clear" w:color="auto" w:fill="FFFFFF"/>
                <w:vertAlign w:val="baseline"/>
                <w:lang w:eastAsia="zh-CN"/>
              </w:rPr>
            </w:pPr>
            <w:r>
              <w:rPr>
                <w:rFonts w:hint="eastAsia" w:ascii="宋体" w:hAnsi="宋体" w:eastAsia="宋体" w:cs="宋体"/>
                <w:i w:val="0"/>
                <w:iCs w:val="0"/>
                <w:caps w:val="0"/>
                <w:color w:val="171A1D"/>
                <w:spacing w:val="0"/>
                <w:sz w:val="24"/>
                <w:szCs w:val="24"/>
                <w:highlight w:val="none"/>
                <w:shd w:val="clear" w:color="auto" w:fill="FFFFFF"/>
                <w:vertAlign w:val="baseline"/>
                <w:lang w:val="en-US" w:eastAsia="zh-CN"/>
              </w:rPr>
              <w:t>8</w:t>
            </w:r>
            <w:r>
              <w:rPr>
                <w:rFonts w:hint="eastAsia" w:ascii="宋体" w:hAnsi="宋体" w:eastAsia="宋体" w:cs="宋体"/>
                <w:i w:val="0"/>
                <w:iCs w:val="0"/>
                <w:caps w:val="0"/>
                <w:color w:val="171A1D"/>
                <w:spacing w:val="0"/>
                <w:sz w:val="24"/>
                <w:szCs w:val="24"/>
                <w:highlight w:val="none"/>
                <w:shd w:val="clear" w:color="auto" w:fill="FFFFFF"/>
                <w:vertAlign w:val="baseline"/>
                <w:lang w:eastAsia="zh-CN"/>
              </w:rPr>
              <w:t>.1 内置WIFI或GPRS，实现无线数据上传。</w:t>
            </w:r>
          </w:p>
          <w:p w14:paraId="5C7493BB">
            <w:pPr>
              <w:rPr>
                <w:rFonts w:hint="eastAsia" w:ascii="宋体" w:hAnsi="宋体" w:eastAsia="宋体" w:cs="宋体"/>
                <w:i w:val="0"/>
                <w:iCs w:val="0"/>
                <w:caps w:val="0"/>
                <w:color w:val="171A1D"/>
                <w:spacing w:val="0"/>
                <w:sz w:val="24"/>
                <w:szCs w:val="24"/>
                <w:highlight w:val="none"/>
                <w:shd w:val="clear" w:color="auto" w:fill="FFFFFF"/>
                <w:vertAlign w:val="baseline"/>
                <w:lang w:eastAsia="zh-CN"/>
              </w:rPr>
            </w:pPr>
            <w:r>
              <w:rPr>
                <w:rFonts w:hint="eastAsia" w:ascii="宋体" w:hAnsi="宋体" w:eastAsia="宋体" w:cs="宋体"/>
                <w:i w:val="0"/>
                <w:iCs w:val="0"/>
                <w:caps w:val="0"/>
                <w:color w:val="171A1D"/>
                <w:spacing w:val="0"/>
                <w:sz w:val="24"/>
                <w:szCs w:val="24"/>
                <w:highlight w:val="none"/>
                <w:shd w:val="clear" w:color="auto" w:fill="FFFFFF"/>
                <w:vertAlign w:val="baseline"/>
                <w:lang w:val="en-US" w:eastAsia="zh-CN"/>
              </w:rPr>
              <w:t>8</w:t>
            </w:r>
            <w:r>
              <w:rPr>
                <w:rFonts w:hint="eastAsia" w:ascii="宋体" w:hAnsi="宋体" w:eastAsia="宋体" w:cs="宋体"/>
                <w:i w:val="0"/>
                <w:iCs w:val="0"/>
                <w:caps w:val="0"/>
                <w:color w:val="171A1D"/>
                <w:spacing w:val="0"/>
                <w:sz w:val="24"/>
                <w:szCs w:val="24"/>
                <w:highlight w:val="none"/>
                <w:shd w:val="clear" w:color="auto" w:fill="FFFFFF"/>
                <w:vertAlign w:val="baseline"/>
                <w:lang w:eastAsia="zh-CN"/>
              </w:rPr>
              <w:t>.2 打印：内置微型热敏打印机，可随时打印检测结果，同时具有无线打印功能。</w:t>
            </w:r>
          </w:p>
          <w:p w14:paraId="44E34368">
            <w:pPr>
              <w:rPr>
                <w:rFonts w:hint="eastAsia" w:ascii="宋体" w:hAnsi="宋体" w:eastAsia="宋体" w:cs="宋体"/>
                <w:i w:val="0"/>
                <w:iCs w:val="0"/>
                <w:caps w:val="0"/>
                <w:color w:val="171A1D"/>
                <w:spacing w:val="0"/>
                <w:sz w:val="24"/>
                <w:szCs w:val="24"/>
                <w:highlight w:val="none"/>
                <w:shd w:val="clear" w:color="auto" w:fill="FFFFFF"/>
                <w:vertAlign w:val="baseline"/>
                <w:lang w:eastAsia="zh-CN"/>
              </w:rPr>
            </w:pPr>
            <w:r>
              <w:rPr>
                <w:rFonts w:hint="eastAsia" w:ascii="宋体" w:hAnsi="宋体" w:eastAsia="宋体" w:cs="宋体"/>
                <w:i w:val="0"/>
                <w:iCs w:val="0"/>
                <w:caps w:val="0"/>
                <w:color w:val="171A1D"/>
                <w:spacing w:val="0"/>
                <w:sz w:val="24"/>
                <w:szCs w:val="24"/>
                <w:highlight w:val="none"/>
                <w:shd w:val="clear" w:color="auto" w:fill="FFFFFF"/>
                <w:vertAlign w:val="baseline"/>
                <w:lang w:val="en-US" w:eastAsia="zh-CN"/>
              </w:rPr>
              <w:t>9</w:t>
            </w:r>
            <w:r>
              <w:rPr>
                <w:rFonts w:hint="eastAsia" w:ascii="宋体" w:hAnsi="宋体" w:eastAsia="宋体" w:cs="宋体"/>
                <w:i w:val="0"/>
                <w:iCs w:val="0"/>
                <w:caps w:val="0"/>
                <w:color w:val="171A1D"/>
                <w:spacing w:val="0"/>
                <w:sz w:val="24"/>
                <w:szCs w:val="24"/>
                <w:highlight w:val="none"/>
                <w:shd w:val="clear" w:color="auto" w:fill="FFFFFF"/>
                <w:vertAlign w:val="baseline"/>
                <w:lang w:eastAsia="zh-CN"/>
              </w:rPr>
              <w:t>、电池：内置大容量可充电锂电池，可连续工作5小时以上。</w:t>
            </w:r>
          </w:p>
          <w:p w14:paraId="4C025FC6">
            <w:pPr>
              <w:rPr>
                <w:rFonts w:hint="eastAsia" w:ascii="宋体" w:hAnsi="宋体" w:eastAsia="宋体" w:cs="宋体"/>
                <w:i w:val="0"/>
                <w:iCs w:val="0"/>
                <w:caps w:val="0"/>
                <w:color w:val="171A1D"/>
                <w:spacing w:val="0"/>
                <w:sz w:val="24"/>
                <w:szCs w:val="24"/>
                <w:highlight w:val="none"/>
                <w:shd w:val="clear" w:color="auto" w:fill="FFFFFF"/>
                <w:vertAlign w:val="baseline"/>
                <w:lang w:eastAsia="zh-CN"/>
              </w:rPr>
            </w:pPr>
            <w:r>
              <w:rPr>
                <w:rFonts w:hint="eastAsia" w:ascii="宋体" w:hAnsi="宋体" w:eastAsia="宋体" w:cs="宋体"/>
                <w:i w:val="0"/>
                <w:iCs w:val="0"/>
                <w:caps w:val="0"/>
                <w:color w:val="171A1D"/>
                <w:spacing w:val="0"/>
                <w:sz w:val="24"/>
                <w:szCs w:val="24"/>
                <w:highlight w:val="none"/>
                <w:shd w:val="clear" w:color="auto" w:fill="FFFFFF"/>
                <w:vertAlign w:val="baseline"/>
                <w:lang w:val="en-US" w:eastAsia="zh-CN"/>
              </w:rPr>
              <w:t>10</w:t>
            </w:r>
            <w:r>
              <w:rPr>
                <w:rFonts w:hint="eastAsia" w:ascii="宋体" w:hAnsi="宋体" w:eastAsia="宋体" w:cs="宋体"/>
                <w:i w:val="0"/>
                <w:iCs w:val="0"/>
                <w:caps w:val="0"/>
                <w:color w:val="171A1D"/>
                <w:spacing w:val="0"/>
                <w:sz w:val="24"/>
                <w:szCs w:val="24"/>
                <w:highlight w:val="none"/>
                <w:shd w:val="clear" w:color="auto" w:fill="FFFFFF"/>
                <w:vertAlign w:val="baseline"/>
                <w:lang w:eastAsia="zh-CN"/>
              </w:rPr>
              <w:t>、仪器重量：≤5kg。</w:t>
            </w:r>
          </w:p>
          <w:p w14:paraId="0A05551A">
            <w:pPr>
              <w:rPr>
                <w:rFonts w:hint="eastAsia" w:ascii="宋体" w:hAnsi="宋体" w:eastAsia="宋体" w:cs="宋体"/>
                <w:i w:val="0"/>
                <w:iCs w:val="0"/>
                <w:caps w:val="0"/>
                <w:color w:val="171A1D"/>
                <w:spacing w:val="0"/>
                <w:sz w:val="24"/>
                <w:szCs w:val="24"/>
                <w:highlight w:val="none"/>
                <w:shd w:val="clear" w:color="auto" w:fill="FFFFFF"/>
                <w:vertAlign w:val="baseline"/>
                <w:lang w:eastAsia="zh-CN"/>
              </w:rPr>
            </w:pPr>
            <w:r>
              <w:rPr>
                <w:rFonts w:hint="eastAsia" w:ascii="宋体" w:hAnsi="宋体" w:eastAsia="宋体" w:cs="宋体"/>
                <w:i w:val="0"/>
                <w:iCs w:val="0"/>
                <w:caps w:val="0"/>
                <w:color w:val="171A1D"/>
                <w:spacing w:val="0"/>
                <w:sz w:val="24"/>
                <w:szCs w:val="24"/>
                <w:highlight w:val="none"/>
                <w:shd w:val="clear" w:color="auto" w:fill="FFFFFF"/>
                <w:vertAlign w:val="baseline"/>
                <w:lang w:val="en-US" w:eastAsia="zh-CN"/>
              </w:rPr>
              <w:t>11</w:t>
            </w:r>
            <w:r>
              <w:rPr>
                <w:rFonts w:hint="eastAsia" w:ascii="宋体" w:hAnsi="宋体" w:eastAsia="宋体" w:cs="宋体"/>
                <w:i w:val="0"/>
                <w:iCs w:val="0"/>
                <w:caps w:val="0"/>
                <w:color w:val="171A1D"/>
                <w:spacing w:val="0"/>
                <w:sz w:val="24"/>
                <w:szCs w:val="24"/>
                <w:highlight w:val="none"/>
                <w:shd w:val="clear" w:color="auto" w:fill="FFFFFF"/>
                <w:vertAlign w:val="baseline"/>
                <w:lang w:eastAsia="zh-CN"/>
              </w:rPr>
              <w:t>、仪器尺寸：≤380mm×350mm×150mm。</w:t>
            </w:r>
          </w:p>
          <w:p w14:paraId="30E3DEF8">
            <w:pPr>
              <w:rPr>
                <w:rFonts w:hint="eastAsia" w:ascii="宋体" w:hAnsi="宋体" w:eastAsia="宋体" w:cs="宋体"/>
                <w:i w:val="0"/>
                <w:iCs w:val="0"/>
                <w:caps w:val="0"/>
                <w:color w:val="171A1D"/>
                <w:spacing w:val="0"/>
                <w:sz w:val="24"/>
                <w:szCs w:val="24"/>
                <w:highlight w:val="none"/>
                <w:shd w:val="clear" w:color="auto" w:fill="FFFFFF"/>
                <w:vertAlign w:val="baseline"/>
                <w:lang w:eastAsia="zh-CN"/>
              </w:rPr>
            </w:pPr>
            <w:r>
              <w:rPr>
                <w:rFonts w:hint="eastAsia" w:ascii="宋体" w:hAnsi="宋体" w:eastAsia="宋体" w:cs="宋体"/>
                <w:i w:val="0"/>
                <w:iCs w:val="0"/>
                <w:caps w:val="0"/>
                <w:color w:val="171A1D"/>
                <w:spacing w:val="0"/>
                <w:sz w:val="24"/>
                <w:szCs w:val="24"/>
                <w:highlight w:val="none"/>
                <w:shd w:val="clear" w:color="auto" w:fill="FFFFFF"/>
                <w:vertAlign w:val="baseline"/>
                <w:lang w:eastAsia="zh-CN"/>
              </w:rPr>
              <w:t>1</w:t>
            </w:r>
            <w:r>
              <w:rPr>
                <w:rFonts w:hint="eastAsia" w:ascii="宋体" w:hAnsi="宋体" w:eastAsia="宋体" w:cs="宋体"/>
                <w:i w:val="0"/>
                <w:iCs w:val="0"/>
                <w:caps w:val="0"/>
                <w:color w:val="171A1D"/>
                <w:spacing w:val="0"/>
                <w:sz w:val="24"/>
                <w:szCs w:val="24"/>
                <w:highlight w:val="none"/>
                <w:shd w:val="clear" w:color="auto" w:fill="FFFFFF"/>
                <w:vertAlign w:val="baseline"/>
                <w:lang w:val="en-US" w:eastAsia="zh-CN"/>
              </w:rPr>
              <w:t>2、</w:t>
            </w:r>
            <w:r>
              <w:rPr>
                <w:rFonts w:hint="eastAsia" w:ascii="宋体" w:hAnsi="宋体" w:eastAsia="宋体" w:cs="宋体"/>
                <w:i w:val="0"/>
                <w:iCs w:val="0"/>
                <w:caps w:val="0"/>
                <w:color w:val="171A1D"/>
                <w:spacing w:val="0"/>
                <w:sz w:val="24"/>
                <w:szCs w:val="24"/>
                <w:highlight w:val="none"/>
                <w:shd w:val="clear" w:color="auto" w:fill="FFFFFF"/>
                <w:vertAlign w:val="baseline"/>
                <w:lang w:eastAsia="zh-CN"/>
              </w:rPr>
              <w:t>检测能力：</w:t>
            </w:r>
          </w:p>
          <w:p w14:paraId="114279CF">
            <w:pPr>
              <w:rPr>
                <w:rFonts w:hint="eastAsia" w:ascii="宋体" w:hAnsi="宋体" w:cs="宋体"/>
                <w:bCs/>
                <w:color w:val="000000" w:themeColor="text1"/>
                <w:kern w:val="0"/>
                <w:sz w:val="24"/>
                <w:highlight w:val="none"/>
                <w:lang w:eastAsia="zh-CN"/>
                <w14:textFill>
                  <w14:solidFill>
                    <w14:schemeClr w14:val="tx1"/>
                  </w14:solidFill>
                </w14:textFill>
              </w:rPr>
            </w:pPr>
            <w:r>
              <w:rPr>
                <w:rFonts w:hint="eastAsia" w:ascii="宋体" w:hAnsi="宋体" w:cs="宋体"/>
                <w:bCs/>
                <w:color w:val="000000" w:themeColor="text1"/>
                <w:kern w:val="0"/>
                <w:sz w:val="24"/>
                <w:highlight w:val="none"/>
                <w:lang w:eastAsia="zh-CN"/>
                <w14:textFill>
                  <w14:solidFill>
                    <w14:schemeClr w14:val="tx1"/>
                  </w14:solidFill>
                </w14:textFill>
              </w:rPr>
              <w:t>▲12.1具有KJ标准的检测项目：设备厂家提供监管部门委托的技术机构出具的评价报告复印件及评价单位的CMA资质认定证书或CNAS实验室认可证书复印件。</w:t>
            </w:r>
          </w:p>
          <w:p w14:paraId="67E95542">
            <w:pPr>
              <w:rPr>
                <w:rFonts w:hint="eastAsia" w:ascii="宋体" w:hAnsi="宋体" w:eastAsia="宋体" w:cs="宋体"/>
                <w:i w:val="0"/>
                <w:iCs w:val="0"/>
                <w:caps w:val="0"/>
                <w:color w:val="171A1D"/>
                <w:spacing w:val="0"/>
                <w:sz w:val="24"/>
                <w:szCs w:val="24"/>
                <w:highlight w:val="none"/>
                <w:shd w:val="clear" w:color="auto" w:fill="FFFFFF"/>
                <w:vertAlign w:val="baseline"/>
                <w:lang w:eastAsia="zh-CN"/>
              </w:rPr>
            </w:pPr>
            <w:r>
              <w:rPr>
                <w:rFonts w:hint="eastAsia" w:ascii="宋体" w:hAnsi="宋体" w:cs="宋体"/>
                <w:bCs/>
                <w:color w:val="000000" w:themeColor="text1"/>
                <w:kern w:val="0"/>
                <w:sz w:val="24"/>
                <w:highlight w:val="none"/>
                <w:lang w:eastAsia="zh-CN"/>
                <w14:textFill>
                  <w14:solidFill>
                    <w14:schemeClr w14:val="tx1"/>
                  </w14:solidFill>
                </w14:textFill>
              </w:rPr>
              <w:t>12.2其他检测项目：提供经省级及以上监管部门指定评价机构出具的评价报告或评价产品目录复印件。</w:t>
            </w:r>
          </w:p>
        </w:tc>
        <w:tc>
          <w:tcPr>
            <w:tcW w:w="869" w:type="dxa"/>
            <w:noWrap w:val="0"/>
            <w:vAlign w:val="center"/>
          </w:tcPr>
          <w:p w14:paraId="5DB5BC8F">
            <w:pPr>
              <w:jc w:val="center"/>
              <w:rPr>
                <w:rFonts w:hint="default" w:ascii="宋体" w:hAnsi="宋体" w:eastAsia="宋体" w:cs="宋体"/>
                <w:bCs/>
                <w:color w:val="000000" w:themeColor="text1"/>
                <w:kern w:val="0"/>
                <w:sz w:val="24"/>
                <w:highlight w:val="none"/>
                <w:lang w:val="en-US" w:eastAsia="zh-CN"/>
                <w14:textFill>
                  <w14:solidFill>
                    <w14:schemeClr w14:val="tx1"/>
                  </w14:solidFill>
                </w14:textFill>
              </w:rPr>
            </w:pPr>
            <w:r>
              <w:rPr>
                <w:rFonts w:hint="eastAsia" w:ascii="宋体" w:hAnsi="宋体" w:cs="宋体"/>
                <w:bCs/>
                <w:color w:val="000000" w:themeColor="text1"/>
                <w:kern w:val="0"/>
                <w:sz w:val="24"/>
                <w:highlight w:val="none"/>
                <w:lang w:val="en-US" w:eastAsia="zh-CN"/>
                <w14:textFill>
                  <w14:solidFill>
                    <w14:schemeClr w14:val="tx1"/>
                  </w14:solidFill>
                </w14:textFill>
              </w:rPr>
              <w:t>1套</w:t>
            </w:r>
          </w:p>
        </w:tc>
      </w:tr>
      <w:tr w14:paraId="41677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noWrap w:val="0"/>
            <w:vAlign w:val="center"/>
          </w:tcPr>
          <w:p w14:paraId="5A3C52C6">
            <w:pPr>
              <w:jc w:val="center"/>
              <w:rPr>
                <w:rFonts w:hint="eastAsia" w:ascii="宋体" w:hAnsi="宋体" w:eastAsia="宋体" w:cs="宋体"/>
                <w:i w:val="0"/>
                <w:iCs w:val="0"/>
                <w:caps w:val="0"/>
                <w:color w:val="171A1D"/>
                <w:spacing w:val="0"/>
                <w:sz w:val="24"/>
                <w:szCs w:val="24"/>
                <w:highlight w:val="none"/>
                <w:shd w:val="clear" w:color="auto" w:fill="FFFFFF"/>
                <w:vertAlign w:val="baseline"/>
                <w:lang w:val="en-US" w:eastAsia="zh-CN"/>
              </w:rPr>
            </w:pPr>
            <w:r>
              <w:rPr>
                <w:rFonts w:hint="eastAsia" w:ascii="宋体" w:hAnsi="宋体" w:eastAsia="宋体" w:cs="宋体"/>
                <w:i w:val="0"/>
                <w:iCs w:val="0"/>
                <w:caps w:val="0"/>
                <w:color w:val="171A1D"/>
                <w:spacing w:val="0"/>
                <w:sz w:val="24"/>
                <w:szCs w:val="24"/>
                <w:highlight w:val="none"/>
                <w:shd w:val="clear" w:color="auto" w:fill="FFFFFF"/>
                <w:vertAlign w:val="baseline"/>
                <w:lang w:val="en-US" w:eastAsia="zh-CN"/>
              </w:rPr>
              <w:t>2</w:t>
            </w:r>
          </w:p>
        </w:tc>
        <w:tc>
          <w:tcPr>
            <w:tcW w:w="1243" w:type="dxa"/>
            <w:noWrap w:val="0"/>
            <w:vAlign w:val="center"/>
          </w:tcPr>
          <w:p w14:paraId="57870866">
            <w:pPr>
              <w:jc w:val="center"/>
              <w:rPr>
                <w:rFonts w:hint="eastAsia" w:ascii="宋体" w:hAnsi="宋体" w:eastAsia="宋体" w:cs="宋体"/>
                <w:i w:val="0"/>
                <w:iCs w:val="0"/>
                <w:caps w:val="0"/>
                <w:color w:val="171A1D"/>
                <w:spacing w:val="0"/>
                <w:kern w:val="0"/>
                <w:sz w:val="24"/>
                <w:szCs w:val="24"/>
                <w:highlight w:val="none"/>
                <w:shd w:val="clear" w:color="auto" w:fill="FFFFFF"/>
                <w:vertAlign w:val="baseline"/>
                <w:lang w:val="en-US" w:eastAsia="zh-CN" w:bidi="ar-SA"/>
              </w:rPr>
            </w:pPr>
            <w:r>
              <w:rPr>
                <w:rFonts w:hint="eastAsia" w:ascii="宋体" w:hAnsi="宋体" w:eastAsia="宋体" w:cs="宋体"/>
                <w:i w:val="0"/>
                <w:iCs w:val="0"/>
                <w:caps w:val="0"/>
                <w:color w:val="171A1D"/>
                <w:spacing w:val="0"/>
                <w:sz w:val="24"/>
                <w:szCs w:val="24"/>
                <w:highlight w:val="none"/>
                <w:shd w:val="clear" w:color="auto" w:fill="FFFFFF"/>
              </w:rPr>
              <w:t>吹干仪</w:t>
            </w:r>
          </w:p>
        </w:tc>
        <w:tc>
          <w:tcPr>
            <w:tcW w:w="5625" w:type="dxa"/>
            <w:noWrap w:val="0"/>
            <w:vAlign w:val="top"/>
          </w:tcPr>
          <w:p w14:paraId="6334C32A">
            <w:pPr>
              <w:rPr>
                <w:rFonts w:hint="eastAsia" w:ascii="宋体" w:hAnsi="宋体" w:eastAsia="宋体" w:cs="宋体"/>
                <w:i w:val="0"/>
                <w:iCs w:val="0"/>
                <w:caps w:val="0"/>
                <w:color w:val="171A1D"/>
                <w:spacing w:val="0"/>
                <w:sz w:val="24"/>
                <w:szCs w:val="24"/>
                <w:highlight w:val="none"/>
                <w:shd w:val="clear" w:color="auto" w:fill="FFFFFF"/>
                <w:vertAlign w:val="baseline"/>
                <w:lang w:val="en-US" w:eastAsia="zh-CN"/>
              </w:rPr>
            </w:pPr>
            <w:r>
              <w:rPr>
                <w:rFonts w:hint="eastAsia" w:ascii="宋体" w:hAnsi="宋体" w:eastAsia="宋体" w:cs="宋体"/>
                <w:i w:val="0"/>
                <w:iCs w:val="0"/>
                <w:caps w:val="0"/>
                <w:color w:val="171A1D"/>
                <w:spacing w:val="0"/>
                <w:sz w:val="24"/>
                <w:szCs w:val="24"/>
                <w:highlight w:val="none"/>
                <w:shd w:val="clear" w:color="auto" w:fill="FFFFFF"/>
                <w:vertAlign w:val="baseline"/>
                <w:lang w:val="en-US" w:eastAsia="zh-CN"/>
              </w:rPr>
              <w:t>1、加热孔≥12</w:t>
            </w:r>
          </w:p>
          <w:p w14:paraId="56653897">
            <w:pPr>
              <w:rPr>
                <w:rFonts w:hint="eastAsia" w:ascii="宋体" w:hAnsi="宋体" w:eastAsia="宋体" w:cs="宋体"/>
                <w:i w:val="0"/>
                <w:iCs w:val="0"/>
                <w:caps w:val="0"/>
                <w:color w:val="171A1D"/>
                <w:spacing w:val="0"/>
                <w:sz w:val="24"/>
                <w:szCs w:val="24"/>
                <w:highlight w:val="none"/>
                <w:shd w:val="clear" w:color="auto" w:fill="FFFFFF"/>
                <w:vertAlign w:val="baseline"/>
                <w:lang w:eastAsia="zh-CN"/>
              </w:rPr>
            </w:pPr>
            <w:r>
              <w:rPr>
                <w:rFonts w:hint="eastAsia" w:ascii="宋体" w:hAnsi="宋体" w:eastAsia="宋体" w:cs="宋体"/>
                <w:i w:val="0"/>
                <w:iCs w:val="0"/>
                <w:caps w:val="0"/>
                <w:color w:val="171A1D"/>
                <w:spacing w:val="0"/>
                <w:sz w:val="24"/>
                <w:szCs w:val="24"/>
                <w:highlight w:val="none"/>
                <w:shd w:val="clear" w:color="auto" w:fill="FFFFFF"/>
                <w:vertAlign w:val="baseline"/>
                <w:lang w:val="en-US" w:eastAsia="zh-CN"/>
              </w:rPr>
              <w:t>2、</w:t>
            </w:r>
            <w:r>
              <w:rPr>
                <w:rFonts w:hint="eastAsia" w:ascii="宋体" w:hAnsi="宋体" w:eastAsia="宋体" w:cs="宋体"/>
                <w:i w:val="0"/>
                <w:iCs w:val="0"/>
                <w:caps w:val="0"/>
                <w:color w:val="171A1D"/>
                <w:spacing w:val="0"/>
                <w:sz w:val="24"/>
                <w:szCs w:val="24"/>
                <w:highlight w:val="none"/>
                <w:shd w:val="clear" w:color="auto" w:fill="FFFFFF"/>
                <w:vertAlign w:val="baseline"/>
                <w:lang w:eastAsia="zh-CN"/>
              </w:rPr>
              <w:t>温度范围:室温-100℃，</w:t>
            </w:r>
          </w:p>
          <w:p w14:paraId="50D4B1E8">
            <w:pPr>
              <w:rPr>
                <w:rFonts w:hint="eastAsia" w:ascii="宋体" w:hAnsi="宋体" w:eastAsia="宋体" w:cs="宋体"/>
                <w:i w:val="0"/>
                <w:iCs w:val="0"/>
                <w:caps w:val="0"/>
                <w:color w:val="171A1D"/>
                <w:spacing w:val="0"/>
                <w:sz w:val="24"/>
                <w:szCs w:val="24"/>
                <w:highlight w:val="none"/>
                <w:shd w:val="clear" w:color="auto" w:fill="FFFFFF"/>
                <w:vertAlign w:val="baseline"/>
                <w:lang w:eastAsia="zh-CN"/>
              </w:rPr>
            </w:pPr>
            <w:r>
              <w:rPr>
                <w:rFonts w:hint="eastAsia" w:ascii="宋体" w:hAnsi="宋体" w:eastAsia="宋体" w:cs="宋体"/>
                <w:i w:val="0"/>
                <w:iCs w:val="0"/>
                <w:caps w:val="0"/>
                <w:color w:val="171A1D"/>
                <w:spacing w:val="0"/>
                <w:sz w:val="24"/>
                <w:szCs w:val="24"/>
                <w:highlight w:val="none"/>
                <w:shd w:val="clear" w:color="auto" w:fill="FFFFFF"/>
                <w:vertAlign w:val="baseline"/>
                <w:lang w:val="en-US" w:eastAsia="zh-CN"/>
              </w:rPr>
              <w:t>3、</w:t>
            </w:r>
            <w:r>
              <w:rPr>
                <w:rFonts w:hint="eastAsia" w:ascii="宋体" w:hAnsi="宋体" w:eastAsia="宋体" w:cs="宋体"/>
                <w:i w:val="0"/>
                <w:iCs w:val="0"/>
                <w:caps w:val="0"/>
                <w:color w:val="171A1D"/>
                <w:spacing w:val="0"/>
                <w:sz w:val="24"/>
                <w:szCs w:val="24"/>
                <w:highlight w:val="none"/>
                <w:shd w:val="clear" w:color="auto" w:fill="FFFFFF"/>
                <w:vertAlign w:val="baseline"/>
                <w:lang w:eastAsia="zh-CN"/>
              </w:rPr>
              <w:t>升温时间:≤20mir:</w:t>
            </w:r>
          </w:p>
          <w:p w14:paraId="12D63F39">
            <w:pPr>
              <w:rPr>
                <w:rFonts w:hint="eastAsia" w:ascii="宋体" w:hAnsi="宋体" w:eastAsia="宋体" w:cs="宋体"/>
                <w:i w:val="0"/>
                <w:iCs w:val="0"/>
                <w:caps w:val="0"/>
                <w:color w:val="171A1D"/>
                <w:spacing w:val="0"/>
                <w:sz w:val="24"/>
                <w:szCs w:val="24"/>
                <w:highlight w:val="none"/>
                <w:shd w:val="clear" w:color="auto" w:fill="FFFFFF"/>
                <w:vertAlign w:val="baseline"/>
                <w:lang w:eastAsia="zh-CN"/>
              </w:rPr>
            </w:pPr>
            <w:r>
              <w:rPr>
                <w:rFonts w:hint="eastAsia" w:ascii="宋体" w:hAnsi="宋体" w:eastAsia="宋体" w:cs="宋体"/>
                <w:i w:val="0"/>
                <w:iCs w:val="0"/>
                <w:caps w:val="0"/>
                <w:color w:val="171A1D"/>
                <w:spacing w:val="0"/>
                <w:sz w:val="24"/>
                <w:szCs w:val="24"/>
                <w:highlight w:val="none"/>
                <w:shd w:val="clear" w:color="auto" w:fill="FFFFFF"/>
                <w:vertAlign w:val="baseline"/>
                <w:lang w:val="en-US" w:eastAsia="zh-CN"/>
              </w:rPr>
              <w:t>4、</w:t>
            </w:r>
            <w:r>
              <w:rPr>
                <w:rFonts w:hint="eastAsia" w:ascii="宋体" w:hAnsi="宋体" w:eastAsia="宋体" w:cs="宋体"/>
                <w:i w:val="0"/>
                <w:iCs w:val="0"/>
                <w:caps w:val="0"/>
                <w:color w:val="171A1D"/>
                <w:spacing w:val="0"/>
                <w:sz w:val="24"/>
                <w:szCs w:val="24"/>
                <w:highlight w:val="none"/>
                <w:shd w:val="clear" w:color="auto" w:fill="FFFFFF"/>
                <w:vertAlign w:val="baseline"/>
                <w:lang w:eastAsia="zh-CN"/>
              </w:rPr>
              <w:t>温度精度:</w:t>
            </w:r>
            <w:r>
              <w:rPr>
                <w:rFonts w:hint="eastAsia" w:ascii="宋体" w:hAnsi="宋体" w:eastAsia="宋体" w:cs="宋体"/>
                <w:i w:val="0"/>
                <w:iCs w:val="0"/>
                <w:caps w:val="0"/>
                <w:color w:val="171A1D"/>
                <w:spacing w:val="0"/>
                <w:sz w:val="24"/>
                <w:szCs w:val="24"/>
                <w:highlight w:val="none"/>
                <w:shd w:val="clear" w:color="auto" w:fill="FFFFFF"/>
                <w:vertAlign w:val="baseline"/>
                <w:lang w:val="en-US" w:eastAsia="zh-CN"/>
              </w:rPr>
              <w:t>±</w:t>
            </w:r>
            <w:r>
              <w:rPr>
                <w:rFonts w:hint="eastAsia" w:ascii="宋体" w:hAnsi="宋体" w:eastAsia="宋体" w:cs="宋体"/>
                <w:i w:val="0"/>
                <w:iCs w:val="0"/>
                <w:caps w:val="0"/>
                <w:color w:val="171A1D"/>
                <w:spacing w:val="0"/>
                <w:sz w:val="24"/>
                <w:szCs w:val="24"/>
                <w:highlight w:val="none"/>
                <w:shd w:val="clear" w:color="auto" w:fill="FFFFFF"/>
                <w:vertAlign w:val="baseline"/>
                <w:lang w:eastAsia="zh-CN"/>
              </w:rPr>
              <w:t>0.3℃，</w:t>
            </w:r>
          </w:p>
          <w:p w14:paraId="11CE4EF3">
            <w:pPr>
              <w:rPr>
                <w:rFonts w:hint="eastAsia" w:ascii="宋体" w:hAnsi="宋体" w:eastAsia="宋体" w:cs="宋体"/>
                <w:i w:val="0"/>
                <w:iCs w:val="0"/>
                <w:caps w:val="0"/>
                <w:color w:val="171A1D"/>
                <w:spacing w:val="0"/>
                <w:sz w:val="24"/>
                <w:szCs w:val="24"/>
                <w:highlight w:val="none"/>
                <w:shd w:val="clear" w:color="auto" w:fill="FFFFFF"/>
                <w:vertAlign w:val="baseline"/>
                <w:lang w:eastAsia="zh-CN"/>
              </w:rPr>
            </w:pPr>
            <w:r>
              <w:rPr>
                <w:rFonts w:hint="eastAsia" w:ascii="宋体" w:hAnsi="宋体" w:eastAsia="宋体" w:cs="宋体"/>
                <w:i w:val="0"/>
                <w:iCs w:val="0"/>
                <w:caps w:val="0"/>
                <w:color w:val="171A1D"/>
                <w:spacing w:val="0"/>
                <w:sz w:val="24"/>
                <w:szCs w:val="24"/>
                <w:highlight w:val="none"/>
                <w:shd w:val="clear" w:color="auto" w:fill="FFFFFF"/>
                <w:vertAlign w:val="baseline"/>
                <w:lang w:val="en-US" w:eastAsia="zh-CN"/>
              </w:rPr>
              <w:t>5、输入电源220V，</w:t>
            </w:r>
            <w:r>
              <w:rPr>
                <w:rFonts w:hint="eastAsia" w:ascii="宋体" w:hAnsi="宋体" w:eastAsia="宋体" w:cs="宋体"/>
                <w:i w:val="0"/>
                <w:iCs w:val="0"/>
                <w:caps w:val="0"/>
                <w:color w:val="171A1D"/>
                <w:spacing w:val="0"/>
                <w:sz w:val="24"/>
                <w:szCs w:val="24"/>
                <w:highlight w:val="none"/>
                <w:shd w:val="clear" w:color="auto" w:fill="FFFFFF"/>
                <w:vertAlign w:val="baseline"/>
                <w:lang w:eastAsia="zh-CN"/>
              </w:rPr>
              <w:t>安全性:对有机溶剂本质安全</w:t>
            </w:r>
          </w:p>
        </w:tc>
        <w:tc>
          <w:tcPr>
            <w:tcW w:w="869" w:type="dxa"/>
            <w:noWrap w:val="0"/>
            <w:vAlign w:val="center"/>
          </w:tcPr>
          <w:p w14:paraId="74049067">
            <w:pPr>
              <w:jc w:val="center"/>
              <w:rPr>
                <w:rFonts w:hint="eastAsia" w:ascii="宋体" w:hAnsi="宋体" w:eastAsia="宋体" w:cs="宋体"/>
                <w:i w:val="0"/>
                <w:iCs w:val="0"/>
                <w:caps w:val="0"/>
                <w:color w:val="171A1D"/>
                <w:spacing w:val="0"/>
                <w:sz w:val="24"/>
                <w:szCs w:val="24"/>
                <w:highlight w:val="none"/>
                <w:shd w:val="clear" w:color="auto" w:fill="FFFFFF"/>
                <w:vertAlign w:val="baseline"/>
                <w:lang w:val="en-US" w:eastAsia="zh-CN"/>
              </w:rPr>
            </w:pPr>
            <w:r>
              <w:rPr>
                <w:rFonts w:hint="eastAsia" w:ascii="宋体" w:hAnsi="宋体" w:cs="宋体"/>
                <w:bCs/>
                <w:color w:val="000000" w:themeColor="text1"/>
                <w:kern w:val="0"/>
                <w:sz w:val="24"/>
                <w:highlight w:val="none"/>
                <w:lang w:val="en-US" w:eastAsia="zh-CN"/>
                <w14:textFill>
                  <w14:solidFill>
                    <w14:schemeClr w14:val="tx1"/>
                  </w14:solidFill>
                </w14:textFill>
              </w:rPr>
              <w:t>1套</w:t>
            </w:r>
          </w:p>
        </w:tc>
      </w:tr>
      <w:tr w14:paraId="064C3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vMerge w:val="restart"/>
            <w:noWrap w:val="0"/>
            <w:vAlign w:val="center"/>
          </w:tcPr>
          <w:p w14:paraId="27D837D6">
            <w:pPr>
              <w:jc w:val="center"/>
              <w:rPr>
                <w:rFonts w:hint="eastAsia" w:ascii="宋体" w:hAnsi="宋体" w:eastAsia="宋体" w:cs="宋体"/>
                <w:i w:val="0"/>
                <w:iCs w:val="0"/>
                <w:caps w:val="0"/>
                <w:color w:val="171A1D"/>
                <w:spacing w:val="0"/>
                <w:sz w:val="24"/>
                <w:szCs w:val="24"/>
                <w:highlight w:val="none"/>
                <w:shd w:val="clear" w:color="auto" w:fill="FFFFFF"/>
                <w:vertAlign w:val="baseline"/>
                <w:lang w:val="en-US" w:eastAsia="zh-CN"/>
              </w:rPr>
            </w:pPr>
            <w:r>
              <w:rPr>
                <w:rFonts w:hint="eastAsia" w:ascii="宋体" w:hAnsi="宋体" w:eastAsia="宋体" w:cs="宋体"/>
                <w:i w:val="0"/>
                <w:iCs w:val="0"/>
                <w:caps w:val="0"/>
                <w:color w:val="171A1D"/>
                <w:spacing w:val="0"/>
                <w:sz w:val="24"/>
                <w:szCs w:val="24"/>
                <w:highlight w:val="none"/>
                <w:shd w:val="clear" w:color="auto" w:fill="FFFFFF"/>
                <w:vertAlign w:val="baseline"/>
                <w:lang w:val="en-US" w:eastAsia="zh-CN"/>
              </w:rPr>
              <w:t>3</w:t>
            </w:r>
          </w:p>
        </w:tc>
        <w:tc>
          <w:tcPr>
            <w:tcW w:w="1243" w:type="dxa"/>
            <w:noWrap w:val="0"/>
            <w:vAlign w:val="center"/>
          </w:tcPr>
          <w:p w14:paraId="681C0457">
            <w:pPr>
              <w:jc w:val="center"/>
              <w:rPr>
                <w:rFonts w:hint="eastAsia" w:ascii="宋体" w:hAnsi="宋体" w:eastAsia="宋体" w:cs="宋体"/>
                <w:i w:val="0"/>
                <w:iCs w:val="0"/>
                <w:caps w:val="0"/>
                <w:color w:val="171A1D"/>
                <w:spacing w:val="0"/>
                <w:sz w:val="24"/>
                <w:szCs w:val="24"/>
                <w:highlight w:val="none"/>
                <w:shd w:val="clear" w:color="auto" w:fill="FFFFFF"/>
                <w:lang w:eastAsia="zh-CN"/>
              </w:rPr>
            </w:pPr>
            <w:r>
              <w:rPr>
                <w:rFonts w:hint="eastAsia" w:ascii="宋体" w:hAnsi="宋体" w:eastAsia="宋体" w:cs="宋体"/>
                <w:i w:val="0"/>
                <w:iCs w:val="0"/>
                <w:caps w:val="0"/>
                <w:color w:val="171A1D"/>
                <w:spacing w:val="0"/>
                <w:sz w:val="24"/>
                <w:szCs w:val="24"/>
                <w:highlight w:val="none"/>
                <w:shd w:val="clear" w:color="auto" w:fill="FFFFFF"/>
                <w:lang w:eastAsia="zh-CN"/>
              </w:rPr>
              <w:t>涡旋振荡器</w:t>
            </w:r>
          </w:p>
        </w:tc>
        <w:tc>
          <w:tcPr>
            <w:tcW w:w="5625" w:type="dxa"/>
            <w:noWrap w:val="0"/>
            <w:vAlign w:val="top"/>
          </w:tcPr>
          <w:p w14:paraId="5EC56A0F">
            <w:pPr>
              <w:numPr>
                <w:ilvl w:val="-1"/>
                <w:numId w:val="0"/>
              </w:numPr>
              <w:rPr>
                <w:rFonts w:hint="eastAsia" w:ascii="宋体" w:hAnsi="宋体" w:eastAsia="宋体" w:cs="宋体"/>
                <w:i w:val="0"/>
                <w:iCs w:val="0"/>
                <w:caps w:val="0"/>
                <w:color w:val="171A1D"/>
                <w:spacing w:val="0"/>
                <w:sz w:val="24"/>
                <w:szCs w:val="24"/>
                <w:highlight w:val="none"/>
                <w:shd w:val="clear" w:color="auto" w:fill="FFFFFF"/>
                <w:vertAlign w:val="baseline"/>
                <w:lang w:val="en-US" w:eastAsia="zh-CN"/>
              </w:rPr>
            </w:pPr>
            <w:r>
              <w:rPr>
                <w:rFonts w:hint="eastAsia" w:ascii="宋体" w:hAnsi="宋体" w:cs="宋体"/>
                <w:i w:val="0"/>
                <w:iCs w:val="0"/>
                <w:caps w:val="0"/>
                <w:color w:val="171A1D"/>
                <w:spacing w:val="0"/>
                <w:sz w:val="24"/>
                <w:szCs w:val="24"/>
                <w:highlight w:val="none"/>
                <w:shd w:val="clear" w:color="auto" w:fill="FFFFFF"/>
                <w:vertAlign w:val="baseline"/>
                <w:lang w:val="en-US" w:eastAsia="zh-CN"/>
              </w:rPr>
              <w:t>1、</w:t>
            </w:r>
            <w:r>
              <w:rPr>
                <w:rFonts w:hint="eastAsia" w:ascii="宋体" w:hAnsi="宋体" w:eastAsia="宋体" w:cs="宋体"/>
                <w:i w:val="0"/>
                <w:iCs w:val="0"/>
                <w:caps w:val="0"/>
                <w:color w:val="171A1D"/>
                <w:spacing w:val="0"/>
                <w:sz w:val="24"/>
                <w:szCs w:val="24"/>
                <w:highlight w:val="none"/>
                <w:shd w:val="clear" w:color="auto" w:fill="FFFFFF"/>
                <w:vertAlign w:val="baseline"/>
                <w:lang w:eastAsia="zh-CN"/>
              </w:rPr>
              <w:t>转速</w:t>
            </w:r>
            <w:r>
              <w:rPr>
                <w:rFonts w:hint="eastAsia" w:ascii="宋体" w:hAnsi="宋体" w:eastAsia="宋体" w:cs="宋体"/>
                <w:i w:val="0"/>
                <w:iCs w:val="0"/>
                <w:caps w:val="0"/>
                <w:color w:val="171A1D"/>
                <w:spacing w:val="0"/>
                <w:sz w:val="24"/>
                <w:szCs w:val="24"/>
                <w:highlight w:val="none"/>
                <w:shd w:val="clear" w:color="auto" w:fill="FFFFFF"/>
                <w:vertAlign w:val="baseline"/>
                <w:lang w:val="en-US" w:eastAsia="zh-CN"/>
              </w:rPr>
              <w:t>0-2500rpm</w:t>
            </w:r>
            <w:r>
              <w:rPr>
                <w:rFonts w:hint="eastAsia" w:ascii="宋体" w:hAnsi="宋体" w:cs="宋体"/>
                <w:i w:val="0"/>
                <w:iCs w:val="0"/>
                <w:caps w:val="0"/>
                <w:color w:val="171A1D"/>
                <w:spacing w:val="0"/>
                <w:sz w:val="24"/>
                <w:szCs w:val="24"/>
                <w:highlight w:val="none"/>
                <w:shd w:val="clear" w:color="auto" w:fill="FFFFFF"/>
                <w:vertAlign w:val="baseline"/>
                <w:lang w:val="en-US" w:eastAsia="zh-CN"/>
              </w:rPr>
              <w:t>，</w:t>
            </w:r>
          </w:p>
          <w:p w14:paraId="208F6AB4">
            <w:pPr>
              <w:numPr>
                <w:ilvl w:val="-1"/>
                <w:numId w:val="0"/>
              </w:numPr>
              <w:rPr>
                <w:rFonts w:hint="eastAsia" w:ascii="宋体" w:hAnsi="宋体" w:eastAsia="宋体" w:cs="宋体"/>
                <w:i w:val="0"/>
                <w:iCs w:val="0"/>
                <w:caps w:val="0"/>
                <w:color w:val="171A1D"/>
                <w:spacing w:val="0"/>
                <w:sz w:val="24"/>
                <w:szCs w:val="24"/>
                <w:highlight w:val="none"/>
                <w:shd w:val="clear" w:color="auto" w:fill="FFFFFF"/>
                <w:vertAlign w:val="baseline"/>
                <w:lang w:val="en-US" w:eastAsia="zh-CN"/>
              </w:rPr>
            </w:pPr>
            <w:r>
              <w:rPr>
                <w:rFonts w:hint="eastAsia" w:ascii="宋体" w:hAnsi="宋体" w:cs="宋体"/>
                <w:i w:val="0"/>
                <w:iCs w:val="0"/>
                <w:caps w:val="0"/>
                <w:color w:val="171A1D"/>
                <w:spacing w:val="0"/>
                <w:sz w:val="24"/>
                <w:szCs w:val="24"/>
                <w:highlight w:val="none"/>
                <w:shd w:val="clear" w:color="auto" w:fill="FFFFFF"/>
                <w:vertAlign w:val="baseline"/>
                <w:lang w:val="en-US" w:eastAsia="zh-CN"/>
              </w:rPr>
              <w:t>2、</w:t>
            </w:r>
            <w:r>
              <w:rPr>
                <w:rFonts w:hint="eastAsia" w:ascii="宋体" w:hAnsi="宋体" w:eastAsia="宋体" w:cs="宋体"/>
                <w:i w:val="0"/>
                <w:iCs w:val="0"/>
                <w:caps w:val="0"/>
                <w:color w:val="171A1D"/>
                <w:spacing w:val="0"/>
                <w:sz w:val="24"/>
                <w:szCs w:val="24"/>
                <w:highlight w:val="none"/>
                <w:shd w:val="clear" w:color="auto" w:fill="FFFFFF"/>
                <w:vertAlign w:val="baseline"/>
                <w:lang w:val="en-US" w:eastAsia="zh-CN"/>
              </w:rPr>
              <w:t>运行方式：连续运转或点动</w:t>
            </w:r>
            <w:r>
              <w:rPr>
                <w:rFonts w:hint="eastAsia" w:ascii="宋体" w:hAnsi="宋体" w:cs="宋体"/>
                <w:i w:val="0"/>
                <w:iCs w:val="0"/>
                <w:caps w:val="0"/>
                <w:color w:val="171A1D"/>
                <w:spacing w:val="0"/>
                <w:sz w:val="24"/>
                <w:szCs w:val="24"/>
                <w:highlight w:val="none"/>
                <w:shd w:val="clear" w:color="auto" w:fill="FFFFFF"/>
                <w:vertAlign w:val="baseline"/>
                <w:lang w:val="en-US" w:eastAsia="zh-CN"/>
              </w:rPr>
              <w:t>；</w:t>
            </w:r>
          </w:p>
          <w:p w14:paraId="0C495A67">
            <w:pPr>
              <w:numPr>
                <w:ilvl w:val="0"/>
                <w:numId w:val="0"/>
              </w:numPr>
              <w:rPr>
                <w:rFonts w:hint="eastAsia" w:ascii="宋体" w:hAnsi="宋体" w:eastAsia="宋体" w:cs="宋体"/>
                <w:i w:val="0"/>
                <w:iCs w:val="0"/>
                <w:caps w:val="0"/>
                <w:color w:val="171A1D"/>
                <w:spacing w:val="0"/>
                <w:sz w:val="24"/>
                <w:szCs w:val="24"/>
                <w:highlight w:val="none"/>
                <w:shd w:val="clear" w:color="auto" w:fill="FFFFFF"/>
                <w:vertAlign w:val="baseline"/>
                <w:lang w:eastAsia="zh-CN"/>
              </w:rPr>
            </w:pPr>
            <w:r>
              <w:rPr>
                <w:rFonts w:hint="eastAsia" w:ascii="宋体" w:hAnsi="宋体" w:cs="宋体"/>
                <w:i w:val="0"/>
                <w:iCs w:val="0"/>
                <w:caps w:val="0"/>
                <w:color w:val="171A1D"/>
                <w:spacing w:val="0"/>
                <w:sz w:val="24"/>
                <w:szCs w:val="24"/>
                <w:highlight w:val="none"/>
                <w:shd w:val="clear" w:color="auto" w:fill="FFFFFF"/>
                <w:vertAlign w:val="baseline"/>
                <w:lang w:val="en-US" w:eastAsia="zh-CN"/>
              </w:rPr>
              <w:t>3、</w:t>
            </w:r>
            <w:r>
              <w:rPr>
                <w:rFonts w:hint="eastAsia" w:ascii="宋体" w:hAnsi="宋体" w:eastAsia="宋体" w:cs="宋体"/>
                <w:i w:val="0"/>
                <w:iCs w:val="0"/>
                <w:caps w:val="0"/>
                <w:color w:val="171A1D"/>
                <w:spacing w:val="0"/>
                <w:sz w:val="24"/>
                <w:szCs w:val="24"/>
                <w:highlight w:val="none"/>
                <w:shd w:val="clear" w:color="auto" w:fill="FFFFFF"/>
                <w:vertAlign w:val="baseline"/>
                <w:lang w:val="en-US" w:eastAsia="zh-CN"/>
              </w:rPr>
              <w:t>功率60W</w:t>
            </w:r>
            <w:r>
              <w:rPr>
                <w:rFonts w:hint="eastAsia" w:ascii="宋体" w:hAnsi="宋体" w:cs="宋体"/>
                <w:i w:val="0"/>
                <w:iCs w:val="0"/>
                <w:caps w:val="0"/>
                <w:color w:val="171A1D"/>
                <w:spacing w:val="0"/>
                <w:sz w:val="24"/>
                <w:szCs w:val="24"/>
                <w:highlight w:val="none"/>
                <w:shd w:val="clear" w:color="auto" w:fill="FFFFFF"/>
                <w:vertAlign w:val="baseline"/>
                <w:lang w:val="en-US" w:eastAsia="zh-CN"/>
              </w:rPr>
              <w:t>；</w:t>
            </w:r>
            <w:r>
              <w:rPr>
                <w:rFonts w:hint="eastAsia" w:ascii="宋体" w:hAnsi="宋体" w:eastAsia="宋体" w:cs="宋体"/>
                <w:i w:val="0"/>
                <w:iCs w:val="0"/>
                <w:caps w:val="0"/>
                <w:color w:val="171A1D"/>
                <w:spacing w:val="0"/>
                <w:sz w:val="24"/>
                <w:szCs w:val="24"/>
                <w:highlight w:val="none"/>
                <w:shd w:val="clear" w:color="auto" w:fill="FFFFFF"/>
                <w:vertAlign w:val="baseline"/>
                <w:lang w:val="en-US" w:eastAsia="zh-CN"/>
              </w:rPr>
              <w:t>输入电源220V，50/60</w:t>
            </w:r>
            <w:r>
              <w:rPr>
                <w:rFonts w:hint="eastAsia" w:ascii="宋体" w:hAnsi="宋体" w:cs="宋体"/>
                <w:i w:val="0"/>
                <w:iCs w:val="0"/>
                <w:caps w:val="0"/>
                <w:color w:val="171A1D"/>
                <w:spacing w:val="0"/>
                <w:sz w:val="24"/>
                <w:szCs w:val="24"/>
                <w:highlight w:val="none"/>
                <w:shd w:val="clear" w:color="auto" w:fill="FFFFFF"/>
                <w:vertAlign w:val="baseline"/>
                <w:lang w:val="en-US" w:eastAsia="zh-CN"/>
              </w:rPr>
              <w:t>Hz</w:t>
            </w:r>
            <w:r>
              <w:rPr>
                <w:rFonts w:hint="eastAsia"/>
                <w:highlight w:val="none"/>
                <w:lang w:eastAsia="zh-CN"/>
              </w:rPr>
              <w:t>；</w:t>
            </w:r>
          </w:p>
        </w:tc>
        <w:tc>
          <w:tcPr>
            <w:tcW w:w="869" w:type="dxa"/>
            <w:vMerge w:val="restart"/>
            <w:noWrap w:val="0"/>
            <w:vAlign w:val="center"/>
          </w:tcPr>
          <w:p w14:paraId="1191ED10">
            <w:pPr>
              <w:jc w:val="center"/>
              <w:rPr>
                <w:rFonts w:hint="eastAsia" w:ascii="宋体" w:hAnsi="宋体" w:cs="宋体"/>
                <w:bCs/>
                <w:color w:val="000000" w:themeColor="text1"/>
                <w:kern w:val="0"/>
                <w:sz w:val="24"/>
                <w:highlight w:val="none"/>
                <w:lang w:val="en-US" w:eastAsia="zh-CN"/>
                <w14:textFill>
                  <w14:solidFill>
                    <w14:schemeClr w14:val="tx1"/>
                  </w14:solidFill>
                </w14:textFill>
              </w:rPr>
            </w:pPr>
            <w:r>
              <w:rPr>
                <w:rFonts w:hint="eastAsia" w:ascii="宋体" w:hAnsi="宋体" w:cs="宋体"/>
                <w:bCs/>
                <w:color w:val="000000" w:themeColor="text1"/>
                <w:kern w:val="0"/>
                <w:sz w:val="24"/>
                <w:highlight w:val="none"/>
                <w:lang w:val="en-US" w:eastAsia="zh-CN"/>
                <w14:textFill>
                  <w14:solidFill>
                    <w14:schemeClr w14:val="tx1"/>
                  </w14:solidFill>
                </w14:textFill>
              </w:rPr>
              <w:t>1套</w:t>
            </w:r>
          </w:p>
          <w:p w14:paraId="79CE5833">
            <w:pPr>
              <w:jc w:val="center"/>
              <w:rPr>
                <w:rFonts w:hint="eastAsia" w:ascii="宋体" w:hAnsi="宋体" w:eastAsia="宋体" w:cs="宋体"/>
                <w:i w:val="0"/>
                <w:iCs w:val="0"/>
                <w:caps w:val="0"/>
                <w:color w:val="171A1D"/>
                <w:spacing w:val="0"/>
                <w:sz w:val="24"/>
                <w:szCs w:val="24"/>
                <w:highlight w:val="none"/>
                <w:shd w:val="clear" w:color="auto" w:fill="FFFFFF"/>
                <w:vertAlign w:val="baseline"/>
                <w:lang w:val="en-US" w:eastAsia="zh-CN"/>
              </w:rPr>
            </w:pPr>
            <w:r>
              <w:rPr>
                <w:rFonts w:hint="eastAsia" w:ascii="宋体" w:hAnsi="宋体" w:cs="宋体"/>
                <w:bCs/>
                <w:color w:val="000000" w:themeColor="text1"/>
                <w:kern w:val="0"/>
                <w:sz w:val="24"/>
                <w:highlight w:val="none"/>
                <w:lang w:val="en-US" w:eastAsia="zh-CN"/>
                <w14:textFill>
                  <w14:solidFill>
                    <w14:schemeClr w14:val="tx1"/>
                  </w14:solidFill>
                </w14:textFill>
              </w:rPr>
              <w:t>（2种仪器任选一种即可）</w:t>
            </w:r>
          </w:p>
        </w:tc>
      </w:tr>
      <w:tr w14:paraId="4B1D8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vMerge w:val="continue"/>
            <w:noWrap w:val="0"/>
            <w:vAlign w:val="center"/>
          </w:tcPr>
          <w:p w14:paraId="155318EB">
            <w:pPr>
              <w:jc w:val="center"/>
              <w:rPr>
                <w:rFonts w:hint="eastAsia" w:ascii="宋体" w:hAnsi="宋体" w:eastAsia="宋体" w:cs="宋体"/>
                <w:i w:val="0"/>
                <w:iCs w:val="0"/>
                <w:caps w:val="0"/>
                <w:color w:val="171A1D"/>
                <w:spacing w:val="0"/>
                <w:sz w:val="24"/>
                <w:szCs w:val="24"/>
                <w:highlight w:val="none"/>
                <w:shd w:val="clear" w:color="auto" w:fill="FFFFFF"/>
                <w:vertAlign w:val="baseline"/>
                <w:lang w:val="en-US" w:eastAsia="zh-CN"/>
              </w:rPr>
            </w:pPr>
          </w:p>
        </w:tc>
        <w:tc>
          <w:tcPr>
            <w:tcW w:w="1243" w:type="dxa"/>
            <w:noWrap w:val="0"/>
            <w:vAlign w:val="center"/>
          </w:tcPr>
          <w:p w14:paraId="455E1C12">
            <w:pPr>
              <w:jc w:val="center"/>
              <w:rPr>
                <w:rFonts w:hint="eastAsia" w:ascii="宋体" w:hAnsi="宋体" w:eastAsia="宋体" w:cs="宋体"/>
                <w:i w:val="0"/>
                <w:iCs w:val="0"/>
                <w:caps w:val="0"/>
                <w:color w:val="171A1D"/>
                <w:spacing w:val="0"/>
                <w:sz w:val="24"/>
                <w:szCs w:val="24"/>
                <w:highlight w:val="none"/>
                <w:shd w:val="clear" w:color="auto" w:fill="FFFFFF"/>
                <w:lang w:eastAsia="zh-CN"/>
              </w:rPr>
            </w:pPr>
            <w:r>
              <w:rPr>
                <w:rFonts w:hint="eastAsia" w:ascii="宋体" w:hAnsi="宋体" w:eastAsia="宋体" w:cs="宋体"/>
                <w:i w:val="0"/>
                <w:iCs w:val="0"/>
                <w:caps w:val="0"/>
                <w:color w:val="171A1D"/>
                <w:spacing w:val="0"/>
                <w:sz w:val="24"/>
                <w:szCs w:val="24"/>
                <w:highlight w:val="none"/>
                <w:shd w:val="clear" w:color="auto" w:fill="FFFFFF"/>
                <w:lang w:eastAsia="zh-CN"/>
              </w:rPr>
              <w:t>多管旋涡混匀仪</w:t>
            </w:r>
          </w:p>
        </w:tc>
        <w:tc>
          <w:tcPr>
            <w:tcW w:w="5625" w:type="dxa"/>
            <w:noWrap w:val="0"/>
            <w:vAlign w:val="top"/>
          </w:tcPr>
          <w:p w14:paraId="2F0F7370">
            <w:pPr>
              <w:rPr>
                <w:rFonts w:hint="eastAsia" w:ascii="宋体" w:hAnsi="宋体" w:eastAsia="宋体" w:cs="宋体"/>
                <w:i w:val="0"/>
                <w:iCs w:val="0"/>
                <w:caps w:val="0"/>
                <w:color w:val="171A1D"/>
                <w:spacing w:val="0"/>
                <w:sz w:val="24"/>
                <w:szCs w:val="24"/>
                <w:highlight w:val="none"/>
                <w:shd w:val="clear" w:color="auto" w:fill="FFFFFF"/>
                <w:vertAlign w:val="baseline"/>
                <w:lang w:val="en-US" w:eastAsia="zh-CN"/>
              </w:rPr>
            </w:pPr>
            <w:r>
              <w:rPr>
                <w:rFonts w:hint="eastAsia" w:ascii="宋体" w:hAnsi="宋体" w:eastAsia="宋体" w:cs="宋体"/>
                <w:i w:val="0"/>
                <w:iCs w:val="0"/>
                <w:caps w:val="0"/>
                <w:color w:val="171A1D"/>
                <w:spacing w:val="0"/>
                <w:sz w:val="24"/>
                <w:szCs w:val="24"/>
                <w:highlight w:val="none"/>
                <w:shd w:val="clear" w:color="auto" w:fill="FFFFFF"/>
                <w:vertAlign w:val="baseline"/>
                <w:lang w:val="en-US" w:eastAsia="zh-CN"/>
              </w:rPr>
              <w:t>1、电压：输入: AC100-240 (50/60Hz) 输出:12V 2A；功率：20W；净重：≤2.6KG；产品尺寸：≤145mm×160mm×115mm</w:t>
            </w:r>
            <w:r>
              <w:rPr>
                <w:rFonts w:hint="eastAsia" w:ascii="宋体" w:hAnsi="宋体" w:cs="宋体"/>
                <w:i w:val="0"/>
                <w:iCs w:val="0"/>
                <w:caps w:val="0"/>
                <w:color w:val="171A1D"/>
                <w:spacing w:val="0"/>
                <w:sz w:val="24"/>
                <w:szCs w:val="24"/>
                <w:highlight w:val="none"/>
                <w:shd w:val="clear" w:color="auto" w:fill="FFFFFF"/>
                <w:vertAlign w:val="baseline"/>
                <w:lang w:val="en-US" w:eastAsia="zh-CN"/>
              </w:rPr>
              <w:t>；</w:t>
            </w:r>
            <w:r>
              <w:rPr>
                <w:rFonts w:hint="eastAsia" w:ascii="宋体" w:hAnsi="宋体" w:eastAsia="宋体" w:cs="宋体"/>
                <w:i w:val="0"/>
                <w:iCs w:val="0"/>
                <w:caps w:val="0"/>
                <w:color w:val="171A1D"/>
                <w:spacing w:val="0"/>
                <w:sz w:val="24"/>
                <w:szCs w:val="24"/>
                <w:highlight w:val="none"/>
                <w:shd w:val="clear" w:color="auto" w:fill="FFFFFF"/>
                <w:vertAlign w:val="baseline"/>
                <w:lang w:val="en-US" w:eastAsia="zh-CN"/>
              </w:rPr>
              <w:t>显示方式：刻度；</w:t>
            </w:r>
          </w:p>
          <w:p w14:paraId="4A379997">
            <w:pPr>
              <w:rPr>
                <w:rFonts w:hint="eastAsia" w:ascii="宋体" w:hAnsi="宋体" w:eastAsia="宋体" w:cs="宋体"/>
                <w:i w:val="0"/>
                <w:iCs w:val="0"/>
                <w:caps w:val="0"/>
                <w:color w:val="171A1D"/>
                <w:spacing w:val="0"/>
                <w:sz w:val="24"/>
                <w:szCs w:val="24"/>
                <w:highlight w:val="none"/>
                <w:shd w:val="clear" w:color="auto" w:fill="FFFFFF"/>
                <w:vertAlign w:val="baseline"/>
                <w:lang w:val="en-US" w:eastAsia="zh-CN"/>
              </w:rPr>
            </w:pPr>
            <w:r>
              <w:rPr>
                <w:rFonts w:hint="eastAsia" w:ascii="宋体" w:hAnsi="宋体" w:cs="宋体"/>
                <w:i w:val="0"/>
                <w:iCs w:val="0"/>
                <w:caps w:val="0"/>
                <w:color w:val="171A1D"/>
                <w:spacing w:val="0"/>
                <w:sz w:val="24"/>
                <w:szCs w:val="24"/>
                <w:highlight w:val="none"/>
                <w:shd w:val="clear" w:color="auto" w:fill="FFFFFF"/>
                <w:vertAlign w:val="baseline"/>
                <w:lang w:val="en-US" w:eastAsia="zh-CN"/>
              </w:rPr>
              <w:t>2</w:t>
            </w:r>
            <w:r>
              <w:rPr>
                <w:rFonts w:hint="eastAsia" w:ascii="宋体" w:hAnsi="宋体" w:eastAsia="宋体" w:cs="宋体"/>
                <w:i w:val="0"/>
                <w:iCs w:val="0"/>
                <w:caps w:val="0"/>
                <w:color w:val="171A1D"/>
                <w:spacing w:val="0"/>
                <w:sz w:val="24"/>
                <w:szCs w:val="24"/>
                <w:highlight w:val="none"/>
                <w:shd w:val="clear" w:color="auto" w:fill="FFFFFF"/>
                <w:vertAlign w:val="baseline"/>
                <w:lang w:val="en-US" w:eastAsia="zh-CN"/>
              </w:rPr>
              <w:t>、周转直径：≥4.5mm；转速范围：200-3000rpm；</w:t>
            </w:r>
          </w:p>
          <w:p w14:paraId="74F7BDEE">
            <w:pPr>
              <w:rPr>
                <w:rFonts w:hint="eastAsia" w:ascii="宋体" w:hAnsi="宋体" w:eastAsia="宋体" w:cs="宋体"/>
                <w:i w:val="0"/>
                <w:iCs w:val="0"/>
                <w:caps w:val="0"/>
                <w:color w:val="171A1D"/>
                <w:spacing w:val="0"/>
                <w:sz w:val="24"/>
                <w:szCs w:val="24"/>
                <w:highlight w:val="none"/>
                <w:shd w:val="clear" w:color="auto" w:fill="FFFFFF"/>
                <w:vertAlign w:val="baseline"/>
                <w:lang w:val="en-US" w:eastAsia="zh-CN"/>
              </w:rPr>
            </w:pPr>
            <w:r>
              <w:rPr>
                <w:rFonts w:hint="eastAsia" w:ascii="宋体" w:hAnsi="宋体" w:cs="宋体"/>
                <w:i w:val="0"/>
                <w:iCs w:val="0"/>
                <w:caps w:val="0"/>
                <w:color w:val="171A1D"/>
                <w:spacing w:val="0"/>
                <w:sz w:val="24"/>
                <w:szCs w:val="24"/>
                <w:highlight w:val="none"/>
                <w:shd w:val="clear" w:color="auto" w:fill="FFFFFF"/>
                <w:vertAlign w:val="baseline"/>
                <w:lang w:val="en-US" w:eastAsia="zh-CN"/>
              </w:rPr>
              <w:t>3</w:t>
            </w:r>
            <w:r>
              <w:rPr>
                <w:rFonts w:hint="eastAsia" w:ascii="宋体" w:hAnsi="宋体" w:eastAsia="宋体" w:cs="宋体"/>
                <w:i w:val="0"/>
                <w:iCs w:val="0"/>
                <w:caps w:val="0"/>
                <w:color w:val="171A1D"/>
                <w:spacing w:val="0"/>
                <w:sz w:val="24"/>
                <w:szCs w:val="24"/>
                <w:highlight w:val="none"/>
                <w:shd w:val="clear" w:color="auto" w:fill="FFFFFF"/>
                <w:vertAlign w:val="baseline"/>
                <w:lang w:val="en-US" w:eastAsia="zh-CN"/>
              </w:rPr>
              <w:t>、运行方式：连续运转/点动；</w:t>
            </w:r>
          </w:p>
        </w:tc>
        <w:tc>
          <w:tcPr>
            <w:tcW w:w="869" w:type="dxa"/>
            <w:vMerge w:val="continue"/>
            <w:noWrap w:val="0"/>
            <w:vAlign w:val="center"/>
          </w:tcPr>
          <w:p w14:paraId="0015F0BA">
            <w:pPr>
              <w:jc w:val="center"/>
              <w:rPr>
                <w:rFonts w:hint="eastAsia" w:ascii="宋体" w:hAnsi="宋体" w:cs="宋体"/>
                <w:bCs/>
                <w:color w:val="000000" w:themeColor="text1"/>
                <w:kern w:val="0"/>
                <w:sz w:val="24"/>
                <w:highlight w:val="none"/>
                <w:lang w:val="en-US" w:eastAsia="zh-CN"/>
                <w14:textFill>
                  <w14:solidFill>
                    <w14:schemeClr w14:val="tx1"/>
                  </w14:solidFill>
                </w14:textFill>
              </w:rPr>
            </w:pPr>
          </w:p>
        </w:tc>
      </w:tr>
      <w:tr w14:paraId="01734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58" w:type="dxa"/>
            <w:noWrap w:val="0"/>
            <w:vAlign w:val="center"/>
          </w:tcPr>
          <w:p w14:paraId="28A53059">
            <w:pPr>
              <w:jc w:val="center"/>
              <w:rPr>
                <w:rFonts w:hint="default" w:ascii="宋体" w:hAnsi="宋体" w:eastAsia="宋体" w:cs="宋体"/>
                <w:i w:val="0"/>
                <w:iCs w:val="0"/>
                <w:caps w:val="0"/>
                <w:color w:val="171A1D"/>
                <w:spacing w:val="0"/>
                <w:sz w:val="24"/>
                <w:szCs w:val="24"/>
                <w:highlight w:val="none"/>
                <w:shd w:val="clear" w:color="auto" w:fill="FFFFFF"/>
                <w:vertAlign w:val="baseline"/>
                <w:lang w:val="en-US" w:eastAsia="zh-CN"/>
              </w:rPr>
            </w:pPr>
            <w:r>
              <w:rPr>
                <w:rFonts w:hint="eastAsia" w:ascii="宋体" w:hAnsi="宋体" w:eastAsia="宋体" w:cs="宋体"/>
                <w:i w:val="0"/>
                <w:iCs w:val="0"/>
                <w:caps w:val="0"/>
                <w:color w:val="171A1D"/>
                <w:spacing w:val="0"/>
                <w:sz w:val="24"/>
                <w:szCs w:val="24"/>
                <w:highlight w:val="none"/>
                <w:shd w:val="clear" w:color="auto" w:fill="FFFFFF"/>
                <w:vertAlign w:val="baseline"/>
                <w:lang w:val="en-US" w:eastAsia="zh-CN"/>
              </w:rPr>
              <w:t>4</w:t>
            </w:r>
          </w:p>
        </w:tc>
        <w:tc>
          <w:tcPr>
            <w:tcW w:w="1243" w:type="dxa"/>
            <w:noWrap w:val="0"/>
            <w:vAlign w:val="center"/>
          </w:tcPr>
          <w:p w14:paraId="070A1266">
            <w:pPr>
              <w:jc w:val="center"/>
              <w:rPr>
                <w:rFonts w:hint="eastAsia" w:ascii="宋体" w:hAnsi="宋体" w:eastAsia="宋体" w:cs="宋体"/>
                <w:i w:val="0"/>
                <w:iCs w:val="0"/>
                <w:caps w:val="0"/>
                <w:color w:val="171A1D"/>
                <w:spacing w:val="0"/>
                <w:sz w:val="24"/>
                <w:szCs w:val="24"/>
                <w:highlight w:val="none"/>
                <w:shd w:val="clear" w:color="auto" w:fill="FFFFFF"/>
                <w:vertAlign w:val="baseline"/>
                <w:lang w:eastAsia="zh-CN"/>
              </w:rPr>
            </w:pPr>
            <w:r>
              <w:rPr>
                <w:rFonts w:hint="eastAsia" w:ascii="宋体" w:hAnsi="宋体" w:eastAsia="宋体" w:cs="宋体"/>
                <w:i w:val="0"/>
                <w:iCs w:val="0"/>
                <w:caps w:val="0"/>
                <w:color w:val="171A1D"/>
                <w:spacing w:val="0"/>
                <w:sz w:val="24"/>
                <w:szCs w:val="24"/>
                <w:highlight w:val="none"/>
                <w:shd w:val="clear" w:color="auto" w:fill="FFFFFF"/>
              </w:rPr>
              <w:t>微型离心机</w:t>
            </w:r>
          </w:p>
        </w:tc>
        <w:tc>
          <w:tcPr>
            <w:tcW w:w="5625" w:type="dxa"/>
            <w:noWrap w:val="0"/>
            <w:vAlign w:val="top"/>
          </w:tcPr>
          <w:p w14:paraId="1FFB397F">
            <w:pPr>
              <w:rPr>
                <w:rFonts w:hint="eastAsia" w:ascii="宋体" w:hAnsi="宋体" w:eastAsia="宋体" w:cs="宋体"/>
                <w:i w:val="0"/>
                <w:iCs w:val="0"/>
                <w:caps w:val="0"/>
                <w:color w:val="171A1D"/>
                <w:spacing w:val="0"/>
                <w:sz w:val="24"/>
                <w:szCs w:val="24"/>
                <w:highlight w:val="none"/>
                <w:shd w:val="clear" w:color="auto" w:fill="FFFFFF"/>
                <w:vertAlign w:val="baseline"/>
                <w:lang w:eastAsia="zh-CN"/>
              </w:rPr>
            </w:pPr>
            <w:r>
              <w:rPr>
                <w:rFonts w:hint="eastAsia" w:ascii="宋体" w:hAnsi="宋体" w:eastAsia="宋体" w:cs="宋体"/>
                <w:i w:val="0"/>
                <w:iCs w:val="0"/>
                <w:caps w:val="0"/>
                <w:color w:val="171A1D"/>
                <w:spacing w:val="0"/>
                <w:sz w:val="24"/>
                <w:szCs w:val="24"/>
                <w:highlight w:val="none"/>
                <w:shd w:val="clear" w:color="auto" w:fill="FFFFFF"/>
                <w:vertAlign w:val="baseline"/>
                <w:lang w:val="en-US" w:eastAsia="zh-CN"/>
              </w:rPr>
              <w:t>4000转，相对离心力约1000</w:t>
            </w:r>
            <w:r>
              <w:rPr>
                <w:rFonts w:hint="eastAsia" w:ascii="宋体" w:hAnsi="宋体" w:cs="宋体"/>
                <w:i w:val="0"/>
                <w:iCs w:val="0"/>
                <w:caps w:val="0"/>
                <w:color w:val="171A1D"/>
                <w:spacing w:val="0"/>
                <w:sz w:val="24"/>
                <w:szCs w:val="24"/>
                <w:highlight w:val="none"/>
                <w:shd w:val="clear" w:color="auto" w:fill="FFFFFF"/>
                <w:vertAlign w:val="baseline"/>
                <w:lang w:val="en-US" w:eastAsia="zh-CN"/>
              </w:rPr>
              <w:t>—</w:t>
            </w:r>
            <w:r>
              <w:rPr>
                <w:rFonts w:hint="eastAsia" w:ascii="宋体" w:hAnsi="宋体" w:eastAsia="宋体" w:cs="宋体"/>
                <w:i w:val="0"/>
                <w:iCs w:val="0"/>
                <w:caps w:val="0"/>
                <w:color w:val="171A1D"/>
                <w:spacing w:val="0"/>
                <w:sz w:val="24"/>
                <w:szCs w:val="24"/>
                <w:highlight w:val="none"/>
                <w:shd w:val="clear" w:color="auto" w:fill="FFFFFF"/>
                <w:vertAlign w:val="baseline"/>
                <w:lang w:val="en-US" w:eastAsia="zh-CN"/>
              </w:rPr>
              <w:t>40000g</w:t>
            </w:r>
            <w:r>
              <w:rPr>
                <w:rFonts w:hint="eastAsia" w:ascii="宋体" w:hAnsi="宋体" w:cs="宋体"/>
                <w:i w:val="0"/>
                <w:iCs w:val="0"/>
                <w:caps w:val="0"/>
                <w:color w:val="171A1D"/>
                <w:spacing w:val="0"/>
                <w:sz w:val="24"/>
                <w:szCs w:val="24"/>
                <w:highlight w:val="none"/>
                <w:shd w:val="clear" w:color="auto" w:fill="FFFFFF"/>
                <w:vertAlign w:val="baseline"/>
                <w:lang w:val="en-US" w:eastAsia="zh-CN"/>
              </w:rPr>
              <w:t>，</w:t>
            </w:r>
            <w:r>
              <w:rPr>
                <w:rFonts w:hint="eastAsia" w:ascii="宋体" w:hAnsi="宋体" w:eastAsia="宋体" w:cs="宋体"/>
                <w:i w:val="0"/>
                <w:iCs w:val="0"/>
                <w:caps w:val="0"/>
                <w:color w:val="171A1D"/>
                <w:spacing w:val="0"/>
                <w:sz w:val="24"/>
                <w:szCs w:val="24"/>
                <w:highlight w:val="none"/>
                <w:shd w:val="clear" w:color="auto" w:fill="FFFFFF"/>
                <w:vertAlign w:val="baseline"/>
                <w:lang w:val="en-US" w:eastAsia="zh-CN"/>
              </w:rPr>
              <w:t>电源电压 AC220V+22V 5OHz</w:t>
            </w:r>
          </w:p>
        </w:tc>
        <w:tc>
          <w:tcPr>
            <w:tcW w:w="869" w:type="dxa"/>
            <w:noWrap w:val="0"/>
            <w:vAlign w:val="center"/>
          </w:tcPr>
          <w:p w14:paraId="23D705F9">
            <w:pPr>
              <w:jc w:val="center"/>
              <w:rPr>
                <w:rFonts w:hint="eastAsia" w:ascii="宋体" w:hAnsi="宋体" w:eastAsia="宋体" w:cs="宋体"/>
                <w:i w:val="0"/>
                <w:iCs w:val="0"/>
                <w:caps w:val="0"/>
                <w:color w:val="171A1D"/>
                <w:spacing w:val="0"/>
                <w:sz w:val="24"/>
                <w:szCs w:val="24"/>
                <w:highlight w:val="none"/>
                <w:shd w:val="clear" w:color="auto" w:fill="FFFFFF"/>
                <w:vertAlign w:val="baseline"/>
                <w:lang w:val="en-US" w:eastAsia="zh-CN"/>
              </w:rPr>
            </w:pPr>
            <w:r>
              <w:rPr>
                <w:rFonts w:hint="eastAsia" w:ascii="宋体" w:hAnsi="宋体" w:cs="宋体"/>
                <w:bCs/>
                <w:color w:val="000000" w:themeColor="text1"/>
                <w:kern w:val="0"/>
                <w:sz w:val="24"/>
                <w:highlight w:val="none"/>
                <w:lang w:val="en-US" w:eastAsia="zh-CN"/>
                <w14:textFill>
                  <w14:solidFill>
                    <w14:schemeClr w14:val="tx1"/>
                  </w14:solidFill>
                </w14:textFill>
              </w:rPr>
              <w:t>1套</w:t>
            </w:r>
          </w:p>
        </w:tc>
      </w:tr>
      <w:tr w14:paraId="27433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noWrap w:val="0"/>
            <w:vAlign w:val="center"/>
          </w:tcPr>
          <w:p w14:paraId="6A9BEFF6">
            <w:pPr>
              <w:jc w:val="center"/>
              <w:rPr>
                <w:rFonts w:hint="default" w:ascii="宋体" w:hAnsi="宋体" w:eastAsia="宋体" w:cs="宋体"/>
                <w:i w:val="0"/>
                <w:iCs w:val="0"/>
                <w:caps w:val="0"/>
                <w:color w:val="171A1D"/>
                <w:spacing w:val="0"/>
                <w:sz w:val="24"/>
                <w:szCs w:val="24"/>
                <w:highlight w:val="none"/>
                <w:shd w:val="clear" w:color="auto" w:fill="FFFFFF"/>
                <w:vertAlign w:val="baseline"/>
                <w:lang w:val="en-US" w:eastAsia="zh-CN"/>
              </w:rPr>
            </w:pPr>
            <w:r>
              <w:rPr>
                <w:rFonts w:hint="eastAsia" w:ascii="宋体" w:hAnsi="宋体" w:eastAsia="宋体" w:cs="宋体"/>
                <w:i w:val="0"/>
                <w:iCs w:val="0"/>
                <w:caps w:val="0"/>
                <w:color w:val="171A1D"/>
                <w:spacing w:val="0"/>
                <w:sz w:val="24"/>
                <w:szCs w:val="24"/>
                <w:highlight w:val="none"/>
                <w:shd w:val="clear" w:color="auto" w:fill="FFFFFF"/>
                <w:vertAlign w:val="baseline"/>
                <w:lang w:val="en-US" w:eastAsia="zh-CN"/>
              </w:rPr>
              <w:t>5</w:t>
            </w:r>
          </w:p>
        </w:tc>
        <w:tc>
          <w:tcPr>
            <w:tcW w:w="1243" w:type="dxa"/>
            <w:noWrap w:val="0"/>
            <w:vAlign w:val="center"/>
          </w:tcPr>
          <w:p w14:paraId="1D77357C">
            <w:pPr>
              <w:jc w:val="center"/>
              <w:rPr>
                <w:rFonts w:hint="eastAsia" w:ascii="宋体" w:hAnsi="宋体" w:eastAsia="宋体" w:cs="宋体"/>
                <w:i w:val="0"/>
                <w:iCs w:val="0"/>
                <w:caps w:val="0"/>
                <w:color w:val="171A1D"/>
                <w:spacing w:val="0"/>
                <w:sz w:val="24"/>
                <w:szCs w:val="24"/>
                <w:highlight w:val="none"/>
                <w:shd w:val="clear" w:color="auto" w:fill="FFFFFF"/>
                <w:vertAlign w:val="baseline"/>
                <w:lang w:eastAsia="zh-CN"/>
              </w:rPr>
            </w:pPr>
            <w:r>
              <w:rPr>
                <w:rFonts w:hint="eastAsia" w:ascii="宋体" w:hAnsi="宋体" w:eastAsia="宋体" w:cs="宋体"/>
                <w:i w:val="0"/>
                <w:iCs w:val="0"/>
                <w:caps w:val="0"/>
                <w:color w:val="171A1D"/>
                <w:spacing w:val="0"/>
                <w:sz w:val="24"/>
                <w:szCs w:val="24"/>
                <w:highlight w:val="none"/>
                <w:shd w:val="clear" w:color="auto" w:fill="FFFFFF"/>
              </w:rPr>
              <w:t>数显恒温水浴锅</w:t>
            </w:r>
          </w:p>
        </w:tc>
        <w:tc>
          <w:tcPr>
            <w:tcW w:w="5625" w:type="dxa"/>
            <w:noWrap w:val="0"/>
            <w:vAlign w:val="top"/>
          </w:tcPr>
          <w:p w14:paraId="5E0C1AC7">
            <w:pPr>
              <w:rPr>
                <w:rFonts w:hint="eastAsia" w:ascii="宋体" w:hAnsi="宋体" w:eastAsia="宋体" w:cs="宋体"/>
                <w:i w:val="0"/>
                <w:iCs w:val="0"/>
                <w:caps w:val="0"/>
                <w:color w:val="171A1D"/>
                <w:spacing w:val="0"/>
                <w:sz w:val="24"/>
                <w:szCs w:val="24"/>
                <w:highlight w:val="none"/>
                <w:shd w:val="clear" w:color="auto" w:fill="FFFFFF"/>
                <w:vertAlign w:val="baseline"/>
                <w:lang w:eastAsia="zh-CN"/>
              </w:rPr>
            </w:pPr>
            <w:r>
              <w:rPr>
                <w:rFonts w:hint="eastAsia" w:ascii="宋体" w:hAnsi="宋体" w:eastAsia="宋体" w:cs="宋体"/>
                <w:i w:val="0"/>
                <w:iCs w:val="0"/>
                <w:caps w:val="0"/>
                <w:color w:val="171A1D"/>
                <w:spacing w:val="0"/>
                <w:sz w:val="24"/>
                <w:szCs w:val="24"/>
                <w:highlight w:val="none"/>
                <w:shd w:val="clear" w:color="auto" w:fill="FFFFFF"/>
                <w:vertAlign w:val="baseline"/>
                <w:lang w:eastAsia="zh-CN"/>
              </w:rPr>
              <w:t>温控范围：</w:t>
            </w:r>
            <w:r>
              <w:rPr>
                <w:rFonts w:hint="eastAsia" w:ascii="宋体" w:hAnsi="宋体" w:eastAsia="宋体" w:cs="宋体"/>
                <w:i w:val="0"/>
                <w:iCs w:val="0"/>
                <w:caps w:val="0"/>
                <w:color w:val="171A1D"/>
                <w:spacing w:val="0"/>
                <w:sz w:val="24"/>
                <w:szCs w:val="24"/>
                <w:highlight w:val="none"/>
                <w:shd w:val="clear" w:color="auto" w:fill="FFFFFF"/>
                <w:vertAlign w:val="baseline"/>
                <w:lang w:val="en-US" w:eastAsia="zh-CN"/>
              </w:rPr>
              <w:t>5-100</w:t>
            </w:r>
            <w:bookmarkStart w:id="41" w:name="OLE_LINK1"/>
            <w:r>
              <w:rPr>
                <w:rFonts w:hint="eastAsia" w:ascii="宋体" w:hAnsi="宋体" w:eastAsia="宋体" w:cs="宋体"/>
                <w:i w:val="0"/>
                <w:iCs w:val="0"/>
                <w:caps w:val="0"/>
                <w:color w:val="171A1D"/>
                <w:spacing w:val="0"/>
                <w:sz w:val="24"/>
                <w:szCs w:val="24"/>
                <w:highlight w:val="none"/>
                <w:shd w:val="clear" w:color="auto" w:fill="FFFFFF"/>
                <w:vertAlign w:val="baseline"/>
                <w:lang w:val="en-US" w:eastAsia="zh-CN"/>
              </w:rPr>
              <w:t>℃</w:t>
            </w:r>
            <w:bookmarkEnd w:id="41"/>
            <w:r>
              <w:rPr>
                <w:rFonts w:hint="eastAsia" w:ascii="宋体" w:hAnsi="宋体" w:eastAsia="宋体" w:cs="宋体"/>
                <w:i w:val="0"/>
                <w:iCs w:val="0"/>
                <w:caps w:val="0"/>
                <w:color w:val="171A1D"/>
                <w:spacing w:val="0"/>
                <w:sz w:val="24"/>
                <w:szCs w:val="24"/>
                <w:highlight w:val="none"/>
                <w:shd w:val="clear" w:color="auto" w:fill="FFFFFF"/>
                <w:vertAlign w:val="baseline"/>
                <w:lang w:val="en-US" w:eastAsia="zh-CN"/>
              </w:rPr>
              <w:t>；温度波动：±0.5℃；工作室尺寸≥/160mm×160mm×130mm</w:t>
            </w:r>
          </w:p>
        </w:tc>
        <w:tc>
          <w:tcPr>
            <w:tcW w:w="869" w:type="dxa"/>
            <w:noWrap w:val="0"/>
            <w:vAlign w:val="center"/>
          </w:tcPr>
          <w:p w14:paraId="08C1F284">
            <w:pPr>
              <w:jc w:val="center"/>
              <w:rPr>
                <w:rFonts w:hint="eastAsia" w:ascii="宋体" w:hAnsi="宋体" w:eastAsia="宋体" w:cs="宋体"/>
                <w:i w:val="0"/>
                <w:iCs w:val="0"/>
                <w:caps w:val="0"/>
                <w:color w:val="171A1D"/>
                <w:spacing w:val="0"/>
                <w:sz w:val="24"/>
                <w:szCs w:val="24"/>
                <w:highlight w:val="none"/>
                <w:shd w:val="clear" w:color="auto" w:fill="FFFFFF"/>
                <w:vertAlign w:val="baseline"/>
                <w:lang w:eastAsia="zh-CN"/>
              </w:rPr>
            </w:pPr>
            <w:r>
              <w:rPr>
                <w:rFonts w:hint="eastAsia" w:ascii="宋体" w:hAnsi="宋体" w:cs="宋体"/>
                <w:bCs/>
                <w:color w:val="000000" w:themeColor="text1"/>
                <w:kern w:val="0"/>
                <w:sz w:val="24"/>
                <w:highlight w:val="none"/>
                <w:lang w:val="en-US" w:eastAsia="zh-CN"/>
                <w14:textFill>
                  <w14:solidFill>
                    <w14:schemeClr w14:val="tx1"/>
                  </w14:solidFill>
                </w14:textFill>
              </w:rPr>
              <w:t>1套</w:t>
            </w:r>
          </w:p>
        </w:tc>
      </w:tr>
      <w:tr w14:paraId="0A2D5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noWrap w:val="0"/>
            <w:vAlign w:val="center"/>
          </w:tcPr>
          <w:p w14:paraId="5CED3949">
            <w:pPr>
              <w:jc w:val="center"/>
              <w:rPr>
                <w:rFonts w:hint="default" w:ascii="宋体" w:hAnsi="宋体" w:eastAsia="宋体" w:cs="宋体"/>
                <w:i w:val="0"/>
                <w:iCs w:val="0"/>
                <w:caps w:val="0"/>
                <w:color w:val="171A1D"/>
                <w:spacing w:val="0"/>
                <w:sz w:val="24"/>
                <w:szCs w:val="24"/>
                <w:highlight w:val="none"/>
                <w:shd w:val="clear" w:color="auto" w:fill="FFFFFF"/>
                <w:vertAlign w:val="baseline"/>
                <w:lang w:val="en-US" w:eastAsia="zh-CN"/>
              </w:rPr>
            </w:pPr>
            <w:r>
              <w:rPr>
                <w:rFonts w:hint="eastAsia" w:ascii="宋体" w:hAnsi="宋体" w:eastAsia="宋体" w:cs="宋体"/>
                <w:i w:val="0"/>
                <w:iCs w:val="0"/>
                <w:caps w:val="0"/>
                <w:color w:val="171A1D"/>
                <w:spacing w:val="0"/>
                <w:sz w:val="24"/>
                <w:szCs w:val="24"/>
                <w:highlight w:val="none"/>
                <w:shd w:val="clear" w:color="auto" w:fill="FFFFFF"/>
                <w:vertAlign w:val="baseline"/>
                <w:lang w:val="en-US" w:eastAsia="zh-CN"/>
              </w:rPr>
              <w:t>6</w:t>
            </w:r>
          </w:p>
        </w:tc>
        <w:tc>
          <w:tcPr>
            <w:tcW w:w="1243" w:type="dxa"/>
            <w:noWrap w:val="0"/>
            <w:vAlign w:val="center"/>
          </w:tcPr>
          <w:p w14:paraId="40011AFE">
            <w:pPr>
              <w:jc w:val="center"/>
              <w:rPr>
                <w:rFonts w:hint="eastAsia" w:ascii="宋体" w:hAnsi="宋体" w:eastAsia="宋体" w:cs="宋体"/>
                <w:i w:val="0"/>
                <w:iCs w:val="0"/>
                <w:caps w:val="0"/>
                <w:color w:val="171A1D"/>
                <w:spacing w:val="0"/>
                <w:sz w:val="24"/>
                <w:szCs w:val="24"/>
                <w:highlight w:val="none"/>
                <w:shd w:val="clear" w:color="auto" w:fill="FFFFFF"/>
                <w:vertAlign w:val="baseline"/>
                <w:lang w:eastAsia="zh-CN"/>
              </w:rPr>
            </w:pPr>
            <w:r>
              <w:rPr>
                <w:rFonts w:hint="eastAsia" w:ascii="宋体" w:hAnsi="宋体" w:eastAsia="宋体" w:cs="宋体"/>
                <w:i w:val="0"/>
                <w:iCs w:val="0"/>
                <w:caps w:val="0"/>
                <w:color w:val="171A1D"/>
                <w:spacing w:val="0"/>
                <w:sz w:val="24"/>
                <w:szCs w:val="24"/>
                <w:highlight w:val="none"/>
                <w:shd w:val="clear" w:color="auto" w:fill="FFFFFF"/>
              </w:rPr>
              <w:t>料理机</w:t>
            </w:r>
            <w:r>
              <w:rPr>
                <w:rFonts w:hint="eastAsia" w:ascii="宋体" w:hAnsi="宋体" w:eastAsia="宋体" w:cs="宋体"/>
                <w:i w:val="0"/>
                <w:iCs w:val="0"/>
                <w:caps w:val="0"/>
                <w:color w:val="171A1D"/>
                <w:spacing w:val="0"/>
                <w:sz w:val="24"/>
                <w:szCs w:val="24"/>
                <w:highlight w:val="none"/>
                <w:shd w:val="clear" w:color="auto" w:fill="FFFFFF"/>
                <w:lang w:eastAsia="zh-CN"/>
              </w:rPr>
              <w:t>（粉碎机）</w:t>
            </w:r>
          </w:p>
        </w:tc>
        <w:tc>
          <w:tcPr>
            <w:tcW w:w="5625" w:type="dxa"/>
            <w:noWrap w:val="0"/>
            <w:vAlign w:val="top"/>
          </w:tcPr>
          <w:p w14:paraId="70593012">
            <w:pPr>
              <w:rPr>
                <w:rFonts w:hint="eastAsia" w:ascii="宋体" w:hAnsi="宋体" w:eastAsia="宋体" w:cs="宋体"/>
                <w:i w:val="0"/>
                <w:iCs w:val="0"/>
                <w:caps w:val="0"/>
                <w:color w:val="171A1D"/>
                <w:spacing w:val="0"/>
                <w:sz w:val="24"/>
                <w:szCs w:val="24"/>
                <w:highlight w:val="none"/>
                <w:shd w:val="clear" w:color="auto" w:fill="FFFFFF"/>
                <w:vertAlign w:val="baseline"/>
                <w:lang w:eastAsia="zh-CN"/>
              </w:rPr>
            </w:pPr>
            <w:r>
              <w:rPr>
                <w:rFonts w:hint="eastAsia" w:ascii="宋体" w:hAnsi="宋体" w:eastAsia="宋体" w:cs="宋体"/>
                <w:i w:val="0"/>
                <w:iCs w:val="0"/>
                <w:caps w:val="0"/>
                <w:color w:val="171A1D"/>
                <w:spacing w:val="0"/>
                <w:sz w:val="24"/>
                <w:szCs w:val="24"/>
                <w:highlight w:val="none"/>
                <w:shd w:val="clear" w:color="auto" w:fill="FFFFFF"/>
                <w:vertAlign w:val="baseline"/>
                <w:lang w:eastAsia="zh-CN"/>
              </w:rPr>
              <w:t>额定电压：</w:t>
            </w:r>
            <w:r>
              <w:rPr>
                <w:rFonts w:hint="eastAsia" w:ascii="宋体" w:hAnsi="宋体" w:eastAsia="宋体" w:cs="宋体"/>
                <w:i w:val="0"/>
                <w:iCs w:val="0"/>
                <w:caps w:val="0"/>
                <w:color w:val="171A1D"/>
                <w:spacing w:val="0"/>
                <w:sz w:val="24"/>
                <w:szCs w:val="24"/>
                <w:highlight w:val="none"/>
                <w:shd w:val="clear" w:color="auto" w:fill="FFFFFF"/>
                <w:vertAlign w:val="baseline"/>
                <w:lang w:val="en-US" w:eastAsia="zh-CN"/>
              </w:rPr>
              <w:t>220V</w:t>
            </w:r>
            <w:r>
              <w:rPr>
                <w:rFonts w:hint="eastAsia" w:ascii="宋体" w:hAnsi="宋体" w:cs="宋体"/>
                <w:i w:val="0"/>
                <w:iCs w:val="0"/>
                <w:caps w:val="0"/>
                <w:color w:val="171A1D"/>
                <w:spacing w:val="0"/>
                <w:sz w:val="24"/>
                <w:szCs w:val="24"/>
                <w:highlight w:val="none"/>
                <w:shd w:val="clear" w:color="auto" w:fill="FFFFFF"/>
                <w:vertAlign w:val="baseline"/>
                <w:lang w:val="en-US" w:eastAsia="zh-CN"/>
              </w:rPr>
              <w:t>—</w:t>
            </w:r>
            <w:r>
              <w:rPr>
                <w:rFonts w:hint="eastAsia" w:ascii="宋体" w:hAnsi="宋体" w:eastAsia="宋体" w:cs="宋体"/>
                <w:i w:val="0"/>
                <w:iCs w:val="0"/>
                <w:caps w:val="0"/>
                <w:color w:val="171A1D"/>
                <w:spacing w:val="0"/>
                <w:sz w:val="24"/>
                <w:szCs w:val="24"/>
                <w:highlight w:val="none"/>
                <w:shd w:val="clear" w:color="auto" w:fill="FFFFFF"/>
                <w:vertAlign w:val="baseline"/>
                <w:lang w:val="en-US" w:eastAsia="zh-CN"/>
              </w:rPr>
              <w:t>240V，额定频率：50Hz，额定功率：160</w:t>
            </w:r>
            <w:r>
              <w:rPr>
                <w:rFonts w:hint="eastAsia" w:ascii="宋体" w:hAnsi="宋体" w:cs="宋体"/>
                <w:i w:val="0"/>
                <w:iCs w:val="0"/>
                <w:caps w:val="0"/>
                <w:color w:val="171A1D"/>
                <w:spacing w:val="0"/>
                <w:sz w:val="24"/>
                <w:szCs w:val="24"/>
                <w:highlight w:val="none"/>
                <w:shd w:val="clear" w:color="auto" w:fill="FFFFFF"/>
                <w:vertAlign w:val="baseline"/>
                <w:lang w:val="en-US" w:eastAsia="zh-CN"/>
              </w:rPr>
              <w:t>—</w:t>
            </w:r>
            <w:r>
              <w:rPr>
                <w:rFonts w:hint="eastAsia" w:ascii="宋体" w:hAnsi="宋体" w:eastAsia="宋体" w:cs="宋体"/>
                <w:i w:val="0"/>
                <w:iCs w:val="0"/>
                <w:caps w:val="0"/>
                <w:color w:val="171A1D"/>
                <w:spacing w:val="0"/>
                <w:sz w:val="24"/>
                <w:szCs w:val="24"/>
                <w:highlight w:val="none"/>
                <w:shd w:val="clear" w:color="auto" w:fill="FFFFFF"/>
                <w:vertAlign w:val="baseline"/>
                <w:lang w:val="en-US" w:eastAsia="zh-CN"/>
              </w:rPr>
              <w:t>260W</w:t>
            </w:r>
          </w:p>
        </w:tc>
        <w:tc>
          <w:tcPr>
            <w:tcW w:w="869" w:type="dxa"/>
            <w:noWrap w:val="0"/>
            <w:vAlign w:val="center"/>
          </w:tcPr>
          <w:p w14:paraId="55C1DDC3">
            <w:pPr>
              <w:jc w:val="center"/>
              <w:rPr>
                <w:rFonts w:hint="eastAsia" w:ascii="宋体" w:hAnsi="宋体" w:eastAsia="宋体" w:cs="宋体"/>
                <w:i w:val="0"/>
                <w:iCs w:val="0"/>
                <w:caps w:val="0"/>
                <w:color w:val="171A1D"/>
                <w:spacing w:val="0"/>
                <w:sz w:val="24"/>
                <w:szCs w:val="24"/>
                <w:highlight w:val="none"/>
                <w:shd w:val="clear" w:color="auto" w:fill="FFFFFF"/>
                <w:vertAlign w:val="baseline"/>
                <w:lang w:eastAsia="zh-CN"/>
              </w:rPr>
            </w:pPr>
            <w:r>
              <w:rPr>
                <w:rFonts w:hint="eastAsia" w:ascii="宋体" w:hAnsi="宋体" w:cs="宋体"/>
                <w:bCs/>
                <w:color w:val="000000" w:themeColor="text1"/>
                <w:kern w:val="0"/>
                <w:sz w:val="24"/>
                <w:highlight w:val="none"/>
                <w:lang w:val="en-US" w:eastAsia="zh-CN"/>
                <w14:textFill>
                  <w14:solidFill>
                    <w14:schemeClr w14:val="tx1"/>
                  </w14:solidFill>
                </w14:textFill>
              </w:rPr>
              <w:t>1套</w:t>
            </w:r>
          </w:p>
        </w:tc>
      </w:tr>
      <w:tr w14:paraId="2679D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noWrap w:val="0"/>
            <w:vAlign w:val="center"/>
          </w:tcPr>
          <w:p w14:paraId="1D22E373">
            <w:pPr>
              <w:jc w:val="center"/>
              <w:rPr>
                <w:rFonts w:hint="default" w:ascii="宋体" w:hAnsi="宋体" w:eastAsia="宋体" w:cs="宋体"/>
                <w:i w:val="0"/>
                <w:iCs w:val="0"/>
                <w:caps w:val="0"/>
                <w:color w:val="171A1D"/>
                <w:spacing w:val="0"/>
                <w:sz w:val="24"/>
                <w:szCs w:val="24"/>
                <w:highlight w:val="none"/>
                <w:shd w:val="clear" w:color="auto" w:fill="FFFFFF"/>
                <w:vertAlign w:val="baseline"/>
                <w:lang w:val="en-US" w:eastAsia="zh-CN"/>
              </w:rPr>
            </w:pPr>
            <w:r>
              <w:rPr>
                <w:rFonts w:hint="eastAsia" w:ascii="宋体" w:hAnsi="宋体" w:eastAsia="宋体" w:cs="宋体"/>
                <w:i w:val="0"/>
                <w:iCs w:val="0"/>
                <w:caps w:val="0"/>
                <w:color w:val="171A1D"/>
                <w:spacing w:val="0"/>
                <w:sz w:val="24"/>
                <w:szCs w:val="24"/>
                <w:highlight w:val="none"/>
                <w:shd w:val="clear" w:color="auto" w:fill="FFFFFF"/>
                <w:vertAlign w:val="baseline"/>
                <w:lang w:val="en-US" w:eastAsia="zh-CN"/>
              </w:rPr>
              <w:t>7</w:t>
            </w:r>
          </w:p>
        </w:tc>
        <w:tc>
          <w:tcPr>
            <w:tcW w:w="1243" w:type="dxa"/>
            <w:noWrap w:val="0"/>
            <w:vAlign w:val="center"/>
          </w:tcPr>
          <w:p w14:paraId="2BAAABAF">
            <w:pPr>
              <w:jc w:val="center"/>
              <w:rPr>
                <w:rFonts w:hint="eastAsia" w:ascii="宋体" w:hAnsi="宋体" w:eastAsia="宋体" w:cs="宋体"/>
                <w:i w:val="0"/>
                <w:iCs w:val="0"/>
                <w:caps w:val="0"/>
                <w:color w:val="171A1D"/>
                <w:spacing w:val="0"/>
                <w:sz w:val="24"/>
                <w:szCs w:val="24"/>
                <w:highlight w:val="none"/>
                <w:shd w:val="clear" w:color="auto" w:fill="FFFFFF"/>
                <w:vertAlign w:val="baseline"/>
                <w:lang w:eastAsia="zh-CN"/>
              </w:rPr>
            </w:pPr>
            <w:r>
              <w:rPr>
                <w:rFonts w:hint="eastAsia" w:ascii="宋体" w:hAnsi="宋体" w:eastAsia="宋体" w:cs="宋体"/>
                <w:i w:val="0"/>
                <w:iCs w:val="0"/>
                <w:caps w:val="0"/>
                <w:color w:val="171A1D"/>
                <w:spacing w:val="0"/>
                <w:sz w:val="24"/>
                <w:szCs w:val="24"/>
                <w:highlight w:val="none"/>
                <w:shd w:val="clear" w:color="auto" w:fill="FFFFFF"/>
                <w:lang w:eastAsia="zh-CN"/>
              </w:rPr>
              <w:t>数显恒温</w:t>
            </w:r>
            <w:r>
              <w:rPr>
                <w:rFonts w:hint="eastAsia" w:ascii="宋体" w:hAnsi="宋体" w:eastAsia="宋体" w:cs="宋体"/>
                <w:i w:val="0"/>
                <w:iCs w:val="0"/>
                <w:caps w:val="0"/>
                <w:color w:val="171A1D"/>
                <w:spacing w:val="0"/>
                <w:sz w:val="24"/>
                <w:szCs w:val="24"/>
                <w:highlight w:val="none"/>
                <w:shd w:val="clear" w:color="auto" w:fill="FFFFFF"/>
              </w:rPr>
              <w:t>磁力搅拌器</w:t>
            </w:r>
          </w:p>
        </w:tc>
        <w:tc>
          <w:tcPr>
            <w:tcW w:w="5625" w:type="dxa"/>
            <w:noWrap w:val="0"/>
            <w:vAlign w:val="top"/>
          </w:tcPr>
          <w:p w14:paraId="4E69F43E">
            <w:pPr>
              <w:rPr>
                <w:rFonts w:hint="eastAsia" w:ascii="宋体" w:hAnsi="宋体" w:eastAsia="宋体" w:cs="宋体"/>
                <w:i w:val="0"/>
                <w:iCs w:val="0"/>
                <w:caps w:val="0"/>
                <w:color w:val="171A1D"/>
                <w:spacing w:val="0"/>
                <w:sz w:val="24"/>
                <w:szCs w:val="24"/>
                <w:highlight w:val="none"/>
                <w:shd w:val="clear" w:color="auto" w:fill="FFFFFF"/>
                <w:vertAlign w:val="baseline"/>
                <w:lang w:eastAsia="zh-CN"/>
              </w:rPr>
            </w:pPr>
            <w:r>
              <w:rPr>
                <w:rFonts w:hint="eastAsia" w:ascii="宋体" w:hAnsi="宋体" w:eastAsia="宋体" w:cs="宋体"/>
                <w:i w:val="0"/>
                <w:iCs w:val="0"/>
                <w:caps w:val="0"/>
                <w:color w:val="171A1D"/>
                <w:spacing w:val="0"/>
                <w:sz w:val="24"/>
                <w:szCs w:val="24"/>
                <w:highlight w:val="none"/>
                <w:shd w:val="clear" w:color="auto" w:fill="FFFFFF"/>
                <w:vertAlign w:val="baseline"/>
                <w:lang w:eastAsia="zh-CN"/>
              </w:rPr>
              <w:t>单相交流</w:t>
            </w:r>
            <w:r>
              <w:rPr>
                <w:rFonts w:hint="eastAsia" w:ascii="宋体" w:hAnsi="宋体" w:eastAsia="宋体" w:cs="宋体"/>
                <w:i w:val="0"/>
                <w:iCs w:val="0"/>
                <w:caps w:val="0"/>
                <w:color w:val="171A1D"/>
                <w:spacing w:val="0"/>
                <w:sz w:val="24"/>
                <w:szCs w:val="24"/>
                <w:highlight w:val="none"/>
                <w:shd w:val="clear" w:color="auto" w:fill="FFFFFF"/>
                <w:vertAlign w:val="baseline"/>
                <w:lang w:val="en-US" w:eastAsia="zh-CN"/>
              </w:rPr>
              <w:t>50Hz，</w:t>
            </w:r>
            <w:r>
              <w:rPr>
                <w:rFonts w:hint="eastAsia" w:ascii="宋体" w:hAnsi="宋体" w:eastAsia="宋体" w:cs="宋体"/>
                <w:i w:val="0"/>
                <w:iCs w:val="0"/>
                <w:caps w:val="0"/>
                <w:color w:val="171A1D"/>
                <w:spacing w:val="0"/>
                <w:sz w:val="24"/>
                <w:szCs w:val="24"/>
                <w:highlight w:val="none"/>
                <w:shd w:val="clear" w:color="auto" w:fill="FFFFFF"/>
                <w:vertAlign w:val="baseline"/>
                <w:lang w:eastAsia="zh-CN"/>
              </w:rPr>
              <w:t>电源</w:t>
            </w:r>
            <w:r>
              <w:rPr>
                <w:rFonts w:hint="eastAsia" w:ascii="宋体" w:hAnsi="宋体" w:eastAsia="宋体" w:cs="宋体"/>
                <w:i w:val="0"/>
                <w:iCs w:val="0"/>
                <w:caps w:val="0"/>
                <w:color w:val="171A1D"/>
                <w:spacing w:val="0"/>
                <w:sz w:val="24"/>
                <w:szCs w:val="24"/>
                <w:highlight w:val="none"/>
                <w:shd w:val="clear" w:color="auto" w:fill="FFFFFF"/>
                <w:vertAlign w:val="baseline"/>
                <w:lang w:val="en-US" w:eastAsia="zh-CN"/>
              </w:rPr>
              <w:t>220V±10V，整机功率250W，0-2000转/分</w:t>
            </w:r>
            <w:r>
              <w:rPr>
                <w:rFonts w:hint="eastAsia" w:ascii="宋体" w:hAnsi="宋体" w:cs="宋体"/>
                <w:i w:val="0"/>
                <w:iCs w:val="0"/>
                <w:caps w:val="0"/>
                <w:color w:val="171A1D"/>
                <w:spacing w:val="0"/>
                <w:sz w:val="24"/>
                <w:szCs w:val="24"/>
                <w:highlight w:val="none"/>
                <w:shd w:val="clear" w:color="auto" w:fill="FFFFFF"/>
                <w:vertAlign w:val="baseline"/>
                <w:lang w:val="en-US" w:eastAsia="zh-CN"/>
              </w:rPr>
              <w:t>无级</w:t>
            </w:r>
            <w:r>
              <w:rPr>
                <w:rFonts w:hint="eastAsia" w:ascii="宋体" w:hAnsi="宋体" w:eastAsia="宋体" w:cs="宋体"/>
                <w:i w:val="0"/>
                <w:iCs w:val="0"/>
                <w:caps w:val="0"/>
                <w:color w:val="171A1D"/>
                <w:spacing w:val="0"/>
                <w:sz w:val="24"/>
                <w:szCs w:val="24"/>
                <w:highlight w:val="none"/>
                <w:shd w:val="clear" w:color="auto" w:fill="FFFFFF"/>
                <w:vertAlign w:val="baseline"/>
                <w:lang w:val="en-US" w:eastAsia="zh-CN"/>
              </w:rPr>
              <w:t>调速，常温-100℃±1℃，搅拌容量1000ml</w:t>
            </w:r>
          </w:p>
        </w:tc>
        <w:tc>
          <w:tcPr>
            <w:tcW w:w="869" w:type="dxa"/>
            <w:noWrap w:val="0"/>
            <w:vAlign w:val="center"/>
          </w:tcPr>
          <w:p w14:paraId="0096D2F1">
            <w:pPr>
              <w:jc w:val="center"/>
              <w:rPr>
                <w:rFonts w:hint="eastAsia" w:ascii="宋体" w:hAnsi="宋体" w:eastAsia="宋体" w:cs="宋体"/>
                <w:i w:val="0"/>
                <w:iCs w:val="0"/>
                <w:caps w:val="0"/>
                <w:color w:val="171A1D"/>
                <w:spacing w:val="0"/>
                <w:sz w:val="24"/>
                <w:szCs w:val="24"/>
                <w:highlight w:val="none"/>
                <w:shd w:val="clear" w:color="auto" w:fill="FFFFFF"/>
                <w:vertAlign w:val="baseline"/>
                <w:lang w:eastAsia="zh-CN"/>
              </w:rPr>
            </w:pPr>
            <w:r>
              <w:rPr>
                <w:rFonts w:hint="eastAsia" w:ascii="宋体" w:hAnsi="宋体" w:cs="宋体"/>
                <w:bCs/>
                <w:color w:val="000000" w:themeColor="text1"/>
                <w:kern w:val="0"/>
                <w:sz w:val="24"/>
                <w:highlight w:val="none"/>
                <w:lang w:val="en-US" w:eastAsia="zh-CN"/>
                <w14:textFill>
                  <w14:solidFill>
                    <w14:schemeClr w14:val="tx1"/>
                  </w14:solidFill>
                </w14:textFill>
              </w:rPr>
              <w:t>1套</w:t>
            </w:r>
          </w:p>
        </w:tc>
      </w:tr>
      <w:tr w14:paraId="6B971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noWrap w:val="0"/>
            <w:vAlign w:val="center"/>
          </w:tcPr>
          <w:p w14:paraId="5645E978">
            <w:pPr>
              <w:jc w:val="center"/>
              <w:rPr>
                <w:rFonts w:hint="default" w:ascii="宋体" w:hAnsi="宋体" w:eastAsia="宋体" w:cs="宋体"/>
                <w:i w:val="0"/>
                <w:iCs w:val="0"/>
                <w:caps w:val="0"/>
                <w:color w:val="171A1D"/>
                <w:spacing w:val="0"/>
                <w:sz w:val="24"/>
                <w:szCs w:val="24"/>
                <w:highlight w:val="none"/>
                <w:shd w:val="clear" w:color="auto" w:fill="FFFFFF"/>
                <w:vertAlign w:val="baseline"/>
                <w:lang w:val="en-US" w:eastAsia="zh-CN"/>
              </w:rPr>
            </w:pPr>
            <w:r>
              <w:rPr>
                <w:rFonts w:hint="eastAsia" w:ascii="宋体" w:hAnsi="宋体" w:eastAsia="宋体" w:cs="宋体"/>
                <w:i w:val="0"/>
                <w:iCs w:val="0"/>
                <w:caps w:val="0"/>
                <w:color w:val="171A1D"/>
                <w:spacing w:val="0"/>
                <w:sz w:val="24"/>
                <w:szCs w:val="24"/>
                <w:highlight w:val="none"/>
                <w:shd w:val="clear" w:color="auto" w:fill="FFFFFF"/>
                <w:vertAlign w:val="baseline"/>
                <w:lang w:val="en-US" w:eastAsia="zh-CN"/>
              </w:rPr>
              <w:t>8</w:t>
            </w:r>
          </w:p>
        </w:tc>
        <w:tc>
          <w:tcPr>
            <w:tcW w:w="1243" w:type="dxa"/>
            <w:noWrap w:val="0"/>
            <w:vAlign w:val="center"/>
          </w:tcPr>
          <w:p w14:paraId="3480A7C5">
            <w:pPr>
              <w:jc w:val="center"/>
              <w:rPr>
                <w:rFonts w:hint="eastAsia" w:ascii="宋体" w:hAnsi="宋体" w:eastAsia="宋体" w:cs="宋体"/>
                <w:i w:val="0"/>
                <w:iCs w:val="0"/>
                <w:caps w:val="0"/>
                <w:color w:val="171A1D"/>
                <w:spacing w:val="0"/>
                <w:sz w:val="24"/>
                <w:szCs w:val="24"/>
                <w:highlight w:val="none"/>
                <w:shd w:val="clear" w:color="auto" w:fill="FFFFFF"/>
                <w:vertAlign w:val="baseline"/>
                <w:lang w:eastAsia="zh-CN"/>
              </w:rPr>
            </w:pPr>
            <w:r>
              <w:rPr>
                <w:rFonts w:hint="eastAsia" w:ascii="宋体" w:hAnsi="宋体" w:eastAsia="宋体" w:cs="宋体"/>
                <w:i w:val="0"/>
                <w:iCs w:val="0"/>
                <w:caps w:val="0"/>
                <w:color w:val="171A1D"/>
                <w:spacing w:val="0"/>
                <w:sz w:val="24"/>
                <w:szCs w:val="24"/>
                <w:highlight w:val="none"/>
                <w:shd w:val="clear" w:color="auto" w:fill="FFFFFF"/>
              </w:rPr>
              <w:t>电子天平</w:t>
            </w:r>
          </w:p>
        </w:tc>
        <w:tc>
          <w:tcPr>
            <w:tcW w:w="5625" w:type="dxa"/>
            <w:noWrap w:val="0"/>
            <w:vAlign w:val="top"/>
          </w:tcPr>
          <w:p w14:paraId="70EF0BDF">
            <w:pPr>
              <w:rPr>
                <w:rFonts w:hint="eastAsia" w:ascii="宋体" w:hAnsi="宋体" w:eastAsia="宋体" w:cs="宋体"/>
                <w:i w:val="0"/>
                <w:iCs w:val="0"/>
                <w:caps w:val="0"/>
                <w:color w:val="171A1D"/>
                <w:spacing w:val="0"/>
                <w:sz w:val="24"/>
                <w:szCs w:val="24"/>
                <w:highlight w:val="none"/>
                <w:shd w:val="clear" w:color="auto" w:fill="FFFFFF"/>
                <w:vertAlign w:val="baseline"/>
                <w:lang w:eastAsia="zh-CN"/>
              </w:rPr>
            </w:pPr>
            <w:r>
              <w:rPr>
                <w:rFonts w:hint="eastAsia" w:ascii="宋体" w:hAnsi="宋体" w:eastAsia="宋体" w:cs="宋体"/>
                <w:i w:val="0"/>
                <w:iCs w:val="0"/>
                <w:caps w:val="0"/>
                <w:color w:val="171A1D"/>
                <w:spacing w:val="0"/>
                <w:sz w:val="24"/>
                <w:szCs w:val="24"/>
                <w:highlight w:val="none"/>
                <w:shd w:val="clear" w:color="auto" w:fill="FFFFFF"/>
                <w:vertAlign w:val="baseline"/>
                <w:lang w:eastAsia="zh-CN"/>
              </w:rPr>
              <w:t>精度</w:t>
            </w:r>
            <w:r>
              <w:rPr>
                <w:rFonts w:hint="eastAsia" w:ascii="宋体" w:hAnsi="宋体" w:eastAsia="宋体" w:cs="宋体"/>
                <w:i w:val="0"/>
                <w:iCs w:val="0"/>
                <w:caps w:val="0"/>
                <w:color w:val="171A1D"/>
                <w:spacing w:val="0"/>
                <w:sz w:val="24"/>
                <w:szCs w:val="24"/>
                <w:highlight w:val="none"/>
                <w:shd w:val="clear" w:color="auto" w:fill="FFFFFF"/>
                <w:vertAlign w:val="baseline"/>
                <w:lang w:val="en-US" w:eastAsia="zh-CN"/>
              </w:rPr>
              <w:t>1克，(手掌称)500g</w:t>
            </w:r>
          </w:p>
        </w:tc>
        <w:tc>
          <w:tcPr>
            <w:tcW w:w="869" w:type="dxa"/>
            <w:noWrap w:val="0"/>
            <w:vAlign w:val="center"/>
          </w:tcPr>
          <w:p w14:paraId="0E5C5CEB">
            <w:pPr>
              <w:jc w:val="center"/>
              <w:rPr>
                <w:rFonts w:hint="eastAsia" w:ascii="宋体" w:hAnsi="宋体" w:eastAsia="宋体" w:cs="宋体"/>
                <w:i w:val="0"/>
                <w:iCs w:val="0"/>
                <w:caps w:val="0"/>
                <w:color w:val="171A1D"/>
                <w:spacing w:val="0"/>
                <w:sz w:val="24"/>
                <w:szCs w:val="24"/>
                <w:highlight w:val="none"/>
                <w:shd w:val="clear" w:color="auto" w:fill="FFFFFF"/>
                <w:vertAlign w:val="baseline"/>
                <w:lang w:eastAsia="zh-CN"/>
              </w:rPr>
            </w:pPr>
            <w:r>
              <w:rPr>
                <w:rFonts w:hint="eastAsia" w:ascii="宋体" w:hAnsi="宋体" w:eastAsia="宋体" w:cs="宋体"/>
                <w:i w:val="0"/>
                <w:iCs w:val="0"/>
                <w:caps w:val="0"/>
                <w:color w:val="171A1D"/>
                <w:spacing w:val="0"/>
                <w:sz w:val="24"/>
                <w:szCs w:val="24"/>
                <w:highlight w:val="none"/>
                <w:shd w:val="clear" w:color="auto" w:fill="FFFFFF"/>
                <w:vertAlign w:val="baseline"/>
                <w:lang w:val="en-US" w:eastAsia="zh-CN"/>
              </w:rPr>
              <w:t>1台</w:t>
            </w:r>
          </w:p>
        </w:tc>
      </w:tr>
      <w:tr w14:paraId="5A8D4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noWrap w:val="0"/>
            <w:vAlign w:val="center"/>
          </w:tcPr>
          <w:p w14:paraId="51740BB3">
            <w:pPr>
              <w:jc w:val="center"/>
              <w:rPr>
                <w:rFonts w:hint="default" w:ascii="宋体" w:hAnsi="宋体" w:eastAsia="宋体" w:cs="宋体"/>
                <w:i w:val="0"/>
                <w:iCs w:val="0"/>
                <w:caps w:val="0"/>
                <w:color w:val="171A1D"/>
                <w:spacing w:val="0"/>
                <w:sz w:val="24"/>
                <w:szCs w:val="24"/>
                <w:highlight w:val="none"/>
                <w:shd w:val="clear" w:color="auto" w:fill="FFFFFF"/>
                <w:vertAlign w:val="baseline"/>
                <w:lang w:val="en-US" w:eastAsia="zh-CN"/>
              </w:rPr>
            </w:pPr>
            <w:r>
              <w:rPr>
                <w:rFonts w:hint="eastAsia" w:ascii="宋体" w:hAnsi="宋体" w:eastAsia="宋体" w:cs="宋体"/>
                <w:i w:val="0"/>
                <w:iCs w:val="0"/>
                <w:caps w:val="0"/>
                <w:color w:val="171A1D"/>
                <w:spacing w:val="0"/>
                <w:sz w:val="24"/>
                <w:szCs w:val="24"/>
                <w:highlight w:val="none"/>
                <w:shd w:val="clear" w:color="auto" w:fill="FFFFFF"/>
                <w:vertAlign w:val="baseline"/>
                <w:lang w:val="en-US" w:eastAsia="zh-CN"/>
              </w:rPr>
              <w:t>9</w:t>
            </w:r>
          </w:p>
        </w:tc>
        <w:tc>
          <w:tcPr>
            <w:tcW w:w="1243" w:type="dxa"/>
            <w:noWrap w:val="0"/>
            <w:vAlign w:val="center"/>
          </w:tcPr>
          <w:p w14:paraId="2674F7FD">
            <w:pPr>
              <w:jc w:val="center"/>
              <w:rPr>
                <w:rFonts w:hint="eastAsia" w:ascii="宋体" w:hAnsi="宋体" w:eastAsia="宋体" w:cs="宋体"/>
                <w:i w:val="0"/>
                <w:iCs w:val="0"/>
                <w:caps w:val="0"/>
                <w:color w:val="171A1D"/>
                <w:spacing w:val="0"/>
                <w:sz w:val="24"/>
                <w:szCs w:val="24"/>
                <w:highlight w:val="none"/>
                <w:shd w:val="clear" w:color="auto" w:fill="FFFFFF"/>
              </w:rPr>
            </w:pPr>
            <w:r>
              <w:rPr>
                <w:rFonts w:hint="eastAsia" w:ascii="宋体" w:hAnsi="宋体" w:eastAsia="宋体" w:cs="宋体"/>
                <w:i w:val="0"/>
                <w:iCs w:val="0"/>
                <w:caps w:val="0"/>
                <w:color w:val="171A1D"/>
                <w:spacing w:val="0"/>
                <w:sz w:val="24"/>
                <w:szCs w:val="24"/>
                <w:highlight w:val="none"/>
                <w:shd w:val="clear" w:color="auto" w:fill="FFFFFF"/>
              </w:rPr>
              <w:t>磁力搅拌器</w:t>
            </w:r>
          </w:p>
        </w:tc>
        <w:tc>
          <w:tcPr>
            <w:tcW w:w="5625" w:type="dxa"/>
            <w:noWrap w:val="0"/>
            <w:vAlign w:val="top"/>
          </w:tcPr>
          <w:p w14:paraId="4DE50B8A">
            <w:pPr>
              <w:rPr>
                <w:rFonts w:hint="eastAsia" w:ascii="宋体" w:hAnsi="宋体" w:eastAsia="宋体" w:cs="宋体"/>
                <w:i w:val="0"/>
                <w:iCs w:val="0"/>
                <w:caps w:val="0"/>
                <w:color w:val="171A1D"/>
                <w:spacing w:val="0"/>
                <w:sz w:val="24"/>
                <w:szCs w:val="24"/>
                <w:highlight w:val="none"/>
                <w:shd w:val="clear" w:color="auto" w:fill="FFFFFF"/>
                <w:vertAlign w:val="baseline"/>
                <w:lang w:eastAsia="zh-CN"/>
              </w:rPr>
            </w:pPr>
            <w:r>
              <w:rPr>
                <w:rFonts w:hint="eastAsia" w:ascii="宋体" w:hAnsi="宋体" w:eastAsia="宋体" w:cs="宋体"/>
                <w:i w:val="0"/>
                <w:iCs w:val="0"/>
                <w:caps w:val="0"/>
                <w:color w:val="171A1D"/>
                <w:spacing w:val="0"/>
                <w:sz w:val="24"/>
                <w:szCs w:val="24"/>
                <w:highlight w:val="none"/>
                <w:shd w:val="clear" w:color="auto" w:fill="FFFFFF"/>
                <w:vertAlign w:val="baseline"/>
                <w:lang w:eastAsia="zh-CN"/>
              </w:rPr>
              <w:t>1、最大搅拌量≥2L</w:t>
            </w:r>
          </w:p>
          <w:p w14:paraId="6B3BFB28">
            <w:pPr>
              <w:rPr>
                <w:rFonts w:hint="eastAsia" w:ascii="宋体" w:hAnsi="宋体" w:eastAsia="宋体" w:cs="宋体"/>
                <w:i w:val="0"/>
                <w:iCs w:val="0"/>
                <w:caps w:val="0"/>
                <w:color w:val="171A1D"/>
                <w:spacing w:val="0"/>
                <w:sz w:val="24"/>
                <w:szCs w:val="24"/>
                <w:highlight w:val="none"/>
                <w:shd w:val="clear" w:color="auto" w:fill="FFFFFF"/>
                <w:vertAlign w:val="baseline"/>
                <w:lang w:eastAsia="zh-CN"/>
              </w:rPr>
            </w:pPr>
            <w:r>
              <w:rPr>
                <w:rFonts w:hint="eastAsia" w:ascii="宋体" w:hAnsi="宋体" w:eastAsia="宋体" w:cs="宋体"/>
                <w:i w:val="0"/>
                <w:iCs w:val="0"/>
                <w:caps w:val="0"/>
                <w:color w:val="171A1D"/>
                <w:spacing w:val="0"/>
                <w:sz w:val="24"/>
                <w:szCs w:val="24"/>
                <w:highlight w:val="none"/>
                <w:shd w:val="clear" w:color="auto" w:fill="FFFFFF"/>
                <w:vertAlign w:val="baseline"/>
                <w:lang w:eastAsia="zh-CN"/>
              </w:rPr>
              <w:t>2、带数显屏</w:t>
            </w:r>
          </w:p>
          <w:p w14:paraId="37F37DDE">
            <w:pPr>
              <w:rPr>
                <w:rFonts w:hint="eastAsia" w:ascii="宋体" w:hAnsi="宋体" w:eastAsia="宋体" w:cs="宋体"/>
                <w:i w:val="0"/>
                <w:iCs w:val="0"/>
                <w:caps w:val="0"/>
                <w:color w:val="171A1D"/>
                <w:spacing w:val="0"/>
                <w:sz w:val="24"/>
                <w:szCs w:val="24"/>
                <w:highlight w:val="none"/>
                <w:shd w:val="clear" w:color="auto" w:fill="FFFFFF"/>
                <w:vertAlign w:val="baseline"/>
                <w:lang w:eastAsia="zh-CN"/>
              </w:rPr>
            </w:pPr>
            <w:r>
              <w:rPr>
                <w:rFonts w:hint="eastAsia" w:ascii="宋体" w:hAnsi="宋体" w:eastAsia="宋体" w:cs="宋体"/>
                <w:i w:val="0"/>
                <w:iCs w:val="0"/>
                <w:caps w:val="0"/>
                <w:color w:val="171A1D"/>
                <w:spacing w:val="0"/>
                <w:sz w:val="24"/>
                <w:szCs w:val="24"/>
                <w:highlight w:val="none"/>
                <w:shd w:val="clear" w:color="auto" w:fill="FFFFFF"/>
                <w:vertAlign w:val="baseline"/>
                <w:lang w:eastAsia="zh-CN"/>
              </w:rPr>
              <w:t>3、旋钮调速</w:t>
            </w:r>
          </w:p>
        </w:tc>
        <w:tc>
          <w:tcPr>
            <w:tcW w:w="869" w:type="dxa"/>
            <w:noWrap w:val="0"/>
            <w:vAlign w:val="center"/>
          </w:tcPr>
          <w:p w14:paraId="0604A6FB">
            <w:pPr>
              <w:jc w:val="center"/>
              <w:rPr>
                <w:rFonts w:hint="eastAsia" w:ascii="宋体" w:hAnsi="宋体" w:eastAsia="宋体" w:cs="宋体"/>
                <w:i w:val="0"/>
                <w:iCs w:val="0"/>
                <w:caps w:val="0"/>
                <w:color w:val="171A1D"/>
                <w:spacing w:val="0"/>
                <w:sz w:val="24"/>
                <w:szCs w:val="24"/>
                <w:highlight w:val="none"/>
                <w:shd w:val="clear" w:color="auto" w:fill="FFFFFF"/>
                <w:vertAlign w:val="baseline"/>
                <w:lang w:eastAsia="zh-CN"/>
              </w:rPr>
            </w:pPr>
            <w:r>
              <w:rPr>
                <w:rFonts w:hint="eastAsia" w:ascii="宋体" w:hAnsi="宋体" w:cs="宋体"/>
                <w:bCs/>
                <w:color w:val="000000" w:themeColor="text1"/>
                <w:kern w:val="0"/>
                <w:sz w:val="24"/>
                <w:highlight w:val="none"/>
                <w:lang w:val="en-US" w:eastAsia="zh-CN"/>
                <w14:textFill>
                  <w14:solidFill>
                    <w14:schemeClr w14:val="tx1"/>
                  </w14:solidFill>
                </w14:textFill>
              </w:rPr>
              <w:t>1套</w:t>
            </w:r>
          </w:p>
        </w:tc>
      </w:tr>
      <w:tr w14:paraId="61B84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noWrap w:val="0"/>
            <w:vAlign w:val="center"/>
          </w:tcPr>
          <w:p w14:paraId="12930DBB">
            <w:pPr>
              <w:jc w:val="center"/>
              <w:rPr>
                <w:rFonts w:hint="default" w:ascii="宋体" w:hAnsi="宋体" w:eastAsia="宋体" w:cs="宋体"/>
                <w:i w:val="0"/>
                <w:iCs w:val="0"/>
                <w:caps w:val="0"/>
                <w:color w:val="171A1D"/>
                <w:spacing w:val="0"/>
                <w:sz w:val="24"/>
                <w:szCs w:val="24"/>
                <w:highlight w:val="none"/>
                <w:shd w:val="clear" w:color="auto" w:fill="FFFFFF"/>
                <w:vertAlign w:val="baseline"/>
                <w:lang w:val="en-US" w:eastAsia="zh-CN"/>
              </w:rPr>
            </w:pPr>
            <w:r>
              <w:rPr>
                <w:rFonts w:hint="eastAsia" w:ascii="宋体" w:hAnsi="宋体" w:eastAsia="宋体" w:cs="宋体"/>
                <w:i w:val="0"/>
                <w:iCs w:val="0"/>
                <w:caps w:val="0"/>
                <w:color w:val="171A1D"/>
                <w:spacing w:val="0"/>
                <w:sz w:val="24"/>
                <w:szCs w:val="24"/>
                <w:highlight w:val="none"/>
                <w:shd w:val="clear" w:color="auto" w:fill="FFFFFF"/>
                <w:vertAlign w:val="baseline"/>
                <w:lang w:val="en-US" w:eastAsia="zh-CN"/>
              </w:rPr>
              <w:t>10</w:t>
            </w:r>
          </w:p>
        </w:tc>
        <w:tc>
          <w:tcPr>
            <w:tcW w:w="1243" w:type="dxa"/>
            <w:noWrap w:val="0"/>
            <w:vAlign w:val="center"/>
          </w:tcPr>
          <w:p w14:paraId="3BC89C3A">
            <w:pPr>
              <w:jc w:val="center"/>
              <w:rPr>
                <w:rFonts w:hint="eastAsia" w:ascii="宋体" w:hAnsi="宋体" w:eastAsia="宋体" w:cs="宋体"/>
                <w:i w:val="0"/>
                <w:iCs w:val="0"/>
                <w:caps w:val="0"/>
                <w:color w:val="171A1D"/>
                <w:spacing w:val="0"/>
                <w:sz w:val="24"/>
                <w:szCs w:val="24"/>
                <w:highlight w:val="none"/>
                <w:shd w:val="clear" w:color="auto" w:fill="FFFFFF"/>
                <w:vertAlign w:val="baseline"/>
                <w:lang w:eastAsia="zh-CN"/>
              </w:rPr>
            </w:pPr>
            <w:r>
              <w:rPr>
                <w:rFonts w:hint="eastAsia" w:ascii="宋体" w:hAnsi="宋体" w:eastAsia="宋体" w:cs="宋体"/>
                <w:i w:val="0"/>
                <w:iCs w:val="0"/>
                <w:caps w:val="0"/>
                <w:color w:val="171A1D"/>
                <w:spacing w:val="0"/>
                <w:sz w:val="24"/>
                <w:szCs w:val="24"/>
                <w:highlight w:val="none"/>
                <w:shd w:val="clear" w:color="auto" w:fill="FFFFFF"/>
              </w:rPr>
              <w:t>高清摄像头</w:t>
            </w:r>
          </w:p>
        </w:tc>
        <w:tc>
          <w:tcPr>
            <w:tcW w:w="5625" w:type="dxa"/>
            <w:noWrap w:val="0"/>
            <w:vAlign w:val="top"/>
          </w:tcPr>
          <w:p w14:paraId="79A236B5">
            <w:pPr>
              <w:rPr>
                <w:rFonts w:hint="eastAsia" w:ascii="宋体" w:hAnsi="宋体" w:eastAsia="宋体" w:cs="宋体"/>
                <w:i w:val="0"/>
                <w:iCs w:val="0"/>
                <w:caps w:val="0"/>
                <w:color w:val="171A1D"/>
                <w:spacing w:val="0"/>
                <w:sz w:val="24"/>
                <w:szCs w:val="24"/>
                <w:highlight w:val="none"/>
                <w:shd w:val="clear" w:color="auto" w:fill="FFFFFF"/>
                <w:vertAlign w:val="baseline"/>
                <w:lang w:eastAsia="zh-CN"/>
              </w:rPr>
            </w:pPr>
            <w:r>
              <w:rPr>
                <w:rFonts w:hint="eastAsia" w:ascii="宋体" w:hAnsi="宋体" w:eastAsia="宋体" w:cs="宋体"/>
                <w:i w:val="0"/>
                <w:iCs w:val="0"/>
                <w:caps w:val="0"/>
                <w:color w:val="171A1D"/>
                <w:spacing w:val="0"/>
                <w:sz w:val="24"/>
                <w:szCs w:val="24"/>
                <w:highlight w:val="none"/>
                <w:shd w:val="clear" w:color="auto" w:fill="FFFFFF"/>
                <w:vertAlign w:val="baseline"/>
                <w:lang w:eastAsia="zh-CN"/>
              </w:rPr>
              <w:t>400万以上像素摄像头，需接入智慧农贸市场管理系统</w:t>
            </w:r>
          </w:p>
        </w:tc>
        <w:tc>
          <w:tcPr>
            <w:tcW w:w="869" w:type="dxa"/>
            <w:noWrap w:val="0"/>
            <w:vAlign w:val="center"/>
          </w:tcPr>
          <w:p w14:paraId="14FF8D26">
            <w:pPr>
              <w:jc w:val="center"/>
              <w:rPr>
                <w:rFonts w:hint="eastAsia" w:ascii="宋体" w:hAnsi="宋体" w:eastAsia="宋体" w:cs="宋体"/>
                <w:i w:val="0"/>
                <w:iCs w:val="0"/>
                <w:caps w:val="0"/>
                <w:color w:val="171A1D"/>
                <w:spacing w:val="0"/>
                <w:sz w:val="24"/>
                <w:szCs w:val="24"/>
                <w:highlight w:val="none"/>
                <w:shd w:val="clear" w:color="auto" w:fill="FFFFFF"/>
                <w:vertAlign w:val="baseline"/>
                <w:lang w:eastAsia="zh-CN"/>
              </w:rPr>
            </w:pPr>
            <w:r>
              <w:rPr>
                <w:rFonts w:hint="eastAsia" w:ascii="宋体" w:hAnsi="宋体" w:cs="宋体"/>
                <w:bCs/>
                <w:color w:val="000000" w:themeColor="text1"/>
                <w:kern w:val="0"/>
                <w:sz w:val="24"/>
                <w:highlight w:val="none"/>
                <w:lang w:val="en-US" w:eastAsia="zh-CN"/>
                <w14:textFill>
                  <w14:solidFill>
                    <w14:schemeClr w14:val="tx1"/>
                  </w14:solidFill>
                </w14:textFill>
              </w:rPr>
              <w:t>1套</w:t>
            </w:r>
          </w:p>
        </w:tc>
      </w:tr>
      <w:tr w14:paraId="06F58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noWrap w:val="0"/>
            <w:vAlign w:val="center"/>
          </w:tcPr>
          <w:p w14:paraId="2BFBB7D0">
            <w:pPr>
              <w:jc w:val="center"/>
              <w:rPr>
                <w:rFonts w:hint="default" w:ascii="宋体" w:hAnsi="宋体" w:eastAsia="宋体" w:cs="宋体"/>
                <w:i w:val="0"/>
                <w:iCs w:val="0"/>
                <w:caps w:val="0"/>
                <w:color w:val="171A1D"/>
                <w:spacing w:val="0"/>
                <w:sz w:val="24"/>
                <w:szCs w:val="24"/>
                <w:highlight w:val="none"/>
                <w:shd w:val="clear" w:color="auto" w:fill="FFFFFF"/>
                <w:vertAlign w:val="baseline"/>
                <w:lang w:val="en-US" w:eastAsia="zh-CN"/>
              </w:rPr>
            </w:pPr>
            <w:r>
              <w:rPr>
                <w:rFonts w:hint="eastAsia" w:ascii="宋体" w:hAnsi="宋体" w:eastAsia="宋体" w:cs="宋体"/>
                <w:i w:val="0"/>
                <w:iCs w:val="0"/>
                <w:caps w:val="0"/>
                <w:color w:val="171A1D"/>
                <w:spacing w:val="0"/>
                <w:sz w:val="24"/>
                <w:szCs w:val="24"/>
                <w:highlight w:val="none"/>
                <w:shd w:val="clear" w:color="auto" w:fill="FFFFFF"/>
                <w:vertAlign w:val="baseline"/>
                <w:lang w:val="en-US" w:eastAsia="zh-CN"/>
              </w:rPr>
              <w:t>11</w:t>
            </w:r>
          </w:p>
        </w:tc>
        <w:tc>
          <w:tcPr>
            <w:tcW w:w="1243" w:type="dxa"/>
            <w:noWrap w:val="0"/>
            <w:vAlign w:val="center"/>
          </w:tcPr>
          <w:p w14:paraId="4D6FB645">
            <w:pPr>
              <w:jc w:val="center"/>
              <w:rPr>
                <w:rFonts w:hint="eastAsia" w:ascii="宋体" w:hAnsi="宋体" w:eastAsia="宋体" w:cs="宋体"/>
                <w:i w:val="0"/>
                <w:iCs w:val="0"/>
                <w:caps w:val="0"/>
                <w:color w:val="171A1D"/>
                <w:spacing w:val="0"/>
                <w:sz w:val="24"/>
                <w:szCs w:val="24"/>
                <w:highlight w:val="none"/>
                <w:shd w:val="clear" w:color="auto" w:fill="FFFFFF"/>
                <w:vertAlign w:val="baseline"/>
                <w:lang w:eastAsia="zh-CN"/>
              </w:rPr>
            </w:pPr>
            <w:r>
              <w:rPr>
                <w:rFonts w:hint="eastAsia" w:ascii="宋体" w:hAnsi="宋体" w:eastAsia="宋体" w:cs="宋体"/>
                <w:i w:val="0"/>
                <w:iCs w:val="0"/>
                <w:caps w:val="0"/>
                <w:color w:val="171A1D"/>
                <w:spacing w:val="0"/>
                <w:sz w:val="24"/>
                <w:szCs w:val="24"/>
                <w:highlight w:val="none"/>
                <w:shd w:val="clear" w:color="auto" w:fill="FFFFFF"/>
              </w:rPr>
              <w:t>清洗</w:t>
            </w:r>
            <w:r>
              <w:rPr>
                <w:rFonts w:hint="eastAsia" w:ascii="宋体" w:hAnsi="宋体" w:cs="宋体"/>
                <w:i w:val="0"/>
                <w:iCs w:val="0"/>
                <w:caps w:val="0"/>
                <w:color w:val="171A1D"/>
                <w:spacing w:val="0"/>
                <w:sz w:val="24"/>
                <w:szCs w:val="24"/>
                <w:highlight w:val="none"/>
                <w:shd w:val="clear" w:color="auto" w:fill="FFFFFF"/>
                <w:lang w:eastAsia="zh-CN"/>
              </w:rPr>
              <w:t>水槽</w:t>
            </w:r>
          </w:p>
        </w:tc>
        <w:tc>
          <w:tcPr>
            <w:tcW w:w="5625" w:type="dxa"/>
            <w:noWrap w:val="0"/>
            <w:vAlign w:val="top"/>
          </w:tcPr>
          <w:p w14:paraId="165F6AD9">
            <w:pPr>
              <w:rPr>
                <w:rFonts w:hint="eastAsia" w:ascii="宋体" w:hAnsi="宋体" w:eastAsia="宋体" w:cs="宋体"/>
                <w:i w:val="0"/>
                <w:iCs w:val="0"/>
                <w:caps w:val="0"/>
                <w:color w:val="171A1D"/>
                <w:spacing w:val="0"/>
                <w:sz w:val="24"/>
                <w:szCs w:val="24"/>
                <w:highlight w:val="none"/>
                <w:shd w:val="clear" w:color="auto" w:fill="FFFFFF"/>
                <w:vertAlign w:val="baseline"/>
                <w:lang w:eastAsia="zh-CN"/>
              </w:rPr>
            </w:pPr>
            <w:r>
              <w:rPr>
                <w:rFonts w:hint="eastAsia" w:ascii="宋体" w:hAnsi="宋体" w:eastAsia="宋体" w:cs="宋体"/>
                <w:i w:val="0"/>
                <w:iCs w:val="0"/>
                <w:caps w:val="0"/>
                <w:color w:val="171A1D"/>
                <w:spacing w:val="0"/>
                <w:sz w:val="24"/>
                <w:szCs w:val="24"/>
                <w:highlight w:val="none"/>
                <w:shd w:val="clear" w:color="auto" w:fill="FFFFFF"/>
                <w:vertAlign w:val="baseline"/>
                <w:lang w:eastAsia="zh-CN"/>
              </w:rPr>
              <w:t>（不锈钢材质）</w:t>
            </w:r>
          </w:p>
        </w:tc>
        <w:tc>
          <w:tcPr>
            <w:tcW w:w="869" w:type="dxa"/>
            <w:noWrap w:val="0"/>
            <w:vAlign w:val="center"/>
          </w:tcPr>
          <w:p w14:paraId="48BC37F0">
            <w:pPr>
              <w:jc w:val="center"/>
              <w:rPr>
                <w:rFonts w:hint="eastAsia" w:ascii="宋体" w:hAnsi="宋体" w:eastAsia="宋体" w:cs="宋体"/>
                <w:i w:val="0"/>
                <w:iCs w:val="0"/>
                <w:caps w:val="0"/>
                <w:color w:val="171A1D"/>
                <w:spacing w:val="0"/>
                <w:sz w:val="24"/>
                <w:szCs w:val="24"/>
                <w:highlight w:val="none"/>
                <w:shd w:val="clear" w:color="auto" w:fill="FFFFFF"/>
                <w:vertAlign w:val="baseline"/>
                <w:lang w:eastAsia="zh-CN"/>
              </w:rPr>
            </w:pPr>
            <w:r>
              <w:rPr>
                <w:rFonts w:hint="eastAsia" w:ascii="宋体" w:hAnsi="宋体" w:cs="宋体"/>
                <w:bCs/>
                <w:color w:val="000000" w:themeColor="text1"/>
                <w:kern w:val="0"/>
                <w:sz w:val="24"/>
                <w:highlight w:val="none"/>
                <w:lang w:val="en-US" w:eastAsia="zh-CN"/>
                <w14:textFill>
                  <w14:solidFill>
                    <w14:schemeClr w14:val="tx1"/>
                  </w14:solidFill>
                </w14:textFill>
              </w:rPr>
              <w:t>1套</w:t>
            </w:r>
          </w:p>
        </w:tc>
      </w:tr>
      <w:tr w14:paraId="77641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noWrap w:val="0"/>
            <w:vAlign w:val="center"/>
          </w:tcPr>
          <w:p w14:paraId="276AEFE7">
            <w:pPr>
              <w:jc w:val="center"/>
              <w:rPr>
                <w:rFonts w:hint="default" w:ascii="宋体" w:hAnsi="宋体" w:eastAsia="宋体" w:cs="宋体"/>
                <w:i w:val="0"/>
                <w:iCs w:val="0"/>
                <w:caps w:val="0"/>
                <w:color w:val="171A1D"/>
                <w:spacing w:val="0"/>
                <w:sz w:val="24"/>
                <w:szCs w:val="24"/>
                <w:highlight w:val="none"/>
                <w:shd w:val="clear" w:color="auto" w:fill="FFFFFF"/>
                <w:vertAlign w:val="baseline"/>
                <w:lang w:val="en-US" w:eastAsia="zh-CN"/>
              </w:rPr>
            </w:pPr>
            <w:r>
              <w:rPr>
                <w:rFonts w:hint="eastAsia" w:ascii="宋体" w:hAnsi="宋体" w:eastAsia="宋体" w:cs="宋体"/>
                <w:i w:val="0"/>
                <w:iCs w:val="0"/>
                <w:caps w:val="0"/>
                <w:color w:val="171A1D"/>
                <w:spacing w:val="0"/>
                <w:sz w:val="24"/>
                <w:szCs w:val="24"/>
                <w:highlight w:val="none"/>
                <w:shd w:val="clear" w:color="auto" w:fill="FFFFFF"/>
                <w:vertAlign w:val="baseline"/>
                <w:lang w:val="en-US" w:eastAsia="zh-CN"/>
              </w:rPr>
              <w:t>12</w:t>
            </w:r>
          </w:p>
        </w:tc>
        <w:tc>
          <w:tcPr>
            <w:tcW w:w="1243" w:type="dxa"/>
            <w:noWrap w:val="0"/>
            <w:vAlign w:val="center"/>
          </w:tcPr>
          <w:p w14:paraId="3B07195B">
            <w:pPr>
              <w:bidi w:val="0"/>
              <w:jc w:val="center"/>
              <w:rPr>
                <w:rFonts w:hint="eastAsia" w:ascii="宋体" w:hAnsi="宋体" w:eastAsia="宋体" w:cs="宋体"/>
                <w:i w:val="0"/>
                <w:iCs w:val="0"/>
                <w:caps w:val="0"/>
                <w:color w:val="171A1D"/>
                <w:spacing w:val="0"/>
                <w:sz w:val="24"/>
                <w:szCs w:val="24"/>
                <w:highlight w:val="none"/>
                <w:shd w:val="clear" w:color="auto" w:fill="FFFFFF"/>
                <w:lang w:eastAsia="zh-CN"/>
              </w:rPr>
            </w:pPr>
            <w:r>
              <w:rPr>
                <w:rFonts w:hint="eastAsia" w:ascii="宋体" w:hAnsi="宋体" w:eastAsia="宋体" w:cs="宋体"/>
                <w:i w:val="0"/>
                <w:iCs w:val="0"/>
                <w:caps w:val="0"/>
                <w:color w:val="171A1D"/>
                <w:spacing w:val="0"/>
                <w:sz w:val="24"/>
                <w:szCs w:val="24"/>
                <w:highlight w:val="none"/>
                <w:shd w:val="clear" w:color="auto" w:fill="FFFFFF"/>
                <w:lang w:eastAsia="zh-CN"/>
              </w:rPr>
              <w:t>台式离心机</w:t>
            </w:r>
          </w:p>
        </w:tc>
        <w:tc>
          <w:tcPr>
            <w:tcW w:w="5625" w:type="dxa"/>
            <w:noWrap w:val="0"/>
            <w:vAlign w:val="top"/>
          </w:tcPr>
          <w:p w14:paraId="3C3EFD92">
            <w:pPr>
              <w:rPr>
                <w:rFonts w:hint="eastAsia" w:ascii="宋体" w:hAnsi="宋体" w:eastAsia="宋体" w:cs="宋体"/>
                <w:i w:val="0"/>
                <w:iCs w:val="0"/>
                <w:caps w:val="0"/>
                <w:color w:val="171A1D"/>
                <w:spacing w:val="0"/>
                <w:sz w:val="24"/>
                <w:szCs w:val="24"/>
                <w:highlight w:val="none"/>
                <w:shd w:val="clear" w:color="auto" w:fill="FFFFFF"/>
                <w:vertAlign w:val="baseline"/>
                <w:lang w:val="en-US" w:eastAsia="zh-CN"/>
              </w:rPr>
            </w:pPr>
            <w:r>
              <w:rPr>
                <w:rFonts w:hint="eastAsia" w:ascii="宋体" w:hAnsi="宋体" w:eastAsia="宋体" w:cs="宋体"/>
                <w:i w:val="0"/>
                <w:iCs w:val="0"/>
                <w:caps w:val="0"/>
                <w:color w:val="171A1D"/>
                <w:spacing w:val="0"/>
                <w:sz w:val="24"/>
                <w:szCs w:val="24"/>
                <w:highlight w:val="none"/>
                <w:shd w:val="clear" w:color="auto" w:fill="FFFFFF"/>
                <w:vertAlign w:val="baseline"/>
                <w:lang w:val="en-US" w:eastAsia="zh-CN"/>
              </w:rPr>
              <w:t>1、转速≥4000rpm</w:t>
            </w:r>
          </w:p>
          <w:p w14:paraId="5F19922F">
            <w:pPr>
              <w:rPr>
                <w:rFonts w:hint="eastAsia" w:ascii="宋体" w:hAnsi="宋体" w:eastAsia="宋体" w:cs="宋体"/>
                <w:i w:val="0"/>
                <w:iCs w:val="0"/>
                <w:caps w:val="0"/>
                <w:color w:val="171A1D"/>
                <w:spacing w:val="0"/>
                <w:sz w:val="24"/>
                <w:szCs w:val="24"/>
                <w:highlight w:val="none"/>
                <w:shd w:val="clear" w:color="auto" w:fill="FFFFFF"/>
                <w:vertAlign w:val="baseline"/>
                <w:lang w:val="en-US" w:eastAsia="zh-CN"/>
              </w:rPr>
            </w:pPr>
            <w:r>
              <w:rPr>
                <w:rFonts w:hint="eastAsia" w:ascii="宋体" w:hAnsi="宋体" w:eastAsia="宋体" w:cs="宋体"/>
                <w:i w:val="0"/>
                <w:iCs w:val="0"/>
                <w:caps w:val="0"/>
                <w:color w:val="171A1D"/>
                <w:spacing w:val="0"/>
                <w:sz w:val="24"/>
                <w:szCs w:val="24"/>
                <w:highlight w:val="none"/>
                <w:shd w:val="clear" w:color="auto" w:fill="FFFFFF"/>
                <w:vertAlign w:val="baseline"/>
                <w:lang w:val="en-US" w:eastAsia="zh-CN"/>
              </w:rPr>
              <w:t>2、转子容量：50ml×6管</w:t>
            </w:r>
          </w:p>
          <w:p w14:paraId="43D598F4">
            <w:pPr>
              <w:rPr>
                <w:rFonts w:hint="eastAsia" w:ascii="宋体" w:hAnsi="宋体" w:eastAsia="宋体" w:cs="宋体"/>
                <w:i w:val="0"/>
                <w:iCs w:val="0"/>
                <w:caps w:val="0"/>
                <w:color w:val="171A1D"/>
                <w:spacing w:val="0"/>
                <w:sz w:val="24"/>
                <w:szCs w:val="24"/>
                <w:highlight w:val="none"/>
                <w:shd w:val="clear" w:color="auto" w:fill="FFFFFF"/>
                <w:vertAlign w:val="baseline"/>
                <w:lang w:eastAsia="zh-CN"/>
              </w:rPr>
            </w:pPr>
            <w:r>
              <w:rPr>
                <w:rFonts w:hint="eastAsia" w:ascii="宋体" w:hAnsi="宋体" w:eastAsia="宋体" w:cs="宋体"/>
                <w:i w:val="0"/>
                <w:iCs w:val="0"/>
                <w:caps w:val="0"/>
                <w:color w:val="171A1D"/>
                <w:spacing w:val="0"/>
                <w:sz w:val="24"/>
                <w:szCs w:val="24"/>
                <w:highlight w:val="none"/>
                <w:shd w:val="clear" w:color="auto" w:fill="FFFFFF"/>
                <w:vertAlign w:val="baseline"/>
                <w:lang w:val="en-US" w:eastAsia="zh-CN"/>
              </w:rPr>
              <w:t>3、定时范围：0-60min</w:t>
            </w:r>
          </w:p>
        </w:tc>
        <w:tc>
          <w:tcPr>
            <w:tcW w:w="869" w:type="dxa"/>
            <w:noWrap w:val="0"/>
            <w:vAlign w:val="center"/>
          </w:tcPr>
          <w:p w14:paraId="5A11AC25">
            <w:pPr>
              <w:jc w:val="center"/>
              <w:rPr>
                <w:rFonts w:hint="eastAsia" w:ascii="宋体" w:hAnsi="宋体" w:eastAsia="宋体" w:cs="宋体"/>
                <w:i w:val="0"/>
                <w:iCs w:val="0"/>
                <w:caps w:val="0"/>
                <w:color w:val="171A1D"/>
                <w:spacing w:val="0"/>
                <w:sz w:val="24"/>
                <w:szCs w:val="24"/>
                <w:highlight w:val="none"/>
                <w:shd w:val="clear" w:color="auto" w:fill="FFFFFF"/>
                <w:vertAlign w:val="baseline"/>
                <w:lang w:val="en-US" w:eastAsia="zh-CN"/>
              </w:rPr>
            </w:pPr>
            <w:r>
              <w:rPr>
                <w:rFonts w:hint="eastAsia" w:ascii="宋体" w:hAnsi="宋体" w:cs="宋体"/>
                <w:bCs/>
                <w:color w:val="000000" w:themeColor="text1"/>
                <w:kern w:val="0"/>
                <w:sz w:val="24"/>
                <w:highlight w:val="none"/>
                <w:lang w:val="en-US" w:eastAsia="zh-CN"/>
                <w14:textFill>
                  <w14:solidFill>
                    <w14:schemeClr w14:val="tx1"/>
                  </w14:solidFill>
                </w14:textFill>
              </w:rPr>
              <w:t>1套</w:t>
            </w:r>
          </w:p>
        </w:tc>
      </w:tr>
      <w:tr w14:paraId="46BBB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noWrap w:val="0"/>
            <w:vAlign w:val="center"/>
          </w:tcPr>
          <w:p w14:paraId="618AB347">
            <w:pPr>
              <w:jc w:val="center"/>
              <w:rPr>
                <w:rFonts w:hint="default" w:ascii="宋体" w:hAnsi="宋体" w:eastAsia="宋体" w:cs="宋体"/>
                <w:i w:val="0"/>
                <w:iCs w:val="0"/>
                <w:caps w:val="0"/>
                <w:color w:val="171A1D"/>
                <w:spacing w:val="0"/>
                <w:sz w:val="24"/>
                <w:szCs w:val="24"/>
                <w:highlight w:val="none"/>
                <w:shd w:val="clear" w:color="auto" w:fill="FFFFFF"/>
                <w:vertAlign w:val="baseline"/>
                <w:lang w:val="en-US" w:eastAsia="zh-CN"/>
              </w:rPr>
            </w:pPr>
            <w:r>
              <w:rPr>
                <w:rFonts w:hint="eastAsia" w:ascii="宋体" w:hAnsi="宋体" w:eastAsia="宋体" w:cs="宋体"/>
                <w:i w:val="0"/>
                <w:iCs w:val="0"/>
                <w:caps w:val="0"/>
                <w:color w:val="171A1D"/>
                <w:spacing w:val="0"/>
                <w:sz w:val="24"/>
                <w:szCs w:val="24"/>
                <w:highlight w:val="none"/>
                <w:shd w:val="clear" w:color="auto" w:fill="FFFFFF"/>
                <w:vertAlign w:val="baseline"/>
                <w:lang w:val="en-US" w:eastAsia="zh-CN"/>
              </w:rPr>
              <w:t>13</w:t>
            </w:r>
          </w:p>
        </w:tc>
        <w:tc>
          <w:tcPr>
            <w:tcW w:w="1243" w:type="dxa"/>
            <w:noWrap w:val="0"/>
            <w:vAlign w:val="center"/>
          </w:tcPr>
          <w:p w14:paraId="58658693">
            <w:pPr>
              <w:jc w:val="center"/>
              <w:rPr>
                <w:rFonts w:hint="default" w:ascii="宋体" w:hAnsi="宋体" w:eastAsia="宋体" w:cs="宋体"/>
                <w:i w:val="0"/>
                <w:iCs w:val="0"/>
                <w:caps w:val="0"/>
                <w:color w:val="171A1D"/>
                <w:spacing w:val="0"/>
                <w:sz w:val="24"/>
                <w:szCs w:val="24"/>
                <w:highlight w:val="none"/>
                <w:shd w:val="clear" w:color="auto" w:fill="FFFFFF"/>
                <w:lang w:val="en-US" w:eastAsia="zh-CN"/>
              </w:rPr>
            </w:pPr>
            <w:r>
              <w:rPr>
                <w:rFonts w:hint="eastAsia" w:ascii="宋体" w:hAnsi="宋体" w:eastAsia="宋体" w:cs="宋体"/>
                <w:i w:val="0"/>
                <w:iCs w:val="0"/>
                <w:caps w:val="0"/>
                <w:color w:val="171A1D"/>
                <w:spacing w:val="0"/>
                <w:sz w:val="24"/>
                <w:szCs w:val="24"/>
                <w:highlight w:val="none"/>
                <w:shd w:val="clear" w:color="auto" w:fill="FFFFFF"/>
                <w:lang w:val="en-US" w:eastAsia="zh-CN"/>
              </w:rPr>
              <w:t>工作站</w:t>
            </w:r>
          </w:p>
        </w:tc>
        <w:tc>
          <w:tcPr>
            <w:tcW w:w="5625" w:type="dxa"/>
            <w:noWrap w:val="0"/>
            <w:vAlign w:val="top"/>
          </w:tcPr>
          <w:p w14:paraId="325FCDEF">
            <w:pPr>
              <w:rPr>
                <w:rFonts w:hint="eastAsia" w:ascii="宋体" w:hAnsi="宋体" w:eastAsia="宋体" w:cs="宋体"/>
                <w:i w:val="0"/>
                <w:iCs w:val="0"/>
                <w:caps w:val="0"/>
                <w:color w:val="171A1D"/>
                <w:spacing w:val="0"/>
                <w:sz w:val="24"/>
                <w:szCs w:val="24"/>
                <w:highlight w:val="none"/>
                <w:shd w:val="clear" w:color="auto" w:fill="FFFFFF"/>
                <w:vertAlign w:val="baseline"/>
                <w:lang w:eastAsia="zh-CN"/>
              </w:rPr>
            </w:pPr>
            <w:r>
              <w:rPr>
                <w:rFonts w:hint="eastAsia" w:ascii="宋体" w:hAnsi="宋体" w:eastAsia="宋体" w:cs="宋体"/>
                <w:i w:val="0"/>
                <w:iCs w:val="0"/>
                <w:caps w:val="0"/>
                <w:color w:val="171A1D"/>
                <w:spacing w:val="0"/>
                <w:sz w:val="24"/>
                <w:szCs w:val="24"/>
                <w:highlight w:val="none"/>
                <w:shd w:val="clear" w:color="auto" w:fill="FFFFFF"/>
                <w:vertAlign w:val="baseline"/>
                <w:lang w:eastAsia="zh-CN"/>
              </w:rPr>
              <w:t>≥</w:t>
            </w:r>
            <w:r>
              <w:rPr>
                <w:rFonts w:hint="eastAsia" w:ascii="宋体" w:hAnsi="宋体" w:eastAsia="宋体" w:cs="宋体"/>
                <w:i w:val="0"/>
                <w:iCs w:val="0"/>
                <w:caps w:val="0"/>
                <w:color w:val="171A1D"/>
                <w:spacing w:val="0"/>
                <w:sz w:val="24"/>
                <w:szCs w:val="24"/>
                <w:highlight w:val="none"/>
                <w:shd w:val="clear" w:color="auto" w:fill="FFFFFF"/>
                <w:vertAlign w:val="baseline"/>
                <w:lang w:val="en-US" w:eastAsia="zh-CN"/>
              </w:rPr>
              <w:t>19寸显示屏，处理器，</w:t>
            </w:r>
            <w:r>
              <w:rPr>
                <w:rFonts w:hint="eastAsia" w:ascii="宋体" w:hAnsi="宋体" w:eastAsia="宋体" w:cs="宋体"/>
                <w:i w:val="0"/>
                <w:iCs w:val="0"/>
                <w:caps w:val="0"/>
                <w:color w:val="171A1D"/>
                <w:spacing w:val="0"/>
                <w:sz w:val="24"/>
                <w:szCs w:val="24"/>
                <w:highlight w:val="none"/>
                <w:shd w:val="clear" w:color="auto" w:fill="FFFFFF"/>
                <w:vertAlign w:val="baseline"/>
                <w:lang w:eastAsia="zh-CN"/>
              </w:rPr>
              <w:t>≥</w:t>
            </w:r>
            <w:r>
              <w:rPr>
                <w:rFonts w:hint="eastAsia" w:ascii="宋体" w:hAnsi="宋体" w:eastAsia="宋体" w:cs="宋体"/>
                <w:i w:val="0"/>
                <w:iCs w:val="0"/>
                <w:caps w:val="0"/>
                <w:color w:val="171A1D"/>
                <w:spacing w:val="0"/>
                <w:sz w:val="24"/>
                <w:szCs w:val="24"/>
                <w:highlight w:val="none"/>
                <w:shd w:val="clear" w:color="auto" w:fill="FFFFFF"/>
                <w:vertAlign w:val="baseline"/>
                <w:lang w:val="en-US" w:eastAsia="zh-CN"/>
              </w:rPr>
              <w:t>4G内存；</w:t>
            </w:r>
            <w:r>
              <w:rPr>
                <w:rFonts w:hint="eastAsia" w:ascii="宋体" w:hAnsi="宋体" w:eastAsia="宋体" w:cs="宋体"/>
                <w:i w:val="0"/>
                <w:iCs w:val="0"/>
                <w:caps w:val="0"/>
                <w:color w:val="171A1D"/>
                <w:spacing w:val="0"/>
                <w:sz w:val="24"/>
                <w:szCs w:val="24"/>
                <w:highlight w:val="none"/>
                <w:shd w:val="clear" w:color="auto" w:fill="FFFFFF"/>
                <w:vertAlign w:val="baseline"/>
                <w:lang w:eastAsia="zh-CN"/>
              </w:rPr>
              <w:t>≥</w:t>
            </w:r>
            <w:r>
              <w:rPr>
                <w:rFonts w:hint="eastAsia" w:ascii="宋体" w:hAnsi="宋体" w:eastAsia="宋体" w:cs="宋体"/>
                <w:i w:val="0"/>
                <w:iCs w:val="0"/>
                <w:caps w:val="0"/>
                <w:color w:val="171A1D"/>
                <w:spacing w:val="0"/>
                <w:sz w:val="24"/>
                <w:szCs w:val="24"/>
                <w:highlight w:val="none"/>
                <w:shd w:val="clear" w:color="auto" w:fill="FFFFFF"/>
                <w:vertAlign w:val="baseline"/>
                <w:lang w:val="en-US" w:eastAsia="zh-CN"/>
              </w:rPr>
              <w:t>500G硬盘；光电鼠标</w:t>
            </w:r>
          </w:p>
        </w:tc>
        <w:tc>
          <w:tcPr>
            <w:tcW w:w="869" w:type="dxa"/>
            <w:noWrap w:val="0"/>
            <w:vAlign w:val="center"/>
          </w:tcPr>
          <w:p w14:paraId="1C6C18F1">
            <w:pPr>
              <w:jc w:val="center"/>
              <w:rPr>
                <w:rFonts w:hint="eastAsia" w:ascii="宋体" w:hAnsi="宋体" w:eastAsia="宋体" w:cs="宋体"/>
                <w:i w:val="0"/>
                <w:iCs w:val="0"/>
                <w:caps w:val="0"/>
                <w:color w:val="171A1D"/>
                <w:spacing w:val="0"/>
                <w:sz w:val="24"/>
                <w:szCs w:val="24"/>
                <w:highlight w:val="none"/>
                <w:shd w:val="clear" w:color="auto" w:fill="FFFFFF"/>
                <w:vertAlign w:val="baseline"/>
                <w:lang w:eastAsia="zh-CN"/>
              </w:rPr>
            </w:pPr>
            <w:r>
              <w:rPr>
                <w:rFonts w:hint="eastAsia" w:ascii="宋体" w:hAnsi="宋体" w:cs="宋体"/>
                <w:bCs/>
                <w:color w:val="000000" w:themeColor="text1"/>
                <w:kern w:val="0"/>
                <w:sz w:val="24"/>
                <w:highlight w:val="none"/>
                <w:lang w:val="en-US" w:eastAsia="zh-CN"/>
                <w14:textFill>
                  <w14:solidFill>
                    <w14:schemeClr w14:val="tx1"/>
                  </w14:solidFill>
                </w14:textFill>
              </w:rPr>
              <w:t>1套</w:t>
            </w:r>
          </w:p>
        </w:tc>
      </w:tr>
      <w:tr w14:paraId="1E23E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noWrap w:val="0"/>
            <w:vAlign w:val="center"/>
          </w:tcPr>
          <w:p w14:paraId="54090346">
            <w:pPr>
              <w:jc w:val="center"/>
              <w:rPr>
                <w:rFonts w:hint="default" w:ascii="宋体" w:hAnsi="宋体" w:eastAsia="宋体" w:cs="宋体"/>
                <w:i w:val="0"/>
                <w:iCs w:val="0"/>
                <w:caps w:val="0"/>
                <w:color w:val="171A1D"/>
                <w:spacing w:val="0"/>
                <w:sz w:val="24"/>
                <w:szCs w:val="24"/>
                <w:highlight w:val="none"/>
                <w:shd w:val="clear" w:color="auto" w:fill="FFFFFF"/>
                <w:vertAlign w:val="baseline"/>
                <w:lang w:val="en-US" w:eastAsia="zh-CN"/>
              </w:rPr>
            </w:pPr>
            <w:r>
              <w:rPr>
                <w:rFonts w:hint="eastAsia" w:ascii="宋体" w:hAnsi="宋体" w:eastAsia="宋体" w:cs="宋体"/>
                <w:i w:val="0"/>
                <w:iCs w:val="0"/>
                <w:caps w:val="0"/>
                <w:color w:val="171A1D"/>
                <w:spacing w:val="0"/>
                <w:sz w:val="24"/>
                <w:szCs w:val="24"/>
                <w:highlight w:val="none"/>
                <w:shd w:val="clear" w:color="auto" w:fill="FFFFFF"/>
                <w:vertAlign w:val="baseline"/>
                <w:lang w:val="en-US" w:eastAsia="zh-CN"/>
              </w:rPr>
              <w:t>14</w:t>
            </w:r>
          </w:p>
        </w:tc>
        <w:tc>
          <w:tcPr>
            <w:tcW w:w="1243" w:type="dxa"/>
            <w:noWrap w:val="0"/>
            <w:vAlign w:val="center"/>
          </w:tcPr>
          <w:p w14:paraId="71883673">
            <w:pPr>
              <w:jc w:val="center"/>
              <w:rPr>
                <w:rFonts w:hint="eastAsia" w:ascii="宋体" w:hAnsi="宋体" w:eastAsia="宋体" w:cs="宋体"/>
                <w:i w:val="0"/>
                <w:iCs w:val="0"/>
                <w:caps w:val="0"/>
                <w:color w:val="171A1D"/>
                <w:spacing w:val="0"/>
                <w:sz w:val="24"/>
                <w:szCs w:val="24"/>
                <w:highlight w:val="none"/>
                <w:shd w:val="clear" w:color="auto" w:fill="FFFFFF"/>
              </w:rPr>
            </w:pPr>
            <w:r>
              <w:rPr>
                <w:rFonts w:hint="eastAsia" w:ascii="宋体" w:hAnsi="宋体" w:eastAsia="宋体" w:cs="宋体"/>
                <w:i w:val="0"/>
                <w:iCs w:val="0"/>
                <w:caps w:val="0"/>
                <w:color w:val="171A1D"/>
                <w:spacing w:val="0"/>
                <w:sz w:val="24"/>
                <w:szCs w:val="24"/>
                <w:highlight w:val="none"/>
                <w:shd w:val="clear" w:color="auto" w:fill="FFFFFF"/>
              </w:rPr>
              <w:t>冰箱</w:t>
            </w:r>
          </w:p>
        </w:tc>
        <w:tc>
          <w:tcPr>
            <w:tcW w:w="5625" w:type="dxa"/>
            <w:noWrap w:val="0"/>
            <w:vAlign w:val="top"/>
          </w:tcPr>
          <w:p w14:paraId="7548C927">
            <w:pPr>
              <w:rPr>
                <w:rFonts w:hint="eastAsia" w:ascii="宋体" w:hAnsi="宋体" w:eastAsia="宋体" w:cs="宋体"/>
                <w:i w:val="0"/>
                <w:iCs w:val="0"/>
                <w:caps w:val="0"/>
                <w:color w:val="171A1D"/>
                <w:spacing w:val="0"/>
                <w:sz w:val="24"/>
                <w:szCs w:val="24"/>
                <w:highlight w:val="none"/>
                <w:shd w:val="clear" w:color="auto" w:fill="FFFFFF"/>
                <w:vertAlign w:val="baseline"/>
                <w:lang w:eastAsia="zh-CN"/>
              </w:rPr>
            </w:pPr>
            <w:r>
              <w:rPr>
                <w:rFonts w:hint="eastAsia" w:ascii="宋体" w:hAnsi="宋体" w:eastAsia="宋体" w:cs="宋体"/>
                <w:i w:val="0"/>
                <w:iCs w:val="0"/>
                <w:caps w:val="0"/>
                <w:color w:val="171A1D"/>
                <w:spacing w:val="0"/>
                <w:sz w:val="24"/>
                <w:szCs w:val="24"/>
                <w:highlight w:val="none"/>
                <w:shd w:val="clear" w:color="auto" w:fill="FFFFFF"/>
                <w:vertAlign w:val="baseline"/>
                <w:lang w:eastAsia="zh-CN"/>
              </w:rPr>
              <w:t>小型冰箱即可（需满足试剂专用冷冻、样品专用存放冷藏），容量不小于</w:t>
            </w:r>
            <w:r>
              <w:rPr>
                <w:rFonts w:hint="eastAsia" w:ascii="宋体" w:hAnsi="宋体" w:eastAsia="宋体" w:cs="宋体"/>
                <w:i w:val="0"/>
                <w:iCs w:val="0"/>
                <w:caps w:val="0"/>
                <w:color w:val="171A1D"/>
                <w:spacing w:val="0"/>
                <w:sz w:val="24"/>
                <w:szCs w:val="24"/>
                <w:highlight w:val="none"/>
                <w:shd w:val="clear" w:color="auto" w:fill="FFFFFF"/>
                <w:vertAlign w:val="baseline"/>
                <w:lang w:val="en-US" w:eastAsia="zh-CN"/>
              </w:rPr>
              <w:t>25L，</w:t>
            </w:r>
            <w:r>
              <w:rPr>
                <w:rFonts w:hint="eastAsia" w:ascii="宋体" w:hAnsi="宋体" w:eastAsia="宋体" w:cs="宋体"/>
                <w:i w:val="0"/>
                <w:iCs w:val="0"/>
                <w:caps w:val="0"/>
                <w:color w:val="171A1D"/>
                <w:spacing w:val="0"/>
                <w:sz w:val="24"/>
                <w:szCs w:val="24"/>
                <w:highlight w:val="none"/>
                <w:shd w:val="clear" w:color="auto" w:fill="FFFFFF"/>
                <w:vertAlign w:val="baseline"/>
                <w:lang w:eastAsia="zh-CN"/>
              </w:rPr>
              <w:t>电源</w:t>
            </w:r>
            <w:r>
              <w:rPr>
                <w:rFonts w:hint="eastAsia" w:ascii="宋体" w:hAnsi="宋体" w:eastAsia="宋体" w:cs="宋体"/>
                <w:i w:val="0"/>
                <w:iCs w:val="0"/>
                <w:caps w:val="0"/>
                <w:color w:val="171A1D"/>
                <w:spacing w:val="0"/>
                <w:sz w:val="24"/>
                <w:szCs w:val="24"/>
                <w:highlight w:val="none"/>
                <w:shd w:val="clear" w:color="auto" w:fill="FFFFFF"/>
                <w:vertAlign w:val="baseline"/>
                <w:lang w:val="en-US" w:eastAsia="zh-CN"/>
              </w:rPr>
              <w:t>220V</w:t>
            </w:r>
          </w:p>
        </w:tc>
        <w:tc>
          <w:tcPr>
            <w:tcW w:w="869" w:type="dxa"/>
            <w:noWrap w:val="0"/>
            <w:vAlign w:val="center"/>
          </w:tcPr>
          <w:p w14:paraId="544001E9">
            <w:pPr>
              <w:jc w:val="center"/>
              <w:rPr>
                <w:rFonts w:hint="eastAsia" w:ascii="宋体" w:hAnsi="宋体" w:eastAsia="宋体" w:cs="宋体"/>
                <w:i w:val="0"/>
                <w:iCs w:val="0"/>
                <w:caps w:val="0"/>
                <w:color w:val="171A1D"/>
                <w:spacing w:val="0"/>
                <w:sz w:val="24"/>
                <w:szCs w:val="24"/>
                <w:highlight w:val="none"/>
                <w:shd w:val="clear" w:color="auto" w:fill="FFFFFF"/>
                <w:vertAlign w:val="baseline"/>
                <w:lang w:eastAsia="zh-CN"/>
              </w:rPr>
            </w:pPr>
            <w:r>
              <w:rPr>
                <w:rFonts w:hint="eastAsia" w:ascii="宋体" w:hAnsi="宋体" w:eastAsia="宋体" w:cs="宋体"/>
                <w:i w:val="0"/>
                <w:iCs w:val="0"/>
                <w:caps w:val="0"/>
                <w:color w:val="171A1D"/>
                <w:spacing w:val="0"/>
                <w:sz w:val="24"/>
                <w:szCs w:val="24"/>
                <w:highlight w:val="none"/>
                <w:shd w:val="clear" w:color="auto" w:fill="FFFFFF"/>
              </w:rPr>
              <w:t>2个</w:t>
            </w:r>
          </w:p>
        </w:tc>
      </w:tr>
      <w:tr w14:paraId="5A20C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noWrap w:val="0"/>
            <w:vAlign w:val="center"/>
          </w:tcPr>
          <w:p w14:paraId="6B42CCBC">
            <w:pPr>
              <w:jc w:val="center"/>
              <w:rPr>
                <w:rFonts w:hint="default" w:ascii="宋体" w:hAnsi="宋体" w:eastAsia="宋体" w:cs="宋体"/>
                <w:i w:val="0"/>
                <w:iCs w:val="0"/>
                <w:caps w:val="0"/>
                <w:color w:val="171A1D"/>
                <w:spacing w:val="0"/>
                <w:sz w:val="24"/>
                <w:szCs w:val="24"/>
                <w:highlight w:val="none"/>
                <w:shd w:val="clear" w:color="auto" w:fill="FFFFFF"/>
                <w:vertAlign w:val="baseline"/>
                <w:lang w:val="en-US" w:eastAsia="zh-CN"/>
              </w:rPr>
            </w:pPr>
            <w:r>
              <w:rPr>
                <w:rFonts w:hint="eastAsia" w:ascii="宋体" w:hAnsi="宋体" w:eastAsia="宋体" w:cs="宋体"/>
                <w:i w:val="0"/>
                <w:iCs w:val="0"/>
                <w:caps w:val="0"/>
                <w:color w:val="171A1D"/>
                <w:spacing w:val="0"/>
                <w:sz w:val="24"/>
                <w:szCs w:val="24"/>
                <w:highlight w:val="none"/>
                <w:shd w:val="clear" w:color="auto" w:fill="FFFFFF"/>
                <w:vertAlign w:val="baseline"/>
                <w:lang w:val="en-US" w:eastAsia="zh-CN"/>
              </w:rPr>
              <w:t>15</w:t>
            </w:r>
          </w:p>
        </w:tc>
        <w:tc>
          <w:tcPr>
            <w:tcW w:w="1243" w:type="dxa"/>
            <w:noWrap w:val="0"/>
            <w:vAlign w:val="center"/>
          </w:tcPr>
          <w:p w14:paraId="76D4806B">
            <w:pPr>
              <w:jc w:val="center"/>
              <w:rPr>
                <w:rFonts w:hint="eastAsia" w:ascii="宋体" w:hAnsi="宋体" w:eastAsia="宋体" w:cs="宋体"/>
                <w:i w:val="0"/>
                <w:iCs w:val="0"/>
                <w:caps w:val="0"/>
                <w:color w:val="171A1D"/>
                <w:spacing w:val="0"/>
                <w:sz w:val="24"/>
                <w:szCs w:val="24"/>
                <w:highlight w:val="none"/>
                <w:shd w:val="clear" w:color="auto" w:fill="FFFFFF"/>
              </w:rPr>
            </w:pPr>
            <w:r>
              <w:rPr>
                <w:rFonts w:hint="eastAsia" w:ascii="宋体" w:hAnsi="宋体" w:eastAsia="宋体" w:cs="宋体"/>
                <w:i w:val="0"/>
                <w:iCs w:val="0"/>
                <w:caps w:val="0"/>
                <w:color w:val="171A1D"/>
                <w:spacing w:val="0"/>
                <w:sz w:val="24"/>
                <w:szCs w:val="24"/>
                <w:highlight w:val="none"/>
                <w:shd w:val="clear" w:color="auto" w:fill="FFFFFF"/>
              </w:rPr>
              <w:t>实验操作台</w:t>
            </w:r>
          </w:p>
        </w:tc>
        <w:tc>
          <w:tcPr>
            <w:tcW w:w="5625" w:type="dxa"/>
            <w:noWrap w:val="0"/>
            <w:vAlign w:val="top"/>
          </w:tcPr>
          <w:p w14:paraId="34A99C97">
            <w:pPr>
              <w:rPr>
                <w:rFonts w:hint="eastAsia" w:ascii="宋体" w:hAnsi="宋体" w:eastAsia="宋体" w:cs="宋体"/>
                <w:i w:val="0"/>
                <w:iCs w:val="0"/>
                <w:caps w:val="0"/>
                <w:color w:val="171A1D"/>
                <w:spacing w:val="0"/>
                <w:sz w:val="24"/>
                <w:szCs w:val="24"/>
                <w:highlight w:val="none"/>
                <w:shd w:val="clear" w:color="auto" w:fill="FFFFFF"/>
                <w:vertAlign w:val="baseline"/>
                <w:lang w:eastAsia="zh-CN"/>
              </w:rPr>
            </w:pPr>
            <w:r>
              <w:rPr>
                <w:rFonts w:hint="eastAsia" w:ascii="宋体" w:hAnsi="宋体" w:eastAsia="宋体" w:cs="宋体"/>
                <w:i w:val="0"/>
                <w:iCs w:val="0"/>
                <w:caps w:val="0"/>
                <w:color w:val="171A1D"/>
                <w:spacing w:val="0"/>
                <w:sz w:val="24"/>
                <w:szCs w:val="24"/>
                <w:highlight w:val="none"/>
                <w:shd w:val="clear" w:color="auto" w:fill="FFFFFF"/>
                <w:vertAlign w:val="baseline"/>
                <w:lang w:val="en-US" w:eastAsia="zh-CN"/>
              </w:rPr>
              <w:t>1、</w:t>
            </w:r>
            <w:r>
              <w:rPr>
                <w:rFonts w:hint="eastAsia" w:ascii="宋体" w:hAnsi="宋体" w:eastAsia="宋体" w:cs="宋体"/>
                <w:i w:val="0"/>
                <w:iCs w:val="0"/>
                <w:caps w:val="0"/>
                <w:color w:val="171A1D"/>
                <w:spacing w:val="0"/>
                <w:sz w:val="24"/>
                <w:szCs w:val="24"/>
                <w:highlight w:val="none"/>
                <w:shd w:val="clear" w:color="auto" w:fill="FFFFFF"/>
                <w:vertAlign w:val="baseline"/>
                <w:lang w:eastAsia="zh-CN"/>
              </w:rPr>
              <w:t>台面</w:t>
            </w:r>
          </w:p>
          <w:p w14:paraId="28D29A6B">
            <w:pPr>
              <w:rPr>
                <w:rFonts w:hint="eastAsia" w:ascii="宋体" w:hAnsi="宋体" w:eastAsia="宋体" w:cs="宋体"/>
                <w:i w:val="0"/>
                <w:iCs w:val="0"/>
                <w:caps w:val="0"/>
                <w:color w:val="171A1D"/>
                <w:spacing w:val="0"/>
                <w:sz w:val="24"/>
                <w:szCs w:val="24"/>
                <w:highlight w:val="none"/>
                <w:shd w:val="clear" w:color="auto" w:fill="FFFFFF"/>
                <w:vertAlign w:val="baseline"/>
                <w:lang w:val="en-US" w:eastAsia="zh-CN"/>
              </w:rPr>
            </w:pPr>
            <w:r>
              <w:rPr>
                <w:rFonts w:hint="eastAsia" w:ascii="宋体" w:hAnsi="宋体" w:eastAsia="宋体" w:cs="宋体"/>
                <w:i w:val="0"/>
                <w:iCs w:val="0"/>
                <w:caps w:val="0"/>
                <w:color w:val="171A1D"/>
                <w:spacing w:val="0"/>
                <w:sz w:val="24"/>
                <w:szCs w:val="24"/>
                <w:highlight w:val="none"/>
                <w:shd w:val="clear" w:color="auto" w:fill="FFFFFF"/>
                <w:vertAlign w:val="baseline"/>
                <w:lang w:val="en-US" w:eastAsia="zh-CN"/>
              </w:rPr>
              <w:t>1.1</w:t>
            </w:r>
            <w:r>
              <w:rPr>
                <w:rFonts w:hint="eastAsia" w:ascii="宋体" w:hAnsi="宋体" w:eastAsia="宋体" w:cs="宋体"/>
                <w:i w:val="0"/>
                <w:iCs w:val="0"/>
                <w:caps w:val="0"/>
                <w:color w:val="171A1D"/>
                <w:spacing w:val="0"/>
                <w:sz w:val="24"/>
                <w:szCs w:val="24"/>
                <w:highlight w:val="none"/>
                <w:shd w:val="clear" w:color="auto" w:fill="FFFFFF"/>
                <w:vertAlign w:val="baseline"/>
                <w:lang w:eastAsia="zh-CN"/>
              </w:rPr>
              <w:t>尺寸：长度不少于</w:t>
            </w:r>
            <w:r>
              <w:rPr>
                <w:rFonts w:hint="eastAsia" w:ascii="宋体" w:hAnsi="宋体" w:eastAsia="宋体" w:cs="宋体"/>
                <w:i w:val="0"/>
                <w:iCs w:val="0"/>
                <w:caps w:val="0"/>
                <w:color w:val="171A1D"/>
                <w:spacing w:val="0"/>
                <w:sz w:val="24"/>
                <w:szCs w:val="24"/>
                <w:highlight w:val="none"/>
                <w:shd w:val="clear" w:color="auto" w:fill="FFFFFF"/>
                <w:vertAlign w:val="baseline"/>
                <w:lang w:val="en-US" w:eastAsia="zh-CN"/>
              </w:rPr>
              <w:t>300cm，厚度12cm，宽70cm</w:t>
            </w:r>
          </w:p>
          <w:p w14:paraId="6615BF4B">
            <w:pPr>
              <w:rPr>
                <w:rFonts w:hint="eastAsia" w:ascii="宋体" w:hAnsi="宋体" w:eastAsia="宋体" w:cs="宋体"/>
                <w:i w:val="0"/>
                <w:iCs w:val="0"/>
                <w:caps w:val="0"/>
                <w:color w:val="171A1D"/>
                <w:spacing w:val="0"/>
                <w:sz w:val="24"/>
                <w:szCs w:val="24"/>
                <w:highlight w:val="none"/>
                <w:shd w:val="clear" w:color="auto" w:fill="FFFFFF"/>
                <w:vertAlign w:val="baseline"/>
                <w:lang w:eastAsia="zh-CN"/>
              </w:rPr>
            </w:pPr>
            <w:r>
              <w:rPr>
                <w:rFonts w:hint="eastAsia" w:ascii="宋体" w:hAnsi="宋体" w:eastAsia="宋体" w:cs="宋体"/>
                <w:i w:val="0"/>
                <w:iCs w:val="0"/>
                <w:caps w:val="0"/>
                <w:color w:val="171A1D"/>
                <w:spacing w:val="0"/>
                <w:sz w:val="24"/>
                <w:szCs w:val="24"/>
                <w:highlight w:val="none"/>
                <w:shd w:val="clear" w:color="auto" w:fill="FFFFFF"/>
                <w:vertAlign w:val="baseline"/>
                <w:lang w:val="en-US" w:eastAsia="zh-CN"/>
              </w:rPr>
              <w:t>1.2</w:t>
            </w:r>
            <w:r>
              <w:rPr>
                <w:rFonts w:hint="eastAsia" w:ascii="宋体" w:hAnsi="宋体" w:eastAsia="宋体" w:cs="宋体"/>
                <w:i w:val="0"/>
                <w:iCs w:val="0"/>
                <w:caps w:val="0"/>
                <w:color w:val="171A1D"/>
                <w:spacing w:val="0"/>
                <w:sz w:val="24"/>
                <w:szCs w:val="24"/>
                <w:highlight w:val="none"/>
                <w:shd w:val="clear" w:color="auto" w:fill="FFFFFF"/>
                <w:vertAlign w:val="baseline"/>
                <w:lang w:eastAsia="zh-CN"/>
              </w:rPr>
              <w:t>用料：理化板，具有耐腐蚀、耐各种强酸碱和有机溶剂的侵蚀，有韧性、耐冲击、防水、抗细菌生长、不含有毒物质，无辐射，健康环保防静电。</w:t>
            </w:r>
          </w:p>
          <w:p w14:paraId="687DC7B1">
            <w:pPr>
              <w:rPr>
                <w:rFonts w:hint="eastAsia" w:ascii="宋体" w:hAnsi="宋体" w:eastAsia="宋体" w:cs="宋体"/>
                <w:i w:val="0"/>
                <w:iCs w:val="0"/>
                <w:caps w:val="0"/>
                <w:color w:val="171A1D"/>
                <w:spacing w:val="0"/>
                <w:sz w:val="24"/>
                <w:szCs w:val="24"/>
                <w:highlight w:val="none"/>
                <w:shd w:val="clear" w:color="auto" w:fill="FFFFFF"/>
                <w:vertAlign w:val="baseline"/>
                <w:lang w:eastAsia="zh-CN"/>
              </w:rPr>
            </w:pPr>
            <w:r>
              <w:rPr>
                <w:rFonts w:hint="eastAsia" w:ascii="宋体" w:hAnsi="宋体" w:eastAsia="宋体" w:cs="宋体"/>
                <w:i w:val="0"/>
                <w:iCs w:val="0"/>
                <w:caps w:val="0"/>
                <w:color w:val="171A1D"/>
                <w:spacing w:val="0"/>
                <w:sz w:val="24"/>
                <w:szCs w:val="24"/>
                <w:highlight w:val="none"/>
                <w:shd w:val="clear" w:color="auto" w:fill="FFFFFF"/>
                <w:vertAlign w:val="baseline"/>
                <w:lang w:val="en-US" w:eastAsia="zh-CN"/>
              </w:rPr>
              <w:t>1.3</w:t>
            </w:r>
            <w:r>
              <w:rPr>
                <w:rFonts w:hint="eastAsia" w:ascii="宋体" w:hAnsi="宋体" w:eastAsia="宋体" w:cs="宋体"/>
                <w:i w:val="0"/>
                <w:iCs w:val="0"/>
                <w:caps w:val="0"/>
                <w:color w:val="171A1D"/>
                <w:spacing w:val="0"/>
                <w:sz w:val="24"/>
                <w:szCs w:val="24"/>
                <w:highlight w:val="none"/>
                <w:shd w:val="clear" w:color="auto" w:fill="FFFFFF"/>
                <w:vertAlign w:val="baseline"/>
                <w:lang w:eastAsia="zh-CN"/>
              </w:rPr>
              <w:t xml:space="preserve">颜色：黑色； </w:t>
            </w:r>
          </w:p>
          <w:p w14:paraId="766B4C7F">
            <w:pPr>
              <w:rPr>
                <w:rFonts w:hint="eastAsia" w:ascii="宋体" w:hAnsi="宋体" w:eastAsia="宋体" w:cs="宋体"/>
                <w:i w:val="0"/>
                <w:iCs w:val="0"/>
                <w:caps w:val="0"/>
                <w:color w:val="171A1D"/>
                <w:spacing w:val="0"/>
                <w:sz w:val="24"/>
                <w:szCs w:val="24"/>
                <w:highlight w:val="none"/>
                <w:shd w:val="clear" w:color="auto" w:fill="FFFFFF"/>
                <w:vertAlign w:val="baseline"/>
                <w:lang w:eastAsia="zh-CN"/>
              </w:rPr>
            </w:pPr>
            <w:r>
              <w:rPr>
                <w:rFonts w:hint="eastAsia" w:ascii="宋体" w:hAnsi="宋体" w:eastAsia="宋体" w:cs="宋体"/>
                <w:i w:val="0"/>
                <w:iCs w:val="0"/>
                <w:caps w:val="0"/>
                <w:color w:val="171A1D"/>
                <w:spacing w:val="0"/>
                <w:sz w:val="24"/>
                <w:szCs w:val="24"/>
                <w:highlight w:val="none"/>
                <w:shd w:val="clear" w:color="auto" w:fill="FFFFFF"/>
                <w:vertAlign w:val="baseline"/>
                <w:lang w:val="en-US" w:eastAsia="zh-CN"/>
              </w:rPr>
              <w:t>2、</w:t>
            </w:r>
            <w:r>
              <w:rPr>
                <w:rFonts w:hint="eastAsia" w:ascii="宋体" w:hAnsi="宋体" w:eastAsia="宋体" w:cs="宋体"/>
                <w:i w:val="0"/>
                <w:iCs w:val="0"/>
                <w:caps w:val="0"/>
                <w:color w:val="171A1D"/>
                <w:spacing w:val="0"/>
                <w:sz w:val="24"/>
                <w:szCs w:val="24"/>
                <w:highlight w:val="none"/>
                <w:shd w:val="clear" w:color="auto" w:fill="FFFFFF"/>
                <w:vertAlign w:val="baseline"/>
                <w:lang w:eastAsia="zh-CN"/>
              </w:rPr>
              <w:t>地柜</w:t>
            </w:r>
          </w:p>
          <w:p w14:paraId="6D32BE10">
            <w:pPr>
              <w:rPr>
                <w:rFonts w:hint="eastAsia" w:ascii="宋体" w:hAnsi="宋体" w:eastAsia="宋体" w:cs="宋体"/>
                <w:i w:val="0"/>
                <w:iCs w:val="0"/>
                <w:caps w:val="0"/>
                <w:color w:val="171A1D"/>
                <w:spacing w:val="0"/>
                <w:sz w:val="24"/>
                <w:szCs w:val="24"/>
                <w:highlight w:val="none"/>
                <w:shd w:val="clear" w:color="auto" w:fill="FFFFFF"/>
                <w:vertAlign w:val="baseline"/>
                <w:lang w:val="en-US" w:eastAsia="zh-CN"/>
              </w:rPr>
            </w:pPr>
            <w:r>
              <w:rPr>
                <w:rFonts w:hint="eastAsia" w:ascii="宋体" w:hAnsi="宋体" w:eastAsia="宋体" w:cs="宋体"/>
                <w:i w:val="0"/>
                <w:iCs w:val="0"/>
                <w:caps w:val="0"/>
                <w:color w:val="171A1D"/>
                <w:spacing w:val="0"/>
                <w:sz w:val="24"/>
                <w:szCs w:val="24"/>
                <w:highlight w:val="none"/>
                <w:shd w:val="clear" w:color="auto" w:fill="FFFFFF"/>
                <w:vertAlign w:val="baseline"/>
                <w:lang w:val="en-US" w:eastAsia="zh-CN"/>
              </w:rPr>
              <w:t>2.1</w:t>
            </w:r>
            <w:r>
              <w:rPr>
                <w:rFonts w:hint="eastAsia" w:ascii="宋体" w:hAnsi="宋体" w:eastAsia="宋体" w:cs="宋体"/>
                <w:i w:val="0"/>
                <w:iCs w:val="0"/>
                <w:caps w:val="0"/>
                <w:color w:val="171A1D"/>
                <w:spacing w:val="0"/>
                <w:sz w:val="24"/>
                <w:szCs w:val="24"/>
                <w:highlight w:val="none"/>
                <w:shd w:val="clear" w:color="auto" w:fill="FFFFFF"/>
                <w:vertAlign w:val="baseline"/>
                <w:lang w:eastAsia="zh-CN"/>
              </w:rPr>
              <w:t>尺寸：高度</w:t>
            </w:r>
            <w:r>
              <w:rPr>
                <w:rFonts w:hint="eastAsia" w:ascii="宋体" w:hAnsi="宋体" w:eastAsia="宋体" w:cs="宋体"/>
                <w:i w:val="0"/>
                <w:iCs w:val="0"/>
                <w:caps w:val="0"/>
                <w:color w:val="171A1D"/>
                <w:spacing w:val="0"/>
                <w:sz w:val="24"/>
                <w:szCs w:val="24"/>
                <w:highlight w:val="none"/>
                <w:shd w:val="clear" w:color="auto" w:fill="FFFFFF"/>
                <w:vertAlign w:val="baseline"/>
                <w:lang w:val="en-US" w:eastAsia="zh-CN"/>
              </w:rPr>
              <w:t>80cm（误差3cm），深度68cm</w:t>
            </w:r>
          </w:p>
          <w:p w14:paraId="590E6B71">
            <w:pPr>
              <w:rPr>
                <w:rFonts w:hint="eastAsia" w:ascii="宋体" w:hAnsi="宋体" w:eastAsia="宋体" w:cs="宋体"/>
                <w:i w:val="0"/>
                <w:iCs w:val="0"/>
                <w:caps w:val="0"/>
                <w:color w:val="171A1D"/>
                <w:spacing w:val="0"/>
                <w:sz w:val="24"/>
                <w:szCs w:val="24"/>
                <w:highlight w:val="none"/>
                <w:shd w:val="clear" w:color="auto" w:fill="FFFFFF"/>
                <w:vertAlign w:val="baseline"/>
                <w:lang w:val="en-US" w:eastAsia="zh-CN"/>
              </w:rPr>
            </w:pPr>
            <w:r>
              <w:rPr>
                <w:rFonts w:hint="eastAsia" w:ascii="宋体" w:hAnsi="宋体" w:eastAsia="宋体" w:cs="宋体"/>
                <w:i w:val="0"/>
                <w:iCs w:val="0"/>
                <w:caps w:val="0"/>
                <w:color w:val="171A1D"/>
                <w:spacing w:val="0"/>
                <w:sz w:val="24"/>
                <w:szCs w:val="24"/>
                <w:highlight w:val="none"/>
                <w:shd w:val="clear" w:color="auto" w:fill="FFFFFF"/>
                <w:vertAlign w:val="baseline"/>
                <w:lang w:val="en-US" w:eastAsia="zh-CN"/>
              </w:rPr>
              <w:t>2.2</w:t>
            </w:r>
            <w:r>
              <w:rPr>
                <w:rFonts w:hint="eastAsia" w:ascii="宋体" w:hAnsi="宋体" w:eastAsia="宋体" w:cs="宋体"/>
                <w:i w:val="0"/>
                <w:iCs w:val="0"/>
                <w:caps w:val="0"/>
                <w:color w:val="171A1D"/>
                <w:spacing w:val="0"/>
                <w:sz w:val="24"/>
                <w:szCs w:val="24"/>
                <w:highlight w:val="none"/>
                <w:shd w:val="clear" w:color="auto" w:fill="FFFFFF"/>
                <w:vertAlign w:val="baseline"/>
                <w:lang w:eastAsia="zh-CN"/>
              </w:rPr>
              <w:t>板材：采用</w:t>
            </w:r>
            <w:r>
              <w:rPr>
                <w:rFonts w:hint="eastAsia" w:ascii="宋体" w:hAnsi="宋体" w:eastAsia="宋体" w:cs="宋体"/>
                <w:i w:val="0"/>
                <w:iCs w:val="0"/>
                <w:caps w:val="0"/>
                <w:color w:val="171A1D"/>
                <w:spacing w:val="0"/>
                <w:sz w:val="24"/>
                <w:szCs w:val="24"/>
                <w:highlight w:val="none"/>
                <w:shd w:val="clear" w:color="auto" w:fill="FFFFFF"/>
                <w:vertAlign w:val="baseline"/>
                <w:lang w:val="en-US" w:eastAsia="zh-CN"/>
              </w:rPr>
              <w:t>18mm厚三聚氰胺防潮中纤板（环保E1级），表面粘压0.7mm防火板。所有断面经优质PVC封</w:t>
            </w:r>
            <w:r>
              <w:rPr>
                <w:rFonts w:hint="eastAsia" w:ascii="宋体" w:hAnsi="宋体" w:cs="宋体"/>
                <w:i w:val="0"/>
                <w:iCs w:val="0"/>
                <w:caps w:val="0"/>
                <w:color w:val="171A1D"/>
                <w:spacing w:val="0"/>
                <w:sz w:val="24"/>
                <w:szCs w:val="24"/>
                <w:highlight w:val="none"/>
                <w:shd w:val="clear" w:color="auto" w:fill="FFFFFF"/>
                <w:vertAlign w:val="baseline"/>
                <w:lang w:val="en-US" w:eastAsia="zh-CN"/>
              </w:rPr>
              <w:t>边防</w:t>
            </w:r>
            <w:r>
              <w:rPr>
                <w:rFonts w:hint="eastAsia" w:ascii="宋体" w:hAnsi="宋体" w:eastAsia="宋体" w:cs="宋体"/>
                <w:i w:val="0"/>
                <w:iCs w:val="0"/>
                <w:caps w:val="0"/>
                <w:color w:val="171A1D"/>
                <w:spacing w:val="0"/>
                <w:sz w:val="24"/>
                <w:szCs w:val="24"/>
                <w:highlight w:val="none"/>
                <w:shd w:val="clear" w:color="auto" w:fill="FFFFFF"/>
                <w:vertAlign w:val="baseline"/>
                <w:lang w:val="en-US" w:eastAsia="zh-CN"/>
              </w:rPr>
              <w:t>水处理，四边挑角圆滑处理。</w:t>
            </w:r>
          </w:p>
          <w:p w14:paraId="4DFE7D28">
            <w:pPr>
              <w:rPr>
                <w:rFonts w:hint="eastAsia" w:ascii="宋体" w:hAnsi="宋体" w:eastAsia="宋体" w:cs="宋体"/>
                <w:i w:val="0"/>
                <w:iCs w:val="0"/>
                <w:caps w:val="0"/>
                <w:color w:val="171A1D"/>
                <w:spacing w:val="0"/>
                <w:sz w:val="24"/>
                <w:szCs w:val="24"/>
                <w:highlight w:val="none"/>
                <w:shd w:val="clear" w:color="auto" w:fill="FFFFFF"/>
                <w:vertAlign w:val="baseline"/>
                <w:lang w:val="en-US" w:eastAsia="zh-CN"/>
              </w:rPr>
            </w:pPr>
            <w:r>
              <w:rPr>
                <w:rFonts w:hint="eastAsia" w:ascii="宋体" w:hAnsi="宋体" w:eastAsia="宋体" w:cs="宋体"/>
                <w:i w:val="0"/>
                <w:iCs w:val="0"/>
                <w:caps w:val="0"/>
                <w:color w:val="171A1D"/>
                <w:spacing w:val="0"/>
                <w:sz w:val="24"/>
                <w:szCs w:val="24"/>
                <w:highlight w:val="none"/>
                <w:shd w:val="clear" w:color="auto" w:fill="FFFFFF"/>
                <w:vertAlign w:val="baseline"/>
                <w:lang w:val="en-US" w:eastAsia="zh-CN"/>
              </w:rPr>
              <w:t>2.3抽屉：抽屉面板材质同门板，底板用8mm厚三聚氰胺板，其他材质同柜身；两侧采用三节式导轨，伸缩自如，存放或取物品简便。采用铝合金拉手，DTC全开105度铰链。</w:t>
            </w:r>
            <w:r>
              <w:rPr>
                <w:rFonts w:hint="eastAsia" w:ascii="宋体" w:hAnsi="宋体" w:eastAsia="宋体" w:cs="宋体"/>
                <w:i w:val="0"/>
                <w:iCs w:val="0"/>
                <w:caps w:val="0"/>
                <w:color w:val="171A1D"/>
                <w:spacing w:val="0"/>
                <w:sz w:val="24"/>
                <w:szCs w:val="24"/>
                <w:highlight w:val="none"/>
                <w:shd w:val="clear" w:color="auto" w:fill="FFFFFF"/>
                <w:vertAlign w:val="baseline"/>
                <w:lang w:eastAsia="zh-CN"/>
              </w:rPr>
              <w:t>抽屉抽出后下垂≤20mm，摆动≤10mm</w:t>
            </w:r>
          </w:p>
          <w:p w14:paraId="4D963821">
            <w:pPr>
              <w:rPr>
                <w:rFonts w:hint="eastAsia" w:ascii="宋体" w:hAnsi="宋体" w:eastAsia="宋体" w:cs="宋体"/>
                <w:i w:val="0"/>
                <w:iCs w:val="0"/>
                <w:caps w:val="0"/>
                <w:color w:val="171A1D"/>
                <w:spacing w:val="0"/>
                <w:sz w:val="24"/>
                <w:szCs w:val="24"/>
                <w:highlight w:val="none"/>
                <w:shd w:val="clear" w:color="auto" w:fill="FFFFFF"/>
                <w:vertAlign w:val="baseline"/>
                <w:lang w:val="en-US" w:eastAsia="zh-CN"/>
              </w:rPr>
            </w:pPr>
            <w:r>
              <w:rPr>
                <w:rFonts w:hint="eastAsia" w:ascii="宋体" w:hAnsi="宋体" w:eastAsia="宋体" w:cs="宋体"/>
                <w:i w:val="0"/>
                <w:iCs w:val="0"/>
                <w:caps w:val="0"/>
                <w:color w:val="171A1D"/>
                <w:spacing w:val="0"/>
                <w:sz w:val="24"/>
                <w:szCs w:val="24"/>
                <w:highlight w:val="none"/>
                <w:shd w:val="clear" w:color="auto" w:fill="FFFFFF"/>
                <w:vertAlign w:val="baseline"/>
                <w:lang w:val="en-US" w:eastAsia="zh-CN"/>
              </w:rPr>
              <w:t>2.4金属件：</w:t>
            </w:r>
            <w:r>
              <w:rPr>
                <w:rFonts w:hint="eastAsia" w:ascii="宋体" w:hAnsi="宋体" w:eastAsia="宋体" w:cs="宋体"/>
                <w:i w:val="0"/>
                <w:iCs w:val="0"/>
                <w:caps w:val="0"/>
                <w:color w:val="171A1D"/>
                <w:spacing w:val="0"/>
                <w:sz w:val="24"/>
                <w:szCs w:val="24"/>
                <w:highlight w:val="none"/>
                <w:shd w:val="clear" w:color="auto" w:fill="FFFFFF"/>
                <w:vertAlign w:val="baseline"/>
                <w:lang w:eastAsia="zh-CN"/>
              </w:rPr>
              <w:t>各种配件安装应严密、平整、端正、牢固、结合处应无崩茬或松动。金属配件应做除锈和防腐处理。</w:t>
            </w:r>
          </w:p>
          <w:p w14:paraId="049C325E">
            <w:pPr>
              <w:rPr>
                <w:rFonts w:hint="eastAsia" w:ascii="宋体" w:hAnsi="宋体" w:eastAsia="宋体" w:cs="宋体"/>
                <w:i w:val="0"/>
                <w:iCs w:val="0"/>
                <w:caps w:val="0"/>
                <w:color w:val="171A1D"/>
                <w:spacing w:val="0"/>
                <w:sz w:val="24"/>
                <w:szCs w:val="24"/>
                <w:highlight w:val="none"/>
                <w:shd w:val="clear" w:color="auto" w:fill="FFFFFF"/>
                <w:vertAlign w:val="baseline"/>
                <w:lang w:eastAsia="zh-CN"/>
              </w:rPr>
            </w:pPr>
            <w:r>
              <w:rPr>
                <w:rFonts w:hint="eastAsia" w:ascii="宋体" w:hAnsi="宋体" w:eastAsia="宋体" w:cs="宋体"/>
                <w:i w:val="0"/>
                <w:iCs w:val="0"/>
                <w:caps w:val="0"/>
                <w:color w:val="171A1D"/>
                <w:spacing w:val="0"/>
                <w:sz w:val="24"/>
                <w:szCs w:val="24"/>
                <w:highlight w:val="none"/>
                <w:shd w:val="clear" w:color="auto" w:fill="FFFFFF"/>
                <w:vertAlign w:val="baseline"/>
                <w:lang w:val="en-US" w:eastAsia="zh-CN"/>
              </w:rPr>
              <w:t>2.5</w:t>
            </w:r>
            <w:r>
              <w:rPr>
                <w:rFonts w:hint="eastAsia" w:ascii="宋体" w:hAnsi="宋体" w:eastAsia="宋体" w:cs="宋体"/>
                <w:i w:val="0"/>
                <w:iCs w:val="0"/>
                <w:caps w:val="0"/>
                <w:color w:val="171A1D"/>
                <w:spacing w:val="0"/>
                <w:sz w:val="24"/>
                <w:szCs w:val="24"/>
                <w:highlight w:val="none"/>
                <w:shd w:val="clear" w:color="auto" w:fill="FFFFFF"/>
                <w:vertAlign w:val="baseline"/>
                <w:lang w:eastAsia="zh-CN"/>
              </w:rPr>
              <w:t>颜色：蓝色</w:t>
            </w:r>
          </w:p>
        </w:tc>
        <w:tc>
          <w:tcPr>
            <w:tcW w:w="869" w:type="dxa"/>
            <w:noWrap w:val="0"/>
            <w:vAlign w:val="center"/>
          </w:tcPr>
          <w:p w14:paraId="583E9C0C">
            <w:pPr>
              <w:jc w:val="center"/>
              <w:rPr>
                <w:rFonts w:hint="eastAsia" w:ascii="宋体" w:hAnsi="宋体" w:eastAsia="宋体" w:cs="宋体"/>
                <w:i w:val="0"/>
                <w:iCs w:val="0"/>
                <w:caps w:val="0"/>
                <w:color w:val="171A1D"/>
                <w:spacing w:val="0"/>
                <w:sz w:val="24"/>
                <w:szCs w:val="24"/>
                <w:highlight w:val="none"/>
                <w:shd w:val="clear" w:color="auto" w:fill="FFFFFF"/>
                <w:vertAlign w:val="baseline"/>
                <w:lang w:eastAsia="zh-CN"/>
              </w:rPr>
            </w:pPr>
            <w:r>
              <w:rPr>
                <w:rFonts w:hint="eastAsia" w:ascii="宋体" w:hAnsi="宋体" w:cs="宋体"/>
                <w:bCs/>
                <w:color w:val="000000" w:themeColor="text1"/>
                <w:kern w:val="0"/>
                <w:sz w:val="24"/>
                <w:highlight w:val="none"/>
                <w:lang w:val="en-US" w:eastAsia="zh-CN"/>
                <w14:textFill>
                  <w14:solidFill>
                    <w14:schemeClr w14:val="tx1"/>
                  </w14:solidFill>
                </w14:textFill>
              </w:rPr>
              <w:t>1套</w:t>
            </w:r>
          </w:p>
        </w:tc>
      </w:tr>
      <w:tr w14:paraId="62EF8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noWrap w:val="0"/>
            <w:vAlign w:val="center"/>
          </w:tcPr>
          <w:p w14:paraId="33992E13">
            <w:pPr>
              <w:jc w:val="center"/>
              <w:rPr>
                <w:rFonts w:hint="default" w:ascii="宋体" w:hAnsi="宋体" w:eastAsia="宋体" w:cs="宋体"/>
                <w:i w:val="0"/>
                <w:iCs w:val="0"/>
                <w:caps w:val="0"/>
                <w:color w:val="171A1D"/>
                <w:spacing w:val="0"/>
                <w:sz w:val="24"/>
                <w:szCs w:val="24"/>
                <w:highlight w:val="none"/>
                <w:shd w:val="clear" w:color="auto" w:fill="FFFFFF"/>
                <w:vertAlign w:val="baseline"/>
                <w:lang w:val="en-US" w:eastAsia="zh-CN"/>
              </w:rPr>
            </w:pPr>
            <w:r>
              <w:rPr>
                <w:rFonts w:hint="eastAsia" w:ascii="宋体" w:hAnsi="宋体" w:eastAsia="宋体" w:cs="宋体"/>
                <w:i w:val="0"/>
                <w:iCs w:val="0"/>
                <w:caps w:val="0"/>
                <w:color w:val="171A1D"/>
                <w:spacing w:val="0"/>
                <w:sz w:val="24"/>
                <w:szCs w:val="24"/>
                <w:highlight w:val="none"/>
                <w:shd w:val="clear" w:color="auto" w:fill="FFFFFF"/>
                <w:vertAlign w:val="baseline"/>
                <w:lang w:val="en-US" w:eastAsia="zh-CN"/>
              </w:rPr>
              <w:t>16</w:t>
            </w:r>
          </w:p>
        </w:tc>
        <w:tc>
          <w:tcPr>
            <w:tcW w:w="1243" w:type="dxa"/>
            <w:noWrap w:val="0"/>
            <w:vAlign w:val="center"/>
          </w:tcPr>
          <w:p w14:paraId="01C7AE90">
            <w:pPr>
              <w:jc w:val="center"/>
              <w:rPr>
                <w:rFonts w:hint="eastAsia" w:ascii="宋体" w:hAnsi="宋体" w:eastAsia="宋体" w:cs="宋体"/>
                <w:sz w:val="24"/>
                <w:szCs w:val="24"/>
                <w:highlight w:val="none"/>
              </w:rPr>
            </w:pPr>
            <w:r>
              <w:rPr>
                <w:rFonts w:hint="eastAsia" w:ascii="宋体" w:hAnsi="宋体" w:eastAsia="宋体" w:cs="宋体"/>
                <w:i w:val="0"/>
                <w:iCs w:val="0"/>
                <w:caps w:val="0"/>
                <w:color w:val="171A1D"/>
                <w:spacing w:val="0"/>
                <w:sz w:val="24"/>
                <w:szCs w:val="24"/>
                <w:highlight w:val="none"/>
                <w:shd w:val="clear" w:color="auto" w:fill="FFFFFF"/>
              </w:rPr>
              <w:t>通风柜</w:t>
            </w:r>
            <w:r>
              <w:rPr>
                <w:rFonts w:hint="eastAsia" w:ascii="宋体" w:hAnsi="宋体" w:eastAsia="宋体" w:cs="宋体"/>
                <w:i w:val="0"/>
                <w:iCs w:val="0"/>
                <w:caps w:val="0"/>
                <w:color w:val="171A1D"/>
                <w:spacing w:val="0"/>
                <w:sz w:val="24"/>
                <w:szCs w:val="24"/>
                <w:highlight w:val="none"/>
                <w:shd w:val="clear" w:color="auto" w:fill="FFFFFF"/>
                <w:lang w:eastAsia="zh-CN"/>
              </w:rPr>
              <w:t>（如因场地的</w:t>
            </w:r>
            <w:r>
              <w:rPr>
                <w:rFonts w:hint="eastAsia" w:ascii="宋体" w:hAnsi="宋体" w:cs="宋体"/>
                <w:i w:val="0"/>
                <w:iCs w:val="0"/>
                <w:caps w:val="0"/>
                <w:color w:val="171A1D"/>
                <w:spacing w:val="0"/>
                <w:sz w:val="24"/>
                <w:szCs w:val="24"/>
                <w:highlight w:val="none"/>
                <w:shd w:val="clear" w:color="auto" w:fill="FFFFFF"/>
                <w:lang w:val="en-US" w:eastAsia="zh-CN"/>
              </w:rPr>
              <w:t>原因</w:t>
            </w:r>
            <w:r>
              <w:rPr>
                <w:rFonts w:hint="eastAsia" w:ascii="宋体" w:hAnsi="宋体" w:eastAsia="宋体" w:cs="宋体"/>
                <w:i w:val="0"/>
                <w:iCs w:val="0"/>
                <w:caps w:val="0"/>
                <w:color w:val="171A1D"/>
                <w:spacing w:val="0"/>
                <w:sz w:val="24"/>
                <w:szCs w:val="24"/>
                <w:highlight w:val="none"/>
                <w:shd w:val="clear" w:color="auto" w:fill="FFFFFF"/>
                <w:lang w:eastAsia="zh-CN"/>
              </w:rPr>
              <w:t>可选择万向抽气罩）</w:t>
            </w:r>
          </w:p>
          <w:p w14:paraId="405216D6">
            <w:pPr>
              <w:jc w:val="center"/>
              <w:rPr>
                <w:rFonts w:hint="eastAsia" w:ascii="宋体" w:hAnsi="宋体" w:eastAsia="宋体" w:cs="宋体"/>
                <w:sz w:val="24"/>
                <w:szCs w:val="24"/>
                <w:highlight w:val="none"/>
                <w:lang w:val="en-US" w:eastAsia="zh-CN"/>
              </w:rPr>
            </w:pPr>
          </w:p>
        </w:tc>
        <w:tc>
          <w:tcPr>
            <w:tcW w:w="5625" w:type="dxa"/>
            <w:noWrap w:val="0"/>
            <w:vAlign w:val="top"/>
          </w:tcPr>
          <w:p w14:paraId="52740C69">
            <w:pPr>
              <w:rPr>
                <w:rFonts w:hint="eastAsia" w:ascii="宋体" w:hAnsi="宋体" w:eastAsia="宋体" w:cs="宋体"/>
                <w:i w:val="0"/>
                <w:iCs w:val="0"/>
                <w:caps w:val="0"/>
                <w:color w:val="auto"/>
                <w:spacing w:val="0"/>
                <w:sz w:val="24"/>
                <w:szCs w:val="24"/>
                <w:highlight w:val="none"/>
                <w:shd w:val="clear" w:color="auto" w:fill="FFFFFF"/>
                <w:vertAlign w:val="baseli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1、</w:t>
            </w:r>
            <w:r>
              <w:rPr>
                <w:rFonts w:hint="eastAsia" w:ascii="宋体" w:hAnsi="宋体" w:eastAsia="宋体" w:cs="宋体"/>
                <w:i w:val="0"/>
                <w:iCs w:val="0"/>
                <w:caps w:val="0"/>
                <w:color w:val="auto"/>
                <w:spacing w:val="0"/>
                <w:sz w:val="24"/>
                <w:szCs w:val="24"/>
                <w:highlight w:val="none"/>
                <w:shd w:val="clear" w:color="auto" w:fill="FFFFFF"/>
                <w:vertAlign w:val="baseline"/>
                <w:lang w:eastAsia="zh-CN"/>
              </w:rPr>
              <w:t>万向抽气罩：大功率离心风机，</w:t>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2m以上通风管道，管径75mm，罩口直径380mm，排风量100-180立方米/小时，电源220V</w:t>
            </w:r>
            <w:r>
              <w:rPr>
                <w:rFonts w:hint="eastAsia" w:ascii="宋体" w:hAnsi="宋体" w:eastAsia="宋体" w:cs="宋体"/>
                <w:i w:val="0"/>
                <w:iCs w:val="0"/>
                <w:caps w:val="0"/>
                <w:color w:val="auto"/>
                <w:spacing w:val="0"/>
                <w:sz w:val="24"/>
                <w:szCs w:val="24"/>
                <w:highlight w:val="none"/>
                <w:shd w:val="clear" w:color="auto" w:fill="FFFFFF"/>
                <w:vertAlign w:val="baseline"/>
                <w:lang w:eastAsia="zh-CN"/>
              </w:rPr>
              <w:t>。</w:t>
            </w:r>
          </w:p>
          <w:p w14:paraId="379034C3">
            <w:pPr>
              <w:rPr>
                <w:rFonts w:hint="default" w:ascii="宋体" w:hAnsi="宋体" w:eastAsia="宋体" w:cs="宋体"/>
                <w:i w:val="0"/>
                <w:iCs w:val="0"/>
                <w:caps w:val="0"/>
                <w:color w:val="auto"/>
                <w:spacing w:val="0"/>
                <w:sz w:val="24"/>
                <w:szCs w:val="24"/>
                <w:highlight w:val="none"/>
                <w:shd w:val="clear" w:color="auto" w:fill="FFFFFF"/>
                <w:vertAlign w:val="baseline"/>
                <w:lang w:val="en-US" w:eastAsia="zh-CN"/>
              </w:rPr>
            </w:pP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2、</w:t>
            </w:r>
            <w:r>
              <w:rPr>
                <w:rFonts w:hint="eastAsia" w:ascii="宋体" w:hAnsi="宋体" w:eastAsia="宋体" w:cs="宋体"/>
                <w:i w:val="0"/>
                <w:iCs w:val="0"/>
                <w:caps w:val="0"/>
                <w:color w:val="auto"/>
                <w:spacing w:val="0"/>
                <w:sz w:val="24"/>
                <w:szCs w:val="24"/>
                <w:highlight w:val="none"/>
                <w:shd w:val="clear" w:color="auto" w:fill="FFFFFF"/>
                <w:vertAlign w:val="baseline"/>
                <w:lang w:eastAsia="zh-CN"/>
              </w:rPr>
              <w:t>通风柜：大小：1200</w:t>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mm×</w:t>
            </w:r>
            <w:r>
              <w:rPr>
                <w:rFonts w:hint="eastAsia" w:ascii="宋体" w:hAnsi="宋体" w:eastAsia="宋体" w:cs="宋体"/>
                <w:i w:val="0"/>
                <w:iCs w:val="0"/>
                <w:caps w:val="0"/>
                <w:color w:val="auto"/>
                <w:spacing w:val="0"/>
                <w:sz w:val="24"/>
                <w:szCs w:val="24"/>
                <w:highlight w:val="none"/>
                <w:shd w:val="clear" w:color="auto" w:fill="FFFFFF"/>
                <w:vertAlign w:val="baseline"/>
                <w:lang w:eastAsia="zh-CN"/>
              </w:rPr>
              <w:t>850</w:t>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mm×</w:t>
            </w:r>
            <w:r>
              <w:rPr>
                <w:rFonts w:hint="eastAsia" w:ascii="宋体" w:hAnsi="宋体" w:eastAsia="宋体" w:cs="宋体"/>
                <w:i w:val="0"/>
                <w:iCs w:val="0"/>
                <w:caps w:val="0"/>
                <w:color w:val="auto"/>
                <w:spacing w:val="0"/>
                <w:sz w:val="24"/>
                <w:szCs w:val="24"/>
                <w:highlight w:val="none"/>
                <w:shd w:val="clear" w:color="auto" w:fill="FFFFFF"/>
                <w:vertAlign w:val="baseline"/>
                <w:lang w:eastAsia="zh-CN"/>
              </w:rPr>
              <w:t>2350</w:t>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mm</w:t>
            </w:r>
          </w:p>
          <w:p w14:paraId="2CD5A83F">
            <w:pPr>
              <w:rPr>
                <w:rFonts w:hint="eastAsia" w:ascii="宋体" w:hAnsi="宋体" w:eastAsia="宋体" w:cs="宋体"/>
                <w:i w:val="0"/>
                <w:iCs w:val="0"/>
                <w:caps w:val="0"/>
                <w:color w:val="auto"/>
                <w:spacing w:val="0"/>
                <w:sz w:val="24"/>
                <w:szCs w:val="24"/>
                <w:highlight w:val="none"/>
                <w:shd w:val="clear" w:color="auto" w:fill="FFFFFF"/>
                <w:vertAlign w:val="baseline"/>
                <w:lang w:eastAsia="zh-CN"/>
              </w:rPr>
            </w:pPr>
            <w:r>
              <w:rPr>
                <w:rFonts w:hint="eastAsia" w:ascii="宋体" w:hAnsi="宋体" w:cs="宋体"/>
                <w:i w:val="0"/>
                <w:iCs w:val="0"/>
                <w:caps w:val="0"/>
                <w:color w:val="auto"/>
                <w:spacing w:val="0"/>
                <w:sz w:val="24"/>
                <w:szCs w:val="24"/>
                <w:highlight w:val="none"/>
                <w:shd w:val="clear" w:color="auto" w:fill="FFFFFF"/>
                <w:vertAlign w:val="baseline"/>
                <w:lang w:val="en-US" w:eastAsia="zh-CN"/>
              </w:rPr>
              <w:t>2.1</w:t>
            </w:r>
            <w:r>
              <w:rPr>
                <w:rFonts w:hint="eastAsia" w:ascii="宋体" w:hAnsi="宋体" w:eastAsia="宋体" w:cs="宋体"/>
                <w:i w:val="0"/>
                <w:iCs w:val="0"/>
                <w:caps w:val="0"/>
                <w:color w:val="auto"/>
                <w:spacing w:val="0"/>
                <w:sz w:val="24"/>
                <w:szCs w:val="24"/>
                <w:highlight w:val="none"/>
                <w:shd w:val="clear" w:color="auto" w:fill="FFFFFF"/>
                <w:vertAlign w:val="baseline"/>
                <w:lang w:eastAsia="zh-CN"/>
              </w:rPr>
              <w:t>主体框架采用（裸板）1.0mm厚本钢一级冷轧镀锌钢板，全自动数控激光切割机下料，折弯采用全自动数控折弯机一次性一体折弯成型，喷涂表面经(</w:t>
            </w:r>
            <w:r>
              <w:rPr>
                <w:rFonts w:hint="eastAsia" w:ascii="宋体" w:hAnsi="宋体" w:cs="宋体"/>
                <w:i w:val="0"/>
                <w:iCs w:val="0"/>
                <w:caps w:val="0"/>
                <w:color w:val="auto"/>
                <w:spacing w:val="0"/>
                <w:sz w:val="24"/>
                <w:szCs w:val="24"/>
                <w:highlight w:val="none"/>
                <w:shd w:val="clear" w:color="auto" w:fill="FFFFFF"/>
                <w:vertAlign w:val="baseline"/>
                <w:lang w:eastAsia="zh-CN"/>
              </w:rPr>
              <w:t>阿克苏</w:t>
            </w:r>
            <w:r>
              <w:rPr>
                <w:rFonts w:hint="eastAsia" w:ascii="宋体" w:hAnsi="宋体" w:eastAsia="宋体" w:cs="宋体"/>
                <w:i w:val="0"/>
                <w:iCs w:val="0"/>
                <w:caps w:val="0"/>
                <w:color w:val="auto"/>
                <w:spacing w:val="0"/>
                <w:sz w:val="24"/>
                <w:szCs w:val="24"/>
                <w:highlight w:val="none"/>
                <w:shd w:val="clear" w:color="auto" w:fill="FFFFFF"/>
                <w:vertAlign w:val="baseline"/>
                <w:lang w:eastAsia="zh-CN"/>
              </w:rPr>
              <w:t>)环氧树脂粉末静电流水线自动化喷涂。</w:t>
            </w:r>
          </w:p>
          <w:p w14:paraId="0999FEE9">
            <w:pPr>
              <w:rPr>
                <w:rFonts w:hint="eastAsia" w:ascii="宋体" w:hAnsi="宋体" w:eastAsia="宋体" w:cs="宋体"/>
                <w:i w:val="0"/>
                <w:iCs w:val="0"/>
                <w:caps w:val="0"/>
                <w:color w:val="auto"/>
                <w:spacing w:val="0"/>
                <w:sz w:val="24"/>
                <w:szCs w:val="24"/>
                <w:highlight w:val="none"/>
                <w:shd w:val="clear" w:color="auto" w:fill="FFFFFF"/>
                <w:vertAlign w:val="baseline"/>
                <w:lang w:eastAsia="zh-CN"/>
              </w:rPr>
            </w:pPr>
            <w:r>
              <w:rPr>
                <w:rFonts w:hint="eastAsia" w:ascii="宋体" w:hAnsi="宋体" w:cs="宋体"/>
                <w:i w:val="0"/>
                <w:iCs w:val="0"/>
                <w:caps w:val="0"/>
                <w:color w:val="auto"/>
                <w:spacing w:val="0"/>
                <w:sz w:val="24"/>
                <w:szCs w:val="24"/>
                <w:highlight w:val="none"/>
                <w:shd w:val="clear" w:color="auto" w:fill="FFFFFF"/>
                <w:vertAlign w:val="baseline"/>
                <w:lang w:val="en-US" w:eastAsia="zh-CN"/>
              </w:rPr>
              <w:t>2.2</w:t>
            </w:r>
            <w:r>
              <w:rPr>
                <w:rFonts w:hint="eastAsia" w:ascii="宋体" w:hAnsi="宋体" w:eastAsia="宋体" w:cs="宋体"/>
                <w:i w:val="0"/>
                <w:iCs w:val="0"/>
                <w:caps w:val="0"/>
                <w:color w:val="auto"/>
                <w:spacing w:val="0"/>
                <w:sz w:val="24"/>
                <w:szCs w:val="24"/>
                <w:highlight w:val="none"/>
                <w:shd w:val="clear" w:color="auto" w:fill="FFFFFF"/>
                <w:vertAlign w:val="baseline"/>
                <w:lang w:eastAsia="zh-CN"/>
              </w:rPr>
              <w:t>内衬板\导流板:采用</w:t>
            </w:r>
            <w:r>
              <w:rPr>
                <w:rFonts w:hint="eastAsia" w:ascii="宋体" w:hAnsi="宋体" w:cs="宋体"/>
                <w:i w:val="0"/>
                <w:iCs w:val="0"/>
                <w:caps w:val="0"/>
                <w:color w:val="auto"/>
                <w:spacing w:val="0"/>
                <w:sz w:val="24"/>
                <w:szCs w:val="24"/>
                <w:highlight w:val="none"/>
                <w:shd w:val="clear" w:color="auto" w:fill="FFFFFF"/>
                <w:vertAlign w:val="baseline"/>
                <w:lang w:eastAsia="zh-CN"/>
              </w:rPr>
              <w:t>实心</w:t>
            </w:r>
            <w:r>
              <w:rPr>
                <w:rFonts w:hint="eastAsia" w:ascii="宋体" w:hAnsi="宋体" w:eastAsia="宋体" w:cs="宋体"/>
                <w:i w:val="0"/>
                <w:iCs w:val="0"/>
                <w:caps w:val="0"/>
                <w:color w:val="auto"/>
                <w:spacing w:val="0"/>
                <w:sz w:val="24"/>
                <w:szCs w:val="24"/>
                <w:highlight w:val="none"/>
                <w:shd w:val="clear" w:color="auto" w:fill="FFFFFF"/>
                <w:vertAlign w:val="baseline"/>
                <w:lang w:eastAsia="zh-CN"/>
              </w:rPr>
              <w:t>抗倍特板(5mm厚)具有良好的防腐蚀、化学抗性。导流板固定件使用PP优质材质制作一体</w:t>
            </w:r>
            <w:r>
              <w:rPr>
                <w:rFonts w:hint="eastAsia" w:ascii="宋体" w:hAnsi="宋体" w:cs="宋体"/>
                <w:i w:val="0"/>
                <w:iCs w:val="0"/>
                <w:caps w:val="0"/>
                <w:color w:val="auto"/>
                <w:spacing w:val="0"/>
                <w:sz w:val="24"/>
                <w:szCs w:val="24"/>
                <w:highlight w:val="none"/>
                <w:shd w:val="clear" w:color="auto" w:fill="FFFFFF"/>
                <w:vertAlign w:val="baseline"/>
                <w:lang w:eastAsia="zh-CN"/>
              </w:rPr>
              <w:t>成形</w:t>
            </w:r>
            <w:r>
              <w:rPr>
                <w:rFonts w:hint="eastAsia" w:ascii="宋体" w:hAnsi="宋体" w:eastAsia="宋体" w:cs="宋体"/>
                <w:i w:val="0"/>
                <w:iCs w:val="0"/>
                <w:caps w:val="0"/>
                <w:color w:val="auto"/>
                <w:spacing w:val="0"/>
                <w:sz w:val="24"/>
                <w:szCs w:val="24"/>
                <w:highlight w:val="none"/>
                <w:shd w:val="clear" w:color="auto" w:fill="FFFFFF"/>
                <w:vertAlign w:val="baseline"/>
                <w:lang w:eastAsia="zh-CN"/>
              </w:rPr>
              <w:t>。</w:t>
            </w:r>
          </w:p>
          <w:p w14:paraId="01BD6C34">
            <w:pPr>
              <w:rPr>
                <w:rFonts w:hint="eastAsia" w:ascii="宋体" w:hAnsi="宋体" w:eastAsia="宋体" w:cs="宋体"/>
                <w:i w:val="0"/>
                <w:iCs w:val="0"/>
                <w:caps w:val="0"/>
                <w:color w:val="auto"/>
                <w:spacing w:val="0"/>
                <w:sz w:val="24"/>
                <w:szCs w:val="24"/>
                <w:highlight w:val="none"/>
                <w:shd w:val="clear" w:color="auto" w:fill="FFFFFF"/>
                <w:vertAlign w:val="baseline"/>
                <w:lang w:eastAsia="zh-CN"/>
              </w:rPr>
            </w:pPr>
            <w:r>
              <w:rPr>
                <w:rFonts w:hint="eastAsia" w:ascii="宋体" w:hAnsi="宋体" w:cs="宋体"/>
                <w:i w:val="0"/>
                <w:iCs w:val="0"/>
                <w:caps w:val="0"/>
                <w:color w:val="auto"/>
                <w:spacing w:val="0"/>
                <w:sz w:val="24"/>
                <w:szCs w:val="24"/>
                <w:highlight w:val="none"/>
                <w:shd w:val="clear" w:color="auto" w:fill="FFFFFF"/>
                <w:vertAlign w:val="baseline"/>
                <w:lang w:val="en-US" w:eastAsia="zh-CN"/>
              </w:rPr>
              <w:t>2.3</w:t>
            </w:r>
            <w:r>
              <w:rPr>
                <w:rFonts w:hint="eastAsia" w:ascii="宋体" w:hAnsi="宋体" w:eastAsia="宋体" w:cs="宋体"/>
                <w:i w:val="0"/>
                <w:iCs w:val="0"/>
                <w:caps w:val="0"/>
                <w:color w:val="auto"/>
                <w:spacing w:val="0"/>
                <w:sz w:val="24"/>
                <w:szCs w:val="24"/>
                <w:highlight w:val="none"/>
                <w:shd w:val="clear" w:color="auto" w:fill="FFFFFF"/>
                <w:vertAlign w:val="baseline"/>
                <w:lang w:eastAsia="zh-CN"/>
              </w:rPr>
              <w:t>移动视窗:5mm优质钢化玻璃，门开启高度为700mm</w:t>
            </w:r>
            <w:r>
              <w:rPr>
                <w:rFonts w:hint="eastAsia" w:ascii="宋体" w:hAnsi="宋体" w:cs="宋体"/>
                <w:i w:val="0"/>
                <w:iCs w:val="0"/>
                <w:caps w:val="0"/>
                <w:color w:val="auto"/>
                <w:spacing w:val="0"/>
                <w:sz w:val="24"/>
                <w:szCs w:val="24"/>
                <w:highlight w:val="none"/>
                <w:shd w:val="clear" w:color="auto" w:fill="FFFFFF"/>
                <w:vertAlign w:val="baseline"/>
                <w:lang w:eastAsia="zh-CN"/>
              </w:rPr>
              <w:t>，</w:t>
            </w:r>
            <w:r>
              <w:rPr>
                <w:rFonts w:hint="eastAsia" w:ascii="宋体" w:hAnsi="宋体" w:eastAsia="宋体" w:cs="宋体"/>
                <w:i w:val="0"/>
                <w:iCs w:val="0"/>
                <w:caps w:val="0"/>
                <w:color w:val="auto"/>
                <w:spacing w:val="0"/>
                <w:sz w:val="24"/>
                <w:szCs w:val="24"/>
                <w:highlight w:val="none"/>
                <w:shd w:val="clear" w:color="auto" w:fill="FFFFFF"/>
                <w:vertAlign w:val="baseline"/>
                <w:lang w:eastAsia="zh-CN"/>
              </w:rPr>
              <w:t>自由升降，移门上下滑动装置采用同步轴轮皮带式结构，无级任意停留，移门导向装置由抗腐蚀的</w:t>
            </w:r>
            <w:r>
              <w:rPr>
                <w:rFonts w:hint="eastAsia" w:ascii="宋体" w:hAnsi="宋体" w:cs="宋体"/>
                <w:i w:val="0"/>
                <w:iCs w:val="0"/>
                <w:caps w:val="0"/>
                <w:color w:val="auto"/>
                <w:spacing w:val="0"/>
                <w:sz w:val="24"/>
                <w:szCs w:val="24"/>
                <w:highlight w:val="none"/>
                <w:shd w:val="clear" w:color="auto" w:fill="FFFFFF"/>
                <w:vertAlign w:val="baseline"/>
                <w:lang w:eastAsia="zh-CN"/>
              </w:rPr>
              <w:t>聚氯乙烯</w:t>
            </w:r>
            <w:r>
              <w:rPr>
                <w:rFonts w:hint="eastAsia" w:ascii="宋体" w:hAnsi="宋体" w:eastAsia="宋体" w:cs="宋体"/>
                <w:i w:val="0"/>
                <w:iCs w:val="0"/>
                <w:caps w:val="0"/>
                <w:color w:val="auto"/>
                <w:spacing w:val="0"/>
                <w:sz w:val="24"/>
                <w:szCs w:val="24"/>
                <w:highlight w:val="none"/>
                <w:shd w:val="clear" w:color="auto" w:fill="FFFFFF"/>
                <w:vertAlign w:val="baseline"/>
                <w:lang w:eastAsia="zh-CN"/>
              </w:rPr>
              <w:t>材质构成。移门把手PP一体成型制作，移门旁边是抗化学腐蚀的塑料包裹，移门的开、闭有橡胶缓冲装置。</w:t>
            </w:r>
          </w:p>
          <w:p w14:paraId="4BDC9D57">
            <w:pPr>
              <w:rPr>
                <w:rFonts w:hint="eastAsia" w:ascii="宋体" w:hAnsi="宋体" w:eastAsia="宋体" w:cs="宋体"/>
                <w:i w:val="0"/>
                <w:iCs w:val="0"/>
                <w:caps w:val="0"/>
                <w:color w:val="auto"/>
                <w:spacing w:val="0"/>
                <w:sz w:val="24"/>
                <w:szCs w:val="24"/>
                <w:highlight w:val="none"/>
                <w:shd w:val="clear" w:color="auto" w:fill="FFFFFF"/>
                <w:vertAlign w:val="baseline"/>
                <w:lang w:eastAsia="zh-CN"/>
              </w:rPr>
            </w:pPr>
            <w:r>
              <w:rPr>
                <w:rFonts w:hint="eastAsia" w:ascii="宋体" w:hAnsi="宋体" w:cs="宋体"/>
                <w:i w:val="0"/>
                <w:iCs w:val="0"/>
                <w:caps w:val="0"/>
                <w:color w:val="auto"/>
                <w:spacing w:val="0"/>
                <w:sz w:val="24"/>
                <w:szCs w:val="24"/>
                <w:highlight w:val="none"/>
                <w:shd w:val="clear" w:color="auto" w:fill="FFFFFF"/>
                <w:vertAlign w:val="baseline"/>
                <w:lang w:val="en-US" w:eastAsia="zh-CN"/>
              </w:rPr>
              <w:t>2.4</w:t>
            </w:r>
            <w:r>
              <w:rPr>
                <w:rFonts w:hint="eastAsia" w:ascii="宋体" w:hAnsi="宋体" w:eastAsia="宋体" w:cs="宋体"/>
                <w:i w:val="0"/>
                <w:iCs w:val="0"/>
                <w:caps w:val="0"/>
                <w:color w:val="auto"/>
                <w:spacing w:val="0"/>
                <w:sz w:val="24"/>
                <w:szCs w:val="24"/>
                <w:highlight w:val="none"/>
                <w:shd w:val="clear" w:color="auto" w:fill="FFFFFF"/>
                <w:vertAlign w:val="baseline"/>
                <w:lang w:eastAsia="zh-CN"/>
              </w:rPr>
              <w:t>通风柜正前方全部为玻璃视窗，有良好的可视范围。导流板和内衬材料一致，导流板支架由非金属材料构成。</w:t>
            </w:r>
          </w:p>
          <w:p w14:paraId="54D3DC5B">
            <w:pPr>
              <w:rPr>
                <w:rFonts w:hint="eastAsia" w:ascii="宋体" w:hAnsi="宋体" w:eastAsia="宋体" w:cs="宋体"/>
                <w:i w:val="0"/>
                <w:iCs w:val="0"/>
                <w:caps w:val="0"/>
                <w:color w:val="auto"/>
                <w:spacing w:val="0"/>
                <w:sz w:val="24"/>
                <w:szCs w:val="24"/>
                <w:highlight w:val="none"/>
                <w:shd w:val="clear" w:color="auto" w:fill="FFFFFF"/>
                <w:vertAlign w:val="baseline"/>
                <w:lang w:eastAsia="zh-CN"/>
              </w:rPr>
            </w:pPr>
            <w:r>
              <w:rPr>
                <w:rFonts w:hint="eastAsia" w:ascii="宋体" w:hAnsi="宋体" w:cs="宋体"/>
                <w:i w:val="0"/>
                <w:iCs w:val="0"/>
                <w:caps w:val="0"/>
                <w:color w:val="auto"/>
                <w:spacing w:val="0"/>
                <w:sz w:val="24"/>
                <w:szCs w:val="24"/>
                <w:highlight w:val="none"/>
                <w:shd w:val="clear" w:color="auto" w:fill="FFFFFF"/>
                <w:vertAlign w:val="baseline"/>
                <w:lang w:val="en-US" w:eastAsia="zh-CN"/>
              </w:rPr>
              <w:t>2.5</w:t>
            </w:r>
            <w:r>
              <w:rPr>
                <w:rFonts w:hint="eastAsia" w:ascii="宋体" w:hAnsi="宋体" w:eastAsia="宋体" w:cs="宋体"/>
                <w:i w:val="0"/>
                <w:iCs w:val="0"/>
                <w:caps w:val="0"/>
                <w:color w:val="auto"/>
                <w:spacing w:val="0"/>
                <w:sz w:val="24"/>
                <w:szCs w:val="24"/>
                <w:highlight w:val="none"/>
                <w:shd w:val="clear" w:color="auto" w:fill="FFFFFF"/>
                <w:vertAlign w:val="baseline"/>
                <w:lang w:eastAsia="zh-CN"/>
              </w:rPr>
              <w:t>下柜体:台面采用上海佛雅伟特实芯理化板(12.7mm厚)耐酸碱，耐冲击、耐腐蚀，甲醛达到E1级别标准，背面具有不可磨灭背标。</w:t>
            </w:r>
          </w:p>
          <w:p w14:paraId="160A9E52">
            <w:pP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pPr>
            <w:r>
              <w:rPr>
                <w:rFonts w:hint="eastAsia" w:ascii="宋体" w:hAnsi="宋体" w:cs="宋体"/>
                <w:i w:val="0"/>
                <w:iCs w:val="0"/>
                <w:caps w:val="0"/>
                <w:color w:val="auto"/>
                <w:spacing w:val="0"/>
                <w:sz w:val="24"/>
                <w:szCs w:val="24"/>
                <w:highlight w:val="none"/>
                <w:shd w:val="clear" w:color="auto" w:fill="FFFFFF"/>
                <w:vertAlign w:val="baseline"/>
                <w:lang w:val="en-US" w:eastAsia="zh-CN"/>
              </w:rPr>
              <w:t>2.6</w:t>
            </w:r>
            <w:r>
              <w:rPr>
                <w:rFonts w:hint="eastAsia" w:ascii="宋体" w:hAnsi="宋体" w:eastAsia="宋体" w:cs="宋体"/>
                <w:i w:val="0"/>
                <w:iCs w:val="0"/>
                <w:caps w:val="0"/>
                <w:color w:val="auto"/>
                <w:spacing w:val="0"/>
                <w:sz w:val="24"/>
                <w:szCs w:val="24"/>
                <w:highlight w:val="none"/>
                <w:shd w:val="clear" w:color="auto" w:fill="FFFFFF"/>
                <w:vertAlign w:val="baseline"/>
                <w:lang w:eastAsia="zh-CN"/>
              </w:rPr>
              <w:t>连接部分:所有的内部连接装置都需隐藏布置和抗腐蚀。没有外露的螺钉。外部连接装置都抗化学腐蚀，用聚氯乙烯包裹的不锈钢部件与非金属材料。</w:t>
            </w:r>
          </w:p>
          <w:p w14:paraId="28285040">
            <w:pP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pPr>
            <w:r>
              <w:rPr>
                <w:rFonts w:hint="eastAsia" w:ascii="宋体" w:hAnsi="宋体" w:cs="宋体"/>
                <w:i w:val="0"/>
                <w:iCs w:val="0"/>
                <w:caps w:val="0"/>
                <w:color w:val="auto"/>
                <w:spacing w:val="0"/>
                <w:sz w:val="24"/>
                <w:szCs w:val="24"/>
                <w:highlight w:val="none"/>
                <w:shd w:val="clear" w:color="auto" w:fill="FFFFFF"/>
                <w:vertAlign w:val="baseline"/>
                <w:lang w:val="en-US" w:eastAsia="zh-CN"/>
              </w:rPr>
              <w:t>2.7</w:t>
            </w:r>
            <w:r>
              <w:rPr>
                <w:rFonts w:hint="eastAsia" w:ascii="宋体" w:hAnsi="宋体" w:eastAsia="宋体" w:cs="宋体"/>
                <w:i w:val="0"/>
                <w:iCs w:val="0"/>
                <w:caps w:val="0"/>
                <w:color w:val="auto"/>
                <w:spacing w:val="0"/>
                <w:sz w:val="24"/>
                <w:szCs w:val="24"/>
                <w:highlight w:val="none"/>
                <w:shd w:val="clear" w:color="auto" w:fill="FFFFFF"/>
                <w:vertAlign w:val="baseline"/>
                <w:lang w:eastAsia="zh-CN"/>
              </w:rPr>
              <w:t>排气出口:排气出口为圆形，套管连接，减少气体扰流</w:t>
            </w:r>
          </w:p>
        </w:tc>
        <w:tc>
          <w:tcPr>
            <w:tcW w:w="869" w:type="dxa"/>
            <w:noWrap w:val="0"/>
            <w:vAlign w:val="center"/>
          </w:tcPr>
          <w:p w14:paraId="760FD830">
            <w:pPr>
              <w:jc w:val="cente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pPr>
            <w:r>
              <w:rPr>
                <w:rFonts w:hint="eastAsia" w:ascii="宋体" w:hAnsi="宋体" w:cs="宋体"/>
                <w:bCs/>
                <w:color w:val="auto"/>
                <w:kern w:val="0"/>
                <w:sz w:val="24"/>
                <w:highlight w:val="none"/>
                <w:lang w:val="en-US" w:eastAsia="zh-CN"/>
              </w:rPr>
              <w:t>1套</w:t>
            </w:r>
          </w:p>
        </w:tc>
      </w:tr>
      <w:tr w14:paraId="4D373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noWrap w:val="0"/>
            <w:vAlign w:val="center"/>
          </w:tcPr>
          <w:p w14:paraId="0B2287B1">
            <w:pPr>
              <w:jc w:val="center"/>
              <w:rPr>
                <w:rFonts w:hint="default" w:ascii="宋体" w:hAnsi="宋体" w:eastAsia="宋体" w:cs="宋体"/>
                <w:i w:val="0"/>
                <w:iCs w:val="0"/>
                <w:caps w:val="0"/>
                <w:color w:val="171A1D"/>
                <w:spacing w:val="0"/>
                <w:sz w:val="24"/>
                <w:szCs w:val="24"/>
                <w:highlight w:val="none"/>
                <w:shd w:val="clear" w:color="auto" w:fill="FFFFFF"/>
                <w:vertAlign w:val="baseline"/>
                <w:lang w:val="en-US" w:eastAsia="zh-CN"/>
              </w:rPr>
            </w:pPr>
            <w:r>
              <w:rPr>
                <w:rFonts w:hint="eastAsia" w:ascii="宋体" w:hAnsi="宋体" w:eastAsia="宋体" w:cs="宋体"/>
                <w:i w:val="0"/>
                <w:iCs w:val="0"/>
                <w:caps w:val="0"/>
                <w:color w:val="171A1D"/>
                <w:spacing w:val="0"/>
                <w:sz w:val="24"/>
                <w:szCs w:val="24"/>
                <w:highlight w:val="none"/>
                <w:shd w:val="clear" w:color="auto" w:fill="FFFFFF"/>
                <w:vertAlign w:val="baseline"/>
                <w:lang w:val="en-US" w:eastAsia="zh-CN"/>
              </w:rPr>
              <w:t>17</w:t>
            </w:r>
          </w:p>
        </w:tc>
        <w:tc>
          <w:tcPr>
            <w:tcW w:w="1243" w:type="dxa"/>
            <w:noWrap w:val="0"/>
            <w:vAlign w:val="center"/>
          </w:tcPr>
          <w:p w14:paraId="31F0F475">
            <w:pPr>
              <w:jc w:val="center"/>
              <w:rPr>
                <w:rFonts w:hint="eastAsia" w:ascii="宋体" w:hAnsi="宋体" w:eastAsia="宋体" w:cs="宋体"/>
                <w:i w:val="0"/>
                <w:iCs w:val="0"/>
                <w:caps w:val="0"/>
                <w:color w:val="171A1D"/>
                <w:spacing w:val="0"/>
                <w:sz w:val="24"/>
                <w:szCs w:val="24"/>
                <w:highlight w:val="none"/>
                <w:shd w:val="clear" w:color="auto" w:fill="FFFFFF"/>
                <w:lang w:eastAsia="zh-CN"/>
              </w:rPr>
            </w:pPr>
            <w:r>
              <w:rPr>
                <w:rFonts w:hint="eastAsia" w:ascii="宋体" w:hAnsi="宋体" w:eastAsia="宋体" w:cs="宋体"/>
                <w:i w:val="0"/>
                <w:iCs w:val="0"/>
                <w:caps w:val="0"/>
                <w:color w:val="171A1D"/>
                <w:spacing w:val="0"/>
                <w:sz w:val="24"/>
                <w:szCs w:val="24"/>
                <w:highlight w:val="none"/>
                <w:shd w:val="clear" w:color="auto" w:fill="FFFFFF"/>
                <w:lang w:eastAsia="zh-CN"/>
              </w:rPr>
              <w:t>垃圾桶</w:t>
            </w:r>
          </w:p>
        </w:tc>
        <w:tc>
          <w:tcPr>
            <w:tcW w:w="5625" w:type="dxa"/>
            <w:noWrap w:val="0"/>
            <w:vAlign w:val="top"/>
          </w:tcPr>
          <w:p w14:paraId="2B8A7DFA">
            <w:pPr>
              <w:rPr>
                <w:rFonts w:hint="eastAsia" w:ascii="宋体" w:hAnsi="宋体" w:eastAsia="宋体" w:cs="宋体"/>
                <w:i w:val="0"/>
                <w:iCs w:val="0"/>
                <w:caps w:val="0"/>
                <w:color w:val="auto"/>
                <w:spacing w:val="0"/>
                <w:sz w:val="24"/>
                <w:szCs w:val="24"/>
                <w:highlight w:val="none"/>
                <w:shd w:val="clear" w:color="auto" w:fill="FFFFFF"/>
                <w:vertAlign w:val="baseli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lang w:eastAsia="zh-CN"/>
              </w:rPr>
              <w:t>分类处理实验室产生的废物。</w:t>
            </w:r>
          </w:p>
        </w:tc>
        <w:tc>
          <w:tcPr>
            <w:tcW w:w="869" w:type="dxa"/>
            <w:noWrap w:val="0"/>
            <w:vAlign w:val="center"/>
          </w:tcPr>
          <w:p w14:paraId="7840A6FF">
            <w:pPr>
              <w:jc w:val="center"/>
              <w:rPr>
                <w:rFonts w:hint="eastAsia" w:ascii="宋体" w:hAnsi="宋体" w:eastAsia="宋体" w:cs="宋体"/>
                <w:i w:val="0"/>
                <w:iCs w:val="0"/>
                <w:caps w:val="0"/>
                <w:color w:val="auto"/>
                <w:spacing w:val="0"/>
                <w:sz w:val="24"/>
                <w:szCs w:val="24"/>
                <w:highlight w:val="none"/>
                <w:shd w:val="clear" w:color="auto" w:fill="FFFFFF"/>
                <w:vertAlign w:val="baseline"/>
                <w:lang w:eastAsia="zh-CN"/>
              </w:rPr>
            </w:pPr>
            <w:r>
              <w:rPr>
                <w:rFonts w:hint="eastAsia" w:ascii="宋体" w:hAnsi="宋体" w:cs="宋体"/>
                <w:bCs/>
                <w:color w:val="auto"/>
                <w:kern w:val="0"/>
                <w:sz w:val="24"/>
                <w:highlight w:val="none"/>
                <w:lang w:val="en-US" w:eastAsia="zh-CN"/>
              </w:rPr>
              <w:t>1个</w:t>
            </w:r>
          </w:p>
        </w:tc>
      </w:tr>
      <w:tr w14:paraId="4C700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noWrap w:val="0"/>
            <w:vAlign w:val="center"/>
          </w:tcPr>
          <w:p w14:paraId="28DB08CE">
            <w:pPr>
              <w:jc w:val="center"/>
              <w:rPr>
                <w:rFonts w:hint="default" w:ascii="宋体" w:hAnsi="宋体" w:eastAsia="宋体" w:cs="宋体"/>
                <w:i w:val="0"/>
                <w:iCs w:val="0"/>
                <w:caps w:val="0"/>
                <w:color w:val="171A1D"/>
                <w:spacing w:val="0"/>
                <w:sz w:val="24"/>
                <w:szCs w:val="24"/>
                <w:highlight w:val="none"/>
                <w:shd w:val="clear" w:color="auto" w:fill="FFFFFF"/>
                <w:vertAlign w:val="baseline"/>
                <w:lang w:val="en-US" w:eastAsia="zh-CN"/>
              </w:rPr>
            </w:pPr>
            <w:r>
              <w:rPr>
                <w:rFonts w:hint="eastAsia" w:ascii="宋体" w:hAnsi="宋体" w:eastAsia="宋体" w:cs="宋体"/>
                <w:i w:val="0"/>
                <w:iCs w:val="0"/>
                <w:caps w:val="0"/>
                <w:color w:val="171A1D"/>
                <w:spacing w:val="0"/>
                <w:sz w:val="24"/>
                <w:szCs w:val="24"/>
                <w:highlight w:val="none"/>
                <w:shd w:val="clear" w:color="auto" w:fill="FFFFFF"/>
                <w:vertAlign w:val="baseline"/>
                <w:lang w:val="en-US" w:eastAsia="zh-CN"/>
              </w:rPr>
              <w:t>18</w:t>
            </w:r>
          </w:p>
        </w:tc>
        <w:tc>
          <w:tcPr>
            <w:tcW w:w="1243" w:type="dxa"/>
            <w:noWrap w:val="0"/>
            <w:vAlign w:val="center"/>
          </w:tcPr>
          <w:p w14:paraId="3F1EE139">
            <w:pPr>
              <w:jc w:val="center"/>
              <w:rPr>
                <w:rFonts w:hint="eastAsia" w:ascii="宋体" w:hAnsi="宋体" w:eastAsia="宋体" w:cs="宋体"/>
                <w:i w:val="0"/>
                <w:iCs w:val="0"/>
                <w:caps w:val="0"/>
                <w:color w:val="171A1D"/>
                <w:spacing w:val="0"/>
                <w:sz w:val="24"/>
                <w:szCs w:val="24"/>
                <w:highlight w:val="none"/>
                <w:shd w:val="clear" w:color="auto" w:fill="FFFFFF"/>
                <w:lang w:eastAsia="zh-CN"/>
              </w:rPr>
            </w:pPr>
            <w:r>
              <w:rPr>
                <w:rFonts w:hint="eastAsia" w:ascii="宋体" w:hAnsi="宋体" w:eastAsia="宋体" w:cs="宋体"/>
                <w:i w:val="0"/>
                <w:iCs w:val="0"/>
                <w:caps w:val="0"/>
                <w:color w:val="171A1D"/>
                <w:spacing w:val="0"/>
                <w:sz w:val="24"/>
                <w:szCs w:val="24"/>
                <w:highlight w:val="none"/>
                <w:shd w:val="clear" w:color="auto" w:fill="FFFFFF"/>
                <w:lang w:eastAsia="zh-CN"/>
              </w:rPr>
              <w:t>试验台插座</w:t>
            </w:r>
          </w:p>
        </w:tc>
        <w:tc>
          <w:tcPr>
            <w:tcW w:w="5625" w:type="dxa"/>
            <w:noWrap w:val="0"/>
            <w:vAlign w:val="top"/>
          </w:tcPr>
          <w:p w14:paraId="73E3EDA8">
            <w:pPr>
              <w:rPr>
                <w:rFonts w:hint="eastAsia" w:ascii="宋体" w:hAnsi="宋体" w:eastAsia="宋体" w:cs="宋体"/>
                <w:i w:val="0"/>
                <w:iCs w:val="0"/>
                <w:caps w:val="0"/>
                <w:color w:val="auto"/>
                <w:spacing w:val="0"/>
                <w:sz w:val="24"/>
                <w:szCs w:val="24"/>
                <w:highlight w:val="none"/>
                <w:shd w:val="clear" w:color="auto" w:fill="FFFFFF"/>
                <w:vertAlign w:val="baseli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lang w:eastAsia="zh-CN"/>
              </w:rPr>
              <w:t>采用五孔多功能插座，适合各类仪器插头，安全耐用</w:t>
            </w:r>
          </w:p>
        </w:tc>
        <w:tc>
          <w:tcPr>
            <w:tcW w:w="869" w:type="dxa"/>
            <w:noWrap w:val="0"/>
            <w:vAlign w:val="center"/>
          </w:tcPr>
          <w:p w14:paraId="7221BBEA">
            <w:pPr>
              <w:jc w:val="center"/>
              <w:rPr>
                <w:rFonts w:hint="eastAsia" w:ascii="宋体" w:hAnsi="宋体" w:eastAsia="宋体" w:cs="宋体"/>
                <w:i w:val="0"/>
                <w:iCs w:val="0"/>
                <w:caps w:val="0"/>
                <w:color w:val="auto"/>
                <w:spacing w:val="0"/>
                <w:sz w:val="24"/>
                <w:szCs w:val="24"/>
                <w:highlight w:val="none"/>
                <w:shd w:val="clear" w:color="auto" w:fill="FFFFFF"/>
                <w:vertAlign w:val="baseline"/>
                <w:lang w:eastAsia="zh-CN"/>
              </w:rPr>
            </w:pPr>
            <w:r>
              <w:rPr>
                <w:rFonts w:hint="eastAsia" w:ascii="宋体" w:hAnsi="宋体" w:cs="宋体"/>
                <w:bCs/>
                <w:color w:val="auto"/>
                <w:kern w:val="0"/>
                <w:sz w:val="24"/>
                <w:highlight w:val="none"/>
                <w:lang w:val="en-US" w:eastAsia="zh-CN"/>
              </w:rPr>
              <w:t>1个</w:t>
            </w:r>
          </w:p>
        </w:tc>
      </w:tr>
      <w:tr w14:paraId="44E07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noWrap w:val="0"/>
            <w:vAlign w:val="center"/>
          </w:tcPr>
          <w:p w14:paraId="158C1666">
            <w:pPr>
              <w:jc w:val="center"/>
              <w:rPr>
                <w:rFonts w:hint="default" w:ascii="宋体" w:hAnsi="宋体" w:eastAsia="宋体" w:cs="宋体"/>
                <w:i w:val="0"/>
                <w:iCs w:val="0"/>
                <w:caps w:val="0"/>
                <w:color w:val="171A1D"/>
                <w:spacing w:val="0"/>
                <w:sz w:val="24"/>
                <w:szCs w:val="24"/>
                <w:highlight w:val="none"/>
                <w:shd w:val="clear" w:color="auto" w:fill="FFFFFF"/>
                <w:vertAlign w:val="baseline"/>
                <w:lang w:val="en-US" w:eastAsia="zh-CN"/>
              </w:rPr>
            </w:pPr>
            <w:r>
              <w:rPr>
                <w:rFonts w:hint="eastAsia" w:ascii="宋体" w:hAnsi="宋体" w:eastAsia="宋体" w:cs="宋体"/>
                <w:i w:val="0"/>
                <w:iCs w:val="0"/>
                <w:caps w:val="0"/>
                <w:color w:val="171A1D"/>
                <w:spacing w:val="0"/>
                <w:sz w:val="24"/>
                <w:szCs w:val="24"/>
                <w:highlight w:val="none"/>
                <w:shd w:val="clear" w:color="auto" w:fill="FFFFFF"/>
                <w:vertAlign w:val="baseline"/>
                <w:lang w:val="en-US" w:eastAsia="zh-CN"/>
              </w:rPr>
              <w:t>19</w:t>
            </w:r>
          </w:p>
        </w:tc>
        <w:tc>
          <w:tcPr>
            <w:tcW w:w="1243" w:type="dxa"/>
            <w:noWrap w:val="0"/>
            <w:vAlign w:val="center"/>
          </w:tcPr>
          <w:p w14:paraId="4FCFB655">
            <w:pPr>
              <w:jc w:val="center"/>
              <w:rPr>
                <w:rFonts w:hint="eastAsia" w:ascii="宋体" w:hAnsi="宋体" w:eastAsia="宋体" w:cs="宋体"/>
                <w:i w:val="0"/>
                <w:iCs w:val="0"/>
                <w:caps w:val="0"/>
                <w:color w:val="171A1D"/>
                <w:spacing w:val="0"/>
                <w:sz w:val="24"/>
                <w:szCs w:val="24"/>
                <w:highlight w:val="none"/>
                <w:shd w:val="clear" w:color="auto" w:fill="FFFFFF"/>
                <w:lang w:eastAsia="zh-CN"/>
              </w:rPr>
            </w:pPr>
            <w:r>
              <w:rPr>
                <w:rFonts w:hint="eastAsia" w:ascii="宋体" w:hAnsi="宋体" w:eastAsia="宋体" w:cs="宋体"/>
                <w:i w:val="0"/>
                <w:iCs w:val="0"/>
                <w:caps w:val="0"/>
                <w:color w:val="171A1D"/>
                <w:spacing w:val="0"/>
                <w:sz w:val="24"/>
                <w:szCs w:val="24"/>
                <w:highlight w:val="none"/>
                <w:shd w:val="clear" w:color="auto" w:fill="FFFFFF"/>
                <w:lang w:eastAsia="zh-CN"/>
              </w:rPr>
              <w:t>试剂架（操作台置物架）</w:t>
            </w:r>
          </w:p>
        </w:tc>
        <w:tc>
          <w:tcPr>
            <w:tcW w:w="5625" w:type="dxa"/>
            <w:noWrap w:val="0"/>
            <w:vAlign w:val="top"/>
          </w:tcPr>
          <w:p w14:paraId="7167C1ED">
            <w:pP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pP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1、</w:t>
            </w:r>
            <w:r>
              <w:rPr>
                <w:rFonts w:hint="eastAsia" w:ascii="宋体" w:hAnsi="宋体" w:eastAsia="宋体" w:cs="宋体"/>
                <w:i w:val="0"/>
                <w:iCs w:val="0"/>
                <w:caps w:val="0"/>
                <w:color w:val="auto"/>
                <w:spacing w:val="0"/>
                <w:sz w:val="24"/>
                <w:szCs w:val="24"/>
                <w:highlight w:val="none"/>
                <w:shd w:val="clear" w:color="auto" w:fill="FFFFFF"/>
                <w:vertAlign w:val="baseline"/>
                <w:lang w:eastAsia="zh-CN"/>
              </w:rPr>
              <w:t>高度</w:t>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75cm，宽度20cm，双层结构</w:t>
            </w:r>
          </w:p>
          <w:p w14:paraId="0DCDD810">
            <w:pPr>
              <w:rPr>
                <w:rFonts w:hint="eastAsia" w:ascii="宋体" w:hAnsi="宋体" w:eastAsia="宋体" w:cs="宋体"/>
                <w:i w:val="0"/>
                <w:iCs w:val="0"/>
                <w:caps w:val="0"/>
                <w:color w:val="auto"/>
                <w:spacing w:val="0"/>
                <w:sz w:val="24"/>
                <w:szCs w:val="24"/>
                <w:highlight w:val="none"/>
                <w:shd w:val="clear" w:color="auto" w:fill="FFFFFF"/>
                <w:vertAlign w:val="baseli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2、</w:t>
            </w:r>
            <w:r>
              <w:rPr>
                <w:rFonts w:hint="eastAsia" w:ascii="宋体" w:hAnsi="宋体" w:eastAsia="宋体" w:cs="宋体"/>
                <w:i w:val="0"/>
                <w:iCs w:val="0"/>
                <w:caps w:val="0"/>
                <w:color w:val="auto"/>
                <w:spacing w:val="0"/>
                <w:sz w:val="24"/>
                <w:szCs w:val="24"/>
                <w:highlight w:val="none"/>
                <w:shd w:val="clear" w:color="auto" w:fill="FFFFFF"/>
                <w:vertAlign w:val="baseline"/>
                <w:lang w:eastAsia="zh-CN"/>
              </w:rPr>
              <w:t>试剂架立柱：优质冷轧钢板折弯、焊接、冲孔而成，表面经酸洗、磷化、灰白环氧树脂粉整体喷涂，化学防锈处理，耐酸碱腐蚀。</w:t>
            </w:r>
          </w:p>
          <w:p w14:paraId="4216EFB5">
            <w:pPr>
              <w:rPr>
                <w:rFonts w:hint="eastAsia" w:ascii="宋体" w:hAnsi="宋体" w:eastAsia="宋体" w:cs="宋体"/>
                <w:i w:val="0"/>
                <w:iCs w:val="0"/>
                <w:caps w:val="0"/>
                <w:color w:val="auto"/>
                <w:spacing w:val="0"/>
                <w:sz w:val="24"/>
                <w:szCs w:val="24"/>
                <w:highlight w:val="none"/>
                <w:shd w:val="clear" w:color="auto" w:fill="FFFFFF"/>
                <w:vertAlign w:val="baseli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3、</w:t>
            </w:r>
            <w:r>
              <w:rPr>
                <w:rFonts w:hint="eastAsia" w:ascii="宋体" w:hAnsi="宋体" w:eastAsia="宋体" w:cs="宋体"/>
                <w:i w:val="0"/>
                <w:iCs w:val="0"/>
                <w:caps w:val="0"/>
                <w:color w:val="auto"/>
                <w:spacing w:val="0"/>
                <w:sz w:val="24"/>
                <w:szCs w:val="24"/>
                <w:highlight w:val="none"/>
                <w:shd w:val="clear" w:color="auto" w:fill="FFFFFF"/>
                <w:vertAlign w:val="baseline"/>
                <w:lang w:eastAsia="zh-CN"/>
              </w:rPr>
              <w:t>试剂架层板：</w:t>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10mm单面磨砂玻璃，四周车边处理，光滑</w:t>
            </w:r>
            <w:r>
              <w:rPr>
                <w:rFonts w:hint="eastAsia" w:ascii="宋体" w:hAnsi="宋体" w:cs="宋体"/>
                <w:i w:val="0"/>
                <w:iCs w:val="0"/>
                <w:caps w:val="0"/>
                <w:color w:val="auto"/>
                <w:spacing w:val="0"/>
                <w:sz w:val="24"/>
                <w:szCs w:val="24"/>
                <w:highlight w:val="none"/>
                <w:shd w:val="clear" w:color="auto" w:fill="FFFFFF"/>
                <w:vertAlign w:val="baseline"/>
                <w:lang w:val="en-US" w:eastAsia="zh-CN"/>
              </w:rPr>
              <w:t>不伤</w:t>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手，配玻璃托板及钢板折弯挂钩，</w:t>
            </w:r>
            <w:r>
              <w:rPr>
                <w:rFonts w:hint="eastAsia" w:ascii="宋体" w:hAnsi="宋体" w:cs="宋体"/>
                <w:i w:val="0"/>
                <w:iCs w:val="0"/>
                <w:caps w:val="0"/>
                <w:color w:val="auto"/>
                <w:spacing w:val="0"/>
                <w:sz w:val="24"/>
                <w:szCs w:val="24"/>
                <w:highlight w:val="none"/>
                <w:shd w:val="clear" w:color="auto" w:fill="FFFFFF"/>
                <w:vertAlign w:val="baseline"/>
                <w:lang w:val="en-US" w:eastAsia="zh-CN"/>
              </w:rPr>
              <w:t>可</w:t>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根据舒适要求调整高度，边缘配铝型材护栏管，以防止试剂瓶等物体跌落。</w:t>
            </w:r>
          </w:p>
        </w:tc>
        <w:tc>
          <w:tcPr>
            <w:tcW w:w="869" w:type="dxa"/>
            <w:noWrap w:val="0"/>
            <w:vAlign w:val="center"/>
          </w:tcPr>
          <w:p w14:paraId="26E9891C">
            <w:pPr>
              <w:jc w:val="center"/>
              <w:rPr>
                <w:rFonts w:hint="eastAsia" w:ascii="宋体" w:hAnsi="宋体" w:eastAsia="宋体" w:cs="宋体"/>
                <w:i w:val="0"/>
                <w:iCs w:val="0"/>
                <w:caps w:val="0"/>
                <w:color w:val="auto"/>
                <w:spacing w:val="0"/>
                <w:sz w:val="24"/>
                <w:szCs w:val="24"/>
                <w:highlight w:val="none"/>
                <w:shd w:val="clear" w:color="auto" w:fill="FFFFFF"/>
                <w:vertAlign w:val="baseline"/>
                <w:lang w:eastAsia="zh-CN"/>
              </w:rPr>
            </w:pPr>
            <w:r>
              <w:rPr>
                <w:rFonts w:hint="eastAsia" w:ascii="宋体" w:hAnsi="宋体" w:cs="宋体"/>
                <w:bCs/>
                <w:color w:val="auto"/>
                <w:kern w:val="0"/>
                <w:sz w:val="24"/>
                <w:highlight w:val="none"/>
                <w:lang w:val="en-US" w:eastAsia="zh-CN"/>
              </w:rPr>
              <w:t>1套</w:t>
            </w:r>
          </w:p>
        </w:tc>
      </w:tr>
      <w:tr w14:paraId="307B4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noWrap w:val="0"/>
            <w:vAlign w:val="center"/>
          </w:tcPr>
          <w:p w14:paraId="6E25C6F0">
            <w:pPr>
              <w:jc w:val="center"/>
              <w:rPr>
                <w:rFonts w:hint="default" w:ascii="宋体" w:hAnsi="宋体" w:eastAsia="宋体" w:cs="宋体"/>
                <w:i w:val="0"/>
                <w:iCs w:val="0"/>
                <w:caps w:val="0"/>
                <w:color w:val="171A1D"/>
                <w:spacing w:val="0"/>
                <w:sz w:val="24"/>
                <w:szCs w:val="24"/>
                <w:highlight w:val="none"/>
                <w:shd w:val="clear" w:color="auto" w:fill="FFFFFF"/>
                <w:vertAlign w:val="baseline"/>
                <w:lang w:val="en-US" w:eastAsia="zh-CN"/>
              </w:rPr>
            </w:pPr>
            <w:r>
              <w:rPr>
                <w:rFonts w:hint="eastAsia" w:ascii="宋体" w:hAnsi="宋体" w:eastAsia="宋体" w:cs="宋体"/>
                <w:i w:val="0"/>
                <w:iCs w:val="0"/>
                <w:caps w:val="0"/>
                <w:color w:val="171A1D"/>
                <w:spacing w:val="0"/>
                <w:sz w:val="24"/>
                <w:szCs w:val="24"/>
                <w:highlight w:val="none"/>
                <w:shd w:val="clear" w:color="auto" w:fill="FFFFFF"/>
                <w:vertAlign w:val="baseline"/>
                <w:lang w:val="en-US" w:eastAsia="zh-CN"/>
              </w:rPr>
              <w:t>20</w:t>
            </w:r>
          </w:p>
        </w:tc>
        <w:tc>
          <w:tcPr>
            <w:tcW w:w="1243" w:type="dxa"/>
            <w:noWrap w:val="0"/>
            <w:vAlign w:val="center"/>
          </w:tcPr>
          <w:p w14:paraId="29B766E1">
            <w:pPr>
              <w:jc w:val="center"/>
              <w:rPr>
                <w:rFonts w:hint="eastAsia" w:ascii="宋体" w:hAnsi="宋体" w:eastAsia="宋体" w:cs="宋体"/>
                <w:i w:val="0"/>
                <w:iCs w:val="0"/>
                <w:caps w:val="0"/>
                <w:color w:val="171A1D"/>
                <w:spacing w:val="0"/>
                <w:sz w:val="24"/>
                <w:szCs w:val="24"/>
                <w:highlight w:val="none"/>
                <w:shd w:val="clear" w:color="auto" w:fill="FFFFFF"/>
                <w:lang w:eastAsia="zh-CN"/>
              </w:rPr>
            </w:pPr>
            <w:r>
              <w:rPr>
                <w:rFonts w:hint="eastAsia" w:ascii="宋体" w:hAnsi="宋体" w:eastAsia="宋体" w:cs="宋体"/>
                <w:i w:val="0"/>
                <w:iCs w:val="0"/>
                <w:caps w:val="0"/>
                <w:color w:val="171A1D"/>
                <w:spacing w:val="0"/>
                <w:sz w:val="24"/>
                <w:szCs w:val="24"/>
                <w:highlight w:val="none"/>
                <w:shd w:val="clear" w:color="auto" w:fill="FFFFFF"/>
                <w:lang w:eastAsia="zh-CN"/>
              </w:rPr>
              <w:t>滴水架</w:t>
            </w:r>
          </w:p>
        </w:tc>
        <w:tc>
          <w:tcPr>
            <w:tcW w:w="5625" w:type="dxa"/>
            <w:noWrap w:val="0"/>
            <w:vAlign w:val="top"/>
          </w:tcPr>
          <w:p w14:paraId="1AAF41B5">
            <w:pPr>
              <w:rPr>
                <w:rFonts w:hint="eastAsia" w:ascii="宋体" w:hAnsi="宋体" w:eastAsia="宋体" w:cs="宋体"/>
                <w:i w:val="0"/>
                <w:iCs w:val="0"/>
                <w:caps w:val="0"/>
                <w:color w:val="auto"/>
                <w:spacing w:val="0"/>
                <w:sz w:val="24"/>
                <w:szCs w:val="24"/>
                <w:highlight w:val="none"/>
                <w:shd w:val="clear" w:color="auto" w:fill="FFFFFF"/>
                <w:vertAlign w:val="baseli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lang w:eastAsia="zh-CN"/>
              </w:rPr>
              <w:t>高密度</w:t>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PP，单面，底部托盘中间设有排水孔，可拆卸式滴水棒，具有锁扣功能，方便使用，壁挂式</w:t>
            </w:r>
          </w:p>
        </w:tc>
        <w:tc>
          <w:tcPr>
            <w:tcW w:w="869" w:type="dxa"/>
            <w:noWrap w:val="0"/>
            <w:vAlign w:val="center"/>
          </w:tcPr>
          <w:p w14:paraId="7F39F2BE">
            <w:pPr>
              <w:jc w:val="center"/>
              <w:rPr>
                <w:rFonts w:hint="eastAsia" w:ascii="宋体" w:hAnsi="宋体" w:eastAsia="宋体" w:cs="宋体"/>
                <w:i w:val="0"/>
                <w:iCs w:val="0"/>
                <w:caps w:val="0"/>
                <w:color w:val="auto"/>
                <w:spacing w:val="0"/>
                <w:sz w:val="24"/>
                <w:szCs w:val="24"/>
                <w:highlight w:val="none"/>
                <w:shd w:val="clear" w:color="auto" w:fill="FFFFFF"/>
                <w:vertAlign w:val="baseline"/>
                <w:lang w:eastAsia="zh-CN"/>
              </w:rPr>
            </w:pPr>
            <w:r>
              <w:rPr>
                <w:rFonts w:hint="eastAsia" w:ascii="宋体" w:hAnsi="宋体" w:cs="宋体"/>
                <w:bCs/>
                <w:color w:val="auto"/>
                <w:kern w:val="0"/>
                <w:sz w:val="24"/>
                <w:highlight w:val="none"/>
                <w:lang w:val="en-US" w:eastAsia="zh-CN"/>
              </w:rPr>
              <w:t>1套</w:t>
            </w:r>
          </w:p>
        </w:tc>
      </w:tr>
    </w:tbl>
    <w:p w14:paraId="0ED49BD3">
      <w:pPr>
        <w:adjustRightInd/>
        <w:snapToGrid w:val="0"/>
        <w:spacing w:before="120" w:beforeLines="50" w:after="120" w:afterLines="50" w:line="360" w:lineRule="auto"/>
        <w:ind w:firstLine="480" w:firstLineChars="200"/>
        <w:outlineLvl w:val="0"/>
        <w:rPr>
          <w:rFonts w:hint="eastAsia" w:ascii="宋体" w:hAnsi="宋体" w:eastAsia="宋体" w:cs="宋体"/>
          <w:color w:val="000000" w:themeColor="text1"/>
          <w:sz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2.2实验室耗材辅助耗材：【以下数量暂按1个实验室预估，投标时按以下数量报价（如为按需的，暂按数量1报价）。实施过程中，按实际采购数量按实结算，由此产生的风险由投标人自行承担</w:t>
      </w:r>
      <w:r>
        <w:rPr>
          <w:rFonts w:hint="eastAsia" w:ascii="宋体" w:hAnsi="宋体" w:cs="宋体"/>
          <w:color w:val="000000" w:themeColor="text1"/>
          <w:sz w:val="24"/>
          <w:highlight w:val="none"/>
          <w:lang w:val="en-US" w:eastAsia="zh-CN"/>
          <w14:textFill>
            <w14:solidFill>
              <w14:schemeClr w14:val="tx1"/>
            </w14:solidFill>
          </w14:textFill>
        </w:rPr>
        <w:t>】</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3"/>
        <w:gridCol w:w="4960"/>
        <w:gridCol w:w="2832"/>
      </w:tblGrid>
      <w:tr w14:paraId="7834A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3" w:type="dxa"/>
            <w:vAlign w:val="center"/>
          </w:tcPr>
          <w:p w14:paraId="689ADD89">
            <w:pPr>
              <w:jc w:val="center"/>
              <w:rPr>
                <w:rFonts w:hint="default" w:ascii="宋体" w:hAnsi="宋体" w:eastAsia="宋体" w:cs="宋体"/>
                <w:i w:val="0"/>
                <w:iCs w:val="0"/>
                <w:caps w:val="0"/>
                <w:color w:val="171A1D"/>
                <w:spacing w:val="0"/>
                <w:sz w:val="24"/>
                <w:szCs w:val="24"/>
                <w:highlight w:val="none"/>
                <w:shd w:val="clear" w:color="auto" w:fill="FFFFFF"/>
                <w:lang w:val="en-US" w:eastAsia="zh-CN"/>
              </w:rPr>
            </w:pPr>
            <w:r>
              <w:rPr>
                <w:rFonts w:hint="eastAsia" w:ascii="宋体" w:hAnsi="宋体" w:eastAsia="宋体" w:cs="宋体"/>
                <w:i w:val="0"/>
                <w:iCs w:val="0"/>
                <w:caps w:val="0"/>
                <w:color w:val="171A1D"/>
                <w:spacing w:val="0"/>
                <w:sz w:val="24"/>
                <w:szCs w:val="24"/>
                <w:highlight w:val="none"/>
                <w:shd w:val="clear" w:color="auto" w:fill="FFFFFF"/>
                <w:lang w:val="en-US" w:eastAsia="zh-CN"/>
              </w:rPr>
              <w:t>序号</w:t>
            </w:r>
          </w:p>
        </w:tc>
        <w:tc>
          <w:tcPr>
            <w:tcW w:w="4960" w:type="dxa"/>
            <w:vAlign w:val="center"/>
          </w:tcPr>
          <w:p w14:paraId="7B18BD11">
            <w:pPr>
              <w:jc w:val="center"/>
              <w:rPr>
                <w:rFonts w:hint="default" w:ascii="宋体" w:hAnsi="宋体" w:eastAsia="宋体" w:cs="宋体"/>
                <w:i w:val="0"/>
                <w:iCs w:val="0"/>
                <w:caps w:val="0"/>
                <w:color w:val="171A1D"/>
                <w:spacing w:val="0"/>
                <w:sz w:val="24"/>
                <w:szCs w:val="24"/>
                <w:highlight w:val="none"/>
                <w:shd w:val="clear" w:color="auto" w:fill="FFFFFF"/>
                <w:lang w:val="en-US" w:eastAsia="zh-CN"/>
              </w:rPr>
            </w:pPr>
            <w:r>
              <w:rPr>
                <w:rFonts w:hint="eastAsia" w:ascii="宋体" w:hAnsi="宋体" w:eastAsia="宋体" w:cs="宋体"/>
                <w:i w:val="0"/>
                <w:iCs w:val="0"/>
                <w:caps w:val="0"/>
                <w:color w:val="171A1D"/>
                <w:spacing w:val="0"/>
                <w:sz w:val="24"/>
                <w:szCs w:val="24"/>
                <w:highlight w:val="none"/>
                <w:shd w:val="clear" w:color="auto" w:fill="FFFFFF"/>
                <w:lang w:val="en-US" w:eastAsia="zh-CN"/>
              </w:rPr>
              <w:t>名称</w:t>
            </w:r>
          </w:p>
        </w:tc>
        <w:tc>
          <w:tcPr>
            <w:tcW w:w="2832" w:type="dxa"/>
            <w:vAlign w:val="center"/>
          </w:tcPr>
          <w:p w14:paraId="21F56EEF">
            <w:pPr>
              <w:jc w:val="center"/>
              <w:rPr>
                <w:rFonts w:hint="default" w:ascii="宋体" w:hAnsi="宋体" w:eastAsia="宋体" w:cs="宋体"/>
                <w:i w:val="0"/>
                <w:iCs w:val="0"/>
                <w:caps w:val="0"/>
                <w:color w:val="171A1D"/>
                <w:spacing w:val="0"/>
                <w:sz w:val="24"/>
                <w:szCs w:val="24"/>
                <w:highlight w:val="none"/>
                <w:shd w:val="clear" w:color="auto" w:fill="FFFFFF"/>
                <w:lang w:val="en-US" w:eastAsia="zh-CN"/>
              </w:rPr>
            </w:pPr>
            <w:r>
              <w:rPr>
                <w:rFonts w:hint="eastAsia" w:ascii="宋体" w:hAnsi="宋体" w:eastAsia="宋体" w:cs="宋体"/>
                <w:i w:val="0"/>
                <w:iCs w:val="0"/>
                <w:caps w:val="0"/>
                <w:color w:val="171A1D"/>
                <w:spacing w:val="0"/>
                <w:sz w:val="24"/>
                <w:szCs w:val="24"/>
                <w:highlight w:val="none"/>
                <w:shd w:val="clear" w:color="auto" w:fill="FFFFFF"/>
                <w:lang w:val="en-US" w:eastAsia="zh-CN"/>
              </w:rPr>
              <w:t>数量</w:t>
            </w:r>
          </w:p>
        </w:tc>
      </w:tr>
      <w:tr w14:paraId="045AF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14:paraId="61482CDA">
            <w:pPr>
              <w:jc w:val="center"/>
              <w:rPr>
                <w:rFonts w:hint="default" w:ascii="宋体" w:hAnsi="宋体" w:eastAsia="宋体" w:cs="宋体"/>
                <w:i w:val="0"/>
                <w:iCs w:val="0"/>
                <w:caps w:val="0"/>
                <w:color w:val="171A1D"/>
                <w:spacing w:val="0"/>
                <w:sz w:val="24"/>
                <w:szCs w:val="24"/>
                <w:highlight w:val="none"/>
                <w:shd w:val="clear" w:color="auto" w:fill="FFFFFF"/>
                <w:lang w:val="en-US" w:eastAsia="zh-CN"/>
              </w:rPr>
            </w:pPr>
            <w:r>
              <w:rPr>
                <w:rFonts w:hint="eastAsia" w:ascii="宋体" w:hAnsi="宋体" w:eastAsia="宋体" w:cs="宋体"/>
                <w:i w:val="0"/>
                <w:iCs w:val="0"/>
                <w:caps w:val="0"/>
                <w:color w:val="171A1D"/>
                <w:spacing w:val="0"/>
                <w:sz w:val="24"/>
                <w:szCs w:val="24"/>
                <w:highlight w:val="none"/>
                <w:shd w:val="clear" w:color="auto" w:fill="FFFFFF"/>
                <w:lang w:val="en-US" w:eastAsia="zh-CN"/>
              </w:rPr>
              <w:t>1</w:t>
            </w:r>
          </w:p>
        </w:tc>
        <w:tc>
          <w:tcPr>
            <w:tcW w:w="4960" w:type="dxa"/>
            <w:vAlign w:val="center"/>
          </w:tcPr>
          <w:p w14:paraId="569D11B2">
            <w:pPr>
              <w:jc w:val="center"/>
              <w:rPr>
                <w:rFonts w:hint="eastAsia" w:ascii="宋体" w:hAnsi="宋体" w:eastAsia="宋体" w:cs="宋体"/>
                <w:i w:val="0"/>
                <w:iCs w:val="0"/>
                <w:caps w:val="0"/>
                <w:color w:val="171A1D"/>
                <w:spacing w:val="0"/>
                <w:sz w:val="24"/>
                <w:szCs w:val="24"/>
                <w:highlight w:val="none"/>
                <w:shd w:val="clear" w:color="auto" w:fill="FFFFFF"/>
                <w:lang w:val="en-US" w:eastAsia="zh-CN"/>
              </w:rPr>
            </w:pPr>
            <w:r>
              <w:rPr>
                <w:rFonts w:hint="eastAsia" w:ascii="宋体" w:hAnsi="宋体" w:eastAsia="宋体" w:cs="宋体"/>
                <w:i w:val="0"/>
                <w:iCs w:val="0"/>
                <w:caps w:val="0"/>
                <w:color w:val="171A1D"/>
                <w:spacing w:val="0"/>
                <w:sz w:val="24"/>
                <w:szCs w:val="24"/>
                <w:highlight w:val="none"/>
                <w:shd w:val="clear" w:color="auto" w:fill="FFFFFF"/>
                <w:lang w:val="en-US" w:eastAsia="zh-CN"/>
              </w:rPr>
              <w:t>食品安全附件箱（包含一般耗材）</w:t>
            </w:r>
          </w:p>
        </w:tc>
        <w:tc>
          <w:tcPr>
            <w:tcW w:w="2832" w:type="dxa"/>
            <w:vAlign w:val="center"/>
          </w:tcPr>
          <w:p w14:paraId="030BC5F8">
            <w:pPr>
              <w:jc w:val="center"/>
              <w:rPr>
                <w:rFonts w:hint="default" w:ascii="宋体" w:hAnsi="宋体" w:eastAsia="宋体" w:cs="宋体"/>
                <w:i w:val="0"/>
                <w:iCs w:val="0"/>
                <w:caps w:val="0"/>
                <w:color w:val="171A1D"/>
                <w:spacing w:val="0"/>
                <w:sz w:val="24"/>
                <w:szCs w:val="24"/>
                <w:highlight w:val="none"/>
                <w:shd w:val="clear" w:color="auto" w:fill="FFFFFF"/>
                <w:lang w:val="en-US" w:eastAsia="zh-CN"/>
              </w:rPr>
            </w:pPr>
            <w:r>
              <w:rPr>
                <w:rFonts w:hint="eastAsia" w:ascii="宋体" w:hAnsi="宋体" w:eastAsia="宋体" w:cs="宋体"/>
                <w:i w:val="0"/>
                <w:iCs w:val="0"/>
                <w:caps w:val="0"/>
                <w:color w:val="171A1D"/>
                <w:spacing w:val="0"/>
                <w:sz w:val="24"/>
                <w:szCs w:val="24"/>
                <w:highlight w:val="none"/>
                <w:shd w:val="clear" w:color="auto" w:fill="FFFFFF"/>
                <w:lang w:val="en-US" w:eastAsia="zh-CN"/>
              </w:rPr>
              <w:t>按需</w:t>
            </w:r>
          </w:p>
        </w:tc>
      </w:tr>
      <w:tr w14:paraId="5E6E8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14:paraId="5A7BF6F9">
            <w:pPr>
              <w:jc w:val="center"/>
              <w:rPr>
                <w:rFonts w:hint="default" w:ascii="宋体" w:hAnsi="宋体" w:eastAsia="宋体" w:cs="宋体"/>
                <w:i w:val="0"/>
                <w:iCs w:val="0"/>
                <w:caps w:val="0"/>
                <w:color w:val="171A1D"/>
                <w:spacing w:val="0"/>
                <w:sz w:val="24"/>
                <w:szCs w:val="24"/>
                <w:highlight w:val="none"/>
                <w:shd w:val="clear" w:color="auto" w:fill="FFFFFF"/>
                <w:lang w:val="en-US" w:eastAsia="zh-CN"/>
              </w:rPr>
            </w:pPr>
            <w:r>
              <w:rPr>
                <w:rFonts w:hint="eastAsia" w:ascii="宋体" w:hAnsi="宋体" w:eastAsia="宋体" w:cs="宋体"/>
                <w:i w:val="0"/>
                <w:iCs w:val="0"/>
                <w:caps w:val="0"/>
                <w:color w:val="171A1D"/>
                <w:spacing w:val="0"/>
                <w:sz w:val="24"/>
                <w:szCs w:val="24"/>
                <w:highlight w:val="none"/>
                <w:shd w:val="clear" w:color="auto" w:fill="FFFFFF"/>
                <w:lang w:val="en-US" w:eastAsia="zh-CN"/>
              </w:rPr>
              <w:t>2</w:t>
            </w:r>
          </w:p>
        </w:tc>
        <w:tc>
          <w:tcPr>
            <w:tcW w:w="4960" w:type="dxa"/>
            <w:vAlign w:val="center"/>
          </w:tcPr>
          <w:p w14:paraId="56C88580">
            <w:pPr>
              <w:jc w:val="center"/>
              <w:rPr>
                <w:rFonts w:hint="eastAsia" w:ascii="宋体" w:hAnsi="宋体" w:eastAsia="宋体" w:cs="宋体"/>
                <w:i w:val="0"/>
                <w:iCs w:val="0"/>
                <w:caps w:val="0"/>
                <w:color w:val="171A1D"/>
                <w:spacing w:val="0"/>
                <w:sz w:val="24"/>
                <w:szCs w:val="24"/>
                <w:highlight w:val="none"/>
                <w:shd w:val="clear" w:color="auto" w:fill="FFFFFF"/>
                <w:lang w:val="en-US" w:eastAsia="zh-CN"/>
              </w:rPr>
            </w:pPr>
            <w:r>
              <w:rPr>
                <w:rFonts w:hint="eastAsia" w:ascii="宋体" w:hAnsi="宋体" w:eastAsia="宋体" w:cs="宋体"/>
                <w:i w:val="0"/>
                <w:iCs w:val="0"/>
                <w:caps w:val="0"/>
                <w:color w:val="171A1D"/>
                <w:spacing w:val="0"/>
                <w:sz w:val="24"/>
                <w:szCs w:val="24"/>
                <w:highlight w:val="none"/>
                <w:shd w:val="clear" w:color="auto" w:fill="FFFFFF"/>
                <w:lang w:val="en-US" w:eastAsia="zh-CN"/>
              </w:rPr>
              <w:t>多量程移液枪（100-1000u）</w:t>
            </w:r>
          </w:p>
        </w:tc>
        <w:tc>
          <w:tcPr>
            <w:tcW w:w="2832" w:type="dxa"/>
            <w:vAlign w:val="center"/>
          </w:tcPr>
          <w:p w14:paraId="3C9A5DFF">
            <w:pPr>
              <w:jc w:val="center"/>
              <w:rPr>
                <w:rFonts w:hint="eastAsia" w:ascii="宋体" w:hAnsi="宋体" w:eastAsia="宋体" w:cs="宋体"/>
                <w:i w:val="0"/>
                <w:iCs w:val="0"/>
                <w:caps w:val="0"/>
                <w:color w:val="171A1D"/>
                <w:spacing w:val="0"/>
                <w:sz w:val="24"/>
                <w:szCs w:val="24"/>
                <w:highlight w:val="none"/>
                <w:shd w:val="clear" w:color="auto" w:fill="FFFFFF"/>
                <w:lang w:val="en-US" w:eastAsia="zh-CN"/>
              </w:rPr>
            </w:pPr>
            <w:r>
              <w:rPr>
                <w:rFonts w:hint="eastAsia" w:ascii="宋体" w:hAnsi="宋体" w:eastAsia="宋体" w:cs="宋体"/>
                <w:i w:val="0"/>
                <w:iCs w:val="0"/>
                <w:caps w:val="0"/>
                <w:color w:val="171A1D"/>
                <w:spacing w:val="0"/>
                <w:sz w:val="24"/>
                <w:szCs w:val="24"/>
                <w:highlight w:val="none"/>
                <w:shd w:val="clear" w:color="auto" w:fill="FFFFFF"/>
                <w:lang w:val="en-US" w:eastAsia="zh-CN"/>
              </w:rPr>
              <w:t>1把</w:t>
            </w:r>
          </w:p>
        </w:tc>
      </w:tr>
      <w:tr w14:paraId="3FB13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14:paraId="36DF3632">
            <w:pPr>
              <w:jc w:val="center"/>
              <w:rPr>
                <w:rFonts w:hint="default" w:ascii="宋体" w:hAnsi="宋体" w:eastAsia="宋体" w:cs="宋体"/>
                <w:i w:val="0"/>
                <w:iCs w:val="0"/>
                <w:caps w:val="0"/>
                <w:color w:val="171A1D"/>
                <w:spacing w:val="0"/>
                <w:sz w:val="24"/>
                <w:szCs w:val="24"/>
                <w:highlight w:val="none"/>
                <w:shd w:val="clear" w:color="auto" w:fill="FFFFFF"/>
                <w:lang w:val="en-US" w:eastAsia="zh-CN"/>
              </w:rPr>
            </w:pPr>
            <w:r>
              <w:rPr>
                <w:rFonts w:hint="eastAsia" w:ascii="宋体" w:hAnsi="宋体" w:eastAsia="宋体" w:cs="宋体"/>
                <w:i w:val="0"/>
                <w:iCs w:val="0"/>
                <w:caps w:val="0"/>
                <w:color w:val="171A1D"/>
                <w:spacing w:val="0"/>
                <w:sz w:val="24"/>
                <w:szCs w:val="24"/>
                <w:highlight w:val="none"/>
                <w:shd w:val="clear" w:color="auto" w:fill="FFFFFF"/>
                <w:lang w:val="en-US" w:eastAsia="zh-CN"/>
              </w:rPr>
              <w:t>3</w:t>
            </w:r>
          </w:p>
        </w:tc>
        <w:tc>
          <w:tcPr>
            <w:tcW w:w="4960" w:type="dxa"/>
            <w:vAlign w:val="center"/>
          </w:tcPr>
          <w:p w14:paraId="264FEF6B">
            <w:pPr>
              <w:jc w:val="center"/>
              <w:rPr>
                <w:rFonts w:hint="eastAsia" w:ascii="宋体" w:hAnsi="宋体" w:eastAsia="宋体" w:cs="宋体"/>
                <w:i w:val="0"/>
                <w:iCs w:val="0"/>
                <w:caps w:val="0"/>
                <w:color w:val="171A1D"/>
                <w:spacing w:val="0"/>
                <w:sz w:val="24"/>
                <w:szCs w:val="24"/>
                <w:highlight w:val="none"/>
                <w:shd w:val="clear" w:color="auto" w:fill="FFFFFF"/>
                <w:lang w:val="en-US" w:eastAsia="zh-CN"/>
              </w:rPr>
            </w:pPr>
            <w:r>
              <w:rPr>
                <w:rFonts w:hint="eastAsia" w:ascii="宋体" w:hAnsi="宋体" w:eastAsia="宋体" w:cs="宋体"/>
                <w:i w:val="0"/>
                <w:iCs w:val="0"/>
                <w:caps w:val="0"/>
                <w:color w:val="171A1D"/>
                <w:spacing w:val="0"/>
                <w:sz w:val="24"/>
                <w:szCs w:val="24"/>
                <w:highlight w:val="none"/>
                <w:shd w:val="clear" w:color="auto" w:fill="FFFFFF"/>
                <w:lang w:val="en-US" w:eastAsia="zh-CN"/>
              </w:rPr>
              <w:t>移液枪头（100-1000u）</w:t>
            </w:r>
          </w:p>
        </w:tc>
        <w:tc>
          <w:tcPr>
            <w:tcW w:w="2832" w:type="dxa"/>
            <w:vAlign w:val="center"/>
          </w:tcPr>
          <w:p w14:paraId="79FCB151">
            <w:pPr>
              <w:jc w:val="center"/>
              <w:rPr>
                <w:rFonts w:hint="eastAsia" w:ascii="宋体" w:hAnsi="宋体" w:eastAsia="宋体" w:cs="宋体"/>
                <w:i w:val="0"/>
                <w:iCs w:val="0"/>
                <w:caps w:val="0"/>
                <w:color w:val="171A1D"/>
                <w:spacing w:val="0"/>
                <w:sz w:val="24"/>
                <w:szCs w:val="24"/>
                <w:highlight w:val="none"/>
                <w:shd w:val="clear" w:color="auto" w:fill="FFFFFF"/>
                <w:lang w:val="en-US" w:eastAsia="zh-CN"/>
              </w:rPr>
            </w:pPr>
            <w:r>
              <w:rPr>
                <w:rFonts w:hint="eastAsia" w:ascii="宋体" w:hAnsi="宋体" w:eastAsia="宋体" w:cs="宋体"/>
                <w:i w:val="0"/>
                <w:iCs w:val="0"/>
                <w:caps w:val="0"/>
                <w:color w:val="171A1D"/>
                <w:spacing w:val="0"/>
                <w:sz w:val="24"/>
                <w:szCs w:val="24"/>
                <w:highlight w:val="none"/>
                <w:shd w:val="clear" w:color="auto" w:fill="FFFFFF"/>
                <w:lang w:val="en-US" w:eastAsia="zh-CN"/>
              </w:rPr>
              <w:t>1包</w:t>
            </w:r>
          </w:p>
        </w:tc>
      </w:tr>
      <w:tr w14:paraId="5C009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14:paraId="3C99FE14">
            <w:pPr>
              <w:jc w:val="center"/>
              <w:rPr>
                <w:rFonts w:hint="default" w:ascii="宋体" w:hAnsi="宋体" w:eastAsia="宋体" w:cs="宋体"/>
                <w:i w:val="0"/>
                <w:iCs w:val="0"/>
                <w:caps w:val="0"/>
                <w:color w:val="171A1D"/>
                <w:spacing w:val="0"/>
                <w:sz w:val="24"/>
                <w:szCs w:val="24"/>
                <w:highlight w:val="none"/>
                <w:shd w:val="clear" w:color="auto" w:fill="FFFFFF"/>
                <w:lang w:val="en-US" w:eastAsia="zh-CN"/>
              </w:rPr>
            </w:pPr>
            <w:r>
              <w:rPr>
                <w:rFonts w:hint="eastAsia" w:ascii="宋体" w:hAnsi="宋体" w:eastAsia="宋体" w:cs="宋体"/>
                <w:i w:val="0"/>
                <w:iCs w:val="0"/>
                <w:caps w:val="0"/>
                <w:color w:val="171A1D"/>
                <w:spacing w:val="0"/>
                <w:sz w:val="24"/>
                <w:szCs w:val="24"/>
                <w:highlight w:val="none"/>
                <w:shd w:val="clear" w:color="auto" w:fill="FFFFFF"/>
                <w:lang w:val="en-US" w:eastAsia="zh-CN"/>
              </w:rPr>
              <w:t>4</w:t>
            </w:r>
          </w:p>
        </w:tc>
        <w:tc>
          <w:tcPr>
            <w:tcW w:w="4960" w:type="dxa"/>
            <w:vAlign w:val="center"/>
          </w:tcPr>
          <w:p w14:paraId="1C7562A7">
            <w:pPr>
              <w:jc w:val="center"/>
              <w:rPr>
                <w:rFonts w:hint="eastAsia" w:ascii="宋体" w:hAnsi="宋体" w:eastAsia="宋体" w:cs="宋体"/>
                <w:i w:val="0"/>
                <w:iCs w:val="0"/>
                <w:caps w:val="0"/>
                <w:color w:val="171A1D"/>
                <w:spacing w:val="0"/>
                <w:sz w:val="24"/>
                <w:szCs w:val="24"/>
                <w:highlight w:val="none"/>
                <w:shd w:val="clear" w:color="auto" w:fill="FFFFFF"/>
                <w:lang w:val="en-US" w:eastAsia="zh-CN"/>
              </w:rPr>
            </w:pPr>
            <w:r>
              <w:rPr>
                <w:rFonts w:hint="eastAsia" w:ascii="宋体" w:hAnsi="宋体" w:eastAsia="宋体" w:cs="宋体"/>
                <w:i w:val="0"/>
                <w:iCs w:val="0"/>
                <w:caps w:val="0"/>
                <w:color w:val="171A1D"/>
                <w:spacing w:val="0"/>
                <w:sz w:val="24"/>
                <w:szCs w:val="24"/>
                <w:highlight w:val="none"/>
                <w:shd w:val="clear" w:color="auto" w:fill="FFFFFF"/>
                <w:lang w:val="en-US" w:eastAsia="zh-CN"/>
              </w:rPr>
              <w:t>移液枪头(1</w:t>
            </w:r>
            <w:r>
              <w:rPr>
                <w:rFonts w:hint="eastAsia" w:ascii="宋体" w:hAnsi="宋体" w:cs="宋体"/>
                <w:i w:val="0"/>
                <w:iCs w:val="0"/>
                <w:caps w:val="0"/>
                <w:color w:val="171A1D"/>
                <w:spacing w:val="0"/>
                <w:sz w:val="24"/>
                <w:szCs w:val="24"/>
                <w:highlight w:val="none"/>
                <w:shd w:val="clear" w:color="auto" w:fill="FFFFFF"/>
                <w:lang w:val="en-US" w:eastAsia="zh-CN"/>
              </w:rPr>
              <w:t>—</w:t>
            </w:r>
            <w:r>
              <w:rPr>
                <w:rFonts w:hint="eastAsia" w:ascii="宋体" w:hAnsi="宋体" w:eastAsia="宋体" w:cs="宋体"/>
                <w:i w:val="0"/>
                <w:iCs w:val="0"/>
                <w:caps w:val="0"/>
                <w:color w:val="171A1D"/>
                <w:spacing w:val="0"/>
                <w:sz w:val="24"/>
                <w:szCs w:val="24"/>
                <w:highlight w:val="none"/>
                <w:shd w:val="clear" w:color="auto" w:fill="FFFFFF"/>
                <w:lang w:val="en-US" w:eastAsia="zh-CN"/>
              </w:rPr>
              <w:t>5ml/个）</w:t>
            </w:r>
          </w:p>
        </w:tc>
        <w:tc>
          <w:tcPr>
            <w:tcW w:w="2832" w:type="dxa"/>
            <w:vAlign w:val="center"/>
          </w:tcPr>
          <w:p w14:paraId="2B349EA3">
            <w:pPr>
              <w:jc w:val="center"/>
              <w:rPr>
                <w:rFonts w:hint="eastAsia" w:ascii="宋体" w:hAnsi="宋体" w:eastAsia="宋体" w:cs="宋体"/>
                <w:i w:val="0"/>
                <w:iCs w:val="0"/>
                <w:caps w:val="0"/>
                <w:color w:val="171A1D"/>
                <w:spacing w:val="0"/>
                <w:sz w:val="24"/>
                <w:szCs w:val="24"/>
                <w:highlight w:val="none"/>
                <w:shd w:val="clear" w:color="auto" w:fill="FFFFFF"/>
                <w:lang w:val="en-US" w:eastAsia="zh-CN"/>
              </w:rPr>
            </w:pPr>
            <w:r>
              <w:rPr>
                <w:rFonts w:hint="eastAsia" w:ascii="宋体" w:hAnsi="宋体" w:eastAsia="宋体" w:cs="宋体"/>
                <w:i w:val="0"/>
                <w:iCs w:val="0"/>
                <w:caps w:val="0"/>
                <w:color w:val="171A1D"/>
                <w:spacing w:val="0"/>
                <w:sz w:val="24"/>
                <w:szCs w:val="24"/>
                <w:highlight w:val="none"/>
                <w:shd w:val="clear" w:color="auto" w:fill="FFFFFF"/>
                <w:lang w:val="en-US" w:eastAsia="zh-CN"/>
              </w:rPr>
              <w:t>10包</w:t>
            </w:r>
          </w:p>
        </w:tc>
      </w:tr>
      <w:tr w14:paraId="23818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3" w:type="dxa"/>
            <w:vAlign w:val="center"/>
          </w:tcPr>
          <w:p w14:paraId="51C32386">
            <w:pPr>
              <w:jc w:val="center"/>
              <w:rPr>
                <w:rFonts w:hint="default" w:ascii="宋体" w:hAnsi="宋体" w:eastAsia="宋体" w:cs="宋体"/>
                <w:i w:val="0"/>
                <w:iCs w:val="0"/>
                <w:caps w:val="0"/>
                <w:color w:val="171A1D"/>
                <w:spacing w:val="0"/>
                <w:sz w:val="24"/>
                <w:szCs w:val="24"/>
                <w:highlight w:val="none"/>
                <w:shd w:val="clear" w:color="auto" w:fill="FFFFFF"/>
                <w:lang w:val="en-US" w:eastAsia="zh-CN"/>
              </w:rPr>
            </w:pPr>
            <w:r>
              <w:rPr>
                <w:rFonts w:hint="eastAsia" w:ascii="宋体" w:hAnsi="宋体" w:eastAsia="宋体" w:cs="宋体"/>
                <w:i w:val="0"/>
                <w:iCs w:val="0"/>
                <w:caps w:val="0"/>
                <w:color w:val="171A1D"/>
                <w:spacing w:val="0"/>
                <w:sz w:val="24"/>
                <w:szCs w:val="24"/>
                <w:highlight w:val="none"/>
                <w:shd w:val="clear" w:color="auto" w:fill="FFFFFF"/>
                <w:lang w:val="en-US" w:eastAsia="zh-CN"/>
              </w:rPr>
              <w:t>5</w:t>
            </w:r>
          </w:p>
        </w:tc>
        <w:tc>
          <w:tcPr>
            <w:tcW w:w="4960" w:type="dxa"/>
            <w:vAlign w:val="center"/>
          </w:tcPr>
          <w:p w14:paraId="24FBB4AC">
            <w:pPr>
              <w:jc w:val="center"/>
              <w:rPr>
                <w:rFonts w:hint="eastAsia" w:ascii="宋体" w:hAnsi="宋体" w:eastAsia="宋体" w:cs="宋体"/>
                <w:i w:val="0"/>
                <w:iCs w:val="0"/>
                <w:caps w:val="0"/>
                <w:color w:val="171A1D"/>
                <w:spacing w:val="0"/>
                <w:sz w:val="24"/>
                <w:szCs w:val="24"/>
                <w:highlight w:val="none"/>
                <w:shd w:val="clear" w:color="auto" w:fill="FFFFFF"/>
                <w:lang w:val="en-US" w:eastAsia="zh-CN"/>
              </w:rPr>
            </w:pPr>
            <w:r>
              <w:rPr>
                <w:rFonts w:hint="eastAsia" w:ascii="宋体" w:hAnsi="宋体" w:eastAsia="宋体" w:cs="宋体"/>
                <w:i w:val="0"/>
                <w:iCs w:val="0"/>
                <w:caps w:val="0"/>
                <w:color w:val="171A1D"/>
                <w:spacing w:val="0"/>
                <w:sz w:val="24"/>
                <w:szCs w:val="24"/>
                <w:highlight w:val="none"/>
                <w:shd w:val="clear" w:color="auto" w:fill="FFFFFF"/>
                <w:lang w:val="en-US" w:eastAsia="zh-CN"/>
              </w:rPr>
              <w:t>移液枪头（20-200ul）</w:t>
            </w:r>
          </w:p>
        </w:tc>
        <w:tc>
          <w:tcPr>
            <w:tcW w:w="2832" w:type="dxa"/>
            <w:vAlign w:val="center"/>
          </w:tcPr>
          <w:p w14:paraId="51BE0ED7">
            <w:pPr>
              <w:jc w:val="center"/>
              <w:rPr>
                <w:rFonts w:hint="eastAsia" w:ascii="宋体" w:hAnsi="宋体" w:eastAsia="宋体" w:cs="宋体"/>
                <w:i w:val="0"/>
                <w:iCs w:val="0"/>
                <w:caps w:val="0"/>
                <w:color w:val="171A1D"/>
                <w:spacing w:val="0"/>
                <w:sz w:val="24"/>
                <w:szCs w:val="24"/>
                <w:highlight w:val="none"/>
                <w:shd w:val="clear" w:color="auto" w:fill="FFFFFF"/>
                <w:lang w:val="en-US" w:eastAsia="zh-CN"/>
              </w:rPr>
            </w:pPr>
            <w:r>
              <w:rPr>
                <w:rFonts w:hint="eastAsia" w:ascii="宋体" w:hAnsi="宋体" w:eastAsia="宋体" w:cs="宋体"/>
                <w:i w:val="0"/>
                <w:iCs w:val="0"/>
                <w:caps w:val="0"/>
                <w:color w:val="171A1D"/>
                <w:spacing w:val="0"/>
                <w:sz w:val="24"/>
                <w:szCs w:val="24"/>
                <w:highlight w:val="none"/>
                <w:shd w:val="clear" w:color="auto" w:fill="FFFFFF"/>
                <w:lang w:val="en-US" w:eastAsia="zh-CN"/>
              </w:rPr>
              <w:t>10包</w:t>
            </w:r>
          </w:p>
        </w:tc>
      </w:tr>
      <w:tr w14:paraId="09800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14:paraId="60FFF751">
            <w:pPr>
              <w:jc w:val="center"/>
              <w:rPr>
                <w:rFonts w:hint="default" w:ascii="宋体" w:hAnsi="宋体" w:eastAsia="宋体" w:cs="宋体"/>
                <w:i w:val="0"/>
                <w:iCs w:val="0"/>
                <w:caps w:val="0"/>
                <w:color w:val="171A1D"/>
                <w:spacing w:val="0"/>
                <w:sz w:val="24"/>
                <w:szCs w:val="24"/>
                <w:highlight w:val="none"/>
                <w:shd w:val="clear" w:color="auto" w:fill="FFFFFF"/>
                <w:lang w:val="en-US" w:eastAsia="zh-CN"/>
              </w:rPr>
            </w:pPr>
            <w:r>
              <w:rPr>
                <w:rFonts w:hint="eastAsia" w:ascii="宋体" w:hAnsi="宋体" w:eastAsia="宋体" w:cs="宋体"/>
                <w:i w:val="0"/>
                <w:iCs w:val="0"/>
                <w:caps w:val="0"/>
                <w:color w:val="171A1D"/>
                <w:spacing w:val="0"/>
                <w:sz w:val="24"/>
                <w:szCs w:val="24"/>
                <w:highlight w:val="none"/>
                <w:shd w:val="clear" w:color="auto" w:fill="FFFFFF"/>
                <w:lang w:val="en-US" w:eastAsia="zh-CN"/>
              </w:rPr>
              <w:t>6</w:t>
            </w:r>
          </w:p>
        </w:tc>
        <w:tc>
          <w:tcPr>
            <w:tcW w:w="4960" w:type="dxa"/>
            <w:vAlign w:val="center"/>
          </w:tcPr>
          <w:p w14:paraId="322C5F38">
            <w:pPr>
              <w:jc w:val="center"/>
              <w:rPr>
                <w:rFonts w:hint="eastAsia" w:ascii="宋体" w:hAnsi="宋体" w:eastAsia="宋体" w:cs="宋体"/>
                <w:i w:val="0"/>
                <w:iCs w:val="0"/>
                <w:caps w:val="0"/>
                <w:color w:val="171A1D"/>
                <w:spacing w:val="0"/>
                <w:sz w:val="24"/>
                <w:szCs w:val="24"/>
                <w:highlight w:val="none"/>
                <w:shd w:val="clear" w:color="auto" w:fill="FFFFFF"/>
                <w:lang w:val="en-US" w:eastAsia="zh-CN"/>
              </w:rPr>
            </w:pPr>
            <w:r>
              <w:rPr>
                <w:rFonts w:hint="eastAsia" w:ascii="宋体" w:hAnsi="宋体" w:eastAsia="宋体" w:cs="宋体"/>
                <w:i w:val="0"/>
                <w:iCs w:val="0"/>
                <w:caps w:val="0"/>
                <w:color w:val="171A1D"/>
                <w:spacing w:val="0"/>
                <w:sz w:val="24"/>
                <w:szCs w:val="24"/>
                <w:highlight w:val="none"/>
                <w:shd w:val="clear" w:color="auto" w:fill="FFFFFF"/>
                <w:lang w:val="en-US" w:eastAsia="zh-CN"/>
              </w:rPr>
              <w:t>离心管50ml（50个/包）</w:t>
            </w:r>
          </w:p>
        </w:tc>
        <w:tc>
          <w:tcPr>
            <w:tcW w:w="2832" w:type="dxa"/>
            <w:vAlign w:val="center"/>
          </w:tcPr>
          <w:p w14:paraId="01E6AED5">
            <w:pPr>
              <w:jc w:val="center"/>
              <w:rPr>
                <w:rFonts w:hint="eastAsia" w:ascii="宋体" w:hAnsi="宋体" w:eastAsia="宋体" w:cs="宋体"/>
                <w:i w:val="0"/>
                <w:iCs w:val="0"/>
                <w:caps w:val="0"/>
                <w:color w:val="171A1D"/>
                <w:spacing w:val="0"/>
                <w:sz w:val="24"/>
                <w:szCs w:val="24"/>
                <w:highlight w:val="none"/>
                <w:shd w:val="clear" w:color="auto" w:fill="FFFFFF"/>
                <w:lang w:val="en-US" w:eastAsia="zh-CN"/>
              </w:rPr>
            </w:pPr>
            <w:r>
              <w:rPr>
                <w:rFonts w:hint="eastAsia" w:ascii="宋体" w:hAnsi="宋体" w:eastAsia="宋体" w:cs="宋体"/>
                <w:i w:val="0"/>
                <w:iCs w:val="0"/>
                <w:caps w:val="0"/>
                <w:color w:val="171A1D"/>
                <w:spacing w:val="0"/>
                <w:sz w:val="24"/>
                <w:szCs w:val="24"/>
                <w:highlight w:val="none"/>
                <w:shd w:val="clear" w:color="auto" w:fill="FFFFFF"/>
                <w:lang w:val="en-US" w:eastAsia="zh-CN"/>
              </w:rPr>
              <w:t>按需</w:t>
            </w:r>
          </w:p>
        </w:tc>
      </w:tr>
      <w:tr w14:paraId="3A129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3" w:type="dxa"/>
            <w:vAlign w:val="center"/>
          </w:tcPr>
          <w:p w14:paraId="5BBEEC80">
            <w:pPr>
              <w:jc w:val="center"/>
              <w:rPr>
                <w:rFonts w:hint="default" w:ascii="宋体" w:hAnsi="宋体" w:eastAsia="宋体" w:cs="宋体"/>
                <w:i w:val="0"/>
                <w:iCs w:val="0"/>
                <w:caps w:val="0"/>
                <w:color w:val="171A1D"/>
                <w:spacing w:val="0"/>
                <w:sz w:val="24"/>
                <w:szCs w:val="24"/>
                <w:highlight w:val="none"/>
                <w:shd w:val="clear" w:color="auto" w:fill="FFFFFF"/>
                <w:lang w:val="en-US" w:eastAsia="zh-CN"/>
              </w:rPr>
            </w:pPr>
            <w:r>
              <w:rPr>
                <w:rFonts w:hint="eastAsia" w:ascii="宋体" w:hAnsi="宋体" w:eastAsia="宋体" w:cs="宋体"/>
                <w:i w:val="0"/>
                <w:iCs w:val="0"/>
                <w:caps w:val="0"/>
                <w:color w:val="171A1D"/>
                <w:spacing w:val="0"/>
                <w:sz w:val="24"/>
                <w:szCs w:val="24"/>
                <w:highlight w:val="none"/>
                <w:shd w:val="clear" w:color="auto" w:fill="FFFFFF"/>
                <w:lang w:val="en-US" w:eastAsia="zh-CN"/>
              </w:rPr>
              <w:t>7</w:t>
            </w:r>
          </w:p>
        </w:tc>
        <w:tc>
          <w:tcPr>
            <w:tcW w:w="4960" w:type="dxa"/>
            <w:vAlign w:val="center"/>
          </w:tcPr>
          <w:p w14:paraId="2BAAB509">
            <w:pPr>
              <w:jc w:val="center"/>
              <w:rPr>
                <w:rFonts w:hint="eastAsia" w:ascii="宋体" w:hAnsi="宋体" w:eastAsia="宋体" w:cs="宋体"/>
                <w:i w:val="0"/>
                <w:iCs w:val="0"/>
                <w:caps w:val="0"/>
                <w:color w:val="171A1D"/>
                <w:spacing w:val="0"/>
                <w:sz w:val="24"/>
                <w:szCs w:val="24"/>
                <w:highlight w:val="none"/>
                <w:shd w:val="clear" w:color="auto" w:fill="FFFFFF"/>
                <w:lang w:val="en-US" w:eastAsia="zh-CN"/>
              </w:rPr>
            </w:pPr>
            <w:r>
              <w:rPr>
                <w:rFonts w:hint="eastAsia" w:ascii="宋体" w:hAnsi="宋体" w:eastAsia="宋体" w:cs="宋体"/>
                <w:i w:val="0"/>
                <w:iCs w:val="0"/>
                <w:caps w:val="0"/>
                <w:color w:val="171A1D"/>
                <w:spacing w:val="0"/>
                <w:sz w:val="24"/>
                <w:szCs w:val="24"/>
                <w:highlight w:val="none"/>
                <w:shd w:val="clear" w:color="auto" w:fill="FFFFFF"/>
                <w:lang w:val="en-US" w:eastAsia="zh-CN"/>
              </w:rPr>
              <w:t>离心管5ml（200个/包）</w:t>
            </w:r>
          </w:p>
        </w:tc>
        <w:tc>
          <w:tcPr>
            <w:tcW w:w="2832" w:type="dxa"/>
            <w:vAlign w:val="center"/>
          </w:tcPr>
          <w:p w14:paraId="4F690152">
            <w:pPr>
              <w:jc w:val="center"/>
              <w:rPr>
                <w:rFonts w:hint="eastAsia" w:ascii="宋体" w:hAnsi="宋体" w:eastAsia="宋体" w:cs="宋体"/>
                <w:i w:val="0"/>
                <w:iCs w:val="0"/>
                <w:caps w:val="0"/>
                <w:color w:val="171A1D"/>
                <w:spacing w:val="0"/>
                <w:sz w:val="24"/>
                <w:szCs w:val="24"/>
                <w:highlight w:val="none"/>
                <w:shd w:val="clear" w:color="auto" w:fill="FFFFFF"/>
                <w:lang w:val="en-US" w:eastAsia="zh-CN"/>
              </w:rPr>
            </w:pPr>
            <w:r>
              <w:rPr>
                <w:rFonts w:hint="eastAsia" w:ascii="宋体" w:hAnsi="宋体" w:eastAsia="宋体" w:cs="宋体"/>
                <w:i w:val="0"/>
                <w:iCs w:val="0"/>
                <w:caps w:val="0"/>
                <w:color w:val="171A1D"/>
                <w:spacing w:val="0"/>
                <w:sz w:val="24"/>
                <w:szCs w:val="24"/>
                <w:highlight w:val="none"/>
                <w:shd w:val="clear" w:color="auto" w:fill="FFFFFF"/>
                <w:lang w:val="en-US" w:eastAsia="zh-CN"/>
              </w:rPr>
              <w:t>按需</w:t>
            </w:r>
          </w:p>
        </w:tc>
      </w:tr>
      <w:tr w14:paraId="40A88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14:paraId="75EDC300">
            <w:pPr>
              <w:jc w:val="center"/>
              <w:rPr>
                <w:rFonts w:hint="default" w:ascii="宋体" w:hAnsi="宋体" w:eastAsia="宋体" w:cs="宋体"/>
                <w:i w:val="0"/>
                <w:iCs w:val="0"/>
                <w:caps w:val="0"/>
                <w:color w:val="171A1D"/>
                <w:spacing w:val="0"/>
                <w:sz w:val="24"/>
                <w:szCs w:val="24"/>
                <w:highlight w:val="none"/>
                <w:shd w:val="clear" w:color="auto" w:fill="FFFFFF"/>
                <w:lang w:val="en-US" w:eastAsia="zh-CN"/>
              </w:rPr>
            </w:pPr>
            <w:r>
              <w:rPr>
                <w:rFonts w:hint="eastAsia" w:ascii="宋体" w:hAnsi="宋体" w:eastAsia="宋体" w:cs="宋体"/>
                <w:i w:val="0"/>
                <w:iCs w:val="0"/>
                <w:caps w:val="0"/>
                <w:color w:val="171A1D"/>
                <w:spacing w:val="0"/>
                <w:sz w:val="24"/>
                <w:szCs w:val="24"/>
                <w:highlight w:val="none"/>
                <w:shd w:val="clear" w:color="auto" w:fill="FFFFFF"/>
                <w:lang w:val="en-US" w:eastAsia="zh-CN"/>
              </w:rPr>
              <w:t>8</w:t>
            </w:r>
          </w:p>
        </w:tc>
        <w:tc>
          <w:tcPr>
            <w:tcW w:w="4960" w:type="dxa"/>
            <w:vAlign w:val="center"/>
          </w:tcPr>
          <w:p w14:paraId="6DC044F5">
            <w:pPr>
              <w:jc w:val="center"/>
              <w:rPr>
                <w:rFonts w:hint="eastAsia" w:ascii="宋体" w:hAnsi="宋体" w:eastAsia="宋体" w:cs="宋体"/>
                <w:i w:val="0"/>
                <w:iCs w:val="0"/>
                <w:caps w:val="0"/>
                <w:color w:val="171A1D"/>
                <w:spacing w:val="0"/>
                <w:sz w:val="24"/>
                <w:szCs w:val="24"/>
                <w:highlight w:val="none"/>
                <w:shd w:val="clear" w:color="auto" w:fill="FFFFFF"/>
                <w:lang w:val="en-US" w:eastAsia="zh-CN"/>
              </w:rPr>
            </w:pPr>
            <w:r>
              <w:rPr>
                <w:rFonts w:hint="eastAsia" w:ascii="宋体" w:hAnsi="宋体" w:eastAsia="宋体" w:cs="宋体"/>
                <w:i w:val="0"/>
                <w:iCs w:val="0"/>
                <w:caps w:val="0"/>
                <w:color w:val="171A1D"/>
                <w:spacing w:val="0"/>
                <w:sz w:val="24"/>
                <w:szCs w:val="24"/>
                <w:highlight w:val="none"/>
                <w:shd w:val="clear" w:color="auto" w:fill="FFFFFF"/>
                <w:lang w:val="en-US" w:eastAsia="zh-CN"/>
              </w:rPr>
              <w:t>离心管1.5ml（包）</w:t>
            </w:r>
          </w:p>
        </w:tc>
        <w:tc>
          <w:tcPr>
            <w:tcW w:w="2832" w:type="dxa"/>
            <w:vAlign w:val="center"/>
          </w:tcPr>
          <w:p w14:paraId="7E86A24F">
            <w:pPr>
              <w:jc w:val="center"/>
              <w:rPr>
                <w:rFonts w:hint="eastAsia" w:ascii="宋体" w:hAnsi="宋体" w:eastAsia="宋体" w:cs="宋体"/>
                <w:i w:val="0"/>
                <w:iCs w:val="0"/>
                <w:caps w:val="0"/>
                <w:color w:val="171A1D"/>
                <w:spacing w:val="0"/>
                <w:sz w:val="24"/>
                <w:szCs w:val="24"/>
                <w:highlight w:val="none"/>
                <w:shd w:val="clear" w:color="auto" w:fill="FFFFFF"/>
                <w:lang w:val="en-US" w:eastAsia="zh-CN"/>
              </w:rPr>
            </w:pPr>
            <w:r>
              <w:rPr>
                <w:rFonts w:hint="eastAsia" w:ascii="宋体" w:hAnsi="宋体" w:eastAsia="宋体" w:cs="宋体"/>
                <w:i w:val="0"/>
                <w:iCs w:val="0"/>
                <w:caps w:val="0"/>
                <w:color w:val="171A1D"/>
                <w:spacing w:val="0"/>
                <w:sz w:val="24"/>
                <w:szCs w:val="24"/>
                <w:highlight w:val="none"/>
                <w:shd w:val="clear" w:color="auto" w:fill="FFFFFF"/>
                <w:lang w:val="en-US" w:eastAsia="zh-CN"/>
              </w:rPr>
              <w:t>按需</w:t>
            </w:r>
          </w:p>
        </w:tc>
      </w:tr>
      <w:tr w14:paraId="375EB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clear" w:color="auto" w:fill="auto"/>
            <w:vAlign w:val="center"/>
          </w:tcPr>
          <w:p w14:paraId="6C863B96">
            <w:pPr>
              <w:jc w:val="center"/>
              <w:rPr>
                <w:rFonts w:hint="eastAsia" w:ascii="宋体" w:hAnsi="宋体" w:eastAsia="宋体" w:cs="宋体"/>
                <w:i w:val="0"/>
                <w:iCs w:val="0"/>
                <w:caps w:val="0"/>
                <w:color w:val="171A1D"/>
                <w:spacing w:val="0"/>
                <w:kern w:val="2"/>
                <w:sz w:val="24"/>
                <w:szCs w:val="24"/>
                <w:highlight w:val="none"/>
                <w:shd w:val="clear" w:color="auto" w:fill="FFFFFF"/>
                <w:lang w:val="en-US" w:eastAsia="zh-CN" w:bidi="ar-SA"/>
              </w:rPr>
            </w:pPr>
            <w:r>
              <w:rPr>
                <w:rFonts w:hint="eastAsia" w:ascii="宋体" w:hAnsi="宋体" w:eastAsia="宋体" w:cs="宋体"/>
                <w:i w:val="0"/>
                <w:iCs w:val="0"/>
                <w:caps w:val="0"/>
                <w:color w:val="171A1D"/>
                <w:spacing w:val="0"/>
                <w:sz w:val="24"/>
                <w:szCs w:val="24"/>
                <w:highlight w:val="none"/>
                <w:shd w:val="clear" w:color="auto" w:fill="FFFFFF"/>
                <w:lang w:val="en-US" w:eastAsia="zh-CN"/>
              </w:rPr>
              <w:t>9</w:t>
            </w:r>
          </w:p>
        </w:tc>
        <w:tc>
          <w:tcPr>
            <w:tcW w:w="4960" w:type="dxa"/>
            <w:vAlign w:val="center"/>
          </w:tcPr>
          <w:p w14:paraId="2AB807BA">
            <w:pPr>
              <w:jc w:val="center"/>
              <w:rPr>
                <w:rFonts w:hint="eastAsia" w:ascii="宋体" w:hAnsi="宋体" w:eastAsia="宋体" w:cs="宋体"/>
                <w:i w:val="0"/>
                <w:iCs w:val="0"/>
                <w:caps w:val="0"/>
                <w:color w:val="171A1D"/>
                <w:spacing w:val="0"/>
                <w:sz w:val="24"/>
                <w:szCs w:val="24"/>
                <w:highlight w:val="none"/>
                <w:shd w:val="clear" w:color="auto" w:fill="FFFFFF"/>
                <w:lang w:val="en-US" w:eastAsia="zh-CN"/>
              </w:rPr>
            </w:pPr>
            <w:r>
              <w:rPr>
                <w:rFonts w:hint="eastAsia" w:ascii="宋体" w:hAnsi="宋体" w:eastAsia="宋体" w:cs="宋体"/>
                <w:i w:val="0"/>
                <w:iCs w:val="0"/>
                <w:caps w:val="0"/>
                <w:color w:val="171A1D"/>
                <w:spacing w:val="0"/>
                <w:sz w:val="24"/>
                <w:szCs w:val="24"/>
                <w:highlight w:val="none"/>
                <w:shd w:val="clear" w:color="auto" w:fill="FFFFFF"/>
                <w:lang w:val="en-US" w:eastAsia="zh-CN"/>
              </w:rPr>
              <w:t>离心管15ml（100个/包）</w:t>
            </w:r>
          </w:p>
        </w:tc>
        <w:tc>
          <w:tcPr>
            <w:tcW w:w="2832" w:type="dxa"/>
            <w:vAlign w:val="center"/>
          </w:tcPr>
          <w:p w14:paraId="1583FE6A">
            <w:pPr>
              <w:jc w:val="center"/>
              <w:rPr>
                <w:rFonts w:hint="eastAsia" w:ascii="宋体" w:hAnsi="宋体" w:eastAsia="宋体" w:cs="宋体"/>
                <w:i w:val="0"/>
                <w:iCs w:val="0"/>
                <w:caps w:val="0"/>
                <w:color w:val="171A1D"/>
                <w:spacing w:val="0"/>
                <w:sz w:val="24"/>
                <w:szCs w:val="24"/>
                <w:highlight w:val="none"/>
                <w:shd w:val="clear" w:color="auto" w:fill="FFFFFF"/>
                <w:lang w:val="en-US" w:eastAsia="zh-CN"/>
              </w:rPr>
            </w:pPr>
            <w:r>
              <w:rPr>
                <w:rFonts w:hint="eastAsia" w:ascii="宋体" w:hAnsi="宋体" w:eastAsia="宋体" w:cs="宋体"/>
                <w:i w:val="0"/>
                <w:iCs w:val="0"/>
                <w:caps w:val="0"/>
                <w:color w:val="171A1D"/>
                <w:spacing w:val="0"/>
                <w:sz w:val="24"/>
                <w:szCs w:val="24"/>
                <w:highlight w:val="none"/>
                <w:shd w:val="clear" w:color="auto" w:fill="FFFFFF"/>
                <w:lang w:val="en-US" w:eastAsia="zh-CN"/>
              </w:rPr>
              <w:t>按需</w:t>
            </w:r>
          </w:p>
        </w:tc>
      </w:tr>
      <w:tr w14:paraId="48301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clear" w:color="auto" w:fill="auto"/>
            <w:vAlign w:val="center"/>
          </w:tcPr>
          <w:p w14:paraId="0635CF5E">
            <w:pPr>
              <w:jc w:val="center"/>
              <w:rPr>
                <w:rFonts w:hint="default" w:ascii="宋体" w:hAnsi="宋体" w:eastAsia="宋体" w:cs="宋体"/>
                <w:i w:val="0"/>
                <w:iCs w:val="0"/>
                <w:caps w:val="0"/>
                <w:color w:val="171A1D"/>
                <w:spacing w:val="0"/>
                <w:kern w:val="2"/>
                <w:sz w:val="24"/>
                <w:szCs w:val="24"/>
                <w:highlight w:val="none"/>
                <w:shd w:val="clear" w:color="auto" w:fill="FFFFFF"/>
                <w:lang w:val="en-US" w:eastAsia="zh-CN" w:bidi="ar-SA"/>
              </w:rPr>
            </w:pPr>
            <w:r>
              <w:rPr>
                <w:rFonts w:hint="eastAsia" w:ascii="宋体" w:hAnsi="宋体" w:eastAsia="宋体" w:cs="宋体"/>
                <w:i w:val="0"/>
                <w:iCs w:val="0"/>
                <w:caps w:val="0"/>
                <w:color w:val="171A1D"/>
                <w:spacing w:val="0"/>
                <w:sz w:val="24"/>
                <w:szCs w:val="24"/>
                <w:highlight w:val="none"/>
                <w:shd w:val="clear" w:color="auto" w:fill="FFFFFF"/>
                <w:lang w:val="en-US" w:eastAsia="zh-CN"/>
              </w:rPr>
              <w:t>10</w:t>
            </w:r>
          </w:p>
        </w:tc>
        <w:tc>
          <w:tcPr>
            <w:tcW w:w="4960" w:type="dxa"/>
            <w:vAlign w:val="center"/>
          </w:tcPr>
          <w:p w14:paraId="7AE4E524">
            <w:pPr>
              <w:jc w:val="center"/>
              <w:rPr>
                <w:rFonts w:hint="eastAsia" w:ascii="宋体" w:hAnsi="宋体" w:eastAsia="宋体" w:cs="宋体"/>
                <w:i w:val="0"/>
                <w:iCs w:val="0"/>
                <w:caps w:val="0"/>
                <w:color w:val="171A1D"/>
                <w:spacing w:val="0"/>
                <w:sz w:val="24"/>
                <w:szCs w:val="24"/>
                <w:highlight w:val="none"/>
                <w:shd w:val="clear" w:color="auto" w:fill="FFFFFF"/>
                <w:lang w:val="en-US" w:eastAsia="zh-CN"/>
              </w:rPr>
            </w:pPr>
            <w:r>
              <w:rPr>
                <w:rFonts w:hint="eastAsia" w:ascii="宋体" w:hAnsi="宋体" w:eastAsia="宋体" w:cs="宋体"/>
                <w:i w:val="0"/>
                <w:iCs w:val="0"/>
                <w:caps w:val="0"/>
                <w:color w:val="171A1D"/>
                <w:spacing w:val="0"/>
                <w:sz w:val="24"/>
                <w:szCs w:val="24"/>
                <w:highlight w:val="none"/>
                <w:shd w:val="clear" w:color="auto" w:fill="FFFFFF"/>
                <w:lang w:val="en-US" w:eastAsia="zh-CN"/>
              </w:rPr>
              <w:t>离心管架50ml通用（个）</w:t>
            </w:r>
          </w:p>
        </w:tc>
        <w:tc>
          <w:tcPr>
            <w:tcW w:w="2832" w:type="dxa"/>
            <w:vAlign w:val="center"/>
          </w:tcPr>
          <w:p w14:paraId="33C8343B">
            <w:pPr>
              <w:jc w:val="center"/>
              <w:rPr>
                <w:rFonts w:hint="eastAsia" w:ascii="宋体" w:hAnsi="宋体" w:eastAsia="宋体" w:cs="宋体"/>
                <w:i w:val="0"/>
                <w:iCs w:val="0"/>
                <w:caps w:val="0"/>
                <w:color w:val="171A1D"/>
                <w:spacing w:val="0"/>
                <w:sz w:val="24"/>
                <w:szCs w:val="24"/>
                <w:highlight w:val="none"/>
                <w:shd w:val="clear" w:color="auto" w:fill="FFFFFF"/>
                <w:lang w:val="en-US" w:eastAsia="zh-CN"/>
              </w:rPr>
            </w:pPr>
            <w:r>
              <w:rPr>
                <w:rFonts w:hint="eastAsia" w:ascii="宋体" w:hAnsi="宋体" w:eastAsia="宋体" w:cs="宋体"/>
                <w:i w:val="0"/>
                <w:iCs w:val="0"/>
                <w:caps w:val="0"/>
                <w:color w:val="171A1D"/>
                <w:spacing w:val="0"/>
                <w:sz w:val="24"/>
                <w:szCs w:val="24"/>
                <w:highlight w:val="none"/>
                <w:shd w:val="clear" w:color="auto" w:fill="FFFFFF"/>
                <w:lang w:val="en-US" w:eastAsia="zh-CN"/>
              </w:rPr>
              <w:t>按需</w:t>
            </w:r>
          </w:p>
        </w:tc>
      </w:tr>
      <w:tr w14:paraId="035FA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3" w:type="dxa"/>
            <w:shd w:val="clear" w:color="auto" w:fill="auto"/>
            <w:vAlign w:val="center"/>
          </w:tcPr>
          <w:p w14:paraId="2E11ACAD">
            <w:pPr>
              <w:jc w:val="center"/>
              <w:rPr>
                <w:rFonts w:hint="default" w:ascii="宋体" w:hAnsi="宋体" w:eastAsia="宋体" w:cs="宋体"/>
                <w:i w:val="0"/>
                <w:iCs w:val="0"/>
                <w:caps w:val="0"/>
                <w:color w:val="171A1D"/>
                <w:spacing w:val="0"/>
                <w:kern w:val="2"/>
                <w:sz w:val="24"/>
                <w:szCs w:val="24"/>
                <w:highlight w:val="none"/>
                <w:shd w:val="clear" w:color="auto" w:fill="FFFFFF"/>
                <w:lang w:val="en-US" w:eastAsia="zh-CN" w:bidi="ar-SA"/>
              </w:rPr>
            </w:pPr>
            <w:r>
              <w:rPr>
                <w:rFonts w:hint="eastAsia" w:ascii="宋体" w:hAnsi="宋体" w:eastAsia="宋体" w:cs="宋体"/>
                <w:i w:val="0"/>
                <w:iCs w:val="0"/>
                <w:caps w:val="0"/>
                <w:color w:val="171A1D"/>
                <w:spacing w:val="0"/>
                <w:sz w:val="24"/>
                <w:szCs w:val="24"/>
                <w:highlight w:val="none"/>
                <w:shd w:val="clear" w:color="auto" w:fill="FFFFFF"/>
                <w:lang w:val="en-US" w:eastAsia="zh-CN"/>
              </w:rPr>
              <w:t>11</w:t>
            </w:r>
          </w:p>
        </w:tc>
        <w:tc>
          <w:tcPr>
            <w:tcW w:w="4960" w:type="dxa"/>
            <w:vAlign w:val="center"/>
          </w:tcPr>
          <w:p w14:paraId="02940A40">
            <w:pPr>
              <w:jc w:val="center"/>
              <w:rPr>
                <w:rFonts w:hint="eastAsia" w:ascii="宋体" w:hAnsi="宋体" w:eastAsia="宋体" w:cs="宋体"/>
                <w:i w:val="0"/>
                <w:iCs w:val="0"/>
                <w:caps w:val="0"/>
                <w:color w:val="171A1D"/>
                <w:spacing w:val="0"/>
                <w:sz w:val="24"/>
                <w:szCs w:val="24"/>
                <w:highlight w:val="none"/>
                <w:shd w:val="clear" w:color="auto" w:fill="FFFFFF"/>
                <w:lang w:val="en-US" w:eastAsia="zh-CN"/>
              </w:rPr>
            </w:pPr>
            <w:r>
              <w:rPr>
                <w:rFonts w:hint="eastAsia" w:ascii="宋体" w:hAnsi="宋体" w:eastAsia="宋体" w:cs="宋体"/>
                <w:i w:val="0"/>
                <w:iCs w:val="0"/>
                <w:caps w:val="0"/>
                <w:color w:val="171A1D"/>
                <w:spacing w:val="0"/>
                <w:sz w:val="24"/>
                <w:szCs w:val="24"/>
                <w:highlight w:val="none"/>
                <w:shd w:val="clear" w:color="auto" w:fill="FFFFFF"/>
                <w:lang w:val="en-US" w:eastAsia="zh-CN"/>
              </w:rPr>
              <w:t>白大褂</w:t>
            </w:r>
          </w:p>
        </w:tc>
        <w:tc>
          <w:tcPr>
            <w:tcW w:w="2832" w:type="dxa"/>
            <w:vAlign w:val="center"/>
          </w:tcPr>
          <w:p w14:paraId="001DA5D9">
            <w:pPr>
              <w:jc w:val="center"/>
              <w:rPr>
                <w:rFonts w:hint="eastAsia" w:ascii="宋体" w:hAnsi="宋体" w:eastAsia="宋体" w:cs="宋体"/>
                <w:i w:val="0"/>
                <w:iCs w:val="0"/>
                <w:caps w:val="0"/>
                <w:color w:val="171A1D"/>
                <w:spacing w:val="0"/>
                <w:sz w:val="24"/>
                <w:szCs w:val="24"/>
                <w:highlight w:val="none"/>
                <w:shd w:val="clear" w:color="auto" w:fill="FFFFFF"/>
                <w:lang w:val="en-US" w:eastAsia="zh-CN"/>
              </w:rPr>
            </w:pPr>
            <w:r>
              <w:rPr>
                <w:rFonts w:hint="eastAsia" w:ascii="宋体" w:hAnsi="宋体" w:eastAsia="宋体" w:cs="宋体"/>
                <w:i w:val="0"/>
                <w:iCs w:val="0"/>
                <w:caps w:val="0"/>
                <w:color w:val="171A1D"/>
                <w:spacing w:val="0"/>
                <w:sz w:val="24"/>
                <w:szCs w:val="24"/>
                <w:highlight w:val="none"/>
                <w:shd w:val="clear" w:color="auto" w:fill="FFFFFF"/>
                <w:lang w:val="en-US" w:eastAsia="zh-CN"/>
              </w:rPr>
              <w:t>2件</w:t>
            </w:r>
          </w:p>
        </w:tc>
      </w:tr>
      <w:tr w14:paraId="02345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14:paraId="40EDBA75">
            <w:pPr>
              <w:jc w:val="center"/>
              <w:rPr>
                <w:rFonts w:hint="default" w:ascii="宋体" w:hAnsi="宋体" w:eastAsia="宋体" w:cs="宋体"/>
                <w:i w:val="0"/>
                <w:iCs w:val="0"/>
                <w:caps w:val="0"/>
                <w:color w:val="171A1D"/>
                <w:spacing w:val="0"/>
                <w:sz w:val="24"/>
                <w:szCs w:val="24"/>
                <w:highlight w:val="none"/>
                <w:shd w:val="clear" w:color="auto" w:fill="FFFFFF"/>
                <w:lang w:val="en-US" w:eastAsia="zh-CN"/>
              </w:rPr>
            </w:pPr>
            <w:r>
              <w:rPr>
                <w:rFonts w:hint="eastAsia" w:ascii="宋体" w:hAnsi="宋体" w:eastAsia="宋体" w:cs="宋体"/>
                <w:i w:val="0"/>
                <w:iCs w:val="0"/>
                <w:caps w:val="0"/>
                <w:color w:val="171A1D"/>
                <w:spacing w:val="0"/>
                <w:sz w:val="24"/>
                <w:szCs w:val="24"/>
                <w:highlight w:val="none"/>
                <w:shd w:val="clear" w:color="auto" w:fill="FFFFFF"/>
                <w:lang w:val="en-US" w:eastAsia="zh-CN"/>
              </w:rPr>
              <w:t>12</w:t>
            </w:r>
          </w:p>
        </w:tc>
        <w:tc>
          <w:tcPr>
            <w:tcW w:w="4960" w:type="dxa"/>
            <w:vAlign w:val="center"/>
          </w:tcPr>
          <w:p w14:paraId="3317037D">
            <w:pPr>
              <w:jc w:val="center"/>
              <w:rPr>
                <w:rFonts w:hint="eastAsia" w:ascii="宋体" w:hAnsi="宋体" w:eastAsia="宋体" w:cs="宋体"/>
                <w:i w:val="0"/>
                <w:iCs w:val="0"/>
                <w:caps w:val="0"/>
                <w:color w:val="171A1D"/>
                <w:spacing w:val="0"/>
                <w:sz w:val="24"/>
                <w:szCs w:val="24"/>
                <w:highlight w:val="none"/>
                <w:shd w:val="clear" w:color="auto" w:fill="FFFFFF"/>
                <w:lang w:val="en-US" w:eastAsia="zh-CN"/>
              </w:rPr>
            </w:pPr>
            <w:r>
              <w:rPr>
                <w:rFonts w:hint="eastAsia" w:ascii="宋体" w:hAnsi="宋体" w:eastAsia="宋体" w:cs="宋体"/>
                <w:i w:val="0"/>
                <w:iCs w:val="0"/>
                <w:caps w:val="0"/>
                <w:color w:val="171A1D"/>
                <w:spacing w:val="0"/>
                <w:sz w:val="24"/>
                <w:szCs w:val="24"/>
                <w:highlight w:val="none"/>
                <w:shd w:val="clear" w:color="auto" w:fill="FFFFFF"/>
                <w:lang w:val="en-US" w:eastAsia="zh-CN"/>
              </w:rPr>
              <w:t>玻璃试管10个/包</w:t>
            </w:r>
          </w:p>
        </w:tc>
        <w:tc>
          <w:tcPr>
            <w:tcW w:w="2832" w:type="dxa"/>
            <w:vAlign w:val="center"/>
          </w:tcPr>
          <w:p w14:paraId="332D7DDD">
            <w:pPr>
              <w:jc w:val="center"/>
              <w:rPr>
                <w:rFonts w:hint="eastAsia" w:ascii="宋体" w:hAnsi="宋体" w:eastAsia="宋体" w:cs="宋体"/>
                <w:i w:val="0"/>
                <w:iCs w:val="0"/>
                <w:caps w:val="0"/>
                <w:color w:val="171A1D"/>
                <w:spacing w:val="0"/>
                <w:sz w:val="24"/>
                <w:szCs w:val="24"/>
                <w:highlight w:val="none"/>
                <w:shd w:val="clear" w:color="auto" w:fill="FFFFFF"/>
                <w:lang w:val="en-US" w:eastAsia="zh-CN"/>
              </w:rPr>
            </w:pPr>
            <w:r>
              <w:rPr>
                <w:rFonts w:hint="eastAsia" w:ascii="宋体" w:hAnsi="宋体" w:eastAsia="宋体" w:cs="宋体"/>
                <w:i w:val="0"/>
                <w:iCs w:val="0"/>
                <w:caps w:val="0"/>
                <w:color w:val="171A1D"/>
                <w:spacing w:val="0"/>
                <w:sz w:val="24"/>
                <w:szCs w:val="24"/>
                <w:highlight w:val="none"/>
                <w:shd w:val="clear" w:color="auto" w:fill="FFFFFF"/>
                <w:lang w:val="en-US" w:eastAsia="zh-CN"/>
              </w:rPr>
              <w:t>按需</w:t>
            </w:r>
          </w:p>
        </w:tc>
      </w:tr>
      <w:tr w14:paraId="2E8E4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14:paraId="20FFA059">
            <w:pPr>
              <w:jc w:val="center"/>
              <w:rPr>
                <w:rFonts w:hint="default" w:ascii="宋体" w:hAnsi="宋体" w:eastAsia="宋体" w:cs="宋体"/>
                <w:i w:val="0"/>
                <w:iCs w:val="0"/>
                <w:caps w:val="0"/>
                <w:color w:val="171A1D"/>
                <w:spacing w:val="0"/>
                <w:sz w:val="24"/>
                <w:szCs w:val="24"/>
                <w:highlight w:val="none"/>
                <w:shd w:val="clear" w:color="auto" w:fill="FFFFFF"/>
                <w:lang w:val="en-US" w:eastAsia="zh-CN"/>
              </w:rPr>
            </w:pPr>
            <w:r>
              <w:rPr>
                <w:rFonts w:hint="eastAsia" w:ascii="宋体" w:hAnsi="宋体" w:eastAsia="宋体" w:cs="宋体"/>
                <w:i w:val="0"/>
                <w:iCs w:val="0"/>
                <w:caps w:val="0"/>
                <w:color w:val="171A1D"/>
                <w:spacing w:val="0"/>
                <w:sz w:val="24"/>
                <w:szCs w:val="24"/>
                <w:highlight w:val="none"/>
                <w:shd w:val="clear" w:color="auto" w:fill="FFFFFF"/>
                <w:lang w:val="en-US" w:eastAsia="zh-CN"/>
              </w:rPr>
              <w:t>13</w:t>
            </w:r>
          </w:p>
        </w:tc>
        <w:tc>
          <w:tcPr>
            <w:tcW w:w="4960" w:type="dxa"/>
            <w:vAlign w:val="center"/>
          </w:tcPr>
          <w:p w14:paraId="4AA4206F">
            <w:pPr>
              <w:jc w:val="center"/>
              <w:rPr>
                <w:rFonts w:hint="eastAsia" w:ascii="宋体" w:hAnsi="宋体" w:eastAsia="宋体" w:cs="宋体"/>
                <w:i w:val="0"/>
                <w:iCs w:val="0"/>
                <w:caps w:val="0"/>
                <w:color w:val="171A1D"/>
                <w:spacing w:val="0"/>
                <w:sz w:val="24"/>
                <w:szCs w:val="24"/>
                <w:highlight w:val="none"/>
                <w:shd w:val="clear" w:color="auto" w:fill="FFFFFF"/>
                <w:lang w:val="en-US" w:eastAsia="zh-CN"/>
              </w:rPr>
            </w:pPr>
            <w:r>
              <w:rPr>
                <w:rFonts w:hint="eastAsia" w:ascii="宋体" w:hAnsi="宋体" w:eastAsia="宋体" w:cs="宋体"/>
                <w:i w:val="0"/>
                <w:iCs w:val="0"/>
                <w:caps w:val="0"/>
                <w:color w:val="171A1D"/>
                <w:spacing w:val="0"/>
                <w:sz w:val="24"/>
                <w:szCs w:val="24"/>
                <w:highlight w:val="none"/>
                <w:shd w:val="clear" w:color="auto" w:fill="FFFFFF"/>
                <w:lang w:val="en-US" w:eastAsia="zh-CN"/>
              </w:rPr>
              <w:t>50ml烧杯12个/盒</w:t>
            </w:r>
          </w:p>
        </w:tc>
        <w:tc>
          <w:tcPr>
            <w:tcW w:w="2832" w:type="dxa"/>
            <w:vAlign w:val="center"/>
          </w:tcPr>
          <w:p w14:paraId="722F7D1D">
            <w:pPr>
              <w:jc w:val="center"/>
              <w:rPr>
                <w:rFonts w:hint="eastAsia" w:ascii="宋体" w:hAnsi="宋体" w:eastAsia="宋体" w:cs="宋体"/>
                <w:i w:val="0"/>
                <w:iCs w:val="0"/>
                <w:caps w:val="0"/>
                <w:color w:val="171A1D"/>
                <w:spacing w:val="0"/>
                <w:sz w:val="24"/>
                <w:szCs w:val="24"/>
                <w:highlight w:val="none"/>
                <w:shd w:val="clear" w:color="auto" w:fill="FFFFFF"/>
                <w:lang w:val="en-US" w:eastAsia="zh-CN"/>
              </w:rPr>
            </w:pPr>
            <w:r>
              <w:rPr>
                <w:rFonts w:hint="eastAsia" w:ascii="宋体" w:hAnsi="宋体" w:eastAsia="宋体" w:cs="宋体"/>
                <w:i w:val="0"/>
                <w:iCs w:val="0"/>
                <w:caps w:val="0"/>
                <w:color w:val="171A1D"/>
                <w:spacing w:val="0"/>
                <w:sz w:val="24"/>
                <w:szCs w:val="24"/>
                <w:highlight w:val="none"/>
                <w:shd w:val="clear" w:color="auto" w:fill="FFFFFF"/>
                <w:lang w:val="en-US" w:eastAsia="zh-CN"/>
              </w:rPr>
              <w:t>2盒</w:t>
            </w:r>
          </w:p>
        </w:tc>
      </w:tr>
      <w:tr w14:paraId="31B29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14:paraId="60B65C9E">
            <w:pPr>
              <w:jc w:val="center"/>
              <w:rPr>
                <w:rFonts w:hint="default" w:ascii="宋体" w:hAnsi="宋体" w:eastAsia="宋体" w:cs="宋体"/>
                <w:i w:val="0"/>
                <w:iCs w:val="0"/>
                <w:caps w:val="0"/>
                <w:color w:val="171A1D"/>
                <w:spacing w:val="0"/>
                <w:sz w:val="24"/>
                <w:szCs w:val="24"/>
                <w:highlight w:val="none"/>
                <w:shd w:val="clear" w:color="auto" w:fill="FFFFFF"/>
                <w:lang w:val="en-US" w:eastAsia="zh-CN"/>
              </w:rPr>
            </w:pPr>
            <w:r>
              <w:rPr>
                <w:rFonts w:hint="eastAsia" w:ascii="宋体" w:hAnsi="宋体" w:eastAsia="宋体" w:cs="宋体"/>
                <w:i w:val="0"/>
                <w:iCs w:val="0"/>
                <w:caps w:val="0"/>
                <w:color w:val="171A1D"/>
                <w:spacing w:val="0"/>
                <w:sz w:val="24"/>
                <w:szCs w:val="24"/>
                <w:highlight w:val="none"/>
                <w:shd w:val="clear" w:color="auto" w:fill="FFFFFF"/>
                <w:lang w:val="en-US" w:eastAsia="zh-CN"/>
              </w:rPr>
              <w:t>14</w:t>
            </w:r>
          </w:p>
        </w:tc>
        <w:tc>
          <w:tcPr>
            <w:tcW w:w="4960" w:type="dxa"/>
            <w:vAlign w:val="center"/>
          </w:tcPr>
          <w:p w14:paraId="6682651B">
            <w:pPr>
              <w:jc w:val="center"/>
              <w:rPr>
                <w:rFonts w:hint="eastAsia" w:ascii="宋体" w:hAnsi="宋体" w:eastAsia="宋体" w:cs="宋体"/>
                <w:i w:val="0"/>
                <w:iCs w:val="0"/>
                <w:caps w:val="0"/>
                <w:color w:val="171A1D"/>
                <w:spacing w:val="0"/>
                <w:sz w:val="24"/>
                <w:szCs w:val="24"/>
                <w:highlight w:val="none"/>
                <w:shd w:val="clear" w:color="auto" w:fill="FFFFFF"/>
                <w:lang w:val="en-US" w:eastAsia="zh-CN"/>
              </w:rPr>
            </w:pPr>
            <w:r>
              <w:rPr>
                <w:rFonts w:hint="eastAsia" w:ascii="宋体" w:hAnsi="宋体" w:eastAsia="宋体" w:cs="宋体"/>
                <w:i w:val="0"/>
                <w:iCs w:val="0"/>
                <w:caps w:val="0"/>
                <w:color w:val="171A1D"/>
                <w:spacing w:val="0"/>
                <w:sz w:val="24"/>
                <w:szCs w:val="24"/>
                <w:highlight w:val="none"/>
                <w:shd w:val="clear" w:color="auto" w:fill="FFFFFF"/>
                <w:lang w:val="en-US" w:eastAsia="zh-CN"/>
              </w:rPr>
              <w:t>试管架</w:t>
            </w:r>
          </w:p>
        </w:tc>
        <w:tc>
          <w:tcPr>
            <w:tcW w:w="2832" w:type="dxa"/>
            <w:vAlign w:val="center"/>
          </w:tcPr>
          <w:p w14:paraId="444FB700">
            <w:pPr>
              <w:jc w:val="center"/>
              <w:rPr>
                <w:rFonts w:hint="eastAsia" w:ascii="宋体" w:hAnsi="宋体" w:eastAsia="宋体" w:cs="宋体"/>
                <w:i w:val="0"/>
                <w:iCs w:val="0"/>
                <w:caps w:val="0"/>
                <w:color w:val="171A1D"/>
                <w:spacing w:val="0"/>
                <w:sz w:val="24"/>
                <w:szCs w:val="24"/>
                <w:highlight w:val="none"/>
                <w:shd w:val="clear" w:color="auto" w:fill="FFFFFF"/>
                <w:lang w:val="en-US" w:eastAsia="zh-CN"/>
              </w:rPr>
            </w:pPr>
            <w:r>
              <w:rPr>
                <w:rFonts w:hint="eastAsia" w:ascii="宋体" w:hAnsi="宋体" w:eastAsia="宋体" w:cs="宋体"/>
                <w:i w:val="0"/>
                <w:iCs w:val="0"/>
                <w:caps w:val="0"/>
                <w:color w:val="171A1D"/>
                <w:spacing w:val="0"/>
                <w:sz w:val="24"/>
                <w:szCs w:val="24"/>
                <w:highlight w:val="none"/>
                <w:shd w:val="clear" w:color="auto" w:fill="FFFFFF"/>
                <w:lang w:val="en-US" w:eastAsia="zh-CN"/>
              </w:rPr>
              <w:t>按需</w:t>
            </w:r>
          </w:p>
        </w:tc>
      </w:tr>
      <w:tr w14:paraId="7B41E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14:paraId="4941DA96">
            <w:pPr>
              <w:jc w:val="center"/>
              <w:rPr>
                <w:rFonts w:hint="default" w:ascii="宋体" w:hAnsi="宋体" w:eastAsia="宋体" w:cs="宋体"/>
                <w:i w:val="0"/>
                <w:iCs w:val="0"/>
                <w:caps w:val="0"/>
                <w:color w:val="171A1D"/>
                <w:spacing w:val="0"/>
                <w:sz w:val="24"/>
                <w:szCs w:val="24"/>
                <w:highlight w:val="none"/>
                <w:shd w:val="clear" w:color="auto" w:fill="FFFFFF"/>
                <w:lang w:val="en-US" w:eastAsia="zh-CN"/>
              </w:rPr>
            </w:pPr>
            <w:r>
              <w:rPr>
                <w:rFonts w:hint="eastAsia" w:ascii="宋体" w:hAnsi="宋体" w:eastAsia="宋体" w:cs="宋体"/>
                <w:i w:val="0"/>
                <w:iCs w:val="0"/>
                <w:caps w:val="0"/>
                <w:color w:val="171A1D"/>
                <w:spacing w:val="0"/>
                <w:sz w:val="24"/>
                <w:szCs w:val="24"/>
                <w:highlight w:val="none"/>
                <w:shd w:val="clear" w:color="auto" w:fill="FFFFFF"/>
                <w:lang w:val="en-US" w:eastAsia="zh-CN"/>
              </w:rPr>
              <w:t>15</w:t>
            </w:r>
          </w:p>
        </w:tc>
        <w:tc>
          <w:tcPr>
            <w:tcW w:w="4960" w:type="dxa"/>
            <w:vAlign w:val="center"/>
          </w:tcPr>
          <w:p w14:paraId="5031DCC9">
            <w:pPr>
              <w:jc w:val="center"/>
              <w:rPr>
                <w:rFonts w:hint="eastAsia" w:ascii="宋体" w:hAnsi="宋体" w:eastAsia="宋体" w:cs="宋体"/>
                <w:i w:val="0"/>
                <w:iCs w:val="0"/>
                <w:caps w:val="0"/>
                <w:color w:val="171A1D"/>
                <w:spacing w:val="0"/>
                <w:sz w:val="24"/>
                <w:szCs w:val="24"/>
                <w:highlight w:val="none"/>
                <w:shd w:val="clear" w:color="auto" w:fill="FFFFFF"/>
                <w:lang w:val="en-US" w:eastAsia="zh-CN"/>
              </w:rPr>
            </w:pPr>
            <w:r>
              <w:rPr>
                <w:rFonts w:hint="eastAsia" w:ascii="宋体" w:hAnsi="宋体" w:eastAsia="宋体" w:cs="宋体"/>
                <w:i w:val="0"/>
                <w:iCs w:val="0"/>
                <w:caps w:val="0"/>
                <w:color w:val="171A1D"/>
                <w:spacing w:val="0"/>
                <w:sz w:val="24"/>
                <w:szCs w:val="24"/>
                <w:highlight w:val="none"/>
                <w:shd w:val="clear" w:color="auto" w:fill="FFFFFF"/>
                <w:lang w:val="en-US" w:eastAsia="zh-CN"/>
              </w:rPr>
              <w:t>比色皿10个/盒</w:t>
            </w:r>
          </w:p>
        </w:tc>
        <w:tc>
          <w:tcPr>
            <w:tcW w:w="2832" w:type="dxa"/>
            <w:vAlign w:val="center"/>
          </w:tcPr>
          <w:p w14:paraId="42DFC0DA">
            <w:pPr>
              <w:jc w:val="center"/>
              <w:rPr>
                <w:rFonts w:hint="eastAsia" w:ascii="宋体" w:hAnsi="宋体" w:eastAsia="宋体" w:cs="宋体"/>
                <w:i w:val="0"/>
                <w:iCs w:val="0"/>
                <w:caps w:val="0"/>
                <w:color w:val="171A1D"/>
                <w:spacing w:val="0"/>
                <w:sz w:val="24"/>
                <w:szCs w:val="24"/>
                <w:highlight w:val="none"/>
                <w:shd w:val="clear" w:color="auto" w:fill="FFFFFF"/>
                <w:lang w:val="en-US" w:eastAsia="zh-CN"/>
              </w:rPr>
            </w:pPr>
            <w:r>
              <w:rPr>
                <w:rFonts w:hint="eastAsia" w:ascii="宋体" w:hAnsi="宋体" w:eastAsia="宋体" w:cs="宋体"/>
                <w:i w:val="0"/>
                <w:iCs w:val="0"/>
                <w:caps w:val="0"/>
                <w:color w:val="171A1D"/>
                <w:spacing w:val="0"/>
                <w:sz w:val="24"/>
                <w:szCs w:val="24"/>
                <w:highlight w:val="none"/>
                <w:shd w:val="clear" w:color="auto" w:fill="FFFFFF"/>
                <w:lang w:val="en-US" w:eastAsia="zh-CN"/>
              </w:rPr>
              <w:t>按需</w:t>
            </w:r>
          </w:p>
        </w:tc>
      </w:tr>
      <w:tr w14:paraId="0508E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14:paraId="5DA94E24">
            <w:pPr>
              <w:jc w:val="center"/>
              <w:rPr>
                <w:rFonts w:hint="default" w:ascii="宋体" w:hAnsi="宋体" w:eastAsia="宋体" w:cs="宋体"/>
                <w:i w:val="0"/>
                <w:iCs w:val="0"/>
                <w:caps w:val="0"/>
                <w:color w:val="171A1D"/>
                <w:spacing w:val="0"/>
                <w:sz w:val="24"/>
                <w:szCs w:val="24"/>
                <w:highlight w:val="none"/>
                <w:shd w:val="clear" w:color="auto" w:fill="FFFFFF"/>
                <w:lang w:val="en-US" w:eastAsia="zh-CN"/>
              </w:rPr>
            </w:pPr>
            <w:r>
              <w:rPr>
                <w:rFonts w:hint="eastAsia" w:ascii="宋体" w:hAnsi="宋体" w:eastAsia="宋体" w:cs="宋体"/>
                <w:i w:val="0"/>
                <w:iCs w:val="0"/>
                <w:caps w:val="0"/>
                <w:color w:val="171A1D"/>
                <w:spacing w:val="0"/>
                <w:sz w:val="24"/>
                <w:szCs w:val="24"/>
                <w:highlight w:val="none"/>
                <w:shd w:val="clear" w:color="auto" w:fill="FFFFFF"/>
                <w:lang w:val="en-US" w:eastAsia="zh-CN"/>
              </w:rPr>
              <w:t>16</w:t>
            </w:r>
          </w:p>
        </w:tc>
        <w:tc>
          <w:tcPr>
            <w:tcW w:w="4960" w:type="dxa"/>
            <w:vAlign w:val="center"/>
          </w:tcPr>
          <w:p w14:paraId="7EFF6B90">
            <w:pPr>
              <w:jc w:val="center"/>
              <w:rPr>
                <w:rFonts w:hint="eastAsia" w:ascii="宋体" w:hAnsi="宋体" w:eastAsia="宋体" w:cs="宋体"/>
                <w:i w:val="0"/>
                <w:iCs w:val="0"/>
                <w:caps w:val="0"/>
                <w:color w:val="171A1D"/>
                <w:spacing w:val="0"/>
                <w:sz w:val="24"/>
                <w:szCs w:val="24"/>
                <w:highlight w:val="none"/>
                <w:shd w:val="clear" w:color="auto" w:fill="FFFFFF"/>
                <w:lang w:val="en-US" w:eastAsia="zh-CN"/>
              </w:rPr>
            </w:pPr>
            <w:r>
              <w:rPr>
                <w:rFonts w:hint="eastAsia" w:ascii="宋体" w:hAnsi="宋体" w:eastAsia="宋体" w:cs="宋体"/>
                <w:i w:val="0"/>
                <w:iCs w:val="0"/>
                <w:caps w:val="0"/>
                <w:color w:val="171A1D"/>
                <w:spacing w:val="0"/>
                <w:sz w:val="24"/>
                <w:szCs w:val="24"/>
                <w:highlight w:val="none"/>
                <w:shd w:val="clear" w:color="auto" w:fill="FFFFFF"/>
                <w:lang w:val="en-US" w:eastAsia="zh-CN"/>
              </w:rPr>
              <w:t>一次性丁腈手套100个/盒</w:t>
            </w:r>
          </w:p>
        </w:tc>
        <w:tc>
          <w:tcPr>
            <w:tcW w:w="2832" w:type="dxa"/>
            <w:vAlign w:val="center"/>
          </w:tcPr>
          <w:p w14:paraId="6CD01D81">
            <w:pPr>
              <w:jc w:val="center"/>
              <w:rPr>
                <w:rFonts w:hint="eastAsia" w:ascii="宋体" w:hAnsi="宋体" w:eastAsia="宋体" w:cs="宋体"/>
                <w:i w:val="0"/>
                <w:iCs w:val="0"/>
                <w:caps w:val="0"/>
                <w:color w:val="171A1D"/>
                <w:spacing w:val="0"/>
                <w:sz w:val="24"/>
                <w:szCs w:val="24"/>
                <w:highlight w:val="none"/>
                <w:shd w:val="clear" w:color="auto" w:fill="FFFFFF"/>
                <w:lang w:val="en-US" w:eastAsia="zh-CN"/>
              </w:rPr>
            </w:pPr>
            <w:r>
              <w:rPr>
                <w:rFonts w:hint="eastAsia" w:ascii="宋体" w:hAnsi="宋体" w:eastAsia="宋体" w:cs="宋体"/>
                <w:i w:val="0"/>
                <w:iCs w:val="0"/>
                <w:caps w:val="0"/>
                <w:color w:val="171A1D"/>
                <w:spacing w:val="0"/>
                <w:sz w:val="24"/>
                <w:szCs w:val="24"/>
                <w:highlight w:val="none"/>
                <w:shd w:val="clear" w:color="auto" w:fill="FFFFFF"/>
                <w:lang w:val="en-US" w:eastAsia="zh-CN"/>
              </w:rPr>
              <w:t>按需</w:t>
            </w:r>
          </w:p>
        </w:tc>
      </w:tr>
      <w:tr w14:paraId="58551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14:paraId="3A4A315C">
            <w:pPr>
              <w:jc w:val="center"/>
              <w:rPr>
                <w:rFonts w:hint="default" w:ascii="宋体" w:hAnsi="宋体" w:eastAsia="宋体" w:cs="宋体"/>
                <w:i w:val="0"/>
                <w:iCs w:val="0"/>
                <w:caps w:val="0"/>
                <w:color w:val="171A1D"/>
                <w:spacing w:val="0"/>
                <w:sz w:val="24"/>
                <w:szCs w:val="24"/>
                <w:highlight w:val="none"/>
                <w:shd w:val="clear" w:color="auto" w:fill="FFFFFF"/>
                <w:lang w:val="en-US" w:eastAsia="zh-CN"/>
              </w:rPr>
            </w:pPr>
            <w:r>
              <w:rPr>
                <w:rFonts w:hint="eastAsia" w:ascii="宋体" w:hAnsi="宋体" w:eastAsia="宋体" w:cs="宋体"/>
                <w:i w:val="0"/>
                <w:iCs w:val="0"/>
                <w:caps w:val="0"/>
                <w:color w:val="171A1D"/>
                <w:spacing w:val="0"/>
                <w:sz w:val="24"/>
                <w:szCs w:val="24"/>
                <w:highlight w:val="none"/>
                <w:shd w:val="clear" w:color="auto" w:fill="FFFFFF"/>
                <w:lang w:val="en-US" w:eastAsia="zh-CN"/>
              </w:rPr>
              <w:t>17</w:t>
            </w:r>
          </w:p>
        </w:tc>
        <w:tc>
          <w:tcPr>
            <w:tcW w:w="4960" w:type="dxa"/>
            <w:vAlign w:val="center"/>
          </w:tcPr>
          <w:p w14:paraId="503A1C05">
            <w:pPr>
              <w:jc w:val="center"/>
              <w:rPr>
                <w:rFonts w:hint="eastAsia" w:ascii="宋体" w:hAnsi="宋体" w:eastAsia="宋体" w:cs="宋体"/>
                <w:i w:val="0"/>
                <w:iCs w:val="0"/>
                <w:caps w:val="0"/>
                <w:color w:val="171A1D"/>
                <w:spacing w:val="0"/>
                <w:sz w:val="24"/>
                <w:szCs w:val="24"/>
                <w:highlight w:val="none"/>
                <w:shd w:val="clear" w:color="auto" w:fill="FFFFFF"/>
                <w:lang w:val="en-US" w:eastAsia="zh-CN"/>
              </w:rPr>
            </w:pPr>
            <w:r>
              <w:rPr>
                <w:rFonts w:hint="eastAsia" w:ascii="宋体" w:hAnsi="宋体" w:eastAsia="宋体" w:cs="宋体"/>
                <w:i w:val="0"/>
                <w:iCs w:val="0"/>
                <w:caps w:val="0"/>
                <w:color w:val="171A1D"/>
                <w:spacing w:val="0"/>
                <w:sz w:val="24"/>
                <w:szCs w:val="24"/>
                <w:highlight w:val="none"/>
                <w:shd w:val="clear" w:color="auto" w:fill="FFFFFF"/>
                <w:lang w:val="en-US" w:eastAsia="zh-CN"/>
              </w:rPr>
              <w:t>采样框30格</w:t>
            </w:r>
          </w:p>
        </w:tc>
        <w:tc>
          <w:tcPr>
            <w:tcW w:w="2832" w:type="dxa"/>
            <w:vAlign w:val="center"/>
          </w:tcPr>
          <w:p w14:paraId="429DAB58">
            <w:pPr>
              <w:jc w:val="center"/>
              <w:rPr>
                <w:rFonts w:hint="eastAsia" w:ascii="宋体" w:hAnsi="宋体" w:eastAsia="宋体" w:cs="宋体"/>
                <w:i w:val="0"/>
                <w:iCs w:val="0"/>
                <w:caps w:val="0"/>
                <w:color w:val="171A1D"/>
                <w:spacing w:val="0"/>
                <w:sz w:val="24"/>
                <w:szCs w:val="24"/>
                <w:highlight w:val="none"/>
                <w:shd w:val="clear" w:color="auto" w:fill="FFFFFF"/>
                <w:lang w:val="en-US" w:eastAsia="zh-CN"/>
              </w:rPr>
            </w:pPr>
            <w:r>
              <w:rPr>
                <w:rFonts w:hint="eastAsia" w:ascii="宋体" w:hAnsi="宋体" w:eastAsia="宋体" w:cs="宋体"/>
                <w:i w:val="0"/>
                <w:iCs w:val="0"/>
                <w:caps w:val="0"/>
                <w:color w:val="171A1D"/>
                <w:spacing w:val="0"/>
                <w:sz w:val="24"/>
                <w:szCs w:val="24"/>
                <w:highlight w:val="none"/>
                <w:shd w:val="clear" w:color="auto" w:fill="FFFFFF"/>
                <w:lang w:val="en-US" w:eastAsia="zh-CN"/>
              </w:rPr>
              <w:t>按需</w:t>
            </w:r>
          </w:p>
        </w:tc>
      </w:tr>
      <w:tr w14:paraId="6D01A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14:paraId="38559A4D">
            <w:pPr>
              <w:jc w:val="center"/>
              <w:rPr>
                <w:rFonts w:hint="default" w:ascii="宋体" w:hAnsi="宋体" w:eastAsia="宋体" w:cs="宋体"/>
                <w:i w:val="0"/>
                <w:iCs w:val="0"/>
                <w:caps w:val="0"/>
                <w:color w:val="171A1D"/>
                <w:spacing w:val="0"/>
                <w:sz w:val="24"/>
                <w:szCs w:val="24"/>
                <w:highlight w:val="none"/>
                <w:shd w:val="clear" w:color="auto" w:fill="FFFFFF"/>
                <w:lang w:val="en-US" w:eastAsia="zh-CN"/>
              </w:rPr>
            </w:pPr>
            <w:r>
              <w:rPr>
                <w:rFonts w:hint="eastAsia" w:ascii="宋体" w:hAnsi="宋体" w:eastAsia="宋体" w:cs="宋体"/>
                <w:i w:val="0"/>
                <w:iCs w:val="0"/>
                <w:caps w:val="0"/>
                <w:color w:val="171A1D"/>
                <w:spacing w:val="0"/>
                <w:sz w:val="24"/>
                <w:szCs w:val="24"/>
                <w:highlight w:val="none"/>
                <w:shd w:val="clear" w:color="auto" w:fill="FFFFFF"/>
                <w:lang w:val="en-US" w:eastAsia="zh-CN"/>
              </w:rPr>
              <w:t>18</w:t>
            </w:r>
          </w:p>
        </w:tc>
        <w:tc>
          <w:tcPr>
            <w:tcW w:w="4960" w:type="dxa"/>
            <w:vAlign w:val="center"/>
          </w:tcPr>
          <w:p w14:paraId="4AE3DCB0">
            <w:pPr>
              <w:jc w:val="center"/>
              <w:rPr>
                <w:rFonts w:hint="eastAsia" w:ascii="宋体" w:hAnsi="宋体" w:eastAsia="宋体" w:cs="宋体"/>
                <w:i w:val="0"/>
                <w:iCs w:val="0"/>
                <w:caps w:val="0"/>
                <w:color w:val="171A1D"/>
                <w:spacing w:val="0"/>
                <w:sz w:val="24"/>
                <w:szCs w:val="24"/>
                <w:highlight w:val="none"/>
                <w:shd w:val="clear" w:color="auto" w:fill="FFFFFF"/>
                <w:lang w:val="en-US" w:eastAsia="zh-CN"/>
              </w:rPr>
            </w:pPr>
            <w:r>
              <w:rPr>
                <w:rFonts w:hint="eastAsia" w:ascii="宋体" w:hAnsi="宋体" w:eastAsia="宋体" w:cs="宋体"/>
                <w:i w:val="0"/>
                <w:iCs w:val="0"/>
                <w:caps w:val="0"/>
                <w:color w:val="171A1D"/>
                <w:spacing w:val="0"/>
                <w:sz w:val="24"/>
                <w:szCs w:val="24"/>
                <w:highlight w:val="none"/>
                <w:shd w:val="clear" w:color="auto" w:fill="FFFFFF"/>
                <w:lang w:val="en-US" w:eastAsia="zh-CN"/>
              </w:rPr>
              <w:t>移液器架</w:t>
            </w:r>
          </w:p>
        </w:tc>
        <w:tc>
          <w:tcPr>
            <w:tcW w:w="2832" w:type="dxa"/>
            <w:vAlign w:val="center"/>
          </w:tcPr>
          <w:p w14:paraId="32CB05CF">
            <w:pPr>
              <w:jc w:val="center"/>
              <w:rPr>
                <w:rFonts w:hint="eastAsia" w:ascii="宋体" w:hAnsi="宋体" w:eastAsia="宋体" w:cs="宋体"/>
                <w:i w:val="0"/>
                <w:iCs w:val="0"/>
                <w:caps w:val="0"/>
                <w:color w:val="171A1D"/>
                <w:spacing w:val="0"/>
                <w:sz w:val="24"/>
                <w:szCs w:val="24"/>
                <w:highlight w:val="none"/>
                <w:shd w:val="clear" w:color="auto" w:fill="FFFFFF"/>
                <w:lang w:val="en-US" w:eastAsia="zh-CN"/>
              </w:rPr>
            </w:pPr>
            <w:r>
              <w:rPr>
                <w:rFonts w:hint="eastAsia" w:ascii="宋体" w:hAnsi="宋体" w:eastAsia="宋体" w:cs="宋体"/>
                <w:i w:val="0"/>
                <w:iCs w:val="0"/>
                <w:caps w:val="0"/>
                <w:color w:val="171A1D"/>
                <w:spacing w:val="0"/>
                <w:sz w:val="24"/>
                <w:szCs w:val="24"/>
                <w:highlight w:val="none"/>
                <w:shd w:val="clear" w:color="auto" w:fill="FFFFFF"/>
                <w:lang w:val="en-US" w:eastAsia="zh-CN"/>
              </w:rPr>
              <w:t>按需</w:t>
            </w:r>
          </w:p>
        </w:tc>
      </w:tr>
      <w:tr w14:paraId="51044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14:paraId="4E01256F">
            <w:pPr>
              <w:jc w:val="center"/>
              <w:rPr>
                <w:rFonts w:hint="default" w:ascii="宋体" w:hAnsi="宋体" w:eastAsia="宋体" w:cs="宋体"/>
                <w:i w:val="0"/>
                <w:iCs w:val="0"/>
                <w:caps w:val="0"/>
                <w:color w:val="171A1D"/>
                <w:spacing w:val="0"/>
                <w:sz w:val="24"/>
                <w:szCs w:val="24"/>
                <w:highlight w:val="none"/>
                <w:shd w:val="clear" w:color="auto" w:fill="FFFFFF"/>
                <w:lang w:val="en-US" w:eastAsia="zh-CN"/>
              </w:rPr>
            </w:pPr>
            <w:r>
              <w:rPr>
                <w:rFonts w:hint="eastAsia" w:ascii="宋体" w:hAnsi="宋体" w:eastAsia="宋体" w:cs="宋体"/>
                <w:i w:val="0"/>
                <w:iCs w:val="0"/>
                <w:caps w:val="0"/>
                <w:color w:val="171A1D"/>
                <w:spacing w:val="0"/>
                <w:sz w:val="24"/>
                <w:szCs w:val="24"/>
                <w:highlight w:val="none"/>
                <w:shd w:val="clear" w:color="auto" w:fill="FFFFFF"/>
                <w:lang w:val="en-US" w:eastAsia="zh-CN"/>
              </w:rPr>
              <w:t>19</w:t>
            </w:r>
          </w:p>
        </w:tc>
        <w:tc>
          <w:tcPr>
            <w:tcW w:w="4960" w:type="dxa"/>
            <w:vAlign w:val="center"/>
          </w:tcPr>
          <w:p w14:paraId="63EA9F8E">
            <w:pPr>
              <w:jc w:val="center"/>
              <w:rPr>
                <w:rFonts w:hint="eastAsia" w:ascii="宋体" w:hAnsi="宋体" w:eastAsia="宋体" w:cs="宋体"/>
                <w:i w:val="0"/>
                <w:iCs w:val="0"/>
                <w:caps w:val="0"/>
                <w:color w:val="171A1D"/>
                <w:spacing w:val="0"/>
                <w:sz w:val="24"/>
                <w:szCs w:val="24"/>
                <w:highlight w:val="none"/>
                <w:shd w:val="clear" w:color="auto" w:fill="FFFFFF"/>
                <w:lang w:val="en-US" w:eastAsia="zh-CN"/>
              </w:rPr>
            </w:pPr>
            <w:r>
              <w:rPr>
                <w:rFonts w:hint="eastAsia" w:ascii="宋体" w:hAnsi="宋体" w:eastAsia="宋体" w:cs="宋体"/>
                <w:i w:val="0"/>
                <w:iCs w:val="0"/>
                <w:caps w:val="0"/>
                <w:color w:val="171A1D"/>
                <w:spacing w:val="0"/>
                <w:sz w:val="24"/>
                <w:szCs w:val="24"/>
                <w:highlight w:val="none"/>
                <w:shd w:val="clear" w:color="auto" w:fill="FFFFFF"/>
                <w:lang w:val="en-US" w:eastAsia="zh-CN"/>
              </w:rPr>
              <w:t>1ml移液枪头盒</w:t>
            </w:r>
          </w:p>
        </w:tc>
        <w:tc>
          <w:tcPr>
            <w:tcW w:w="2832" w:type="dxa"/>
            <w:vAlign w:val="center"/>
          </w:tcPr>
          <w:p w14:paraId="13D1DDF6">
            <w:pPr>
              <w:jc w:val="center"/>
              <w:rPr>
                <w:rFonts w:hint="eastAsia" w:ascii="宋体" w:hAnsi="宋体" w:eastAsia="宋体" w:cs="宋体"/>
                <w:i w:val="0"/>
                <w:iCs w:val="0"/>
                <w:caps w:val="0"/>
                <w:color w:val="171A1D"/>
                <w:spacing w:val="0"/>
                <w:sz w:val="24"/>
                <w:szCs w:val="24"/>
                <w:highlight w:val="none"/>
                <w:shd w:val="clear" w:color="auto" w:fill="FFFFFF"/>
                <w:lang w:val="en-US" w:eastAsia="zh-CN"/>
              </w:rPr>
            </w:pPr>
            <w:r>
              <w:rPr>
                <w:rFonts w:hint="eastAsia" w:ascii="宋体" w:hAnsi="宋体" w:eastAsia="宋体" w:cs="宋体"/>
                <w:i w:val="0"/>
                <w:iCs w:val="0"/>
                <w:caps w:val="0"/>
                <w:color w:val="171A1D"/>
                <w:spacing w:val="0"/>
                <w:sz w:val="24"/>
                <w:szCs w:val="24"/>
                <w:highlight w:val="none"/>
                <w:shd w:val="clear" w:color="auto" w:fill="FFFFFF"/>
                <w:lang w:val="en-US" w:eastAsia="zh-CN"/>
              </w:rPr>
              <w:t>1个</w:t>
            </w:r>
          </w:p>
        </w:tc>
      </w:tr>
      <w:tr w14:paraId="38176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14:paraId="6A7EF0A3">
            <w:pPr>
              <w:jc w:val="center"/>
              <w:rPr>
                <w:rFonts w:hint="default" w:ascii="宋体" w:hAnsi="宋体" w:eastAsia="宋体" w:cs="宋体"/>
                <w:i w:val="0"/>
                <w:iCs w:val="0"/>
                <w:caps w:val="0"/>
                <w:color w:val="171A1D"/>
                <w:spacing w:val="0"/>
                <w:sz w:val="24"/>
                <w:szCs w:val="24"/>
                <w:highlight w:val="none"/>
                <w:shd w:val="clear" w:color="auto" w:fill="FFFFFF"/>
                <w:lang w:val="en-US" w:eastAsia="zh-CN"/>
              </w:rPr>
            </w:pPr>
            <w:r>
              <w:rPr>
                <w:rFonts w:hint="eastAsia" w:ascii="宋体" w:hAnsi="宋体" w:eastAsia="宋体" w:cs="宋体"/>
                <w:i w:val="0"/>
                <w:iCs w:val="0"/>
                <w:caps w:val="0"/>
                <w:color w:val="171A1D"/>
                <w:spacing w:val="0"/>
                <w:sz w:val="24"/>
                <w:szCs w:val="24"/>
                <w:highlight w:val="none"/>
                <w:shd w:val="clear" w:color="auto" w:fill="FFFFFF"/>
                <w:lang w:val="en-US" w:eastAsia="zh-CN"/>
              </w:rPr>
              <w:t>20</w:t>
            </w:r>
          </w:p>
        </w:tc>
        <w:tc>
          <w:tcPr>
            <w:tcW w:w="4960" w:type="dxa"/>
            <w:vAlign w:val="center"/>
          </w:tcPr>
          <w:p w14:paraId="3A62DBB2">
            <w:pPr>
              <w:jc w:val="center"/>
              <w:rPr>
                <w:rFonts w:hint="eastAsia" w:ascii="宋体" w:hAnsi="宋体" w:eastAsia="宋体" w:cs="宋体"/>
                <w:i w:val="0"/>
                <w:iCs w:val="0"/>
                <w:caps w:val="0"/>
                <w:color w:val="171A1D"/>
                <w:spacing w:val="0"/>
                <w:sz w:val="24"/>
                <w:szCs w:val="24"/>
                <w:highlight w:val="none"/>
                <w:shd w:val="clear" w:color="auto" w:fill="FFFFFF"/>
                <w:lang w:val="en-US" w:eastAsia="zh-CN"/>
              </w:rPr>
            </w:pPr>
            <w:r>
              <w:rPr>
                <w:rFonts w:hint="eastAsia" w:ascii="宋体" w:hAnsi="宋体" w:eastAsia="宋体" w:cs="宋体"/>
                <w:i w:val="0"/>
                <w:iCs w:val="0"/>
                <w:caps w:val="0"/>
                <w:color w:val="171A1D"/>
                <w:spacing w:val="0"/>
                <w:sz w:val="24"/>
                <w:szCs w:val="24"/>
                <w:highlight w:val="none"/>
                <w:shd w:val="clear" w:color="auto" w:fill="FFFFFF"/>
                <w:lang w:val="en-US" w:eastAsia="zh-CN"/>
              </w:rPr>
              <w:t>5ml移液枪头盒</w:t>
            </w:r>
          </w:p>
        </w:tc>
        <w:tc>
          <w:tcPr>
            <w:tcW w:w="2832" w:type="dxa"/>
            <w:vAlign w:val="center"/>
          </w:tcPr>
          <w:p w14:paraId="500A68F1">
            <w:pPr>
              <w:jc w:val="center"/>
              <w:rPr>
                <w:rFonts w:hint="eastAsia" w:ascii="宋体" w:hAnsi="宋体" w:eastAsia="宋体" w:cs="宋体"/>
                <w:i w:val="0"/>
                <w:iCs w:val="0"/>
                <w:caps w:val="0"/>
                <w:color w:val="171A1D"/>
                <w:spacing w:val="0"/>
                <w:sz w:val="24"/>
                <w:szCs w:val="24"/>
                <w:highlight w:val="none"/>
                <w:shd w:val="clear" w:color="auto" w:fill="FFFFFF"/>
                <w:lang w:val="en-US" w:eastAsia="zh-CN"/>
              </w:rPr>
            </w:pPr>
            <w:r>
              <w:rPr>
                <w:rFonts w:hint="eastAsia" w:ascii="宋体" w:hAnsi="宋体" w:eastAsia="宋体" w:cs="宋体"/>
                <w:i w:val="0"/>
                <w:iCs w:val="0"/>
                <w:caps w:val="0"/>
                <w:color w:val="171A1D"/>
                <w:spacing w:val="0"/>
                <w:sz w:val="24"/>
                <w:szCs w:val="24"/>
                <w:highlight w:val="none"/>
                <w:shd w:val="clear" w:color="auto" w:fill="FFFFFF"/>
                <w:lang w:val="en-US" w:eastAsia="zh-CN"/>
              </w:rPr>
              <w:t>1个</w:t>
            </w:r>
          </w:p>
        </w:tc>
      </w:tr>
    </w:tbl>
    <w:p w14:paraId="6E7C9013">
      <w:pPr>
        <w:adjustRightInd/>
        <w:snapToGrid w:val="0"/>
        <w:spacing w:before="120" w:beforeLines="50" w:after="120" w:afterLines="50" w:line="360" w:lineRule="auto"/>
        <w:ind w:firstLine="480" w:firstLineChars="200"/>
        <w:outlineLvl w:val="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3、标识及制度</w:t>
      </w:r>
    </w:p>
    <w:p w14:paraId="3229837F">
      <w:pPr>
        <w:adjustRightInd/>
        <w:snapToGrid w:val="0"/>
        <w:spacing w:before="120" w:beforeLines="50" w:after="120" w:afterLines="50" w:line="360" w:lineRule="auto"/>
        <w:ind w:firstLine="480" w:firstLineChars="200"/>
        <w:outlineLvl w:val="0"/>
        <w:rPr>
          <w:rFonts w:hint="default"/>
          <w:highlight w:val="none"/>
          <w:lang w:val="en-US" w:eastAsia="zh-CN"/>
        </w:rPr>
      </w:pPr>
      <w:r>
        <w:rPr>
          <w:rFonts w:hint="eastAsia" w:ascii="宋体" w:hAnsi="宋体" w:eastAsia="宋体" w:cs="宋体"/>
          <w:color w:val="000000" w:themeColor="text1"/>
          <w:sz w:val="24"/>
          <w:highlight w:val="none"/>
          <w:lang w:val="en-US" w:eastAsia="zh-CN"/>
          <w14:textFill>
            <w14:solidFill>
              <w14:schemeClr w14:val="tx1"/>
            </w14:solidFill>
          </w14:textFill>
        </w:rPr>
        <w:t>实验室需包含以下标识及制度：</w:t>
      </w:r>
    </w:p>
    <w:p w14:paraId="5556C8EE">
      <w:pPr>
        <w:adjustRightInd/>
        <w:snapToGrid w:val="0"/>
        <w:spacing w:before="120" w:beforeLines="50" w:after="120" w:afterLines="50" w:line="360" w:lineRule="auto"/>
        <w:ind w:firstLine="480" w:firstLineChars="200"/>
        <w:outlineLvl w:val="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3.1农贸市场食品快检制度</w:t>
      </w:r>
    </w:p>
    <w:p w14:paraId="6717E01B">
      <w:pPr>
        <w:adjustRightInd/>
        <w:snapToGrid w:val="0"/>
        <w:spacing w:before="120" w:beforeLines="50" w:after="120" w:afterLines="50" w:line="360" w:lineRule="auto"/>
        <w:ind w:firstLine="480" w:firstLineChars="200"/>
        <w:outlineLvl w:val="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3.2检测室安全管理制度</w:t>
      </w:r>
    </w:p>
    <w:p w14:paraId="4F1F62F2">
      <w:pPr>
        <w:adjustRightInd/>
        <w:snapToGrid w:val="0"/>
        <w:spacing w:before="120" w:beforeLines="50" w:after="120" w:afterLines="50" w:line="360" w:lineRule="auto"/>
        <w:ind w:firstLine="480" w:firstLineChars="200"/>
        <w:outlineLvl w:val="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3.3检测室管理制度</w:t>
      </w:r>
    </w:p>
    <w:p w14:paraId="18434C1E">
      <w:pPr>
        <w:adjustRightInd/>
        <w:snapToGrid w:val="0"/>
        <w:spacing w:before="120" w:beforeLines="50" w:after="120" w:afterLines="50" w:line="360" w:lineRule="auto"/>
        <w:ind w:firstLine="480" w:firstLineChars="200"/>
        <w:outlineLvl w:val="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3.4试剂管理制度</w:t>
      </w:r>
    </w:p>
    <w:p w14:paraId="14A7BC6E">
      <w:pPr>
        <w:adjustRightInd/>
        <w:snapToGrid w:val="0"/>
        <w:spacing w:before="120" w:beforeLines="50" w:after="120" w:afterLines="50" w:line="360" w:lineRule="auto"/>
        <w:ind w:firstLine="480" w:firstLineChars="200"/>
        <w:outlineLvl w:val="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3.5检验员工作守则</w:t>
      </w:r>
    </w:p>
    <w:p w14:paraId="7B1185F4">
      <w:pPr>
        <w:adjustRightInd/>
        <w:snapToGrid w:val="0"/>
        <w:spacing w:before="120" w:beforeLines="50" w:after="120" w:afterLines="50" w:line="360" w:lineRule="auto"/>
        <w:ind w:firstLine="480" w:firstLineChars="200"/>
        <w:outlineLvl w:val="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3.6仪器使用管理制度</w:t>
      </w:r>
    </w:p>
    <w:p w14:paraId="3A92C3D4">
      <w:pPr>
        <w:adjustRightInd/>
        <w:snapToGrid w:val="0"/>
        <w:spacing w:before="120" w:beforeLines="50" w:after="120" w:afterLines="50" w:line="360" w:lineRule="auto"/>
        <w:ind w:firstLine="480" w:firstLineChars="200"/>
        <w:outlineLvl w:val="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3.7检验员岗位职责</w:t>
      </w:r>
    </w:p>
    <w:p w14:paraId="5750064D">
      <w:pPr>
        <w:adjustRightInd/>
        <w:snapToGrid w:val="0"/>
        <w:spacing w:before="120" w:beforeLines="50" w:after="120" w:afterLines="50" w:line="360" w:lineRule="auto"/>
        <w:ind w:firstLine="480" w:firstLineChars="200"/>
        <w:outlineLvl w:val="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3.8食品安全信息公示制度</w:t>
      </w:r>
    </w:p>
    <w:p w14:paraId="627EB3AD">
      <w:pPr>
        <w:adjustRightInd/>
        <w:snapToGrid w:val="0"/>
        <w:spacing w:before="120" w:beforeLines="50" w:after="120" w:afterLines="50" w:line="360" w:lineRule="auto"/>
        <w:ind w:firstLine="480" w:firstLineChars="200"/>
        <w:outlineLvl w:val="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3.9农贸市场免费检测制度</w:t>
      </w:r>
    </w:p>
    <w:p w14:paraId="0DF58171">
      <w:pPr>
        <w:adjustRightInd/>
        <w:snapToGrid w:val="0"/>
        <w:spacing w:before="120" w:beforeLines="50" w:after="120" w:afterLines="50" w:line="360" w:lineRule="auto"/>
        <w:ind w:firstLine="480" w:firstLineChars="200"/>
        <w:outlineLvl w:val="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3.10检测品种和项目</w:t>
      </w:r>
    </w:p>
    <w:p w14:paraId="1C1C5223">
      <w:pPr>
        <w:adjustRightInd/>
        <w:snapToGrid w:val="0"/>
        <w:spacing w:before="120" w:beforeLines="50" w:after="120" w:afterLines="50" w:line="360" w:lineRule="auto"/>
        <w:ind w:firstLine="480" w:firstLineChars="200"/>
        <w:outlineLvl w:val="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3.11农贸市场快检室采样方法和检测流程</w:t>
      </w:r>
    </w:p>
    <w:p w14:paraId="49D6CB3B">
      <w:pPr>
        <w:adjustRightInd/>
        <w:snapToGrid w:val="0"/>
        <w:spacing w:before="120" w:beforeLines="50" w:after="120" w:afterLines="50" w:line="360" w:lineRule="auto"/>
        <w:ind w:firstLine="480" w:firstLineChars="200"/>
        <w:outlineLvl w:val="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3.12快检不合格处置流程</w:t>
      </w:r>
    </w:p>
    <w:p w14:paraId="4A7D964F">
      <w:pPr>
        <w:adjustRightInd/>
        <w:snapToGrid w:val="0"/>
        <w:spacing w:before="120" w:beforeLines="50" w:after="120" w:afterLines="50" w:line="360" w:lineRule="auto"/>
        <w:ind w:firstLine="480" w:firstLineChars="200"/>
        <w:outlineLvl w:val="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3.13实验操作台分区标识：接样区、检测区、登记区、存档区</w:t>
      </w:r>
    </w:p>
    <w:p w14:paraId="1F1BC857">
      <w:pPr>
        <w:adjustRightInd/>
        <w:snapToGrid w:val="0"/>
        <w:spacing w:before="120" w:beforeLines="50" w:after="120" w:afterLines="50" w:line="360" w:lineRule="auto"/>
        <w:ind w:firstLine="480" w:firstLineChars="200"/>
        <w:outlineLvl w:val="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3.14你送我检  接样窗口</w:t>
      </w:r>
    </w:p>
    <w:p w14:paraId="287B6555">
      <w:pPr>
        <w:adjustRightInd/>
        <w:snapToGrid w:val="0"/>
        <w:spacing w:before="120" w:beforeLines="50" w:after="120" w:afterLines="50" w:line="360" w:lineRule="auto"/>
        <w:ind w:firstLine="480" w:firstLineChars="200"/>
        <w:outlineLvl w:val="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3.15食品快检便民服务点等</w:t>
      </w:r>
    </w:p>
    <w:p w14:paraId="3D140069">
      <w:pPr>
        <w:pStyle w:val="24"/>
        <w:keepNext w:val="0"/>
        <w:keepLines w:val="0"/>
        <w:pageBreakBefore w:val="0"/>
        <w:widowControl w:val="0"/>
        <w:kinsoku/>
        <w:wordWrap/>
        <w:overflowPunct/>
        <w:topLinePunct w:val="0"/>
        <w:autoSpaceDE/>
        <w:autoSpaceDN/>
        <w:bidi w:val="0"/>
        <w:spacing w:after="0" w:line="240" w:lineRule="auto"/>
        <w:ind w:left="0" w:leftChars="0" w:firstLine="0" w:firstLineChars="0"/>
        <w:textAlignment w:val="auto"/>
        <w:outlineLvl w:val="9"/>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▲备注：</w:t>
      </w:r>
      <w:r>
        <w:rPr>
          <w:rFonts w:hint="eastAsia" w:cs="宋体"/>
          <w:b/>
          <w:bCs/>
          <w:color w:val="000000" w:themeColor="text1"/>
          <w:sz w:val="24"/>
          <w:highlight w:val="none"/>
          <w:lang w:val="en-US" w:eastAsia="zh-CN"/>
          <w14:textFill>
            <w14:solidFill>
              <w14:schemeClr w14:val="tx1"/>
            </w14:solidFill>
          </w14:textFill>
        </w:rPr>
        <w:t>以上制度标识需审核后才可以上墙。</w:t>
      </w:r>
    </w:p>
    <w:p w14:paraId="0B438181">
      <w:pPr>
        <w:adjustRightInd/>
        <w:snapToGrid w:val="0"/>
        <w:spacing w:before="120" w:beforeLines="50" w:after="120" w:afterLines="50" w:line="360" w:lineRule="auto"/>
        <w:ind w:firstLine="480" w:firstLineChars="200"/>
        <w:outlineLvl w:val="0"/>
        <w:rPr>
          <w:rFonts w:hint="eastAsia" w:ascii="宋体" w:hAnsi="宋体" w:eastAsia="宋体" w:cs="宋体"/>
          <w:color w:val="auto"/>
          <w:sz w:val="24"/>
          <w:highlight w:val="none"/>
          <w:lang w:val="en-US" w:eastAsia="zh-CN"/>
        </w:rPr>
      </w:pPr>
      <w:r>
        <w:rPr>
          <w:rFonts w:hint="eastAsia" w:ascii="宋体" w:hAnsi="宋体" w:eastAsia="宋体" w:cs="宋体"/>
          <w:color w:val="000000" w:themeColor="text1"/>
          <w:sz w:val="24"/>
          <w:highlight w:val="none"/>
          <w:lang w:val="en-US" w:eastAsia="zh-CN"/>
          <w14:textFill>
            <w14:solidFill>
              <w14:schemeClr w14:val="tx1"/>
            </w14:solidFill>
          </w14:textFill>
        </w:rPr>
        <w:t>4、建设验</w:t>
      </w:r>
      <w:r>
        <w:rPr>
          <w:rFonts w:hint="eastAsia" w:ascii="宋体" w:hAnsi="宋体" w:eastAsia="宋体" w:cs="宋体"/>
          <w:color w:val="auto"/>
          <w:sz w:val="24"/>
          <w:highlight w:val="none"/>
          <w:lang w:val="en-US" w:eastAsia="zh-CN"/>
        </w:rPr>
        <w:t>收标准：</w:t>
      </w:r>
    </w:p>
    <w:p w14:paraId="413FE911">
      <w:pPr>
        <w:adjustRightInd/>
        <w:snapToGrid w:val="0"/>
        <w:spacing w:before="120" w:beforeLines="50" w:after="120" w:afterLines="50" w:line="360" w:lineRule="auto"/>
        <w:ind w:firstLine="480" w:firstLineChars="200"/>
        <w:outlineLvl w:val="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快检室按下表标准进行验收打分，满分</w:t>
      </w:r>
      <w:r>
        <w:rPr>
          <w:rFonts w:hint="eastAsia" w:ascii="宋体" w:hAnsi="宋体" w:cs="宋体"/>
          <w:color w:val="auto"/>
          <w:sz w:val="24"/>
          <w:highlight w:val="none"/>
          <w:lang w:val="en-US" w:eastAsia="zh-CN"/>
        </w:rPr>
        <w:t>50</w:t>
      </w:r>
      <w:r>
        <w:rPr>
          <w:rFonts w:hint="eastAsia" w:ascii="宋体" w:hAnsi="宋体" w:eastAsia="宋体" w:cs="宋体"/>
          <w:color w:val="auto"/>
          <w:sz w:val="24"/>
          <w:highlight w:val="none"/>
          <w:lang w:val="en-US" w:eastAsia="zh-CN"/>
        </w:rPr>
        <w:t>分，低于</w:t>
      </w:r>
      <w:r>
        <w:rPr>
          <w:rFonts w:hint="eastAsia" w:ascii="宋体" w:hAnsi="宋体" w:cs="宋体"/>
          <w:color w:val="auto"/>
          <w:sz w:val="24"/>
          <w:highlight w:val="none"/>
          <w:lang w:val="en-US" w:eastAsia="zh-CN"/>
        </w:rPr>
        <w:t>45</w:t>
      </w:r>
      <w:r>
        <w:rPr>
          <w:rFonts w:hint="eastAsia" w:ascii="宋体" w:hAnsi="宋体" w:eastAsia="宋体" w:cs="宋体"/>
          <w:color w:val="auto"/>
          <w:sz w:val="24"/>
          <w:highlight w:val="none"/>
          <w:lang w:val="en-US" w:eastAsia="zh-CN"/>
        </w:rPr>
        <w:t>分的，验收</w:t>
      </w:r>
      <w:r>
        <w:rPr>
          <w:rFonts w:hint="eastAsia" w:ascii="宋体" w:hAnsi="宋体" w:cs="宋体"/>
          <w:color w:val="auto"/>
          <w:sz w:val="24"/>
          <w:highlight w:val="none"/>
          <w:lang w:val="en-US" w:eastAsia="zh-CN"/>
        </w:rPr>
        <w:t>做不合格处理</w:t>
      </w:r>
      <w:r>
        <w:rPr>
          <w:rFonts w:hint="eastAsia" w:ascii="宋体" w:hAnsi="宋体" w:eastAsia="宋体" w:cs="宋体"/>
          <w:color w:val="auto"/>
          <w:sz w:val="24"/>
          <w:highlight w:val="none"/>
          <w:lang w:val="en-US" w:eastAsia="zh-CN"/>
        </w:rPr>
        <w:t>。采购人有权要求中标人进行整改，并按</w:t>
      </w:r>
      <w:r>
        <w:rPr>
          <w:rFonts w:hint="eastAsia" w:ascii="宋体" w:hAnsi="宋体" w:cs="宋体"/>
          <w:color w:val="auto"/>
          <w:sz w:val="24"/>
          <w:highlight w:val="none"/>
          <w:lang w:val="en-US" w:eastAsia="zh-CN"/>
        </w:rPr>
        <w:t>1000</w:t>
      </w:r>
      <w:r>
        <w:rPr>
          <w:rFonts w:hint="eastAsia" w:ascii="宋体" w:hAnsi="宋体" w:eastAsia="宋体" w:cs="宋体"/>
          <w:color w:val="auto"/>
          <w:sz w:val="24"/>
          <w:highlight w:val="none"/>
          <w:lang w:val="en-US" w:eastAsia="zh-CN"/>
        </w:rPr>
        <w:t>元/天进行扣罚。</w:t>
      </w:r>
    </w:p>
    <w:tbl>
      <w:tblPr>
        <w:tblStyle w:val="63"/>
        <w:tblW w:w="0" w:type="auto"/>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0"/>
        <w:gridCol w:w="3066"/>
        <w:gridCol w:w="4144"/>
      </w:tblGrid>
      <w:tr w14:paraId="65A30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70" w:type="dxa"/>
            <w:gridSpan w:val="3"/>
          </w:tcPr>
          <w:p w14:paraId="7F5D89BC">
            <w:pPr>
              <w:adjustRightInd/>
              <w:snapToGrid w:val="0"/>
              <w:spacing w:before="120" w:beforeLines="50" w:after="120" w:afterLines="50" w:line="360" w:lineRule="auto"/>
              <w:jc w:val="center"/>
              <w:outlineLvl w:val="0"/>
              <w:rPr>
                <w:rFonts w:hint="eastAsia"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标准化检测室建设</w:t>
            </w:r>
          </w:p>
          <w:p w14:paraId="31400B31">
            <w:pPr>
              <w:adjustRightInd/>
              <w:snapToGrid w:val="0"/>
              <w:spacing w:before="120" w:beforeLines="50" w:after="120" w:afterLines="50" w:line="360" w:lineRule="auto"/>
              <w:ind w:firstLine="480" w:firstLineChars="200"/>
              <w:outlineLvl w:val="0"/>
              <w:rPr>
                <w:rFonts w:hint="default"/>
                <w:highlight w:val="none"/>
                <w:lang w:val="en-US" w:eastAsia="zh-CN"/>
              </w:rPr>
            </w:pPr>
            <w:r>
              <w:rPr>
                <w:rFonts w:hint="eastAsia" w:ascii="宋体" w:hAnsi="宋体" w:eastAsia="宋体" w:cs="宋体"/>
                <w:color w:val="000000" w:themeColor="text1"/>
                <w:sz w:val="24"/>
                <w:highlight w:val="none"/>
                <w:lang w:val="en-US" w:eastAsia="zh-CN"/>
                <w14:textFill>
                  <w14:solidFill>
                    <w14:schemeClr w14:val="tx1"/>
                  </w14:solidFill>
                </w14:textFill>
              </w:rPr>
              <w:t>根据</w:t>
            </w:r>
            <w:r>
              <w:rPr>
                <w:rFonts w:hint="default" w:ascii="宋体" w:hAnsi="宋体" w:eastAsia="宋体" w:cs="宋体"/>
                <w:color w:val="000000" w:themeColor="text1"/>
                <w:sz w:val="24"/>
                <w:highlight w:val="none"/>
                <w:lang w:val="en-US" w:eastAsia="zh-CN"/>
                <w14:textFill>
                  <w14:solidFill>
                    <w14:schemeClr w14:val="tx1"/>
                  </w14:solidFill>
                </w14:textFill>
              </w:rPr>
              <w:t>食品种类和风险等级、围绕硬件配置、检测室外观、设施布局等重点部位，加强快速检</w:t>
            </w:r>
            <w:r>
              <w:rPr>
                <w:rFonts w:hint="eastAsia" w:ascii="宋体" w:hAnsi="宋体" w:eastAsia="宋体" w:cs="宋体"/>
                <w:color w:val="000000" w:themeColor="text1"/>
                <w:sz w:val="24"/>
                <w:highlight w:val="none"/>
                <w:lang w:val="en-US" w:eastAsia="zh-CN"/>
                <w14:textFill>
                  <w14:solidFill>
                    <w14:schemeClr w14:val="tx1"/>
                  </w14:solidFill>
                </w14:textFill>
              </w:rPr>
              <w:t>测</w:t>
            </w:r>
            <w:r>
              <w:rPr>
                <w:rFonts w:hint="default" w:ascii="宋体" w:hAnsi="宋体" w:eastAsia="宋体" w:cs="宋体"/>
                <w:color w:val="000000" w:themeColor="text1"/>
                <w:sz w:val="24"/>
                <w:highlight w:val="none"/>
                <w:lang w:val="en-US" w:eastAsia="zh-CN"/>
                <w14:textFill>
                  <w14:solidFill>
                    <w14:schemeClr w14:val="tx1"/>
                  </w14:solidFill>
                </w14:textFill>
              </w:rPr>
              <w:t>与</w:t>
            </w:r>
            <w:r>
              <w:rPr>
                <w:rFonts w:hint="eastAsia" w:ascii="宋体" w:hAnsi="宋体" w:eastAsia="宋体" w:cs="宋体"/>
                <w:color w:val="000000" w:themeColor="text1"/>
                <w:sz w:val="24"/>
                <w:highlight w:val="none"/>
                <w:lang w:val="en-US" w:eastAsia="zh-CN"/>
                <w14:textFill>
                  <w14:solidFill>
                    <w14:schemeClr w14:val="tx1"/>
                  </w14:solidFill>
                </w14:textFill>
              </w:rPr>
              <w:t>风险</w:t>
            </w:r>
            <w:r>
              <w:rPr>
                <w:rFonts w:hint="default" w:ascii="宋体" w:hAnsi="宋体" w:eastAsia="宋体" w:cs="宋体"/>
                <w:color w:val="000000" w:themeColor="text1"/>
                <w:sz w:val="24"/>
                <w:highlight w:val="none"/>
                <w:lang w:val="en-US" w:eastAsia="zh-CN"/>
                <w14:textFill>
                  <w14:solidFill>
                    <w14:schemeClr w14:val="tx1"/>
                  </w14:solidFill>
                </w14:textFill>
              </w:rPr>
              <w:t>发现能力的匹配度建设</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default" w:ascii="宋体" w:hAnsi="宋体" w:eastAsia="宋体" w:cs="宋体"/>
                <w:color w:val="000000" w:themeColor="text1"/>
                <w:sz w:val="24"/>
                <w:highlight w:val="none"/>
                <w:lang w:val="en-US" w:eastAsia="zh-CN"/>
                <w14:textFill>
                  <w14:solidFill>
                    <w14:schemeClr w14:val="tx1"/>
                  </w14:solidFill>
                </w14:textFill>
              </w:rPr>
              <w:t>围绕快速检测程序的关键点位，进一步完善抽样，检测、后</w:t>
            </w:r>
            <w:r>
              <w:rPr>
                <w:rFonts w:hint="eastAsia" w:ascii="宋体" w:hAnsi="宋体" w:eastAsia="宋体" w:cs="宋体"/>
                <w:color w:val="000000" w:themeColor="text1"/>
                <w:sz w:val="24"/>
                <w:highlight w:val="none"/>
                <w:lang w:val="en-US" w:eastAsia="zh-CN"/>
                <w14:textFill>
                  <w14:solidFill>
                    <w14:schemeClr w14:val="tx1"/>
                  </w14:solidFill>
                </w14:textFill>
              </w:rPr>
              <w:t>处</w:t>
            </w:r>
            <w:r>
              <w:rPr>
                <w:rFonts w:hint="default" w:ascii="宋体" w:hAnsi="宋体" w:eastAsia="宋体" w:cs="宋体"/>
                <w:color w:val="000000" w:themeColor="text1"/>
                <w:sz w:val="24"/>
                <w:highlight w:val="none"/>
                <w:lang w:val="en-US" w:eastAsia="zh-CN"/>
                <w14:textFill>
                  <w14:solidFill>
                    <w14:schemeClr w14:val="tx1"/>
                  </w14:solidFill>
                </w14:textFill>
              </w:rPr>
              <w:t>理、公示公告、台账管理等工作机制，有效发挥快速检测风险发现和快速拦截作用。</w:t>
            </w:r>
          </w:p>
        </w:tc>
      </w:tr>
      <w:tr w14:paraId="7E008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60" w:type="dxa"/>
          </w:tcPr>
          <w:p w14:paraId="0CDBF175">
            <w:pPr>
              <w:adjustRightInd/>
              <w:snapToGrid w:val="0"/>
              <w:spacing w:before="120" w:beforeLines="50" w:after="120" w:afterLines="50" w:line="360" w:lineRule="auto"/>
              <w:jc w:val="center"/>
              <w:outlineLvl w:val="0"/>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内容</w:t>
            </w:r>
          </w:p>
        </w:tc>
        <w:tc>
          <w:tcPr>
            <w:tcW w:w="3066" w:type="dxa"/>
          </w:tcPr>
          <w:p w14:paraId="7DC6FD42">
            <w:pPr>
              <w:adjustRightInd/>
              <w:snapToGrid w:val="0"/>
              <w:spacing w:before="120" w:beforeLines="50" w:after="120" w:afterLines="50" w:line="360" w:lineRule="auto"/>
              <w:jc w:val="center"/>
              <w:outlineLvl w:val="0"/>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建设标准</w:t>
            </w:r>
          </w:p>
        </w:tc>
        <w:tc>
          <w:tcPr>
            <w:tcW w:w="4144" w:type="dxa"/>
          </w:tcPr>
          <w:p w14:paraId="0D79AC36">
            <w:pPr>
              <w:adjustRightInd/>
              <w:snapToGrid w:val="0"/>
              <w:spacing w:before="120" w:beforeLines="50" w:after="120" w:afterLines="50" w:line="360" w:lineRule="auto"/>
              <w:jc w:val="center"/>
              <w:outlineLvl w:val="0"/>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细则及评分标准</w:t>
            </w:r>
          </w:p>
        </w:tc>
      </w:tr>
      <w:tr w14:paraId="1699E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vAlign w:val="center"/>
          </w:tcPr>
          <w:p w14:paraId="07D77E45">
            <w:pPr>
              <w:adjustRightInd/>
              <w:snapToGrid w:val="0"/>
              <w:spacing w:before="120" w:beforeLines="50" w:after="120" w:afterLines="50" w:line="360" w:lineRule="auto"/>
              <w:jc w:val="center"/>
              <w:outlineLvl w:val="0"/>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检测室外观</w:t>
            </w:r>
          </w:p>
        </w:tc>
        <w:tc>
          <w:tcPr>
            <w:tcW w:w="3066" w:type="dxa"/>
          </w:tcPr>
          <w:p w14:paraId="4748157A">
            <w:pPr>
              <w:adjustRightInd/>
              <w:snapToGrid w:val="0"/>
              <w:spacing w:before="120" w:beforeLines="50" w:after="120" w:afterLines="50" w:line="360" w:lineRule="auto"/>
              <w:outlineLvl w:val="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市场内独立设置检测室，检测室面积能满足市场日常的快速检测要求，地面干净、防滑，墙面和顶面宜为白色，悬挂“你点我检”便民免费服务标识、工作规程、抽检流程、信息公示牌，标识应当清晰易识别。</w:t>
            </w:r>
          </w:p>
        </w:tc>
        <w:tc>
          <w:tcPr>
            <w:tcW w:w="4144" w:type="dxa"/>
          </w:tcPr>
          <w:p w14:paraId="0EF2C8AC">
            <w:pPr>
              <w:adjustRightInd/>
              <w:snapToGrid w:val="0"/>
              <w:spacing w:before="120" w:beforeLines="50" w:after="120" w:afterLines="50" w:line="360" w:lineRule="auto"/>
              <w:outlineLvl w:val="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地面墙面和顶面不洁净各扣0.5分，检测室未悬挂“你点我检”或“免费开放检测室”等便民免费服务标识；缺少检测室工作规程、抽样检验流程、信息公示牌。少一个标识内容扣1分，扣完为止。</w:t>
            </w:r>
          </w:p>
        </w:tc>
      </w:tr>
      <w:tr w14:paraId="4AD13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vAlign w:val="center"/>
          </w:tcPr>
          <w:p w14:paraId="6D9001A2">
            <w:pPr>
              <w:adjustRightInd/>
              <w:snapToGrid w:val="0"/>
              <w:spacing w:before="120" w:beforeLines="50" w:after="120" w:afterLines="50" w:line="360" w:lineRule="auto"/>
              <w:jc w:val="center"/>
              <w:outlineLvl w:val="0"/>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检测室布局</w:t>
            </w:r>
          </w:p>
        </w:tc>
        <w:tc>
          <w:tcPr>
            <w:tcW w:w="3066" w:type="dxa"/>
          </w:tcPr>
          <w:p w14:paraId="7332986E">
            <w:pPr>
              <w:adjustRightInd/>
              <w:snapToGrid w:val="0"/>
              <w:spacing w:before="120" w:beforeLines="50" w:after="120" w:afterLines="50" w:line="360" w:lineRule="auto"/>
              <w:outlineLvl w:val="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检测室各功能区域划分合理并有明显分区，划分为检验区域和办公区域的，有明显分区。检验区域用于实验样品前处理、保存及检测，办公区域用于样品的接收、核对、登记、出具检测结果、录入系统、存档等。</w:t>
            </w:r>
          </w:p>
        </w:tc>
        <w:tc>
          <w:tcPr>
            <w:tcW w:w="4144" w:type="dxa"/>
          </w:tcPr>
          <w:p w14:paraId="390D97A3">
            <w:pPr>
              <w:adjustRightInd/>
              <w:snapToGrid w:val="0"/>
              <w:spacing w:before="120" w:beforeLines="50" w:after="120" w:afterLines="50" w:line="360" w:lineRule="auto"/>
              <w:outlineLvl w:val="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检测室各功能区域没有明显分区的扣2分。</w:t>
            </w:r>
          </w:p>
        </w:tc>
      </w:tr>
      <w:tr w14:paraId="4B659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vMerge w:val="restart"/>
            <w:vAlign w:val="center"/>
          </w:tcPr>
          <w:p w14:paraId="652A310E">
            <w:pPr>
              <w:adjustRightInd/>
              <w:snapToGrid w:val="0"/>
              <w:spacing w:before="120" w:beforeLines="50" w:after="120" w:afterLines="50" w:line="360" w:lineRule="auto"/>
              <w:jc w:val="center"/>
              <w:outlineLvl w:val="0"/>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检测室硬件配备要求</w:t>
            </w:r>
          </w:p>
        </w:tc>
        <w:tc>
          <w:tcPr>
            <w:tcW w:w="3066" w:type="dxa"/>
          </w:tcPr>
          <w:p w14:paraId="3D674075">
            <w:pPr>
              <w:adjustRightInd/>
              <w:snapToGrid w:val="0"/>
              <w:spacing w:before="120" w:beforeLines="50" w:after="120" w:afterLines="50" w:line="360" w:lineRule="auto"/>
              <w:outlineLvl w:val="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检测室应配备与检测品种、项目相匹配的食品安全快速检测设备、辅助设备和检测试剂（试纸、卡片）样品存储设备等。检测室应当安装摄像头覆盖检测操作全过程，并接入智慧农贸市场管理系统。</w:t>
            </w:r>
          </w:p>
        </w:tc>
        <w:tc>
          <w:tcPr>
            <w:tcW w:w="4144" w:type="dxa"/>
          </w:tcPr>
          <w:p w14:paraId="140EA2F3">
            <w:pPr>
              <w:adjustRightInd/>
              <w:snapToGrid w:val="0"/>
              <w:spacing w:before="120" w:beforeLines="50" w:after="120" w:afterLines="50" w:line="360" w:lineRule="auto"/>
              <w:outlineLvl w:val="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（1）检测设备“食品安全检测仪、新型兽药残留检测仪”或者二合一检测仪器，设备具有直接上传检测数据功能。每缺一项扣5分。</w:t>
            </w:r>
          </w:p>
          <w:p w14:paraId="6A785396">
            <w:pPr>
              <w:adjustRightInd/>
              <w:snapToGrid w:val="0"/>
              <w:spacing w:before="120" w:beforeLines="50" w:after="120" w:afterLines="50" w:line="360" w:lineRule="auto"/>
              <w:outlineLvl w:val="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（2）辅助设备“电子天平、离心机、磁力搅拌器、水浴锅、料理机、混匀仪、吹干仪、多量程移液枪、各种玻璃器皿和耗材”每缺一项扣1分。</w:t>
            </w:r>
          </w:p>
          <w:p w14:paraId="73D129CF">
            <w:pPr>
              <w:adjustRightInd/>
              <w:snapToGrid w:val="0"/>
              <w:spacing w:before="120" w:beforeLines="50" w:after="120" w:afterLines="50" w:line="360" w:lineRule="auto"/>
              <w:outlineLvl w:val="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（3）检测试剂“农药残留、二氧化硫、双氧水、吊白块、亚硝酸盐、甲醛、硼砂、工业碱等检测试纸，腐霉利，克百戚、倍硫磷、氟苯尼考、氧氟沙里、恩诺沙量、盐酸克伦特罗、</w:t>
            </w:r>
            <w:r>
              <w:rPr>
                <w:rFonts w:hint="eastAsia" w:ascii="宋体" w:hAnsi="宋体" w:cs="宋体"/>
                <w:color w:val="000000" w:themeColor="text1"/>
                <w:sz w:val="24"/>
                <w:highlight w:val="none"/>
                <w:lang w:val="en-US" w:eastAsia="zh-CN"/>
                <w14:textFill>
                  <w14:solidFill>
                    <w14:schemeClr w14:val="tx1"/>
                  </w14:solidFill>
                </w14:textFill>
              </w:rPr>
              <w:t>金刚烷胺</w:t>
            </w:r>
            <w:r>
              <w:rPr>
                <w:rFonts w:hint="eastAsia" w:ascii="宋体" w:hAnsi="宋体" w:eastAsia="宋体" w:cs="宋体"/>
                <w:color w:val="000000" w:themeColor="text1"/>
                <w:sz w:val="24"/>
                <w:highlight w:val="none"/>
                <w:lang w:val="en-US" w:eastAsia="zh-CN"/>
                <w14:textFill>
                  <w14:solidFill>
                    <w14:schemeClr w14:val="tx1"/>
                  </w14:solidFill>
                </w14:textFill>
              </w:rPr>
              <w:t>等</w:t>
            </w:r>
            <w:r>
              <w:rPr>
                <w:rFonts w:hint="eastAsia" w:ascii="宋体" w:hAnsi="宋体" w:cs="宋体"/>
                <w:color w:val="000000" w:themeColor="text1"/>
                <w:sz w:val="24"/>
                <w:highlight w:val="none"/>
                <w:lang w:val="en-US" w:eastAsia="zh-CN"/>
                <w14:textFill>
                  <w14:solidFill>
                    <w14:schemeClr w14:val="tx1"/>
                  </w14:solidFill>
                </w14:textFill>
              </w:rPr>
              <w:t>检测</w:t>
            </w:r>
            <w:r>
              <w:rPr>
                <w:rFonts w:hint="eastAsia" w:ascii="宋体" w:hAnsi="宋体" w:eastAsia="宋体" w:cs="宋体"/>
                <w:color w:val="000000" w:themeColor="text1"/>
                <w:sz w:val="24"/>
                <w:highlight w:val="none"/>
                <w:lang w:val="en-US" w:eastAsia="zh-CN"/>
                <w14:textFill>
                  <w14:solidFill>
                    <w14:schemeClr w14:val="tx1"/>
                  </w14:solidFill>
                </w14:textFill>
              </w:rPr>
              <w:t>卡”每项扣1分。</w:t>
            </w:r>
          </w:p>
          <w:p w14:paraId="3D69062D">
            <w:pPr>
              <w:adjustRightInd/>
              <w:snapToGrid w:val="0"/>
              <w:spacing w:before="120" w:beforeLines="50" w:after="120" w:afterLines="50" w:line="360" w:lineRule="auto"/>
              <w:outlineLvl w:val="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（4）高清摄像头。实验室未安装至少400万像素摄像头扣3分，未接入智慧农贸市场管理系统的扣2分。</w:t>
            </w:r>
          </w:p>
          <w:p w14:paraId="0D24E33B">
            <w:pPr>
              <w:adjustRightInd/>
              <w:snapToGrid w:val="0"/>
              <w:spacing w:before="120" w:beforeLines="50" w:after="120" w:afterLines="50" w:line="360" w:lineRule="auto"/>
              <w:outlineLvl w:val="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（5）其他硬件“实验台、清洗水槽、电脑、打印机、冰箱、空调”不足1项扣1分。</w:t>
            </w:r>
          </w:p>
          <w:p w14:paraId="204CD463">
            <w:pPr>
              <w:adjustRightInd/>
              <w:snapToGrid w:val="0"/>
              <w:spacing w:before="120" w:beforeLines="50" w:after="120" w:afterLines="50" w:line="360" w:lineRule="auto"/>
              <w:outlineLvl w:val="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（6）通风设备。检测室应安装保持空气通畅的通风扇等设备，在检测室面积允许前提下，鼓励安装通风柜。</w:t>
            </w:r>
          </w:p>
          <w:p w14:paraId="2472F7F2">
            <w:pPr>
              <w:adjustRightInd/>
              <w:snapToGrid w:val="0"/>
              <w:spacing w:before="120" w:beforeLines="50" w:after="120" w:afterLines="50" w:line="360" w:lineRule="auto"/>
              <w:outlineLvl w:val="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以上分数扣完为止。</w:t>
            </w:r>
          </w:p>
        </w:tc>
      </w:tr>
      <w:tr w14:paraId="0B72A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vMerge w:val="continue"/>
          </w:tcPr>
          <w:p w14:paraId="2F0CF90A">
            <w:pPr>
              <w:pStyle w:val="24"/>
              <w:rPr>
                <w:rFonts w:hint="default"/>
                <w:highlight w:val="none"/>
                <w:vertAlign w:val="baseline"/>
                <w:lang w:val="en-US" w:eastAsia="zh-CN"/>
              </w:rPr>
            </w:pPr>
          </w:p>
        </w:tc>
        <w:tc>
          <w:tcPr>
            <w:tcW w:w="3066" w:type="dxa"/>
          </w:tcPr>
          <w:p w14:paraId="156AEED5">
            <w:pPr>
              <w:adjustRightInd/>
              <w:snapToGrid w:val="0"/>
              <w:spacing w:before="120" w:beforeLines="50" w:after="120" w:afterLines="50" w:line="360" w:lineRule="auto"/>
              <w:outlineLvl w:val="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建立仪器设备档案，记录并保存仪器的购买、维护保养和检测项目等信息。</w:t>
            </w:r>
          </w:p>
        </w:tc>
        <w:tc>
          <w:tcPr>
            <w:tcW w:w="4144" w:type="dxa"/>
          </w:tcPr>
          <w:p w14:paraId="5FA44EAB">
            <w:pPr>
              <w:adjustRightInd/>
              <w:snapToGrid w:val="0"/>
              <w:spacing w:before="120" w:beforeLines="50" w:after="120" w:afterLines="50" w:line="360" w:lineRule="auto"/>
              <w:outlineLvl w:val="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未建立检测设施设备档案，扣0.5分，未记录并保存仪器的购买、维护保养和检测项目等信息每缺1项扣0.5分，扣完为止。</w:t>
            </w:r>
          </w:p>
        </w:tc>
      </w:tr>
    </w:tbl>
    <w:p w14:paraId="28F1D9E4">
      <w:pPr>
        <w:adjustRightInd/>
        <w:spacing w:line="360" w:lineRule="auto"/>
        <w:rPr>
          <w:rFonts w:ascii="宋体" w:hAnsi="宋体" w:cs="宋体"/>
          <w:b/>
          <w:bCs/>
          <w:sz w:val="24"/>
          <w:highlight w:val="none"/>
          <w:lang w:bidi="ar"/>
        </w:rPr>
      </w:pPr>
      <w:r>
        <w:rPr>
          <w:rFonts w:hint="eastAsia" w:ascii="宋体" w:hAnsi="宋体" w:cs="宋体"/>
          <w:b/>
          <w:bCs/>
          <w:sz w:val="24"/>
          <w:highlight w:val="none"/>
          <w:lang w:val="en-US" w:eastAsia="zh-CN" w:bidi="ar"/>
        </w:rPr>
        <w:t>五</w:t>
      </w:r>
      <w:r>
        <w:rPr>
          <w:rFonts w:hint="eastAsia" w:ascii="宋体" w:hAnsi="宋体" w:cs="宋体"/>
          <w:b/>
          <w:bCs/>
          <w:sz w:val="24"/>
          <w:highlight w:val="none"/>
          <w:lang w:bidi="ar"/>
        </w:rPr>
        <w:t>、其他要求</w:t>
      </w:r>
    </w:p>
    <w:bookmarkEnd w:id="40"/>
    <w:p w14:paraId="422E3540">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1、供应商</w:t>
      </w:r>
      <w:r>
        <w:rPr>
          <w:rFonts w:hint="eastAsia" w:ascii="宋体" w:hAnsi="宋体" w:eastAsia="宋体" w:cs="宋体"/>
          <w:bCs/>
          <w:color w:val="000000" w:themeColor="text1"/>
          <w:kern w:val="0"/>
          <w:sz w:val="24"/>
          <w:highlight w:val="none"/>
          <w:lang w:val="en-US" w:eastAsia="zh-CN"/>
          <w14:textFill>
            <w14:solidFill>
              <w14:schemeClr w14:val="tx1"/>
            </w14:solidFill>
          </w14:textFill>
        </w:rPr>
        <w:t>需提供针对本</w:t>
      </w:r>
      <w:r>
        <w:rPr>
          <w:rFonts w:hint="eastAsia" w:ascii="宋体" w:hAnsi="宋体" w:eastAsia="宋体" w:cs="宋体"/>
          <w:bCs/>
          <w:color w:val="000000" w:themeColor="text1"/>
          <w:kern w:val="0"/>
          <w:sz w:val="24"/>
          <w:highlight w:val="none"/>
          <w14:textFill>
            <w14:solidFill>
              <w14:schemeClr w14:val="tx1"/>
            </w14:solidFill>
          </w14:textFill>
        </w:rPr>
        <w:t>项目</w:t>
      </w:r>
      <w:r>
        <w:rPr>
          <w:rFonts w:hint="eastAsia" w:ascii="宋体" w:hAnsi="宋体" w:eastAsia="宋体" w:cs="宋体"/>
          <w:bCs/>
          <w:color w:val="000000" w:themeColor="text1"/>
          <w:kern w:val="0"/>
          <w:sz w:val="24"/>
          <w:highlight w:val="none"/>
          <w:lang w:eastAsia="zh-CN"/>
          <w14:textFill>
            <w14:solidFill>
              <w14:schemeClr w14:val="tx1"/>
            </w14:solidFill>
          </w14:textFill>
        </w:rPr>
        <w:t>的</w:t>
      </w:r>
      <w:r>
        <w:rPr>
          <w:rFonts w:hint="eastAsia" w:ascii="宋体" w:hAnsi="宋体" w:eastAsia="宋体" w:cs="宋体"/>
          <w:bCs/>
          <w:color w:val="000000" w:themeColor="text1"/>
          <w:kern w:val="0"/>
          <w:sz w:val="24"/>
          <w:highlight w:val="none"/>
          <w:lang w:val="en-US" w:eastAsia="zh-CN"/>
          <w14:textFill>
            <w14:solidFill>
              <w14:schemeClr w14:val="tx1"/>
            </w14:solidFill>
          </w14:textFill>
        </w:rPr>
        <w:t>背景及</w:t>
      </w:r>
      <w:r>
        <w:rPr>
          <w:rFonts w:hint="eastAsia" w:ascii="宋体" w:hAnsi="宋体" w:eastAsia="宋体" w:cs="宋体"/>
          <w:bCs/>
          <w:color w:val="000000" w:themeColor="text1"/>
          <w:kern w:val="0"/>
          <w:sz w:val="24"/>
          <w:highlight w:val="none"/>
          <w14:textFill>
            <w14:solidFill>
              <w14:schemeClr w14:val="tx1"/>
            </w14:solidFill>
          </w14:textFill>
        </w:rPr>
        <w:t>需求理解情况</w:t>
      </w:r>
      <w:r>
        <w:rPr>
          <w:rFonts w:hint="eastAsia" w:ascii="宋体" w:hAnsi="宋体" w:eastAsia="宋体" w:cs="宋体"/>
          <w:bCs/>
          <w:color w:val="000000" w:themeColor="text1"/>
          <w:kern w:val="0"/>
          <w:sz w:val="24"/>
          <w:highlight w:val="none"/>
          <w:lang w:eastAsia="zh-CN"/>
          <w14:textFill>
            <w14:solidFill>
              <w14:schemeClr w14:val="tx1"/>
            </w14:solidFill>
          </w14:textFill>
        </w:rPr>
        <w:t>，</w:t>
      </w:r>
      <w:r>
        <w:rPr>
          <w:rFonts w:hint="eastAsia" w:ascii="宋体" w:hAnsi="宋体" w:eastAsia="宋体" w:cs="宋体"/>
          <w:bCs/>
          <w:color w:val="000000" w:themeColor="text1"/>
          <w:kern w:val="0"/>
          <w:sz w:val="24"/>
          <w:highlight w:val="none"/>
          <w:lang w:val="en-US" w:eastAsia="zh-CN"/>
          <w14:textFill>
            <w14:solidFill>
              <w14:schemeClr w14:val="tx1"/>
            </w14:solidFill>
          </w14:textFill>
        </w:rPr>
        <w:t>并对项目重难点进行分析及同时提出相应的解决措施</w:t>
      </w:r>
      <w:r>
        <w:rPr>
          <w:rFonts w:hint="eastAsia" w:ascii="宋体" w:hAnsi="宋体" w:cs="宋体"/>
          <w:sz w:val="24"/>
          <w:highlight w:val="none"/>
        </w:rPr>
        <w:t>。</w:t>
      </w:r>
    </w:p>
    <w:p w14:paraId="639339BE">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2、供应商需根据项目具体要求，</w:t>
      </w:r>
      <w:r>
        <w:rPr>
          <w:rFonts w:hint="eastAsia" w:ascii="宋体" w:hAnsi="宋体" w:cs="宋体"/>
          <w:sz w:val="24"/>
          <w:highlight w:val="none"/>
          <w:lang w:val="en-US" w:eastAsia="zh-CN"/>
        </w:rPr>
        <w:t>制定具体的</w:t>
      </w:r>
      <w:r>
        <w:rPr>
          <w:rFonts w:hint="eastAsia" w:ascii="宋体" w:hAnsi="宋体" w:cs="宋体"/>
          <w:sz w:val="24"/>
          <w:highlight w:val="none"/>
        </w:rPr>
        <w:t>检测实施方案</w:t>
      </w:r>
      <w:r>
        <w:rPr>
          <w:rFonts w:hint="eastAsia" w:ascii="宋体" w:hAnsi="宋体" w:cs="宋体"/>
          <w:sz w:val="24"/>
          <w:highlight w:val="none"/>
          <w:lang w:val="en-US" w:eastAsia="zh-CN"/>
        </w:rPr>
        <w:t>以及</w:t>
      </w:r>
      <w:r>
        <w:rPr>
          <w:rFonts w:hint="eastAsia" w:ascii="宋体" w:hAnsi="宋体" w:cs="宋体"/>
          <w:bCs/>
          <w:color w:val="auto"/>
          <w:kern w:val="0"/>
          <w:sz w:val="24"/>
          <w:szCs w:val="24"/>
          <w:highlight w:val="none"/>
          <w:lang w:val="en-US" w:eastAsia="zh-CN"/>
        </w:rPr>
        <w:t>快检室设备的</w:t>
      </w:r>
      <w:r>
        <w:rPr>
          <w:rFonts w:hint="eastAsia" w:ascii="宋体" w:hAnsi="宋体" w:eastAsia="宋体" w:cs="宋体"/>
          <w:bCs/>
          <w:color w:val="auto"/>
          <w:kern w:val="0"/>
          <w:sz w:val="24"/>
          <w:szCs w:val="24"/>
          <w:highlight w:val="none"/>
          <w:lang w:val="en-US" w:eastAsia="zh-CN"/>
        </w:rPr>
        <w:t>供货方案、安装与验收方案、质保期方案、培训方案、维修成本方案</w:t>
      </w:r>
      <w:r>
        <w:rPr>
          <w:rFonts w:hint="eastAsia" w:ascii="宋体" w:hAnsi="宋体" w:cs="宋体"/>
          <w:sz w:val="24"/>
          <w:highlight w:val="none"/>
          <w:lang w:eastAsia="zh-CN"/>
        </w:rPr>
        <w:t>，</w:t>
      </w:r>
      <w:r>
        <w:rPr>
          <w:rFonts w:hint="eastAsia" w:ascii="宋体" w:hAnsi="宋体" w:cs="宋体"/>
          <w:sz w:val="24"/>
          <w:highlight w:val="none"/>
          <w:lang w:val="en-US" w:eastAsia="zh-CN"/>
        </w:rPr>
        <w:t>并提供试剂的性能说明，明确具体的快检室设备技术响应情况</w:t>
      </w:r>
      <w:r>
        <w:rPr>
          <w:rFonts w:hint="eastAsia" w:ascii="宋体" w:hAnsi="宋体" w:cs="宋体"/>
          <w:sz w:val="24"/>
          <w:highlight w:val="none"/>
        </w:rPr>
        <w:t>。</w:t>
      </w:r>
    </w:p>
    <w:p w14:paraId="19EDA9AE">
      <w:pPr>
        <w:spacing w:line="360" w:lineRule="auto"/>
        <w:ind w:firstLine="480" w:firstLineChars="200"/>
        <w:jc w:val="left"/>
        <w:rPr>
          <w:rFonts w:ascii="宋体" w:hAnsi="宋体" w:cs="宋体"/>
          <w:sz w:val="24"/>
          <w:highlight w:val="none"/>
        </w:rPr>
        <w:sectPr>
          <w:footerReference r:id="rId8" w:type="default"/>
          <w:pgSz w:w="11907" w:h="16840"/>
          <w:pgMar w:top="1474" w:right="1814" w:bottom="1474" w:left="1814" w:header="851" w:footer="851" w:gutter="0"/>
          <w:cols w:space="720" w:num="1"/>
        </w:sectPr>
      </w:pPr>
      <w:r>
        <w:rPr>
          <w:rFonts w:hint="eastAsia" w:ascii="宋体" w:hAnsi="宋体" w:cs="宋体"/>
          <w:sz w:val="24"/>
          <w:highlight w:val="none"/>
        </w:rPr>
        <w:t>3、为保障项目的有效实施，供应商需</w:t>
      </w:r>
      <w:r>
        <w:rPr>
          <w:rFonts w:hint="eastAsia" w:ascii="宋体" w:hAnsi="宋体" w:cs="宋体"/>
          <w:sz w:val="24"/>
          <w:highlight w:val="none"/>
          <w:lang w:val="en-US" w:eastAsia="zh-CN"/>
        </w:rPr>
        <w:t>制定相关的</w:t>
      </w:r>
      <w:r>
        <w:rPr>
          <w:rFonts w:hint="eastAsia" w:ascii="宋体" w:hAnsi="宋体" w:eastAsia="宋体" w:cs="宋体"/>
          <w:bCs/>
          <w:color w:val="000000" w:themeColor="text1"/>
          <w:kern w:val="0"/>
          <w:sz w:val="24"/>
          <w:highlight w:val="none"/>
          <w:lang w:val="en-US" w:eastAsia="zh-CN"/>
          <w14:textFill>
            <w14:solidFill>
              <w14:schemeClr w14:val="tx1"/>
            </w14:solidFill>
          </w14:textFill>
        </w:rPr>
        <w:t>实施管理制度，并</w:t>
      </w:r>
      <w:r>
        <w:rPr>
          <w:rFonts w:hint="eastAsia" w:ascii="宋体" w:hAnsi="宋体" w:cs="宋体"/>
          <w:sz w:val="24"/>
          <w:highlight w:val="none"/>
        </w:rPr>
        <w:t>具有同类项目经验（提供业绩证明材料）。</w:t>
      </w:r>
    </w:p>
    <w:p w14:paraId="014E60E7">
      <w:pPr>
        <w:spacing w:line="360" w:lineRule="auto"/>
        <w:jc w:val="center"/>
        <w:outlineLvl w:val="0"/>
        <w:rPr>
          <w:rFonts w:hint="eastAsia" w:ascii="宋体" w:hAnsi="宋体" w:cs="宋体"/>
          <w:b/>
          <w:sz w:val="36"/>
          <w:szCs w:val="36"/>
          <w:highlight w:val="none"/>
        </w:rPr>
      </w:pPr>
      <w:bookmarkStart w:id="42" w:name="_Toc29737"/>
      <w:r>
        <w:rPr>
          <w:rFonts w:hint="eastAsia" w:ascii="宋体" w:hAnsi="宋体" w:cs="宋体"/>
          <w:b/>
          <w:sz w:val="36"/>
          <w:szCs w:val="36"/>
          <w:highlight w:val="none"/>
        </w:rPr>
        <w:t xml:space="preserve">第四部分   </w:t>
      </w:r>
      <w:bookmarkStart w:id="43" w:name="_Toc184308093"/>
      <w:bookmarkEnd w:id="43"/>
      <w:bookmarkStart w:id="44" w:name="_Toc184310326"/>
      <w:bookmarkEnd w:id="44"/>
      <w:bookmarkStart w:id="45" w:name="_Toc184312138"/>
      <w:bookmarkEnd w:id="45"/>
      <w:bookmarkStart w:id="46" w:name="_Toc184314473"/>
      <w:bookmarkEnd w:id="46"/>
      <w:bookmarkStart w:id="47" w:name="_Toc184310272"/>
      <w:bookmarkEnd w:id="47"/>
      <w:bookmarkStart w:id="48" w:name="_Toc184310318"/>
      <w:bookmarkEnd w:id="48"/>
      <w:bookmarkStart w:id="49" w:name="_Toc184314476"/>
      <w:bookmarkEnd w:id="49"/>
      <w:bookmarkStart w:id="50" w:name="_Toc184314450"/>
      <w:bookmarkEnd w:id="50"/>
      <w:bookmarkStart w:id="51" w:name="_Toc184310334"/>
      <w:bookmarkEnd w:id="51"/>
      <w:bookmarkStart w:id="52" w:name="_Toc184313281"/>
      <w:bookmarkEnd w:id="52"/>
      <w:bookmarkStart w:id="53" w:name="_Toc184314441"/>
      <w:bookmarkEnd w:id="53"/>
      <w:bookmarkStart w:id="54" w:name="_Toc184312100"/>
      <w:bookmarkEnd w:id="54"/>
      <w:bookmarkStart w:id="55" w:name="_Toc184312111"/>
      <w:bookmarkEnd w:id="55"/>
      <w:bookmarkStart w:id="56" w:name="_Toc184312085"/>
      <w:bookmarkEnd w:id="56"/>
      <w:bookmarkStart w:id="57" w:name="_Toc184312121"/>
      <w:bookmarkEnd w:id="57"/>
      <w:bookmarkStart w:id="58" w:name="_Toc184308050"/>
      <w:bookmarkEnd w:id="58"/>
      <w:bookmarkStart w:id="59" w:name="_Toc184313302"/>
      <w:bookmarkEnd w:id="59"/>
      <w:bookmarkStart w:id="60" w:name="_Toc184314431"/>
      <w:bookmarkEnd w:id="60"/>
      <w:bookmarkStart w:id="61" w:name="_Toc184308061"/>
      <w:bookmarkEnd w:id="61"/>
      <w:bookmarkStart w:id="62" w:name="_Toc184308089"/>
      <w:bookmarkEnd w:id="62"/>
      <w:bookmarkStart w:id="63" w:name="_Toc184312125"/>
      <w:bookmarkEnd w:id="63"/>
      <w:bookmarkStart w:id="64" w:name="_Toc184312067"/>
      <w:bookmarkEnd w:id="64"/>
      <w:bookmarkStart w:id="65" w:name="_Toc184312124"/>
      <w:bookmarkEnd w:id="65"/>
      <w:bookmarkStart w:id="66" w:name="_Toc184312115"/>
      <w:bookmarkEnd w:id="66"/>
      <w:bookmarkStart w:id="67" w:name="_Toc184314429"/>
      <w:bookmarkEnd w:id="67"/>
      <w:bookmarkStart w:id="68" w:name="_Toc184310286"/>
      <w:bookmarkEnd w:id="68"/>
      <w:bookmarkStart w:id="69" w:name="_Toc184312130"/>
      <w:bookmarkEnd w:id="69"/>
      <w:bookmarkStart w:id="70" w:name="_Toc184312086"/>
      <w:bookmarkEnd w:id="70"/>
      <w:bookmarkStart w:id="71" w:name="_Toc184310324"/>
      <w:bookmarkEnd w:id="71"/>
      <w:bookmarkStart w:id="72" w:name="_Toc184312076"/>
      <w:bookmarkEnd w:id="72"/>
      <w:bookmarkStart w:id="73" w:name="_Toc184314467"/>
      <w:bookmarkEnd w:id="73"/>
      <w:bookmarkStart w:id="74" w:name="_Toc184308070"/>
      <w:bookmarkEnd w:id="74"/>
      <w:bookmarkStart w:id="75" w:name="_Toc184312075"/>
      <w:bookmarkEnd w:id="75"/>
      <w:bookmarkStart w:id="76" w:name="_Toc184313253"/>
      <w:bookmarkEnd w:id="76"/>
      <w:bookmarkStart w:id="77" w:name="_Toc184313305"/>
      <w:bookmarkEnd w:id="77"/>
      <w:bookmarkStart w:id="78" w:name="_Toc184314480"/>
      <w:bookmarkEnd w:id="78"/>
      <w:bookmarkStart w:id="79" w:name="_Toc184308098"/>
      <w:bookmarkEnd w:id="79"/>
      <w:bookmarkStart w:id="80" w:name="_Toc184312073"/>
      <w:bookmarkEnd w:id="80"/>
      <w:bookmarkStart w:id="81" w:name="_Toc184310323"/>
      <w:bookmarkEnd w:id="81"/>
      <w:bookmarkStart w:id="82" w:name="_Toc184308106"/>
      <w:bookmarkEnd w:id="82"/>
      <w:bookmarkStart w:id="83" w:name="_Toc184310273"/>
      <w:bookmarkEnd w:id="83"/>
      <w:bookmarkStart w:id="84" w:name="_Toc184313258"/>
      <w:bookmarkEnd w:id="84"/>
      <w:bookmarkStart w:id="85" w:name="_Toc184314421"/>
      <w:bookmarkEnd w:id="85"/>
      <w:bookmarkStart w:id="86" w:name="_Toc184312099"/>
      <w:bookmarkEnd w:id="86"/>
      <w:bookmarkStart w:id="87" w:name="_Toc184314469"/>
      <w:bookmarkEnd w:id="87"/>
      <w:bookmarkStart w:id="88" w:name="_Toc184310329"/>
      <w:bookmarkEnd w:id="88"/>
      <w:bookmarkStart w:id="89" w:name="_Toc184312095"/>
      <w:bookmarkEnd w:id="89"/>
      <w:bookmarkStart w:id="90" w:name="_Toc184313265"/>
      <w:bookmarkEnd w:id="90"/>
      <w:bookmarkStart w:id="91" w:name="_Toc184312083"/>
      <w:bookmarkEnd w:id="91"/>
      <w:bookmarkStart w:id="92" w:name="_Toc184313303"/>
      <w:bookmarkEnd w:id="92"/>
      <w:bookmarkStart w:id="93" w:name="_Toc184314458"/>
      <w:bookmarkEnd w:id="93"/>
      <w:bookmarkStart w:id="94" w:name="_Toc184308090"/>
      <w:bookmarkEnd w:id="94"/>
      <w:bookmarkStart w:id="95" w:name="_Toc184313269"/>
      <w:bookmarkEnd w:id="95"/>
      <w:bookmarkStart w:id="96" w:name="_Toc184310294"/>
      <w:bookmarkEnd w:id="96"/>
      <w:bookmarkStart w:id="97" w:name="_Toc184308077"/>
      <w:bookmarkEnd w:id="97"/>
      <w:bookmarkStart w:id="98" w:name="_Toc184313241"/>
      <w:bookmarkEnd w:id="98"/>
      <w:bookmarkStart w:id="99" w:name="_Toc184308101"/>
      <w:bookmarkEnd w:id="99"/>
      <w:bookmarkStart w:id="100" w:name="_Toc184312127"/>
      <w:bookmarkEnd w:id="100"/>
      <w:bookmarkStart w:id="101" w:name="_Toc184308041"/>
      <w:bookmarkEnd w:id="101"/>
      <w:bookmarkStart w:id="102" w:name="_Toc184308063"/>
      <w:bookmarkEnd w:id="102"/>
      <w:bookmarkStart w:id="103" w:name="_Toc184312089"/>
      <w:bookmarkEnd w:id="103"/>
      <w:bookmarkStart w:id="104" w:name="_Toc184310321"/>
      <w:bookmarkEnd w:id="104"/>
      <w:bookmarkStart w:id="105" w:name="_Toc184310297"/>
      <w:bookmarkEnd w:id="105"/>
      <w:bookmarkStart w:id="106" w:name="_Toc184310335"/>
      <w:bookmarkEnd w:id="106"/>
      <w:bookmarkStart w:id="107" w:name="_Toc184313300"/>
      <w:bookmarkEnd w:id="107"/>
      <w:bookmarkStart w:id="108" w:name="_Toc184313301"/>
      <w:bookmarkEnd w:id="108"/>
      <w:bookmarkStart w:id="109" w:name="_Toc184308078"/>
      <w:bookmarkEnd w:id="109"/>
      <w:bookmarkStart w:id="110" w:name="_Toc184312098"/>
      <w:bookmarkEnd w:id="110"/>
      <w:bookmarkStart w:id="111" w:name="_Toc184313306"/>
      <w:bookmarkEnd w:id="111"/>
      <w:bookmarkStart w:id="112" w:name="_Toc184314414"/>
      <w:bookmarkEnd w:id="112"/>
      <w:bookmarkStart w:id="113" w:name="_Toc184314419"/>
      <w:bookmarkEnd w:id="113"/>
      <w:bookmarkStart w:id="114" w:name="_Toc184310317"/>
      <w:bookmarkEnd w:id="114"/>
      <w:bookmarkStart w:id="115" w:name="_Toc184314465"/>
      <w:bookmarkEnd w:id="115"/>
      <w:bookmarkStart w:id="116" w:name="_Toc184308049"/>
      <w:bookmarkEnd w:id="116"/>
      <w:bookmarkStart w:id="117" w:name="_Toc184308053"/>
      <w:bookmarkEnd w:id="117"/>
      <w:bookmarkStart w:id="118" w:name="_Toc184308040"/>
      <w:bookmarkEnd w:id="118"/>
      <w:bookmarkStart w:id="119" w:name="_Toc184312133"/>
      <w:bookmarkEnd w:id="119"/>
      <w:bookmarkStart w:id="120" w:name="_Toc184314474"/>
      <w:bookmarkEnd w:id="120"/>
      <w:bookmarkStart w:id="121" w:name="_Toc184310299"/>
      <w:bookmarkEnd w:id="121"/>
      <w:bookmarkStart w:id="122" w:name="_Toc184314456"/>
      <w:bookmarkEnd w:id="122"/>
      <w:bookmarkStart w:id="123" w:name="_Toc184313278"/>
      <w:bookmarkEnd w:id="123"/>
      <w:bookmarkStart w:id="124" w:name="_Toc184314468"/>
      <w:bookmarkEnd w:id="124"/>
      <w:bookmarkStart w:id="125" w:name="_Toc184314459"/>
      <w:bookmarkEnd w:id="125"/>
      <w:bookmarkStart w:id="126" w:name="_Toc184310280"/>
      <w:bookmarkEnd w:id="126"/>
      <w:bookmarkStart w:id="127" w:name="_Toc184313285"/>
      <w:bookmarkEnd w:id="127"/>
      <w:bookmarkStart w:id="128" w:name="_Toc184314479"/>
      <w:bookmarkEnd w:id="128"/>
      <w:bookmarkStart w:id="129" w:name="_Toc184313248"/>
      <w:bookmarkEnd w:id="129"/>
      <w:bookmarkStart w:id="130" w:name="_Toc184308085"/>
      <w:bookmarkEnd w:id="130"/>
      <w:bookmarkStart w:id="131" w:name="_Toc184310337"/>
      <w:bookmarkEnd w:id="131"/>
      <w:bookmarkStart w:id="132" w:name="_Toc184310344"/>
      <w:bookmarkEnd w:id="132"/>
      <w:bookmarkStart w:id="133" w:name="_Toc184314453"/>
      <w:bookmarkEnd w:id="133"/>
      <w:bookmarkStart w:id="134" w:name="_Toc184312119"/>
      <w:bookmarkEnd w:id="134"/>
      <w:bookmarkStart w:id="135" w:name="_Toc184312132"/>
      <w:bookmarkEnd w:id="135"/>
      <w:bookmarkStart w:id="136" w:name="_Toc184312102"/>
      <w:bookmarkEnd w:id="136"/>
      <w:bookmarkStart w:id="137" w:name="_Toc184314464"/>
      <w:bookmarkEnd w:id="137"/>
      <w:bookmarkStart w:id="138" w:name="_Toc184308075"/>
      <w:bookmarkEnd w:id="138"/>
      <w:bookmarkStart w:id="139" w:name="_Toc184310330"/>
      <w:bookmarkEnd w:id="139"/>
      <w:bookmarkStart w:id="140" w:name="_Toc184308051"/>
      <w:bookmarkEnd w:id="140"/>
      <w:bookmarkStart w:id="141" w:name="_Toc184314436"/>
      <w:bookmarkEnd w:id="141"/>
      <w:bookmarkStart w:id="142" w:name="_Toc184312137"/>
      <w:bookmarkEnd w:id="142"/>
      <w:bookmarkStart w:id="143" w:name="_Toc184314452"/>
      <w:bookmarkEnd w:id="143"/>
      <w:bookmarkStart w:id="144" w:name="_Toc184308059"/>
      <w:bookmarkEnd w:id="144"/>
      <w:bookmarkStart w:id="145" w:name="_Toc184310331"/>
      <w:bookmarkEnd w:id="145"/>
      <w:bookmarkStart w:id="146" w:name="_Toc184310311"/>
      <w:bookmarkEnd w:id="146"/>
      <w:bookmarkStart w:id="147" w:name="_Toc184308086"/>
      <w:bookmarkEnd w:id="147"/>
      <w:bookmarkStart w:id="148" w:name="_Toc184313310"/>
      <w:bookmarkEnd w:id="148"/>
      <w:bookmarkStart w:id="149" w:name="_Toc184314466"/>
      <w:bookmarkEnd w:id="149"/>
      <w:bookmarkStart w:id="150" w:name="_Toc184312106"/>
      <w:bookmarkEnd w:id="150"/>
      <w:bookmarkStart w:id="151" w:name="_Toc184312069"/>
      <w:bookmarkEnd w:id="151"/>
      <w:bookmarkStart w:id="152" w:name="_Toc184313243"/>
      <w:bookmarkEnd w:id="152"/>
      <w:bookmarkStart w:id="153" w:name="_Toc184308082"/>
      <w:bookmarkEnd w:id="153"/>
      <w:bookmarkStart w:id="154" w:name="_Toc184313275"/>
      <w:bookmarkEnd w:id="154"/>
      <w:bookmarkStart w:id="155" w:name="_Toc184310310"/>
      <w:bookmarkEnd w:id="155"/>
      <w:bookmarkStart w:id="156" w:name="_Toc184308080"/>
      <w:bookmarkEnd w:id="156"/>
      <w:bookmarkStart w:id="157" w:name="_Toc184310290"/>
      <w:bookmarkEnd w:id="157"/>
      <w:bookmarkStart w:id="158" w:name="_Toc184313244"/>
      <w:bookmarkEnd w:id="158"/>
      <w:bookmarkStart w:id="159" w:name="_Toc184308103"/>
      <w:bookmarkEnd w:id="159"/>
      <w:bookmarkStart w:id="160" w:name="_Toc184312078"/>
      <w:bookmarkEnd w:id="160"/>
      <w:bookmarkStart w:id="161" w:name="_Toc184310275"/>
      <w:bookmarkEnd w:id="161"/>
      <w:bookmarkStart w:id="162" w:name="_Toc184314417"/>
      <w:bookmarkEnd w:id="162"/>
      <w:bookmarkStart w:id="163" w:name="_Toc184312068"/>
      <w:bookmarkEnd w:id="163"/>
      <w:bookmarkStart w:id="164" w:name="_Toc184308046"/>
      <w:bookmarkEnd w:id="164"/>
      <w:bookmarkStart w:id="165" w:name="_Toc184310303"/>
      <w:bookmarkEnd w:id="165"/>
      <w:bookmarkStart w:id="166" w:name="_Toc184312126"/>
      <w:bookmarkEnd w:id="166"/>
      <w:bookmarkStart w:id="167" w:name="_Toc184314423"/>
      <w:bookmarkEnd w:id="167"/>
      <w:bookmarkStart w:id="168" w:name="_Toc184314410"/>
      <w:bookmarkEnd w:id="168"/>
      <w:bookmarkStart w:id="169" w:name="_Toc184312082"/>
      <w:bookmarkEnd w:id="169"/>
      <w:bookmarkStart w:id="170" w:name="_Toc184312088"/>
      <w:bookmarkEnd w:id="170"/>
      <w:bookmarkStart w:id="171" w:name="_Toc184310292"/>
      <w:bookmarkEnd w:id="171"/>
      <w:bookmarkStart w:id="172" w:name="_Toc184310339"/>
      <w:bookmarkEnd w:id="172"/>
      <w:bookmarkStart w:id="173" w:name="_Toc184312123"/>
      <w:bookmarkEnd w:id="173"/>
      <w:bookmarkStart w:id="174" w:name="_Toc184310282"/>
      <w:bookmarkEnd w:id="174"/>
      <w:bookmarkStart w:id="175" w:name="_Toc184308043"/>
      <w:bookmarkEnd w:id="175"/>
      <w:bookmarkStart w:id="176" w:name="_Toc184313271"/>
      <w:bookmarkEnd w:id="176"/>
      <w:bookmarkStart w:id="177" w:name="_Toc184314418"/>
      <w:bookmarkEnd w:id="177"/>
      <w:bookmarkStart w:id="178" w:name="_Toc184314461"/>
      <w:bookmarkEnd w:id="178"/>
      <w:bookmarkStart w:id="179" w:name="_Toc184314424"/>
      <w:bookmarkEnd w:id="179"/>
      <w:bookmarkStart w:id="180" w:name="_Toc184310304"/>
      <w:bookmarkEnd w:id="180"/>
      <w:bookmarkStart w:id="181" w:name="_Toc184314462"/>
      <w:bookmarkEnd w:id="181"/>
      <w:bookmarkStart w:id="182" w:name="_Toc184314477"/>
      <w:bookmarkEnd w:id="182"/>
      <w:bookmarkStart w:id="183" w:name="_Toc184314438"/>
      <w:bookmarkEnd w:id="183"/>
      <w:bookmarkStart w:id="184" w:name="_Toc184312070"/>
      <w:bookmarkEnd w:id="184"/>
      <w:bookmarkStart w:id="185" w:name="_Toc184310313"/>
      <w:bookmarkEnd w:id="185"/>
      <w:bookmarkStart w:id="186" w:name="_Toc184310283"/>
      <w:bookmarkEnd w:id="186"/>
      <w:bookmarkStart w:id="187" w:name="_Toc184314471"/>
      <w:bookmarkEnd w:id="187"/>
      <w:bookmarkStart w:id="188" w:name="_Toc184310281"/>
      <w:bookmarkEnd w:id="188"/>
      <w:bookmarkStart w:id="189" w:name="_Toc184308073"/>
      <w:bookmarkEnd w:id="189"/>
      <w:bookmarkStart w:id="190" w:name="_Toc184314446"/>
      <w:bookmarkEnd w:id="190"/>
      <w:bookmarkStart w:id="191" w:name="_Toc184312113"/>
      <w:bookmarkEnd w:id="191"/>
      <w:bookmarkStart w:id="192" w:name="_Toc184310305"/>
      <w:bookmarkEnd w:id="192"/>
      <w:bookmarkStart w:id="193" w:name="_Toc184312093"/>
      <w:bookmarkEnd w:id="193"/>
      <w:bookmarkStart w:id="194" w:name="_Toc184308099"/>
      <w:bookmarkEnd w:id="194"/>
      <w:bookmarkStart w:id="195" w:name="_Toc184314440"/>
      <w:bookmarkEnd w:id="195"/>
      <w:bookmarkStart w:id="196" w:name="_Toc184312129"/>
      <w:bookmarkEnd w:id="196"/>
      <w:bookmarkStart w:id="197" w:name="_Toc184310341"/>
      <w:bookmarkEnd w:id="197"/>
      <w:bookmarkStart w:id="198" w:name="_Toc184308100"/>
      <w:bookmarkEnd w:id="198"/>
      <w:bookmarkStart w:id="199" w:name="_Toc184313304"/>
      <w:bookmarkEnd w:id="199"/>
      <w:bookmarkStart w:id="200" w:name="_Toc184313283"/>
      <w:bookmarkEnd w:id="200"/>
      <w:bookmarkStart w:id="201" w:name="_Toc184314412"/>
      <w:bookmarkEnd w:id="201"/>
      <w:bookmarkStart w:id="202" w:name="_Toc184312108"/>
      <w:bookmarkEnd w:id="202"/>
      <w:bookmarkStart w:id="203" w:name="_Toc184310325"/>
      <w:bookmarkEnd w:id="203"/>
      <w:bookmarkStart w:id="204" w:name="_Toc184308045"/>
      <w:bookmarkEnd w:id="204"/>
      <w:bookmarkStart w:id="205" w:name="_Toc184313264"/>
      <w:bookmarkEnd w:id="205"/>
      <w:bookmarkStart w:id="206" w:name="_Toc184313256"/>
      <w:bookmarkEnd w:id="206"/>
      <w:bookmarkStart w:id="207" w:name="_Toc184310300"/>
      <w:bookmarkEnd w:id="207"/>
      <w:bookmarkStart w:id="208" w:name="_Toc184312084"/>
      <w:bookmarkEnd w:id="208"/>
      <w:bookmarkStart w:id="209" w:name="_Toc184308054"/>
      <w:bookmarkEnd w:id="209"/>
      <w:bookmarkStart w:id="210" w:name="_Toc184314463"/>
      <w:bookmarkEnd w:id="210"/>
      <w:bookmarkStart w:id="211" w:name="_Toc184314428"/>
      <w:bookmarkEnd w:id="211"/>
      <w:bookmarkStart w:id="212" w:name="_Toc184308094"/>
      <w:bookmarkEnd w:id="212"/>
      <w:bookmarkStart w:id="213" w:name="_Toc184310320"/>
      <w:bookmarkEnd w:id="213"/>
      <w:bookmarkStart w:id="214" w:name="_Toc184308055"/>
      <w:bookmarkEnd w:id="214"/>
      <w:bookmarkStart w:id="215" w:name="_Toc184313250"/>
      <w:bookmarkEnd w:id="215"/>
      <w:bookmarkStart w:id="216" w:name="_Toc184313276"/>
      <w:bookmarkEnd w:id="216"/>
      <w:bookmarkStart w:id="217" w:name="_Toc184313288"/>
      <w:bookmarkEnd w:id="217"/>
      <w:bookmarkStart w:id="218" w:name="_Toc184312097"/>
      <w:bookmarkEnd w:id="218"/>
      <w:bookmarkStart w:id="219" w:name="_Toc184314415"/>
      <w:bookmarkEnd w:id="219"/>
      <w:bookmarkStart w:id="220" w:name="_Toc184313293"/>
      <w:bookmarkEnd w:id="220"/>
      <w:bookmarkStart w:id="221" w:name="_Toc184313238"/>
      <w:bookmarkEnd w:id="221"/>
      <w:bookmarkStart w:id="222" w:name="_Toc184308092"/>
      <w:bookmarkEnd w:id="222"/>
      <w:bookmarkStart w:id="223" w:name="_Toc184310277"/>
      <w:bookmarkEnd w:id="223"/>
      <w:bookmarkStart w:id="224" w:name="_Toc184314430"/>
      <w:bookmarkEnd w:id="224"/>
      <w:bookmarkStart w:id="225" w:name="_Toc184310340"/>
      <w:bookmarkEnd w:id="225"/>
      <w:bookmarkStart w:id="226" w:name="_Toc184308036"/>
      <w:bookmarkEnd w:id="226"/>
      <w:bookmarkStart w:id="227" w:name="_Toc184312077"/>
      <w:bookmarkEnd w:id="227"/>
      <w:bookmarkStart w:id="228" w:name="_Toc184308095"/>
      <w:bookmarkEnd w:id="228"/>
      <w:bookmarkStart w:id="229" w:name="_Toc184312109"/>
      <w:bookmarkEnd w:id="229"/>
      <w:bookmarkStart w:id="230" w:name="_Toc184310343"/>
      <w:bookmarkEnd w:id="230"/>
      <w:bookmarkStart w:id="231" w:name="_Toc184310306"/>
      <w:bookmarkEnd w:id="231"/>
      <w:bookmarkStart w:id="232" w:name="_Toc184312116"/>
      <w:bookmarkEnd w:id="232"/>
      <w:bookmarkStart w:id="233" w:name="_Toc184308048"/>
      <w:bookmarkEnd w:id="233"/>
      <w:bookmarkStart w:id="234" w:name="_Toc184313252"/>
      <w:bookmarkEnd w:id="234"/>
      <w:bookmarkStart w:id="235" w:name="_Toc184308068"/>
      <w:bookmarkEnd w:id="235"/>
      <w:bookmarkStart w:id="236" w:name="_Toc184308071"/>
      <w:bookmarkEnd w:id="236"/>
      <w:bookmarkStart w:id="237" w:name="_Toc184310338"/>
      <w:bookmarkEnd w:id="237"/>
      <w:bookmarkStart w:id="238" w:name="_Toc184310328"/>
      <w:bookmarkEnd w:id="238"/>
      <w:bookmarkStart w:id="239" w:name="_Toc184312118"/>
      <w:bookmarkEnd w:id="239"/>
      <w:bookmarkStart w:id="240" w:name="_Toc184308081"/>
      <w:bookmarkEnd w:id="240"/>
      <w:bookmarkStart w:id="241" w:name="_Toc184310327"/>
      <w:bookmarkEnd w:id="241"/>
      <w:bookmarkStart w:id="242" w:name="_Toc184313279"/>
      <w:bookmarkEnd w:id="242"/>
      <w:bookmarkStart w:id="243" w:name="_Toc184314422"/>
      <w:bookmarkEnd w:id="243"/>
      <w:bookmarkStart w:id="244" w:name="_Toc184314444"/>
      <w:bookmarkEnd w:id="244"/>
      <w:bookmarkStart w:id="245" w:name="_Toc184312110"/>
      <w:bookmarkEnd w:id="245"/>
      <w:bookmarkStart w:id="246" w:name="_Toc184313270"/>
      <w:bookmarkEnd w:id="246"/>
      <w:bookmarkStart w:id="247" w:name="_Toc184314434"/>
      <w:bookmarkEnd w:id="247"/>
      <w:bookmarkStart w:id="248" w:name="_Toc184314413"/>
      <w:bookmarkEnd w:id="248"/>
      <w:bookmarkStart w:id="249" w:name="_Toc184308052"/>
      <w:bookmarkEnd w:id="249"/>
      <w:bookmarkStart w:id="250" w:name="_Toc184310333"/>
      <w:bookmarkEnd w:id="250"/>
      <w:bookmarkStart w:id="251" w:name="_Toc184313287"/>
      <w:bookmarkEnd w:id="251"/>
      <w:bookmarkStart w:id="252" w:name="_Toc184310301"/>
      <w:bookmarkEnd w:id="252"/>
      <w:bookmarkStart w:id="253" w:name="_Toc184312101"/>
      <w:bookmarkEnd w:id="253"/>
      <w:bookmarkStart w:id="254" w:name="_Toc184308057"/>
      <w:bookmarkEnd w:id="254"/>
      <w:bookmarkStart w:id="255" w:name="_Toc184310287"/>
      <w:bookmarkEnd w:id="255"/>
      <w:bookmarkStart w:id="256" w:name="_Toc184313296"/>
      <w:bookmarkEnd w:id="256"/>
      <w:bookmarkStart w:id="257" w:name="_Toc184313268"/>
      <w:bookmarkEnd w:id="257"/>
      <w:bookmarkStart w:id="258" w:name="_Toc184313290"/>
      <w:bookmarkEnd w:id="258"/>
      <w:bookmarkStart w:id="259" w:name="_Toc184313251"/>
      <w:bookmarkEnd w:id="259"/>
      <w:bookmarkStart w:id="260" w:name="_Toc184308084"/>
      <w:bookmarkEnd w:id="260"/>
      <w:bookmarkStart w:id="261" w:name="_Toc184313266"/>
      <w:bookmarkEnd w:id="261"/>
      <w:bookmarkStart w:id="262" w:name="_Toc184310278"/>
      <w:bookmarkEnd w:id="262"/>
      <w:bookmarkStart w:id="263" w:name="_Toc184314475"/>
      <w:bookmarkEnd w:id="263"/>
      <w:bookmarkStart w:id="264" w:name="_Toc184313307"/>
      <w:bookmarkEnd w:id="264"/>
      <w:bookmarkStart w:id="265" w:name="_Toc184313246"/>
      <w:bookmarkEnd w:id="265"/>
      <w:bookmarkStart w:id="266" w:name="_Toc184312104"/>
      <w:bookmarkEnd w:id="266"/>
      <w:bookmarkStart w:id="267" w:name="_Toc184313292"/>
      <w:bookmarkEnd w:id="267"/>
      <w:bookmarkStart w:id="268" w:name="_Toc184310285"/>
      <w:bookmarkEnd w:id="268"/>
      <w:bookmarkStart w:id="269" w:name="_Toc184310309"/>
      <w:bookmarkEnd w:id="269"/>
      <w:bookmarkStart w:id="270" w:name="_Toc184313298"/>
      <w:bookmarkEnd w:id="270"/>
      <w:bookmarkStart w:id="271" w:name="_Toc184314472"/>
      <w:bookmarkEnd w:id="271"/>
      <w:bookmarkStart w:id="272" w:name="_Toc184313261"/>
      <w:bookmarkEnd w:id="272"/>
      <w:bookmarkStart w:id="273" w:name="_Toc184308102"/>
      <w:bookmarkEnd w:id="273"/>
      <w:bookmarkStart w:id="274" w:name="_Toc184308069"/>
      <w:bookmarkEnd w:id="274"/>
      <w:bookmarkStart w:id="275" w:name="_Toc184313272"/>
      <w:bookmarkEnd w:id="275"/>
      <w:bookmarkStart w:id="276" w:name="_Toc184308042"/>
      <w:bookmarkEnd w:id="276"/>
      <w:bookmarkStart w:id="277" w:name="_Toc184308087"/>
      <w:bookmarkEnd w:id="277"/>
      <w:bookmarkStart w:id="278" w:name="_Toc184314482"/>
      <w:bookmarkEnd w:id="278"/>
      <w:bookmarkStart w:id="279" w:name="_Toc184314435"/>
      <w:bookmarkEnd w:id="279"/>
      <w:bookmarkStart w:id="280" w:name="_Toc184310315"/>
      <w:bookmarkEnd w:id="280"/>
      <w:bookmarkStart w:id="281" w:name="_Toc184308079"/>
      <w:bookmarkEnd w:id="281"/>
      <w:bookmarkStart w:id="282" w:name="_Toc184310336"/>
      <w:bookmarkEnd w:id="282"/>
      <w:bookmarkStart w:id="283" w:name="_Toc184310302"/>
      <w:bookmarkEnd w:id="283"/>
      <w:bookmarkStart w:id="284" w:name="_Toc184314481"/>
      <w:bookmarkEnd w:id="284"/>
      <w:bookmarkStart w:id="285" w:name="_Toc184308037"/>
      <w:bookmarkEnd w:id="285"/>
      <w:bookmarkStart w:id="286" w:name="_Toc184312080"/>
      <w:bookmarkEnd w:id="286"/>
      <w:bookmarkStart w:id="287" w:name="_Toc184313262"/>
      <w:bookmarkEnd w:id="287"/>
      <w:bookmarkStart w:id="288" w:name="_Toc184310284"/>
      <w:bookmarkEnd w:id="288"/>
      <w:bookmarkStart w:id="289" w:name="_Toc184313284"/>
      <w:bookmarkEnd w:id="289"/>
      <w:bookmarkStart w:id="290" w:name="_Toc184312071"/>
      <w:bookmarkEnd w:id="290"/>
      <w:bookmarkStart w:id="291" w:name="_Toc184313309"/>
      <w:bookmarkEnd w:id="291"/>
      <w:bookmarkStart w:id="292" w:name="_Toc184314449"/>
      <w:bookmarkEnd w:id="292"/>
      <w:bookmarkStart w:id="293" w:name="_Toc184313280"/>
      <w:bookmarkEnd w:id="293"/>
      <w:bookmarkStart w:id="294" w:name="_Toc184313245"/>
      <w:bookmarkEnd w:id="294"/>
      <w:bookmarkStart w:id="295" w:name="_Toc184314454"/>
      <w:bookmarkEnd w:id="295"/>
      <w:bookmarkStart w:id="296" w:name="_Toc184312074"/>
      <w:bookmarkEnd w:id="296"/>
      <w:bookmarkStart w:id="297" w:name="_Toc184312131"/>
      <w:bookmarkEnd w:id="297"/>
      <w:bookmarkStart w:id="298" w:name="_Toc184314420"/>
      <w:bookmarkEnd w:id="298"/>
      <w:bookmarkStart w:id="299" w:name="_Toc184308066"/>
      <w:bookmarkEnd w:id="299"/>
      <w:bookmarkStart w:id="300" w:name="_Toc184312103"/>
      <w:bookmarkEnd w:id="300"/>
      <w:bookmarkStart w:id="301" w:name="_Toc184314445"/>
      <w:bookmarkEnd w:id="301"/>
      <w:bookmarkStart w:id="302" w:name="_Toc184308039"/>
      <w:bookmarkEnd w:id="302"/>
      <w:bookmarkStart w:id="303" w:name="_Toc184314460"/>
      <w:bookmarkEnd w:id="303"/>
      <w:bookmarkStart w:id="304" w:name="_Toc184313267"/>
      <w:bookmarkEnd w:id="304"/>
      <w:bookmarkStart w:id="305" w:name="_Toc184310298"/>
      <w:bookmarkEnd w:id="305"/>
      <w:bookmarkStart w:id="306" w:name="_Toc184314478"/>
      <w:bookmarkEnd w:id="306"/>
      <w:bookmarkStart w:id="307" w:name="_Toc184308107"/>
      <w:bookmarkEnd w:id="307"/>
      <w:bookmarkStart w:id="308" w:name="_Toc184314411"/>
      <w:bookmarkEnd w:id="308"/>
      <w:bookmarkStart w:id="309" w:name="_Toc184310295"/>
      <w:bookmarkEnd w:id="309"/>
      <w:bookmarkStart w:id="310" w:name="_Toc184312096"/>
      <w:bookmarkEnd w:id="310"/>
      <w:bookmarkStart w:id="311" w:name="_Toc184313297"/>
      <w:bookmarkEnd w:id="311"/>
      <w:bookmarkStart w:id="312" w:name="_Toc184308072"/>
      <w:bookmarkEnd w:id="312"/>
      <w:bookmarkStart w:id="313" w:name="_Toc184312120"/>
      <w:bookmarkEnd w:id="313"/>
      <w:bookmarkStart w:id="314" w:name="_Toc184314470"/>
      <w:bookmarkEnd w:id="314"/>
      <w:bookmarkStart w:id="315" w:name="_Toc184312087"/>
      <w:bookmarkEnd w:id="315"/>
      <w:bookmarkStart w:id="316" w:name="_Toc184310307"/>
      <w:bookmarkEnd w:id="316"/>
      <w:bookmarkStart w:id="317" w:name="_Toc184310296"/>
      <w:bookmarkEnd w:id="317"/>
      <w:bookmarkStart w:id="318" w:name="_Toc184310279"/>
      <w:bookmarkEnd w:id="318"/>
      <w:bookmarkStart w:id="319" w:name="_Toc184310332"/>
      <w:bookmarkEnd w:id="319"/>
      <w:bookmarkStart w:id="320" w:name="_Toc184308056"/>
      <w:bookmarkEnd w:id="320"/>
      <w:bookmarkStart w:id="321" w:name="_Toc184310322"/>
      <w:bookmarkEnd w:id="321"/>
      <w:bookmarkStart w:id="322" w:name="_Toc184312092"/>
      <w:bookmarkEnd w:id="322"/>
      <w:bookmarkStart w:id="323" w:name="_Toc184308091"/>
      <w:bookmarkEnd w:id="323"/>
      <w:bookmarkStart w:id="324" w:name="_Toc184310274"/>
      <w:bookmarkEnd w:id="324"/>
      <w:bookmarkStart w:id="325" w:name="_Toc184308060"/>
      <w:bookmarkEnd w:id="325"/>
      <w:bookmarkStart w:id="326" w:name="_Toc184313273"/>
      <w:bookmarkEnd w:id="326"/>
      <w:bookmarkStart w:id="327" w:name="_Toc184308044"/>
      <w:bookmarkEnd w:id="327"/>
      <w:bookmarkStart w:id="328" w:name="_Toc184312079"/>
      <w:bookmarkEnd w:id="328"/>
      <w:bookmarkStart w:id="329" w:name="_Toc184312107"/>
      <w:bookmarkEnd w:id="329"/>
      <w:bookmarkStart w:id="330" w:name="_Toc184308076"/>
      <w:bookmarkEnd w:id="330"/>
      <w:bookmarkStart w:id="331" w:name="_Toc184312081"/>
      <w:bookmarkEnd w:id="331"/>
      <w:bookmarkStart w:id="332" w:name="_Toc184310291"/>
      <w:bookmarkEnd w:id="332"/>
      <w:bookmarkStart w:id="333" w:name="_Toc184312134"/>
      <w:bookmarkEnd w:id="333"/>
      <w:bookmarkStart w:id="334" w:name="_Toc184310342"/>
      <w:bookmarkEnd w:id="334"/>
      <w:bookmarkStart w:id="335" w:name="_Toc184313294"/>
      <w:bookmarkEnd w:id="335"/>
      <w:bookmarkStart w:id="336" w:name="_Toc184308065"/>
      <w:bookmarkEnd w:id="336"/>
      <w:bookmarkStart w:id="337" w:name="_Toc184313239"/>
      <w:bookmarkEnd w:id="337"/>
      <w:bookmarkStart w:id="338" w:name="_Toc184313257"/>
      <w:bookmarkEnd w:id="338"/>
      <w:bookmarkStart w:id="339" w:name="_Toc184313240"/>
      <w:bookmarkEnd w:id="339"/>
      <w:bookmarkStart w:id="340" w:name="_Toc184310308"/>
      <w:bookmarkEnd w:id="340"/>
      <w:bookmarkStart w:id="341" w:name="_Toc184313282"/>
      <w:bookmarkEnd w:id="341"/>
      <w:bookmarkStart w:id="342" w:name="_Toc184314442"/>
      <w:bookmarkEnd w:id="342"/>
      <w:bookmarkStart w:id="343" w:name="_Toc184310319"/>
      <w:bookmarkEnd w:id="343"/>
      <w:bookmarkStart w:id="344" w:name="_Toc184314443"/>
      <w:bookmarkEnd w:id="344"/>
      <w:bookmarkStart w:id="345" w:name="_Toc184308083"/>
      <w:bookmarkEnd w:id="345"/>
      <w:bookmarkStart w:id="346" w:name="_Toc184313295"/>
      <w:bookmarkEnd w:id="346"/>
      <w:bookmarkStart w:id="347" w:name="_Toc184308105"/>
      <w:bookmarkEnd w:id="347"/>
      <w:bookmarkStart w:id="348" w:name="_Toc184310276"/>
      <w:bookmarkEnd w:id="348"/>
      <w:bookmarkStart w:id="349" w:name="_Toc184313242"/>
      <w:bookmarkEnd w:id="349"/>
      <w:bookmarkStart w:id="350" w:name="_Toc184313308"/>
      <w:bookmarkEnd w:id="350"/>
      <w:bookmarkStart w:id="351" w:name="_Toc184313249"/>
      <w:bookmarkEnd w:id="351"/>
      <w:bookmarkStart w:id="352" w:name="_Toc184312105"/>
      <w:bookmarkEnd w:id="352"/>
      <w:bookmarkStart w:id="353" w:name="_Toc184308038"/>
      <w:bookmarkEnd w:id="353"/>
      <w:bookmarkStart w:id="354" w:name="_Toc184312114"/>
      <w:bookmarkEnd w:id="354"/>
      <w:bookmarkStart w:id="355" w:name="_Toc184312136"/>
      <w:bookmarkEnd w:id="355"/>
      <w:bookmarkStart w:id="356" w:name="_Toc184314426"/>
      <w:bookmarkEnd w:id="356"/>
      <w:bookmarkStart w:id="357" w:name="_Toc184314448"/>
      <w:bookmarkEnd w:id="357"/>
      <w:bookmarkStart w:id="358" w:name="_Toc184314455"/>
      <w:bookmarkEnd w:id="358"/>
      <w:bookmarkStart w:id="359" w:name="_Toc184312090"/>
      <w:bookmarkEnd w:id="359"/>
      <w:bookmarkStart w:id="360" w:name="_Toc184313255"/>
      <w:bookmarkEnd w:id="360"/>
      <w:bookmarkStart w:id="361" w:name="_Toc184310289"/>
      <w:bookmarkEnd w:id="361"/>
      <w:bookmarkStart w:id="362" w:name="_Toc184310293"/>
      <w:bookmarkEnd w:id="362"/>
      <w:bookmarkStart w:id="363" w:name="_Toc184308108"/>
      <w:bookmarkEnd w:id="363"/>
      <w:bookmarkStart w:id="364" w:name="_Toc184312135"/>
      <w:bookmarkEnd w:id="364"/>
      <w:bookmarkStart w:id="365" w:name="_Toc184308104"/>
      <w:bookmarkEnd w:id="365"/>
      <w:bookmarkStart w:id="366" w:name="_Toc184308058"/>
      <w:bookmarkEnd w:id="366"/>
      <w:bookmarkStart w:id="367" w:name="_Toc184312139"/>
      <w:bookmarkEnd w:id="367"/>
      <w:bookmarkStart w:id="368" w:name="_Toc184314433"/>
      <w:bookmarkEnd w:id="368"/>
      <w:bookmarkStart w:id="369" w:name="_Toc184314447"/>
      <w:bookmarkEnd w:id="369"/>
      <w:bookmarkStart w:id="370" w:name="_Toc184310288"/>
      <w:bookmarkEnd w:id="370"/>
      <w:bookmarkStart w:id="371" w:name="_Toc184314425"/>
      <w:bookmarkEnd w:id="371"/>
      <w:bookmarkStart w:id="372" w:name="_Toc184312128"/>
      <w:bookmarkEnd w:id="372"/>
      <w:bookmarkStart w:id="373" w:name="_Toc184310314"/>
      <w:bookmarkEnd w:id="373"/>
      <w:bookmarkStart w:id="374" w:name="_Toc184308088"/>
      <w:bookmarkEnd w:id="374"/>
      <w:bookmarkStart w:id="375" w:name="_Toc184308074"/>
      <w:bookmarkEnd w:id="375"/>
      <w:bookmarkStart w:id="376" w:name="_Toc184312072"/>
      <w:bookmarkEnd w:id="376"/>
      <w:bookmarkStart w:id="377" w:name="_Toc184308064"/>
      <w:bookmarkEnd w:id="377"/>
      <w:bookmarkStart w:id="378" w:name="_Toc184314451"/>
      <w:bookmarkEnd w:id="378"/>
      <w:bookmarkStart w:id="379" w:name="_Toc184313254"/>
      <w:bookmarkEnd w:id="379"/>
      <w:bookmarkStart w:id="380" w:name="_Toc184313274"/>
      <w:bookmarkEnd w:id="380"/>
      <w:bookmarkStart w:id="381" w:name="_Toc184312117"/>
      <w:bookmarkEnd w:id="381"/>
      <w:bookmarkStart w:id="382" w:name="_Toc184312091"/>
      <w:bookmarkEnd w:id="382"/>
      <w:bookmarkStart w:id="383" w:name="_Toc184314427"/>
      <w:bookmarkEnd w:id="383"/>
      <w:bookmarkStart w:id="384" w:name="_Toc184312112"/>
      <w:bookmarkEnd w:id="384"/>
      <w:bookmarkStart w:id="385" w:name="_Toc184310316"/>
      <w:bookmarkEnd w:id="385"/>
      <w:bookmarkStart w:id="386" w:name="_Toc184314439"/>
      <w:bookmarkEnd w:id="386"/>
      <w:bookmarkStart w:id="387" w:name="_Toc184313263"/>
      <w:bookmarkEnd w:id="387"/>
      <w:bookmarkStart w:id="388" w:name="_Toc184308097"/>
      <w:bookmarkEnd w:id="388"/>
      <w:bookmarkStart w:id="389" w:name="_Toc184313286"/>
      <w:bookmarkEnd w:id="389"/>
      <w:bookmarkStart w:id="390" w:name="_Toc184313291"/>
      <w:bookmarkEnd w:id="390"/>
      <w:bookmarkStart w:id="391" w:name="_Toc184314457"/>
      <w:bookmarkEnd w:id="391"/>
      <w:bookmarkStart w:id="392" w:name="_Toc184312094"/>
      <w:bookmarkEnd w:id="392"/>
      <w:bookmarkStart w:id="393" w:name="_Toc184313247"/>
      <w:bookmarkEnd w:id="393"/>
      <w:bookmarkStart w:id="394" w:name="_Toc184308096"/>
      <w:bookmarkEnd w:id="394"/>
      <w:bookmarkStart w:id="395" w:name="_Toc184308067"/>
      <w:bookmarkEnd w:id="395"/>
      <w:bookmarkStart w:id="396" w:name="_Toc184313260"/>
      <w:bookmarkEnd w:id="396"/>
      <w:bookmarkStart w:id="397" w:name="_Toc184313259"/>
      <w:bookmarkEnd w:id="397"/>
      <w:bookmarkStart w:id="398" w:name="_Toc184308062"/>
      <w:bookmarkEnd w:id="398"/>
      <w:bookmarkStart w:id="399" w:name="_Toc184313299"/>
      <w:bookmarkEnd w:id="399"/>
      <w:bookmarkStart w:id="400" w:name="_Toc184308047"/>
      <w:bookmarkEnd w:id="400"/>
      <w:bookmarkStart w:id="401" w:name="_Toc184313277"/>
      <w:bookmarkEnd w:id="401"/>
      <w:bookmarkStart w:id="402" w:name="_Toc184314432"/>
      <w:bookmarkEnd w:id="402"/>
      <w:bookmarkStart w:id="403" w:name="_Toc184313289"/>
      <w:bookmarkEnd w:id="403"/>
      <w:bookmarkStart w:id="404" w:name="_Toc184314416"/>
      <w:bookmarkEnd w:id="404"/>
      <w:bookmarkStart w:id="405" w:name="_Toc184310312"/>
      <w:bookmarkEnd w:id="405"/>
      <w:bookmarkStart w:id="406" w:name="_Toc184312122"/>
      <w:bookmarkEnd w:id="406"/>
      <w:bookmarkStart w:id="407" w:name="_Toc184314437"/>
      <w:bookmarkEnd w:id="407"/>
      <w:r>
        <w:rPr>
          <w:rFonts w:hint="eastAsia" w:ascii="宋体" w:hAnsi="宋体" w:cs="宋体"/>
          <w:b/>
          <w:sz w:val="36"/>
          <w:szCs w:val="36"/>
          <w:highlight w:val="none"/>
        </w:rPr>
        <w:t>评标办法</w:t>
      </w:r>
      <w:bookmarkEnd w:id="42"/>
    </w:p>
    <w:p w14:paraId="482163A2">
      <w:pPr>
        <w:snapToGrid w:val="0"/>
        <w:spacing w:line="360" w:lineRule="auto"/>
        <w:jc w:val="center"/>
        <w:rPr>
          <w:rFonts w:hint="eastAsia" w:ascii="宋体" w:hAnsi="宋体" w:cs="宋体"/>
          <w:b/>
          <w:sz w:val="32"/>
          <w:szCs w:val="20"/>
          <w:highlight w:val="none"/>
        </w:rPr>
      </w:pPr>
      <w:r>
        <w:rPr>
          <w:rFonts w:hint="eastAsia" w:ascii="宋体" w:hAnsi="宋体" w:cs="宋体"/>
          <w:b/>
          <w:sz w:val="32"/>
          <w:szCs w:val="20"/>
          <w:highlight w:val="none"/>
        </w:rPr>
        <w:t>评标办法前附表</w:t>
      </w:r>
    </w:p>
    <w:tbl>
      <w:tblPr>
        <w:tblStyle w:val="62"/>
        <w:tblpPr w:leftFromText="180" w:rightFromText="180" w:vertAnchor="text" w:horzAnchor="page" w:tblpX="1286" w:tblpY="338"/>
        <w:tblOverlap w:val="never"/>
        <w:tblW w:w="9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4"/>
        <w:gridCol w:w="1376"/>
        <w:gridCol w:w="449"/>
        <w:gridCol w:w="5064"/>
        <w:gridCol w:w="707"/>
        <w:gridCol w:w="705"/>
      </w:tblGrid>
      <w:tr w14:paraId="237B8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blHeader/>
        </w:trPr>
        <w:tc>
          <w:tcPr>
            <w:tcW w:w="1234" w:type="dxa"/>
            <w:vAlign w:val="center"/>
          </w:tcPr>
          <w:p w14:paraId="72A0BD7D">
            <w:pPr>
              <w:adjustRightInd/>
              <w:spacing w:line="320" w:lineRule="exact"/>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评分项目</w:t>
            </w:r>
          </w:p>
        </w:tc>
        <w:tc>
          <w:tcPr>
            <w:tcW w:w="6889" w:type="dxa"/>
            <w:gridSpan w:val="3"/>
            <w:vAlign w:val="center"/>
          </w:tcPr>
          <w:p w14:paraId="17F28402">
            <w:pPr>
              <w:adjustRightInd/>
              <w:spacing w:line="320" w:lineRule="exact"/>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评标要点及说明</w:t>
            </w:r>
          </w:p>
        </w:tc>
        <w:tc>
          <w:tcPr>
            <w:tcW w:w="707" w:type="dxa"/>
            <w:vAlign w:val="center"/>
          </w:tcPr>
          <w:p w14:paraId="3DE38F8E">
            <w:pPr>
              <w:widowControl/>
              <w:tabs>
                <w:tab w:val="left" w:pos="0"/>
              </w:tabs>
              <w:autoSpaceDE w:val="0"/>
              <w:autoSpaceDN w:val="0"/>
              <w:adjustRightInd/>
              <w:spacing w:line="300" w:lineRule="exact"/>
              <w:jc w:val="center"/>
              <w:rPr>
                <w:rFonts w:hint="eastAsia" w:ascii="宋体" w:hAnsi="宋体" w:cs="宋体"/>
                <w:b/>
                <w:bCs/>
                <w:color w:val="000000" w:themeColor="text1"/>
                <w:kern w:val="0"/>
                <w:sz w:val="24"/>
                <w:highlight w:val="none"/>
                <w:lang w:val="zh-CN"/>
                <w14:textFill>
                  <w14:solidFill>
                    <w14:schemeClr w14:val="tx1"/>
                  </w14:solidFill>
                </w14:textFill>
              </w:rPr>
            </w:pPr>
            <w:r>
              <w:rPr>
                <w:rFonts w:hint="eastAsia" w:ascii="宋体" w:hAnsi="宋体" w:cs="宋体"/>
                <w:b/>
                <w:bCs/>
                <w:color w:val="000000" w:themeColor="text1"/>
                <w:kern w:val="0"/>
                <w:sz w:val="24"/>
                <w:highlight w:val="none"/>
                <w:lang w:val="zh-CN"/>
                <w14:textFill>
                  <w14:solidFill>
                    <w14:schemeClr w14:val="tx1"/>
                  </w14:solidFill>
                </w14:textFill>
              </w:rPr>
              <w:t>分值</w:t>
            </w:r>
          </w:p>
        </w:tc>
        <w:tc>
          <w:tcPr>
            <w:tcW w:w="705" w:type="dxa"/>
            <w:vAlign w:val="center"/>
          </w:tcPr>
          <w:p w14:paraId="31760AF0">
            <w:pPr>
              <w:widowControl/>
              <w:tabs>
                <w:tab w:val="left" w:pos="0"/>
              </w:tabs>
              <w:autoSpaceDE w:val="0"/>
              <w:autoSpaceDN w:val="0"/>
              <w:adjustRightInd/>
              <w:spacing w:line="300" w:lineRule="exact"/>
              <w:jc w:val="center"/>
              <w:rPr>
                <w:rFonts w:hint="eastAsia" w:ascii="宋体" w:hAnsi="宋体" w:cs="宋体"/>
                <w:b/>
                <w:bCs/>
                <w:color w:val="000000" w:themeColor="text1"/>
                <w:kern w:val="0"/>
                <w:sz w:val="24"/>
                <w:highlight w:val="none"/>
                <w:lang w:val="zh-CN"/>
                <w14:textFill>
                  <w14:solidFill>
                    <w14:schemeClr w14:val="tx1"/>
                  </w14:solidFill>
                </w14:textFill>
              </w:rPr>
            </w:pPr>
            <w:r>
              <w:rPr>
                <w:rFonts w:hint="eastAsia" w:ascii="宋体" w:hAnsi="宋体" w:cs="宋体"/>
                <w:b/>
                <w:bCs/>
                <w:color w:val="000000" w:themeColor="text1"/>
                <w:kern w:val="0"/>
                <w:sz w:val="24"/>
                <w:highlight w:val="none"/>
                <w:lang w:val="zh-CN"/>
                <w14:textFill>
                  <w14:solidFill>
                    <w14:schemeClr w14:val="tx1"/>
                  </w14:solidFill>
                </w14:textFill>
              </w:rPr>
              <w:t>备注</w:t>
            </w:r>
          </w:p>
        </w:tc>
      </w:tr>
      <w:tr w14:paraId="7645C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234" w:type="dxa"/>
            <w:vAlign w:val="center"/>
          </w:tcPr>
          <w:p w14:paraId="1B78B452">
            <w:pPr>
              <w:adjustRightInd/>
              <w:spacing w:line="32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价格分（30分）</w:t>
            </w:r>
          </w:p>
        </w:tc>
        <w:tc>
          <w:tcPr>
            <w:tcW w:w="6889" w:type="dxa"/>
            <w:gridSpan w:val="3"/>
            <w:vAlign w:val="center"/>
          </w:tcPr>
          <w:p w14:paraId="4624A3CB">
            <w:pPr>
              <w:adjustRightInd/>
              <w:spacing w:line="320" w:lineRule="exact"/>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评标基准价指的是满足招标文件要求且最低的参与评审的价格。</w:t>
            </w:r>
          </w:p>
          <w:p w14:paraId="28F76B07">
            <w:pPr>
              <w:adjustRightInd/>
              <w:spacing w:line="320" w:lineRule="exact"/>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参与评审的价格=投标报价</w:t>
            </w:r>
          </w:p>
          <w:p w14:paraId="689FFD31">
            <w:pPr>
              <w:adjustRightInd/>
              <w:spacing w:line="320" w:lineRule="exact"/>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参与评审的价格为评标基准价的其价格得分得满分30分。</w:t>
            </w:r>
          </w:p>
          <w:p w14:paraId="5F738FCC">
            <w:pPr>
              <w:adjustRightInd/>
              <w:spacing w:line="320" w:lineRule="exact"/>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其他供应商价格得分按照下列公式计算：</w:t>
            </w:r>
          </w:p>
          <w:p w14:paraId="1CAEF1AD">
            <w:pPr>
              <w:adjustRightInd/>
              <w:spacing w:line="32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价格得分=（评标基准价/参与评审的价格）×30%×100。</w:t>
            </w:r>
          </w:p>
        </w:tc>
        <w:tc>
          <w:tcPr>
            <w:tcW w:w="707" w:type="dxa"/>
            <w:vAlign w:val="center"/>
          </w:tcPr>
          <w:p w14:paraId="12D99A09">
            <w:pPr>
              <w:adjustRightInd/>
              <w:spacing w:line="32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w:t>
            </w:r>
          </w:p>
        </w:tc>
        <w:tc>
          <w:tcPr>
            <w:tcW w:w="705" w:type="dxa"/>
            <w:vAlign w:val="center"/>
          </w:tcPr>
          <w:p w14:paraId="2FB3584F">
            <w:pPr>
              <w:adjustRightInd/>
              <w:spacing w:line="320" w:lineRule="exact"/>
              <w:jc w:val="center"/>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客观评审</w:t>
            </w:r>
          </w:p>
        </w:tc>
      </w:tr>
      <w:tr w14:paraId="4AEF1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4" w:type="dxa"/>
            <w:vMerge w:val="restart"/>
            <w:vAlign w:val="center"/>
          </w:tcPr>
          <w:p w14:paraId="68478CD3">
            <w:pPr>
              <w:adjustRightInd/>
              <w:spacing w:line="32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商务技术分</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0分）</w:t>
            </w:r>
          </w:p>
        </w:tc>
        <w:tc>
          <w:tcPr>
            <w:tcW w:w="6889" w:type="dxa"/>
            <w:gridSpan w:val="3"/>
            <w:vAlign w:val="center"/>
          </w:tcPr>
          <w:p w14:paraId="5B910FB5">
            <w:pPr>
              <w:adjustRightInd/>
              <w:spacing w:line="320" w:lineRule="exact"/>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
                <w:color w:val="000000" w:themeColor="text1"/>
                <w:kern w:val="0"/>
                <w:sz w:val="24"/>
                <w:highlight w:val="none"/>
                <w:lang w:val="en-US" w:eastAsia="zh-CN"/>
                <w14:textFill>
                  <w14:solidFill>
                    <w14:schemeClr w14:val="tx1"/>
                  </w14:solidFill>
                </w14:textFill>
              </w:rPr>
              <w:t>1、</w:t>
            </w:r>
            <w:r>
              <w:rPr>
                <w:rFonts w:hint="eastAsia" w:ascii="宋体" w:hAnsi="宋体" w:eastAsia="宋体" w:cs="宋体"/>
                <w:bCs/>
                <w:color w:val="000000" w:themeColor="text1"/>
                <w:kern w:val="0"/>
                <w:sz w:val="24"/>
                <w:highlight w:val="none"/>
                <w14:textFill>
                  <w14:solidFill>
                    <w14:schemeClr w14:val="tx1"/>
                  </w14:solidFill>
                </w14:textFill>
              </w:rPr>
              <w:t>根据供应商</w:t>
            </w:r>
            <w:r>
              <w:rPr>
                <w:rFonts w:hint="eastAsia" w:ascii="宋体" w:hAnsi="宋体" w:eastAsia="宋体" w:cs="宋体"/>
                <w:bCs/>
                <w:color w:val="000000" w:themeColor="text1"/>
                <w:kern w:val="0"/>
                <w:sz w:val="24"/>
                <w:highlight w:val="none"/>
                <w:lang w:val="en-US" w:eastAsia="zh-CN"/>
                <w14:textFill>
                  <w14:solidFill>
                    <w14:schemeClr w14:val="tx1"/>
                  </w14:solidFill>
                </w14:textFill>
              </w:rPr>
              <w:t>提供的</w:t>
            </w:r>
            <w:r>
              <w:rPr>
                <w:rFonts w:hint="eastAsia" w:ascii="宋体" w:hAnsi="宋体" w:eastAsia="宋体" w:cs="宋体"/>
                <w:bCs/>
                <w:color w:val="000000" w:themeColor="text1"/>
                <w:kern w:val="0"/>
                <w:sz w:val="24"/>
                <w:highlight w:val="none"/>
                <w14:textFill>
                  <w14:solidFill>
                    <w14:schemeClr w14:val="tx1"/>
                  </w14:solidFill>
                </w14:textFill>
              </w:rPr>
              <w:t>项目</w:t>
            </w:r>
            <w:r>
              <w:rPr>
                <w:rFonts w:hint="eastAsia" w:ascii="宋体" w:hAnsi="宋体" w:eastAsia="宋体" w:cs="宋体"/>
                <w:bCs/>
                <w:color w:val="000000" w:themeColor="text1"/>
                <w:kern w:val="0"/>
                <w:sz w:val="24"/>
                <w:highlight w:val="none"/>
                <w:lang w:val="en-US" w:eastAsia="zh-CN"/>
                <w14:textFill>
                  <w14:solidFill>
                    <w14:schemeClr w14:val="tx1"/>
                  </w14:solidFill>
                </w14:textFill>
              </w:rPr>
              <w:t>背景及</w:t>
            </w:r>
            <w:r>
              <w:rPr>
                <w:rFonts w:hint="eastAsia" w:ascii="宋体" w:hAnsi="宋体" w:eastAsia="宋体" w:cs="宋体"/>
                <w:bCs/>
                <w:color w:val="000000" w:themeColor="text1"/>
                <w:kern w:val="0"/>
                <w:sz w:val="24"/>
                <w:highlight w:val="none"/>
                <w14:textFill>
                  <w14:solidFill>
                    <w14:schemeClr w14:val="tx1"/>
                  </w14:solidFill>
                </w14:textFill>
              </w:rPr>
              <w:t>需求的理解情况</w:t>
            </w:r>
            <w:r>
              <w:rPr>
                <w:rFonts w:hint="eastAsia" w:ascii="宋体" w:hAnsi="宋体" w:eastAsia="宋体" w:cs="宋体"/>
                <w:bCs/>
                <w:color w:val="auto"/>
                <w:kern w:val="0"/>
                <w:sz w:val="24"/>
                <w:szCs w:val="24"/>
                <w:highlight w:val="none"/>
                <w:lang w:val="en-US" w:eastAsia="zh-CN"/>
              </w:rPr>
              <w:t>，需包含但不限于以下要点：</w:t>
            </w:r>
            <w:r>
              <w:rPr>
                <w:rFonts w:hint="eastAsia" w:ascii="宋体" w:hAnsi="宋体" w:eastAsia="宋体" w:cs="宋体"/>
                <w:b/>
                <w:bCs w:val="0"/>
                <w:color w:val="000000" w:themeColor="text1"/>
                <w:kern w:val="0"/>
                <w:sz w:val="24"/>
                <w:highlight w:val="none"/>
                <w:lang w:val="en-US" w:eastAsia="zh-CN"/>
                <w14:textFill>
                  <w14:solidFill>
                    <w14:schemeClr w14:val="tx1"/>
                  </w14:solidFill>
                </w14:textFill>
              </w:rPr>
              <w:t>①项目背景；②快检室建设内容；③</w:t>
            </w:r>
            <w:r>
              <w:rPr>
                <w:rFonts w:hint="eastAsia" w:ascii="宋体" w:hAnsi="宋体" w:eastAsia="宋体" w:cs="宋体"/>
                <w:b/>
                <w:bCs w:val="0"/>
                <w:color w:val="000000" w:themeColor="text1"/>
                <w:kern w:val="0"/>
                <w:sz w:val="24"/>
                <w:highlight w:val="none"/>
                <w14:textFill>
                  <w14:solidFill>
                    <w14:schemeClr w14:val="tx1"/>
                  </w14:solidFill>
                </w14:textFill>
              </w:rPr>
              <w:t>检测项目的了解程度</w:t>
            </w:r>
            <w:r>
              <w:rPr>
                <w:rFonts w:hint="eastAsia" w:ascii="宋体" w:hAnsi="宋体" w:eastAsia="宋体" w:cs="宋体"/>
                <w:b/>
                <w:bCs w:val="0"/>
                <w:color w:val="000000" w:themeColor="text1"/>
                <w:kern w:val="0"/>
                <w:sz w:val="24"/>
                <w:highlight w:val="none"/>
                <w:lang w:eastAsia="zh-CN"/>
                <w14:textFill>
                  <w14:solidFill>
                    <w14:schemeClr w14:val="tx1"/>
                  </w14:solidFill>
                </w14:textFill>
              </w:rPr>
              <w:t>；</w:t>
            </w:r>
            <w:r>
              <w:rPr>
                <w:rFonts w:hint="eastAsia" w:ascii="宋体" w:hAnsi="宋体" w:eastAsia="宋体" w:cs="宋体"/>
                <w:b/>
                <w:bCs w:val="0"/>
                <w:color w:val="000000" w:themeColor="text1"/>
                <w:kern w:val="0"/>
                <w:sz w:val="24"/>
                <w:highlight w:val="none"/>
                <w:lang w:val="en-US" w:eastAsia="zh-CN"/>
                <w14:textFill>
                  <w14:solidFill>
                    <w14:schemeClr w14:val="tx1"/>
                  </w14:solidFill>
                </w14:textFill>
              </w:rPr>
              <w:t>④</w:t>
            </w:r>
            <w:r>
              <w:rPr>
                <w:rFonts w:hint="eastAsia" w:ascii="宋体" w:hAnsi="宋体" w:eastAsia="宋体" w:cs="宋体"/>
                <w:b/>
                <w:bCs w:val="0"/>
                <w:color w:val="000000" w:themeColor="text1"/>
                <w:kern w:val="0"/>
                <w:sz w:val="24"/>
                <w:highlight w:val="none"/>
                <w14:textFill>
                  <w14:solidFill>
                    <w14:schemeClr w14:val="tx1"/>
                  </w14:solidFill>
                </w14:textFill>
              </w:rPr>
              <w:t>检测任务的范围</w:t>
            </w:r>
            <w:r>
              <w:rPr>
                <w:rFonts w:hint="eastAsia" w:ascii="宋体" w:hAnsi="宋体" w:eastAsia="宋体" w:cs="宋体"/>
                <w:b/>
                <w:bCs w:val="0"/>
                <w:color w:val="000000" w:themeColor="text1"/>
                <w:kern w:val="0"/>
                <w:sz w:val="24"/>
                <w:highlight w:val="none"/>
                <w:lang w:eastAsia="zh-CN"/>
                <w14:textFill>
                  <w14:solidFill>
                    <w14:schemeClr w14:val="tx1"/>
                  </w14:solidFill>
                </w14:textFill>
              </w:rPr>
              <w:t>；</w:t>
            </w:r>
            <w:r>
              <w:rPr>
                <w:rFonts w:hint="eastAsia" w:ascii="宋体" w:hAnsi="宋体" w:eastAsia="宋体" w:cs="宋体"/>
                <w:b/>
                <w:bCs w:val="0"/>
                <w:color w:val="000000" w:themeColor="text1"/>
                <w:kern w:val="0"/>
                <w:sz w:val="24"/>
                <w:highlight w:val="none"/>
                <w:lang w:val="en-US" w:eastAsia="zh-CN"/>
                <w14:textFill>
                  <w14:solidFill>
                    <w14:schemeClr w14:val="tx1"/>
                  </w14:solidFill>
                </w14:textFill>
              </w:rPr>
              <w:t>⑤检测</w:t>
            </w:r>
            <w:r>
              <w:rPr>
                <w:rFonts w:hint="eastAsia" w:ascii="宋体" w:hAnsi="宋体" w:eastAsia="宋体" w:cs="宋体"/>
                <w:b/>
                <w:bCs w:val="0"/>
                <w:color w:val="000000" w:themeColor="text1"/>
                <w:kern w:val="0"/>
                <w:sz w:val="24"/>
                <w:highlight w:val="none"/>
                <w14:textFill>
                  <w14:solidFill>
                    <w14:schemeClr w14:val="tx1"/>
                  </w14:solidFill>
                </w14:textFill>
              </w:rPr>
              <w:t>目</w:t>
            </w:r>
            <w:r>
              <w:rPr>
                <w:rFonts w:hint="eastAsia" w:ascii="宋体" w:hAnsi="宋体" w:eastAsia="宋体" w:cs="宋体"/>
                <w:b/>
                <w:bCs w:val="0"/>
                <w:color w:val="000000" w:themeColor="text1"/>
                <w:kern w:val="0"/>
                <w:sz w:val="24"/>
                <w:highlight w:val="none"/>
                <w:lang w:val="en-US" w:eastAsia="zh-CN"/>
                <w14:textFill>
                  <w14:solidFill>
                    <w14:schemeClr w14:val="tx1"/>
                  </w14:solidFill>
                </w14:textFill>
              </w:rPr>
              <w:t>标</w:t>
            </w:r>
            <w:r>
              <w:rPr>
                <w:rFonts w:hint="eastAsia" w:ascii="宋体" w:hAnsi="宋体" w:eastAsia="宋体" w:cs="宋体"/>
                <w:bCs/>
                <w:color w:val="000000" w:themeColor="text1"/>
                <w:kern w:val="0"/>
                <w:sz w:val="24"/>
                <w:highlight w:val="none"/>
                <w:lang w:eastAsia="zh-CN"/>
                <w14:textFill>
                  <w14:solidFill>
                    <w14:schemeClr w14:val="tx1"/>
                  </w14:solidFill>
                </w14:textFill>
              </w:rPr>
              <w:t>。</w:t>
            </w:r>
            <w:r>
              <w:rPr>
                <w:rFonts w:hint="eastAsia" w:ascii="宋体" w:hAnsi="宋体" w:eastAsia="宋体" w:cs="宋体"/>
                <w:bCs/>
                <w:color w:val="auto"/>
                <w:kern w:val="0"/>
                <w:sz w:val="24"/>
                <w:szCs w:val="24"/>
                <w:highlight w:val="none"/>
                <w:lang w:val="en-US" w:eastAsia="zh-CN"/>
              </w:rPr>
              <w:t>由评标委员会进行评议：</w:t>
            </w:r>
          </w:p>
          <w:p w14:paraId="195F0DA1">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1</w:t>
            </w:r>
            <w:r>
              <w:rPr>
                <w:rFonts w:hint="eastAsia" w:ascii="宋体" w:hAnsi="宋体" w:cs="宋体"/>
                <w:bCs/>
                <w:color w:val="auto"/>
                <w:kern w:val="0"/>
                <w:sz w:val="24"/>
                <w:szCs w:val="24"/>
                <w:highlight w:val="none"/>
                <w:lang w:val="en-US" w:eastAsia="zh-CN"/>
              </w:rPr>
              <w:t>）</w:t>
            </w:r>
            <w:r>
              <w:rPr>
                <w:rFonts w:hint="eastAsia" w:ascii="宋体" w:hAnsi="宋体" w:eastAsia="宋体" w:cs="宋体"/>
                <w:bCs/>
                <w:color w:val="auto"/>
                <w:kern w:val="0"/>
                <w:sz w:val="24"/>
                <w:szCs w:val="24"/>
                <w:highlight w:val="none"/>
                <w:lang w:val="en-US" w:eastAsia="zh-CN"/>
              </w:rPr>
              <w:t>项目背景分析深入透彻，清楚了解食品安全类实验室建设标准，具有食品安全类重点实验室建设能力，能精准解读快检室建设内容，检测项目的了解全面，</w:t>
            </w:r>
            <w:r>
              <w:rPr>
                <w:rFonts w:hint="eastAsia" w:ascii="宋体" w:hAnsi="宋体" w:eastAsia="宋体" w:cs="宋体"/>
                <w:bCs/>
                <w:color w:val="000000" w:themeColor="text1"/>
                <w:kern w:val="0"/>
                <w:sz w:val="24"/>
                <w:highlight w:val="none"/>
                <w14:textFill>
                  <w14:solidFill>
                    <w14:schemeClr w14:val="tx1"/>
                  </w14:solidFill>
                </w14:textFill>
              </w:rPr>
              <w:t>检测任务的范围</w:t>
            </w:r>
            <w:r>
              <w:rPr>
                <w:rFonts w:hint="eastAsia" w:ascii="宋体" w:hAnsi="宋体" w:eastAsia="宋体" w:cs="宋体"/>
                <w:bCs/>
                <w:color w:val="000000" w:themeColor="text1"/>
                <w:kern w:val="0"/>
                <w:sz w:val="24"/>
                <w:highlight w:val="none"/>
                <w:lang w:val="en-US" w:eastAsia="zh-CN"/>
                <w14:textFill>
                  <w14:solidFill>
                    <w14:schemeClr w14:val="tx1"/>
                  </w14:solidFill>
                </w14:textFill>
              </w:rPr>
              <w:t>界定清晰</w:t>
            </w:r>
            <w:r>
              <w:rPr>
                <w:rFonts w:hint="eastAsia" w:ascii="宋体" w:hAnsi="宋体" w:eastAsia="宋体" w:cs="宋体"/>
                <w:bCs/>
                <w:color w:val="auto"/>
                <w:kern w:val="0"/>
                <w:sz w:val="24"/>
                <w:szCs w:val="24"/>
                <w:highlight w:val="none"/>
                <w:lang w:val="en-US" w:eastAsia="zh-CN"/>
              </w:rPr>
              <w:t>，检测目标明确、合理的得5分；</w:t>
            </w:r>
            <w:r>
              <w:rPr>
                <w:rFonts w:hint="eastAsia" w:ascii="宋体" w:hAnsi="宋体" w:eastAsia="宋体" w:cs="宋体"/>
                <w:bCs/>
                <w:color w:val="auto"/>
                <w:kern w:val="0"/>
                <w:sz w:val="24"/>
                <w:szCs w:val="24"/>
                <w:highlight w:val="none"/>
                <w:lang w:val="en-US" w:eastAsia="zh-CN"/>
              </w:rPr>
              <w:br w:type="textWrapping"/>
            </w:r>
            <w:r>
              <w:rPr>
                <w:rFonts w:hint="eastAsia" w:ascii="宋体" w:hAnsi="宋体" w:eastAsia="宋体" w:cs="宋体"/>
                <w:bCs/>
                <w:color w:val="auto"/>
                <w:kern w:val="0"/>
                <w:sz w:val="24"/>
                <w:szCs w:val="24"/>
                <w:highlight w:val="none"/>
                <w:lang w:val="en-US" w:eastAsia="zh-CN"/>
              </w:rPr>
              <w:t>2）项目背景分析较为全面，较为了解食品安全类实验室建设标准，具有食品安全类实验室建设能力，能较为准确解读快检室建设内容，对检测项目的了解和</w:t>
            </w:r>
            <w:r>
              <w:rPr>
                <w:rFonts w:hint="eastAsia" w:ascii="宋体" w:hAnsi="宋体" w:eastAsia="宋体" w:cs="宋体"/>
                <w:bCs/>
                <w:color w:val="000000" w:themeColor="text1"/>
                <w:kern w:val="0"/>
                <w:sz w:val="24"/>
                <w:highlight w:val="none"/>
                <w14:textFill>
                  <w14:solidFill>
                    <w14:schemeClr w14:val="tx1"/>
                  </w14:solidFill>
                </w14:textFill>
              </w:rPr>
              <w:t>检测任务的范围</w:t>
            </w:r>
            <w:r>
              <w:rPr>
                <w:rFonts w:hint="eastAsia" w:ascii="宋体" w:hAnsi="宋体" w:eastAsia="宋体" w:cs="宋体"/>
                <w:bCs/>
                <w:color w:val="000000" w:themeColor="text1"/>
                <w:kern w:val="0"/>
                <w:sz w:val="24"/>
                <w:highlight w:val="none"/>
                <w:lang w:val="en-US" w:eastAsia="zh-CN"/>
                <w14:textFill>
                  <w14:solidFill>
                    <w14:schemeClr w14:val="tx1"/>
                  </w14:solidFill>
                </w14:textFill>
              </w:rPr>
              <w:t>较明确</w:t>
            </w:r>
            <w:r>
              <w:rPr>
                <w:rFonts w:hint="eastAsia" w:ascii="宋体" w:hAnsi="宋体" w:eastAsia="宋体" w:cs="宋体"/>
                <w:bCs/>
                <w:color w:val="auto"/>
                <w:kern w:val="0"/>
                <w:sz w:val="24"/>
                <w:szCs w:val="24"/>
                <w:highlight w:val="none"/>
                <w:lang w:val="en-US" w:eastAsia="zh-CN"/>
              </w:rPr>
              <w:t>，检测目标较合理的得</w:t>
            </w:r>
            <w:r>
              <w:rPr>
                <w:rFonts w:hint="eastAsia" w:ascii="宋体" w:hAnsi="宋体" w:cs="宋体"/>
                <w:bCs/>
                <w:color w:val="auto"/>
                <w:kern w:val="0"/>
                <w:sz w:val="24"/>
                <w:szCs w:val="24"/>
                <w:highlight w:val="none"/>
                <w:lang w:val="en-US" w:eastAsia="zh-CN"/>
              </w:rPr>
              <w:t>4</w:t>
            </w:r>
            <w:r>
              <w:rPr>
                <w:rFonts w:hint="eastAsia" w:ascii="宋体" w:hAnsi="宋体" w:eastAsia="宋体" w:cs="宋体"/>
                <w:bCs/>
                <w:color w:val="auto"/>
                <w:kern w:val="0"/>
                <w:sz w:val="24"/>
                <w:szCs w:val="24"/>
                <w:highlight w:val="none"/>
                <w:lang w:val="en-US" w:eastAsia="zh-CN"/>
              </w:rPr>
              <w:t>分；</w:t>
            </w:r>
          </w:p>
          <w:p w14:paraId="4C8AD28E">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3）对本项目背景及需求的理解基本符合项目实际情况，各项要点阐述基本完成，但存在一些表述不够清晰的情况得</w:t>
            </w:r>
            <w:r>
              <w:rPr>
                <w:rFonts w:hint="eastAsia" w:ascii="宋体" w:hAnsi="宋体" w:cs="宋体"/>
                <w:bCs/>
                <w:color w:val="auto"/>
                <w:kern w:val="0"/>
                <w:sz w:val="24"/>
                <w:szCs w:val="24"/>
                <w:highlight w:val="none"/>
                <w:lang w:val="en-US" w:eastAsia="zh-CN"/>
              </w:rPr>
              <w:t>3</w:t>
            </w:r>
            <w:r>
              <w:rPr>
                <w:rFonts w:hint="eastAsia" w:ascii="宋体" w:hAnsi="宋体" w:eastAsia="宋体" w:cs="宋体"/>
                <w:bCs/>
                <w:color w:val="auto"/>
                <w:kern w:val="0"/>
                <w:sz w:val="24"/>
                <w:szCs w:val="24"/>
                <w:highlight w:val="none"/>
                <w:lang w:val="en-US" w:eastAsia="zh-CN"/>
              </w:rPr>
              <w:t>分；</w:t>
            </w:r>
          </w:p>
          <w:p w14:paraId="177AE6D2">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4）对本项目背景及需求的理解与项目实际情况略有出入，对项目背景分析、快检室建设内容解读、检测项目了解、检测任务范围界定或检测目标设定等方面存在理解偏差的得</w:t>
            </w:r>
            <w:r>
              <w:rPr>
                <w:rFonts w:hint="eastAsia" w:ascii="宋体" w:hAnsi="宋体" w:cs="宋体"/>
                <w:bCs/>
                <w:color w:val="auto"/>
                <w:kern w:val="0"/>
                <w:sz w:val="24"/>
                <w:szCs w:val="24"/>
                <w:highlight w:val="none"/>
                <w:lang w:val="en-US" w:eastAsia="zh-CN"/>
              </w:rPr>
              <w:t>2</w:t>
            </w:r>
            <w:r>
              <w:rPr>
                <w:rFonts w:hint="eastAsia" w:ascii="宋体" w:hAnsi="宋体" w:eastAsia="宋体" w:cs="宋体"/>
                <w:bCs/>
                <w:color w:val="auto"/>
                <w:kern w:val="0"/>
                <w:sz w:val="24"/>
                <w:szCs w:val="24"/>
                <w:highlight w:val="none"/>
                <w:lang w:val="en-US" w:eastAsia="zh-CN"/>
              </w:rPr>
              <w:t>分；</w:t>
            </w:r>
          </w:p>
          <w:p w14:paraId="13A31485">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5）对本项目背景及需求的理解与项目实际情况有较大差距，多个要点严重偏离项目实际的得</w:t>
            </w:r>
            <w:r>
              <w:rPr>
                <w:rFonts w:hint="eastAsia" w:ascii="宋体" w:hAnsi="宋体" w:cs="宋体"/>
                <w:bCs/>
                <w:color w:val="auto"/>
                <w:kern w:val="0"/>
                <w:sz w:val="24"/>
                <w:szCs w:val="24"/>
                <w:highlight w:val="none"/>
                <w:lang w:val="en-US" w:eastAsia="zh-CN"/>
              </w:rPr>
              <w:t>1</w:t>
            </w:r>
            <w:r>
              <w:rPr>
                <w:rFonts w:hint="eastAsia" w:ascii="宋体" w:hAnsi="宋体" w:eastAsia="宋体" w:cs="宋体"/>
                <w:bCs/>
                <w:color w:val="auto"/>
                <w:kern w:val="0"/>
                <w:sz w:val="24"/>
                <w:szCs w:val="24"/>
                <w:highlight w:val="none"/>
                <w:lang w:val="en-US" w:eastAsia="zh-CN"/>
              </w:rPr>
              <w:t>分；</w:t>
            </w:r>
          </w:p>
          <w:p w14:paraId="2F1D87D6">
            <w:pPr>
              <w:pStyle w:val="237"/>
              <w:rPr>
                <w:rFonts w:hint="eastAsia"/>
                <w:highlight w:val="none"/>
                <w:lang w:val="en-US" w:eastAsia="zh-CN"/>
              </w:rPr>
            </w:pPr>
            <w:r>
              <w:rPr>
                <w:rFonts w:hint="eastAsia" w:ascii="宋体" w:hAnsi="宋体" w:eastAsia="宋体" w:cs="宋体"/>
                <w:bCs/>
                <w:color w:val="auto"/>
                <w:kern w:val="0"/>
                <w:sz w:val="24"/>
                <w:szCs w:val="24"/>
                <w:highlight w:val="none"/>
                <w:lang w:val="en-US" w:eastAsia="zh-CN" w:bidi="ar-SA"/>
              </w:rPr>
              <w:t>6）未提供相关内容的本项不得分。</w:t>
            </w:r>
          </w:p>
        </w:tc>
        <w:tc>
          <w:tcPr>
            <w:tcW w:w="707" w:type="dxa"/>
            <w:shd w:val="clear" w:color="auto" w:fill="auto"/>
            <w:vAlign w:val="center"/>
          </w:tcPr>
          <w:p w14:paraId="3618E7FC">
            <w:pPr>
              <w:autoSpaceDE w:val="0"/>
              <w:autoSpaceDN w:val="0"/>
              <w:jc w:val="cente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5</w:t>
            </w:r>
          </w:p>
        </w:tc>
        <w:tc>
          <w:tcPr>
            <w:tcW w:w="705" w:type="dxa"/>
            <w:shd w:val="clear" w:color="auto" w:fill="auto"/>
            <w:vAlign w:val="center"/>
          </w:tcPr>
          <w:p w14:paraId="18B79E7F">
            <w:pPr>
              <w:autoSpaceDE w:val="0"/>
              <w:autoSpaceDN w:val="0"/>
              <w:jc w:val="center"/>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主观评审</w:t>
            </w:r>
          </w:p>
        </w:tc>
      </w:tr>
      <w:tr w14:paraId="3CB92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4" w:type="dxa"/>
            <w:vMerge w:val="continue"/>
            <w:vAlign w:val="center"/>
          </w:tcPr>
          <w:p w14:paraId="3B544D2E">
            <w:pPr>
              <w:adjustRightInd/>
              <w:spacing w:line="320" w:lineRule="exact"/>
              <w:jc w:val="center"/>
              <w:rPr>
                <w:rFonts w:hint="eastAsia" w:ascii="宋体" w:hAnsi="宋体" w:cs="宋体"/>
                <w:color w:val="000000" w:themeColor="text1"/>
                <w:kern w:val="0"/>
                <w:sz w:val="24"/>
                <w:highlight w:val="none"/>
                <w14:textFill>
                  <w14:solidFill>
                    <w14:schemeClr w14:val="tx1"/>
                  </w14:solidFill>
                </w14:textFill>
              </w:rPr>
            </w:pPr>
          </w:p>
        </w:tc>
        <w:tc>
          <w:tcPr>
            <w:tcW w:w="6889" w:type="dxa"/>
            <w:gridSpan w:val="3"/>
            <w:shd w:val="clear" w:color="auto" w:fill="auto"/>
            <w:vAlign w:val="center"/>
          </w:tcPr>
          <w:p w14:paraId="31A316EC">
            <w:pPr>
              <w:adjustRightInd/>
              <w:spacing w:line="320" w:lineRule="exact"/>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
                <w:color w:val="000000" w:themeColor="text1"/>
                <w:kern w:val="0"/>
                <w:sz w:val="24"/>
                <w:highlight w:val="none"/>
                <w:lang w:val="en-US" w:eastAsia="zh-CN"/>
                <w14:textFill>
                  <w14:solidFill>
                    <w14:schemeClr w14:val="tx1"/>
                  </w14:solidFill>
                </w14:textFill>
              </w:rPr>
              <w:t>2、</w:t>
            </w:r>
            <w:r>
              <w:rPr>
                <w:rFonts w:hint="eastAsia" w:ascii="宋体" w:hAnsi="宋体" w:eastAsia="宋体" w:cs="宋体"/>
                <w:bCs/>
                <w:color w:val="000000" w:themeColor="text1"/>
                <w:kern w:val="0"/>
                <w:sz w:val="24"/>
                <w:highlight w:val="none"/>
                <w14:textFill>
                  <w14:solidFill>
                    <w14:schemeClr w14:val="tx1"/>
                  </w14:solidFill>
                </w14:textFill>
              </w:rPr>
              <w:t>根据供应商</w:t>
            </w:r>
            <w:r>
              <w:rPr>
                <w:rFonts w:hint="eastAsia" w:ascii="宋体" w:hAnsi="宋体" w:eastAsia="宋体" w:cs="宋体"/>
                <w:bCs/>
                <w:color w:val="000000" w:themeColor="text1"/>
                <w:kern w:val="0"/>
                <w:sz w:val="24"/>
                <w:highlight w:val="none"/>
                <w:lang w:val="en-US" w:eastAsia="zh-CN"/>
                <w14:textFill>
                  <w14:solidFill>
                    <w14:schemeClr w14:val="tx1"/>
                  </w14:solidFill>
                </w14:textFill>
              </w:rPr>
              <w:t>提供的针对本项目重难点分析及相应的解决措施</w:t>
            </w:r>
            <w:r>
              <w:rPr>
                <w:rFonts w:hint="eastAsia" w:ascii="宋体" w:hAnsi="宋体" w:eastAsia="宋体" w:cs="宋体"/>
                <w:bCs/>
                <w:color w:val="auto"/>
                <w:kern w:val="0"/>
                <w:sz w:val="24"/>
                <w:szCs w:val="24"/>
                <w:highlight w:val="none"/>
                <w:lang w:val="en-US" w:eastAsia="zh-CN"/>
              </w:rPr>
              <w:t>，需包含但不限于以下要点：</w:t>
            </w:r>
            <w:r>
              <w:rPr>
                <w:rFonts w:hint="eastAsia" w:ascii="宋体" w:hAnsi="宋体" w:eastAsia="宋体" w:cs="宋体"/>
                <w:b/>
                <w:bCs w:val="0"/>
                <w:color w:val="000000" w:themeColor="text1"/>
                <w:kern w:val="0"/>
                <w:sz w:val="24"/>
                <w:highlight w:val="none"/>
                <w:lang w:val="en-US" w:eastAsia="zh-CN"/>
                <w14:textFill>
                  <w14:solidFill>
                    <w14:schemeClr w14:val="tx1"/>
                  </w14:solidFill>
                </w14:textFill>
              </w:rPr>
              <w:t>①日常快速检测重难点内容分析；②专项快速检测重难点内容分析；③日常快速检测重难点解决措施</w:t>
            </w:r>
            <w:r>
              <w:rPr>
                <w:rFonts w:hint="eastAsia" w:ascii="宋体" w:hAnsi="宋体" w:eastAsia="宋体" w:cs="宋体"/>
                <w:b/>
                <w:bCs w:val="0"/>
                <w:color w:val="000000" w:themeColor="text1"/>
                <w:kern w:val="0"/>
                <w:sz w:val="24"/>
                <w:highlight w:val="none"/>
                <w:lang w:eastAsia="zh-CN"/>
                <w14:textFill>
                  <w14:solidFill>
                    <w14:schemeClr w14:val="tx1"/>
                  </w14:solidFill>
                </w14:textFill>
              </w:rPr>
              <w:t>；</w:t>
            </w:r>
            <w:r>
              <w:rPr>
                <w:rFonts w:hint="eastAsia" w:ascii="宋体" w:hAnsi="宋体" w:eastAsia="宋体" w:cs="宋体"/>
                <w:b/>
                <w:bCs w:val="0"/>
                <w:color w:val="000000" w:themeColor="text1"/>
                <w:kern w:val="0"/>
                <w:sz w:val="24"/>
                <w:highlight w:val="none"/>
                <w:lang w:val="en-US" w:eastAsia="zh-CN"/>
                <w14:textFill>
                  <w14:solidFill>
                    <w14:schemeClr w14:val="tx1"/>
                  </w14:solidFill>
                </w14:textFill>
              </w:rPr>
              <w:t>④专项快速检测重难点解决措施⑤快检室建设重难点分析及解决措施</w:t>
            </w:r>
            <w:r>
              <w:rPr>
                <w:rFonts w:hint="eastAsia" w:ascii="宋体" w:hAnsi="宋体" w:eastAsia="宋体" w:cs="宋体"/>
                <w:bCs/>
                <w:color w:val="000000" w:themeColor="text1"/>
                <w:kern w:val="0"/>
                <w:sz w:val="24"/>
                <w:highlight w:val="none"/>
                <w:lang w:eastAsia="zh-CN"/>
                <w14:textFill>
                  <w14:solidFill>
                    <w14:schemeClr w14:val="tx1"/>
                  </w14:solidFill>
                </w14:textFill>
              </w:rPr>
              <w:t>。</w:t>
            </w:r>
            <w:r>
              <w:rPr>
                <w:rFonts w:hint="eastAsia" w:ascii="宋体" w:hAnsi="宋体" w:eastAsia="宋体" w:cs="宋体"/>
                <w:bCs/>
                <w:color w:val="auto"/>
                <w:kern w:val="0"/>
                <w:sz w:val="24"/>
                <w:szCs w:val="24"/>
                <w:highlight w:val="none"/>
                <w:lang w:val="en-US" w:eastAsia="zh-CN"/>
              </w:rPr>
              <w:t>由评标委员会进行评议：</w:t>
            </w:r>
          </w:p>
          <w:p w14:paraId="342BCEEC">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1</w:t>
            </w:r>
            <w:r>
              <w:rPr>
                <w:rFonts w:hint="eastAsia" w:ascii="宋体" w:hAnsi="宋体" w:cs="宋体"/>
                <w:bCs/>
                <w:color w:val="auto"/>
                <w:kern w:val="0"/>
                <w:sz w:val="24"/>
                <w:szCs w:val="24"/>
                <w:highlight w:val="none"/>
                <w:lang w:val="en-US" w:eastAsia="zh-CN"/>
              </w:rPr>
              <w:t>）</w:t>
            </w:r>
            <w:r>
              <w:rPr>
                <w:rFonts w:hint="eastAsia" w:ascii="宋体" w:hAnsi="宋体" w:eastAsia="宋体" w:cs="宋体"/>
                <w:bCs/>
                <w:color w:val="auto"/>
                <w:kern w:val="0"/>
                <w:sz w:val="24"/>
                <w:szCs w:val="24"/>
                <w:highlight w:val="none"/>
                <w:lang w:val="en-US" w:eastAsia="zh-CN"/>
              </w:rPr>
              <w:t>日常快速检测、专项快速检测重难点分析深入透彻，能够精准识别各类潜在问题，所提出的解决措施充分考虑到实际操作中的细节与可能出现的状况，可有效落地实施。快检室建设重难点分析紧密贴合项目实际情况，所给出的解决措施科学严谨，符合行业标准与规范的得5分；</w:t>
            </w:r>
            <w:r>
              <w:rPr>
                <w:rFonts w:hint="eastAsia" w:ascii="宋体" w:hAnsi="宋体" w:eastAsia="宋体" w:cs="宋体"/>
                <w:bCs/>
                <w:color w:val="auto"/>
                <w:kern w:val="0"/>
                <w:sz w:val="24"/>
                <w:szCs w:val="24"/>
                <w:highlight w:val="none"/>
                <w:lang w:val="en-US" w:eastAsia="zh-CN"/>
              </w:rPr>
              <w:br w:type="textWrapping"/>
            </w:r>
            <w:r>
              <w:rPr>
                <w:rFonts w:hint="eastAsia" w:ascii="宋体" w:hAnsi="宋体" w:eastAsia="宋体" w:cs="宋体"/>
                <w:bCs/>
                <w:color w:val="auto"/>
                <w:kern w:val="0"/>
                <w:sz w:val="24"/>
                <w:szCs w:val="24"/>
                <w:highlight w:val="none"/>
                <w:lang w:val="en-US" w:eastAsia="zh-CN"/>
              </w:rPr>
              <w:t>2）日常快速检测、专项快速检测重难点分析较全面，能涵盖大部分关键问题，对问题的阐述具有一定深度。解决措施相对合理且可行，在实际操作中具有一定的指导意义，虽存在一定优化空间，但不影响整体实施效果。快检室建设重难点分析与项目实际情况较为贴合，能够基于项目实际需求进行分析，解决措施具有一定科学性，在常规情况下能够有效实施的得</w:t>
            </w:r>
            <w:r>
              <w:rPr>
                <w:rFonts w:hint="eastAsia" w:ascii="宋体" w:hAnsi="宋体" w:cs="宋体"/>
                <w:bCs/>
                <w:color w:val="auto"/>
                <w:kern w:val="0"/>
                <w:sz w:val="24"/>
                <w:szCs w:val="24"/>
                <w:highlight w:val="none"/>
                <w:lang w:val="en-US" w:eastAsia="zh-CN"/>
              </w:rPr>
              <w:t>4</w:t>
            </w:r>
            <w:r>
              <w:rPr>
                <w:rFonts w:hint="eastAsia" w:ascii="宋体" w:hAnsi="宋体" w:eastAsia="宋体" w:cs="宋体"/>
                <w:bCs/>
                <w:color w:val="auto"/>
                <w:kern w:val="0"/>
                <w:sz w:val="24"/>
                <w:szCs w:val="24"/>
                <w:highlight w:val="none"/>
                <w:lang w:val="en-US" w:eastAsia="zh-CN"/>
              </w:rPr>
              <w:t>分；</w:t>
            </w:r>
          </w:p>
          <w:p w14:paraId="00C9DBC7">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3）日常快速检测、专项快速检测重难点分析基本全面，大致能把握主要问题，但可能存在一些细节上的疏漏。解决措施基本合理可行，不过在应对复杂情况时可能存在不足。快检室建设重难点分析基本符合项目实际情况，解决措施基本科学，能够遵循常规的建设思路和方法的得</w:t>
            </w:r>
            <w:r>
              <w:rPr>
                <w:rFonts w:hint="eastAsia" w:ascii="宋体" w:hAnsi="宋体" w:cs="宋体"/>
                <w:bCs/>
                <w:color w:val="auto"/>
                <w:kern w:val="0"/>
                <w:sz w:val="24"/>
                <w:szCs w:val="24"/>
                <w:highlight w:val="none"/>
                <w:lang w:val="en-US" w:eastAsia="zh-CN"/>
              </w:rPr>
              <w:t>3</w:t>
            </w:r>
            <w:r>
              <w:rPr>
                <w:rFonts w:hint="eastAsia" w:ascii="宋体" w:hAnsi="宋体" w:eastAsia="宋体" w:cs="宋体"/>
                <w:bCs/>
                <w:color w:val="auto"/>
                <w:kern w:val="0"/>
                <w:sz w:val="24"/>
                <w:szCs w:val="24"/>
                <w:highlight w:val="none"/>
                <w:lang w:val="en-US" w:eastAsia="zh-CN"/>
              </w:rPr>
              <w:t>分；</w:t>
            </w:r>
          </w:p>
          <w:p w14:paraId="01B71235">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4）日常快速检测、专项快速检测重难点分析与项目实际情况存在一定偏差，未能准确把握项目的核心重难点。解决措施可行性一般，在实际应用中可能面临较多困难，缺乏针对性和有效性。快检室建设重难点分析与快检室建设要求略有偏差，对建设过程中的关键问题认识不足，解决措施简单，可行性一般的得</w:t>
            </w:r>
            <w:r>
              <w:rPr>
                <w:rFonts w:hint="eastAsia" w:ascii="宋体" w:hAnsi="宋体" w:cs="宋体"/>
                <w:bCs/>
                <w:color w:val="auto"/>
                <w:kern w:val="0"/>
                <w:sz w:val="24"/>
                <w:szCs w:val="24"/>
                <w:highlight w:val="none"/>
                <w:lang w:val="en-US" w:eastAsia="zh-CN"/>
              </w:rPr>
              <w:t>2</w:t>
            </w:r>
            <w:r>
              <w:rPr>
                <w:rFonts w:hint="eastAsia" w:ascii="宋体" w:hAnsi="宋体" w:eastAsia="宋体" w:cs="宋体"/>
                <w:bCs/>
                <w:color w:val="auto"/>
                <w:kern w:val="0"/>
                <w:sz w:val="24"/>
                <w:szCs w:val="24"/>
                <w:highlight w:val="none"/>
                <w:lang w:val="en-US" w:eastAsia="zh-CN"/>
              </w:rPr>
              <w:t>分；</w:t>
            </w:r>
          </w:p>
          <w:p w14:paraId="4558D51A">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leftChars="0" w:right="0" w:rightChars="0" w:firstLine="0" w:firstLine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5）日常快速检测、专项快速检测重难点分析与项目实际情况存在巨大偏差的，完全偏离项目的真实重难点。解决措施可行性差，无法有效解决实际问题。快检室建设重难点分析与快检室建设要求偏差较大，解决措施可行性差，几乎不具备实施的可能性的得</w:t>
            </w:r>
            <w:r>
              <w:rPr>
                <w:rFonts w:hint="eastAsia" w:ascii="宋体" w:hAnsi="宋体" w:cs="宋体"/>
                <w:bCs/>
                <w:color w:val="auto"/>
                <w:kern w:val="0"/>
                <w:sz w:val="24"/>
                <w:szCs w:val="24"/>
                <w:highlight w:val="none"/>
                <w:lang w:val="en-US" w:eastAsia="zh-CN"/>
              </w:rPr>
              <w:t>1</w:t>
            </w:r>
            <w:r>
              <w:rPr>
                <w:rFonts w:hint="eastAsia" w:ascii="宋体" w:hAnsi="宋体" w:eastAsia="宋体" w:cs="宋体"/>
                <w:bCs/>
                <w:color w:val="auto"/>
                <w:kern w:val="0"/>
                <w:sz w:val="24"/>
                <w:szCs w:val="24"/>
                <w:highlight w:val="none"/>
                <w:lang w:val="en-US" w:eastAsia="zh-CN"/>
              </w:rPr>
              <w:t>分；</w:t>
            </w:r>
          </w:p>
          <w:p w14:paraId="32FE21F1">
            <w:pPr>
              <w:pStyle w:val="237"/>
              <w:rPr>
                <w:rFonts w:hint="eastAsia"/>
                <w:highlight w:val="none"/>
                <w:lang w:val="en-US" w:eastAsia="zh-CN"/>
              </w:rPr>
            </w:pPr>
            <w:r>
              <w:rPr>
                <w:rFonts w:hint="eastAsia" w:ascii="宋体" w:hAnsi="宋体" w:eastAsia="宋体" w:cs="宋体"/>
                <w:bCs/>
                <w:color w:val="auto"/>
                <w:kern w:val="0"/>
                <w:sz w:val="24"/>
                <w:szCs w:val="24"/>
                <w:highlight w:val="none"/>
                <w:lang w:val="en-US" w:eastAsia="zh-CN" w:bidi="ar-SA"/>
              </w:rPr>
              <w:t>6）未提供相关内容的本项不得分。</w:t>
            </w:r>
          </w:p>
        </w:tc>
        <w:tc>
          <w:tcPr>
            <w:tcW w:w="707" w:type="dxa"/>
            <w:shd w:val="clear" w:color="auto" w:fill="auto"/>
            <w:vAlign w:val="center"/>
          </w:tcPr>
          <w:p w14:paraId="7E9ACCA3">
            <w:pPr>
              <w:autoSpaceDE w:val="0"/>
              <w:autoSpaceDN w:val="0"/>
              <w:jc w:val="cente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5</w:t>
            </w:r>
          </w:p>
        </w:tc>
        <w:tc>
          <w:tcPr>
            <w:tcW w:w="705" w:type="dxa"/>
            <w:shd w:val="clear" w:color="auto" w:fill="auto"/>
            <w:vAlign w:val="center"/>
          </w:tcPr>
          <w:p w14:paraId="55F9DD4B">
            <w:pPr>
              <w:autoSpaceDE w:val="0"/>
              <w:autoSpaceDN w:val="0"/>
              <w:jc w:val="center"/>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主观评审</w:t>
            </w:r>
          </w:p>
        </w:tc>
      </w:tr>
      <w:tr w14:paraId="358D0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4" w:type="dxa"/>
            <w:vMerge w:val="continue"/>
            <w:vAlign w:val="center"/>
          </w:tcPr>
          <w:p w14:paraId="0CA8F1E2">
            <w:pPr>
              <w:adjustRightInd/>
              <w:spacing w:line="320" w:lineRule="exact"/>
              <w:jc w:val="center"/>
              <w:rPr>
                <w:rFonts w:hint="eastAsia" w:ascii="宋体" w:hAnsi="宋体" w:cs="宋体"/>
                <w:color w:val="000000" w:themeColor="text1"/>
                <w:kern w:val="0"/>
                <w:sz w:val="24"/>
                <w:highlight w:val="none"/>
                <w14:textFill>
                  <w14:solidFill>
                    <w14:schemeClr w14:val="tx1"/>
                  </w14:solidFill>
                </w14:textFill>
              </w:rPr>
            </w:pPr>
          </w:p>
        </w:tc>
        <w:tc>
          <w:tcPr>
            <w:tcW w:w="1376" w:type="dxa"/>
            <w:vMerge w:val="restart"/>
            <w:shd w:val="clear" w:color="auto" w:fill="auto"/>
            <w:vAlign w:val="center"/>
          </w:tcPr>
          <w:p w14:paraId="284BE3EB">
            <w:pPr>
              <w:widowControl/>
              <w:spacing w:line="300" w:lineRule="exact"/>
              <w:rPr>
                <w:rFonts w:hint="default" w:ascii="Times New Roman" w:hAnsi="Times New Roman" w:eastAsia="宋体" w:cs="Times New Roman"/>
                <w:kern w:val="2"/>
                <w:sz w:val="21"/>
                <w:szCs w:val="24"/>
                <w:highlight w:val="none"/>
                <w:lang w:val="en-US" w:eastAsia="zh-CN" w:bidi="ar-SA"/>
              </w:rPr>
            </w:pPr>
            <w:r>
              <w:rPr>
                <w:rFonts w:hint="eastAsia" w:ascii="宋体" w:hAnsi="宋体" w:eastAsia="宋体" w:cs="宋体"/>
                <w:b/>
                <w:color w:val="000000" w:themeColor="text1"/>
                <w:kern w:val="0"/>
                <w:sz w:val="24"/>
                <w:highlight w:val="none"/>
                <w:lang w:val="en-US" w:eastAsia="zh-CN"/>
                <w14:textFill>
                  <w14:solidFill>
                    <w14:schemeClr w14:val="tx1"/>
                  </w14:solidFill>
                </w14:textFill>
              </w:rPr>
              <w:t>3、检测实施方案（13分）</w:t>
            </w:r>
          </w:p>
        </w:tc>
        <w:tc>
          <w:tcPr>
            <w:tcW w:w="5513" w:type="dxa"/>
            <w:gridSpan w:val="2"/>
            <w:shd w:val="clear" w:color="auto" w:fill="auto"/>
            <w:vAlign w:val="center"/>
          </w:tcPr>
          <w:p w14:paraId="45745DC3">
            <w:pPr>
              <w:adjustRightInd/>
              <w:spacing w:line="320" w:lineRule="exact"/>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
                <w:color w:val="000000" w:themeColor="text1"/>
                <w:kern w:val="0"/>
                <w:sz w:val="24"/>
                <w:highlight w:val="none"/>
                <w:lang w:val="en-US" w:eastAsia="zh-CN"/>
                <w14:textFill>
                  <w14:solidFill>
                    <w14:schemeClr w14:val="tx1"/>
                  </w14:solidFill>
                </w14:textFill>
              </w:rPr>
              <w:t>3.1</w:t>
            </w:r>
            <w:r>
              <w:rPr>
                <w:rFonts w:hint="eastAsia" w:ascii="宋体" w:hAnsi="宋体" w:eastAsia="宋体" w:cs="宋体"/>
                <w:bCs/>
                <w:color w:val="000000" w:themeColor="text1"/>
                <w:kern w:val="0"/>
                <w:sz w:val="24"/>
                <w:highlight w:val="none"/>
                <w14:textFill>
                  <w14:solidFill>
                    <w14:schemeClr w14:val="tx1"/>
                  </w14:solidFill>
                </w14:textFill>
              </w:rPr>
              <w:t>根据供应商</w:t>
            </w:r>
            <w:r>
              <w:rPr>
                <w:rFonts w:hint="eastAsia" w:ascii="宋体" w:hAnsi="宋体" w:eastAsia="宋体" w:cs="宋体"/>
                <w:bCs/>
                <w:color w:val="000000" w:themeColor="text1"/>
                <w:kern w:val="0"/>
                <w:sz w:val="24"/>
                <w:highlight w:val="none"/>
                <w:lang w:val="en-US" w:eastAsia="zh-CN"/>
                <w14:textFill>
                  <w14:solidFill>
                    <w14:schemeClr w14:val="tx1"/>
                  </w14:solidFill>
                </w14:textFill>
              </w:rPr>
              <w:t>提供的抽样方案，需包含但不限于以下要点</w:t>
            </w:r>
            <w:r>
              <w:rPr>
                <w:rFonts w:hint="eastAsia" w:ascii="宋体" w:hAnsi="宋体" w:eastAsia="宋体" w:cs="宋体"/>
                <w:b/>
                <w:bCs w:val="0"/>
                <w:color w:val="000000" w:themeColor="text1"/>
                <w:kern w:val="0"/>
                <w:sz w:val="24"/>
                <w:highlight w:val="none"/>
                <w:lang w:val="en-US" w:eastAsia="zh-CN"/>
                <w14:textFill>
                  <w14:solidFill>
                    <w14:schemeClr w14:val="tx1"/>
                  </w14:solidFill>
                </w14:textFill>
              </w:rPr>
              <w:t>：①抽样方法；②样本量设置；③抽样时机；④抽样随机性保障措施</w:t>
            </w:r>
            <w:r>
              <w:rPr>
                <w:rFonts w:hint="eastAsia" w:ascii="宋体" w:hAnsi="宋体" w:eastAsia="宋体" w:cs="宋体"/>
                <w:bCs/>
                <w:color w:val="000000" w:themeColor="text1"/>
                <w:kern w:val="0"/>
                <w:sz w:val="24"/>
                <w:highlight w:val="none"/>
                <w:lang w:eastAsia="zh-CN"/>
                <w14:textFill>
                  <w14:solidFill>
                    <w14:schemeClr w14:val="tx1"/>
                  </w14:solidFill>
                </w14:textFill>
              </w:rPr>
              <w:t>。</w:t>
            </w:r>
            <w:r>
              <w:rPr>
                <w:rFonts w:hint="eastAsia" w:ascii="宋体" w:hAnsi="宋体" w:eastAsia="宋体" w:cs="宋体"/>
                <w:bCs/>
                <w:color w:val="auto"/>
                <w:kern w:val="0"/>
                <w:sz w:val="24"/>
                <w:szCs w:val="24"/>
                <w:highlight w:val="none"/>
                <w:lang w:val="en-US" w:eastAsia="zh-CN"/>
              </w:rPr>
              <w:t>由评标委员会进行评议：</w:t>
            </w:r>
          </w:p>
          <w:p w14:paraId="0D7D408A">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1</w:t>
            </w:r>
            <w:r>
              <w:rPr>
                <w:rFonts w:hint="eastAsia" w:ascii="宋体" w:hAnsi="宋体" w:cs="宋体"/>
                <w:bCs/>
                <w:color w:val="auto"/>
                <w:kern w:val="0"/>
                <w:sz w:val="24"/>
                <w:szCs w:val="24"/>
                <w:highlight w:val="none"/>
                <w:lang w:val="en-US" w:eastAsia="zh-CN"/>
              </w:rPr>
              <w:t>）抽样方法科学严谨，契合项目特性，能有效规避抽样偏差；样本量设置合理，抽样时机准确；抽样随机性保障措施切实有效的</w:t>
            </w:r>
            <w:r>
              <w:rPr>
                <w:rFonts w:hint="eastAsia" w:ascii="宋体" w:hAnsi="宋体" w:eastAsia="宋体" w:cs="宋体"/>
                <w:bCs/>
                <w:color w:val="auto"/>
                <w:kern w:val="0"/>
                <w:sz w:val="24"/>
                <w:szCs w:val="24"/>
                <w:highlight w:val="none"/>
                <w:lang w:val="en-US" w:eastAsia="zh-CN"/>
              </w:rPr>
              <w:t>得4分；</w:t>
            </w:r>
            <w:r>
              <w:rPr>
                <w:rFonts w:hint="eastAsia" w:ascii="宋体" w:hAnsi="宋体" w:eastAsia="宋体" w:cs="宋体"/>
                <w:bCs/>
                <w:color w:val="auto"/>
                <w:kern w:val="0"/>
                <w:sz w:val="24"/>
                <w:szCs w:val="24"/>
                <w:highlight w:val="none"/>
                <w:lang w:val="en-US" w:eastAsia="zh-CN"/>
              </w:rPr>
              <w:br w:type="textWrapping"/>
            </w:r>
            <w:r>
              <w:rPr>
                <w:rFonts w:hint="eastAsia" w:ascii="宋体" w:hAnsi="宋体" w:eastAsia="宋体" w:cs="宋体"/>
                <w:bCs/>
                <w:color w:val="auto"/>
                <w:kern w:val="0"/>
                <w:sz w:val="24"/>
                <w:szCs w:val="24"/>
                <w:highlight w:val="none"/>
                <w:lang w:val="en-US" w:eastAsia="zh-CN"/>
              </w:rPr>
              <w:t>2）</w:t>
            </w:r>
            <w:r>
              <w:rPr>
                <w:rFonts w:hint="eastAsia" w:ascii="宋体" w:hAnsi="宋体" w:cs="宋体"/>
                <w:bCs/>
                <w:color w:val="auto"/>
                <w:kern w:val="0"/>
                <w:sz w:val="24"/>
                <w:szCs w:val="24"/>
                <w:highlight w:val="none"/>
                <w:lang w:val="en-US" w:eastAsia="zh-CN"/>
              </w:rPr>
              <w:t>抽样方法较科学，符合项目基本要求；样本量设置较合理，大致满足项目实际情况；抽样时机较准确，基本能在合适的时间开展抽样工作；抽样随机性保障措施较有效的</w:t>
            </w:r>
            <w:r>
              <w:rPr>
                <w:rFonts w:hint="eastAsia" w:ascii="宋体" w:hAnsi="宋体" w:eastAsia="宋体" w:cs="宋体"/>
                <w:bCs/>
                <w:color w:val="auto"/>
                <w:kern w:val="0"/>
                <w:sz w:val="24"/>
                <w:szCs w:val="24"/>
                <w:highlight w:val="none"/>
                <w:lang w:val="en-US" w:eastAsia="zh-CN"/>
              </w:rPr>
              <w:t>得</w:t>
            </w:r>
            <w:r>
              <w:rPr>
                <w:rFonts w:hint="eastAsia" w:ascii="宋体" w:hAnsi="宋体" w:cs="宋体"/>
                <w:bCs/>
                <w:color w:val="auto"/>
                <w:kern w:val="0"/>
                <w:sz w:val="24"/>
                <w:szCs w:val="24"/>
                <w:highlight w:val="none"/>
                <w:lang w:val="en-US" w:eastAsia="zh-CN"/>
              </w:rPr>
              <w:t>3</w:t>
            </w:r>
            <w:r>
              <w:rPr>
                <w:rFonts w:hint="eastAsia" w:ascii="宋体" w:hAnsi="宋体" w:eastAsia="宋体" w:cs="宋体"/>
                <w:bCs/>
                <w:color w:val="auto"/>
                <w:kern w:val="0"/>
                <w:sz w:val="24"/>
                <w:szCs w:val="24"/>
                <w:highlight w:val="none"/>
                <w:lang w:val="en-US" w:eastAsia="zh-CN"/>
              </w:rPr>
              <w:t>分；</w:t>
            </w:r>
          </w:p>
          <w:p w14:paraId="5E9CE8CD">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3）</w:t>
            </w:r>
            <w:r>
              <w:rPr>
                <w:rFonts w:hint="eastAsia" w:ascii="宋体" w:hAnsi="宋体" w:cs="宋体"/>
                <w:bCs/>
                <w:color w:val="auto"/>
                <w:kern w:val="0"/>
                <w:sz w:val="24"/>
                <w:szCs w:val="24"/>
                <w:highlight w:val="none"/>
                <w:lang w:val="en-US" w:eastAsia="zh-CN"/>
              </w:rPr>
              <w:t>抽样方法、样本量设置、抽样时机基本符合项目要求，虽存在一些小瑕疵，但不影响整体抽样方案的可行性；抽样随机性保障措施基本完整，有一定的随机化流程和手段的</w:t>
            </w:r>
            <w:r>
              <w:rPr>
                <w:rFonts w:hint="eastAsia" w:ascii="宋体" w:hAnsi="宋体" w:eastAsia="宋体" w:cs="宋体"/>
                <w:bCs/>
                <w:color w:val="auto"/>
                <w:kern w:val="0"/>
                <w:sz w:val="24"/>
                <w:szCs w:val="24"/>
                <w:highlight w:val="none"/>
                <w:lang w:val="en-US" w:eastAsia="zh-CN"/>
              </w:rPr>
              <w:t>得</w:t>
            </w:r>
            <w:r>
              <w:rPr>
                <w:rFonts w:hint="eastAsia" w:ascii="宋体" w:hAnsi="宋体" w:cs="宋体"/>
                <w:bCs/>
                <w:color w:val="auto"/>
                <w:kern w:val="0"/>
                <w:sz w:val="24"/>
                <w:szCs w:val="24"/>
                <w:highlight w:val="none"/>
                <w:lang w:val="en-US" w:eastAsia="zh-CN"/>
              </w:rPr>
              <w:t>2</w:t>
            </w:r>
            <w:r>
              <w:rPr>
                <w:rFonts w:hint="eastAsia" w:ascii="宋体" w:hAnsi="宋体" w:eastAsia="宋体" w:cs="宋体"/>
                <w:bCs/>
                <w:color w:val="auto"/>
                <w:kern w:val="0"/>
                <w:sz w:val="24"/>
                <w:szCs w:val="24"/>
                <w:highlight w:val="none"/>
                <w:lang w:val="en-US" w:eastAsia="zh-CN"/>
              </w:rPr>
              <w:t>分；</w:t>
            </w:r>
          </w:p>
          <w:p w14:paraId="4D42CC2B">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4）</w:t>
            </w:r>
            <w:r>
              <w:rPr>
                <w:rFonts w:hint="eastAsia" w:ascii="宋体" w:hAnsi="宋体" w:cs="宋体"/>
                <w:bCs/>
                <w:color w:val="auto"/>
                <w:kern w:val="0"/>
                <w:sz w:val="24"/>
                <w:szCs w:val="24"/>
                <w:highlight w:val="none"/>
                <w:lang w:val="en-US" w:eastAsia="zh-CN"/>
              </w:rPr>
              <w:t>抽样方法、样本量设置、抽样时机设置略有欠缺，存在部分不合理之处，可能对样本的代表性和抽样结果产生一定影响；抽样随机性保障措施简单，可行性略有欠缺的</w:t>
            </w:r>
            <w:r>
              <w:rPr>
                <w:rFonts w:hint="eastAsia" w:ascii="宋体" w:hAnsi="宋体" w:eastAsia="宋体" w:cs="宋体"/>
                <w:bCs/>
                <w:color w:val="auto"/>
                <w:kern w:val="0"/>
                <w:sz w:val="24"/>
                <w:szCs w:val="24"/>
                <w:highlight w:val="none"/>
                <w:lang w:val="en-US" w:eastAsia="zh-CN"/>
              </w:rPr>
              <w:t>得</w:t>
            </w:r>
            <w:r>
              <w:rPr>
                <w:rFonts w:hint="eastAsia" w:ascii="宋体" w:hAnsi="宋体" w:cs="宋体"/>
                <w:bCs/>
                <w:color w:val="auto"/>
                <w:kern w:val="0"/>
                <w:sz w:val="24"/>
                <w:szCs w:val="24"/>
                <w:highlight w:val="none"/>
                <w:lang w:val="en-US" w:eastAsia="zh-CN"/>
              </w:rPr>
              <w:t>1</w:t>
            </w:r>
            <w:r>
              <w:rPr>
                <w:rFonts w:hint="eastAsia" w:ascii="宋体" w:hAnsi="宋体" w:eastAsia="宋体" w:cs="宋体"/>
                <w:bCs/>
                <w:color w:val="auto"/>
                <w:kern w:val="0"/>
                <w:sz w:val="24"/>
                <w:szCs w:val="24"/>
                <w:highlight w:val="none"/>
                <w:lang w:val="en-US" w:eastAsia="zh-CN"/>
              </w:rPr>
              <w:t>分；</w:t>
            </w:r>
          </w:p>
          <w:p w14:paraId="68718305">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leftChars="0" w:right="0" w:rightChars="0" w:firstLine="0" w:firstLine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5）</w:t>
            </w:r>
            <w:r>
              <w:rPr>
                <w:rFonts w:hint="eastAsia" w:ascii="宋体" w:hAnsi="宋体" w:cs="宋体"/>
                <w:bCs/>
                <w:color w:val="auto"/>
                <w:kern w:val="0"/>
                <w:sz w:val="24"/>
                <w:szCs w:val="24"/>
                <w:highlight w:val="none"/>
                <w:lang w:val="en-US" w:eastAsia="zh-CN"/>
              </w:rPr>
              <w:t>抽样方法、样本量设置、抽样时机不合理，严重偏离项目需求；抽样随机性保障措施不科学，无法有效保障抽样的随机性的</w:t>
            </w:r>
            <w:r>
              <w:rPr>
                <w:rFonts w:hint="eastAsia" w:ascii="宋体" w:hAnsi="宋体" w:eastAsia="宋体" w:cs="宋体"/>
                <w:bCs/>
                <w:color w:val="auto"/>
                <w:kern w:val="0"/>
                <w:sz w:val="24"/>
                <w:szCs w:val="24"/>
                <w:highlight w:val="none"/>
                <w:lang w:val="en-US" w:eastAsia="zh-CN"/>
              </w:rPr>
              <w:t>得0.5分；</w:t>
            </w:r>
          </w:p>
          <w:p w14:paraId="7C188C3D">
            <w:pPr>
              <w:pStyle w:val="237"/>
              <w:rPr>
                <w:rFonts w:hint="eastAsia"/>
                <w:highlight w:val="none"/>
                <w:lang w:val="en-US" w:eastAsia="zh-CN"/>
              </w:rPr>
            </w:pPr>
            <w:r>
              <w:rPr>
                <w:rFonts w:hint="eastAsia" w:ascii="宋体" w:hAnsi="宋体" w:eastAsia="宋体" w:cs="宋体"/>
                <w:bCs/>
                <w:color w:val="auto"/>
                <w:kern w:val="0"/>
                <w:sz w:val="24"/>
                <w:szCs w:val="24"/>
                <w:highlight w:val="none"/>
                <w:lang w:val="en-US" w:eastAsia="zh-CN" w:bidi="ar-SA"/>
              </w:rPr>
              <w:t>6）未提供相关内容的本项不得分。</w:t>
            </w:r>
          </w:p>
        </w:tc>
        <w:tc>
          <w:tcPr>
            <w:tcW w:w="707" w:type="dxa"/>
            <w:shd w:val="clear" w:color="auto" w:fill="auto"/>
            <w:vAlign w:val="center"/>
          </w:tcPr>
          <w:p w14:paraId="5E4BEB19">
            <w:pPr>
              <w:autoSpaceDE w:val="0"/>
              <w:autoSpaceDN w:val="0"/>
              <w:jc w:val="cente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4</w:t>
            </w:r>
          </w:p>
        </w:tc>
        <w:tc>
          <w:tcPr>
            <w:tcW w:w="705" w:type="dxa"/>
            <w:shd w:val="clear" w:color="auto" w:fill="auto"/>
            <w:vAlign w:val="center"/>
          </w:tcPr>
          <w:p w14:paraId="0C49A930">
            <w:pPr>
              <w:autoSpaceDE w:val="0"/>
              <w:autoSpaceDN w:val="0"/>
              <w:jc w:val="center"/>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主观评审</w:t>
            </w:r>
          </w:p>
        </w:tc>
      </w:tr>
      <w:tr w14:paraId="7639A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4" w:type="dxa"/>
            <w:vMerge w:val="continue"/>
            <w:vAlign w:val="center"/>
          </w:tcPr>
          <w:p w14:paraId="72B567A2">
            <w:pPr>
              <w:adjustRightInd/>
              <w:spacing w:line="320" w:lineRule="exact"/>
              <w:jc w:val="center"/>
              <w:rPr>
                <w:rFonts w:hint="eastAsia" w:ascii="宋体" w:hAnsi="宋体" w:cs="宋体"/>
                <w:color w:val="000000" w:themeColor="text1"/>
                <w:kern w:val="0"/>
                <w:sz w:val="24"/>
                <w:highlight w:val="none"/>
                <w14:textFill>
                  <w14:solidFill>
                    <w14:schemeClr w14:val="tx1"/>
                  </w14:solidFill>
                </w14:textFill>
              </w:rPr>
            </w:pPr>
          </w:p>
        </w:tc>
        <w:tc>
          <w:tcPr>
            <w:tcW w:w="1376" w:type="dxa"/>
            <w:vMerge w:val="continue"/>
            <w:shd w:val="clear" w:color="auto" w:fill="auto"/>
            <w:vAlign w:val="center"/>
          </w:tcPr>
          <w:p w14:paraId="697ABDB7">
            <w:pPr>
              <w:widowControl/>
              <w:spacing w:line="300" w:lineRule="exact"/>
              <w:rPr>
                <w:rFonts w:hint="eastAsia" w:ascii="宋体" w:hAnsi="宋体" w:eastAsia="宋体" w:cs="宋体"/>
                <w:b/>
                <w:color w:val="000000" w:themeColor="text1"/>
                <w:kern w:val="0"/>
                <w:sz w:val="24"/>
                <w:highlight w:val="none"/>
                <w:lang w:val="en-US" w:eastAsia="zh-CN"/>
                <w14:textFill>
                  <w14:solidFill>
                    <w14:schemeClr w14:val="tx1"/>
                  </w14:solidFill>
                </w14:textFill>
              </w:rPr>
            </w:pPr>
          </w:p>
        </w:tc>
        <w:tc>
          <w:tcPr>
            <w:tcW w:w="5513" w:type="dxa"/>
            <w:gridSpan w:val="2"/>
            <w:shd w:val="clear" w:color="auto" w:fill="auto"/>
            <w:vAlign w:val="center"/>
          </w:tcPr>
          <w:p w14:paraId="2BB8720D">
            <w:pPr>
              <w:adjustRightInd/>
              <w:spacing w:line="320" w:lineRule="exact"/>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
                <w:color w:val="auto"/>
                <w:kern w:val="0"/>
                <w:sz w:val="24"/>
                <w:highlight w:val="none"/>
                <w:lang w:val="en-US" w:eastAsia="zh-CN"/>
              </w:rPr>
              <w:t>3.2</w:t>
            </w:r>
            <w:r>
              <w:rPr>
                <w:rFonts w:hint="eastAsia" w:ascii="宋体" w:hAnsi="宋体" w:eastAsia="宋体" w:cs="宋体"/>
                <w:bCs/>
                <w:color w:val="auto"/>
                <w:kern w:val="0"/>
                <w:sz w:val="24"/>
                <w:highlight w:val="none"/>
              </w:rPr>
              <w:t>根据供应商</w:t>
            </w:r>
            <w:r>
              <w:rPr>
                <w:rFonts w:hint="eastAsia" w:ascii="宋体" w:hAnsi="宋体" w:eastAsia="宋体" w:cs="宋体"/>
                <w:bCs/>
                <w:color w:val="auto"/>
                <w:kern w:val="0"/>
                <w:sz w:val="24"/>
                <w:highlight w:val="none"/>
                <w:lang w:val="en-US" w:eastAsia="zh-CN"/>
              </w:rPr>
              <w:t>提供的样品检测方案，需包含但不限于以下要点</w:t>
            </w:r>
            <w:r>
              <w:rPr>
                <w:rFonts w:hint="eastAsia" w:ascii="宋体" w:hAnsi="宋体" w:eastAsia="宋体" w:cs="宋体"/>
                <w:b/>
                <w:bCs w:val="0"/>
                <w:color w:val="auto"/>
                <w:kern w:val="0"/>
                <w:sz w:val="24"/>
                <w:highlight w:val="none"/>
                <w:lang w:val="en-US" w:eastAsia="zh-CN"/>
              </w:rPr>
              <w:t>：①检测方法；②检测质量控制措施；③检测时间进度安排；④检测结果与报告</w:t>
            </w:r>
            <w:r>
              <w:rPr>
                <w:rFonts w:hint="eastAsia" w:ascii="宋体" w:hAnsi="宋体" w:eastAsia="宋体" w:cs="宋体"/>
                <w:bCs/>
                <w:color w:val="auto"/>
                <w:kern w:val="0"/>
                <w:sz w:val="24"/>
                <w:highlight w:val="none"/>
                <w:lang w:eastAsia="zh-CN"/>
              </w:rPr>
              <w:t>。</w:t>
            </w:r>
            <w:r>
              <w:rPr>
                <w:rFonts w:hint="eastAsia" w:ascii="宋体" w:hAnsi="宋体" w:eastAsia="宋体" w:cs="宋体"/>
                <w:bCs/>
                <w:color w:val="auto"/>
                <w:kern w:val="0"/>
                <w:sz w:val="24"/>
                <w:szCs w:val="24"/>
                <w:highlight w:val="none"/>
                <w:lang w:val="en-US" w:eastAsia="zh-CN"/>
              </w:rPr>
              <w:t>由评标委员会进行评议：</w:t>
            </w:r>
          </w:p>
          <w:p w14:paraId="07C1D971">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1</w:t>
            </w:r>
            <w:r>
              <w:rPr>
                <w:rFonts w:hint="eastAsia" w:ascii="宋体" w:hAnsi="宋体" w:cs="宋体"/>
                <w:bCs/>
                <w:color w:val="auto"/>
                <w:kern w:val="0"/>
                <w:sz w:val="24"/>
                <w:szCs w:val="24"/>
                <w:highlight w:val="none"/>
                <w:lang w:val="en-US" w:eastAsia="zh-CN"/>
              </w:rPr>
              <w:t>）</w:t>
            </w:r>
            <w:r>
              <w:rPr>
                <w:rFonts w:hint="eastAsia" w:ascii="宋体" w:hAnsi="宋体" w:eastAsia="宋体" w:cs="宋体"/>
                <w:bCs/>
                <w:color w:val="auto"/>
                <w:kern w:val="0"/>
                <w:sz w:val="24"/>
                <w:szCs w:val="24"/>
                <w:highlight w:val="none"/>
                <w:lang w:val="en-US" w:eastAsia="zh-CN"/>
              </w:rPr>
              <w:t>检测方</w:t>
            </w:r>
            <w:r>
              <w:rPr>
                <w:rFonts w:hint="eastAsia" w:ascii="宋体" w:hAnsi="宋体" w:cs="宋体"/>
                <w:bCs/>
                <w:color w:val="auto"/>
                <w:kern w:val="0"/>
                <w:sz w:val="24"/>
                <w:szCs w:val="24"/>
                <w:highlight w:val="none"/>
                <w:lang w:val="en-US" w:eastAsia="zh-CN"/>
              </w:rPr>
              <w:t>法科学严谨，契合项目特性，能有效规避检测偏差；检测质量控制措施切实有效；检测时间进度安排合理，严格遵循相关检测标准的时间要求；检测结果判定精准无误，严格依据标准与规范的判定流程执行，检测报告格式规范、内容详实的</w:t>
            </w:r>
            <w:r>
              <w:rPr>
                <w:rFonts w:hint="eastAsia" w:ascii="宋体" w:hAnsi="宋体" w:eastAsia="宋体" w:cs="宋体"/>
                <w:bCs/>
                <w:color w:val="auto"/>
                <w:kern w:val="0"/>
                <w:sz w:val="24"/>
                <w:szCs w:val="24"/>
                <w:highlight w:val="none"/>
                <w:lang w:val="en-US" w:eastAsia="zh-CN"/>
              </w:rPr>
              <w:t>得4分；</w:t>
            </w:r>
            <w:r>
              <w:rPr>
                <w:rFonts w:hint="eastAsia" w:ascii="宋体" w:hAnsi="宋体" w:eastAsia="宋体" w:cs="宋体"/>
                <w:bCs/>
                <w:color w:val="auto"/>
                <w:kern w:val="0"/>
                <w:sz w:val="24"/>
                <w:szCs w:val="24"/>
                <w:highlight w:val="none"/>
                <w:lang w:val="en-US" w:eastAsia="zh-CN"/>
              </w:rPr>
              <w:br w:type="textWrapping"/>
            </w:r>
            <w:r>
              <w:rPr>
                <w:rFonts w:hint="eastAsia" w:ascii="宋体" w:hAnsi="宋体" w:eastAsia="宋体" w:cs="宋体"/>
                <w:bCs/>
                <w:color w:val="auto"/>
                <w:kern w:val="0"/>
                <w:sz w:val="24"/>
                <w:szCs w:val="24"/>
                <w:highlight w:val="none"/>
                <w:lang w:val="en-US" w:eastAsia="zh-CN"/>
              </w:rPr>
              <w:t>2）</w:t>
            </w:r>
            <w:r>
              <w:rPr>
                <w:rFonts w:hint="eastAsia" w:ascii="宋体" w:hAnsi="宋体" w:cs="宋体"/>
                <w:bCs/>
                <w:color w:val="auto"/>
                <w:kern w:val="0"/>
                <w:sz w:val="24"/>
                <w:szCs w:val="24"/>
                <w:highlight w:val="none"/>
                <w:lang w:val="en-US" w:eastAsia="zh-CN"/>
              </w:rPr>
              <w:t>检测方法较科学，基本符合项目的核心要求，虽然在某些细节方面存在一定的优化空间，但整体上能够满足检测工作的基本要求；检测质量控制措施较有效；检测时间进度安排较合理，大致符合项目的时间要求与检测流程的逻辑顺序；检测结果判定较准确，能够依据主要标准进行合理判断，检测报告格式和内容较为完整，涵盖了主要检测项目的数据和结果的</w:t>
            </w:r>
            <w:r>
              <w:rPr>
                <w:rFonts w:hint="eastAsia" w:ascii="宋体" w:hAnsi="宋体" w:eastAsia="宋体" w:cs="宋体"/>
                <w:bCs/>
                <w:color w:val="auto"/>
                <w:kern w:val="0"/>
                <w:sz w:val="24"/>
                <w:szCs w:val="24"/>
                <w:highlight w:val="none"/>
                <w:lang w:val="en-US" w:eastAsia="zh-CN"/>
              </w:rPr>
              <w:t>得</w:t>
            </w:r>
            <w:r>
              <w:rPr>
                <w:rFonts w:hint="eastAsia" w:ascii="宋体" w:hAnsi="宋体" w:cs="宋体"/>
                <w:bCs/>
                <w:color w:val="auto"/>
                <w:kern w:val="0"/>
                <w:sz w:val="24"/>
                <w:szCs w:val="24"/>
                <w:highlight w:val="none"/>
                <w:lang w:val="en-US" w:eastAsia="zh-CN"/>
              </w:rPr>
              <w:t>3</w:t>
            </w:r>
            <w:r>
              <w:rPr>
                <w:rFonts w:hint="eastAsia" w:ascii="宋体" w:hAnsi="宋体" w:eastAsia="宋体" w:cs="宋体"/>
                <w:bCs/>
                <w:color w:val="auto"/>
                <w:kern w:val="0"/>
                <w:sz w:val="24"/>
                <w:szCs w:val="24"/>
                <w:highlight w:val="none"/>
                <w:lang w:val="en-US" w:eastAsia="zh-CN"/>
              </w:rPr>
              <w:t>分；</w:t>
            </w:r>
          </w:p>
          <w:p w14:paraId="43F6DC50">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3）</w:t>
            </w:r>
            <w:r>
              <w:rPr>
                <w:rFonts w:hint="eastAsia" w:ascii="宋体" w:hAnsi="宋体" w:cs="宋体"/>
                <w:bCs/>
                <w:color w:val="auto"/>
                <w:kern w:val="0"/>
                <w:sz w:val="24"/>
                <w:szCs w:val="24"/>
                <w:highlight w:val="none"/>
                <w:lang w:val="en-US" w:eastAsia="zh-CN"/>
              </w:rPr>
              <w:t>检测方法基本符合项目要求，虽存在一些细微瑕疵，但整体上不影响检测方案的可行性；检测质量控制措施基本完整，具备基础的质量控制手段；检测时间进度安排基本合理，能够满足项目大致时间框架；检测结果判定基本准确，检测报告格式内容基本完整，但报告的规范性存在一些小问题的</w:t>
            </w:r>
            <w:r>
              <w:rPr>
                <w:rFonts w:hint="eastAsia" w:ascii="宋体" w:hAnsi="宋体" w:eastAsia="宋体" w:cs="宋体"/>
                <w:bCs/>
                <w:color w:val="auto"/>
                <w:kern w:val="0"/>
                <w:sz w:val="24"/>
                <w:szCs w:val="24"/>
                <w:highlight w:val="none"/>
                <w:lang w:val="en-US" w:eastAsia="zh-CN"/>
              </w:rPr>
              <w:t>得</w:t>
            </w:r>
            <w:r>
              <w:rPr>
                <w:rFonts w:hint="eastAsia" w:ascii="宋体" w:hAnsi="宋体" w:cs="宋体"/>
                <w:bCs/>
                <w:color w:val="auto"/>
                <w:kern w:val="0"/>
                <w:sz w:val="24"/>
                <w:szCs w:val="24"/>
                <w:highlight w:val="none"/>
                <w:lang w:val="en-US" w:eastAsia="zh-CN"/>
              </w:rPr>
              <w:t>2</w:t>
            </w:r>
            <w:r>
              <w:rPr>
                <w:rFonts w:hint="eastAsia" w:ascii="宋体" w:hAnsi="宋体" w:eastAsia="宋体" w:cs="宋体"/>
                <w:bCs/>
                <w:color w:val="auto"/>
                <w:kern w:val="0"/>
                <w:sz w:val="24"/>
                <w:szCs w:val="24"/>
                <w:highlight w:val="none"/>
                <w:lang w:val="en-US" w:eastAsia="zh-CN"/>
              </w:rPr>
              <w:t>分；</w:t>
            </w:r>
          </w:p>
          <w:p w14:paraId="78C7BF85">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4）</w:t>
            </w:r>
            <w:r>
              <w:rPr>
                <w:rFonts w:hint="eastAsia" w:ascii="宋体" w:hAnsi="宋体" w:cs="宋体"/>
                <w:bCs/>
                <w:color w:val="auto"/>
                <w:kern w:val="0"/>
                <w:sz w:val="24"/>
                <w:szCs w:val="24"/>
                <w:highlight w:val="none"/>
                <w:lang w:val="en-US" w:eastAsia="zh-CN"/>
              </w:rPr>
              <w:t>检测方法、检测时间进度安排存在一定欠缺，部分内容不合理；检测质量控制措施较为简单，仅具备最基本的质量控制手段，可行性略有不足；检测结果判定基本准确，但报告内容完整度不足，缺少关键检测项目的数据等</w:t>
            </w:r>
            <w:r>
              <w:rPr>
                <w:rFonts w:hint="eastAsia" w:ascii="宋体" w:hAnsi="宋体" w:eastAsia="宋体" w:cs="宋体"/>
                <w:bCs/>
                <w:color w:val="auto"/>
                <w:kern w:val="0"/>
                <w:sz w:val="24"/>
                <w:szCs w:val="24"/>
                <w:highlight w:val="none"/>
                <w:lang w:val="en-US" w:eastAsia="zh-CN"/>
              </w:rPr>
              <w:t>得</w:t>
            </w:r>
            <w:r>
              <w:rPr>
                <w:rFonts w:hint="eastAsia" w:ascii="宋体" w:hAnsi="宋体" w:cs="宋体"/>
                <w:bCs/>
                <w:color w:val="auto"/>
                <w:kern w:val="0"/>
                <w:sz w:val="24"/>
                <w:szCs w:val="24"/>
                <w:highlight w:val="none"/>
                <w:lang w:val="en-US" w:eastAsia="zh-CN"/>
              </w:rPr>
              <w:t>1</w:t>
            </w:r>
            <w:r>
              <w:rPr>
                <w:rFonts w:hint="eastAsia" w:ascii="宋体" w:hAnsi="宋体" w:eastAsia="宋体" w:cs="宋体"/>
                <w:bCs/>
                <w:color w:val="auto"/>
                <w:kern w:val="0"/>
                <w:sz w:val="24"/>
                <w:szCs w:val="24"/>
                <w:highlight w:val="none"/>
                <w:lang w:val="en-US" w:eastAsia="zh-CN"/>
              </w:rPr>
              <w:t>分；</w:t>
            </w:r>
          </w:p>
          <w:p w14:paraId="422186A2">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leftChars="0" w:right="0" w:rightChars="0" w:firstLine="0" w:firstLine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5）</w:t>
            </w:r>
            <w:r>
              <w:rPr>
                <w:rFonts w:hint="eastAsia" w:ascii="宋体" w:hAnsi="宋体" w:cs="宋体"/>
                <w:bCs/>
                <w:color w:val="auto"/>
                <w:kern w:val="0"/>
                <w:sz w:val="24"/>
                <w:szCs w:val="24"/>
                <w:highlight w:val="none"/>
                <w:lang w:val="en-US" w:eastAsia="zh-CN"/>
              </w:rPr>
              <w:t>检测方法、检测时间进度安排与项目实际存在较大差距；检测质量控制措施笼统，可行性极差；检测结果判定基本准确，但报告内容严重不完整，可能缺失大量关键数据的</w:t>
            </w:r>
            <w:r>
              <w:rPr>
                <w:rFonts w:hint="eastAsia" w:ascii="宋体" w:hAnsi="宋体" w:eastAsia="宋体" w:cs="宋体"/>
                <w:bCs/>
                <w:color w:val="auto"/>
                <w:kern w:val="0"/>
                <w:sz w:val="24"/>
                <w:szCs w:val="24"/>
                <w:highlight w:val="none"/>
                <w:lang w:val="en-US" w:eastAsia="zh-CN"/>
              </w:rPr>
              <w:t>得</w:t>
            </w:r>
            <w:r>
              <w:rPr>
                <w:rFonts w:hint="eastAsia" w:ascii="宋体" w:hAnsi="宋体" w:cs="宋体"/>
                <w:bCs/>
                <w:color w:val="auto"/>
                <w:kern w:val="0"/>
                <w:sz w:val="24"/>
                <w:szCs w:val="24"/>
                <w:highlight w:val="none"/>
                <w:lang w:val="en-US" w:eastAsia="zh-CN"/>
              </w:rPr>
              <w:t>0.5</w:t>
            </w:r>
            <w:r>
              <w:rPr>
                <w:rFonts w:hint="eastAsia" w:ascii="宋体" w:hAnsi="宋体" w:eastAsia="宋体" w:cs="宋体"/>
                <w:bCs/>
                <w:color w:val="auto"/>
                <w:kern w:val="0"/>
                <w:sz w:val="24"/>
                <w:szCs w:val="24"/>
                <w:highlight w:val="none"/>
                <w:lang w:val="en-US" w:eastAsia="zh-CN"/>
              </w:rPr>
              <w:t>分；</w:t>
            </w:r>
          </w:p>
          <w:p w14:paraId="5A4AB869">
            <w:pPr>
              <w:pStyle w:val="237"/>
              <w:rPr>
                <w:rFonts w:hint="eastAsia"/>
                <w:color w:val="auto"/>
                <w:highlight w:val="none"/>
                <w:lang w:val="en-US" w:eastAsia="zh-CN"/>
              </w:rPr>
            </w:pPr>
            <w:r>
              <w:rPr>
                <w:rFonts w:hint="eastAsia" w:ascii="宋体" w:hAnsi="宋体" w:eastAsia="宋体" w:cs="宋体"/>
                <w:bCs/>
                <w:color w:val="auto"/>
                <w:kern w:val="0"/>
                <w:sz w:val="24"/>
                <w:szCs w:val="24"/>
                <w:highlight w:val="none"/>
                <w:lang w:val="en-US" w:eastAsia="zh-CN" w:bidi="ar-SA"/>
              </w:rPr>
              <w:t>6）未提供相关内容的本项不得分。</w:t>
            </w:r>
          </w:p>
        </w:tc>
        <w:tc>
          <w:tcPr>
            <w:tcW w:w="707" w:type="dxa"/>
            <w:shd w:val="clear" w:color="auto" w:fill="auto"/>
            <w:vAlign w:val="center"/>
          </w:tcPr>
          <w:p w14:paraId="13E0CFDC">
            <w:pPr>
              <w:autoSpaceDE w:val="0"/>
              <w:autoSpaceDN w:val="0"/>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lang w:val="en-US" w:eastAsia="zh-CN"/>
              </w:rPr>
              <w:t>4</w:t>
            </w:r>
          </w:p>
        </w:tc>
        <w:tc>
          <w:tcPr>
            <w:tcW w:w="705" w:type="dxa"/>
            <w:shd w:val="clear" w:color="auto" w:fill="auto"/>
            <w:vAlign w:val="center"/>
          </w:tcPr>
          <w:p w14:paraId="6719F6F0">
            <w:pPr>
              <w:autoSpaceDE w:val="0"/>
              <w:autoSpaceDN w:val="0"/>
              <w:jc w:val="center"/>
              <w:rPr>
                <w:rFonts w:hint="eastAsia" w:ascii="宋体" w:hAnsi="宋体" w:eastAsia="宋体" w:cs="宋体"/>
                <w:color w:val="auto"/>
                <w:kern w:val="2"/>
                <w:sz w:val="24"/>
                <w:szCs w:val="24"/>
                <w:highlight w:val="none"/>
                <w:lang w:val="zh-CN" w:eastAsia="zh-CN" w:bidi="ar-SA"/>
              </w:rPr>
            </w:pPr>
            <w:r>
              <w:rPr>
                <w:rFonts w:hint="eastAsia" w:ascii="宋体" w:hAnsi="宋体" w:cs="宋体"/>
                <w:color w:val="auto"/>
                <w:sz w:val="24"/>
                <w:highlight w:val="none"/>
                <w:lang w:val="zh-CN"/>
              </w:rPr>
              <w:t>主观评审</w:t>
            </w:r>
          </w:p>
        </w:tc>
      </w:tr>
      <w:tr w14:paraId="537B0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4" w:type="dxa"/>
            <w:vMerge w:val="continue"/>
            <w:vAlign w:val="center"/>
          </w:tcPr>
          <w:p w14:paraId="04AB9752">
            <w:pPr>
              <w:adjustRightInd/>
              <w:spacing w:line="320" w:lineRule="exact"/>
              <w:jc w:val="center"/>
              <w:rPr>
                <w:rFonts w:hint="eastAsia" w:ascii="宋体" w:hAnsi="宋体" w:cs="宋体"/>
                <w:color w:val="000000" w:themeColor="text1"/>
                <w:kern w:val="0"/>
                <w:sz w:val="24"/>
                <w:highlight w:val="none"/>
                <w14:textFill>
                  <w14:solidFill>
                    <w14:schemeClr w14:val="tx1"/>
                  </w14:solidFill>
                </w14:textFill>
              </w:rPr>
            </w:pPr>
          </w:p>
        </w:tc>
        <w:tc>
          <w:tcPr>
            <w:tcW w:w="1376" w:type="dxa"/>
            <w:vMerge w:val="continue"/>
            <w:shd w:val="clear" w:color="auto" w:fill="auto"/>
            <w:vAlign w:val="center"/>
          </w:tcPr>
          <w:p w14:paraId="50E38BAD">
            <w:pPr>
              <w:widowControl/>
              <w:spacing w:line="300" w:lineRule="exact"/>
              <w:rPr>
                <w:rFonts w:hint="eastAsia" w:ascii="宋体" w:hAnsi="宋体" w:eastAsia="宋体" w:cs="宋体"/>
                <w:b/>
                <w:color w:val="000000" w:themeColor="text1"/>
                <w:kern w:val="0"/>
                <w:sz w:val="24"/>
                <w:highlight w:val="none"/>
                <w:lang w:val="en-US" w:eastAsia="zh-CN"/>
                <w14:textFill>
                  <w14:solidFill>
                    <w14:schemeClr w14:val="tx1"/>
                  </w14:solidFill>
                </w14:textFill>
              </w:rPr>
            </w:pPr>
          </w:p>
        </w:tc>
        <w:tc>
          <w:tcPr>
            <w:tcW w:w="5513" w:type="dxa"/>
            <w:gridSpan w:val="2"/>
            <w:shd w:val="clear" w:color="auto" w:fill="auto"/>
            <w:vAlign w:val="center"/>
          </w:tcPr>
          <w:p w14:paraId="2F8A0E65">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leftChars="0" w:right="0" w:rightChars="0" w:firstLine="0" w:firstLineChars="0"/>
              <w:textAlignment w:val="auto"/>
              <w:rPr>
                <w:rFonts w:hint="default" w:ascii="宋体" w:hAnsi="宋体" w:eastAsia="宋体" w:cs="宋体"/>
                <w:bCs/>
                <w:color w:val="auto"/>
                <w:kern w:val="0"/>
                <w:sz w:val="24"/>
                <w:szCs w:val="24"/>
                <w:highlight w:val="none"/>
                <w:lang w:val="en-US" w:eastAsia="zh-CN"/>
              </w:rPr>
            </w:pPr>
            <w:r>
              <w:rPr>
                <w:rFonts w:hint="eastAsia" w:ascii="宋体" w:hAnsi="宋体" w:eastAsia="宋体" w:cs="宋体"/>
                <w:b/>
                <w:bCs w:val="0"/>
                <w:color w:val="auto"/>
                <w:kern w:val="0"/>
                <w:sz w:val="24"/>
                <w:szCs w:val="24"/>
                <w:highlight w:val="none"/>
                <w:lang w:val="en-US" w:eastAsia="zh-CN"/>
              </w:rPr>
              <w:t>3.3供应商拟投入的抽样检测人员中，具有正高级工程师职称的，每提供1人得1分；具有高级工程师职称的，每提供1人得0.5分；本项满分2分。（投标文件中需提供人员职称证书及开标前近三个月任意一个月供应商为其交纳的社保证明材料）</w:t>
            </w:r>
          </w:p>
        </w:tc>
        <w:tc>
          <w:tcPr>
            <w:tcW w:w="707" w:type="dxa"/>
            <w:shd w:val="clear" w:color="auto" w:fill="auto"/>
            <w:vAlign w:val="center"/>
          </w:tcPr>
          <w:p w14:paraId="7CCF0CA3">
            <w:pPr>
              <w:autoSpaceDE w:val="0"/>
              <w:autoSpaceDN w:val="0"/>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lang w:val="en-US" w:eastAsia="zh-CN"/>
              </w:rPr>
              <w:t>2</w:t>
            </w:r>
          </w:p>
        </w:tc>
        <w:tc>
          <w:tcPr>
            <w:tcW w:w="705" w:type="dxa"/>
            <w:shd w:val="clear" w:color="auto" w:fill="auto"/>
            <w:vAlign w:val="center"/>
          </w:tcPr>
          <w:p w14:paraId="14B08052">
            <w:pPr>
              <w:autoSpaceDE w:val="0"/>
              <w:autoSpaceDN w:val="0"/>
              <w:jc w:val="center"/>
              <w:rPr>
                <w:rFonts w:hint="eastAsia" w:ascii="宋体" w:hAnsi="宋体" w:eastAsia="宋体" w:cs="宋体"/>
                <w:color w:val="auto"/>
                <w:kern w:val="2"/>
                <w:sz w:val="24"/>
                <w:szCs w:val="24"/>
                <w:highlight w:val="none"/>
                <w:lang w:val="zh-CN" w:eastAsia="zh-CN" w:bidi="ar-SA"/>
              </w:rPr>
            </w:pPr>
            <w:r>
              <w:rPr>
                <w:rFonts w:hint="eastAsia" w:ascii="宋体" w:hAnsi="宋体" w:cs="宋体"/>
                <w:color w:val="auto"/>
                <w:sz w:val="24"/>
                <w:highlight w:val="none"/>
                <w:lang w:val="en-US" w:eastAsia="zh-CN"/>
              </w:rPr>
              <w:t>客</w:t>
            </w:r>
            <w:r>
              <w:rPr>
                <w:rFonts w:hint="eastAsia" w:ascii="宋体" w:hAnsi="宋体" w:cs="宋体"/>
                <w:color w:val="auto"/>
                <w:sz w:val="24"/>
                <w:highlight w:val="none"/>
                <w:lang w:val="zh-CN"/>
              </w:rPr>
              <w:t>观评审</w:t>
            </w:r>
          </w:p>
        </w:tc>
      </w:tr>
      <w:tr w14:paraId="38375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4" w:type="dxa"/>
            <w:vMerge w:val="continue"/>
            <w:vAlign w:val="center"/>
          </w:tcPr>
          <w:p w14:paraId="35CC03F9">
            <w:pPr>
              <w:adjustRightInd/>
              <w:spacing w:line="320" w:lineRule="exact"/>
              <w:jc w:val="center"/>
              <w:rPr>
                <w:rFonts w:hint="eastAsia" w:ascii="宋体" w:hAnsi="宋体" w:cs="宋体"/>
                <w:color w:val="000000" w:themeColor="text1"/>
                <w:kern w:val="0"/>
                <w:sz w:val="24"/>
                <w:highlight w:val="none"/>
                <w14:textFill>
                  <w14:solidFill>
                    <w14:schemeClr w14:val="tx1"/>
                  </w14:solidFill>
                </w14:textFill>
              </w:rPr>
            </w:pPr>
          </w:p>
        </w:tc>
        <w:tc>
          <w:tcPr>
            <w:tcW w:w="1376" w:type="dxa"/>
            <w:vMerge w:val="continue"/>
            <w:shd w:val="clear" w:color="auto" w:fill="auto"/>
            <w:vAlign w:val="center"/>
          </w:tcPr>
          <w:p w14:paraId="76BE6D14">
            <w:pPr>
              <w:widowControl/>
              <w:spacing w:line="300" w:lineRule="exact"/>
              <w:rPr>
                <w:rFonts w:hint="eastAsia" w:ascii="宋体" w:hAnsi="宋体" w:eastAsia="宋体" w:cs="宋体"/>
                <w:b/>
                <w:color w:val="000000" w:themeColor="text1"/>
                <w:kern w:val="0"/>
                <w:sz w:val="24"/>
                <w:highlight w:val="none"/>
                <w:lang w:val="en-US" w:eastAsia="zh-CN"/>
                <w14:textFill>
                  <w14:solidFill>
                    <w14:schemeClr w14:val="tx1"/>
                  </w14:solidFill>
                </w14:textFill>
              </w:rPr>
            </w:pPr>
          </w:p>
        </w:tc>
        <w:tc>
          <w:tcPr>
            <w:tcW w:w="5513" w:type="dxa"/>
            <w:gridSpan w:val="2"/>
            <w:shd w:val="clear" w:color="auto" w:fill="auto"/>
            <w:vAlign w:val="center"/>
          </w:tcPr>
          <w:p w14:paraId="53D7DA87">
            <w:pPr>
              <w:adjustRightInd/>
              <w:spacing w:line="320" w:lineRule="exact"/>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
                <w:color w:val="auto"/>
                <w:kern w:val="0"/>
                <w:sz w:val="24"/>
                <w:highlight w:val="none"/>
                <w:lang w:val="en-US" w:eastAsia="zh-CN"/>
              </w:rPr>
              <w:t>3.4</w:t>
            </w:r>
            <w:r>
              <w:rPr>
                <w:rFonts w:hint="eastAsia" w:ascii="宋体" w:hAnsi="宋体" w:eastAsia="宋体" w:cs="宋体"/>
                <w:bCs/>
                <w:color w:val="auto"/>
                <w:kern w:val="0"/>
                <w:sz w:val="24"/>
                <w:highlight w:val="none"/>
              </w:rPr>
              <w:t>根据供应商</w:t>
            </w:r>
            <w:r>
              <w:rPr>
                <w:rFonts w:hint="eastAsia" w:ascii="宋体" w:hAnsi="宋体" w:eastAsia="宋体" w:cs="宋体"/>
                <w:bCs/>
                <w:color w:val="auto"/>
                <w:kern w:val="0"/>
                <w:sz w:val="24"/>
                <w:highlight w:val="none"/>
                <w:lang w:val="en-US" w:eastAsia="zh-CN"/>
              </w:rPr>
              <w:t>提供的成果递交方案，需包含但不限于以下要点</w:t>
            </w:r>
            <w:r>
              <w:rPr>
                <w:rFonts w:hint="eastAsia" w:ascii="宋体" w:hAnsi="宋体" w:eastAsia="宋体" w:cs="宋体"/>
                <w:b/>
                <w:bCs w:val="0"/>
                <w:color w:val="auto"/>
                <w:kern w:val="0"/>
                <w:sz w:val="24"/>
                <w:highlight w:val="none"/>
                <w:lang w:val="en-US" w:eastAsia="zh-CN"/>
              </w:rPr>
              <w:t>：①成果递交方式；②成果递交时间承诺③成果递交保障</w:t>
            </w:r>
            <w:r>
              <w:rPr>
                <w:rFonts w:hint="eastAsia" w:ascii="宋体" w:hAnsi="宋体" w:eastAsia="宋体" w:cs="宋体"/>
                <w:bCs/>
                <w:color w:val="auto"/>
                <w:kern w:val="0"/>
                <w:sz w:val="24"/>
                <w:highlight w:val="none"/>
                <w:lang w:eastAsia="zh-CN"/>
              </w:rPr>
              <w:t>。</w:t>
            </w:r>
            <w:r>
              <w:rPr>
                <w:rFonts w:hint="eastAsia" w:ascii="宋体" w:hAnsi="宋体" w:eastAsia="宋体" w:cs="宋体"/>
                <w:bCs/>
                <w:color w:val="auto"/>
                <w:kern w:val="0"/>
                <w:sz w:val="24"/>
                <w:szCs w:val="24"/>
                <w:highlight w:val="none"/>
                <w:lang w:val="en-US" w:eastAsia="zh-CN"/>
              </w:rPr>
              <w:t>由评标委员会进行评议：</w:t>
            </w:r>
          </w:p>
          <w:p w14:paraId="78F99AE7">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1</w:t>
            </w:r>
            <w:r>
              <w:rPr>
                <w:rFonts w:hint="eastAsia" w:ascii="宋体" w:hAnsi="宋体" w:cs="宋体"/>
                <w:bCs/>
                <w:color w:val="auto"/>
                <w:kern w:val="0"/>
                <w:sz w:val="24"/>
                <w:szCs w:val="24"/>
                <w:highlight w:val="none"/>
                <w:lang w:val="en-US" w:eastAsia="zh-CN"/>
              </w:rPr>
              <w:t>）</w:t>
            </w:r>
            <w:r>
              <w:rPr>
                <w:rFonts w:hint="eastAsia" w:ascii="宋体" w:hAnsi="宋体" w:eastAsia="宋体" w:cs="宋体"/>
                <w:bCs/>
                <w:color w:val="auto"/>
                <w:kern w:val="0"/>
                <w:sz w:val="24"/>
                <w:szCs w:val="24"/>
                <w:highlight w:val="none"/>
                <w:lang w:val="en-US" w:eastAsia="zh-CN"/>
              </w:rPr>
              <w:t>能提供专业系统平台将检测数据传输到采购人指定平台，且承诺快检结果能在每天上午1</w:t>
            </w:r>
            <w:r>
              <w:rPr>
                <w:rFonts w:hint="default" w:ascii="宋体" w:hAnsi="宋体" w:eastAsia="宋体" w:cs="宋体"/>
                <w:bCs/>
                <w:color w:val="auto"/>
                <w:kern w:val="0"/>
                <w:sz w:val="24"/>
                <w:szCs w:val="24"/>
                <w:highlight w:val="none"/>
                <w:lang w:val="en-US" w:eastAsia="zh-CN"/>
              </w:rPr>
              <w:t>0</w:t>
            </w:r>
            <w:r>
              <w:rPr>
                <w:rFonts w:hint="eastAsia" w:ascii="宋体" w:hAnsi="宋体" w:cs="宋体"/>
                <w:bCs/>
                <w:color w:val="auto"/>
                <w:kern w:val="0"/>
                <w:sz w:val="24"/>
                <w:szCs w:val="24"/>
                <w:highlight w:val="none"/>
                <w:lang w:val="en-US" w:eastAsia="zh-CN"/>
              </w:rPr>
              <w:t>:</w:t>
            </w:r>
            <w:r>
              <w:rPr>
                <w:rFonts w:hint="default" w:ascii="宋体" w:hAnsi="宋体" w:eastAsia="宋体" w:cs="宋体"/>
                <w:bCs/>
                <w:color w:val="auto"/>
                <w:kern w:val="0"/>
                <w:sz w:val="24"/>
                <w:szCs w:val="24"/>
                <w:highlight w:val="none"/>
                <w:lang w:val="en-US" w:eastAsia="zh-CN"/>
              </w:rPr>
              <w:t>3</w:t>
            </w:r>
            <w:r>
              <w:rPr>
                <w:rFonts w:hint="eastAsia" w:ascii="宋体" w:hAnsi="宋体" w:eastAsia="宋体" w:cs="宋体"/>
                <w:bCs/>
                <w:color w:val="auto"/>
                <w:kern w:val="0"/>
                <w:sz w:val="24"/>
                <w:szCs w:val="24"/>
                <w:highlight w:val="none"/>
                <w:lang w:val="en-US" w:eastAsia="zh-CN"/>
              </w:rPr>
              <w:t>0前反馈，成果递交保障内容科学可行</w:t>
            </w:r>
            <w:r>
              <w:rPr>
                <w:rFonts w:hint="eastAsia" w:ascii="宋体" w:hAnsi="宋体" w:cs="宋体"/>
                <w:bCs/>
                <w:color w:val="auto"/>
                <w:kern w:val="0"/>
                <w:sz w:val="24"/>
                <w:szCs w:val="24"/>
                <w:highlight w:val="none"/>
                <w:lang w:val="en-US" w:eastAsia="zh-CN"/>
              </w:rPr>
              <w:t>的</w:t>
            </w:r>
            <w:r>
              <w:rPr>
                <w:rFonts w:hint="eastAsia" w:ascii="宋体" w:hAnsi="宋体" w:eastAsia="宋体" w:cs="宋体"/>
                <w:bCs/>
                <w:color w:val="auto"/>
                <w:kern w:val="0"/>
                <w:sz w:val="24"/>
                <w:szCs w:val="24"/>
                <w:highlight w:val="none"/>
                <w:lang w:val="en-US" w:eastAsia="zh-CN"/>
              </w:rPr>
              <w:t>得3分；</w:t>
            </w:r>
            <w:r>
              <w:rPr>
                <w:rFonts w:hint="eastAsia" w:ascii="宋体" w:hAnsi="宋体" w:eastAsia="宋体" w:cs="宋体"/>
                <w:bCs/>
                <w:color w:val="auto"/>
                <w:kern w:val="0"/>
                <w:sz w:val="24"/>
                <w:szCs w:val="24"/>
                <w:highlight w:val="none"/>
                <w:lang w:val="en-US" w:eastAsia="zh-CN"/>
              </w:rPr>
              <w:br w:type="textWrapping"/>
            </w:r>
            <w:r>
              <w:rPr>
                <w:rFonts w:hint="eastAsia" w:ascii="宋体" w:hAnsi="宋体" w:eastAsia="宋体" w:cs="宋体"/>
                <w:bCs/>
                <w:color w:val="auto"/>
                <w:kern w:val="0"/>
                <w:sz w:val="24"/>
                <w:szCs w:val="24"/>
                <w:highlight w:val="none"/>
                <w:lang w:val="en-US" w:eastAsia="zh-CN"/>
              </w:rPr>
              <w:t>2）能采用较为便捷的方式将检测数据传输到采购人指定平台，且承诺快检结果能在每天上午1</w:t>
            </w:r>
            <w:r>
              <w:rPr>
                <w:rFonts w:hint="default" w:ascii="宋体" w:hAnsi="宋体" w:eastAsia="宋体" w:cs="宋体"/>
                <w:bCs/>
                <w:color w:val="auto"/>
                <w:kern w:val="0"/>
                <w:sz w:val="24"/>
                <w:szCs w:val="24"/>
                <w:highlight w:val="none"/>
                <w:lang w:val="en-US" w:eastAsia="zh-CN"/>
              </w:rPr>
              <w:t>0</w:t>
            </w:r>
            <w:r>
              <w:rPr>
                <w:rFonts w:hint="eastAsia" w:ascii="宋体" w:hAnsi="宋体" w:cs="宋体"/>
                <w:bCs/>
                <w:color w:val="auto"/>
                <w:kern w:val="0"/>
                <w:sz w:val="24"/>
                <w:szCs w:val="24"/>
                <w:highlight w:val="none"/>
                <w:lang w:val="en-US" w:eastAsia="zh-CN"/>
              </w:rPr>
              <w:t>:</w:t>
            </w:r>
            <w:r>
              <w:rPr>
                <w:rFonts w:hint="default" w:ascii="宋体" w:hAnsi="宋体" w:eastAsia="宋体" w:cs="宋体"/>
                <w:bCs/>
                <w:color w:val="auto"/>
                <w:kern w:val="0"/>
                <w:sz w:val="24"/>
                <w:szCs w:val="24"/>
                <w:highlight w:val="none"/>
                <w:lang w:val="en-US" w:eastAsia="zh-CN"/>
              </w:rPr>
              <w:t>3</w:t>
            </w:r>
            <w:r>
              <w:rPr>
                <w:rFonts w:hint="eastAsia" w:ascii="宋体" w:hAnsi="宋体" w:eastAsia="宋体" w:cs="宋体"/>
                <w:bCs/>
                <w:color w:val="auto"/>
                <w:kern w:val="0"/>
                <w:sz w:val="24"/>
                <w:szCs w:val="24"/>
                <w:highlight w:val="none"/>
                <w:lang w:val="en-US" w:eastAsia="zh-CN"/>
              </w:rPr>
              <w:t>0前反馈，成果递交保障内容科学性和可行性一般</w:t>
            </w:r>
            <w:r>
              <w:rPr>
                <w:rFonts w:hint="eastAsia" w:ascii="宋体" w:hAnsi="宋体" w:cs="宋体"/>
                <w:bCs/>
                <w:color w:val="auto"/>
                <w:kern w:val="0"/>
                <w:sz w:val="24"/>
                <w:szCs w:val="24"/>
                <w:highlight w:val="none"/>
                <w:lang w:val="en-US" w:eastAsia="zh-CN"/>
              </w:rPr>
              <w:t>的</w:t>
            </w:r>
            <w:r>
              <w:rPr>
                <w:rFonts w:hint="eastAsia" w:ascii="宋体" w:hAnsi="宋体" w:eastAsia="宋体" w:cs="宋体"/>
                <w:bCs/>
                <w:color w:val="auto"/>
                <w:kern w:val="0"/>
                <w:sz w:val="24"/>
                <w:szCs w:val="24"/>
                <w:highlight w:val="none"/>
                <w:lang w:val="en-US" w:eastAsia="zh-CN"/>
              </w:rPr>
              <w:t>得</w:t>
            </w:r>
            <w:r>
              <w:rPr>
                <w:rFonts w:hint="eastAsia" w:ascii="宋体" w:hAnsi="宋体" w:cs="宋体"/>
                <w:bCs/>
                <w:color w:val="auto"/>
                <w:kern w:val="0"/>
                <w:sz w:val="24"/>
                <w:szCs w:val="24"/>
                <w:highlight w:val="none"/>
                <w:lang w:val="en-US" w:eastAsia="zh-CN"/>
              </w:rPr>
              <w:t>2</w:t>
            </w:r>
            <w:r>
              <w:rPr>
                <w:rFonts w:hint="eastAsia" w:ascii="宋体" w:hAnsi="宋体" w:eastAsia="宋体" w:cs="宋体"/>
                <w:bCs/>
                <w:color w:val="auto"/>
                <w:kern w:val="0"/>
                <w:sz w:val="24"/>
                <w:szCs w:val="24"/>
                <w:highlight w:val="none"/>
                <w:lang w:val="en-US" w:eastAsia="zh-CN"/>
              </w:rPr>
              <w:t>分；</w:t>
            </w:r>
          </w:p>
          <w:p w14:paraId="764BC455">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3）成果递交方式较为传统，不能及时将检测数据传输到采购人指定平台；承诺快检结果能在每天上午1</w:t>
            </w:r>
            <w:r>
              <w:rPr>
                <w:rFonts w:hint="eastAsia" w:ascii="宋体" w:hAnsi="宋体" w:cs="宋体"/>
                <w:bCs/>
                <w:color w:val="auto"/>
                <w:kern w:val="0"/>
                <w:sz w:val="24"/>
                <w:szCs w:val="24"/>
                <w:highlight w:val="none"/>
                <w:lang w:val="en-US" w:eastAsia="zh-CN"/>
              </w:rPr>
              <w:t>2:0</w:t>
            </w:r>
            <w:r>
              <w:rPr>
                <w:rFonts w:hint="eastAsia" w:ascii="宋体" w:hAnsi="宋体" w:eastAsia="宋体" w:cs="宋体"/>
                <w:bCs/>
                <w:color w:val="auto"/>
                <w:kern w:val="0"/>
                <w:sz w:val="24"/>
                <w:szCs w:val="24"/>
                <w:highlight w:val="none"/>
                <w:lang w:val="en-US" w:eastAsia="zh-CN"/>
              </w:rPr>
              <w:t>0前反馈，但成果递交保障内容不科学、不可行</w:t>
            </w:r>
            <w:r>
              <w:rPr>
                <w:rFonts w:hint="eastAsia" w:ascii="宋体" w:hAnsi="宋体" w:cs="宋体"/>
                <w:bCs/>
                <w:color w:val="auto"/>
                <w:kern w:val="0"/>
                <w:sz w:val="24"/>
                <w:szCs w:val="24"/>
                <w:highlight w:val="none"/>
                <w:lang w:val="en-US" w:eastAsia="zh-CN"/>
              </w:rPr>
              <w:t>的</w:t>
            </w:r>
            <w:r>
              <w:rPr>
                <w:rFonts w:hint="eastAsia" w:ascii="宋体" w:hAnsi="宋体" w:eastAsia="宋体" w:cs="宋体"/>
                <w:bCs/>
                <w:color w:val="auto"/>
                <w:kern w:val="0"/>
                <w:sz w:val="24"/>
                <w:szCs w:val="24"/>
                <w:highlight w:val="none"/>
                <w:lang w:val="en-US" w:eastAsia="zh-CN"/>
              </w:rPr>
              <w:t>得</w:t>
            </w:r>
            <w:r>
              <w:rPr>
                <w:rFonts w:hint="eastAsia" w:ascii="宋体" w:hAnsi="宋体" w:cs="宋体"/>
                <w:bCs/>
                <w:color w:val="auto"/>
                <w:kern w:val="0"/>
                <w:sz w:val="24"/>
                <w:szCs w:val="24"/>
                <w:highlight w:val="none"/>
                <w:lang w:val="en-US" w:eastAsia="zh-CN"/>
              </w:rPr>
              <w:t>1</w:t>
            </w:r>
            <w:r>
              <w:rPr>
                <w:rFonts w:hint="eastAsia" w:ascii="宋体" w:hAnsi="宋体" w:eastAsia="宋体" w:cs="宋体"/>
                <w:bCs/>
                <w:color w:val="auto"/>
                <w:kern w:val="0"/>
                <w:sz w:val="24"/>
                <w:szCs w:val="24"/>
                <w:highlight w:val="none"/>
                <w:lang w:val="en-US" w:eastAsia="zh-CN"/>
              </w:rPr>
              <w:t>分；</w:t>
            </w:r>
          </w:p>
          <w:p w14:paraId="7D0314FF">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leftChars="0" w:right="0" w:rightChars="0" w:firstLine="0" w:firstLineChars="0"/>
              <w:textAlignment w:val="auto"/>
              <w:rPr>
                <w:rFonts w:hint="default"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4）未提供相关内容的本项不得分。</w:t>
            </w:r>
          </w:p>
        </w:tc>
        <w:tc>
          <w:tcPr>
            <w:tcW w:w="707" w:type="dxa"/>
            <w:shd w:val="clear" w:color="auto" w:fill="auto"/>
            <w:vAlign w:val="center"/>
          </w:tcPr>
          <w:p w14:paraId="3A52FECD">
            <w:pPr>
              <w:autoSpaceDE w:val="0"/>
              <w:autoSpaceDN w:val="0"/>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lang w:val="en-US" w:eastAsia="zh-CN"/>
              </w:rPr>
              <w:t>3</w:t>
            </w:r>
          </w:p>
        </w:tc>
        <w:tc>
          <w:tcPr>
            <w:tcW w:w="705" w:type="dxa"/>
            <w:shd w:val="clear" w:color="auto" w:fill="auto"/>
            <w:vAlign w:val="center"/>
          </w:tcPr>
          <w:p w14:paraId="15EE6E95">
            <w:pPr>
              <w:autoSpaceDE w:val="0"/>
              <w:autoSpaceDN w:val="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zh-CN"/>
              </w:rPr>
              <w:t>主观评审</w:t>
            </w:r>
          </w:p>
        </w:tc>
      </w:tr>
      <w:tr w14:paraId="54E86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4" w:type="dxa"/>
            <w:vMerge w:val="continue"/>
            <w:vAlign w:val="center"/>
          </w:tcPr>
          <w:p w14:paraId="3819F7C1">
            <w:pPr>
              <w:adjustRightInd/>
              <w:spacing w:line="320" w:lineRule="exact"/>
              <w:jc w:val="center"/>
              <w:rPr>
                <w:rFonts w:hint="eastAsia" w:ascii="宋体" w:hAnsi="宋体" w:cs="宋体"/>
                <w:color w:val="000000" w:themeColor="text1"/>
                <w:kern w:val="0"/>
                <w:sz w:val="24"/>
                <w:highlight w:val="none"/>
                <w14:textFill>
                  <w14:solidFill>
                    <w14:schemeClr w14:val="tx1"/>
                  </w14:solidFill>
                </w14:textFill>
              </w:rPr>
            </w:pPr>
          </w:p>
        </w:tc>
        <w:tc>
          <w:tcPr>
            <w:tcW w:w="6889" w:type="dxa"/>
            <w:gridSpan w:val="3"/>
            <w:shd w:val="clear" w:color="auto" w:fill="auto"/>
            <w:vAlign w:val="center"/>
          </w:tcPr>
          <w:p w14:paraId="209BB6E1">
            <w:pPr>
              <w:adjustRightInd/>
              <w:spacing w:line="320" w:lineRule="exact"/>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000000" w:themeColor="text1"/>
                <w:kern w:val="0"/>
                <w:sz w:val="24"/>
                <w:highlight w:val="none"/>
                <w:lang w:val="en-US" w:eastAsia="zh-CN"/>
                <w14:textFill>
                  <w14:solidFill>
                    <w14:schemeClr w14:val="tx1"/>
                  </w14:solidFill>
                </w14:textFill>
              </w:rPr>
              <w:t>4、</w:t>
            </w:r>
            <w:r>
              <w:rPr>
                <w:rFonts w:hint="eastAsia" w:ascii="宋体" w:hAnsi="宋体" w:eastAsia="宋体" w:cs="宋体"/>
                <w:bCs/>
                <w:color w:val="000000" w:themeColor="text1"/>
                <w:kern w:val="0"/>
                <w:sz w:val="24"/>
                <w:highlight w:val="none"/>
                <w14:textFill>
                  <w14:solidFill>
                    <w14:schemeClr w14:val="tx1"/>
                  </w14:solidFill>
                </w14:textFill>
              </w:rPr>
              <w:t>根据供应商</w:t>
            </w:r>
            <w:r>
              <w:rPr>
                <w:rFonts w:hint="eastAsia" w:ascii="宋体" w:hAnsi="宋体" w:eastAsia="宋体" w:cs="宋体"/>
                <w:bCs/>
                <w:color w:val="000000" w:themeColor="text1"/>
                <w:kern w:val="0"/>
                <w:sz w:val="24"/>
                <w:highlight w:val="none"/>
                <w:lang w:val="en-US" w:eastAsia="zh-CN"/>
                <w14:textFill>
                  <w14:solidFill>
                    <w14:schemeClr w14:val="tx1"/>
                  </w14:solidFill>
                </w14:textFill>
              </w:rPr>
              <w:t>提供的试剂性能，需包含但不限于以下要点</w:t>
            </w:r>
            <w:r>
              <w:rPr>
                <w:rFonts w:hint="eastAsia" w:ascii="宋体" w:hAnsi="宋体" w:eastAsia="宋体" w:cs="宋体"/>
                <w:b/>
                <w:bCs w:val="0"/>
                <w:color w:val="000000" w:themeColor="text1"/>
                <w:kern w:val="0"/>
                <w:sz w:val="24"/>
                <w:highlight w:val="none"/>
                <w:lang w:val="en-US" w:eastAsia="zh-CN"/>
                <w14:textFill>
                  <w14:solidFill>
                    <w14:schemeClr w14:val="tx1"/>
                  </w14:solidFill>
                </w14:textFill>
              </w:rPr>
              <w:t>：①测试准确度；②灵敏度；③稳定性④检测时间</w:t>
            </w:r>
            <w:r>
              <w:rPr>
                <w:rFonts w:hint="eastAsia" w:ascii="宋体" w:hAnsi="宋体" w:eastAsia="宋体" w:cs="宋体"/>
                <w:bCs/>
                <w:color w:val="000000" w:themeColor="text1"/>
                <w:kern w:val="0"/>
                <w:sz w:val="24"/>
                <w:highlight w:val="none"/>
                <w:lang w:eastAsia="zh-CN"/>
                <w14:textFill>
                  <w14:solidFill>
                    <w14:schemeClr w14:val="tx1"/>
                  </w14:solidFill>
                </w14:textFill>
              </w:rPr>
              <w:t>。</w:t>
            </w:r>
            <w:r>
              <w:rPr>
                <w:rFonts w:hint="eastAsia" w:ascii="宋体" w:hAnsi="宋体" w:eastAsia="宋体" w:cs="宋体"/>
                <w:bCs/>
                <w:color w:val="auto"/>
                <w:kern w:val="0"/>
                <w:sz w:val="24"/>
                <w:szCs w:val="24"/>
                <w:highlight w:val="none"/>
                <w:lang w:val="en-US" w:eastAsia="zh-CN"/>
              </w:rPr>
              <w:t>由评标委员会进行评议：</w:t>
            </w:r>
          </w:p>
          <w:p w14:paraId="53D0DFC7">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1</w:t>
            </w:r>
            <w:r>
              <w:rPr>
                <w:rFonts w:hint="eastAsia" w:ascii="宋体" w:hAnsi="宋体" w:cs="宋体"/>
                <w:bCs/>
                <w:color w:val="auto"/>
                <w:kern w:val="0"/>
                <w:sz w:val="24"/>
                <w:szCs w:val="24"/>
                <w:highlight w:val="none"/>
                <w:lang w:val="en-US" w:eastAsia="zh-CN"/>
              </w:rPr>
              <w:t>）供应商提供的所有</w:t>
            </w:r>
            <w:r>
              <w:rPr>
                <w:rFonts w:hint="eastAsia" w:ascii="宋体" w:hAnsi="宋体" w:eastAsia="宋体" w:cs="宋体"/>
                <w:bCs/>
                <w:color w:val="auto"/>
                <w:kern w:val="0"/>
                <w:sz w:val="24"/>
                <w:szCs w:val="24"/>
                <w:highlight w:val="none"/>
                <w:lang w:val="en-US" w:eastAsia="zh-CN"/>
              </w:rPr>
              <w:t>试剂性能卓越。测试准确度极高，灵敏度超高，试剂稳定性极佳，在规定的储存条件和有效期内，性能几乎无衰减，检测时间极短，极大满足项目对快速检测的需求</w:t>
            </w:r>
            <w:r>
              <w:rPr>
                <w:rFonts w:hint="eastAsia" w:ascii="宋体" w:hAnsi="宋体" w:cs="宋体"/>
                <w:bCs/>
                <w:color w:val="auto"/>
                <w:kern w:val="0"/>
                <w:sz w:val="24"/>
                <w:szCs w:val="24"/>
                <w:highlight w:val="none"/>
                <w:lang w:val="en-US" w:eastAsia="zh-CN"/>
              </w:rPr>
              <w:t>的</w:t>
            </w:r>
            <w:r>
              <w:rPr>
                <w:rFonts w:hint="eastAsia" w:ascii="宋体" w:hAnsi="宋体" w:eastAsia="宋体" w:cs="宋体"/>
                <w:bCs/>
                <w:color w:val="auto"/>
                <w:kern w:val="0"/>
                <w:sz w:val="24"/>
                <w:szCs w:val="24"/>
                <w:highlight w:val="none"/>
                <w:lang w:val="en-US" w:eastAsia="zh-CN"/>
              </w:rPr>
              <w:t>得4分；</w:t>
            </w:r>
            <w:r>
              <w:rPr>
                <w:rFonts w:hint="eastAsia" w:ascii="宋体" w:hAnsi="宋体" w:eastAsia="宋体" w:cs="宋体"/>
                <w:bCs/>
                <w:color w:val="auto"/>
                <w:kern w:val="0"/>
                <w:sz w:val="24"/>
                <w:szCs w:val="24"/>
                <w:highlight w:val="none"/>
                <w:lang w:val="en-US" w:eastAsia="zh-CN"/>
              </w:rPr>
              <w:br w:type="textWrapping"/>
            </w:r>
            <w:r>
              <w:rPr>
                <w:rFonts w:hint="eastAsia" w:ascii="宋体" w:hAnsi="宋体" w:eastAsia="宋体" w:cs="宋体"/>
                <w:bCs/>
                <w:color w:val="auto"/>
                <w:kern w:val="0"/>
                <w:sz w:val="24"/>
                <w:szCs w:val="24"/>
                <w:highlight w:val="none"/>
                <w:lang w:val="en-US" w:eastAsia="zh-CN"/>
              </w:rPr>
              <w:t>2）</w:t>
            </w:r>
            <w:r>
              <w:rPr>
                <w:rFonts w:hint="eastAsia" w:ascii="宋体" w:hAnsi="宋体" w:cs="宋体"/>
                <w:bCs/>
                <w:color w:val="auto"/>
                <w:kern w:val="0"/>
                <w:sz w:val="24"/>
                <w:szCs w:val="24"/>
                <w:highlight w:val="none"/>
                <w:lang w:val="en-US" w:eastAsia="zh-CN"/>
              </w:rPr>
              <w:t>供应商提供的所有</w:t>
            </w:r>
            <w:r>
              <w:rPr>
                <w:rFonts w:hint="eastAsia" w:ascii="宋体" w:hAnsi="宋体" w:eastAsia="宋体" w:cs="宋体"/>
                <w:bCs/>
                <w:color w:val="auto"/>
                <w:kern w:val="0"/>
                <w:sz w:val="24"/>
                <w:szCs w:val="24"/>
                <w:highlight w:val="none"/>
                <w:lang w:val="en-US" w:eastAsia="zh-CN"/>
              </w:rPr>
              <w:t>试剂性能较好。测试准确度较高，灵敏度较高，试剂稳定性较佳，在正常储存条件下，保持相对稳定，检测时间较短</w:t>
            </w:r>
            <w:r>
              <w:rPr>
                <w:rFonts w:hint="eastAsia" w:ascii="宋体" w:hAnsi="宋体" w:cs="宋体"/>
                <w:bCs/>
                <w:color w:val="auto"/>
                <w:kern w:val="0"/>
                <w:sz w:val="24"/>
                <w:szCs w:val="24"/>
                <w:highlight w:val="none"/>
                <w:lang w:val="en-US" w:eastAsia="zh-CN"/>
              </w:rPr>
              <w:t>的</w:t>
            </w:r>
            <w:r>
              <w:rPr>
                <w:rFonts w:hint="eastAsia" w:ascii="宋体" w:hAnsi="宋体" w:eastAsia="宋体" w:cs="宋体"/>
                <w:bCs/>
                <w:color w:val="auto"/>
                <w:kern w:val="0"/>
                <w:sz w:val="24"/>
                <w:szCs w:val="24"/>
                <w:highlight w:val="none"/>
                <w:lang w:val="en-US" w:eastAsia="zh-CN"/>
              </w:rPr>
              <w:t>得</w:t>
            </w:r>
            <w:r>
              <w:rPr>
                <w:rFonts w:hint="eastAsia" w:ascii="宋体" w:hAnsi="宋体" w:cs="宋体"/>
                <w:bCs/>
                <w:color w:val="auto"/>
                <w:kern w:val="0"/>
                <w:sz w:val="24"/>
                <w:szCs w:val="24"/>
                <w:highlight w:val="none"/>
                <w:lang w:val="en-US" w:eastAsia="zh-CN"/>
              </w:rPr>
              <w:t>3</w:t>
            </w:r>
            <w:r>
              <w:rPr>
                <w:rFonts w:hint="eastAsia" w:ascii="宋体" w:hAnsi="宋体" w:eastAsia="宋体" w:cs="宋体"/>
                <w:bCs/>
                <w:color w:val="auto"/>
                <w:kern w:val="0"/>
                <w:sz w:val="24"/>
                <w:szCs w:val="24"/>
                <w:highlight w:val="none"/>
                <w:lang w:val="en-US" w:eastAsia="zh-CN"/>
              </w:rPr>
              <w:t>分；</w:t>
            </w:r>
          </w:p>
          <w:p w14:paraId="71E769CC">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3）</w:t>
            </w:r>
            <w:r>
              <w:rPr>
                <w:rFonts w:hint="eastAsia" w:ascii="宋体" w:hAnsi="宋体" w:cs="宋体"/>
                <w:bCs/>
                <w:color w:val="auto"/>
                <w:kern w:val="0"/>
                <w:sz w:val="24"/>
                <w:szCs w:val="24"/>
                <w:highlight w:val="none"/>
                <w:lang w:val="en-US" w:eastAsia="zh-CN"/>
              </w:rPr>
              <w:t>供应商提供的所有</w:t>
            </w:r>
            <w:r>
              <w:rPr>
                <w:rFonts w:hint="eastAsia" w:ascii="宋体" w:hAnsi="宋体" w:eastAsia="宋体" w:cs="宋体"/>
                <w:bCs/>
                <w:color w:val="auto"/>
                <w:kern w:val="0"/>
                <w:sz w:val="24"/>
                <w:szCs w:val="24"/>
                <w:highlight w:val="none"/>
                <w:lang w:val="en-US" w:eastAsia="zh-CN"/>
              </w:rPr>
              <w:t>试剂性能一般。测试准确度及灵敏度一般，试剂稳定性一般，在正常储存条件下性能基本稳定，检测时间普通，按照常规检测流程进行，不会特别快速</w:t>
            </w:r>
            <w:r>
              <w:rPr>
                <w:rFonts w:hint="eastAsia" w:ascii="宋体" w:hAnsi="宋体" w:cs="宋体"/>
                <w:bCs/>
                <w:color w:val="auto"/>
                <w:kern w:val="0"/>
                <w:sz w:val="24"/>
                <w:szCs w:val="24"/>
                <w:highlight w:val="none"/>
                <w:lang w:val="en-US" w:eastAsia="zh-CN"/>
              </w:rPr>
              <w:t>的</w:t>
            </w:r>
            <w:r>
              <w:rPr>
                <w:rFonts w:hint="eastAsia" w:ascii="宋体" w:hAnsi="宋体" w:eastAsia="宋体" w:cs="宋体"/>
                <w:bCs/>
                <w:color w:val="auto"/>
                <w:kern w:val="0"/>
                <w:sz w:val="24"/>
                <w:szCs w:val="24"/>
                <w:highlight w:val="none"/>
                <w:lang w:val="en-US" w:eastAsia="zh-CN"/>
              </w:rPr>
              <w:t>得</w:t>
            </w:r>
            <w:r>
              <w:rPr>
                <w:rFonts w:hint="eastAsia" w:ascii="宋体" w:hAnsi="宋体" w:cs="宋体"/>
                <w:bCs/>
                <w:color w:val="auto"/>
                <w:kern w:val="0"/>
                <w:sz w:val="24"/>
                <w:szCs w:val="24"/>
                <w:highlight w:val="none"/>
                <w:lang w:val="en-US" w:eastAsia="zh-CN"/>
              </w:rPr>
              <w:t>2</w:t>
            </w:r>
            <w:r>
              <w:rPr>
                <w:rFonts w:hint="eastAsia" w:ascii="宋体" w:hAnsi="宋体" w:eastAsia="宋体" w:cs="宋体"/>
                <w:bCs/>
                <w:color w:val="auto"/>
                <w:kern w:val="0"/>
                <w:sz w:val="24"/>
                <w:szCs w:val="24"/>
                <w:highlight w:val="none"/>
                <w:lang w:val="en-US" w:eastAsia="zh-CN"/>
              </w:rPr>
              <w:t>分；</w:t>
            </w:r>
          </w:p>
          <w:p w14:paraId="2E8D3288">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4）</w:t>
            </w:r>
            <w:r>
              <w:rPr>
                <w:rFonts w:hint="eastAsia" w:ascii="宋体" w:hAnsi="宋体" w:cs="宋体"/>
                <w:bCs/>
                <w:color w:val="auto"/>
                <w:kern w:val="0"/>
                <w:sz w:val="24"/>
                <w:szCs w:val="24"/>
                <w:highlight w:val="none"/>
                <w:lang w:val="en-US" w:eastAsia="zh-CN"/>
              </w:rPr>
              <w:t>供应商提供的所有</w:t>
            </w:r>
            <w:r>
              <w:rPr>
                <w:rFonts w:hint="eastAsia" w:ascii="宋体" w:hAnsi="宋体" w:eastAsia="宋体" w:cs="宋体"/>
                <w:bCs/>
                <w:color w:val="auto"/>
                <w:kern w:val="0"/>
                <w:sz w:val="24"/>
                <w:szCs w:val="24"/>
                <w:highlight w:val="none"/>
                <w:lang w:val="en-US" w:eastAsia="zh-CN"/>
              </w:rPr>
              <w:t>试剂性能略差，准确度、灵敏度、试剂稳定性略有欠缺，在储存过程中可能出现波动，相比其他优质试剂，检测时间略长，可能对项目实施产生一定影响</w:t>
            </w:r>
            <w:r>
              <w:rPr>
                <w:rFonts w:hint="eastAsia" w:ascii="宋体" w:hAnsi="宋体" w:cs="宋体"/>
                <w:bCs/>
                <w:color w:val="auto"/>
                <w:kern w:val="0"/>
                <w:sz w:val="24"/>
                <w:szCs w:val="24"/>
                <w:highlight w:val="none"/>
                <w:lang w:val="en-US" w:eastAsia="zh-CN"/>
              </w:rPr>
              <w:t>的</w:t>
            </w:r>
            <w:r>
              <w:rPr>
                <w:rFonts w:hint="eastAsia" w:ascii="宋体" w:hAnsi="宋体" w:eastAsia="宋体" w:cs="宋体"/>
                <w:bCs/>
                <w:color w:val="auto"/>
                <w:kern w:val="0"/>
                <w:sz w:val="24"/>
                <w:szCs w:val="24"/>
                <w:highlight w:val="none"/>
                <w:lang w:val="en-US" w:eastAsia="zh-CN"/>
              </w:rPr>
              <w:t>得</w:t>
            </w:r>
            <w:r>
              <w:rPr>
                <w:rFonts w:hint="eastAsia" w:ascii="宋体" w:hAnsi="宋体" w:cs="宋体"/>
                <w:bCs/>
                <w:color w:val="auto"/>
                <w:kern w:val="0"/>
                <w:sz w:val="24"/>
                <w:szCs w:val="24"/>
                <w:highlight w:val="none"/>
                <w:lang w:val="en-US" w:eastAsia="zh-CN"/>
              </w:rPr>
              <w:t>1</w:t>
            </w:r>
            <w:r>
              <w:rPr>
                <w:rFonts w:hint="eastAsia" w:ascii="宋体" w:hAnsi="宋体" w:eastAsia="宋体" w:cs="宋体"/>
                <w:bCs/>
                <w:color w:val="auto"/>
                <w:kern w:val="0"/>
                <w:sz w:val="24"/>
                <w:szCs w:val="24"/>
                <w:highlight w:val="none"/>
                <w:lang w:val="en-US" w:eastAsia="zh-CN"/>
              </w:rPr>
              <w:t>分；</w:t>
            </w:r>
          </w:p>
          <w:p w14:paraId="04AB417F">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leftChars="0" w:right="0" w:rightChars="0" w:firstLine="0" w:firstLine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5）</w:t>
            </w:r>
            <w:r>
              <w:rPr>
                <w:rFonts w:hint="eastAsia" w:ascii="宋体" w:hAnsi="宋体" w:cs="宋体"/>
                <w:bCs/>
                <w:color w:val="auto"/>
                <w:kern w:val="0"/>
                <w:sz w:val="24"/>
                <w:szCs w:val="24"/>
                <w:highlight w:val="none"/>
                <w:lang w:val="en-US" w:eastAsia="zh-CN"/>
              </w:rPr>
              <w:t>供应商提供的所有</w:t>
            </w:r>
            <w:r>
              <w:rPr>
                <w:rFonts w:hint="eastAsia" w:ascii="宋体" w:hAnsi="宋体" w:eastAsia="宋体" w:cs="宋体"/>
                <w:bCs/>
                <w:color w:val="auto"/>
                <w:kern w:val="0"/>
                <w:sz w:val="24"/>
                <w:szCs w:val="24"/>
                <w:highlight w:val="none"/>
                <w:lang w:val="en-US" w:eastAsia="zh-CN"/>
              </w:rPr>
              <w:t>试剂性能差，准确度、灵敏度、试剂稳定性差，在正常储存条件下性能也容易出现明显下降，检测时间长，无法满足项目对快速检测的基本要求</w:t>
            </w:r>
            <w:r>
              <w:rPr>
                <w:rFonts w:hint="eastAsia" w:ascii="宋体" w:hAnsi="宋体" w:cs="宋体"/>
                <w:bCs/>
                <w:color w:val="auto"/>
                <w:kern w:val="0"/>
                <w:sz w:val="24"/>
                <w:szCs w:val="24"/>
                <w:highlight w:val="none"/>
                <w:lang w:val="en-US" w:eastAsia="zh-CN"/>
              </w:rPr>
              <w:t>的</w:t>
            </w:r>
            <w:r>
              <w:rPr>
                <w:rFonts w:hint="eastAsia" w:ascii="宋体" w:hAnsi="宋体" w:eastAsia="宋体" w:cs="宋体"/>
                <w:bCs/>
                <w:color w:val="auto"/>
                <w:kern w:val="0"/>
                <w:sz w:val="24"/>
                <w:szCs w:val="24"/>
                <w:highlight w:val="none"/>
                <w:lang w:val="en-US" w:eastAsia="zh-CN"/>
              </w:rPr>
              <w:t>得0.5分；</w:t>
            </w:r>
          </w:p>
          <w:p w14:paraId="4390D015">
            <w:pPr>
              <w:pStyle w:val="237"/>
              <w:rPr>
                <w:rFonts w:hint="eastAsia"/>
                <w:highlight w:val="none"/>
                <w:lang w:val="en-US" w:eastAsia="zh-CN"/>
              </w:rPr>
            </w:pPr>
            <w:r>
              <w:rPr>
                <w:rFonts w:hint="eastAsia" w:ascii="宋体" w:hAnsi="宋体" w:eastAsia="宋体" w:cs="宋体"/>
                <w:bCs/>
                <w:color w:val="auto"/>
                <w:kern w:val="0"/>
                <w:sz w:val="24"/>
                <w:szCs w:val="24"/>
                <w:highlight w:val="none"/>
                <w:lang w:val="en-US" w:eastAsia="zh-CN" w:bidi="ar-SA"/>
              </w:rPr>
              <w:t>6）未提供相关内容的本项不得分。</w:t>
            </w:r>
          </w:p>
        </w:tc>
        <w:tc>
          <w:tcPr>
            <w:tcW w:w="707" w:type="dxa"/>
            <w:shd w:val="clear" w:color="auto" w:fill="auto"/>
            <w:vAlign w:val="center"/>
          </w:tcPr>
          <w:p w14:paraId="1171FED3">
            <w:pPr>
              <w:autoSpaceDE w:val="0"/>
              <w:autoSpaceDN w:val="0"/>
              <w:jc w:val="cente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4</w:t>
            </w:r>
          </w:p>
        </w:tc>
        <w:tc>
          <w:tcPr>
            <w:tcW w:w="705" w:type="dxa"/>
            <w:shd w:val="clear" w:color="auto" w:fill="auto"/>
            <w:vAlign w:val="center"/>
          </w:tcPr>
          <w:p w14:paraId="234EE41E">
            <w:pPr>
              <w:autoSpaceDE w:val="0"/>
              <w:autoSpaceDN w:val="0"/>
              <w:jc w:val="center"/>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主观评审</w:t>
            </w:r>
          </w:p>
        </w:tc>
      </w:tr>
      <w:tr w14:paraId="1A5E7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4" w:type="dxa"/>
            <w:vMerge w:val="continue"/>
            <w:vAlign w:val="center"/>
          </w:tcPr>
          <w:p w14:paraId="29208D8F">
            <w:pPr>
              <w:adjustRightInd/>
              <w:spacing w:line="320" w:lineRule="exact"/>
              <w:jc w:val="center"/>
              <w:rPr>
                <w:rFonts w:hint="eastAsia" w:ascii="宋体" w:hAnsi="宋体" w:cs="宋体"/>
                <w:color w:val="000000" w:themeColor="text1"/>
                <w:kern w:val="0"/>
                <w:sz w:val="24"/>
                <w:highlight w:val="none"/>
                <w14:textFill>
                  <w14:solidFill>
                    <w14:schemeClr w14:val="tx1"/>
                  </w14:solidFill>
                </w14:textFill>
              </w:rPr>
            </w:pPr>
          </w:p>
        </w:tc>
        <w:tc>
          <w:tcPr>
            <w:tcW w:w="1825" w:type="dxa"/>
            <w:gridSpan w:val="2"/>
            <w:vMerge w:val="restart"/>
            <w:shd w:val="clear" w:color="auto" w:fill="auto"/>
            <w:vAlign w:val="center"/>
          </w:tcPr>
          <w:p w14:paraId="69B1F272">
            <w:pPr>
              <w:widowControl/>
              <w:spacing w:line="300" w:lineRule="exact"/>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lang w:val="en-US" w:eastAsia="zh-CN"/>
                <w14:textFill>
                  <w14:solidFill>
                    <w14:schemeClr w14:val="tx1"/>
                  </w14:solidFill>
                </w14:textFill>
              </w:rPr>
              <w:t>5</w:t>
            </w:r>
            <w:r>
              <w:rPr>
                <w:rFonts w:hint="eastAsia" w:ascii="宋体" w:hAnsi="宋体" w:cs="宋体"/>
                <w:b/>
                <w:color w:val="000000" w:themeColor="text1"/>
                <w:kern w:val="0"/>
                <w:sz w:val="24"/>
                <w:highlight w:val="none"/>
                <w14:textFill>
                  <w14:solidFill>
                    <w14:schemeClr w14:val="tx1"/>
                  </w14:solidFill>
                </w14:textFill>
              </w:rPr>
              <w:t>、对招标文件的技术响应（</w:t>
            </w:r>
            <w:r>
              <w:rPr>
                <w:rFonts w:hint="eastAsia" w:ascii="宋体" w:hAnsi="宋体" w:cs="宋体"/>
                <w:b/>
                <w:color w:val="000000" w:themeColor="text1"/>
                <w:kern w:val="0"/>
                <w:sz w:val="24"/>
                <w:highlight w:val="none"/>
                <w:lang w:val="en-US" w:eastAsia="zh-CN"/>
                <w14:textFill>
                  <w14:solidFill>
                    <w14:schemeClr w14:val="tx1"/>
                  </w14:solidFill>
                </w14:textFill>
              </w:rPr>
              <w:t>14</w:t>
            </w:r>
            <w:r>
              <w:rPr>
                <w:rFonts w:hint="eastAsia" w:ascii="宋体" w:hAnsi="宋体" w:cs="宋体"/>
                <w:b/>
                <w:color w:val="000000" w:themeColor="text1"/>
                <w:kern w:val="0"/>
                <w:sz w:val="24"/>
                <w:highlight w:val="none"/>
                <w14:textFill>
                  <w14:solidFill>
                    <w14:schemeClr w14:val="tx1"/>
                  </w14:solidFill>
                </w14:textFill>
              </w:rPr>
              <w:t>分）</w:t>
            </w:r>
          </w:p>
          <w:p w14:paraId="2EB98C05">
            <w:pPr>
              <w:adjustRightInd/>
              <w:spacing w:line="320" w:lineRule="exact"/>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p>
        </w:tc>
        <w:tc>
          <w:tcPr>
            <w:tcW w:w="5064" w:type="dxa"/>
            <w:shd w:val="clear" w:color="auto" w:fill="auto"/>
            <w:vAlign w:val="center"/>
          </w:tcPr>
          <w:p w14:paraId="03599F95">
            <w:pPr>
              <w:adjustRightInd/>
              <w:spacing w:line="320" w:lineRule="exact"/>
              <w:rPr>
                <w:rFonts w:hint="default" w:ascii="宋体" w:hAnsi="宋体" w:eastAsia="宋体" w:cs="宋体"/>
                <w:b/>
                <w:bCs w:val="0"/>
                <w:color w:val="000000" w:themeColor="text1"/>
                <w:kern w:val="0"/>
                <w:sz w:val="24"/>
                <w:highlight w:val="none"/>
                <w:lang w:val="en-US" w:eastAsia="zh-CN"/>
                <w14:textFill>
                  <w14:solidFill>
                    <w14:schemeClr w14:val="tx1"/>
                  </w14:solidFill>
                </w14:textFill>
              </w:rPr>
            </w:pPr>
            <w:r>
              <w:rPr>
                <w:rFonts w:hint="eastAsia" w:ascii="宋体" w:hAnsi="宋体" w:cs="宋体"/>
                <w:b/>
                <w:bCs w:val="0"/>
                <w:color w:val="000000" w:themeColor="text1"/>
                <w:kern w:val="0"/>
                <w:sz w:val="24"/>
                <w:highlight w:val="none"/>
                <w:lang w:val="en-US" w:eastAsia="zh-CN"/>
                <w14:textFill>
                  <w14:solidFill>
                    <w14:schemeClr w14:val="tx1"/>
                  </w14:solidFill>
                </w14:textFill>
              </w:rPr>
              <w:t>5.1对</w:t>
            </w:r>
            <w:r>
              <w:rPr>
                <w:rFonts w:hint="eastAsia" w:ascii="宋体" w:hAnsi="宋体" w:cs="宋体"/>
                <w:b/>
                <w:bCs w:val="0"/>
                <w:color w:val="000000" w:themeColor="text1"/>
                <w:kern w:val="0"/>
                <w:sz w:val="24"/>
                <w:highlight w:val="none"/>
                <w14:textFill>
                  <w14:solidFill>
                    <w14:schemeClr w14:val="tx1"/>
                  </w14:solidFill>
                </w14:textFill>
              </w:rPr>
              <w:t>检测服务要求</w:t>
            </w:r>
            <w:r>
              <w:rPr>
                <w:rFonts w:hint="eastAsia" w:ascii="宋体" w:hAnsi="宋体" w:cs="宋体"/>
                <w:b/>
                <w:bCs w:val="0"/>
                <w:color w:val="000000" w:themeColor="text1"/>
                <w:kern w:val="0"/>
                <w:sz w:val="24"/>
                <w:highlight w:val="none"/>
                <w:lang w:val="en-US" w:eastAsia="zh-CN"/>
                <w14:textFill>
                  <w14:solidFill>
                    <w14:schemeClr w14:val="tx1"/>
                  </w14:solidFill>
                </w14:textFill>
              </w:rPr>
              <w:t>的响应：</w:t>
            </w:r>
          </w:p>
          <w:p w14:paraId="1923C879">
            <w:pPr>
              <w:adjustRightInd/>
              <w:spacing w:line="320" w:lineRule="exact"/>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（1）完全响应招标文件 “第三部分 采购需求 四、具体实施要求（一）试剂采购及日常检测3、检测服务要求”中所有指标的得</w:t>
            </w:r>
            <w:r>
              <w:rPr>
                <w:rFonts w:hint="eastAsia" w:ascii="宋体" w:hAnsi="宋体" w:cs="宋体"/>
                <w:bCs/>
                <w:color w:val="000000" w:themeColor="text1"/>
                <w:kern w:val="0"/>
                <w:sz w:val="24"/>
                <w:highlight w:val="none"/>
                <w:lang w:val="en-US" w:eastAsia="zh-CN"/>
                <w14:textFill>
                  <w14:solidFill>
                    <w14:schemeClr w14:val="tx1"/>
                  </w14:solidFill>
                </w14:textFill>
              </w:rPr>
              <w:t>4</w:t>
            </w:r>
            <w:r>
              <w:rPr>
                <w:rFonts w:hint="eastAsia" w:ascii="宋体" w:hAnsi="宋体" w:cs="宋体"/>
                <w:bCs/>
                <w:color w:val="000000" w:themeColor="text1"/>
                <w:kern w:val="0"/>
                <w:sz w:val="24"/>
                <w:highlight w:val="none"/>
                <w14:textFill>
                  <w14:solidFill>
                    <w14:schemeClr w14:val="tx1"/>
                  </w14:solidFill>
                </w14:textFill>
              </w:rPr>
              <w:t>分；</w:t>
            </w:r>
          </w:p>
          <w:p w14:paraId="65E410E9">
            <w:pPr>
              <w:adjustRightInd/>
              <w:spacing w:line="320" w:lineRule="exact"/>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（2）“第三部分 采购需求 四、具体实施要求（一）试剂采购及日常检测3、检测服务要求”中未标“▲”的指标，每负偏离一条扣1分。</w:t>
            </w:r>
          </w:p>
          <w:p w14:paraId="00492053">
            <w:pPr>
              <w:adjustRightInd/>
              <w:spacing w:line="320" w:lineRule="exact"/>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注：当有供应商此项分值扣减至0分时，该供应商投标将被拒绝，其投标文件作无效标处理，不再进行评审。</w:t>
            </w:r>
          </w:p>
        </w:tc>
        <w:tc>
          <w:tcPr>
            <w:tcW w:w="707" w:type="dxa"/>
            <w:shd w:val="clear" w:color="auto" w:fill="auto"/>
            <w:vAlign w:val="center"/>
          </w:tcPr>
          <w:p w14:paraId="5C2DE55C">
            <w:pPr>
              <w:autoSpaceDE w:val="0"/>
              <w:autoSpaceDN w:val="0"/>
              <w:jc w:val="cente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4</w:t>
            </w:r>
          </w:p>
        </w:tc>
        <w:tc>
          <w:tcPr>
            <w:tcW w:w="705" w:type="dxa"/>
            <w:shd w:val="clear" w:color="auto" w:fill="auto"/>
            <w:vAlign w:val="center"/>
          </w:tcPr>
          <w:p w14:paraId="760D1E90">
            <w:pPr>
              <w:autoSpaceDE w:val="0"/>
              <w:autoSpaceDN w:val="0"/>
              <w:jc w:val="cente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客观评审</w:t>
            </w:r>
          </w:p>
        </w:tc>
      </w:tr>
      <w:tr w14:paraId="21292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4" w:type="dxa"/>
            <w:vMerge w:val="continue"/>
            <w:vAlign w:val="center"/>
          </w:tcPr>
          <w:p w14:paraId="2A9EAAF9">
            <w:pPr>
              <w:adjustRightInd/>
              <w:spacing w:line="320" w:lineRule="exact"/>
              <w:jc w:val="center"/>
              <w:rPr>
                <w:rFonts w:hint="eastAsia" w:ascii="宋体" w:hAnsi="宋体" w:cs="宋体"/>
                <w:color w:val="000000" w:themeColor="text1"/>
                <w:kern w:val="0"/>
                <w:sz w:val="24"/>
                <w:highlight w:val="none"/>
                <w14:textFill>
                  <w14:solidFill>
                    <w14:schemeClr w14:val="tx1"/>
                  </w14:solidFill>
                </w14:textFill>
              </w:rPr>
            </w:pPr>
          </w:p>
        </w:tc>
        <w:tc>
          <w:tcPr>
            <w:tcW w:w="1825" w:type="dxa"/>
            <w:gridSpan w:val="2"/>
            <w:vMerge w:val="continue"/>
            <w:shd w:val="clear" w:color="auto" w:fill="auto"/>
            <w:vAlign w:val="center"/>
          </w:tcPr>
          <w:p w14:paraId="590F0365">
            <w:pPr>
              <w:adjustRightInd/>
              <w:spacing w:line="320" w:lineRule="exact"/>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p>
        </w:tc>
        <w:tc>
          <w:tcPr>
            <w:tcW w:w="5064" w:type="dxa"/>
            <w:shd w:val="clear" w:color="auto" w:fill="auto"/>
            <w:vAlign w:val="center"/>
          </w:tcPr>
          <w:p w14:paraId="5E2D718C">
            <w:pPr>
              <w:adjustRightInd/>
              <w:spacing w:line="320" w:lineRule="exact"/>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b/>
                <w:bCs w:val="0"/>
                <w:color w:val="000000" w:themeColor="text1"/>
                <w:kern w:val="0"/>
                <w:sz w:val="24"/>
                <w:highlight w:val="none"/>
                <w:lang w:val="en-US" w:eastAsia="zh-CN"/>
                <w14:textFill>
                  <w14:solidFill>
                    <w14:schemeClr w14:val="tx1"/>
                  </w14:solidFill>
                </w14:textFill>
              </w:rPr>
              <w:t>5.2对设备采购清单及技术要求的响应：</w:t>
            </w:r>
          </w:p>
          <w:p w14:paraId="6B238062">
            <w:pPr>
              <w:adjustRightInd/>
              <w:spacing w:line="320" w:lineRule="exact"/>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（1）完全响应招标文件 “第三部分 采购需求 四、具体实施要求（二）快检室建设</w:t>
            </w:r>
            <w:r>
              <w:rPr>
                <w:rFonts w:hint="eastAsia" w:ascii="宋体" w:hAnsi="宋体" w:cs="宋体"/>
                <w:bCs/>
                <w:color w:val="000000" w:themeColor="text1"/>
                <w:kern w:val="0"/>
                <w:sz w:val="24"/>
                <w:highlight w:val="none"/>
                <w:lang w:val="en-US" w:eastAsia="zh-CN"/>
                <w14:textFill>
                  <w14:solidFill>
                    <w14:schemeClr w14:val="tx1"/>
                  </w14:solidFill>
                </w14:textFill>
              </w:rPr>
              <w:t>2、设备采购清单及技术要求</w:t>
            </w:r>
            <w:r>
              <w:rPr>
                <w:rFonts w:hint="eastAsia" w:ascii="宋体" w:hAnsi="宋体" w:cs="宋体"/>
                <w:bCs/>
                <w:color w:val="000000" w:themeColor="text1"/>
                <w:kern w:val="0"/>
                <w:sz w:val="24"/>
                <w:highlight w:val="none"/>
                <w14:textFill>
                  <w14:solidFill>
                    <w14:schemeClr w14:val="tx1"/>
                  </w14:solidFill>
                </w14:textFill>
              </w:rPr>
              <w:t>”中所有指标的得</w:t>
            </w:r>
            <w:r>
              <w:rPr>
                <w:rFonts w:hint="eastAsia" w:ascii="宋体" w:hAnsi="宋体" w:cs="宋体"/>
                <w:bCs/>
                <w:color w:val="000000" w:themeColor="text1"/>
                <w:kern w:val="0"/>
                <w:sz w:val="24"/>
                <w:highlight w:val="none"/>
                <w:lang w:val="en-US" w:eastAsia="zh-CN"/>
                <w14:textFill>
                  <w14:solidFill>
                    <w14:schemeClr w14:val="tx1"/>
                  </w14:solidFill>
                </w14:textFill>
              </w:rPr>
              <w:t>10</w:t>
            </w:r>
            <w:r>
              <w:rPr>
                <w:rFonts w:hint="eastAsia" w:ascii="宋体" w:hAnsi="宋体" w:cs="宋体"/>
                <w:bCs/>
                <w:color w:val="000000" w:themeColor="text1"/>
                <w:kern w:val="0"/>
                <w:sz w:val="24"/>
                <w:highlight w:val="none"/>
                <w14:textFill>
                  <w14:solidFill>
                    <w14:schemeClr w14:val="tx1"/>
                  </w14:solidFill>
                </w14:textFill>
              </w:rPr>
              <w:t>分；</w:t>
            </w:r>
          </w:p>
          <w:p w14:paraId="32E9E650">
            <w:pPr>
              <w:adjustRightInd/>
              <w:spacing w:line="320" w:lineRule="exact"/>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（2）“第三部分 采购需求 四、具体实施要求（二）快检室建设</w:t>
            </w:r>
            <w:r>
              <w:rPr>
                <w:rFonts w:hint="eastAsia" w:ascii="宋体" w:hAnsi="宋体" w:cs="宋体"/>
                <w:bCs/>
                <w:color w:val="000000" w:themeColor="text1"/>
                <w:kern w:val="0"/>
                <w:sz w:val="24"/>
                <w:highlight w:val="none"/>
                <w:lang w:val="en-US" w:eastAsia="zh-CN"/>
                <w14:textFill>
                  <w14:solidFill>
                    <w14:schemeClr w14:val="tx1"/>
                  </w14:solidFill>
                </w14:textFill>
              </w:rPr>
              <w:t>2、设备采购清单及技术要求</w:t>
            </w:r>
            <w:r>
              <w:rPr>
                <w:rFonts w:hint="eastAsia" w:ascii="宋体" w:hAnsi="宋体" w:cs="宋体"/>
                <w:bCs/>
                <w:color w:val="000000" w:themeColor="text1"/>
                <w:kern w:val="0"/>
                <w:sz w:val="24"/>
                <w:highlight w:val="none"/>
                <w14:textFill>
                  <w14:solidFill>
                    <w14:schemeClr w14:val="tx1"/>
                  </w14:solidFill>
                </w14:textFill>
              </w:rPr>
              <w:t>”中未标“▲”的指标，每负偏离一条扣1分。</w:t>
            </w:r>
          </w:p>
          <w:p w14:paraId="13AE5184">
            <w:pPr>
              <w:adjustRightInd/>
              <w:spacing w:line="320" w:lineRule="exact"/>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注：当有供应商此项分值扣减至0分时，该供应商投标将被拒绝，其投标文件作无效标处理，不再进行评审。</w:t>
            </w:r>
          </w:p>
        </w:tc>
        <w:tc>
          <w:tcPr>
            <w:tcW w:w="707" w:type="dxa"/>
            <w:shd w:val="clear" w:color="auto" w:fill="auto"/>
            <w:vAlign w:val="center"/>
          </w:tcPr>
          <w:p w14:paraId="64E71140">
            <w:pPr>
              <w:autoSpaceDE w:val="0"/>
              <w:autoSpaceDN w:val="0"/>
              <w:jc w:val="center"/>
              <w:rPr>
                <w:rFonts w:hint="default" w:ascii="宋体" w:hAnsi="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10</w:t>
            </w:r>
          </w:p>
        </w:tc>
        <w:tc>
          <w:tcPr>
            <w:tcW w:w="705" w:type="dxa"/>
            <w:shd w:val="clear" w:color="auto" w:fill="auto"/>
            <w:vAlign w:val="center"/>
          </w:tcPr>
          <w:p w14:paraId="016E620C">
            <w:pPr>
              <w:autoSpaceDE w:val="0"/>
              <w:autoSpaceDN w:val="0"/>
              <w:jc w:val="center"/>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客观评审</w:t>
            </w:r>
          </w:p>
        </w:tc>
      </w:tr>
      <w:tr w14:paraId="023E0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4" w:type="dxa"/>
            <w:vMerge w:val="continue"/>
            <w:vAlign w:val="center"/>
          </w:tcPr>
          <w:p w14:paraId="3AB257B1">
            <w:pPr>
              <w:adjustRightInd/>
              <w:spacing w:line="320" w:lineRule="exact"/>
              <w:jc w:val="center"/>
              <w:rPr>
                <w:rFonts w:hint="eastAsia" w:ascii="宋体" w:hAnsi="宋体" w:cs="宋体"/>
                <w:color w:val="000000" w:themeColor="text1"/>
                <w:sz w:val="24"/>
                <w:highlight w:val="none"/>
                <w:lang w:bidi="ar"/>
                <w14:textFill>
                  <w14:solidFill>
                    <w14:schemeClr w14:val="tx1"/>
                  </w14:solidFill>
                </w14:textFill>
              </w:rPr>
            </w:pPr>
          </w:p>
        </w:tc>
        <w:tc>
          <w:tcPr>
            <w:tcW w:w="6889" w:type="dxa"/>
            <w:gridSpan w:val="3"/>
            <w:vAlign w:val="center"/>
          </w:tcPr>
          <w:p w14:paraId="4AEFC9B4">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cs="宋体"/>
                <w:b/>
                <w:color w:val="000000" w:themeColor="text1"/>
                <w:kern w:val="0"/>
                <w:sz w:val="24"/>
                <w:highlight w:val="none"/>
                <w:lang w:val="en-US" w:eastAsia="zh-CN"/>
                <w14:textFill>
                  <w14:solidFill>
                    <w14:schemeClr w14:val="tx1"/>
                  </w14:solidFill>
                </w14:textFill>
              </w:rPr>
              <w:t>6</w:t>
            </w:r>
            <w:r>
              <w:rPr>
                <w:rFonts w:hint="eastAsia" w:ascii="宋体" w:hAnsi="宋体" w:cs="宋体"/>
                <w:b/>
                <w:color w:val="000000" w:themeColor="text1"/>
                <w:kern w:val="0"/>
                <w:sz w:val="24"/>
                <w:highlight w:val="none"/>
                <w14:textFill>
                  <w14:solidFill>
                    <w14:schemeClr w14:val="tx1"/>
                  </w14:solidFill>
                </w14:textFill>
              </w:rPr>
              <w:t>、</w:t>
            </w:r>
            <w:r>
              <w:rPr>
                <w:rFonts w:hint="eastAsia" w:ascii="宋体" w:hAnsi="宋体" w:eastAsia="宋体" w:cs="宋体"/>
                <w:bCs/>
                <w:color w:val="auto"/>
                <w:kern w:val="0"/>
                <w:sz w:val="24"/>
                <w:szCs w:val="24"/>
                <w:highlight w:val="none"/>
                <w:lang w:val="en-US" w:eastAsia="zh-CN"/>
              </w:rPr>
              <w:t>根据供应商提供的</w:t>
            </w:r>
            <w:r>
              <w:rPr>
                <w:rFonts w:hint="eastAsia" w:ascii="宋体" w:hAnsi="宋体" w:cs="宋体"/>
                <w:bCs/>
                <w:color w:val="auto"/>
                <w:kern w:val="0"/>
                <w:sz w:val="24"/>
                <w:szCs w:val="24"/>
                <w:highlight w:val="none"/>
                <w:lang w:val="en-US" w:eastAsia="zh-CN"/>
              </w:rPr>
              <w:t>快检室设备</w:t>
            </w:r>
            <w:r>
              <w:rPr>
                <w:rFonts w:hint="eastAsia" w:ascii="宋体" w:hAnsi="宋体" w:eastAsia="宋体" w:cs="宋体"/>
                <w:bCs/>
                <w:color w:val="auto"/>
                <w:kern w:val="0"/>
                <w:sz w:val="24"/>
                <w:szCs w:val="24"/>
                <w:highlight w:val="none"/>
                <w:lang w:val="en-US" w:eastAsia="zh-CN"/>
              </w:rPr>
              <w:t>供货方案，需包含但不限于以下要点：</w:t>
            </w:r>
            <w:r>
              <w:rPr>
                <w:rFonts w:hint="eastAsia" w:ascii="宋体" w:hAnsi="宋体" w:eastAsia="宋体" w:cs="宋体"/>
                <w:b/>
                <w:bCs w:val="0"/>
                <w:color w:val="auto"/>
                <w:kern w:val="0"/>
                <w:sz w:val="24"/>
                <w:szCs w:val="24"/>
                <w:highlight w:val="none"/>
                <w:lang w:val="en-US" w:eastAsia="zh-CN"/>
              </w:rPr>
              <w:t>①供货期限；②交货方式；③供货保障流程；④供货实施步骤。</w:t>
            </w:r>
            <w:r>
              <w:rPr>
                <w:rFonts w:hint="eastAsia" w:ascii="宋体" w:hAnsi="宋体" w:eastAsia="宋体" w:cs="宋体"/>
                <w:bCs/>
                <w:color w:val="auto"/>
                <w:kern w:val="0"/>
                <w:sz w:val="24"/>
                <w:szCs w:val="24"/>
                <w:highlight w:val="none"/>
                <w:lang w:val="en-US" w:eastAsia="zh-CN"/>
              </w:rPr>
              <w:t>由评标委员会进行评议：</w:t>
            </w:r>
          </w:p>
          <w:p w14:paraId="1E27C371">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1</w:t>
            </w:r>
            <w:r>
              <w:rPr>
                <w:rFonts w:hint="eastAsia" w:ascii="宋体" w:hAnsi="宋体" w:cs="宋体"/>
                <w:bCs/>
                <w:color w:val="auto"/>
                <w:kern w:val="0"/>
                <w:sz w:val="24"/>
                <w:szCs w:val="24"/>
                <w:highlight w:val="none"/>
                <w:lang w:val="en-US" w:eastAsia="zh-CN"/>
              </w:rPr>
              <w:t>）</w:t>
            </w:r>
            <w:r>
              <w:rPr>
                <w:rFonts w:hint="eastAsia" w:ascii="宋体" w:hAnsi="宋体" w:eastAsia="宋体" w:cs="宋体"/>
                <w:bCs/>
                <w:color w:val="auto"/>
                <w:kern w:val="0"/>
                <w:sz w:val="24"/>
                <w:szCs w:val="24"/>
                <w:highlight w:val="none"/>
                <w:lang w:val="en-US" w:eastAsia="zh-CN"/>
              </w:rPr>
              <w:t>供货期完全满足招标文件要求，交货方式切合实际，供货保障流程合理，供货实施步骤清晰，能提供有针对性的服务措施的得</w:t>
            </w:r>
            <w:r>
              <w:rPr>
                <w:rFonts w:hint="eastAsia" w:ascii="宋体" w:hAnsi="宋体" w:cs="宋体"/>
                <w:bCs/>
                <w:color w:val="auto"/>
                <w:kern w:val="0"/>
                <w:sz w:val="24"/>
                <w:szCs w:val="24"/>
                <w:highlight w:val="none"/>
                <w:lang w:val="en-US" w:eastAsia="zh-CN"/>
              </w:rPr>
              <w:t>4</w:t>
            </w:r>
            <w:r>
              <w:rPr>
                <w:rFonts w:hint="eastAsia" w:ascii="宋体" w:hAnsi="宋体" w:eastAsia="宋体" w:cs="宋体"/>
                <w:bCs/>
                <w:color w:val="auto"/>
                <w:kern w:val="0"/>
                <w:sz w:val="24"/>
                <w:szCs w:val="24"/>
                <w:highlight w:val="none"/>
                <w:lang w:val="en-US" w:eastAsia="zh-CN"/>
              </w:rPr>
              <w:t>分；</w:t>
            </w:r>
            <w:r>
              <w:rPr>
                <w:rFonts w:hint="eastAsia" w:ascii="宋体" w:hAnsi="宋体" w:eastAsia="宋体" w:cs="宋体"/>
                <w:bCs/>
                <w:color w:val="auto"/>
                <w:kern w:val="0"/>
                <w:sz w:val="24"/>
                <w:szCs w:val="24"/>
                <w:highlight w:val="none"/>
                <w:lang w:val="en-US" w:eastAsia="zh-CN"/>
              </w:rPr>
              <w:br w:type="textWrapping"/>
            </w:r>
            <w:r>
              <w:rPr>
                <w:rFonts w:hint="eastAsia" w:ascii="宋体" w:hAnsi="宋体" w:eastAsia="宋体" w:cs="宋体"/>
                <w:bCs/>
                <w:color w:val="auto"/>
                <w:kern w:val="0"/>
                <w:sz w:val="24"/>
                <w:szCs w:val="24"/>
                <w:highlight w:val="none"/>
                <w:lang w:val="en-US" w:eastAsia="zh-CN"/>
              </w:rPr>
              <w:t>2）供货期满足招标文件要求，交货方式切合实际，供货保障流程</w:t>
            </w:r>
            <w:r>
              <w:rPr>
                <w:rFonts w:hint="eastAsia" w:ascii="宋体" w:hAnsi="宋体" w:cs="宋体"/>
                <w:bCs/>
                <w:color w:val="auto"/>
                <w:kern w:val="0"/>
                <w:sz w:val="24"/>
                <w:szCs w:val="24"/>
                <w:highlight w:val="none"/>
                <w:lang w:val="en-US" w:eastAsia="zh-CN"/>
              </w:rPr>
              <w:t>较</w:t>
            </w:r>
            <w:r>
              <w:rPr>
                <w:rFonts w:hint="eastAsia" w:ascii="宋体" w:hAnsi="宋体" w:eastAsia="宋体" w:cs="宋体"/>
                <w:bCs/>
                <w:color w:val="auto"/>
                <w:kern w:val="0"/>
                <w:sz w:val="24"/>
                <w:szCs w:val="24"/>
                <w:highlight w:val="none"/>
                <w:lang w:val="en-US" w:eastAsia="zh-CN"/>
              </w:rPr>
              <w:t>合理，供货实施步骤</w:t>
            </w:r>
            <w:r>
              <w:rPr>
                <w:rFonts w:hint="eastAsia" w:ascii="宋体" w:hAnsi="宋体" w:cs="宋体"/>
                <w:bCs/>
                <w:color w:val="auto"/>
                <w:kern w:val="0"/>
                <w:sz w:val="24"/>
                <w:szCs w:val="24"/>
                <w:highlight w:val="none"/>
                <w:lang w:val="en-US" w:eastAsia="zh-CN"/>
              </w:rPr>
              <w:t>较</w:t>
            </w:r>
            <w:r>
              <w:rPr>
                <w:rFonts w:hint="eastAsia" w:ascii="宋体" w:hAnsi="宋体" w:eastAsia="宋体" w:cs="宋体"/>
                <w:bCs/>
                <w:color w:val="auto"/>
                <w:kern w:val="0"/>
                <w:sz w:val="24"/>
                <w:szCs w:val="24"/>
                <w:highlight w:val="none"/>
                <w:lang w:val="en-US" w:eastAsia="zh-CN"/>
              </w:rPr>
              <w:t>清晰，能提供比较有针对性的服务措施的得</w:t>
            </w:r>
            <w:r>
              <w:rPr>
                <w:rFonts w:hint="eastAsia" w:ascii="宋体" w:hAnsi="宋体" w:cs="宋体"/>
                <w:bCs/>
                <w:color w:val="auto"/>
                <w:kern w:val="0"/>
                <w:sz w:val="24"/>
                <w:szCs w:val="24"/>
                <w:highlight w:val="none"/>
                <w:lang w:val="en-US" w:eastAsia="zh-CN"/>
              </w:rPr>
              <w:t>3</w:t>
            </w:r>
            <w:r>
              <w:rPr>
                <w:rFonts w:hint="eastAsia" w:ascii="宋体" w:hAnsi="宋体" w:eastAsia="宋体" w:cs="宋体"/>
                <w:bCs/>
                <w:color w:val="auto"/>
                <w:kern w:val="0"/>
                <w:sz w:val="24"/>
                <w:szCs w:val="24"/>
                <w:highlight w:val="none"/>
                <w:lang w:val="en-US" w:eastAsia="zh-CN"/>
              </w:rPr>
              <w:t>分；</w:t>
            </w:r>
          </w:p>
          <w:p w14:paraId="2509D8F9">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3）方案内容符合本项目的供货要求，实行上基本合理可行的得</w:t>
            </w:r>
            <w:r>
              <w:rPr>
                <w:rFonts w:hint="eastAsia" w:ascii="宋体" w:hAnsi="宋体" w:cs="宋体"/>
                <w:bCs/>
                <w:color w:val="auto"/>
                <w:kern w:val="0"/>
                <w:sz w:val="24"/>
                <w:szCs w:val="24"/>
                <w:highlight w:val="none"/>
                <w:lang w:val="en-US" w:eastAsia="zh-CN"/>
              </w:rPr>
              <w:t>2</w:t>
            </w:r>
            <w:r>
              <w:rPr>
                <w:rFonts w:hint="eastAsia" w:ascii="宋体" w:hAnsi="宋体" w:eastAsia="宋体" w:cs="宋体"/>
                <w:bCs/>
                <w:color w:val="auto"/>
                <w:kern w:val="0"/>
                <w:sz w:val="24"/>
                <w:szCs w:val="24"/>
                <w:highlight w:val="none"/>
                <w:lang w:val="en-US" w:eastAsia="zh-CN"/>
              </w:rPr>
              <w:t>分；</w:t>
            </w:r>
          </w:p>
          <w:p w14:paraId="475EC634">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4）方案内容基本符合本项目的供货要求，但是实行上略有欠缺的得</w:t>
            </w:r>
            <w:r>
              <w:rPr>
                <w:rFonts w:hint="eastAsia" w:ascii="宋体" w:hAnsi="宋体" w:cs="宋体"/>
                <w:bCs/>
                <w:color w:val="auto"/>
                <w:kern w:val="0"/>
                <w:sz w:val="24"/>
                <w:szCs w:val="24"/>
                <w:highlight w:val="none"/>
                <w:lang w:val="en-US" w:eastAsia="zh-CN"/>
              </w:rPr>
              <w:t>1</w:t>
            </w:r>
            <w:r>
              <w:rPr>
                <w:rFonts w:hint="eastAsia" w:ascii="宋体" w:hAnsi="宋体" w:eastAsia="宋体" w:cs="宋体"/>
                <w:bCs/>
                <w:color w:val="auto"/>
                <w:kern w:val="0"/>
                <w:sz w:val="24"/>
                <w:szCs w:val="24"/>
                <w:highlight w:val="none"/>
                <w:lang w:val="en-US" w:eastAsia="zh-CN"/>
              </w:rPr>
              <w:t>分；</w:t>
            </w:r>
          </w:p>
          <w:p w14:paraId="0B0F804D">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5）方案内容不完整，内容不充分，与本项目货物供应要求有差距的得</w:t>
            </w:r>
            <w:r>
              <w:rPr>
                <w:rFonts w:hint="eastAsia" w:ascii="宋体" w:hAnsi="宋体" w:cs="宋体"/>
                <w:bCs/>
                <w:color w:val="auto"/>
                <w:kern w:val="0"/>
                <w:sz w:val="24"/>
                <w:szCs w:val="24"/>
                <w:highlight w:val="none"/>
                <w:lang w:val="en-US" w:eastAsia="zh-CN"/>
              </w:rPr>
              <w:t>0.5</w:t>
            </w:r>
            <w:r>
              <w:rPr>
                <w:rFonts w:hint="eastAsia" w:ascii="宋体" w:hAnsi="宋体" w:eastAsia="宋体" w:cs="宋体"/>
                <w:bCs/>
                <w:color w:val="auto"/>
                <w:kern w:val="0"/>
                <w:sz w:val="24"/>
                <w:szCs w:val="24"/>
                <w:highlight w:val="none"/>
                <w:lang w:val="en-US" w:eastAsia="zh-CN"/>
              </w:rPr>
              <w:t>分；</w:t>
            </w:r>
          </w:p>
          <w:p w14:paraId="7C782506">
            <w:pPr>
              <w:adjustRightInd/>
              <w:spacing w:line="320" w:lineRule="exact"/>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auto"/>
                <w:kern w:val="0"/>
                <w:sz w:val="24"/>
                <w:szCs w:val="24"/>
                <w:highlight w:val="none"/>
                <w:lang w:val="en-US" w:eastAsia="zh-CN"/>
              </w:rPr>
              <w:t>6）未提供相关内容的不得分。</w:t>
            </w:r>
          </w:p>
        </w:tc>
        <w:tc>
          <w:tcPr>
            <w:tcW w:w="707" w:type="dxa"/>
            <w:vAlign w:val="center"/>
          </w:tcPr>
          <w:p w14:paraId="1AEAEDF3">
            <w:pPr>
              <w:autoSpaceDE w:val="0"/>
              <w:autoSpaceDN w:val="0"/>
              <w:jc w:val="center"/>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4</w:t>
            </w:r>
          </w:p>
        </w:tc>
        <w:tc>
          <w:tcPr>
            <w:tcW w:w="705" w:type="dxa"/>
            <w:vAlign w:val="center"/>
          </w:tcPr>
          <w:p w14:paraId="543FC8F4">
            <w:pPr>
              <w:autoSpaceDE w:val="0"/>
              <w:autoSpaceDN w:val="0"/>
              <w:jc w:val="center"/>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主观评审</w:t>
            </w:r>
          </w:p>
        </w:tc>
      </w:tr>
      <w:tr w14:paraId="63262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4" w:type="dxa"/>
            <w:vMerge w:val="continue"/>
            <w:vAlign w:val="center"/>
          </w:tcPr>
          <w:p w14:paraId="72BE83F8">
            <w:pPr>
              <w:adjustRightInd/>
              <w:spacing w:line="320" w:lineRule="exact"/>
              <w:rPr>
                <w:rFonts w:hint="eastAsia" w:ascii="宋体" w:hAnsi="宋体" w:cs="宋体"/>
                <w:color w:val="000000" w:themeColor="text1"/>
                <w:sz w:val="24"/>
                <w:highlight w:val="none"/>
                <w14:textFill>
                  <w14:solidFill>
                    <w14:schemeClr w14:val="tx1"/>
                  </w14:solidFill>
                </w14:textFill>
              </w:rPr>
            </w:pPr>
          </w:p>
        </w:tc>
        <w:tc>
          <w:tcPr>
            <w:tcW w:w="6889" w:type="dxa"/>
            <w:gridSpan w:val="3"/>
            <w:vAlign w:val="center"/>
          </w:tcPr>
          <w:p w14:paraId="2CFBBEA2">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cs="宋体"/>
                <w:b/>
                <w:color w:val="000000" w:themeColor="text1"/>
                <w:kern w:val="0"/>
                <w:sz w:val="24"/>
                <w:highlight w:val="none"/>
                <w:lang w:val="en-US" w:eastAsia="zh-CN"/>
                <w14:textFill>
                  <w14:solidFill>
                    <w14:schemeClr w14:val="tx1"/>
                  </w14:solidFill>
                </w14:textFill>
              </w:rPr>
              <w:t>7</w:t>
            </w:r>
            <w:r>
              <w:rPr>
                <w:rFonts w:hint="eastAsia" w:ascii="宋体" w:hAnsi="宋体" w:cs="宋体"/>
                <w:b/>
                <w:color w:val="000000" w:themeColor="text1"/>
                <w:kern w:val="0"/>
                <w:sz w:val="24"/>
                <w:highlight w:val="none"/>
                <w14:textFill>
                  <w14:solidFill>
                    <w14:schemeClr w14:val="tx1"/>
                  </w14:solidFill>
                </w14:textFill>
              </w:rPr>
              <w:t>、</w:t>
            </w:r>
            <w:r>
              <w:rPr>
                <w:rFonts w:hint="eastAsia" w:ascii="宋体" w:hAnsi="宋体" w:eastAsia="宋体" w:cs="宋体"/>
                <w:bCs/>
                <w:color w:val="auto"/>
                <w:kern w:val="0"/>
                <w:sz w:val="24"/>
                <w:szCs w:val="24"/>
                <w:highlight w:val="none"/>
                <w:lang w:val="en-US" w:eastAsia="zh-CN"/>
              </w:rPr>
              <w:t>根据供应商提供的</w:t>
            </w:r>
            <w:r>
              <w:rPr>
                <w:rFonts w:hint="eastAsia" w:ascii="宋体" w:hAnsi="宋体" w:cs="宋体"/>
                <w:bCs/>
                <w:color w:val="auto"/>
                <w:kern w:val="0"/>
                <w:sz w:val="24"/>
                <w:szCs w:val="24"/>
                <w:highlight w:val="none"/>
                <w:lang w:val="en-US" w:eastAsia="zh-CN"/>
              </w:rPr>
              <w:t>快检室设备</w:t>
            </w:r>
            <w:r>
              <w:rPr>
                <w:rFonts w:hint="eastAsia" w:ascii="宋体" w:hAnsi="宋体" w:eastAsia="宋体" w:cs="宋体"/>
                <w:bCs/>
                <w:color w:val="auto"/>
                <w:kern w:val="0"/>
                <w:sz w:val="24"/>
                <w:szCs w:val="24"/>
                <w:highlight w:val="none"/>
                <w:lang w:val="en-US" w:eastAsia="zh-CN"/>
              </w:rPr>
              <w:t>安装与验收方案，需包含但不限于以下要点：</w:t>
            </w:r>
            <w:r>
              <w:rPr>
                <w:rFonts w:hint="eastAsia" w:ascii="宋体" w:hAnsi="宋体" w:eastAsia="宋体" w:cs="宋体"/>
                <w:b/>
                <w:bCs w:val="0"/>
                <w:color w:val="auto"/>
                <w:kern w:val="0"/>
                <w:sz w:val="24"/>
                <w:szCs w:val="24"/>
                <w:highlight w:val="none"/>
                <w:lang w:val="en-US" w:eastAsia="zh-CN"/>
              </w:rPr>
              <w:t>①安装方案；②调试要求；③产品验收方案。</w:t>
            </w:r>
            <w:r>
              <w:rPr>
                <w:rFonts w:hint="eastAsia" w:ascii="宋体" w:hAnsi="宋体" w:eastAsia="宋体" w:cs="宋体"/>
                <w:bCs/>
                <w:color w:val="auto"/>
                <w:kern w:val="0"/>
                <w:sz w:val="24"/>
                <w:szCs w:val="24"/>
                <w:highlight w:val="none"/>
                <w:lang w:val="en-US" w:eastAsia="zh-CN"/>
              </w:rPr>
              <w:t>由评标委员会进行评议：</w:t>
            </w:r>
          </w:p>
          <w:p w14:paraId="5D6759C4">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1）安装方案得当，安装人员配置贴合实际需求，调试要求明确，产品验收方案合理，能确保货物正常安装及验收的得</w:t>
            </w:r>
            <w:r>
              <w:rPr>
                <w:rFonts w:hint="eastAsia" w:ascii="宋体" w:hAnsi="宋体" w:cs="宋体"/>
                <w:bCs/>
                <w:color w:val="auto"/>
                <w:kern w:val="0"/>
                <w:sz w:val="24"/>
                <w:szCs w:val="24"/>
                <w:highlight w:val="none"/>
                <w:lang w:val="en-US" w:eastAsia="zh-CN"/>
              </w:rPr>
              <w:t>3</w:t>
            </w:r>
            <w:r>
              <w:rPr>
                <w:rFonts w:hint="eastAsia" w:ascii="宋体" w:hAnsi="宋体" w:eastAsia="宋体" w:cs="宋体"/>
                <w:bCs/>
                <w:color w:val="auto"/>
                <w:kern w:val="0"/>
                <w:sz w:val="24"/>
                <w:szCs w:val="24"/>
                <w:highlight w:val="none"/>
                <w:lang w:val="en-US" w:eastAsia="zh-CN"/>
              </w:rPr>
              <w:t>分；</w:t>
            </w:r>
            <w:r>
              <w:rPr>
                <w:rFonts w:hint="eastAsia" w:ascii="宋体" w:hAnsi="宋体" w:eastAsia="宋体" w:cs="宋体"/>
                <w:bCs/>
                <w:color w:val="auto"/>
                <w:kern w:val="0"/>
                <w:sz w:val="24"/>
                <w:szCs w:val="24"/>
                <w:highlight w:val="none"/>
                <w:lang w:val="en-US" w:eastAsia="zh-CN"/>
              </w:rPr>
              <w:br w:type="textWrapping"/>
            </w:r>
            <w:r>
              <w:rPr>
                <w:rFonts w:hint="eastAsia" w:ascii="宋体" w:hAnsi="宋体" w:eastAsia="宋体" w:cs="宋体"/>
                <w:bCs/>
                <w:color w:val="auto"/>
                <w:kern w:val="0"/>
                <w:sz w:val="24"/>
                <w:szCs w:val="24"/>
                <w:highlight w:val="none"/>
                <w:lang w:val="en-US" w:eastAsia="zh-CN"/>
              </w:rPr>
              <w:t>2）安装方案及安装人员配置基本贴合实际需求，调试要求基本明确，产品验收方案基本合理可行的得</w:t>
            </w:r>
            <w:r>
              <w:rPr>
                <w:rFonts w:hint="eastAsia" w:ascii="宋体" w:hAnsi="宋体" w:cs="宋体"/>
                <w:bCs/>
                <w:color w:val="auto"/>
                <w:kern w:val="0"/>
                <w:sz w:val="24"/>
                <w:szCs w:val="24"/>
                <w:highlight w:val="none"/>
                <w:lang w:val="en-US" w:eastAsia="zh-CN"/>
              </w:rPr>
              <w:t>2.5</w:t>
            </w:r>
            <w:r>
              <w:rPr>
                <w:rFonts w:hint="eastAsia" w:ascii="宋体" w:hAnsi="宋体" w:eastAsia="宋体" w:cs="宋体"/>
                <w:bCs/>
                <w:color w:val="auto"/>
                <w:kern w:val="0"/>
                <w:sz w:val="24"/>
                <w:szCs w:val="24"/>
                <w:highlight w:val="none"/>
                <w:lang w:val="en-US" w:eastAsia="zh-CN"/>
              </w:rPr>
              <w:t>分；</w:t>
            </w:r>
            <w:r>
              <w:rPr>
                <w:rFonts w:hint="eastAsia" w:ascii="宋体" w:hAnsi="宋体" w:eastAsia="宋体" w:cs="宋体"/>
                <w:bCs/>
                <w:color w:val="auto"/>
                <w:kern w:val="0"/>
                <w:sz w:val="24"/>
                <w:szCs w:val="24"/>
                <w:highlight w:val="none"/>
                <w:lang w:val="en-US" w:eastAsia="zh-CN"/>
              </w:rPr>
              <w:br w:type="textWrapping"/>
            </w:r>
            <w:r>
              <w:rPr>
                <w:rFonts w:hint="eastAsia" w:ascii="宋体" w:hAnsi="宋体" w:eastAsia="宋体" w:cs="宋体"/>
                <w:bCs/>
                <w:color w:val="auto"/>
                <w:kern w:val="0"/>
                <w:sz w:val="24"/>
                <w:szCs w:val="24"/>
                <w:highlight w:val="none"/>
                <w:lang w:val="en-US" w:eastAsia="zh-CN"/>
              </w:rPr>
              <w:t>3）安装方案及安装人员配置基本符合</w:t>
            </w:r>
            <w:r>
              <w:rPr>
                <w:rFonts w:hint="eastAsia" w:ascii="宋体" w:hAnsi="宋体" w:cs="宋体"/>
                <w:bCs/>
                <w:color w:val="auto"/>
                <w:kern w:val="0"/>
                <w:sz w:val="24"/>
                <w:szCs w:val="24"/>
                <w:highlight w:val="none"/>
                <w:lang w:val="en-US" w:eastAsia="zh-CN"/>
              </w:rPr>
              <w:t>实验室</w:t>
            </w:r>
            <w:r>
              <w:rPr>
                <w:rFonts w:hint="eastAsia" w:ascii="宋体" w:hAnsi="宋体" w:eastAsia="宋体" w:cs="宋体"/>
                <w:bCs/>
                <w:color w:val="auto"/>
                <w:kern w:val="0"/>
                <w:sz w:val="24"/>
                <w:szCs w:val="24"/>
                <w:highlight w:val="none"/>
                <w:lang w:val="en-US" w:eastAsia="zh-CN"/>
              </w:rPr>
              <w:t>实际，但调试要求不够明确</w:t>
            </w:r>
            <w:r>
              <w:rPr>
                <w:rFonts w:hint="eastAsia" w:ascii="宋体" w:hAnsi="宋体" w:cs="宋体"/>
                <w:bCs/>
                <w:color w:val="auto"/>
                <w:kern w:val="0"/>
                <w:sz w:val="24"/>
                <w:szCs w:val="24"/>
                <w:highlight w:val="none"/>
                <w:lang w:val="en-US" w:eastAsia="zh-CN"/>
              </w:rPr>
              <w:t>，</w:t>
            </w:r>
            <w:r>
              <w:rPr>
                <w:rFonts w:hint="eastAsia" w:ascii="宋体" w:hAnsi="宋体" w:eastAsia="宋体" w:cs="宋体"/>
                <w:bCs/>
                <w:color w:val="auto"/>
                <w:kern w:val="0"/>
                <w:sz w:val="24"/>
                <w:szCs w:val="24"/>
                <w:highlight w:val="none"/>
                <w:lang w:val="en-US" w:eastAsia="zh-CN"/>
              </w:rPr>
              <w:t>产品验收方案不够可行的得</w:t>
            </w:r>
            <w:r>
              <w:rPr>
                <w:rFonts w:hint="eastAsia" w:ascii="宋体" w:hAnsi="宋体" w:cs="宋体"/>
                <w:bCs/>
                <w:color w:val="auto"/>
                <w:kern w:val="0"/>
                <w:sz w:val="24"/>
                <w:szCs w:val="24"/>
                <w:highlight w:val="none"/>
                <w:lang w:val="en-US" w:eastAsia="zh-CN"/>
              </w:rPr>
              <w:t>2</w:t>
            </w:r>
            <w:r>
              <w:rPr>
                <w:rFonts w:hint="eastAsia" w:ascii="宋体" w:hAnsi="宋体" w:eastAsia="宋体" w:cs="宋体"/>
                <w:bCs/>
                <w:color w:val="auto"/>
                <w:kern w:val="0"/>
                <w:sz w:val="24"/>
                <w:szCs w:val="24"/>
                <w:highlight w:val="none"/>
                <w:lang w:val="en-US" w:eastAsia="zh-CN"/>
              </w:rPr>
              <w:t>分</w:t>
            </w:r>
            <w:r>
              <w:rPr>
                <w:rFonts w:hint="eastAsia" w:ascii="宋体" w:hAnsi="宋体" w:eastAsia="宋体" w:cs="宋体"/>
                <w:bCs/>
                <w:color w:val="auto"/>
                <w:kern w:val="0"/>
                <w:sz w:val="24"/>
                <w:szCs w:val="24"/>
                <w:highlight w:val="none"/>
                <w:lang w:val="en-US" w:eastAsia="zh-CN"/>
              </w:rPr>
              <w:br w:type="textWrapping"/>
            </w:r>
            <w:r>
              <w:rPr>
                <w:rFonts w:hint="eastAsia" w:ascii="宋体" w:hAnsi="宋体" w:eastAsia="宋体" w:cs="宋体"/>
                <w:bCs/>
                <w:color w:val="auto"/>
                <w:kern w:val="0"/>
                <w:sz w:val="24"/>
                <w:szCs w:val="24"/>
                <w:highlight w:val="none"/>
                <w:lang w:val="en-US" w:eastAsia="zh-CN"/>
              </w:rPr>
              <w:t>4）安装与验收方案不够符合项目实际要求，且存在一定缺项的得</w:t>
            </w:r>
            <w:r>
              <w:rPr>
                <w:rFonts w:hint="eastAsia" w:ascii="宋体" w:hAnsi="宋体" w:cs="宋体"/>
                <w:bCs/>
                <w:color w:val="auto"/>
                <w:kern w:val="0"/>
                <w:sz w:val="24"/>
                <w:szCs w:val="24"/>
                <w:highlight w:val="none"/>
                <w:lang w:val="en-US" w:eastAsia="zh-CN"/>
              </w:rPr>
              <w:t>1</w:t>
            </w:r>
            <w:r>
              <w:rPr>
                <w:rFonts w:hint="eastAsia" w:ascii="宋体" w:hAnsi="宋体" w:eastAsia="宋体" w:cs="宋体"/>
                <w:bCs/>
                <w:color w:val="auto"/>
                <w:kern w:val="0"/>
                <w:sz w:val="24"/>
                <w:szCs w:val="24"/>
                <w:highlight w:val="none"/>
                <w:lang w:val="en-US" w:eastAsia="zh-CN"/>
              </w:rPr>
              <w:t>分；</w:t>
            </w:r>
            <w:r>
              <w:rPr>
                <w:rFonts w:hint="eastAsia" w:ascii="宋体" w:hAnsi="宋体" w:eastAsia="宋体" w:cs="宋体"/>
                <w:bCs/>
                <w:color w:val="auto"/>
                <w:kern w:val="0"/>
                <w:sz w:val="24"/>
                <w:szCs w:val="24"/>
                <w:highlight w:val="none"/>
                <w:lang w:val="en-US" w:eastAsia="zh-CN"/>
              </w:rPr>
              <w:br w:type="textWrapping"/>
            </w:r>
            <w:r>
              <w:rPr>
                <w:rFonts w:hint="eastAsia" w:ascii="宋体" w:hAnsi="宋体" w:eastAsia="宋体" w:cs="宋体"/>
                <w:bCs/>
                <w:color w:val="auto"/>
                <w:kern w:val="0"/>
                <w:sz w:val="24"/>
                <w:szCs w:val="24"/>
                <w:highlight w:val="none"/>
                <w:lang w:val="en-US" w:eastAsia="zh-CN"/>
              </w:rPr>
              <w:t>5）安装与验收方案存在明显缺项，实行上有困难的得</w:t>
            </w:r>
            <w:r>
              <w:rPr>
                <w:rFonts w:hint="eastAsia" w:ascii="宋体" w:hAnsi="宋体" w:cs="宋体"/>
                <w:bCs/>
                <w:color w:val="auto"/>
                <w:kern w:val="0"/>
                <w:sz w:val="24"/>
                <w:szCs w:val="24"/>
                <w:highlight w:val="none"/>
                <w:lang w:val="en-US" w:eastAsia="zh-CN"/>
              </w:rPr>
              <w:t>0.5</w:t>
            </w:r>
            <w:r>
              <w:rPr>
                <w:rFonts w:hint="eastAsia" w:ascii="宋体" w:hAnsi="宋体" w:eastAsia="宋体" w:cs="宋体"/>
                <w:bCs/>
                <w:color w:val="auto"/>
                <w:kern w:val="0"/>
                <w:sz w:val="24"/>
                <w:szCs w:val="24"/>
                <w:highlight w:val="none"/>
                <w:lang w:val="en-US" w:eastAsia="zh-CN"/>
              </w:rPr>
              <w:t>分；</w:t>
            </w:r>
          </w:p>
          <w:p w14:paraId="3F5BF7A8">
            <w:pPr>
              <w:adjustRightInd/>
              <w:spacing w:line="320" w:lineRule="exact"/>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auto"/>
                <w:kern w:val="0"/>
                <w:sz w:val="24"/>
                <w:szCs w:val="24"/>
                <w:highlight w:val="none"/>
                <w:lang w:val="en-US" w:eastAsia="zh-CN"/>
              </w:rPr>
              <w:t>6）未提供相关内容的不得分。</w:t>
            </w:r>
          </w:p>
        </w:tc>
        <w:tc>
          <w:tcPr>
            <w:tcW w:w="707" w:type="dxa"/>
            <w:vAlign w:val="center"/>
          </w:tcPr>
          <w:p w14:paraId="637F2BC3">
            <w:pPr>
              <w:autoSpaceDE w:val="0"/>
              <w:autoSpaceDN w:val="0"/>
              <w:jc w:val="center"/>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3</w:t>
            </w:r>
          </w:p>
        </w:tc>
        <w:tc>
          <w:tcPr>
            <w:tcW w:w="705" w:type="dxa"/>
            <w:vAlign w:val="center"/>
          </w:tcPr>
          <w:p w14:paraId="6C31BCF7">
            <w:pPr>
              <w:autoSpaceDE w:val="0"/>
              <w:autoSpaceDN w:val="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主观评审</w:t>
            </w:r>
          </w:p>
        </w:tc>
      </w:tr>
      <w:tr w14:paraId="2E53D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4" w:type="dxa"/>
            <w:vMerge w:val="continue"/>
            <w:vAlign w:val="center"/>
          </w:tcPr>
          <w:p w14:paraId="0C43EC44">
            <w:pPr>
              <w:adjustRightInd/>
              <w:spacing w:line="320" w:lineRule="exact"/>
              <w:rPr>
                <w:rFonts w:hint="eastAsia" w:ascii="宋体" w:hAnsi="宋体" w:cs="宋体"/>
                <w:color w:val="000000" w:themeColor="text1"/>
                <w:sz w:val="24"/>
                <w:highlight w:val="none"/>
                <w14:textFill>
                  <w14:solidFill>
                    <w14:schemeClr w14:val="tx1"/>
                  </w14:solidFill>
                </w14:textFill>
              </w:rPr>
            </w:pPr>
          </w:p>
        </w:tc>
        <w:tc>
          <w:tcPr>
            <w:tcW w:w="6889" w:type="dxa"/>
            <w:gridSpan w:val="3"/>
            <w:vAlign w:val="center"/>
          </w:tcPr>
          <w:p w14:paraId="79B56B34">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rightChars="0"/>
              <w:textAlignment w:val="auto"/>
              <w:rPr>
                <w:rFonts w:hint="default" w:ascii="宋体" w:hAnsi="宋体" w:eastAsia="宋体" w:cs="宋体"/>
                <w:bCs/>
                <w:color w:val="auto"/>
                <w:kern w:val="0"/>
                <w:sz w:val="24"/>
                <w:szCs w:val="24"/>
                <w:highlight w:val="none"/>
                <w:lang w:val="en-US" w:eastAsia="zh-CN"/>
              </w:rPr>
            </w:pPr>
            <w:r>
              <w:rPr>
                <w:rFonts w:hint="eastAsia" w:ascii="宋体" w:hAnsi="宋体" w:cs="宋体"/>
                <w:b/>
                <w:bCs/>
                <w:color w:val="000000" w:themeColor="text1"/>
                <w:sz w:val="24"/>
                <w:highlight w:val="none"/>
                <w:lang w:val="en-US" w:eastAsia="zh-CN"/>
                <w14:textFill>
                  <w14:solidFill>
                    <w14:schemeClr w14:val="tx1"/>
                  </w14:solidFill>
                </w14:textFill>
              </w:rPr>
              <w:t>8</w:t>
            </w:r>
            <w:r>
              <w:rPr>
                <w:rFonts w:hint="eastAsia" w:ascii="宋体" w:hAnsi="宋体" w:cs="宋体"/>
                <w:b/>
                <w:bCs/>
                <w:color w:val="000000" w:themeColor="text1"/>
                <w:sz w:val="24"/>
                <w:highlight w:val="none"/>
                <w14:textFill>
                  <w14:solidFill>
                    <w14:schemeClr w14:val="tx1"/>
                  </w14:solidFill>
                </w14:textFill>
              </w:rPr>
              <w:t>、</w:t>
            </w:r>
            <w:r>
              <w:rPr>
                <w:rFonts w:hint="eastAsia" w:ascii="宋体" w:hAnsi="宋体" w:eastAsia="宋体" w:cs="宋体"/>
                <w:bCs/>
                <w:color w:val="auto"/>
                <w:kern w:val="0"/>
                <w:sz w:val="24"/>
                <w:szCs w:val="24"/>
                <w:highlight w:val="none"/>
                <w:lang w:val="en-US" w:eastAsia="zh-CN"/>
              </w:rPr>
              <w:t>供应商</w:t>
            </w:r>
            <w:r>
              <w:rPr>
                <w:rFonts w:hint="default" w:ascii="宋体" w:hAnsi="宋体" w:eastAsia="宋体" w:cs="宋体"/>
                <w:bCs/>
                <w:color w:val="auto"/>
                <w:kern w:val="0"/>
                <w:sz w:val="24"/>
                <w:szCs w:val="24"/>
                <w:highlight w:val="none"/>
                <w:lang w:val="en-US" w:eastAsia="zh-CN"/>
              </w:rPr>
              <w:t>需结合自身实际提供服务承诺，需包含但不限于以下要点：</w:t>
            </w:r>
            <w:r>
              <w:rPr>
                <w:rFonts w:hint="default" w:ascii="宋体" w:hAnsi="宋体" w:eastAsia="宋体" w:cs="宋体"/>
                <w:b/>
                <w:bCs w:val="0"/>
                <w:color w:val="auto"/>
                <w:kern w:val="0"/>
                <w:sz w:val="24"/>
                <w:szCs w:val="24"/>
                <w:highlight w:val="none"/>
                <w:lang w:val="en-US" w:eastAsia="zh-CN"/>
              </w:rPr>
              <w:t>①服务响应时间；②退换货品承诺</w:t>
            </w:r>
            <w:r>
              <w:rPr>
                <w:rFonts w:hint="eastAsia" w:ascii="宋体" w:hAnsi="宋体" w:cs="宋体"/>
                <w:b/>
                <w:bCs w:val="0"/>
                <w:color w:val="auto"/>
                <w:kern w:val="0"/>
                <w:sz w:val="24"/>
                <w:szCs w:val="24"/>
                <w:highlight w:val="none"/>
                <w:lang w:val="en-US" w:eastAsia="zh-CN"/>
              </w:rPr>
              <w:t>；③数据资料的留存及保密</w:t>
            </w:r>
            <w:r>
              <w:rPr>
                <w:rFonts w:hint="default" w:ascii="宋体" w:hAnsi="宋体" w:eastAsia="宋体" w:cs="宋体"/>
                <w:b/>
                <w:bCs w:val="0"/>
                <w:color w:val="auto"/>
                <w:kern w:val="0"/>
                <w:sz w:val="24"/>
                <w:szCs w:val="24"/>
                <w:highlight w:val="none"/>
                <w:lang w:val="en-US" w:eastAsia="zh-CN"/>
              </w:rPr>
              <w:t>。</w:t>
            </w:r>
            <w:r>
              <w:rPr>
                <w:rFonts w:hint="default" w:ascii="宋体" w:hAnsi="宋体" w:eastAsia="宋体" w:cs="宋体"/>
                <w:bCs/>
                <w:color w:val="auto"/>
                <w:kern w:val="0"/>
                <w:sz w:val="24"/>
                <w:szCs w:val="24"/>
                <w:highlight w:val="none"/>
                <w:lang w:val="en-US" w:eastAsia="zh-CN"/>
              </w:rPr>
              <w:t>由评标委员会进行评议：</w:t>
            </w:r>
          </w:p>
          <w:p w14:paraId="1F9FED3C">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rightChars="0"/>
              <w:textAlignment w:val="auto"/>
              <w:rPr>
                <w:rFonts w:hint="default"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1）</w:t>
            </w:r>
            <w:r>
              <w:rPr>
                <w:rFonts w:hint="default" w:ascii="宋体" w:hAnsi="宋体" w:eastAsia="宋体" w:cs="宋体"/>
                <w:bCs/>
                <w:color w:val="auto"/>
                <w:kern w:val="0"/>
                <w:sz w:val="24"/>
                <w:szCs w:val="24"/>
                <w:highlight w:val="none"/>
                <w:lang w:val="en-US" w:eastAsia="zh-CN"/>
              </w:rPr>
              <w:t>各项服务响应承诺能与</w:t>
            </w:r>
            <w:r>
              <w:rPr>
                <w:rFonts w:hint="eastAsia" w:ascii="宋体" w:hAnsi="宋体" w:cs="宋体"/>
                <w:bCs/>
                <w:color w:val="auto"/>
                <w:kern w:val="0"/>
                <w:sz w:val="24"/>
                <w:szCs w:val="24"/>
                <w:highlight w:val="none"/>
                <w:lang w:val="en-US" w:eastAsia="zh-CN"/>
              </w:rPr>
              <w:t>采购人</w:t>
            </w:r>
            <w:r>
              <w:rPr>
                <w:rFonts w:hint="default" w:ascii="宋体" w:hAnsi="宋体" w:eastAsia="宋体" w:cs="宋体"/>
                <w:bCs/>
                <w:color w:val="auto"/>
                <w:kern w:val="0"/>
                <w:sz w:val="24"/>
                <w:szCs w:val="24"/>
                <w:highlight w:val="none"/>
                <w:lang w:val="en-US" w:eastAsia="zh-CN"/>
              </w:rPr>
              <w:t>实际相结合，能提供实质性退换货品承诺及保障措施，</w:t>
            </w:r>
            <w:r>
              <w:rPr>
                <w:rFonts w:hint="eastAsia" w:ascii="宋体" w:hAnsi="宋体" w:cs="宋体"/>
                <w:bCs/>
                <w:color w:val="auto"/>
                <w:kern w:val="0"/>
                <w:sz w:val="24"/>
                <w:szCs w:val="24"/>
                <w:highlight w:val="none"/>
                <w:lang w:val="en-US" w:eastAsia="zh-CN"/>
              </w:rPr>
              <w:t>能有效保障数据资料的留存及保密，能顺利推进项目实施</w:t>
            </w:r>
            <w:r>
              <w:rPr>
                <w:rFonts w:hint="default" w:ascii="宋体" w:hAnsi="宋体" w:eastAsia="宋体" w:cs="宋体"/>
                <w:bCs/>
                <w:color w:val="auto"/>
                <w:kern w:val="0"/>
                <w:sz w:val="24"/>
                <w:szCs w:val="24"/>
                <w:highlight w:val="none"/>
                <w:lang w:val="en-US" w:eastAsia="zh-CN"/>
              </w:rPr>
              <w:t>的得</w:t>
            </w:r>
            <w:r>
              <w:rPr>
                <w:rFonts w:hint="eastAsia" w:ascii="宋体" w:hAnsi="宋体" w:cs="宋体"/>
                <w:bCs/>
                <w:color w:val="auto"/>
                <w:kern w:val="0"/>
                <w:sz w:val="24"/>
                <w:szCs w:val="24"/>
                <w:highlight w:val="none"/>
                <w:lang w:val="en-US" w:eastAsia="zh-CN"/>
              </w:rPr>
              <w:t>3</w:t>
            </w:r>
            <w:r>
              <w:rPr>
                <w:rFonts w:hint="default" w:ascii="宋体" w:hAnsi="宋体" w:eastAsia="宋体" w:cs="宋体"/>
                <w:bCs/>
                <w:color w:val="auto"/>
                <w:kern w:val="0"/>
                <w:sz w:val="24"/>
                <w:szCs w:val="24"/>
                <w:highlight w:val="none"/>
                <w:lang w:val="en-US" w:eastAsia="zh-CN"/>
              </w:rPr>
              <w:t>分；</w:t>
            </w:r>
          </w:p>
          <w:p w14:paraId="3E13A0F9">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rightChars="0"/>
              <w:textAlignment w:val="auto"/>
              <w:rPr>
                <w:rFonts w:hint="default"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2）</w:t>
            </w:r>
            <w:r>
              <w:rPr>
                <w:rFonts w:hint="default" w:ascii="宋体" w:hAnsi="宋体" w:eastAsia="宋体" w:cs="宋体"/>
                <w:bCs/>
                <w:color w:val="auto"/>
                <w:kern w:val="0"/>
                <w:sz w:val="24"/>
                <w:szCs w:val="24"/>
                <w:highlight w:val="none"/>
                <w:lang w:val="en-US" w:eastAsia="zh-CN"/>
              </w:rPr>
              <w:t>各项服务承诺与</w:t>
            </w:r>
            <w:r>
              <w:rPr>
                <w:rFonts w:hint="eastAsia" w:ascii="宋体" w:hAnsi="宋体" w:cs="宋体"/>
                <w:bCs/>
                <w:color w:val="auto"/>
                <w:kern w:val="0"/>
                <w:sz w:val="24"/>
                <w:szCs w:val="24"/>
                <w:highlight w:val="none"/>
                <w:lang w:val="en-US" w:eastAsia="zh-CN"/>
              </w:rPr>
              <w:t>采购人</w:t>
            </w:r>
            <w:r>
              <w:rPr>
                <w:rFonts w:hint="default" w:ascii="宋体" w:hAnsi="宋体" w:eastAsia="宋体" w:cs="宋体"/>
                <w:bCs/>
                <w:color w:val="auto"/>
                <w:kern w:val="0"/>
                <w:sz w:val="24"/>
                <w:szCs w:val="24"/>
                <w:highlight w:val="none"/>
                <w:lang w:val="en-US" w:eastAsia="zh-CN"/>
              </w:rPr>
              <w:t>实际基本相结合，</w:t>
            </w:r>
            <w:r>
              <w:rPr>
                <w:rFonts w:hint="eastAsia" w:ascii="宋体" w:hAnsi="宋体" w:cs="宋体"/>
                <w:bCs/>
                <w:color w:val="auto"/>
                <w:kern w:val="0"/>
                <w:sz w:val="24"/>
                <w:szCs w:val="24"/>
                <w:highlight w:val="none"/>
                <w:lang w:val="en-US" w:eastAsia="zh-CN"/>
              </w:rPr>
              <w:t>退换货承诺较合理，数据资料的留存及保密承诺较科学，</w:t>
            </w:r>
            <w:r>
              <w:rPr>
                <w:rFonts w:hint="default" w:ascii="宋体" w:hAnsi="宋体" w:eastAsia="宋体" w:cs="宋体"/>
                <w:bCs/>
                <w:color w:val="auto"/>
                <w:kern w:val="0"/>
                <w:sz w:val="24"/>
                <w:szCs w:val="24"/>
                <w:highlight w:val="none"/>
                <w:lang w:val="en-US" w:eastAsia="zh-CN"/>
              </w:rPr>
              <w:t>但承诺及保障只能基本满足</w:t>
            </w:r>
            <w:r>
              <w:rPr>
                <w:rFonts w:hint="eastAsia" w:ascii="宋体" w:hAnsi="宋体" w:cs="宋体"/>
                <w:bCs/>
                <w:color w:val="auto"/>
                <w:kern w:val="0"/>
                <w:sz w:val="24"/>
                <w:szCs w:val="24"/>
                <w:highlight w:val="none"/>
                <w:lang w:val="en-US" w:eastAsia="zh-CN"/>
              </w:rPr>
              <w:t>采购人</w:t>
            </w:r>
            <w:r>
              <w:rPr>
                <w:rFonts w:hint="default" w:ascii="宋体" w:hAnsi="宋体" w:eastAsia="宋体" w:cs="宋体"/>
                <w:bCs/>
                <w:color w:val="auto"/>
                <w:kern w:val="0"/>
                <w:sz w:val="24"/>
                <w:szCs w:val="24"/>
                <w:highlight w:val="none"/>
                <w:lang w:val="en-US" w:eastAsia="zh-CN"/>
              </w:rPr>
              <w:t>使用要求的得</w:t>
            </w:r>
            <w:r>
              <w:rPr>
                <w:rFonts w:hint="eastAsia" w:ascii="宋体" w:hAnsi="宋体" w:cs="宋体"/>
                <w:bCs/>
                <w:color w:val="auto"/>
                <w:kern w:val="0"/>
                <w:sz w:val="24"/>
                <w:szCs w:val="24"/>
                <w:highlight w:val="none"/>
                <w:lang w:val="en-US" w:eastAsia="zh-CN"/>
              </w:rPr>
              <w:t>2</w:t>
            </w:r>
            <w:r>
              <w:rPr>
                <w:rFonts w:hint="default" w:ascii="宋体" w:hAnsi="宋体" w:eastAsia="宋体" w:cs="宋体"/>
                <w:bCs/>
                <w:color w:val="auto"/>
                <w:kern w:val="0"/>
                <w:sz w:val="24"/>
                <w:szCs w:val="24"/>
                <w:highlight w:val="none"/>
                <w:lang w:val="en-US" w:eastAsia="zh-CN"/>
              </w:rPr>
              <w:t>分；</w:t>
            </w:r>
          </w:p>
          <w:p w14:paraId="4B5E953E">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rightChars="0"/>
              <w:textAlignment w:val="auto"/>
              <w:rPr>
                <w:rFonts w:hint="default"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3）服务承诺和保障措施不够符合项目实际要求，且存在一定缺项的得</w:t>
            </w:r>
            <w:r>
              <w:rPr>
                <w:rFonts w:hint="eastAsia" w:ascii="宋体" w:hAnsi="宋体" w:cs="宋体"/>
                <w:bCs/>
                <w:color w:val="auto"/>
                <w:kern w:val="0"/>
                <w:sz w:val="24"/>
                <w:szCs w:val="24"/>
                <w:highlight w:val="none"/>
                <w:lang w:val="en-US" w:eastAsia="zh-CN"/>
              </w:rPr>
              <w:t>1</w:t>
            </w:r>
            <w:r>
              <w:rPr>
                <w:rFonts w:hint="eastAsia" w:ascii="宋体" w:hAnsi="宋体" w:eastAsia="宋体" w:cs="宋体"/>
                <w:bCs/>
                <w:color w:val="auto"/>
                <w:kern w:val="0"/>
                <w:sz w:val="24"/>
                <w:szCs w:val="24"/>
                <w:highlight w:val="none"/>
                <w:lang w:val="en-US" w:eastAsia="zh-CN"/>
              </w:rPr>
              <w:t>分；</w:t>
            </w:r>
            <w:r>
              <w:rPr>
                <w:rFonts w:hint="eastAsia" w:ascii="宋体" w:hAnsi="宋体" w:eastAsia="宋体" w:cs="宋体"/>
                <w:bCs/>
                <w:color w:val="auto"/>
                <w:kern w:val="0"/>
                <w:sz w:val="24"/>
                <w:szCs w:val="24"/>
                <w:highlight w:val="none"/>
                <w:lang w:val="en-US" w:eastAsia="zh-CN"/>
              </w:rPr>
              <w:br w:type="textWrapping"/>
            </w:r>
            <w:r>
              <w:rPr>
                <w:rFonts w:hint="eastAsia" w:ascii="宋体" w:hAnsi="宋体" w:cs="宋体"/>
                <w:bCs/>
                <w:color w:val="auto"/>
                <w:kern w:val="0"/>
                <w:sz w:val="24"/>
                <w:szCs w:val="24"/>
                <w:highlight w:val="none"/>
                <w:lang w:val="en-US" w:eastAsia="zh-CN"/>
              </w:rPr>
              <w:t>4</w:t>
            </w:r>
            <w:r>
              <w:rPr>
                <w:rFonts w:hint="eastAsia" w:ascii="宋体" w:hAnsi="宋体" w:eastAsia="宋体" w:cs="宋体"/>
                <w:bCs/>
                <w:color w:val="auto"/>
                <w:kern w:val="0"/>
                <w:sz w:val="24"/>
                <w:szCs w:val="24"/>
                <w:highlight w:val="none"/>
                <w:lang w:val="en-US" w:eastAsia="zh-CN"/>
              </w:rPr>
              <w:t>）</w:t>
            </w:r>
            <w:r>
              <w:rPr>
                <w:rFonts w:hint="default" w:ascii="宋体" w:hAnsi="宋体" w:eastAsia="宋体" w:cs="宋体"/>
                <w:bCs/>
                <w:color w:val="auto"/>
                <w:kern w:val="0"/>
                <w:sz w:val="24"/>
                <w:szCs w:val="24"/>
                <w:highlight w:val="none"/>
                <w:lang w:val="en-US" w:eastAsia="zh-CN"/>
              </w:rPr>
              <w:t>服务承诺和保障措施与</w:t>
            </w:r>
            <w:r>
              <w:rPr>
                <w:rFonts w:hint="eastAsia" w:ascii="宋体" w:hAnsi="宋体" w:cs="宋体"/>
                <w:bCs/>
                <w:color w:val="auto"/>
                <w:kern w:val="0"/>
                <w:sz w:val="24"/>
                <w:szCs w:val="24"/>
                <w:highlight w:val="none"/>
                <w:lang w:val="en-US" w:eastAsia="zh-CN"/>
              </w:rPr>
              <w:t>采购人</w:t>
            </w:r>
            <w:r>
              <w:rPr>
                <w:rFonts w:hint="default" w:ascii="宋体" w:hAnsi="宋体" w:eastAsia="宋体" w:cs="宋体"/>
                <w:bCs/>
                <w:color w:val="auto"/>
                <w:kern w:val="0"/>
                <w:sz w:val="24"/>
                <w:szCs w:val="24"/>
                <w:highlight w:val="none"/>
                <w:lang w:val="en-US" w:eastAsia="zh-CN"/>
              </w:rPr>
              <w:t>实际需求存在巨大偏差，会严重影响货物正常使用</w:t>
            </w:r>
            <w:r>
              <w:rPr>
                <w:rFonts w:hint="eastAsia" w:ascii="宋体" w:hAnsi="宋体" w:cs="宋体"/>
                <w:bCs/>
                <w:color w:val="auto"/>
                <w:kern w:val="0"/>
                <w:sz w:val="24"/>
                <w:szCs w:val="24"/>
                <w:highlight w:val="none"/>
                <w:lang w:val="en-US" w:eastAsia="zh-CN"/>
              </w:rPr>
              <w:t>及检测项目实施</w:t>
            </w:r>
            <w:r>
              <w:rPr>
                <w:rFonts w:hint="default" w:ascii="宋体" w:hAnsi="宋体" w:eastAsia="宋体" w:cs="宋体"/>
                <w:bCs/>
                <w:color w:val="auto"/>
                <w:kern w:val="0"/>
                <w:sz w:val="24"/>
                <w:szCs w:val="24"/>
                <w:highlight w:val="none"/>
                <w:lang w:val="en-US" w:eastAsia="zh-CN"/>
              </w:rPr>
              <w:t>的得</w:t>
            </w:r>
            <w:r>
              <w:rPr>
                <w:rFonts w:hint="eastAsia" w:ascii="宋体" w:hAnsi="宋体" w:cs="宋体"/>
                <w:bCs/>
                <w:color w:val="auto"/>
                <w:kern w:val="0"/>
                <w:sz w:val="24"/>
                <w:szCs w:val="24"/>
                <w:highlight w:val="none"/>
                <w:lang w:val="en-US" w:eastAsia="zh-CN"/>
              </w:rPr>
              <w:t>0.5</w:t>
            </w:r>
            <w:r>
              <w:rPr>
                <w:rFonts w:hint="default" w:ascii="宋体" w:hAnsi="宋体" w:eastAsia="宋体" w:cs="宋体"/>
                <w:bCs/>
                <w:color w:val="auto"/>
                <w:kern w:val="0"/>
                <w:sz w:val="24"/>
                <w:szCs w:val="24"/>
                <w:highlight w:val="none"/>
                <w:lang w:val="en-US" w:eastAsia="zh-CN"/>
              </w:rPr>
              <w:t>分。</w:t>
            </w:r>
          </w:p>
          <w:p w14:paraId="7FB07249">
            <w:pPr>
              <w:adjustRightInd/>
              <w:spacing w:line="32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Cs/>
                <w:color w:val="auto"/>
                <w:kern w:val="0"/>
                <w:sz w:val="24"/>
                <w:szCs w:val="24"/>
                <w:highlight w:val="none"/>
                <w:lang w:val="en-US" w:eastAsia="zh-CN"/>
              </w:rPr>
              <w:t>5</w:t>
            </w:r>
            <w:r>
              <w:rPr>
                <w:rFonts w:hint="eastAsia" w:ascii="宋体" w:hAnsi="宋体" w:eastAsia="宋体" w:cs="宋体"/>
                <w:bCs/>
                <w:color w:val="auto"/>
                <w:kern w:val="0"/>
                <w:sz w:val="24"/>
                <w:szCs w:val="24"/>
                <w:highlight w:val="none"/>
                <w:lang w:val="en-US" w:eastAsia="zh-CN"/>
              </w:rPr>
              <w:t>）</w:t>
            </w:r>
            <w:r>
              <w:rPr>
                <w:rFonts w:hint="default" w:ascii="宋体" w:hAnsi="宋体" w:eastAsia="宋体" w:cs="宋体"/>
                <w:bCs/>
                <w:color w:val="auto"/>
                <w:kern w:val="0"/>
                <w:sz w:val="24"/>
                <w:szCs w:val="24"/>
                <w:highlight w:val="none"/>
                <w:lang w:val="en-US" w:eastAsia="zh-CN"/>
              </w:rPr>
              <w:t>未提供相关内容的不得分。</w:t>
            </w:r>
          </w:p>
        </w:tc>
        <w:tc>
          <w:tcPr>
            <w:tcW w:w="707" w:type="dxa"/>
            <w:vAlign w:val="center"/>
          </w:tcPr>
          <w:p w14:paraId="52634EB5">
            <w:pPr>
              <w:adjustRightInd/>
              <w:spacing w:line="300" w:lineRule="exact"/>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w:t>
            </w:r>
          </w:p>
        </w:tc>
        <w:tc>
          <w:tcPr>
            <w:tcW w:w="705" w:type="dxa"/>
            <w:vAlign w:val="center"/>
          </w:tcPr>
          <w:p w14:paraId="2EEDEEDE">
            <w:pPr>
              <w:adjustRightInd/>
              <w:spacing w:line="3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主观评审</w:t>
            </w:r>
          </w:p>
        </w:tc>
      </w:tr>
      <w:tr w14:paraId="3553B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4" w:type="dxa"/>
            <w:vMerge w:val="continue"/>
            <w:vAlign w:val="center"/>
          </w:tcPr>
          <w:p w14:paraId="10620B26">
            <w:pPr>
              <w:adjustRightInd/>
              <w:spacing w:line="320" w:lineRule="exact"/>
              <w:rPr>
                <w:rFonts w:hint="eastAsia" w:ascii="宋体" w:hAnsi="宋体" w:cs="宋体"/>
                <w:color w:val="000000" w:themeColor="text1"/>
                <w:sz w:val="24"/>
                <w:highlight w:val="none"/>
                <w14:textFill>
                  <w14:solidFill>
                    <w14:schemeClr w14:val="tx1"/>
                  </w14:solidFill>
                </w14:textFill>
              </w:rPr>
            </w:pPr>
          </w:p>
        </w:tc>
        <w:tc>
          <w:tcPr>
            <w:tcW w:w="1825" w:type="dxa"/>
            <w:gridSpan w:val="2"/>
            <w:vMerge w:val="restart"/>
            <w:vAlign w:val="center"/>
          </w:tcPr>
          <w:p w14:paraId="2D876BDC">
            <w:pPr>
              <w:adjustRightInd/>
              <w:spacing w:line="320" w:lineRule="exact"/>
              <w:rPr>
                <w:rFonts w:hint="default" w:ascii="宋体" w:hAnsi="宋体" w:eastAsia="宋体" w:cs="宋体"/>
                <w:bCs/>
                <w:color w:val="auto"/>
                <w:kern w:val="0"/>
                <w:sz w:val="24"/>
                <w:szCs w:val="24"/>
                <w:highlight w:val="none"/>
                <w:lang w:val="en-US" w:eastAsia="zh-CN"/>
              </w:rPr>
            </w:pPr>
            <w:r>
              <w:rPr>
                <w:rFonts w:hint="eastAsia" w:ascii="宋体" w:hAnsi="宋体" w:cs="宋体"/>
                <w:b/>
                <w:bCs/>
                <w:color w:val="auto"/>
                <w:kern w:val="2"/>
                <w:sz w:val="24"/>
                <w:szCs w:val="24"/>
                <w:highlight w:val="none"/>
                <w:lang w:val="en-US" w:eastAsia="zh-CN" w:bidi="ar-SA"/>
              </w:rPr>
              <w:t>9</w:t>
            </w:r>
            <w:r>
              <w:rPr>
                <w:rFonts w:hint="eastAsia" w:ascii="宋体" w:hAnsi="宋体" w:eastAsia="宋体" w:cs="宋体"/>
                <w:b/>
                <w:bCs/>
                <w:color w:val="auto"/>
                <w:kern w:val="2"/>
                <w:sz w:val="24"/>
                <w:szCs w:val="24"/>
                <w:highlight w:val="none"/>
                <w:lang w:val="en-US" w:eastAsia="zh-CN" w:bidi="ar-SA"/>
              </w:rPr>
              <w:t>、快检室设备质保期（4分）</w:t>
            </w:r>
          </w:p>
        </w:tc>
        <w:tc>
          <w:tcPr>
            <w:tcW w:w="5064" w:type="dxa"/>
            <w:vAlign w:val="center"/>
          </w:tcPr>
          <w:p w14:paraId="09EFEB47">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9.1供应商需结合自身实际提供</w:t>
            </w:r>
            <w:r>
              <w:rPr>
                <w:rFonts w:hint="eastAsia" w:ascii="宋体" w:hAnsi="宋体" w:cs="宋体"/>
                <w:bCs/>
                <w:color w:val="auto"/>
                <w:kern w:val="0"/>
                <w:sz w:val="24"/>
                <w:szCs w:val="24"/>
                <w:highlight w:val="none"/>
                <w:lang w:val="en-US" w:eastAsia="zh-CN"/>
              </w:rPr>
              <w:t>快检室设备</w:t>
            </w:r>
            <w:r>
              <w:rPr>
                <w:rFonts w:hint="eastAsia" w:ascii="宋体" w:hAnsi="宋体" w:eastAsia="宋体" w:cs="宋体"/>
                <w:bCs/>
                <w:color w:val="auto"/>
                <w:kern w:val="0"/>
                <w:sz w:val="24"/>
                <w:szCs w:val="24"/>
                <w:highlight w:val="none"/>
                <w:lang w:val="en-US" w:eastAsia="zh-CN"/>
              </w:rPr>
              <w:t>质保期服务方案，需包含但不限于以下要点：</w:t>
            </w:r>
            <w:r>
              <w:rPr>
                <w:rFonts w:hint="eastAsia" w:ascii="宋体" w:hAnsi="宋体" w:eastAsia="宋体" w:cs="宋体"/>
                <w:b/>
                <w:bCs w:val="0"/>
                <w:color w:val="auto"/>
                <w:kern w:val="0"/>
                <w:sz w:val="24"/>
                <w:szCs w:val="24"/>
                <w:highlight w:val="none"/>
                <w:lang w:val="en-US" w:eastAsia="zh-CN"/>
              </w:rPr>
              <w:t>①质保期内定期服务方案；②巡检服务方案；③售后服务保障；④售后服务机构的设置。</w:t>
            </w:r>
            <w:r>
              <w:rPr>
                <w:rFonts w:hint="eastAsia" w:ascii="宋体" w:hAnsi="宋体" w:eastAsia="宋体" w:cs="宋体"/>
                <w:bCs/>
                <w:color w:val="auto"/>
                <w:kern w:val="0"/>
                <w:sz w:val="24"/>
                <w:szCs w:val="24"/>
                <w:highlight w:val="none"/>
                <w:lang w:val="en-US" w:eastAsia="zh-CN"/>
              </w:rPr>
              <w:t>由评委进行评议：</w:t>
            </w:r>
          </w:p>
          <w:p w14:paraId="4DD4EB9F">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1）质保期内定期服务和巡检服务方案合理，售后服务有保障且有相应的售后服务机构，能有效提高货物使用体验，服务目标明确清晰的得2分；</w:t>
            </w:r>
          </w:p>
          <w:p w14:paraId="652E71CB">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2）方案内容符合</w:t>
            </w:r>
            <w:r>
              <w:rPr>
                <w:rFonts w:hint="eastAsia" w:ascii="宋体" w:hAnsi="宋体" w:cs="宋体"/>
                <w:bCs/>
                <w:color w:val="auto"/>
                <w:kern w:val="0"/>
                <w:sz w:val="24"/>
                <w:szCs w:val="24"/>
                <w:highlight w:val="none"/>
                <w:lang w:val="en-US" w:eastAsia="zh-CN"/>
              </w:rPr>
              <w:t>实验室</w:t>
            </w:r>
            <w:r>
              <w:rPr>
                <w:rFonts w:hint="eastAsia" w:ascii="宋体" w:hAnsi="宋体" w:eastAsia="宋体" w:cs="宋体"/>
                <w:bCs/>
                <w:color w:val="auto"/>
                <w:kern w:val="0"/>
                <w:sz w:val="24"/>
                <w:szCs w:val="24"/>
                <w:highlight w:val="none"/>
                <w:lang w:val="en-US" w:eastAsia="zh-CN"/>
              </w:rPr>
              <w:t>实际需求，不影响服务质量，运作流程设计较为合理，有一定针对性的得1.5分；</w:t>
            </w:r>
          </w:p>
          <w:p w14:paraId="19C95AF0">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3）方案内容基本符合</w:t>
            </w:r>
            <w:r>
              <w:rPr>
                <w:rFonts w:hint="eastAsia" w:ascii="宋体" w:hAnsi="宋体" w:cs="宋体"/>
                <w:bCs/>
                <w:color w:val="auto"/>
                <w:kern w:val="0"/>
                <w:sz w:val="24"/>
                <w:szCs w:val="24"/>
                <w:highlight w:val="none"/>
                <w:lang w:val="en-US" w:eastAsia="zh-CN"/>
              </w:rPr>
              <w:t>实验室</w:t>
            </w:r>
            <w:r>
              <w:rPr>
                <w:rFonts w:hint="eastAsia" w:ascii="宋体" w:hAnsi="宋体" w:eastAsia="宋体" w:cs="宋体"/>
                <w:bCs/>
                <w:color w:val="auto"/>
                <w:kern w:val="0"/>
                <w:sz w:val="24"/>
                <w:szCs w:val="24"/>
                <w:highlight w:val="none"/>
                <w:lang w:val="en-US" w:eastAsia="zh-CN"/>
              </w:rPr>
              <w:t>实际需求，但有可能影响服务质量，运作流程设计较为合理，针对性不强的得1分；</w:t>
            </w:r>
          </w:p>
          <w:p w14:paraId="518A9476">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4）方案内容不完整，内容不充分，与本项目实际需求有差距的得0.5分；</w:t>
            </w:r>
          </w:p>
          <w:p w14:paraId="62152EEF">
            <w:pPr>
              <w:adjustRightInd/>
              <w:spacing w:line="320" w:lineRule="exact"/>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5）未提供相关内容的不得分。</w:t>
            </w:r>
          </w:p>
        </w:tc>
        <w:tc>
          <w:tcPr>
            <w:tcW w:w="707" w:type="dxa"/>
            <w:shd w:val="clear" w:color="auto" w:fill="auto"/>
            <w:vAlign w:val="center"/>
          </w:tcPr>
          <w:p w14:paraId="0CA58D92">
            <w:pPr>
              <w:adjustRightInd/>
              <w:spacing w:line="3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2</w:t>
            </w:r>
          </w:p>
        </w:tc>
        <w:tc>
          <w:tcPr>
            <w:tcW w:w="705" w:type="dxa"/>
            <w:shd w:val="clear" w:color="auto" w:fill="auto"/>
            <w:vAlign w:val="center"/>
          </w:tcPr>
          <w:p w14:paraId="474A67D4">
            <w:pPr>
              <w:adjustRightInd/>
              <w:spacing w:line="3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主观评审</w:t>
            </w:r>
          </w:p>
        </w:tc>
      </w:tr>
      <w:tr w14:paraId="2055E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4" w:type="dxa"/>
            <w:vMerge w:val="continue"/>
            <w:vAlign w:val="center"/>
          </w:tcPr>
          <w:p w14:paraId="1FED134F">
            <w:pPr>
              <w:adjustRightInd/>
              <w:spacing w:line="320" w:lineRule="exact"/>
              <w:rPr>
                <w:rFonts w:hint="eastAsia" w:ascii="宋体" w:hAnsi="宋体" w:cs="宋体"/>
                <w:color w:val="000000" w:themeColor="text1"/>
                <w:sz w:val="24"/>
                <w:highlight w:val="none"/>
                <w14:textFill>
                  <w14:solidFill>
                    <w14:schemeClr w14:val="tx1"/>
                  </w14:solidFill>
                </w14:textFill>
              </w:rPr>
            </w:pPr>
          </w:p>
        </w:tc>
        <w:tc>
          <w:tcPr>
            <w:tcW w:w="1825" w:type="dxa"/>
            <w:gridSpan w:val="2"/>
            <w:vMerge w:val="continue"/>
            <w:vAlign w:val="center"/>
          </w:tcPr>
          <w:p w14:paraId="2482EF03">
            <w:pPr>
              <w:adjustRightInd/>
              <w:spacing w:line="320" w:lineRule="exact"/>
              <w:rPr>
                <w:rFonts w:hint="eastAsia" w:ascii="宋体" w:hAnsi="宋体" w:cs="宋体"/>
                <w:b/>
                <w:bCs/>
                <w:color w:val="auto"/>
                <w:kern w:val="2"/>
                <w:sz w:val="24"/>
                <w:szCs w:val="24"/>
                <w:highlight w:val="none"/>
                <w:lang w:val="en-US" w:eastAsia="zh-CN" w:bidi="ar-SA"/>
              </w:rPr>
            </w:pPr>
          </w:p>
        </w:tc>
        <w:tc>
          <w:tcPr>
            <w:tcW w:w="5064" w:type="dxa"/>
            <w:vAlign w:val="center"/>
          </w:tcPr>
          <w:p w14:paraId="749233CF">
            <w:pPr>
              <w:adjustRightInd/>
              <w:spacing w:line="320" w:lineRule="exact"/>
              <w:rPr>
                <w:rFonts w:hint="eastAsia" w:ascii="宋体" w:hAnsi="宋体" w:eastAsia="宋体" w:cs="宋体"/>
                <w:bCs/>
                <w:color w:val="auto"/>
                <w:kern w:val="0"/>
                <w:sz w:val="24"/>
                <w:szCs w:val="24"/>
                <w:highlight w:val="none"/>
                <w:lang w:val="en-US" w:eastAsia="zh-CN"/>
              </w:rPr>
            </w:pPr>
            <w:r>
              <w:rPr>
                <w:rFonts w:hint="eastAsia" w:ascii="宋体" w:hAnsi="宋体" w:cs="宋体"/>
                <w:bCs/>
                <w:color w:val="auto"/>
                <w:sz w:val="24"/>
                <w:highlight w:val="none"/>
                <w:lang w:val="en-US" w:eastAsia="zh-CN"/>
              </w:rPr>
              <w:t>9.2设备仪器质保期在原招标文件要求的3年基础上，每增加1年加0.5分，本项满分2分。（投标文件中需提供承诺书，格式自拟）</w:t>
            </w:r>
          </w:p>
        </w:tc>
        <w:tc>
          <w:tcPr>
            <w:tcW w:w="707" w:type="dxa"/>
            <w:shd w:val="clear" w:color="auto" w:fill="auto"/>
            <w:vAlign w:val="center"/>
          </w:tcPr>
          <w:p w14:paraId="2126454C">
            <w:pPr>
              <w:adjustRightInd/>
              <w:spacing w:line="300" w:lineRule="exact"/>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705" w:type="dxa"/>
            <w:shd w:val="clear" w:color="auto" w:fill="auto"/>
            <w:vAlign w:val="center"/>
          </w:tcPr>
          <w:p w14:paraId="32F2C0AC">
            <w:pPr>
              <w:adjustRightInd/>
              <w:spacing w:line="300" w:lineRule="exact"/>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客</w:t>
            </w:r>
            <w:r>
              <w:rPr>
                <w:rFonts w:hint="eastAsia" w:ascii="宋体" w:hAnsi="宋体" w:cs="宋体"/>
                <w:color w:val="auto"/>
                <w:sz w:val="24"/>
                <w:highlight w:val="none"/>
              </w:rPr>
              <w:t>观评审</w:t>
            </w:r>
          </w:p>
        </w:tc>
      </w:tr>
      <w:tr w14:paraId="51364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4" w:type="dxa"/>
            <w:vMerge w:val="continue"/>
            <w:vAlign w:val="center"/>
          </w:tcPr>
          <w:p w14:paraId="5CABAED5">
            <w:pPr>
              <w:adjustRightInd/>
              <w:spacing w:line="320" w:lineRule="exact"/>
              <w:rPr>
                <w:rFonts w:hint="eastAsia" w:ascii="宋体" w:hAnsi="宋体" w:cs="宋体"/>
                <w:color w:val="000000" w:themeColor="text1"/>
                <w:sz w:val="24"/>
                <w:highlight w:val="none"/>
                <w14:textFill>
                  <w14:solidFill>
                    <w14:schemeClr w14:val="tx1"/>
                  </w14:solidFill>
                </w14:textFill>
              </w:rPr>
            </w:pPr>
          </w:p>
        </w:tc>
        <w:tc>
          <w:tcPr>
            <w:tcW w:w="6889" w:type="dxa"/>
            <w:gridSpan w:val="3"/>
            <w:shd w:val="clear" w:color="auto" w:fill="auto"/>
            <w:vAlign w:val="center"/>
          </w:tcPr>
          <w:p w14:paraId="3C3D3B44">
            <w:pPr>
              <w:keepNext w:val="0"/>
              <w:keepLines w:val="0"/>
              <w:pageBreakBefore w:val="0"/>
              <w:suppressLineNumbers w:val="0"/>
              <w:kinsoku/>
              <w:wordWrap/>
              <w:overflowPunct/>
              <w:topLinePunct w:val="0"/>
              <w:bidi w:val="0"/>
              <w:snapToGrid/>
              <w:spacing w:before="0" w:beforeAutospacing="0" w:after="0" w:afterAutospacing="0" w:line="288" w:lineRule="auto"/>
              <w:ind w:left="0" w:right="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b/>
                <w:bCs/>
                <w:color w:val="auto"/>
                <w:kern w:val="0"/>
                <w:sz w:val="24"/>
                <w:szCs w:val="24"/>
                <w:highlight w:val="none"/>
                <w:lang w:val="en-US" w:eastAsia="zh-CN" w:bidi="ar-SA"/>
              </w:rPr>
              <w:t>10</w:t>
            </w:r>
            <w:r>
              <w:rPr>
                <w:rFonts w:hint="eastAsia" w:ascii="宋体" w:hAnsi="宋体" w:eastAsia="宋体" w:cs="宋体"/>
                <w:b/>
                <w:bCs/>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根据供应商提供的培训方案，需包含但不限于以下要点：</w:t>
            </w:r>
            <w:r>
              <w:rPr>
                <w:rFonts w:hint="eastAsia" w:ascii="宋体" w:hAnsi="宋体" w:eastAsia="宋体" w:cs="宋体"/>
                <w:b/>
                <w:bCs/>
                <w:color w:val="auto"/>
                <w:kern w:val="0"/>
                <w:sz w:val="24"/>
                <w:szCs w:val="24"/>
                <w:highlight w:val="none"/>
                <w:lang w:val="en-US" w:eastAsia="zh-CN" w:bidi="ar-SA"/>
              </w:rPr>
              <w:t>①培训时间安排；②培训内容；③培训次数；④培训场地安排。</w:t>
            </w:r>
            <w:r>
              <w:rPr>
                <w:rFonts w:hint="eastAsia" w:ascii="宋体" w:hAnsi="宋体" w:eastAsia="宋体" w:cs="宋体"/>
                <w:color w:val="auto"/>
                <w:kern w:val="0"/>
                <w:sz w:val="24"/>
                <w:szCs w:val="24"/>
                <w:highlight w:val="none"/>
                <w:lang w:val="en-US" w:eastAsia="zh-CN" w:bidi="ar-SA"/>
              </w:rPr>
              <w:t>由评标委员会进行评议：</w:t>
            </w:r>
          </w:p>
          <w:p w14:paraId="290EDD22">
            <w:pPr>
              <w:keepNext w:val="0"/>
              <w:keepLines w:val="0"/>
              <w:pageBreakBefore w:val="0"/>
              <w:suppressLineNumbers w:val="0"/>
              <w:kinsoku/>
              <w:wordWrap/>
              <w:overflowPunct/>
              <w:topLinePunct w:val="0"/>
              <w:bidi w:val="0"/>
              <w:snapToGrid/>
              <w:spacing w:before="0" w:beforeAutospacing="0" w:after="0" w:afterAutospacing="0" w:line="288" w:lineRule="auto"/>
              <w:ind w:left="0" w:right="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1）人员培训方案与</w:t>
            </w:r>
            <w:r>
              <w:rPr>
                <w:rFonts w:hint="eastAsia" w:ascii="宋体" w:hAnsi="宋体" w:cs="宋体"/>
                <w:color w:val="auto"/>
                <w:kern w:val="0"/>
                <w:sz w:val="24"/>
                <w:szCs w:val="24"/>
                <w:highlight w:val="none"/>
                <w:lang w:val="en-US" w:eastAsia="zh-CN" w:bidi="ar-SA"/>
              </w:rPr>
              <w:t>快检室</w:t>
            </w:r>
            <w:r>
              <w:rPr>
                <w:rFonts w:hint="eastAsia" w:ascii="宋体" w:hAnsi="宋体" w:eastAsia="宋体" w:cs="宋体"/>
                <w:color w:val="auto"/>
                <w:kern w:val="0"/>
                <w:sz w:val="24"/>
                <w:szCs w:val="24"/>
                <w:highlight w:val="none"/>
                <w:lang w:val="en-US" w:eastAsia="zh-CN" w:bidi="ar-SA"/>
              </w:rPr>
              <w:t>实际相结合，培训时间安排合理，培训内容符合货物使用要求，培训次数能确保设备实际使用人灵活使用且场地安排合理的得</w:t>
            </w:r>
            <w:r>
              <w:rPr>
                <w:rFonts w:hint="eastAsia" w:ascii="宋体" w:hAnsi="宋体" w:cs="宋体"/>
                <w:color w:val="auto"/>
                <w:kern w:val="0"/>
                <w:sz w:val="24"/>
                <w:szCs w:val="24"/>
                <w:highlight w:val="none"/>
                <w:lang w:val="en-US" w:eastAsia="zh-CN" w:bidi="ar-SA"/>
              </w:rPr>
              <w:t>4</w:t>
            </w:r>
            <w:r>
              <w:rPr>
                <w:rFonts w:hint="eastAsia" w:ascii="宋体" w:hAnsi="宋体" w:eastAsia="宋体" w:cs="宋体"/>
                <w:color w:val="auto"/>
                <w:kern w:val="0"/>
                <w:sz w:val="24"/>
                <w:szCs w:val="24"/>
                <w:highlight w:val="none"/>
                <w:lang w:val="en-US" w:eastAsia="zh-CN" w:bidi="ar-SA"/>
              </w:rPr>
              <w:t>分；</w:t>
            </w:r>
          </w:p>
          <w:p w14:paraId="3CABF1B7">
            <w:pPr>
              <w:keepNext w:val="0"/>
              <w:keepLines w:val="0"/>
              <w:pageBreakBefore w:val="0"/>
              <w:suppressLineNumbers w:val="0"/>
              <w:kinsoku/>
              <w:wordWrap/>
              <w:overflowPunct/>
              <w:topLinePunct w:val="0"/>
              <w:bidi w:val="0"/>
              <w:snapToGrid/>
              <w:spacing w:before="0" w:beforeAutospacing="0" w:after="0" w:afterAutospacing="0" w:line="288" w:lineRule="auto"/>
              <w:ind w:left="0" w:right="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2）人员培训方案与</w:t>
            </w:r>
            <w:r>
              <w:rPr>
                <w:rFonts w:hint="eastAsia" w:ascii="宋体" w:hAnsi="宋体" w:cs="宋体"/>
                <w:color w:val="auto"/>
                <w:kern w:val="0"/>
                <w:sz w:val="24"/>
                <w:szCs w:val="24"/>
                <w:highlight w:val="none"/>
                <w:lang w:val="en-US" w:eastAsia="zh-CN" w:bidi="ar-SA"/>
              </w:rPr>
              <w:t>快检室</w:t>
            </w:r>
            <w:r>
              <w:rPr>
                <w:rFonts w:hint="eastAsia" w:ascii="宋体" w:hAnsi="宋体" w:eastAsia="宋体" w:cs="宋体"/>
                <w:color w:val="auto"/>
                <w:kern w:val="0"/>
                <w:sz w:val="24"/>
                <w:szCs w:val="24"/>
                <w:highlight w:val="none"/>
                <w:lang w:val="en-US" w:eastAsia="zh-CN" w:bidi="ar-SA"/>
              </w:rPr>
              <w:t>实际相结合，培训时间安排较合理，培训内容较符合货物使用要求，培训次数能确保设备实际使用人灵活使用且场地安排较合理的得</w:t>
            </w:r>
            <w:r>
              <w:rPr>
                <w:rFonts w:hint="eastAsia" w:ascii="宋体" w:hAnsi="宋体" w:cs="宋体"/>
                <w:color w:val="auto"/>
                <w:kern w:val="0"/>
                <w:sz w:val="24"/>
                <w:szCs w:val="24"/>
                <w:highlight w:val="none"/>
                <w:lang w:val="en-US" w:eastAsia="zh-CN" w:bidi="ar-SA"/>
              </w:rPr>
              <w:t>3</w:t>
            </w:r>
            <w:r>
              <w:rPr>
                <w:rFonts w:hint="eastAsia" w:ascii="宋体" w:hAnsi="宋体" w:eastAsia="宋体" w:cs="宋体"/>
                <w:color w:val="auto"/>
                <w:kern w:val="0"/>
                <w:sz w:val="24"/>
                <w:szCs w:val="24"/>
                <w:highlight w:val="none"/>
                <w:lang w:val="en-US" w:eastAsia="zh-CN" w:bidi="ar-SA"/>
              </w:rPr>
              <w:t>分；</w:t>
            </w:r>
          </w:p>
          <w:p w14:paraId="2A004344">
            <w:pPr>
              <w:keepNext w:val="0"/>
              <w:keepLines w:val="0"/>
              <w:pageBreakBefore w:val="0"/>
              <w:suppressLineNumbers w:val="0"/>
              <w:kinsoku/>
              <w:wordWrap/>
              <w:overflowPunct/>
              <w:topLinePunct w:val="0"/>
              <w:bidi w:val="0"/>
              <w:snapToGrid/>
              <w:spacing w:before="0" w:beforeAutospacing="0" w:after="0" w:afterAutospacing="0" w:line="288" w:lineRule="auto"/>
              <w:ind w:left="0" w:right="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3）人员培训方案时间安排基本合理，培训内容基本符合货物使用要求，培训次数基本能确保设备实际使用人操作的得</w:t>
            </w:r>
            <w:r>
              <w:rPr>
                <w:rFonts w:hint="eastAsia" w:ascii="宋体" w:hAnsi="宋体" w:cs="宋体"/>
                <w:color w:val="auto"/>
                <w:kern w:val="0"/>
                <w:sz w:val="24"/>
                <w:szCs w:val="24"/>
                <w:highlight w:val="none"/>
                <w:lang w:val="en-US" w:eastAsia="zh-CN" w:bidi="ar-SA"/>
              </w:rPr>
              <w:t>2</w:t>
            </w:r>
            <w:r>
              <w:rPr>
                <w:rFonts w:hint="eastAsia" w:ascii="宋体" w:hAnsi="宋体" w:eastAsia="宋体" w:cs="宋体"/>
                <w:color w:val="auto"/>
                <w:kern w:val="0"/>
                <w:sz w:val="24"/>
                <w:szCs w:val="24"/>
                <w:highlight w:val="none"/>
                <w:lang w:val="en-US" w:eastAsia="zh-CN" w:bidi="ar-SA"/>
              </w:rPr>
              <w:t>分；</w:t>
            </w:r>
          </w:p>
          <w:p w14:paraId="06A4CA18">
            <w:pPr>
              <w:keepNext w:val="0"/>
              <w:keepLines w:val="0"/>
              <w:pageBreakBefore w:val="0"/>
              <w:suppressLineNumbers w:val="0"/>
              <w:kinsoku/>
              <w:wordWrap/>
              <w:overflowPunct/>
              <w:topLinePunct w:val="0"/>
              <w:bidi w:val="0"/>
              <w:snapToGrid/>
              <w:spacing w:before="0" w:beforeAutospacing="0" w:after="0" w:afterAutospacing="0" w:line="288" w:lineRule="auto"/>
              <w:ind w:left="0" w:right="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4）人员培训方案不够符合采购需求，培训内容缺少针对性内容的得</w:t>
            </w:r>
            <w:r>
              <w:rPr>
                <w:rFonts w:hint="eastAsia" w:ascii="宋体" w:hAnsi="宋体" w:cs="宋体"/>
                <w:color w:val="auto"/>
                <w:kern w:val="0"/>
                <w:sz w:val="24"/>
                <w:szCs w:val="24"/>
                <w:highlight w:val="none"/>
                <w:lang w:val="en-US" w:eastAsia="zh-CN" w:bidi="ar-SA"/>
              </w:rPr>
              <w:t>1</w:t>
            </w:r>
            <w:r>
              <w:rPr>
                <w:rFonts w:hint="eastAsia" w:ascii="宋体" w:hAnsi="宋体" w:eastAsia="宋体" w:cs="宋体"/>
                <w:color w:val="auto"/>
                <w:kern w:val="0"/>
                <w:sz w:val="24"/>
                <w:szCs w:val="24"/>
                <w:highlight w:val="none"/>
                <w:lang w:val="en-US" w:eastAsia="zh-CN" w:bidi="ar-SA"/>
              </w:rPr>
              <w:t>分；</w:t>
            </w:r>
          </w:p>
          <w:p w14:paraId="6A553F26">
            <w:pPr>
              <w:keepNext w:val="0"/>
              <w:keepLines w:val="0"/>
              <w:pageBreakBefore w:val="0"/>
              <w:suppressLineNumbers w:val="0"/>
              <w:kinsoku/>
              <w:wordWrap/>
              <w:overflowPunct/>
              <w:topLinePunct w:val="0"/>
              <w:bidi w:val="0"/>
              <w:snapToGrid/>
              <w:spacing w:before="0" w:beforeAutospacing="0" w:after="0" w:afterAutospacing="0" w:line="288" w:lineRule="auto"/>
              <w:ind w:left="0" w:right="0"/>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5）人员培训方案没有结合采购需求，培训内容敷衍，没有相应培训场地且培训时间不合理的得</w:t>
            </w:r>
            <w:r>
              <w:rPr>
                <w:rFonts w:hint="eastAsia" w:ascii="宋体" w:hAnsi="宋体" w:cs="宋体"/>
                <w:color w:val="auto"/>
                <w:kern w:val="0"/>
                <w:sz w:val="24"/>
                <w:szCs w:val="24"/>
                <w:highlight w:val="none"/>
                <w:lang w:val="en-US" w:eastAsia="zh-CN" w:bidi="ar-SA"/>
              </w:rPr>
              <w:t>0.5</w:t>
            </w:r>
            <w:r>
              <w:rPr>
                <w:rFonts w:hint="eastAsia" w:ascii="宋体" w:hAnsi="宋体" w:eastAsia="宋体" w:cs="宋体"/>
                <w:color w:val="auto"/>
                <w:kern w:val="0"/>
                <w:sz w:val="24"/>
                <w:szCs w:val="24"/>
                <w:highlight w:val="none"/>
                <w:lang w:val="en-US" w:eastAsia="zh-CN" w:bidi="ar-SA"/>
              </w:rPr>
              <w:t>分；</w:t>
            </w:r>
          </w:p>
          <w:p w14:paraId="118D3E0F">
            <w:pPr>
              <w:keepNext w:val="0"/>
              <w:keepLines w:val="0"/>
              <w:pageBreakBefore w:val="0"/>
              <w:suppressLineNumbers w:val="0"/>
              <w:kinsoku/>
              <w:wordWrap/>
              <w:overflowPunct/>
              <w:topLinePunct w:val="0"/>
              <w:bidi w:val="0"/>
              <w:snapToGrid/>
              <w:spacing w:before="0" w:beforeAutospacing="0" w:after="0" w:afterAutospacing="0" w:line="288" w:lineRule="auto"/>
              <w:ind w:left="0" w:leftChars="0" w:right="0" w:rightChars="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6）未提供相关内容的不得分。</w:t>
            </w:r>
          </w:p>
        </w:tc>
        <w:tc>
          <w:tcPr>
            <w:tcW w:w="707" w:type="dxa"/>
            <w:shd w:val="clear" w:color="auto" w:fill="auto"/>
            <w:vAlign w:val="center"/>
          </w:tcPr>
          <w:p w14:paraId="7E877205">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4</w:t>
            </w:r>
          </w:p>
        </w:tc>
        <w:tc>
          <w:tcPr>
            <w:tcW w:w="705" w:type="dxa"/>
            <w:shd w:val="clear" w:color="auto" w:fill="auto"/>
            <w:vAlign w:val="center"/>
          </w:tcPr>
          <w:p w14:paraId="3A10B543">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主观评审</w:t>
            </w:r>
          </w:p>
        </w:tc>
      </w:tr>
      <w:tr w14:paraId="1931C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4" w:type="dxa"/>
            <w:vMerge w:val="continue"/>
            <w:vAlign w:val="center"/>
          </w:tcPr>
          <w:p w14:paraId="76F1B706">
            <w:pPr>
              <w:adjustRightInd/>
              <w:spacing w:line="320" w:lineRule="exact"/>
              <w:rPr>
                <w:rFonts w:hint="eastAsia" w:ascii="宋体" w:hAnsi="宋体" w:cs="宋体"/>
                <w:color w:val="000000" w:themeColor="text1"/>
                <w:sz w:val="24"/>
                <w:highlight w:val="none"/>
                <w14:textFill>
                  <w14:solidFill>
                    <w14:schemeClr w14:val="tx1"/>
                  </w14:solidFill>
                </w14:textFill>
              </w:rPr>
            </w:pPr>
          </w:p>
        </w:tc>
        <w:tc>
          <w:tcPr>
            <w:tcW w:w="6889" w:type="dxa"/>
            <w:gridSpan w:val="3"/>
            <w:shd w:val="clear" w:color="auto" w:fill="auto"/>
            <w:vAlign w:val="center"/>
          </w:tcPr>
          <w:p w14:paraId="726819D4">
            <w:pPr>
              <w:keepNext w:val="0"/>
              <w:keepLines w:val="0"/>
              <w:pageBreakBefore w:val="0"/>
              <w:suppressLineNumbers w:val="0"/>
              <w:kinsoku/>
              <w:wordWrap/>
              <w:overflowPunct/>
              <w:topLinePunct w:val="0"/>
              <w:bidi w:val="0"/>
              <w:snapToGrid/>
              <w:spacing w:before="0" w:beforeAutospacing="0" w:after="0" w:afterAutospacing="0" w:line="288" w:lineRule="auto"/>
              <w:ind w:left="0" w:right="0"/>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11</w:t>
            </w:r>
            <w:r>
              <w:rPr>
                <w:rFonts w:hint="eastAsia" w:ascii="宋体" w:hAnsi="宋体" w:eastAsia="宋体" w:cs="宋体"/>
                <w:b/>
                <w:bCs/>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根据供应商提供的维修成本方案，需包含但不限于以下要点</w:t>
            </w:r>
            <w:r>
              <w:rPr>
                <w:rFonts w:hint="eastAsia" w:ascii="宋体" w:hAnsi="宋体" w:eastAsia="宋体" w:cs="宋体"/>
                <w:b/>
                <w:bCs/>
                <w:color w:val="auto"/>
                <w:kern w:val="0"/>
                <w:sz w:val="24"/>
                <w:szCs w:val="24"/>
                <w:highlight w:val="none"/>
                <w:lang w:val="en-US" w:eastAsia="zh-CN"/>
              </w:rPr>
              <w:t>：①</w:t>
            </w:r>
            <w:r>
              <w:rPr>
                <w:rFonts w:hint="eastAsia" w:ascii="宋体" w:hAnsi="宋体" w:cs="宋体"/>
                <w:b/>
                <w:bCs/>
                <w:color w:val="auto"/>
                <w:kern w:val="0"/>
                <w:sz w:val="24"/>
                <w:szCs w:val="24"/>
                <w:highlight w:val="none"/>
                <w:lang w:val="en-US" w:eastAsia="zh-CN"/>
              </w:rPr>
              <w:t>出保后全保的价格及</w:t>
            </w:r>
            <w:r>
              <w:rPr>
                <w:rFonts w:hint="eastAsia" w:ascii="宋体" w:hAnsi="宋体" w:eastAsia="宋体" w:cs="宋体"/>
                <w:b/>
                <w:bCs/>
                <w:color w:val="auto"/>
                <w:kern w:val="0"/>
                <w:sz w:val="24"/>
                <w:szCs w:val="24"/>
                <w:highlight w:val="none"/>
                <w:lang w:val="en-US" w:eastAsia="zh-CN"/>
              </w:rPr>
              <w:t>设备配件价格</w:t>
            </w:r>
            <w:r>
              <w:rPr>
                <w:rFonts w:hint="eastAsia" w:ascii="宋体" w:hAnsi="宋体" w:cs="宋体"/>
                <w:b/>
                <w:bCs/>
                <w:color w:val="auto"/>
                <w:kern w:val="0"/>
                <w:sz w:val="24"/>
                <w:szCs w:val="24"/>
                <w:highlight w:val="none"/>
                <w:lang w:val="en-US" w:eastAsia="zh-CN"/>
              </w:rPr>
              <w:t>；②</w:t>
            </w:r>
            <w:r>
              <w:rPr>
                <w:rFonts w:hint="eastAsia" w:ascii="宋体" w:hAnsi="宋体" w:eastAsia="宋体" w:cs="宋体"/>
                <w:b/>
                <w:bCs/>
                <w:color w:val="auto"/>
                <w:kern w:val="0"/>
                <w:sz w:val="24"/>
                <w:szCs w:val="24"/>
                <w:highlight w:val="none"/>
                <w:lang w:val="en-US" w:eastAsia="zh-CN"/>
              </w:rPr>
              <w:t>维修</w:t>
            </w:r>
            <w:r>
              <w:rPr>
                <w:rFonts w:hint="eastAsia" w:ascii="宋体" w:hAnsi="宋体" w:cs="宋体"/>
                <w:b/>
                <w:bCs/>
                <w:color w:val="auto"/>
                <w:kern w:val="0"/>
                <w:sz w:val="24"/>
                <w:szCs w:val="24"/>
                <w:highlight w:val="none"/>
                <w:lang w:val="en-US" w:eastAsia="zh-CN"/>
              </w:rPr>
              <w:t>（技术）</w:t>
            </w:r>
            <w:r>
              <w:rPr>
                <w:rFonts w:hint="eastAsia" w:ascii="宋体" w:hAnsi="宋体" w:eastAsia="宋体" w:cs="宋体"/>
                <w:b/>
                <w:bCs/>
                <w:color w:val="auto"/>
                <w:kern w:val="0"/>
                <w:sz w:val="24"/>
                <w:szCs w:val="24"/>
                <w:highlight w:val="none"/>
                <w:lang w:val="en-US" w:eastAsia="zh-CN"/>
              </w:rPr>
              <w:t>服务费；</w:t>
            </w:r>
            <w:r>
              <w:rPr>
                <w:rFonts w:hint="eastAsia" w:ascii="宋体" w:hAnsi="宋体" w:cs="宋体"/>
                <w:b/>
                <w:bCs/>
                <w:color w:val="auto"/>
                <w:kern w:val="0"/>
                <w:sz w:val="24"/>
                <w:szCs w:val="24"/>
                <w:highlight w:val="none"/>
                <w:lang w:val="en-US" w:eastAsia="zh-CN"/>
              </w:rPr>
              <w:t>③</w:t>
            </w:r>
            <w:r>
              <w:rPr>
                <w:rFonts w:hint="eastAsia" w:ascii="宋体" w:hAnsi="宋体" w:eastAsia="宋体" w:cs="宋体"/>
                <w:b/>
                <w:bCs/>
                <w:color w:val="auto"/>
                <w:kern w:val="0"/>
                <w:sz w:val="24"/>
                <w:szCs w:val="24"/>
                <w:highlight w:val="none"/>
                <w:lang w:val="en-US" w:eastAsia="zh-CN"/>
              </w:rPr>
              <w:t>维修完成时间；</w:t>
            </w:r>
            <w:r>
              <w:rPr>
                <w:rFonts w:hint="eastAsia" w:ascii="宋体" w:hAnsi="宋体" w:cs="宋体"/>
                <w:b/>
                <w:bCs/>
                <w:color w:val="auto"/>
                <w:kern w:val="0"/>
                <w:sz w:val="24"/>
                <w:szCs w:val="24"/>
                <w:highlight w:val="none"/>
                <w:lang w:val="en-US" w:eastAsia="zh-CN"/>
              </w:rPr>
              <w:t>④</w:t>
            </w:r>
            <w:r>
              <w:rPr>
                <w:rFonts w:hint="eastAsia" w:ascii="宋体" w:hAnsi="宋体" w:eastAsia="宋体" w:cs="宋体"/>
                <w:b/>
                <w:bCs/>
                <w:color w:val="auto"/>
                <w:kern w:val="0"/>
                <w:sz w:val="24"/>
                <w:szCs w:val="24"/>
                <w:highlight w:val="none"/>
                <w:lang w:val="en-US" w:eastAsia="zh-CN"/>
              </w:rPr>
              <w:t>维修质量的保障</w:t>
            </w:r>
            <w:r>
              <w:rPr>
                <w:rFonts w:hint="eastAsia" w:ascii="宋体" w:hAnsi="宋体" w:cs="宋体"/>
                <w:b/>
                <w:bCs/>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由评标委员会进行评议：</w:t>
            </w:r>
          </w:p>
          <w:p w14:paraId="70C5876A">
            <w:pPr>
              <w:keepNext w:val="0"/>
              <w:keepLines w:val="0"/>
              <w:pageBreakBefore w:val="0"/>
              <w:suppressLineNumbers w:val="0"/>
              <w:kinsoku/>
              <w:wordWrap/>
              <w:overflowPunct/>
              <w:topLinePunct w:val="0"/>
              <w:bidi w:val="0"/>
              <w:snapToGrid/>
              <w:spacing w:before="0" w:beforeAutospacing="0" w:after="0" w:afterAutospacing="0" w:line="288" w:lineRule="auto"/>
              <w:ind w:left="0" w:right="0"/>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val="en-US" w:eastAsia="zh-CN"/>
              </w:rPr>
              <w:t>维修成本方案与货物实际相结合，提供的出保后全保的价格、设备配件价格、维修服务费合理，维修完成时间及时且能保障维修质量的得</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en-US" w:eastAsia="zh-CN"/>
              </w:rPr>
              <w:t>分；</w:t>
            </w:r>
            <w:r>
              <w:rPr>
                <w:rFonts w:hint="eastAsia" w:ascii="宋体" w:hAnsi="宋体" w:eastAsia="宋体" w:cs="宋体"/>
                <w:color w:val="auto"/>
                <w:kern w:val="0"/>
                <w:sz w:val="24"/>
                <w:szCs w:val="24"/>
                <w:highlight w:val="none"/>
                <w:lang w:val="en-US" w:eastAsia="zh-CN"/>
              </w:rPr>
              <w:br w:type="textWrapping"/>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en-US" w:eastAsia="zh-CN"/>
              </w:rPr>
              <w:t>提供的出保后全保的价格、设备配件价格及维修服务费较合理，维修完成时间及时且能保障维修质量的得</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CN"/>
              </w:rPr>
              <w:t>分；</w:t>
            </w:r>
            <w:r>
              <w:rPr>
                <w:rFonts w:hint="eastAsia" w:ascii="宋体" w:hAnsi="宋体" w:eastAsia="宋体" w:cs="宋体"/>
                <w:color w:val="auto"/>
                <w:kern w:val="0"/>
                <w:sz w:val="24"/>
                <w:szCs w:val="24"/>
                <w:highlight w:val="none"/>
                <w:lang w:val="en-US" w:eastAsia="zh-CN"/>
              </w:rPr>
              <w:br w:type="textWrapping"/>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CN"/>
              </w:rPr>
              <w:t>出保后全保的价格、设备配件价格及维修服务费基本合理，维修完成时间</w:t>
            </w:r>
            <w:r>
              <w:rPr>
                <w:rFonts w:hint="eastAsia" w:ascii="宋体" w:hAnsi="宋体" w:cs="宋体"/>
                <w:color w:val="auto"/>
                <w:kern w:val="0"/>
                <w:sz w:val="24"/>
                <w:szCs w:val="24"/>
                <w:highlight w:val="none"/>
                <w:lang w:val="en-US" w:eastAsia="zh-CN"/>
              </w:rPr>
              <w:t>及时，维修质量</w:t>
            </w:r>
            <w:r>
              <w:rPr>
                <w:rFonts w:hint="eastAsia" w:ascii="宋体" w:hAnsi="宋体" w:eastAsia="宋体" w:cs="宋体"/>
                <w:color w:val="auto"/>
                <w:kern w:val="0"/>
                <w:sz w:val="24"/>
                <w:szCs w:val="24"/>
                <w:highlight w:val="none"/>
                <w:lang w:val="en-US" w:eastAsia="zh-CN"/>
              </w:rPr>
              <w:t>不影响设备使用的得</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en-US" w:eastAsia="zh-CN"/>
              </w:rPr>
              <w:t>分；</w:t>
            </w:r>
            <w:r>
              <w:rPr>
                <w:rFonts w:hint="eastAsia" w:ascii="宋体" w:hAnsi="宋体" w:eastAsia="宋体" w:cs="宋体"/>
                <w:color w:val="auto"/>
                <w:kern w:val="0"/>
                <w:sz w:val="24"/>
                <w:szCs w:val="24"/>
                <w:highlight w:val="none"/>
                <w:lang w:val="en-US" w:eastAsia="zh-CN"/>
              </w:rPr>
              <w:br w:type="textWrapping"/>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en-US" w:eastAsia="zh-CN"/>
              </w:rPr>
              <w:t>未能明确阐述维修的各项价格，维修人员配备存在缺陷，有待改进的得</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val="en-US" w:eastAsia="zh-CN"/>
              </w:rPr>
              <w:t>分；</w:t>
            </w:r>
          </w:p>
          <w:p w14:paraId="05770CE8">
            <w:pPr>
              <w:keepNext w:val="0"/>
              <w:keepLines w:val="0"/>
              <w:pageBreakBefore w:val="0"/>
              <w:suppressLineNumbers w:val="0"/>
              <w:kinsoku/>
              <w:wordWrap/>
              <w:overflowPunct/>
              <w:topLinePunct w:val="0"/>
              <w:bidi w:val="0"/>
              <w:snapToGrid/>
              <w:spacing w:before="0" w:beforeAutospacing="0" w:after="0" w:afterAutospacing="0" w:line="288" w:lineRule="auto"/>
              <w:ind w:left="0" w:right="0"/>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val="en-US" w:eastAsia="zh-CN"/>
              </w:rPr>
              <w:t>维修成本方案不合理，无法确保货物故障后及时维修完成正常使用得</w:t>
            </w:r>
            <w:r>
              <w:rPr>
                <w:rFonts w:hint="eastAsia" w:ascii="宋体" w:hAnsi="宋体" w:cs="宋体"/>
                <w:color w:val="auto"/>
                <w:kern w:val="0"/>
                <w:sz w:val="24"/>
                <w:szCs w:val="24"/>
                <w:highlight w:val="none"/>
                <w:lang w:val="en-US" w:eastAsia="zh-CN"/>
              </w:rPr>
              <w:t>0.5</w:t>
            </w:r>
            <w:r>
              <w:rPr>
                <w:rFonts w:hint="eastAsia" w:ascii="宋体" w:hAnsi="宋体" w:eastAsia="宋体" w:cs="宋体"/>
                <w:color w:val="auto"/>
                <w:kern w:val="0"/>
                <w:sz w:val="24"/>
                <w:szCs w:val="24"/>
                <w:highlight w:val="none"/>
                <w:lang w:val="en-US" w:eastAsia="zh-CN"/>
              </w:rPr>
              <w:t>分；</w:t>
            </w:r>
          </w:p>
          <w:p w14:paraId="3D1B4D49">
            <w:pPr>
              <w:keepNext w:val="0"/>
              <w:keepLines w:val="0"/>
              <w:pageBreakBefore w:val="0"/>
              <w:suppressLineNumbers w:val="0"/>
              <w:kinsoku/>
              <w:wordWrap/>
              <w:overflowPunct/>
              <w:topLinePunct w:val="0"/>
              <w:bidi w:val="0"/>
              <w:snapToGrid/>
              <w:spacing w:before="0" w:beforeAutospacing="0" w:after="0" w:afterAutospacing="0" w:line="288" w:lineRule="auto"/>
              <w:ind w:left="0" w:leftChars="0" w:right="0" w:rightChars="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lang w:val="en-US" w:eastAsia="zh-CN"/>
              </w:rPr>
              <w:t>未提供相关内容的不得分。</w:t>
            </w:r>
          </w:p>
        </w:tc>
        <w:tc>
          <w:tcPr>
            <w:tcW w:w="707" w:type="dxa"/>
            <w:shd w:val="clear" w:color="auto" w:fill="auto"/>
            <w:vAlign w:val="center"/>
          </w:tcPr>
          <w:p w14:paraId="7711AFE2">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4</w:t>
            </w:r>
          </w:p>
        </w:tc>
        <w:tc>
          <w:tcPr>
            <w:tcW w:w="705" w:type="dxa"/>
            <w:shd w:val="clear" w:color="auto" w:fill="auto"/>
            <w:vAlign w:val="center"/>
          </w:tcPr>
          <w:p w14:paraId="07B704FB">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主观评审</w:t>
            </w:r>
          </w:p>
        </w:tc>
      </w:tr>
      <w:tr w14:paraId="4FF48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4" w:type="dxa"/>
            <w:vMerge w:val="continue"/>
            <w:vAlign w:val="center"/>
          </w:tcPr>
          <w:p w14:paraId="6FE8091D">
            <w:pPr>
              <w:adjustRightInd/>
              <w:spacing w:line="320" w:lineRule="exact"/>
              <w:rPr>
                <w:rFonts w:hint="eastAsia" w:ascii="宋体" w:hAnsi="宋体" w:cs="宋体"/>
                <w:color w:val="000000" w:themeColor="text1"/>
                <w:sz w:val="24"/>
                <w:highlight w:val="none"/>
                <w14:textFill>
                  <w14:solidFill>
                    <w14:schemeClr w14:val="tx1"/>
                  </w14:solidFill>
                </w14:textFill>
              </w:rPr>
            </w:pPr>
          </w:p>
        </w:tc>
        <w:tc>
          <w:tcPr>
            <w:tcW w:w="6889" w:type="dxa"/>
            <w:gridSpan w:val="3"/>
            <w:shd w:val="clear" w:color="auto" w:fill="auto"/>
            <w:vAlign w:val="center"/>
          </w:tcPr>
          <w:p w14:paraId="0937A2BB">
            <w:pPr>
              <w:adjustRightInd/>
              <w:spacing w:line="320" w:lineRule="exact"/>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000000" w:themeColor="text1"/>
                <w:kern w:val="0"/>
                <w:sz w:val="24"/>
                <w:highlight w:val="none"/>
                <w:lang w:val="en-US" w:eastAsia="zh-CN"/>
                <w14:textFill>
                  <w14:solidFill>
                    <w14:schemeClr w14:val="tx1"/>
                  </w14:solidFill>
                </w14:textFill>
              </w:rPr>
              <w:t>12、</w:t>
            </w:r>
            <w:r>
              <w:rPr>
                <w:rFonts w:hint="eastAsia" w:ascii="宋体" w:hAnsi="宋体" w:eastAsia="宋体" w:cs="宋体"/>
                <w:bCs/>
                <w:color w:val="000000" w:themeColor="text1"/>
                <w:kern w:val="0"/>
                <w:sz w:val="24"/>
                <w:highlight w:val="none"/>
                <w14:textFill>
                  <w14:solidFill>
                    <w14:schemeClr w14:val="tx1"/>
                  </w14:solidFill>
                </w14:textFill>
              </w:rPr>
              <w:t>根据供应商</w:t>
            </w:r>
            <w:r>
              <w:rPr>
                <w:rFonts w:hint="eastAsia" w:ascii="宋体" w:hAnsi="宋体" w:eastAsia="宋体" w:cs="宋体"/>
                <w:bCs/>
                <w:color w:val="000000" w:themeColor="text1"/>
                <w:kern w:val="0"/>
                <w:sz w:val="24"/>
                <w:highlight w:val="none"/>
                <w:lang w:val="en-US" w:eastAsia="zh-CN"/>
                <w14:textFill>
                  <w14:solidFill>
                    <w14:schemeClr w14:val="tx1"/>
                  </w14:solidFill>
                </w14:textFill>
              </w:rPr>
              <w:t>提供的实施管理制度，需包含但不限于以下要点</w:t>
            </w:r>
            <w:r>
              <w:rPr>
                <w:rFonts w:hint="eastAsia" w:ascii="宋体" w:hAnsi="宋体" w:eastAsia="宋体" w:cs="宋体"/>
                <w:b/>
                <w:bCs w:val="0"/>
                <w:color w:val="000000" w:themeColor="text1"/>
                <w:kern w:val="0"/>
                <w:sz w:val="24"/>
                <w:highlight w:val="none"/>
                <w:lang w:val="en-US" w:eastAsia="zh-CN"/>
                <w14:textFill>
                  <w14:solidFill>
                    <w14:schemeClr w14:val="tx1"/>
                  </w14:solidFill>
                </w14:textFill>
              </w:rPr>
              <w:t>：①检测制度；②质量控制制度；③责任追究制度；④档案管理制度</w:t>
            </w:r>
            <w:r>
              <w:rPr>
                <w:rFonts w:hint="eastAsia" w:ascii="宋体" w:hAnsi="宋体" w:eastAsia="宋体" w:cs="宋体"/>
                <w:bCs/>
                <w:color w:val="000000" w:themeColor="text1"/>
                <w:kern w:val="0"/>
                <w:sz w:val="24"/>
                <w:highlight w:val="none"/>
                <w:lang w:eastAsia="zh-CN"/>
                <w14:textFill>
                  <w14:solidFill>
                    <w14:schemeClr w14:val="tx1"/>
                  </w14:solidFill>
                </w14:textFill>
              </w:rPr>
              <w:t>。</w:t>
            </w:r>
            <w:r>
              <w:rPr>
                <w:rFonts w:hint="eastAsia" w:ascii="宋体" w:hAnsi="宋体" w:eastAsia="宋体" w:cs="宋体"/>
                <w:bCs/>
                <w:color w:val="auto"/>
                <w:kern w:val="0"/>
                <w:sz w:val="24"/>
                <w:szCs w:val="24"/>
                <w:highlight w:val="none"/>
                <w:lang w:val="en-US" w:eastAsia="zh-CN"/>
              </w:rPr>
              <w:t>由评标委员会进行评议：</w:t>
            </w:r>
          </w:p>
          <w:p w14:paraId="1037DD29">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1</w:t>
            </w:r>
            <w:r>
              <w:rPr>
                <w:rFonts w:hint="eastAsia" w:ascii="宋体" w:hAnsi="宋体" w:cs="宋体"/>
                <w:bCs/>
                <w:color w:val="auto"/>
                <w:kern w:val="0"/>
                <w:sz w:val="24"/>
                <w:szCs w:val="24"/>
                <w:highlight w:val="none"/>
                <w:lang w:val="en-US" w:eastAsia="zh-CN"/>
              </w:rPr>
              <w:t>）</w:t>
            </w:r>
            <w:r>
              <w:rPr>
                <w:rFonts w:hint="eastAsia" w:ascii="宋体" w:hAnsi="宋体" w:eastAsia="宋体" w:cs="宋体"/>
                <w:bCs/>
                <w:color w:val="auto"/>
                <w:kern w:val="0"/>
                <w:sz w:val="24"/>
                <w:szCs w:val="24"/>
                <w:highlight w:val="none"/>
                <w:lang w:val="en-US" w:eastAsia="zh-CN"/>
              </w:rPr>
              <w:t>实施管理制度极为完善，对检测制度的流程、方法、标准规定得细致入微，能确保检测工作高效、准确开展；质量控制制度严谨，涵盖项目全流程；责任追究制度明确界定各环节责任主体及相应责任，具备清晰的责任认定流程与处罚措施；档案管理制度对档案的分类、存储、调阅等环节制定了严格的规范；各项制度相互协同，能切实有效保障项目实施</w:t>
            </w:r>
            <w:r>
              <w:rPr>
                <w:rFonts w:hint="eastAsia" w:ascii="宋体" w:hAnsi="宋体" w:cs="宋体"/>
                <w:bCs/>
                <w:color w:val="auto"/>
                <w:kern w:val="0"/>
                <w:sz w:val="24"/>
                <w:szCs w:val="24"/>
                <w:highlight w:val="none"/>
                <w:lang w:val="en-US" w:eastAsia="zh-CN"/>
              </w:rPr>
              <w:t>的</w:t>
            </w:r>
            <w:r>
              <w:rPr>
                <w:rFonts w:hint="eastAsia" w:ascii="宋体" w:hAnsi="宋体" w:eastAsia="宋体" w:cs="宋体"/>
                <w:bCs/>
                <w:color w:val="auto"/>
                <w:kern w:val="0"/>
                <w:sz w:val="24"/>
                <w:szCs w:val="24"/>
                <w:highlight w:val="none"/>
                <w:lang w:val="en-US" w:eastAsia="zh-CN"/>
              </w:rPr>
              <w:t>得4分；</w:t>
            </w:r>
            <w:r>
              <w:rPr>
                <w:rFonts w:hint="eastAsia" w:ascii="宋体" w:hAnsi="宋体" w:eastAsia="宋体" w:cs="宋体"/>
                <w:bCs/>
                <w:color w:val="auto"/>
                <w:kern w:val="0"/>
                <w:sz w:val="24"/>
                <w:szCs w:val="24"/>
                <w:highlight w:val="none"/>
                <w:lang w:val="en-US" w:eastAsia="zh-CN"/>
              </w:rPr>
              <w:br w:type="textWrapping"/>
            </w:r>
            <w:r>
              <w:rPr>
                <w:rFonts w:hint="eastAsia" w:ascii="宋体" w:hAnsi="宋体" w:eastAsia="宋体" w:cs="宋体"/>
                <w:bCs/>
                <w:color w:val="auto"/>
                <w:kern w:val="0"/>
                <w:sz w:val="24"/>
                <w:szCs w:val="24"/>
                <w:highlight w:val="none"/>
                <w:lang w:val="en-US" w:eastAsia="zh-CN"/>
              </w:rPr>
              <w:t>2）实施管理制度较为完整，检测制度基本涵盖主要检测流程与关键要求；质量控制制度具备常规的质量把控手段；责任追究制度对主要责任情形有明确规定，处罚措施具有一定合理性；档案管理制度对档案管理的关键环节有相应安排。整体上基本能保障项目按正常流程实施，但存在一些可优化之处</w:t>
            </w:r>
            <w:r>
              <w:rPr>
                <w:rFonts w:hint="eastAsia" w:ascii="宋体" w:hAnsi="宋体" w:cs="宋体"/>
                <w:bCs/>
                <w:color w:val="auto"/>
                <w:kern w:val="0"/>
                <w:sz w:val="24"/>
                <w:szCs w:val="24"/>
                <w:highlight w:val="none"/>
                <w:lang w:val="en-US" w:eastAsia="zh-CN"/>
              </w:rPr>
              <w:t>的</w:t>
            </w:r>
            <w:r>
              <w:rPr>
                <w:rFonts w:hint="eastAsia" w:ascii="宋体" w:hAnsi="宋体" w:eastAsia="宋体" w:cs="宋体"/>
                <w:bCs/>
                <w:color w:val="auto"/>
                <w:kern w:val="0"/>
                <w:sz w:val="24"/>
                <w:szCs w:val="24"/>
                <w:highlight w:val="none"/>
                <w:lang w:val="en-US" w:eastAsia="zh-CN"/>
              </w:rPr>
              <w:t>得</w:t>
            </w:r>
            <w:r>
              <w:rPr>
                <w:rFonts w:hint="eastAsia" w:ascii="宋体" w:hAnsi="宋体" w:cs="宋体"/>
                <w:bCs/>
                <w:color w:val="auto"/>
                <w:kern w:val="0"/>
                <w:sz w:val="24"/>
                <w:szCs w:val="24"/>
                <w:highlight w:val="none"/>
                <w:lang w:val="en-US" w:eastAsia="zh-CN"/>
              </w:rPr>
              <w:t>3</w:t>
            </w:r>
            <w:r>
              <w:rPr>
                <w:rFonts w:hint="eastAsia" w:ascii="宋体" w:hAnsi="宋体" w:eastAsia="宋体" w:cs="宋体"/>
                <w:bCs/>
                <w:color w:val="auto"/>
                <w:kern w:val="0"/>
                <w:sz w:val="24"/>
                <w:szCs w:val="24"/>
                <w:highlight w:val="none"/>
                <w:lang w:val="en-US" w:eastAsia="zh-CN"/>
              </w:rPr>
              <w:t>分；</w:t>
            </w:r>
          </w:p>
          <w:p w14:paraId="0DD6CF48">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3）实施管理制度基本完整，检测制度大致确定了检测工作的基本流程和要求，但部分细节不够明确；质量控制制度有基本的质量控制措施；责任追究制度对常见责任问题有简单说明，责任划分和处理方式不够细分；档案管理制度对档案管理有初步规划，在档案分类、存储等方面存在一些模糊之处。整体上勉强能保障项目实施，不过在应对一些复杂情况时可能存在不足</w:t>
            </w:r>
            <w:r>
              <w:rPr>
                <w:rFonts w:hint="eastAsia" w:ascii="宋体" w:hAnsi="宋体" w:cs="宋体"/>
                <w:bCs/>
                <w:color w:val="auto"/>
                <w:kern w:val="0"/>
                <w:sz w:val="24"/>
                <w:szCs w:val="24"/>
                <w:highlight w:val="none"/>
                <w:lang w:val="en-US" w:eastAsia="zh-CN"/>
              </w:rPr>
              <w:t>的</w:t>
            </w:r>
            <w:r>
              <w:rPr>
                <w:rFonts w:hint="eastAsia" w:ascii="宋体" w:hAnsi="宋体" w:eastAsia="宋体" w:cs="宋体"/>
                <w:bCs/>
                <w:color w:val="auto"/>
                <w:kern w:val="0"/>
                <w:sz w:val="24"/>
                <w:szCs w:val="24"/>
                <w:highlight w:val="none"/>
                <w:lang w:val="en-US" w:eastAsia="zh-CN"/>
              </w:rPr>
              <w:t>得</w:t>
            </w:r>
            <w:r>
              <w:rPr>
                <w:rFonts w:hint="eastAsia" w:ascii="宋体" w:hAnsi="宋体" w:cs="宋体"/>
                <w:bCs/>
                <w:color w:val="auto"/>
                <w:kern w:val="0"/>
                <w:sz w:val="24"/>
                <w:szCs w:val="24"/>
                <w:highlight w:val="none"/>
                <w:lang w:val="en-US" w:eastAsia="zh-CN"/>
              </w:rPr>
              <w:t>2</w:t>
            </w:r>
            <w:r>
              <w:rPr>
                <w:rFonts w:hint="eastAsia" w:ascii="宋体" w:hAnsi="宋体" w:eastAsia="宋体" w:cs="宋体"/>
                <w:bCs/>
                <w:color w:val="auto"/>
                <w:kern w:val="0"/>
                <w:sz w:val="24"/>
                <w:szCs w:val="24"/>
                <w:highlight w:val="none"/>
                <w:lang w:val="en-US" w:eastAsia="zh-CN"/>
              </w:rPr>
              <w:t>分；</w:t>
            </w:r>
          </w:p>
          <w:p w14:paraId="563BA7BF">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4）实施管理制度略有欠缺，检测制度存在流程不清晰、标准不明确等问题；质量控制制度的措施简单，可行性一般，缺乏系统性和有效性；责任追究制度内容简略，责任界定模糊，难以有效执行；档案管理制度混乱，档案管理无章可循。整体制度在实际应用中可能面临较多困难，对项目实施的保障作用有限的得</w:t>
            </w:r>
            <w:r>
              <w:rPr>
                <w:rFonts w:hint="eastAsia" w:ascii="宋体" w:hAnsi="宋体" w:cs="宋体"/>
                <w:bCs/>
                <w:color w:val="auto"/>
                <w:kern w:val="0"/>
                <w:sz w:val="24"/>
                <w:szCs w:val="24"/>
                <w:highlight w:val="none"/>
                <w:lang w:val="en-US" w:eastAsia="zh-CN"/>
              </w:rPr>
              <w:t>1</w:t>
            </w:r>
            <w:r>
              <w:rPr>
                <w:rFonts w:hint="eastAsia" w:ascii="宋体" w:hAnsi="宋体" w:eastAsia="宋体" w:cs="宋体"/>
                <w:bCs/>
                <w:color w:val="auto"/>
                <w:kern w:val="0"/>
                <w:sz w:val="24"/>
                <w:szCs w:val="24"/>
                <w:highlight w:val="none"/>
                <w:lang w:val="en-US" w:eastAsia="zh-CN"/>
              </w:rPr>
              <w:t>分；</w:t>
            </w:r>
          </w:p>
          <w:p w14:paraId="25CDC8E7">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leftChars="0" w:right="0" w:rightChars="0" w:firstLine="0" w:firstLine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5）实施管理制度与项目实际情况存在较大差距，检测制度与项目实际检测需求严重不符；质量控制制度形同虚设，毫无实际操作价值；责任追究制度几乎没有实质内容，无法起到约束作用；档案管理制度完全不符合项目档案管理要求。制度可行性极差，严重阻碍项目实施，无法为项目提供有效支持的得0.5分；</w:t>
            </w:r>
          </w:p>
          <w:p w14:paraId="576F83EE">
            <w:pPr>
              <w:pStyle w:val="237"/>
              <w:rPr>
                <w:rFonts w:hint="eastAsia"/>
                <w:highlight w:val="none"/>
                <w:lang w:val="en-US" w:eastAsia="zh-CN"/>
              </w:rPr>
            </w:pPr>
            <w:r>
              <w:rPr>
                <w:rFonts w:hint="eastAsia" w:ascii="宋体" w:hAnsi="宋体" w:eastAsia="宋体" w:cs="宋体"/>
                <w:bCs/>
                <w:color w:val="auto"/>
                <w:kern w:val="0"/>
                <w:sz w:val="24"/>
                <w:szCs w:val="24"/>
                <w:highlight w:val="none"/>
                <w:lang w:val="en-US" w:eastAsia="zh-CN" w:bidi="ar-SA"/>
              </w:rPr>
              <w:t>6）未提供相关内容的本项不得分。</w:t>
            </w:r>
          </w:p>
        </w:tc>
        <w:tc>
          <w:tcPr>
            <w:tcW w:w="707" w:type="dxa"/>
            <w:shd w:val="clear" w:color="auto" w:fill="auto"/>
            <w:vAlign w:val="center"/>
          </w:tcPr>
          <w:p w14:paraId="76D56571">
            <w:pPr>
              <w:autoSpaceDE w:val="0"/>
              <w:autoSpaceDN w:val="0"/>
              <w:jc w:val="cente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4</w:t>
            </w:r>
          </w:p>
        </w:tc>
        <w:tc>
          <w:tcPr>
            <w:tcW w:w="705" w:type="dxa"/>
            <w:shd w:val="clear" w:color="auto" w:fill="auto"/>
            <w:vAlign w:val="center"/>
          </w:tcPr>
          <w:p w14:paraId="69D563E2">
            <w:pPr>
              <w:autoSpaceDE w:val="0"/>
              <w:autoSpaceDN w:val="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主观评审</w:t>
            </w:r>
          </w:p>
        </w:tc>
      </w:tr>
      <w:tr w14:paraId="333A5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4" w:type="dxa"/>
            <w:vMerge w:val="continue"/>
            <w:vAlign w:val="center"/>
          </w:tcPr>
          <w:p w14:paraId="4D9B8A7B">
            <w:pPr>
              <w:adjustRightInd/>
              <w:spacing w:line="320" w:lineRule="exact"/>
              <w:rPr>
                <w:rFonts w:hint="eastAsia" w:ascii="宋体" w:hAnsi="宋体" w:cs="宋体"/>
                <w:color w:val="000000" w:themeColor="text1"/>
                <w:sz w:val="24"/>
                <w:highlight w:val="none"/>
                <w14:textFill>
                  <w14:solidFill>
                    <w14:schemeClr w14:val="tx1"/>
                  </w14:solidFill>
                </w14:textFill>
              </w:rPr>
            </w:pPr>
          </w:p>
        </w:tc>
        <w:tc>
          <w:tcPr>
            <w:tcW w:w="1376" w:type="dxa"/>
            <w:vAlign w:val="center"/>
          </w:tcPr>
          <w:p w14:paraId="1947AF5F">
            <w:pPr>
              <w:spacing w:line="4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1</w:t>
            </w:r>
            <w:r>
              <w:rPr>
                <w:rFonts w:hint="eastAsia" w:ascii="宋体" w:hAnsi="宋体" w:cs="宋体"/>
                <w:b/>
                <w:color w:val="000000" w:themeColor="text1"/>
                <w:kern w:val="0"/>
                <w:sz w:val="24"/>
                <w:highlight w:val="none"/>
                <w:lang w:val="en-US" w:eastAsia="zh-CN"/>
                <w14:textFill>
                  <w14:solidFill>
                    <w14:schemeClr w14:val="tx1"/>
                  </w14:solidFill>
                </w14:textFill>
              </w:rPr>
              <w:t>3</w:t>
            </w:r>
            <w:r>
              <w:rPr>
                <w:rFonts w:hint="eastAsia" w:ascii="宋体" w:hAnsi="宋体" w:cs="宋体"/>
                <w:b/>
                <w:color w:val="000000" w:themeColor="text1"/>
                <w:kern w:val="0"/>
                <w:sz w:val="24"/>
                <w:highlight w:val="none"/>
                <w14:textFill>
                  <w14:solidFill>
                    <w14:schemeClr w14:val="tx1"/>
                  </w14:solidFill>
                </w14:textFill>
              </w:rPr>
              <w:t>、业绩分（</w:t>
            </w:r>
            <w:r>
              <w:rPr>
                <w:rFonts w:hint="eastAsia" w:ascii="宋体" w:hAnsi="宋体" w:cs="宋体"/>
                <w:b/>
                <w:color w:val="000000" w:themeColor="text1"/>
                <w:kern w:val="0"/>
                <w:sz w:val="24"/>
                <w:highlight w:val="none"/>
                <w:lang w:val="en-US" w:eastAsia="zh-CN"/>
                <w14:textFill>
                  <w14:solidFill>
                    <w14:schemeClr w14:val="tx1"/>
                  </w14:solidFill>
                </w14:textFill>
              </w:rPr>
              <w:t>3</w:t>
            </w:r>
            <w:r>
              <w:rPr>
                <w:rFonts w:hint="eastAsia" w:ascii="宋体" w:hAnsi="宋体" w:cs="宋体"/>
                <w:b/>
                <w:color w:val="000000" w:themeColor="text1"/>
                <w:kern w:val="0"/>
                <w:sz w:val="24"/>
                <w:highlight w:val="none"/>
                <w14:textFill>
                  <w14:solidFill>
                    <w14:schemeClr w14:val="tx1"/>
                  </w14:solidFill>
                </w14:textFill>
              </w:rPr>
              <w:t>分）</w:t>
            </w:r>
          </w:p>
        </w:tc>
        <w:tc>
          <w:tcPr>
            <w:tcW w:w="5513" w:type="dxa"/>
            <w:gridSpan w:val="2"/>
            <w:vAlign w:val="center"/>
          </w:tcPr>
          <w:p w14:paraId="6ED3D0F8">
            <w:pPr>
              <w:adjustRightInd/>
              <w:spacing w:line="32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r>
              <w:rPr>
                <w:rFonts w:hint="eastAsia" w:ascii="宋体" w:hAnsi="宋体" w:cs="宋体"/>
                <w:color w:val="000000" w:themeColor="text1"/>
                <w:kern w:val="0"/>
                <w:sz w:val="24"/>
                <w:highlight w:val="none"/>
                <w:lang w:val="en-US" w:eastAsia="zh-CN"/>
                <w14:textFill>
                  <w14:solidFill>
                    <w14:schemeClr w14:val="tx1"/>
                  </w14:solidFill>
                </w14:textFill>
              </w:rPr>
              <w:t>3</w:t>
            </w:r>
            <w:r>
              <w:rPr>
                <w:rFonts w:hint="eastAsia" w:ascii="宋体" w:hAnsi="宋体" w:cs="宋体"/>
                <w:color w:val="000000" w:themeColor="text1"/>
                <w:kern w:val="0"/>
                <w:sz w:val="24"/>
                <w:highlight w:val="none"/>
                <w14:textFill>
                  <w14:solidFill>
                    <w14:schemeClr w14:val="tx1"/>
                  </w14:solidFill>
                </w14:textFill>
              </w:rPr>
              <w:t>.1供应商自202</w:t>
            </w:r>
            <w:r>
              <w:rPr>
                <w:rFonts w:hint="eastAsia" w:ascii="宋体" w:hAnsi="宋体" w:cs="宋体"/>
                <w:color w:val="000000" w:themeColor="text1"/>
                <w:kern w:val="0"/>
                <w:sz w:val="24"/>
                <w:highlight w:val="none"/>
                <w:lang w:val="en-US" w:eastAsia="zh-CN"/>
                <w14:textFill>
                  <w14:solidFill>
                    <w14:schemeClr w14:val="tx1"/>
                  </w14:solidFill>
                </w14:textFill>
              </w:rPr>
              <w:t>2</w:t>
            </w:r>
            <w:r>
              <w:rPr>
                <w:rFonts w:hint="eastAsia" w:ascii="宋体" w:hAnsi="宋体" w:cs="宋体"/>
                <w:color w:val="000000" w:themeColor="text1"/>
                <w:kern w:val="0"/>
                <w:sz w:val="24"/>
                <w:highlight w:val="none"/>
                <w14:textFill>
                  <w14:solidFill>
                    <w14:schemeClr w14:val="tx1"/>
                  </w14:solidFill>
                </w14:textFill>
              </w:rPr>
              <w:t>年1月1日(时间以合同签订日期为准)起至今，具有</w:t>
            </w:r>
            <w:r>
              <w:rPr>
                <w:rFonts w:hint="eastAsia" w:ascii="宋体" w:hAnsi="宋体" w:cs="宋体"/>
                <w:color w:val="000000" w:themeColor="text1"/>
                <w:kern w:val="0"/>
                <w:sz w:val="24"/>
                <w:highlight w:val="none"/>
                <w:lang w:val="en-US" w:eastAsia="zh-CN"/>
                <w14:textFill>
                  <w14:solidFill>
                    <w14:schemeClr w14:val="tx1"/>
                  </w14:solidFill>
                </w14:textFill>
              </w:rPr>
              <w:t>同类试剂供货</w:t>
            </w:r>
            <w:r>
              <w:rPr>
                <w:rFonts w:hint="eastAsia" w:ascii="宋体" w:hAnsi="宋体" w:cs="宋体"/>
                <w:color w:val="000000" w:themeColor="text1"/>
                <w:kern w:val="0"/>
                <w:sz w:val="24"/>
                <w:highlight w:val="none"/>
                <w14:textFill>
                  <w14:solidFill>
                    <w14:schemeClr w14:val="tx1"/>
                  </w14:solidFill>
                </w14:textFill>
              </w:rPr>
              <w:t>业绩</w:t>
            </w:r>
            <w:r>
              <w:rPr>
                <w:rFonts w:hint="eastAsia" w:ascii="宋体" w:hAnsi="宋体" w:cs="宋体"/>
                <w:color w:val="000000" w:themeColor="text1"/>
                <w:kern w:val="0"/>
                <w:sz w:val="24"/>
                <w:highlight w:val="none"/>
                <w:lang w:val="en-US" w:eastAsia="zh-CN"/>
                <w14:textFill>
                  <w14:solidFill>
                    <w14:schemeClr w14:val="tx1"/>
                  </w14:solidFill>
                </w14:textFill>
              </w:rPr>
              <w:t>或快检室建设业绩或快检服务业绩</w:t>
            </w:r>
            <w:r>
              <w:rPr>
                <w:rFonts w:hint="eastAsia" w:ascii="宋体" w:hAnsi="宋体" w:cs="宋体"/>
                <w:color w:val="000000" w:themeColor="text1"/>
                <w:kern w:val="0"/>
                <w:sz w:val="24"/>
                <w:highlight w:val="none"/>
                <w14:textFill>
                  <w14:solidFill>
                    <w14:schemeClr w14:val="tx1"/>
                  </w14:solidFill>
                </w14:textFill>
              </w:rPr>
              <w:t>，每提供1个得</w:t>
            </w:r>
            <w:r>
              <w:rPr>
                <w:rFonts w:hint="eastAsia" w:ascii="宋体" w:hAnsi="宋体" w:cs="宋体"/>
                <w:color w:val="000000" w:themeColor="text1"/>
                <w:kern w:val="0"/>
                <w:sz w:val="24"/>
                <w:highlight w:val="none"/>
                <w:lang w:val="en-US" w:eastAsia="zh-CN"/>
                <w14:textFill>
                  <w14:solidFill>
                    <w14:schemeClr w14:val="tx1"/>
                  </w14:solidFill>
                </w14:textFill>
              </w:rPr>
              <w:t>1</w:t>
            </w:r>
            <w:r>
              <w:rPr>
                <w:rFonts w:hint="eastAsia" w:ascii="宋体" w:hAnsi="宋体" w:cs="宋体"/>
                <w:color w:val="000000" w:themeColor="text1"/>
                <w:kern w:val="0"/>
                <w:sz w:val="24"/>
                <w:highlight w:val="none"/>
                <w14:textFill>
                  <w14:solidFill>
                    <w14:schemeClr w14:val="tx1"/>
                  </w14:solidFill>
                </w14:textFill>
              </w:rPr>
              <w:t>分，满分</w:t>
            </w:r>
            <w:r>
              <w:rPr>
                <w:rFonts w:hint="eastAsia" w:ascii="宋体" w:hAnsi="宋体" w:cs="宋体"/>
                <w:color w:val="000000" w:themeColor="text1"/>
                <w:kern w:val="0"/>
                <w:sz w:val="24"/>
                <w:highlight w:val="none"/>
                <w:lang w:val="en-US" w:eastAsia="zh-CN"/>
                <w14:textFill>
                  <w14:solidFill>
                    <w14:schemeClr w14:val="tx1"/>
                  </w14:solidFill>
                </w14:textFill>
              </w:rPr>
              <w:t>3</w:t>
            </w:r>
            <w:r>
              <w:rPr>
                <w:rFonts w:hint="eastAsia" w:ascii="宋体" w:hAnsi="宋体" w:cs="宋体"/>
                <w:color w:val="000000" w:themeColor="text1"/>
                <w:kern w:val="0"/>
                <w:sz w:val="24"/>
                <w:highlight w:val="none"/>
                <w14:textFill>
                  <w14:solidFill>
                    <w14:schemeClr w14:val="tx1"/>
                  </w14:solidFill>
                </w14:textFill>
              </w:rPr>
              <w:t>分。</w:t>
            </w:r>
          </w:p>
          <w:p w14:paraId="0B03A64D">
            <w:pPr>
              <w:adjustRightInd/>
              <w:spacing w:line="32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注：投标文件中提供业绩合同扫描件。</w:t>
            </w:r>
          </w:p>
        </w:tc>
        <w:tc>
          <w:tcPr>
            <w:tcW w:w="707" w:type="dxa"/>
            <w:vAlign w:val="center"/>
          </w:tcPr>
          <w:p w14:paraId="5B51A55A">
            <w:pPr>
              <w:adjustRightInd/>
              <w:spacing w:line="300" w:lineRule="exact"/>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w:t>
            </w:r>
          </w:p>
        </w:tc>
        <w:tc>
          <w:tcPr>
            <w:tcW w:w="705" w:type="dxa"/>
            <w:vAlign w:val="center"/>
          </w:tcPr>
          <w:p w14:paraId="5AF714D1">
            <w:pPr>
              <w:adjustRightInd/>
              <w:spacing w:line="3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客观评审</w:t>
            </w:r>
          </w:p>
        </w:tc>
      </w:tr>
    </w:tbl>
    <w:p w14:paraId="34A28B28">
      <w:pPr>
        <w:snapToGrid w:val="0"/>
        <w:spacing w:line="360" w:lineRule="auto"/>
        <w:rPr>
          <w:rFonts w:ascii="宋体" w:hAnsi="宋体" w:cs="宋体"/>
          <w:sz w:val="24"/>
          <w:highlight w:val="none"/>
        </w:rPr>
      </w:pPr>
      <w:r>
        <w:rPr>
          <w:rFonts w:hint="eastAsia" w:ascii="宋体" w:hAnsi="宋体" w:cs="宋体"/>
          <w:sz w:val="20"/>
          <w:szCs w:val="20"/>
          <w:highlight w:val="none"/>
          <w:shd w:val="clear" w:color="auto" w:fill="FFFFFF"/>
        </w:rPr>
        <w:t> </w:t>
      </w:r>
      <w:r>
        <w:rPr>
          <w:rFonts w:hint="eastAsia" w:ascii="宋体" w:hAnsi="宋体" w:cs="宋体"/>
          <w:b/>
          <w:sz w:val="24"/>
          <w:highlight w:val="none"/>
        </w:rPr>
        <w:t>备注：</w:t>
      </w:r>
      <w:r>
        <w:rPr>
          <w:rFonts w:hint="eastAsia" w:ascii="宋体" w:hAnsi="宋体" w:cs="宋体"/>
          <w:sz w:val="24"/>
          <w:highlight w:val="none"/>
          <w:lang w:eastAsia="zh-CN"/>
        </w:rPr>
        <w:t>供应商</w:t>
      </w:r>
      <w:r>
        <w:rPr>
          <w:rFonts w:hint="eastAsia" w:ascii="宋体" w:hAnsi="宋体" w:cs="宋体"/>
          <w:sz w:val="24"/>
          <w:highlight w:val="none"/>
        </w:rPr>
        <w:t>编制投标文件（商务技术文件部分）时，建议按此目录（序号和内容）提供评标标准相应的商务技术资料。小数点后保留一位数。</w:t>
      </w:r>
    </w:p>
    <w:p w14:paraId="5AC1477C">
      <w:pPr>
        <w:snapToGrid w:val="0"/>
        <w:spacing w:line="360" w:lineRule="auto"/>
        <w:rPr>
          <w:rFonts w:ascii="宋体" w:hAnsi="宋体" w:cs="宋体"/>
          <w:b/>
          <w:sz w:val="28"/>
          <w:szCs w:val="28"/>
          <w:highlight w:val="none"/>
        </w:rPr>
      </w:pPr>
      <w:r>
        <w:rPr>
          <w:rFonts w:hint="eastAsia" w:ascii="宋体" w:hAnsi="宋体" w:cs="宋体"/>
          <w:b/>
          <w:sz w:val="32"/>
          <w:highlight w:val="none"/>
        </w:rPr>
        <w:t>一、评标方法</w:t>
      </w:r>
    </w:p>
    <w:p w14:paraId="43E0449A">
      <w:pPr>
        <w:adjustRightInd/>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1.本项目采用综合评分法。</w:t>
      </w:r>
    </w:p>
    <w:p w14:paraId="0DB498A5">
      <w:pPr>
        <w:adjustRightInd/>
        <w:spacing w:line="360" w:lineRule="auto"/>
        <w:rPr>
          <w:rFonts w:ascii="宋体" w:hAnsi="宋体" w:cs="宋体"/>
          <w:kern w:val="0"/>
          <w:sz w:val="24"/>
          <w:highlight w:val="none"/>
        </w:rPr>
      </w:pPr>
      <w:r>
        <w:rPr>
          <w:rFonts w:hint="eastAsia" w:ascii="宋体" w:hAnsi="宋体" w:cs="宋体"/>
          <w:b/>
          <w:sz w:val="32"/>
          <w:highlight w:val="none"/>
        </w:rPr>
        <w:t>二、评标标准</w:t>
      </w:r>
    </w:p>
    <w:p w14:paraId="6450BD78">
      <w:pPr>
        <w:spacing w:line="360" w:lineRule="auto"/>
        <w:ind w:firstLine="472" w:firstLineChars="196"/>
        <w:rPr>
          <w:rFonts w:ascii="宋体" w:hAnsi="宋体" w:cs="宋体"/>
          <w:b/>
          <w:sz w:val="24"/>
          <w:highlight w:val="none"/>
        </w:rPr>
      </w:pPr>
      <w:r>
        <w:rPr>
          <w:rFonts w:hint="eastAsia" w:ascii="宋体" w:hAnsi="宋体" w:cs="宋体"/>
          <w:b/>
          <w:sz w:val="24"/>
          <w:highlight w:val="none"/>
        </w:rPr>
        <w:t>2.</w:t>
      </w:r>
      <w:r>
        <w:rPr>
          <w:rFonts w:hint="eastAsia" w:ascii="宋体" w:hAnsi="宋体" w:cs="宋体"/>
          <w:highlight w:val="none"/>
        </w:rPr>
        <w:t xml:space="preserve"> </w:t>
      </w:r>
      <w:r>
        <w:rPr>
          <w:rFonts w:hint="eastAsia" w:ascii="宋体" w:hAnsi="宋体" w:cs="宋体"/>
          <w:b/>
          <w:sz w:val="24"/>
          <w:highlight w:val="none"/>
        </w:rPr>
        <w:t>评标标准：</w:t>
      </w:r>
      <w:r>
        <w:rPr>
          <w:rFonts w:hint="eastAsia" w:ascii="宋体" w:hAnsi="宋体" w:cs="宋体"/>
          <w:kern w:val="0"/>
          <w:sz w:val="24"/>
          <w:highlight w:val="none"/>
        </w:rPr>
        <w:t>见评标办法前附表。</w:t>
      </w:r>
    </w:p>
    <w:p w14:paraId="08818208">
      <w:pPr>
        <w:spacing w:line="360" w:lineRule="auto"/>
        <w:outlineLvl w:val="0"/>
        <w:rPr>
          <w:rFonts w:ascii="宋体" w:hAnsi="宋体" w:cs="宋体"/>
          <w:b/>
          <w:sz w:val="32"/>
          <w:szCs w:val="32"/>
          <w:highlight w:val="none"/>
        </w:rPr>
      </w:pPr>
      <w:bookmarkStart w:id="408" w:name="_Toc11047"/>
      <w:r>
        <w:rPr>
          <w:rFonts w:hint="eastAsia" w:ascii="宋体" w:hAnsi="宋体" w:cs="宋体"/>
          <w:b/>
          <w:sz w:val="32"/>
          <w:szCs w:val="32"/>
          <w:highlight w:val="none"/>
        </w:rPr>
        <w:t>三、评标程序</w:t>
      </w:r>
      <w:bookmarkEnd w:id="408"/>
    </w:p>
    <w:p w14:paraId="6B6633C9">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3.1符合性审查。</w:t>
      </w:r>
      <w:r>
        <w:rPr>
          <w:rFonts w:hint="eastAsia" w:ascii="宋体" w:hAnsi="宋体" w:cs="宋体"/>
          <w:kern w:val="0"/>
          <w:sz w:val="24"/>
          <w:highlight w:val="none"/>
        </w:rPr>
        <w:t>评标委员会应当对符合资格的投标人的投标文件进行符合性审查，以确定其是否满足招标文件的实质性要求。不满足招标文件的实质性要求的，投标无效。</w:t>
      </w:r>
    </w:p>
    <w:p w14:paraId="4ADD9FC7">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3.2 比较与评价。</w:t>
      </w:r>
      <w:r>
        <w:rPr>
          <w:rFonts w:hint="eastAsia" w:ascii="宋体" w:hAnsi="宋体" w:cs="宋体"/>
          <w:kern w:val="0"/>
          <w:sz w:val="24"/>
          <w:highlight w:val="none"/>
        </w:rPr>
        <w:t>评标委员会应当按照招标文件中规定的评标方法和标准，对符合性审查合格的投标文件进行商务和技术评估，综合比较与评价。</w:t>
      </w:r>
    </w:p>
    <w:p w14:paraId="33477594">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3.3汇总商务技术得分。</w:t>
      </w:r>
      <w:r>
        <w:rPr>
          <w:rFonts w:hint="eastAsia" w:ascii="宋体" w:hAnsi="宋体" w:cs="宋体"/>
          <w:kern w:val="0"/>
          <w:sz w:val="24"/>
          <w:highlight w:val="none"/>
        </w:rPr>
        <w:t>评标委员会各成员应当独立对每个投标人的商务和技术文件进行评价，并汇总商务技术得分情况。</w:t>
      </w:r>
    </w:p>
    <w:p w14:paraId="577671E6">
      <w:pPr>
        <w:spacing w:line="360" w:lineRule="auto"/>
        <w:ind w:firstLine="472" w:firstLineChars="196"/>
        <w:rPr>
          <w:rFonts w:ascii="宋体" w:hAnsi="宋体" w:cs="宋体"/>
          <w:b/>
          <w:kern w:val="0"/>
          <w:sz w:val="24"/>
          <w:highlight w:val="none"/>
        </w:rPr>
      </w:pPr>
      <w:r>
        <w:rPr>
          <w:rFonts w:hint="eastAsia" w:ascii="宋体" w:hAnsi="宋体" w:cs="宋体"/>
          <w:b/>
          <w:kern w:val="0"/>
          <w:sz w:val="24"/>
          <w:highlight w:val="none"/>
        </w:rPr>
        <w:t>3.4报价评审。</w:t>
      </w:r>
    </w:p>
    <w:p w14:paraId="75FC7B2A">
      <w:pPr>
        <w:pStyle w:val="133"/>
        <w:spacing w:before="0"/>
        <w:ind w:firstLine="508" w:firstLineChars="212"/>
        <w:rPr>
          <w:rFonts w:ascii="宋体" w:hAnsi="宋体" w:cs="宋体"/>
          <w:kern w:val="0"/>
          <w:highlight w:val="none"/>
        </w:rPr>
      </w:pPr>
      <w:r>
        <w:rPr>
          <w:rFonts w:hint="eastAsia" w:ascii="宋体" w:hAnsi="宋体" w:cs="宋体"/>
          <w:kern w:val="0"/>
          <w:highlight w:val="none"/>
        </w:rPr>
        <w:t>3.4.1投标文件报价出现前后不一致的，按照下列规定修正：</w:t>
      </w:r>
    </w:p>
    <w:p w14:paraId="720DE8B3">
      <w:pPr>
        <w:pStyle w:val="133"/>
        <w:spacing w:before="0"/>
        <w:ind w:firstLine="480"/>
        <w:rPr>
          <w:rFonts w:ascii="宋体" w:hAnsi="宋体" w:cs="宋体"/>
          <w:kern w:val="0"/>
          <w:szCs w:val="24"/>
          <w:highlight w:val="none"/>
        </w:rPr>
      </w:pPr>
      <w:r>
        <w:rPr>
          <w:rFonts w:hint="eastAsia" w:ascii="宋体" w:hAnsi="宋体" w:cs="宋体"/>
          <w:kern w:val="0"/>
          <w:szCs w:val="24"/>
          <w:highlight w:val="none"/>
        </w:rPr>
        <w:t>3.4.1.1投标文件中开标一览表</w:t>
      </w:r>
      <w:r>
        <w:rPr>
          <w:rFonts w:hint="eastAsia" w:ascii="宋体" w:hAnsi="宋体" w:cs="宋体"/>
          <w:kern w:val="0"/>
          <w:szCs w:val="24"/>
          <w:highlight w:val="none"/>
          <w:lang w:eastAsia="zh-CN"/>
        </w:rPr>
        <w:t>（</w:t>
      </w:r>
      <w:r>
        <w:rPr>
          <w:rFonts w:hint="eastAsia" w:ascii="宋体" w:hAnsi="宋体" w:cs="宋体"/>
          <w:kern w:val="0"/>
          <w:szCs w:val="24"/>
          <w:highlight w:val="none"/>
        </w:rPr>
        <w:t>报价表</w:t>
      </w:r>
      <w:r>
        <w:rPr>
          <w:rFonts w:hint="eastAsia" w:ascii="宋体" w:hAnsi="宋体" w:cs="宋体"/>
          <w:kern w:val="0"/>
          <w:szCs w:val="24"/>
          <w:highlight w:val="none"/>
          <w:lang w:eastAsia="zh-CN"/>
        </w:rPr>
        <w:t>）</w:t>
      </w:r>
      <w:r>
        <w:rPr>
          <w:rFonts w:hint="eastAsia" w:ascii="宋体" w:hAnsi="宋体" w:cs="宋体"/>
          <w:kern w:val="0"/>
          <w:szCs w:val="24"/>
          <w:highlight w:val="none"/>
        </w:rPr>
        <w:t>内容与投标文件中相应内容不一致的，以开标一览表</w:t>
      </w:r>
      <w:r>
        <w:rPr>
          <w:rFonts w:hint="eastAsia" w:ascii="宋体" w:hAnsi="宋体" w:cs="宋体"/>
          <w:kern w:val="0"/>
          <w:szCs w:val="24"/>
          <w:highlight w:val="none"/>
          <w:lang w:eastAsia="zh-CN"/>
        </w:rPr>
        <w:t>（</w:t>
      </w:r>
      <w:r>
        <w:rPr>
          <w:rFonts w:hint="eastAsia" w:ascii="宋体" w:hAnsi="宋体" w:cs="宋体"/>
          <w:kern w:val="0"/>
          <w:szCs w:val="24"/>
          <w:highlight w:val="none"/>
        </w:rPr>
        <w:t>报价表</w:t>
      </w:r>
      <w:r>
        <w:rPr>
          <w:rFonts w:hint="eastAsia" w:ascii="宋体" w:hAnsi="宋体" w:cs="宋体"/>
          <w:kern w:val="0"/>
          <w:szCs w:val="24"/>
          <w:highlight w:val="none"/>
          <w:lang w:eastAsia="zh-CN"/>
        </w:rPr>
        <w:t>）</w:t>
      </w:r>
      <w:r>
        <w:rPr>
          <w:rFonts w:hint="eastAsia" w:ascii="宋体" w:hAnsi="宋体" w:cs="宋体"/>
          <w:kern w:val="0"/>
          <w:szCs w:val="24"/>
          <w:highlight w:val="none"/>
        </w:rPr>
        <w:t>为准</w:t>
      </w:r>
      <w:r>
        <w:rPr>
          <w:rFonts w:hint="eastAsia" w:ascii="宋体" w:hAnsi="宋体" w:cs="宋体"/>
          <w:kern w:val="0"/>
          <w:szCs w:val="24"/>
          <w:highlight w:val="none"/>
          <w:lang w:eastAsia="zh-CN"/>
        </w:rPr>
        <w:t>；</w:t>
      </w:r>
    </w:p>
    <w:p w14:paraId="1AA51131">
      <w:pPr>
        <w:pStyle w:val="133"/>
        <w:spacing w:before="0"/>
        <w:ind w:firstLine="480"/>
        <w:rPr>
          <w:rFonts w:ascii="宋体" w:hAnsi="宋体" w:cs="宋体"/>
          <w:kern w:val="0"/>
          <w:szCs w:val="24"/>
          <w:highlight w:val="none"/>
        </w:rPr>
      </w:pPr>
      <w:r>
        <w:rPr>
          <w:rFonts w:hint="eastAsia" w:ascii="宋体" w:hAnsi="宋体" w:cs="宋体"/>
          <w:kern w:val="0"/>
          <w:szCs w:val="24"/>
          <w:highlight w:val="none"/>
        </w:rPr>
        <w:t>3.4.1.2大写金额和小写金额不一致的，以大写金额为准</w:t>
      </w:r>
      <w:r>
        <w:rPr>
          <w:rFonts w:hint="eastAsia" w:ascii="宋体" w:hAnsi="宋体" w:cs="宋体"/>
          <w:kern w:val="0"/>
          <w:szCs w:val="24"/>
          <w:highlight w:val="none"/>
          <w:lang w:eastAsia="zh-CN"/>
        </w:rPr>
        <w:t>；</w:t>
      </w:r>
    </w:p>
    <w:p w14:paraId="49914983">
      <w:pPr>
        <w:pStyle w:val="133"/>
        <w:spacing w:before="0"/>
        <w:ind w:firstLine="480"/>
        <w:rPr>
          <w:rFonts w:ascii="宋体" w:hAnsi="宋体" w:cs="宋体"/>
          <w:kern w:val="0"/>
          <w:szCs w:val="24"/>
          <w:highlight w:val="none"/>
        </w:rPr>
      </w:pPr>
      <w:r>
        <w:rPr>
          <w:rFonts w:hint="eastAsia" w:ascii="宋体" w:hAnsi="宋体" w:cs="宋体"/>
          <w:kern w:val="0"/>
          <w:szCs w:val="24"/>
          <w:highlight w:val="none"/>
        </w:rPr>
        <w:t>3.4.1.3单价金额小数点或者百分比有明显错位的，以开标一览表的总价为准，并修改单价</w:t>
      </w:r>
      <w:r>
        <w:rPr>
          <w:rFonts w:hint="eastAsia" w:ascii="宋体" w:hAnsi="宋体" w:cs="宋体"/>
          <w:kern w:val="0"/>
          <w:szCs w:val="24"/>
          <w:highlight w:val="none"/>
          <w:lang w:eastAsia="zh-CN"/>
        </w:rPr>
        <w:t>；</w:t>
      </w:r>
    </w:p>
    <w:p w14:paraId="65BDEFB8">
      <w:pPr>
        <w:pStyle w:val="133"/>
        <w:spacing w:before="0"/>
        <w:ind w:firstLine="480"/>
        <w:rPr>
          <w:rFonts w:ascii="宋体" w:hAnsi="宋体" w:cs="宋体"/>
          <w:kern w:val="0"/>
          <w:szCs w:val="24"/>
          <w:highlight w:val="none"/>
        </w:rPr>
      </w:pPr>
      <w:r>
        <w:rPr>
          <w:rFonts w:hint="eastAsia" w:ascii="宋体" w:hAnsi="宋体" w:cs="宋体"/>
          <w:kern w:val="0"/>
          <w:szCs w:val="24"/>
          <w:highlight w:val="none"/>
        </w:rPr>
        <w:t>3.4.1.4总价金额与按单价汇总金额不一致的，以单价金额计算结果为准。</w:t>
      </w:r>
    </w:p>
    <w:p w14:paraId="42A24A79">
      <w:pPr>
        <w:pStyle w:val="133"/>
        <w:spacing w:before="0"/>
        <w:ind w:firstLine="480"/>
        <w:rPr>
          <w:rFonts w:ascii="宋体" w:hAnsi="宋体" w:cs="宋体"/>
          <w:kern w:val="0"/>
          <w:szCs w:val="24"/>
          <w:highlight w:val="none"/>
        </w:rPr>
      </w:pPr>
      <w:r>
        <w:rPr>
          <w:rFonts w:hint="eastAsia" w:ascii="宋体" w:hAnsi="宋体" w:cs="宋体"/>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70FDB9F">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3.4.2投标文件出现不是唯一的、有选择性投标报价的，投标无效。</w:t>
      </w:r>
    </w:p>
    <w:p w14:paraId="66695088">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3.4.3投标报价超过招标文件中规定的预算金额或者最高限价的，投标无效。</w:t>
      </w:r>
    </w:p>
    <w:p w14:paraId="71434F37">
      <w:pPr>
        <w:pStyle w:val="133"/>
        <w:spacing w:before="0"/>
        <w:ind w:firstLine="480"/>
        <w:rPr>
          <w:rFonts w:ascii="宋体" w:hAnsi="宋体" w:cs="宋体"/>
          <w:kern w:val="0"/>
          <w:szCs w:val="24"/>
          <w:highlight w:val="none"/>
        </w:rPr>
      </w:pPr>
      <w:r>
        <w:rPr>
          <w:rFonts w:hint="eastAsia" w:ascii="宋体" w:hAnsi="宋体" w:cs="宋体"/>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cs="宋体"/>
          <w:kern w:val="0"/>
          <w:szCs w:val="24"/>
          <w:highlight w:val="none"/>
          <w:lang w:eastAsia="zh-CN"/>
        </w:rPr>
        <w:t>；</w:t>
      </w:r>
      <w:r>
        <w:rPr>
          <w:rFonts w:hint="eastAsia" w:ascii="宋体" w:hAnsi="宋体" w:cs="宋体"/>
          <w:kern w:val="0"/>
          <w:szCs w:val="24"/>
          <w:highlight w:val="none"/>
        </w:rPr>
        <w:t>投标人不能证明其报价合理性的，评标委员会应当将其作为无效投标处理。</w:t>
      </w:r>
    </w:p>
    <w:p w14:paraId="3E42DAB4">
      <w:pPr>
        <w:pStyle w:val="133"/>
        <w:spacing w:before="0"/>
        <w:ind w:firstLine="480"/>
        <w:rPr>
          <w:rFonts w:ascii="宋体" w:hAnsi="宋体" w:cs="宋体"/>
          <w:kern w:val="0"/>
          <w:szCs w:val="24"/>
          <w:highlight w:val="none"/>
        </w:rPr>
      </w:pPr>
      <w:r>
        <w:rPr>
          <w:rFonts w:hint="eastAsia" w:ascii="宋体" w:hAnsi="宋体" w:cs="宋体"/>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25CD109F">
      <w:pPr>
        <w:spacing w:line="360" w:lineRule="auto"/>
        <w:ind w:firstLine="482" w:firstLineChars="200"/>
        <w:rPr>
          <w:rFonts w:hint="default" w:ascii="宋体" w:hAnsi="宋体" w:eastAsia="宋体" w:cs="宋体"/>
          <w:b/>
          <w:bCs w:val="0"/>
          <w:kern w:val="0"/>
          <w:sz w:val="24"/>
          <w:highlight w:val="none"/>
          <w:lang w:val="en-US" w:eastAsia="zh-CN"/>
        </w:rPr>
      </w:pPr>
      <w:r>
        <w:rPr>
          <w:rFonts w:hint="eastAsia" w:ascii="宋体" w:hAnsi="宋体" w:cs="宋体"/>
          <w:b/>
          <w:bCs w:val="0"/>
          <w:kern w:val="0"/>
          <w:sz w:val="24"/>
          <w:highlight w:val="none"/>
        </w:rPr>
        <w:t>3.5排序与推荐。采用综合评分法的，</w:t>
      </w:r>
      <w:r>
        <w:rPr>
          <w:rFonts w:hint="eastAsia" w:ascii="宋体" w:hAnsi="宋体" w:cs="宋体"/>
          <w:b/>
          <w:bCs/>
          <w:color w:val="auto"/>
          <w:kern w:val="0"/>
          <w:sz w:val="24"/>
          <w:highlight w:val="none"/>
          <w:lang w:val="en-US" w:eastAsia="zh-CN"/>
        </w:rPr>
        <w:t>有效投标供应商数量等于3家时，中标候选人数量为1家；有效投标供应商数量等于4家时，中标候选人数量为2家；有效投标供应商数量大于等于5家时，中标候选人数量为3家</w:t>
      </w:r>
      <w:r>
        <w:rPr>
          <w:rFonts w:hint="eastAsia" w:ascii="宋体" w:hAnsi="宋体" w:cs="宋体"/>
          <w:b/>
          <w:bCs/>
          <w:color w:val="auto"/>
          <w:kern w:val="0"/>
          <w:sz w:val="24"/>
          <w:highlight w:val="none"/>
        </w:rPr>
        <w:t>。</w:t>
      </w:r>
      <w:r>
        <w:rPr>
          <w:rFonts w:hint="eastAsia" w:ascii="宋体" w:hAnsi="宋体" w:cs="宋体"/>
          <w:b/>
          <w:bCs w:val="0"/>
          <w:kern w:val="0"/>
          <w:sz w:val="24"/>
          <w:highlight w:val="none"/>
        </w:rPr>
        <w:t>得分相同的，按投标报价由低到高顺序排列。得分且投标报价相同的并列。投标文件满足招标文件全部实质性要求，且按照评审因素的量化指标评审得分最高的投标人为排名第一的中标候选人。</w:t>
      </w:r>
    </w:p>
    <w:p w14:paraId="687E1694">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3.6编写评标报告。</w:t>
      </w:r>
      <w:r>
        <w:rPr>
          <w:rFonts w:hint="eastAsia" w:ascii="宋体" w:hAnsi="宋体" w:cs="宋体"/>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8350C93">
      <w:pPr>
        <w:widowControl/>
        <w:shd w:val="clear" w:color="auto" w:fill="FFFFFF"/>
        <w:adjustRightInd/>
        <w:spacing w:after="225" w:line="315" w:lineRule="atLeast"/>
        <w:jc w:val="left"/>
        <w:rPr>
          <w:rFonts w:ascii="宋体" w:hAnsi="宋体" w:cs="宋体"/>
          <w:b/>
          <w:sz w:val="32"/>
          <w:highlight w:val="none"/>
        </w:rPr>
      </w:pPr>
      <w:r>
        <w:rPr>
          <w:rFonts w:hint="eastAsia" w:ascii="宋体" w:hAnsi="宋体" w:cs="宋体"/>
          <w:b/>
          <w:sz w:val="32"/>
          <w:highlight w:val="none"/>
        </w:rPr>
        <w:t>四、评标中的其他事项</w:t>
      </w:r>
    </w:p>
    <w:p w14:paraId="363030F4">
      <w:pPr>
        <w:pStyle w:val="133"/>
        <w:spacing w:before="0"/>
        <w:ind w:firstLine="472" w:firstLineChars="196"/>
        <w:rPr>
          <w:rFonts w:ascii="宋体" w:hAnsi="宋体" w:cs="宋体"/>
          <w:kern w:val="0"/>
          <w:szCs w:val="24"/>
          <w:highlight w:val="none"/>
        </w:rPr>
      </w:pPr>
      <w:r>
        <w:rPr>
          <w:rFonts w:hint="eastAsia" w:ascii="宋体" w:hAnsi="宋体" w:cs="宋体"/>
          <w:b/>
          <w:kern w:val="0"/>
          <w:szCs w:val="24"/>
          <w:highlight w:val="none"/>
        </w:rPr>
        <w:t>4.1投标人澄清、说明或者补正。</w:t>
      </w:r>
      <w:r>
        <w:rPr>
          <w:rFonts w:hint="eastAsia" w:ascii="宋体" w:hAnsi="宋体" w:cs="宋体"/>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1D2DA67">
      <w:pPr>
        <w:pStyle w:val="25"/>
        <w:spacing w:line="360" w:lineRule="auto"/>
        <w:ind w:left="954" w:leftChars="226" w:hanging="479" w:firstLineChars="0"/>
        <w:rPr>
          <w:rFonts w:cs="宋体"/>
          <w:szCs w:val="21"/>
          <w:highlight w:val="none"/>
        </w:rPr>
      </w:pPr>
      <w:r>
        <w:rPr>
          <w:rFonts w:hint="eastAsia" w:cs="宋体"/>
          <w:b/>
          <w:kern w:val="0"/>
          <w:highlight w:val="none"/>
        </w:rPr>
        <w:t>4.2投标无效。</w:t>
      </w:r>
      <w:r>
        <w:rPr>
          <w:rFonts w:hint="eastAsia" w:cs="宋体"/>
          <w:szCs w:val="21"/>
          <w:highlight w:val="none"/>
        </w:rPr>
        <w:t>有下列情形之一的，投标无效：</w:t>
      </w:r>
    </w:p>
    <w:p w14:paraId="4111927C">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4.2.1投标人不具备招标文件中规定的资格要求的（投标人未提供有效的资格文件的，视为投标人不具备招标文件中规定的资格要求）；</w:t>
      </w:r>
    </w:p>
    <w:p w14:paraId="5A2D7CA2">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4.2.2投标文件未按照招标文件要求签署、盖章的；</w:t>
      </w:r>
    </w:p>
    <w:p w14:paraId="1E1327AC">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5FE5BCA3">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4.2.4投标文件含有采购人不能接受的附加条件的；</w:t>
      </w:r>
    </w:p>
    <w:p w14:paraId="0B829A2D">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4.2.5投标文件中承诺的投标有效期少于招标文件中载明的投标有效期的；</w:t>
      </w:r>
    </w:p>
    <w:p w14:paraId="2C616579">
      <w:pPr>
        <w:snapToGrid w:val="0"/>
        <w:spacing w:line="360" w:lineRule="auto"/>
        <w:ind w:firstLine="120" w:firstLineChars="50"/>
        <w:jc w:val="left"/>
        <w:rPr>
          <w:rFonts w:ascii="宋体" w:hAnsi="宋体" w:cs="宋体"/>
          <w:kern w:val="0"/>
          <w:sz w:val="24"/>
          <w:highlight w:val="none"/>
        </w:rPr>
      </w:pPr>
      <w:r>
        <w:rPr>
          <w:rFonts w:hint="eastAsia" w:ascii="宋体" w:hAnsi="宋体" w:cs="宋体"/>
          <w:kern w:val="0"/>
          <w:sz w:val="24"/>
          <w:highlight w:val="none"/>
        </w:rPr>
        <w:t xml:space="preserve">   4.2.6投标文件出现不是唯一的、有选择性投标报价的</w:t>
      </w:r>
      <w:r>
        <w:rPr>
          <w:rFonts w:hint="eastAsia" w:ascii="宋体" w:hAnsi="宋体" w:cs="宋体"/>
          <w:kern w:val="0"/>
          <w:sz w:val="24"/>
          <w:highlight w:val="none"/>
          <w:lang w:eastAsia="zh-CN"/>
        </w:rPr>
        <w:t>；</w:t>
      </w:r>
    </w:p>
    <w:p w14:paraId="2F7EA47B">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4.2.7投标报价超过招标文件中规定的预算金额或者最高限价的</w:t>
      </w:r>
      <w:r>
        <w:rPr>
          <w:rFonts w:hint="eastAsia" w:ascii="宋体" w:hAnsi="宋体" w:cs="宋体"/>
          <w:kern w:val="0"/>
          <w:sz w:val="24"/>
          <w:highlight w:val="none"/>
          <w:lang w:eastAsia="zh-CN"/>
        </w:rPr>
        <w:t>；</w:t>
      </w:r>
    </w:p>
    <w:p w14:paraId="2878CE23">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4.2.8报价明显低于其他通过符合性审查投标人的报价（低于</w:t>
      </w:r>
      <w:r>
        <w:rPr>
          <w:rFonts w:hint="eastAsia" w:ascii="宋体" w:hAnsi="宋体" w:cs="宋体"/>
          <w:kern w:val="0"/>
          <w:sz w:val="24"/>
          <w:highlight w:val="none"/>
          <w:lang w:val="zh-CN" w:eastAsia="zh-CN"/>
        </w:rPr>
        <w:t>最高限价</w:t>
      </w:r>
      <w:r>
        <w:rPr>
          <w:rFonts w:hint="eastAsia" w:ascii="宋体" w:hAnsi="宋体" w:cs="宋体"/>
          <w:kern w:val="0"/>
          <w:sz w:val="24"/>
          <w:highlight w:val="none"/>
        </w:rPr>
        <w:t>50%的），有可能影响产品质量或者不能诚信履约的，未能按要求提供书面说明或者提交相关证明材料，不能证明其报价合理性的</w:t>
      </w:r>
      <w:r>
        <w:rPr>
          <w:rFonts w:hint="eastAsia" w:ascii="宋体" w:hAnsi="宋体" w:cs="宋体"/>
          <w:kern w:val="0"/>
          <w:sz w:val="24"/>
          <w:highlight w:val="none"/>
          <w:lang w:eastAsia="zh-CN"/>
        </w:rPr>
        <w:t>；</w:t>
      </w:r>
    </w:p>
    <w:p w14:paraId="3D88EB2F">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4.2.9投标人对根据修正原则修正后的报价不确认的；</w:t>
      </w:r>
    </w:p>
    <w:p w14:paraId="48B33514">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4.2.10投标人提供虚假材料投标的；</w:t>
      </w:r>
    </w:p>
    <w:p w14:paraId="1E08134A">
      <w:pPr>
        <w:spacing w:line="360" w:lineRule="auto"/>
        <w:ind w:firstLine="240" w:firstLineChars="100"/>
        <w:rPr>
          <w:rFonts w:ascii="宋体" w:hAnsi="宋体" w:cs="宋体"/>
          <w:kern w:val="0"/>
          <w:sz w:val="24"/>
          <w:highlight w:val="none"/>
        </w:rPr>
      </w:pPr>
      <w:r>
        <w:rPr>
          <w:rFonts w:hint="eastAsia" w:ascii="宋体" w:hAnsi="宋体" w:cs="宋体"/>
          <w:kern w:val="0"/>
          <w:sz w:val="24"/>
          <w:highlight w:val="none"/>
        </w:rPr>
        <w:t xml:space="preserve">  4.2.11投标人有恶意串通、妨碍其他投标人的竞争行为、损害采购人或者其他投标人的合法权益情形的；</w:t>
      </w:r>
    </w:p>
    <w:p w14:paraId="36D8BB40">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4.2.12投标人仅提交备份投标文件，未在电子交易平台传输递交投标文件的，投标无效；</w:t>
      </w:r>
    </w:p>
    <w:p w14:paraId="7F0EA131">
      <w:pPr>
        <w:spacing w:line="360" w:lineRule="auto"/>
        <w:ind w:firstLine="480" w:firstLineChars="200"/>
        <w:rPr>
          <w:rFonts w:hint="eastAsia" w:ascii="宋体" w:hAnsi="宋体" w:cs="宋体"/>
          <w:kern w:val="0"/>
          <w:sz w:val="24"/>
          <w:highlight w:val="none"/>
          <w:lang w:val="en-US"/>
        </w:rPr>
      </w:pPr>
      <w:r>
        <w:rPr>
          <w:rFonts w:hint="eastAsia" w:ascii="宋体" w:hAnsi="宋体" w:cs="宋体"/>
          <w:kern w:val="0"/>
          <w:sz w:val="24"/>
          <w:highlight w:val="none"/>
          <w:lang w:val="en-US"/>
        </w:rPr>
        <w:t>4.2.13 投标文件不满足招标文件</w:t>
      </w:r>
      <w:r>
        <w:rPr>
          <w:rFonts w:hint="eastAsia" w:ascii="宋体" w:hAnsi="宋体" w:cs="宋体"/>
          <w:kern w:val="0"/>
          <w:sz w:val="24"/>
          <w:highlight w:val="none"/>
          <w:lang w:val="en-US" w:eastAsia="zh-CN"/>
        </w:rPr>
        <w:t>的其他</w:t>
      </w:r>
      <w:r>
        <w:rPr>
          <w:rFonts w:hint="eastAsia" w:ascii="宋体" w:hAnsi="宋体" w:cs="宋体"/>
          <w:kern w:val="0"/>
          <w:sz w:val="24"/>
          <w:highlight w:val="none"/>
          <w:lang w:val="en-US"/>
        </w:rPr>
        <w:t>实质性要求的；</w:t>
      </w:r>
    </w:p>
    <w:p w14:paraId="41CB90D6">
      <w:pPr>
        <w:spacing w:line="360" w:lineRule="auto"/>
        <w:ind w:firstLine="480" w:firstLineChars="200"/>
        <w:rPr>
          <w:rFonts w:hint="eastAsia" w:ascii="宋体" w:hAnsi="宋体" w:cs="宋体"/>
          <w:kern w:val="0"/>
          <w:sz w:val="24"/>
          <w:highlight w:val="none"/>
          <w:lang w:val="en-US"/>
        </w:rPr>
      </w:pPr>
      <w:r>
        <w:rPr>
          <w:rFonts w:hint="eastAsia" w:ascii="宋体" w:hAnsi="宋体" w:cs="宋体"/>
          <w:kern w:val="0"/>
          <w:sz w:val="24"/>
          <w:highlight w:val="none"/>
          <w:lang w:val="en-US"/>
        </w:rPr>
        <w:t>4.2.1</w:t>
      </w:r>
      <w:r>
        <w:rPr>
          <w:rFonts w:hint="eastAsia" w:ascii="宋体" w:hAnsi="宋体" w:cs="宋体"/>
          <w:kern w:val="0"/>
          <w:sz w:val="24"/>
          <w:highlight w:val="none"/>
          <w:lang w:val="en-US" w:eastAsia="zh-CN"/>
        </w:rPr>
        <w:t>4</w:t>
      </w:r>
      <w:r>
        <w:rPr>
          <w:rFonts w:hint="eastAsia" w:ascii="宋体" w:hAnsi="宋体" w:cs="宋体"/>
          <w:kern w:val="0"/>
          <w:sz w:val="24"/>
          <w:highlight w:val="none"/>
          <w:lang w:val="en-US"/>
        </w:rPr>
        <w:t>不同供应商的电子投标（响应）文件上传计算机的网卡MAC地址或硬盘序列号等硬件信息相同的；</w:t>
      </w:r>
    </w:p>
    <w:p w14:paraId="31932F86">
      <w:pPr>
        <w:spacing w:line="360" w:lineRule="auto"/>
        <w:ind w:firstLine="480" w:firstLineChars="200"/>
        <w:rPr>
          <w:rFonts w:hint="eastAsia" w:ascii="宋体" w:hAnsi="宋体" w:cs="宋体"/>
          <w:kern w:val="0"/>
          <w:sz w:val="24"/>
          <w:highlight w:val="none"/>
          <w:lang w:val="en-US"/>
        </w:rPr>
      </w:pPr>
      <w:r>
        <w:rPr>
          <w:rFonts w:hint="eastAsia" w:ascii="宋体" w:hAnsi="宋体" w:cs="宋体"/>
          <w:kern w:val="0"/>
          <w:sz w:val="24"/>
          <w:highlight w:val="none"/>
          <w:lang w:val="en-US"/>
        </w:rPr>
        <w:t>4.2.1</w:t>
      </w:r>
      <w:r>
        <w:rPr>
          <w:rFonts w:hint="eastAsia" w:ascii="宋体" w:hAnsi="宋体" w:cs="宋体"/>
          <w:kern w:val="0"/>
          <w:sz w:val="24"/>
          <w:highlight w:val="none"/>
          <w:lang w:val="en-US" w:eastAsia="zh-CN"/>
        </w:rPr>
        <w:t>5</w:t>
      </w:r>
      <w:r>
        <w:rPr>
          <w:rFonts w:hint="eastAsia" w:ascii="宋体" w:hAnsi="宋体" w:cs="宋体"/>
          <w:kern w:val="0"/>
          <w:sz w:val="24"/>
          <w:highlight w:val="none"/>
          <w:lang w:val="en-US"/>
        </w:rPr>
        <w:t>上传的电子投标（响应）文件若出现使用本项目其他投标（响应）供应商的数字证书加密的，或者加盖本项目其他投标（响应）供应商的电子印章的；</w:t>
      </w:r>
    </w:p>
    <w:p w14:paraId="5DBAE3A0">
      <w:pPr>
        <w:spacing w:line="360" w:lineRule="auto"/>
        <w:ind w:firstLine="480" w:firstLineChars="200"/>
        <w:rPr>
          <w:rFonts w:hint="eastAsia" w:ascii="宋体" w:hAnsi="宋体" w:cs="宋体"/>
          <w:kern w:val="0"/>
          <w:sz w:val="24"/>
          <w:highlight w:val="none"/>
          <w:lang w:val="en-US"/>
        </w:rPr>
      </w:pPr>
      <w:r>
        <w:rPr>
          <w:rFonts w:hint="eastAsia" w:ascii="宋体" w:hAnsi="宋体" w:cs="宋体"/>
          <w:kern w:val="0"/>
          <w:sz w:val="24"/>
          <w:highlight w:val="none"/>
          <w:lang w:val="en-US"/>
        </w:rPr>
        <w:t>4.2.1</w:t>
      </w:r>
      <w:r>
        <w:rPr>
          <w:rFonts w:hint="eastAsia" w:ascii="宋体" w:hAnsi="宋体" w:cs="宋体"/>
          <w:kern w:val="0"/>
          <w:sz w:val="24"/>
          <w:highlight w:val="none"/>
          <w:lang w:val="en-US" w:eastAsia="zh-CN"/>
        </w:rPr>
        <w:t>6</w:t>
      </w:r>
      <w:r>
        <w:rPr>
          <w:rFonts w:hint="eastAsia" w:ascii="宋体" w:hAnsi="宋体" w:cs="宋体"/>
          <w:kern w:val="0"/>
          <w:sz w:val="24"/>
          <w:highlight w:val="none"/>
          <w:lang w:val="en-US"/>
        </w:rPr>
        <w:t>不同供应商的投标（响应）文件的内容存在3处（含）以上错误一致的；</w:t>
      </w:r>
    </w:p>
    <w:p w14:paraId="354364E0">
      <w:pPr>
        <w:spacing w:line="360" w:lineRule="auto"/>
        <w:ind w:firstLine="480" w:firstLineChars="200"/>
        <w:rPr>
          <w:rFonts w:hint="eastAsia" w:ascii="宋体" w:hAnsi="宋体" w:cs="宋体"/>
          <w:kern w:val="0"/>
          <w:sz w:val="24"/>
          <w:highlight w:val="none"/>
          <w:lang w:val="en-US"/>
        </w:rPr>
      </w:pPr>
      <w:r>
        <w:rPr>
          <w:rFonts w:hint="eastAsia" w:ascii="宋体" w:hAnsi="宋体" w:cs="宋体"/>
          <w:kern w:val="0"/>
          <w:sz w:val="24"/>
          <w:highlight w:val="none"/>
          <w:lang w:val="en-US"/>
        </w:rPr>
        <w:t>4.2.1</w:t>
      </w:r>
      <w:r>
        <w:rPr>
          <w:rFonts w:hint="eastAsia" w:ascii="宋体" w:hAnsi="宋体" w:cs="宋体"/>
          <w:kern w:val="0"/>
          <w:sz w:val="24"/>
          <w:highlight w:val="none"/>
          <w:lang w:val="en-US" w:eastAsia="zh-CN"/>
        </w:rPr>
        <w:t>7</w:t>
      </w:r>
      <w:r>
        <w:rPr>
          <w:rFonts w:hint="eastAsia" w:ascii="宋体" w:hAnsi="宋体" w:cs="宋体"/>
          <w:kern w:val="0"/>
          <w:sz w:val="24"/>
          <w:highlight w:val="none"/>
          <w:lang w:val="en-US"/>
        </w:rPr>
        <w:t>不同供应商联系人为同一人或不同联系人的联系电话一致的。</w:t>
      </w:r>
    </w:p>
    <w:p w14:paraId="5CDB53AD">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w:t>
      </w:r>
      <w:r>
        <w:rPr>
          <w:rFonts w:hint="eastAsia" w:ascii="宋体" w:hAnsi="宋体" w:cs="宋体"/>
          <w:kern w:val="0"/>
          <w:sz w:val="24"/>
          <w:highlight w:val="none"/>
          <w:lang w:val="en-US" w:eastAsia="zh-CN"/>
        </w:rPr>
        <w:t>8</w:t>
      </w:r>
      <w:r>
        <w:rPr>
          <w:rFonts w:hint="eastAsia" w:ascii="宋体" w:hAnsi="宋体" w:cs="宋体"/>
          <w:kern w:val="0"/>
          <w:sz w:val="24"/>
          <w:highlight w:val="none"/>
          <w:lang w:eastAsia="zh-CN"/>
        </w:rPr>
        <w:t>法律法规</w:t>
      </w:r>
      <w:r>
        <w:rPr>
          <w:rFonts w:hint="eastAsia" w:ascii="宋体" w:hAnsi="宋体" w:cs="宋体"/>
          <w:kern w:val="0"/>
          <w:sz w:val="24"/>
          <w:highlight w:val="none"/>
        </w:rPr>
        <w:t>、规章（适用本市的）及省级以上规范性文件（适用本市的）规定的其他无效情形。</w:t>
      </w:r>
    </w:p>
    <w:p w14:paraId="6525ED29">
      <w:pPr>
        <w:pStyle w:val="25"/>
        <w:snapToGrid w:val="0"/>
        <w:spacing w:line="360" w:lineRule="auto"/>
        <w:ind w:firstLineChars="196"/>
        <w:rPr>
          <w:rFonts w:cs="宋体"/>
          <w:b/>
          <w:highlight w:val="none"/>
        </w:rPr>
      </w:pPr>
      <w:r>
        <w:rPr>
          <w:rFonts w:hint="eastAsia" w:cs="宋体"/>
          <w:b/>
          <w:highlight w:val="none"/>
        </w:rPr>
        <w:t>4.2.15上传投标文件同一网卡地址、同一IP地址且不能进行有效说明的为无效标。</w:t>
      </w:r>
    </w:p>
    <w:p w14:paraId="7B082B83">
      <w:pPr>
        <w:pStyle w:val="25"/>
        <w:snapToGrid w:val="0"/>
        <w:spacing w:line="360" w:lineRule="auto"/>
        <w:ind w:firstLineChars="196"/>
        <w:rPr>
          <w:rFonts w:cs="宋体"/>
          <w:highlight w:val="none"/>
        </w:rPr>
      </w:pPr>
      <w:r>
        <w:rPr>
          <w:rFonts w:hint="eastAsia" w:cs="宋体"/>
          <w:b/>
          <w:highlight w:val="none"/>
        </w:rPr>
        <w:t>5.废标。</w:t>
      </w:r>
      <w:r>
        <w:rPr>
          <w:rFonts w:hint="eastAsia" w:cs="宋体"/>
          <w:highlight w:val="none"/>
        </w:rPr>
        <w:t>根据《中华人民共和国政府采购法》第三十六条之规定，在采购中，出现下列情形之一的，应予废标：</w:t>
      </w:r>
    </w:p>
    <w:p w14:paraId="037A36D5">
      <w:pPr>
        <w:pStyle w:val="25"/>
        <w:snapToGrid w:val="0"/>
        <w:spacing w:line="360" w:lineRule="auto"/>
        <w:rPr>
          <w:rFonts w:cs="宋体"/>
          <w:highlight w:val="none"/>
        </w:rPr>
      </w:pPr>
      <w:r>
        <w:rPr>
          <w:rFonts w:hint="eastAsia" w:cs="宋体"/>
          <w:highlight w:val="none"/>
        </w:rPr>
        <w:t>5.1符合专业条件的供应商或者对招标文件作实质响应的供应商不足3家的；</w:t>
      </w:r>
    </w:p>
    <w:p w14:paraId="02962E9F">
      <w:pPr>
        <w:pStyle w:val="25"/>
        <w:snapToGrid w:val="0"/>
        <w:spacing w:line="360" w:lineRule="auto"/>
        <w:rPr>
          <w:rFonts w:cs="宋体"/>
          <w:highlight w:val="none"/>
        </w:rPr>
      </w:pPr>
      <w:r>
        <w:rPr>
          <w:rFonts w:hint="eastAsia" w:cs="宋体"/>
          <w:highlight w:val="none"/>
        </w:rPr>
        <w:t>5.2出现影响采购公正的违法、违规行为的；</w:t>
      </w:r>
    </w:p>
    <w:p w14:paraId="568747CD">
      <w:pPr>
        <w:pStyle w:val="25"/>
        <w:snapToGrid w:val="0"/>
        <w:spacing w:line="360" w:lineRule="auto"/>
        <w:rPr>
          <w:rFonts w:cs="宋体"/>
          <w:highlight w:val="none"/>
        </w:rPr>
      </w:pPr>
      <w:r>
        <w:rPr>
          <w:rFonts w:hint="eastAsia" w:cs="宋体"/>
          <w:highlight w:val="none"/>
        </w:rPr>
        <w:t>5.3投标人的报价均超过了采购预算，采购人不能支付的；</w:t>
      </w:r>
    </w:p>
    <w:p w14:paraId="1EDA6C9A">
      <w:pPr>
        <w:pStyle w:val="25"/>
        <w:snapToGrid w:val="0"/>
        <w:spacing w:line="360" w:lineRule="auto"/>
        <w:rPr>
          <w:rFonts w:cs="宋体"/>
          <w:highlight w:val="none"/>
        </w:rPr>
      </w:pPr>
      <w:r>
        <w:rPr>
          <w:rFonts w:hint="eastAsia" w:cs="宋体"/>
          <w:highlight w:val="none"/>
        </w:rPr>
        <w:t>5.4因重大变故，采购任务取消的。</w:t>
      </w:r>
    </w:p>
    <w:p w14:paraId="3C85145B">
      <w:pPr>
        <w:pStyle w:val="25"/>
        <w:snapToGrid w:val="0"/>
        <w:spacing w:line="360" w:lineRule="auto"/>
        <w:rPr>
          <w:rFonts w:cs="宋体"/>
          <w:highlight w:val="none"/>
        </w:rPr>
      </w:pPr>
      <w:r>
        <w:rPr>
          <w:rFonts w:hint="eastAsia" w:cs="宋体"/>
          <w:highlight w:val="none"/>
        </w:rPr>
        <w:t>废标后，采购代理机构应当将废标理由通知所有投标人。</w:t>
      </w:r>
    </w:p>
    <w:p w14:paraId="586ABAAD">
      <w:pPr>
        <w:pStyle w:val="25"/>
        <w:snapToGrid w:val="0"/>
        <w:spacing w:line="360" w:lineRule="auto"/>
        <w:ind w:firstLine="590" w:firstLineChars="245"/>
        <w:rPr>
          <w:rFonts w:cs="宋体"/>
          <w:highlight w:val="none"/>
        </w:rPr>
      </w:pPr>
      <w:r>
        <w:rPr>
          <w:rFonts w:hint="eastAsia" w:cs="宋体"/>
          <w:b/>
          <w:highlight w:val="none"/>
        </w:rPr>
        <w:t>6.修改招标文件，重新组织采购活动。</w:t>
      </w:r>
      <w:r>
        <w:rPr>
          <w:rFonts w:hint="eastAsia" w:cs="宋体"/>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18873F7">
      <w:pPr>
        <w:pStyle w:val="25"/>
        <w:snapToGrid w:val="0"/>
        <w:spacing w:line="360" w:lineRule="auto"/>
        <w:ind w:firstLine="489"/>
        <w:rPr>
          <w:rFonts w:cs="宋体"/>
          <w:highlight w:val="none"/>
        </w:rPr>
      </w:pPr>
      <w:r>
        <w:rPr>
          <w:rFonts w:hint="eastAsia" w:cs="宋体"/>
          <w:b/>
          <w:kern w:val="0"/>
          <w:highlight w:val="none"/>
        </w:rPr>
        <w:t>7.重新开展采购。</w:t>
      </w:r>
      <w:r>
        <w:rPr>
          <w:rFonts w:hint="eastAsia" w:cs="宋体"/>
          <w:highlight w:val="none"/>
        </w:rPr>
        <w:t>有政府采购法第七十一条、第七十二条规定的违法行为之一，影响或者可能影响中标结果的，依照下列规定处理：</w:t>
      </w:r>
    </w:p>
    <w:p w14:paraId="3AD57A89">
      <w:pPr>
        <w:pStyle w:val="25"/>
        <w:snapToGrid w:val="0"/>
        <w:spacing w:line="360" w:lineRule="auto"/>
        <w:rPr>
          <w:rFonts w:cs="宋体"/>
          <w:highlight w:val="none"/>
        </w:rPr>
      </w:pPr>
      <w:r>
        <w:rPr>
          <w:rFonts w:hint="eastAsia" w:cs="宋体"/>
          <w:highlight w:val="none"/>
        </w:rPr>
        <w:t>7.1未确定中标人的，终止本次政府采购活动，重新开展政府采购活动。</w:t>
      </w:r>
    </w:p>
    <w:p w14:paraId="2ACAAF44">
      <w:pPr>
        <w:pStyle w:val="25"/>
        <w:snapToGrid w:val="0"/>
        <w:spacing w:line="360" w:lineRule="auto"/>
        <w:rPr>
          <w:rFonts w:cs="宋体"/>
          <w:highlight w:val="none"/>
        </w:rPr>
      </w:pPr>
      <w:r>
        <w:rPr>
          <w:rFonts w:hint="eastAsia" w:cs="宋体"/>
          <w:highlight w:val="none"/>
        </w:rPr>
        <w:t>7.2已确定中标人但尚未签订政府采购合同的，中标结果无效，从合格的中标候选人中另行确定中标人；没有合格的中标候选人的，重新开展政府采购活动。</w:t>
      </w:r>
    </w:p>
    <w:p w14:paraId="3CB280D8">
      <w:pPr>
        <w:pStyle w:val="25"/>
        <w:snapToGrid w:val="0"/>
        <w:spacing w:line="360" w:lineRule="auto"/>
        <w:rPr>
          <w:rFonts w:cs="宋体"/>
          <w:highlight w:val="none"/>
        </w:rPr>
      </w:pPr>
      <w:r>
        <w:rPr>
          <w:rFonts w:hint="eastAsia" w:cs="宋体"/>
          <w:highlight w:val="none"/>
        </w:rPr>
        <w:t>7.3政府采购合同已签订但尚未履行的，撤销合同，从合格的中标候选人中另行确定中标人；没有合格的中标候选人的，重新开展政府采购活动。</w:t>
      </w:r>
    </w:p>
    <w:p w14:paraId="2705C0B4">
      <w:pPr>
        <w:pStyle w:val="25"/>
        <w:snapToGrid w:val="0"/>
        <w:spacing w:line="360" w:lineRule="auto"/>
        <w:rPr>
          <w:rFonts w:cs="宋体"/>
          <w:highlight w:val="none"/>
        </w:rPr>
      </w:pPr>
      <w:r>
        <w:rPr>
          <w:rFonts w:hint="eastAsia" w:cs="宋体"/>
          <w:highlight w:val="none"/>
        </w:rPr>
        <w:t>7.4政府采购合同已经履行，给采购人、供应商造成损失的，由责任人承担赔偿责任。</w:t>
      </w:r>
    </w:p>
    <w:p w14:paraId="7F23E9A7">
      <w:pPr>
        <w:pStyle w:val="25"/>
        <w:snapToGrid w:val="0"/>
        <w:spacing w:line="360" w:lineRule="auto"/>
        <w:rPr>
          <w:rFonts w:hAnsi="宋体" w:cs="宋体"/>
          <w:highlight w:val="none"/>
        </w:rPr>
      </w:pPr>
      <w:r>
        <w:rPr>
          <w:rFonts w:hint="eastAsia" w:cs="宋体"/>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37"/>
      <w:bookmarkStart w:id="409" w:name="第五部分"/>
      <w:bookmarkStart w:id="410" w:name="_Toc86217003"/>
    </w:p>
    <w:p w14:paraId="26FEAB37">
      <w:pPr>
        <w:pStyle w:val="23"/>
        <w:rPr>
          <w:rFonts w:hAnsi="宋体" w:cs="宋体"/>
          <w:highlight w:val="none"/>
        </w:rPr>
        <w:sectPr>
          <w:pgSz w:w="11907" w:h="16840"/>
          <w:pgMar w:top="1474" w:right="1814" w:bottom="1474" w:left="1814" w:header="851" w:footer="851" w:gutter="0"/>
          <w:cols w:space="720" w:num="1"/>
        </w:sectPr>
      </w:pPr>
    </w:p>
    <w:p w14:paraId="48E5C985">
      <w:pPr>
        <w:widowControl/>
        <w:adjustRightInd/>
        <w:ind w:firstLine="2168" w:firstLineChars="600"/>
        <w:jc w:val="left"/>
        <w:outlineLvl w:val="0"/>
        <w:rPr>
          <w:rFonts w:ascii="宋体" w:hAnsi="宋体" w:cs="宋体"/>
          <w:b/>
          <w:sz w:val="36"/>
          <w:szCs w:val="36"/>
          <w:highlight w:val="none"/>
        </w:rPr>
      </w:pPr>
      <w:bookmarkStart w:id="411" w:name="_Toc24422"/>
      <w:r>
        <w:rPr>
          <w:rFonts w:hint="eastAsia" w:ascii="宋体" w:hAnsi="宋体" w:cs="宋体"/>
          <w:b/>
          <w:sz w:val="36"/>
          <w:szCs w:val="36"/>
          <w:highlight w:val="none"/>
        </w:rPr>
        <w:t>第五部分 拟签订的合同文本</w:t>
      </w:r>
      <w:bookmarkEnd w:id="411"/>
    </w:p>
    <w:p w14:paraId="2B54B50C">
      <w:pPr>
        <w:kinsoku/>
        <w:wordWrap/>
        <w:overflowPunct/>
        <w:topLinePunct w:val="0"/>
        <w:bidi w:val="0"/>
        <w:outlineLvl w:val="9"/>
        <w:rPr>
          <w:rFonts w:ascii="宋体" w:hAnsi="宋体" w:eastAsia="宋体" w:cs="宋体"/>
          <w:color w:val="auto"/>
          <w:sz w:val="24"/>
          <w:highlight w:val="none"/>
          <w:u w:val="single"/>
        </w:rPr>
      </w:pP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14:paraId="4F3859D6">
      <w:pPr>
        <w:kinsoku/>
        <w:wordWrap/>
        <w:overflowPunct/>
        <w:topLinePunct w:val="0"/>
        <w:bidi w:val="0"/>
        <w:spacing w:line="480" w:lineRule="auto"/>
        <w:jc w:val="center"/>
        <w:outlineLvl w:val="9"/>
        <w:rPr>
          <w:rFonts w:ascii="宋体" w:hAnsi="宋体" w:eastAsia="宋体" w:cs="宋体"/>
          <w:b/>
          <w:color w:val="auto"/>
          <w:sz w:val="28"/>
          <w:szCs w:val="28"/>
          <w:highlight w:val="none"/>
        </w:rPr>
      </w:pPr>
    </w:p>
    <w:p w14:paraId="4F3EBEEF">
      <w:pPr>
        <w:kinsoku/>
        <w:wordWrap/>
        <w:overflowPunct/>
        <w:topLinePunct w:val="0"/>
        <w:bidi w:val="0"/>
        <w:spacing w:line="480" w:lineRule="auto"/>
        <w:jc w:val="center"/>
        <w:outlineLvl w:val="9"/>
        <w:rPr>
          <w:rFonts w:ascii="宋体" w:hAnsi="宋体" w:eastAsia="宋体" w:cs="宋体"/>
          <w:b/>
          <w:color w:val="auto"/>
          <w:sz w:val="24"/>
          <w:highlight w:val="none"/>
        </w:rPr>
      </w:pPr>
    </w:p>
    <w:p w14:paraId="66E3E17B">
      <w:pPr>
        <w:kinsoku/>
        <w:wordWrap/>
        <w:overflowPunct/>
        <w:topLinePunct w:val="0"/>
        <w:bidi w:val="0"/>
        <w:spacing w:line="480" w:lineRule="auto"/>
        <w:jc w:val="center"/>
        <w:outlineLvl w:val="9"/>
        <w:rPr>
          <w:rFonts w:ascii="宋体" w:hAnsi="宋体" w:eastAsia="宋体" w:cs="宋体"/>
          <w:b/>
          <w:color w:val="auto"/>
          <w:sz w:val="24"/>
          <w:highlight w:val="none"/>
        </w:rPr>
      </w:pPr>
    </w:p>
    <w:p w14:paraId="1E5B550A">
      <w:pPr>
        <w:kinsoku/>
        <w:wordWrap/>
        <w:overflowPunct/>
        <w:topLinePunct w:val="0"/>
        <w:bidi w:val="0"/>
        <w:spacing w:line="480" w:lineRule="auto"/>
        <w:jc w:val="center"/>
        <w:outlineLvl w:val="9"/>
        <w:rPr>
          <w:rFonts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政府采购合同参考范本</w:t>
      </w:r>
    </w:p>
    <w:p w14:paraId="4D214EC7">
      <w:pPr>
        <w:kinsoku/>
        <w:wordWrap/>
        <w:overflowPunct/>
        <w:topLinePunct w:val="0"/>
        <w:bidi w:val="0"/>
        <w:spacing w:line="480" w:lineRule="auto"/>
        <w:jc w:val="center"/>
        <w:outlineLvl w:val="9"/>
        <w:rPr>
          <w:rFonts w:ascii="宋体" w:hAnsi="宋体" w:eastAsia="宋体" w:cs="宋体"/>
          <w:b/>
          <w:color w:val="auto"/>
          <w:sz w:val="36"/>
          <w:szCs w:val="36"/>
          <w:highlight w:val="none"/>
        </w:rPr>
      </w:pPr>
      <w:r>
        <w:rPr>
          <w:rFonts w:hint="eastAsia" w:ascii="宋体" w:hAnsi="宋体" w:eastAsia="宋体" w:cs="宋体"/>
          <w:b/>
          <w:color w:val="auto"/>
          <w:sz w:val="36"/>
          <w:szCs w:val="36"/>
          <w:highlight w:val="none"/>
        </w:rPr>
        <w:t>（服务类）</w:t>
      </w:r>
    </w:p>
    <w:p w14:paraId="76722C8A">
      <w:pPr>
        <w:widowControl w:val="0"/>
        <w:kinsoku/>
        <w:wordWrap/>
        <w:overflowPunct/>
        <w:topLinePunct w:val="0"/>
        <w:autoSpaceDE w:val="0"/>
        <w:autoSpaceDN w:val="0"/>
        <w:bidi w:val="0"/>
        <w:adjustRightInd w:val="0"/>
        <w:snapToGrid w:val="0"/>
        <w:spacing w:after="120" w:line="360" w:lineRule="auto"/>
        <w:ind w:left="420" w:leftChars="200" w:firstLine="2843" w:firstLineChars="1180"/>
        <w:jc w:val="both"/>
        <w:outlineLvl w:val="9"/>
        <w:rPr>
          <w:rFonts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第一部分 合同书</w:t>
      </w:r>
    </w:p>
    <w:p w14:paraId="497A82EA">
      <w:pPr>
        <w:kinsoku/>
        <w:wordWrap/>
        <w:overflowPunct/>
        <w:topLinePunct w:val="0"/>
        <w:bidi w:val="0"/>
        <w:spacing w:before="120" w:line="22" w:lineRule="atLeast"/>
        <w:outlineLvl w:val="9"/>
        <w:rPr>
          <w:rFonts w:ascii="宋体" w:hAnsi="宋体" w:eastAsia="宋体" w:cs="宋体"/>
          <w:color w:val="auto"/>
          <w:sz w:val="24"/>
          <w:highlight w:val="none"/>
        </w:rPr>
      </w:pPr>
    </w:p>
    <w:p w14:paraId="5C62A8F5">
      <w:pPr>
        <w:tabs>
          <w:tab w:val="left" w:pos="432"/>
        </w:tabs>
        <w:kinsoku/>
        <w:wordWrap/>
        <w:overflowPunct/>
        <w:topLinePunct w:val="0"/>
        <w:bidi w:val="0"/>
        <w:outlineLvl w:val="9"/>
        <w:rPr>
          <w:rFonts w:ascii="Times New Roman" w:hAnsi="Times New Roman" w:eastAsia="宋体" w:cs="Times New Roman"/>
          <w:color w:val="auto"/>
          <w:highlight w:val="none"/>
        </w:rPr>
      </w:pPr>
    </w:p>
    <w:p w14:paraId="5860288A">
      <w:pPr>
        <w:kinsoku/>
        <w:wordWrap/>
        <w:overflowPunct/>
        <w:topLinePunct w:val="0"/>
        <w:bidi w:val="0"/>
        <w:spacing w:before="120" w:line="22" w:lineRule="atLeast"/>
        <w:ind w:left="960"/>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菜篮子食品安全“你点我检”放心工程(生鲜食材快检)</w:t>
      </w:r>
    </w:p>
    <w:p w14:paraId="16361259">
      <w:pPr>
        <w:widowControl w:val="0"/>
        <w:kinsoku/>
        <w:wordWrap/>
        <w:overflowPunct/>
        <w:topLinePunct w:val="0"/>
        <w:bidi w:val="0"/>
        <w:adjustRightInd/>
        <w:spacing w:before="120" w:line="22" w:lineRule="atLeast"/>
        <w:jc w:val="both"/>
        <w:outlineLvl w:val="9"/>
        <w:rPr>
          <w:rFonts w:ascii="宋体" w:hAnsi="宋体" w:eastAsia="宋体" w:cs="宋体"/>
          <w:color w:val="auto"/>
          <w:kern w:val="2"/>
          <w:sz w:val="24"/>
          <w:szCs w:val="24"/>
          <w:highlight w:val="none"/>
          <w:lang w:val="en-US" w:eastAsia="zh-CN" w:bidi="ar-SA"/>
        </w:rPr>
      </w:pPr>
    </w:p>
    <w:p w14:paraId="030290F7">
      <w:pPr>
        <w:widowControl w:val="0"/>
        <w:kinsoku/>
        <w:wordWrap/>
        <w:overflowPunct/>
        <w:topLinePunct w:val="0"/>
        <w:bidi w:val="0"/>
        <w:adjustRightInd/>
        <w:spacing w:before="120" w:line="22" w:lineRule="atLeast"/>
        <w:jc w:val="both"/>
        <w:outlineLvl w:val="9"/>
        <w:rPr>
          <w:rFonts w:ascii="宋体" w:hAnsi="宋体" w:eastAsia="宋体" w:cs="宋体"/>
          <w:color w:val="auto"/>
          <w:kern w:val="2"/>
          <w:sz w:val="24"/>
          <w:szCs w:val="24"/>
          <w:highlight w:val="none"/>
          <w:lang w:val="en-US" w:eastAsia="zh-CN" w:bidi="ar-SA"/>
        </w:rPr>
      </w:pPr>
    </w:p>
    <w:p w14:paraId="75B733EA">
      <w:pPr>
        <w:kinsoku/>
        <w:wordWrap/>
        <w:overflowPunct/>
        <w:topLinePunct w:val="0"/>
        <w:bidi w:val="0"/>
        <w:outlineLvl w:val="9"/>
        <w:rPr>
          <w:rFonts w:ascii="宋体" w:hAnsi="宋体" w:eastAsia="宋体" w:cs="宋体"/>
          <w:color w:val="auto"/>
          <w:sz w:val="24"/>
          <w:highlight w:val="none"/>
        </w:rPr>
      </w:pPr>
    </w:p>
    <w:p w14:paraId="5E131D68">
      <w:pPr>
        <w:kinsoku/>
        <w:wordWrap/>
        <w:overflowPunct/>
        <w:topLinePunct w:val="0"/>
        <w:bidi w:val="0"/>
        <w:spacing w:before="120" w:line="22" w:lineRule="atLeast"/>
        <w:ind w:left="960"/>
        <w:outlineLvl w:val="9"/>
        <w:rPr>
          <w:rFonts w:hint="default"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rPr>
        <w:t xml:space="preserve"> 宁海县市场监督管理局   </w:t>
      </w:r>
      <w:r>
        <w:rPr>
          <w:rFonts w:hint="eastAsia" w:ascii="宋体" w:hAnsi="宋体" w:eastAsia="宋体" w:cs="宋体"/>
          <w:color w:val="auto"/>
          <w:sz w:val="24"/>
          <w:highlight w:val="none"/>
          <w:u w:val="single"/>
          <w:lang w:val="en-US" w:eastAsia="zh-CN"/>
        </w:rPr>
        <w:t xml:space="preserve">  </w:t>
      </w:r>
    </w:p>
    <w:p w14:paraId="7FF6B98F">
      <w:pPr>
        <w:kinsoku/>
        <w:wordWrap/>
        <w:overflowPunct/>
        <w:topLinePunct w:val="0"/>
        <w:bidi w:val="0"/>
        <w:spacing w:before="120" w:line="22" w:lineRule="atLeast"/>
        <w:outlineLvl w:val="9"/>
        <w:rPr>
          <w:rFonts w:ascii="宋体" w:hAnsi="宋体" w:eastAsia="宋体" w:cs="宋体"/>
          <w:color w:val="auto"/>
          <w:sz w:val="24"/>
          <w:highlight w:val="none"/>
        </w:rPr>
      </w:pPr>
    </w:p>
    <w:p w14:paraId="4C8932A0">
      <w:pPr>
        <w:kinsoku/>
        <w:wordWrap/>
        <w:overflowPunct/>
        <w:topLinePunct w:val="0"/>
        <w:bidi w:val="0"/>
        <w:spacing w:before="120" w:line="22" w:lineRule="atLeast"/>
        <w:ind w:left="960"/>
        <w:outlineLvl w:val="9"/>
        <w:rPr>
          <w:rFonts w:hint="default"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p>
    <w:p w14:paraId="52E5ED65">
      <w:pPr>
        <w:kinsoku/>
        <w:wordWrap/>
        <w:overflowPunct/>
        <w:topLinePunct w:val="0"/>
        <w:bidi w:val="0"/>
        <w:spacing w:before="120" w:line="22" w:lineRule="atLeast"/>
        <w:outlineLvl w:val="9"/>
        <w:rPr>
          <w:rFonts w:ascii="宋体" w:hAnsi="宋体" w:eastAsia="宋体" w:cs="宋体"/>
          <w:color w:val="auto"/>
          <w:sz w:val="24"/>
          <w:highlight w:val="none"/>
        </w:rPr>
      </w:pPr>
    </w:p>
    <w:p w14:paraId="43160F91">
      <w:pPr>
        <w:kinsoku/>
        <w:wordWrap/>
        <w:overflowPunct/>
        <w:topLinePunct w:val="0"/>
        <w:bidi w:val="0"/>
        <w:spacing w:before="120" w:line="22" w:lineRule="atLeast"/>
        <w:ind w:firstLine="960" w:firstLineChars="400"/>
        <w:outlineLvl w:val="9"/>
        <w:rPr>
          <w:rFonts w:hint="default"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签订地：</w:t>
      </w:r>
      <w:r>
        <w:rPr>
          <w:rFonts w:hint="eastAsia" w:ascii="宋体" w:hAnsi="宋体" w:eastAsia="宋体" w:cs="宋体"/>
          <w:color w:val="auto"/>
          <w:sz w:val="24"/>
          <w:highlight w:val="none"/>
          <w:u w:val="single"/>
        </w:rPr>
        <w:t xml:space="preserve">     宁波市</w:t>
      </w:r>
      <w:r>
        <w:rPr>
          <w:rFonts w:hint="eastAsia" w:ascii="宋体" w:hAnsi="宋体" w:cs="宋体"/>
          <w:color w:val="auto"/>
          <w:sz w:val="24"/>
          <w:highlight w:val="none"/>
          <w:u w:val="single"/>
          <w:lang w:val="en-US" w:eastAsia="zh-CN"/>
        </w:rPr>
        <w:t>宁海县</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p>
    <w:p w14:paraId="001810EC">
      <w:pPr>
        <w:kinsoku/>
        <w:wordWrap/>
        <w:overflowPunct/>
        <w:topLinePunct w:val="0"/>
        <w:bidi w:val="0"/>
        <w:spacing w:before="120" w:line="22" w:lineRule="atLeast"/>
        <w:outlineLvl w:val="9"/>
        <w:rPr>
          <w:rFonts w:ascii="宋体" w:hAnsi="宋体" w:eastAsia="宋体" w:cs="宋体"/>
          <w:color w:val="auto"/>
          <w:sz w:val="24"/>
          <w:highlight w:val="none"/>
        </w:rPr>
      </w:pPr>
    </w:p>
    <w:p w14:paraId="6C1F50B6">
      <w:pPr>
        <w:kinsoku/>
        <w:wordWrap/>
        <w:overflowPunct/>
        <w:topLinePunct w:val="0"/>
        <w:bidi w:val="0"/>
        <w:spacing w:before="120" w:line="22" w:lineRule="atLeast"/>
        <w:ind w:firstLine="960" w:firstLineChars="400"/>
        <w:outlineLvl w:val="9"/>
        <w:rPr>
          <w:rFonts w:ascii="宋体" w:hAnsi="宋体" w:eastAsia="宋体" w:cs="宋体"/>
          <w:color w:val="auto"/>
          <w:sz w:val="24"/>
          <w:highlight w:val="none"/>
          <w:u w:val="single"/>
        </w:r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1EF9D9F7">
      <w:pPr>
        <w:widowControl/>
        <w:kinsoku/>
        <w:wordWrap/>
        <w:overflowPunct/>
        <w:topLinePunct w:val="0"/>
        <w:bidi w:val="0"/>
        <w:jc w:val="left"/>
        <w:outlineLvl w:val="9"/>
        <w:rPr>
          <w:rFonts w:ascii="宋体" w:hAnsi="宋体" w:eastAsia="宋体" w:cs="宋体"/>
          <w:color w:val="auto"/>
          <w:kern w:val="0"/>
          <w:sz w:val="24"/>
          <w:highlight w:val="none"/>
        </w:rPr>
      </w:pPr>
    </w:p>
    <w:p w14:paraId="5980C4EE">
      <w:pPr>
        <w:widowControl/>
        <w:kinsoku/>
        <w:wordWrap/>
        <w:overflowPunct/>
        <w:topLinePunct w:val="0"/>
        <w:bidi w:val="0"/>
        <w:jc w:val="left"/>
        <w:outlineLvl w:val="9"/>
        <w:rPr>
          <w:rFonts w:ascii="宋体" w:hAnsi="宋体" w:eastAsia="宋体" w:cs="宋体"/>
          <w:color w:val="auto"/>
          <w:kern w:val="0"/>
          <w:sz w:val="24"/>
          <w:highlight w:val="none"/>
        </w:rPr>
      </w:pPr>
    </w:p>
    <w:p w14:paraId="0696256F">
      <w:pPr>
        <w:widowControl/>
        <w:kinsoku/>
        <w:wordWrap/>
        <w:overflowPunct/>
        <w:topLinePunct w:val="0"/>
        <w:bidi w:val="0"/>
        <w:jc w:val="left"/>
        <w:outlineLvl w:val="9"/>
        <w:rPr>
          <w:rFonts w:ascii="宋体" w:hAnsi="宋体" w:eastAsia="宋体" w:cs="宋体"/>
          <w:color w:val="auto"/>
          <w:kern w:val="0"/>
          <w:sz w:val="24"/>
          <w:highlight w:val="none"/>
        </w:rPr>
      </w:pPr>
    </w:p>
    <w:p w14:paraId="61F1F635">
      <w:pPr>
        <w:widowControl/>
        <w:kinsoku/>
        <w:wordWrap/>
        <w:overflowPunct/>
        <w:topLinePunct w:val="0"/>
        <w:bidi w:val="0"/>
        <w:jc w:val="left"/>
        <w:outlineLvl w:val="9"/>
        <w:rPr>
          <w:rFonts w:ascii="宋体" w:hAnsi="宋体" w:cs="宋体"/>
          <w:color w:val="auto"/>
          <w:kern w:val="0"/>
          <w:sz w:val="24"/>
          <w:highlight w:val="none"/>
        </w:rPr>
        <w:sectPr>
          <w:pgSz w:w="11907" w:h="16840"/>
          <w:pgMar w:top="1474" w:right="1814" w:bottom="1474" w:left="1814" w:header="851" w:footer="851" w:gutter="0"/>
          <w:pgNumType w:fmt="decimal"/>
          <w:cols w:space="720" w:num="1"/>
        </w:sectPr>
      </w:pPr>
    </w:p>
    <w:p w14:paraId="7C62BA18">
      <w:pPr>
        <w:kinsoku/>
        <w:wordWrap/>
        <w:overflowPunct/>
        <w:topLinePunct w:val="0"/>
        <w:bidi w:val="0"/>
        <w:spacing w:line="560" w:lineRule="exact"/>
        <w:ind w:firstLine="480" w:firstLineChars="200"/>
        <w:outlineLvl w:val="9"/>
        <w:rPr>
          <w:rFonts w:ascii="宋体" w:hAnsi="宋体" w:eastAsia="宋体" w:cs="Times New Roman"/>
          <w:color w:val="auto"/>
          <w:sz w:val="24"/>
          <w:highlight w:val="none"/>
        </w:rPr>
      </w:pPr>
      <w:r>
        <w:rPr>
          <w:rFonts w:ascii="宋体" w:hAnsi="宋体" w:eastAsia="宋体" w:cs="Times New Roman"/>
          <w:color w:val="auto"/>
          <w:sz w:val="24"/>
          <w:highlight w:val="none"/>
          <w:u w:val="single"/>
          <w:lang w:val="zh-CN"/>
        </w:rPr>
        <w:t xml:space="preserve"> </w:t>
      </w:r>
      <w:r>
        <w:rPr>
          <w:rFonts w:hint="eastAsia" w:ascii="宋体" w:hAnsi="宋体" w:eastAsia="宋体" w:cs="Times New Roman"/>
          <w:color w:val="auto"/>
          <w:sz w:val="24"/>
          <w:highlight w:val="none"/>
          <w:u w:val="single"/>
        </w:rPr>
        <w:t>202</w:t>
      </w:r>
      <w:r>
        <w:rPr>
          <w:rFonts w:hint="eastAsia" w:ascii="宋体" w:hAnsi="宋体" w:cs="Times New Roman"/>
          <w:color w:val="auto"/>
          <w:sz w:val="24"/>
          <w:highlight w:val="none"/>
          <w:u w:val="single"/>
          <w:lang w:val="en-US" w:eastAsia="zh-CN"/>
        </w:rPr>
        <w:t>5</w:t>
      </w:r>
      <w:r>
        <w:rPr>
          <w:rFonts w:hint="eastAsia" w:ascii="宋体" w:hAnsi="宋体" w:eastAsia="宋体" w:cs="Times New Roman"/>
          <w:color w:val="auto"/>
          <w:sz w:val="24"/>
          <w:highlight w:val="none"/>
          <w:lang w:val="zh-CN"/>
        </w:rPr>
        <w:t>年</w:t>
      </w:r>
      <w:r>
        <w:rPr>
          <w:rFonts w:ascii="宋体" w:hAnsi="宋体" w:eastAsia="宋体" w:cs="Times New Roman"/>
          <w:color w:val="auto"/>
          <w:sz w:val="24"/>
          <w:highlight w:val="none"/>
          <w:u w:val="single"/>
          <w:lang w:val="zh-CN"/>
        </w:rPr>
        <w:t xml:space="preserve"> </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lang w:val="zh-CN"/>
        </w:rPr>
        <w:t>月</w:t>
      </w:r>
      <w:r>
        <w:rPr>
          <w:rFonts w:ascii="宋体" w:hAnsi="宋体" w:eastAsia="宋体" w:cs="Times New Roman"/>
          <w:color w:val="auto"/>
          <w:sz w:val="24"/>
          <w:highlight w:val="none"/>
          <w:u w:val="single"/>
          <w:lang w:val="zh-CN"/>
        </w:rPr>
        <w:t xml:space="preserve">    </w:t>
      </w:r>
      <w:r>
        <w:rPr>
          <w:rFonts w:hint="eastAsia" w:ascii="宋体" w:hAnsi="宋体" w:eastAsia="宋体" w:cs="Times New Roman"/>
          <w:color w:val="auto"/>
          <w:sz w:val="24"/>
          <w:highlight w:val="none"/>
          <w:lang w:val="zh-CN"/>
        </w:rPr>
        <w:t>日</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u w:val="single"/>
        </w:rPr>
        <w:t xml:space="preserve"> </w:t>
      </w:r>
      <w:r>
        <w:rPr>
          <w:rFonts w:hint="eastAsia" w:ascii="宋体" w:hAnsi="宋体" w:cs="Times New Roman"/>
          <w:color w:val="auto"/>
          <w:sz w:val="24"/>
          <w:highlight w:val="none"/>
          <w:u w:val="single"/>
          <w:lang w:eastAsia="zh-CN"/>
        </w:rPr>
        <w:t>宁海县市场监督管理局</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以</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rPr>
        <w:t>公开招标</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对</w:t>
      </w:r>
      <w:r>
        <w:rPr>
          <w:rFonts w:ascii="宋体" w:hAnsi="宋体" w:eastAsia="宋体" w:cs="Times New Roman"/>
          <w:color w:val="auto"/>
          <w:sz w:val="24"/>
          <w:highlight w:val="none"/>
          <w:u w:val="single"/>
        </w:rPr>
        <w:t xml:space="preserve"> </w:t>
      </w:r>
      <w:r>
        <w:rPr>
          <w:rFonts w:hint="eastAsia" w:ascii="宋体" w:hAnsi="宋体" w:cs="Times New Roman"/>
          <w:color w:val="auto"/>
          <w:sz w:val="24"/>
          <w:highlight w:val="none"/>
          <w:u w:val="single"/>
          <w:lang w:eastAsia="zh-CN"/>
        </w:rPr>
        <w:t>菜篮子食品安全“你点我检”放心工程(生鲜食材快检)</w:t>
      </w:r>
      <w:r>
        <w:rPr>
          <w:rFonts w:hint="eastAsia" w:ascii="宋体" w:hAnsi="宋体" w:eastAsia="宋体" w:cs="Times New Roman"/>
          <w:color w:val="auto"/>
          <w:sz w:val="24"/>
          <w:highlight w:val="none"/>
        </w:rPr>
        <w:t>进行了采购。经</w:t>
      </w:r>
      <w:r>
        <w:rPr>
          <w:rFonts w:hint="eastAsia" w:ascii="宋体" w:hAnsi="宋体" w:eastAsia="宋体" w:cs="Times New Roman"/>
          <w:color w:val="auto"/>
          <w:sz w:val="24"/>
          <w:highlight w:val="none"/>
          <w:u w:val="single"/>
        </w:rPr>
        <w:t>评标委员会</w:t>
      </w:r>
      <w:r>
        <w:rPr>
          <w:rFonts w:hint="eastAsia" w:ascii="宋体" w:hAnsi="宋体" w:eastAsia="宋体" w:cs="Times New Roman"/>
          <w:color w:val="auto"/>
          <w:sz w:val="24"/>
          <w:highlight w:val="none"/>
        </w:rPr>
        <w:t>评定，</w:t>
      </w:r>
      <w:r>
        <w:rPr>
          <w:rFonts w:ascii="宋体" w:hAnsi="宋体" w:eastAsia="宋体" w:cs="Times New Roman"/>
          <w:color w:val="auto"/>
          <w:sz w:val="24"/>
          <w:highlight w:val="none"/>
          <w:u w:val="single"/>
        </w:rPr>
        <w:t xml:space="preserve">   （中标</w:t>
      </w:r>
      <w:r>
        <w:rPr>
          <w:rFonts w:hint="eastAsia" w:ascii="宋体" w:hAnsi="宋体" w:eastAsia="宋体" w:cs="Times New Roman"/>
          <w:color w:val="auto"/>
          <w:sz w:val="24"/>
          <w:highlight w:val="none"/>
          <w:u w:val="single"/>
        </w:rPr>
        <w:t>或者成交</w:t>
      </w:r>
      <w:r>
        <w:rPr>
          <w:rFonts w:ascii="宋体" w:hAnsi="宋体" w:eastAsia="宋体" w:cs="Times New Roman"/>
          <w:color w:val="auto"/>
          <w:sz w:val="24"/>
          <w:highlight w:val="none"/>
          <w:u w:val="single"/>
        </w:rPr>
        <w:t xml:space="preserve">供应商名称） </w:t>
      </w:r>
      <w:r>
        <w:rPr>
          <w:rFonts w:hint="eastAsia" w:ascii="宋体" w:hAnsi="宋体" w:eastAsia="宋体" w:cs="Times New Roman"/>
          <w:color w:val="auto"/>
          <w:sz w:val="24"/>
          <w:highlight w:val="none"/>
        </w:rPr>
        <w:t>为该项目</w:t>
      </w:r>
      <w:r>
        <w:rPr>
          <w:rFonts w:hint="eastAsia" w:ascii="宋体" w:hAnsi="宋体" w:eastAsia="宋体" w:cs="宋体"/>
          <w:color w:val="auto"/>
          <w:sz w:val="24"/>
          <w:highlight w:val="none"/>
        </w:rPr>
        <w:t>中标或者成交供应商</w:t>
      </w:r>
      <w:r>
        <w:rPr>
          <w:rFonts w:hint="eastAsia" w:ascii="宋体" w:hAnsi="宋体" w:eastAsia="宋体" w:cs="Times New Roman"/>
          <w:color w:val="auto"/>
          <w:sz w:val="24"/>
          <w:highlight w:val="none"/>
        </w:rPr>
        <w:t>。</w:t>
      </w:r>
    </w:p>
    <w:p w14:paraId="3723CD7D">
      <w:pPr>
        <w:kinsoku/>
        <w:wordWrap/>
        <w:overflowPunct/>
        <w:topLinePunct w:val="0"/>
        <w:bidi w:val="0"/>
        <w:spacing w:line="560" w:lineRule="exact"/>
        <w:ind w:firstLine="480" w:firstLineChars="200"/>
        <w:outlineLvl w:val="9"/>
        <w:rPr>
          <w:rFonts w:ascii="宋体" w:hAnsi="宋体" w:eastAsia="宋体" w:cs="Times New Roman"/>
          <w:color w:val="auto"/>
          <w:sz w:val="24"/>
          <w:highlight w:val="none"/>
        </w:rPr>
      </w:pPr>
      <w:r>
        <w:rPr>
          <w:rFonts w:hint="eastAsia" w:ascii="宋体" w:hAnsi="宋体" w:eastAsia="宋体" w:cs="Times New Roman"/>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cs="Times New Roman"/>
          <w:color w:val="auto"/>
          <w:sz w:val="24"/>
          <w:highlight w:val="none"/>
          <w:u w:val="single"/>
          <w:lang w:val="zh-CN"/>
        </w:rPr>
        <w:t>宁海县市场监督管理局</w:t>
      </w:r>
      <w:r>
        <w:rPr>
          <w:rFonts w:ascii="宋体" w:hAnsi="宋体" w:eastAsia="宋体" w:cs="Times New Roman"/>
          <w:color w:val="auto"/>
          <w:sz w:val="24"/>
          <w:highlight w:val="none"/>
          <w:lang w:val="zh-CN"/>
        </w:rPr>
        <w:t>(以下简称：甲方)和</w:t>
      </w:r>
      <w:r>
        <w:rPr>
          <w:rFonts w:ascii="宋体" w:hAnsi="宋体" w:eastAsia="宋体" w:cs="Times New Roman"/>
          <w:color w:val="auto"/>
          <w:sz w:val="24"/>
          <w:highlight w:val="none"/>
          <w:u w:val="single"/>
        </w:rPr>
        <w:t>（中标</w:t>
      </w:r>
      <w:r>
        <w:rPr>
          <w:rFonts w:hint="eastAsia" w:ascii="宋体" w:hAnsi="宋体" w:eastAsia="宋体" w:cs="Times New Roman"/>
          <w:color w:val="auto"/>
          <w:sz w:val="24"/>
          <w:highlight w:val="none"/>
          <w:u w:val="single"/>
        </w:rPr>
        <w:t>或者成交</w:t>
      </w:r>
      <w:r>
        <w:rPr>
          <w:rFonts w:ascii="宋体" w:hAnsi="宋体" w:eastAsia="宋体" w:cs="Times New Roman"/>
          <w:color w:val="auto"/>
          <w:sz w:val="24"/>
          <w:highlight w:val="none"/>
          <w:u w:val="single"/>
        </w:rPr>
        <w:t>供应商名称）</w:t>
      </w:r>
      <w:r>
        <w:rPr>
          <w:rFonts w:ascii="宋体" w:hAnsi="宋体" w:eastAsia="宋体" w:cs="Times New Roman"/>
          <w:color w:val="auto"/>
          <w:sz w:val="24"/>
          <w:highlight w:val="none"/>
          <w:lang w:val="zh-CN"/>
        </w:rPr>
        <w:t>(以下简称：乙方)协商一致，约定以下合同</w:t>
      </w:r>
      <w:r>
        <w:rPr>
          <w:rFonts w:hint="eastAsia" w:ascii="宋体" w:hAnsi="宋体" w:eastAsia="宋体" w:cs="Times New Roman"/>
          <w:color w:val="auto"/>
          <w:sz w:val="24"/>
          <w:highlight w:val="none"/>
        </w:rPr>
        <w:t>条款，以兹共同遵守、全面履行。</w:t>
      </w:r>
    </w:p>
    <w:p w14:paraId="2CF6036F">
      <w:pPr>
        <w:kinsoku/>
        <w:wordWrap/>
        <w:overflowPunct/>
        <w:topLinePunct w:val="0"/>
        <w:bidi w:val="0"/>
        <w:spacing w:line="560" w:lineRule="exact"/>
        <w:ind w:firstLine="482" w:firstLineChars="200"/>
        <w:outlineLvl w:val="9"/>
        <w:rPr>
          <w:rFonts w:ascii="宋体" w:hAnsi="宋体" w:eastAsia="宋体" w:cs="Times New Roman"/>
          <w:color w:val="auto"/>
          <w:sz w:val="24"/>
          <w:highlight w:val="none"/>
        </w:rPr>
      </w:pPr>
      <w:bookmarkStart w:id="412" w:name="_Toc19273"/>
      <w:bookmarkStart w:id="413" w:name="_Toc28855"/>
      <w:bookmarkStart w:id="414" w:name="_Toc20421"/>
      <w:bookmarkStart w:id="415" w:name="_Toc22967"/>
      <w:bookmarkStart w:id="416" w:name="_Toc15367"/>
      <w:r>
        <w:rPr>
          <w:rFonts w:ascii="宋体" w:hAnsi="宋体" w:eastAsia="宋体" w:cs="Times New Roman"/>
          <w:b/>
          <w:color w:val="auto"/>
          <w:sz w:val="24"/>
          <w:highlight w:val="none"/>
        </w:rPr>
        <w:t xml:space="preserve">1.1 </w:t>
      </w:r>
      <w:r>
        <w:rPr>
          <w:rFonts w:hint="eastAsia" w:ascii="宋体" w:hAnsi="宋体" w:eastAsia="宋体" w:cs="Times New Roman"/>
          <w:b/>
          <w:color w:val="auto"/>
          <w:sz w:val="24"/>
          <w:highlight w:val="none"/>
        </w:rPr>
        <w:t>合同组成部分</w:t>
      </w:r>
      <w:bookmarkEnd w:id="412"/>
      <w:bookmarkEnd w:id="413"/>
      <w:bookmarkEnd w:id="414"/>
      <w:bookmarkEnd w:id="415"/>
      <w:bookmarkEnd w:id="416"/>
    </w:p>
    <w:p w14:paraId="200862BC">
      <w:pPr>
        <w:kinsoku/>
        <w:wordWrap/>
        <w:overflowPunct/>
        <w:topLinePunct w:val="0"/>
        <w:bidi w:val="0"/>
        <w:spacing w:line="560" w:lineRule="exact"/>
        <w:ind w:firstLine="480" w:firstLineChars="200"/>
        <w:outlineLvl w:val="9"/>
        <w:rPr>
          <w:rFonts w:ascii="宋体" w:hAnsi="宋体" w:eastAsia="宋体" w:cs="Times New Roman"/>
          <w:color w:val="auto"/>
          <w:sz w:val="24"/>
          <w:highlight w:val="none"/>
        </w:rPr>
      </w:pPr>
      <w:r>
        <w:rPr>
          <w:rFonts w:hint="eastAsia" w:ascii="宋体" w:hAnsi="宋体" w:eastAsia="宋体" w:cs="Times New Roman"/>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CB8AF2B">
      <w:pPr>
        <w:kinsoku/>
        <w:wordWrap/>
        <w:overflowPunct/>
        <w:topLinePunct w:val="0"/>
        <w:bidi w:val="0"/>
        <w:spacing w:line="560" w:lineRule="exact"/>
        <w:ind w:firstLine="480" w:firstLineChars="200"/>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1.1.1 </w:t>
      </w:r>
      <w:r>
        <w:rPr>
          <w:rFonts w:hint="eastAsia" w:ascii="宋体" w:hAnsi="宋体" w:eastAsia="宋体" w:cs="Times New Roman"/>
          <w:color w:val="auto"/>
          <w:sz w:val="24"/>
          <w:highlight w:val="none"/>
        </w:rPr>
        <w:t>本合同及其补充合同、变更协议；</w:t>
      </w:r>
    </w:p>
    <w:p w14:paraId="02A50D62">
      <w:pPr>
        <w:kinsoku/>
        <w:wordWrap/>
        <w:overflowPunct/>
        <w:topLinePunct w:val="0"/>
        <w:bidi w:val="0"/>
        <w:spacing w:line="560" w:lineRule="exact"/>
        <w:ind w:firstLine="480" w:firstLineChars="200"/>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1.1.2 </w:t>
      </w:r>
      <w:r>
        <w:rPr>
          <w:rFonts w:hint="eastAsia" w:ascii="宋体" w:hAnsi="宋体" w:eastAsia="宋体" w:cs="Times New Roman"/>
          <w:color w:val="auto"/>
          <w:sz w:val="24"/>
          <w:highlight w:val="none"/>
        </w:rPr>
        <w:t>中标或者成交通知书；</w:t>
      </w:r>
    </w:p>
    <w:p w14:paraId="21C723A6">
      <w:pPr>
        <w:kinsoku/>
        <w:wordWrap/>
        <w:overflowPunct/>
        <w:topLinePunct w:val="0"/>
        <w:bidi w:val="0"/>
        <w:spacing w:line="560" w:lineRule="exact"/>
        <w:ind w:firstLine="480" w:firstLineChars="200"/>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1.1.3 </w:t>
      </w:r>
      <w:r>
        <w:rPr>
          <w:rFonts w:hint="eastAsia" w:ascii="宋体" w:hAnsi="宋体" w:eastAsia="宋体" w:cs="Times New Roman"/>
          <w:color w:val="auto"/>
          <w:sz w:val="24"/>
          <w:highlight w:val="none"/>
        </w:rPr>
        <w:t>投标或者响应文件（含澄清或者说明文件）；</w:t>
      </w:r>
    </w:p>
    <w:p w14:paraId="414B728D">
      <w:pPr>
        <w:kinsoku/>
        <w:wordWrap/>
        <w:overflowPunct/>
        <w:topLinePunct w:val="0"/>
        <w:bidi w:val="0"/>
        <w:spacing w:line="560" w:lineRule="exact"/>
        <w:ind w:firstLine="480" w:firstLineChars="200"/>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1.1.4 </w:t>
      </w:r>
      <w:r>
        <w:rPr>
          <w:rFonts w:hint="eastAsia" w:ascii="宋体" w:hAnsi="宋体" w:eastAsia="宋体" w:cs="Times New Roman"/>
          <w:color w:val="auto"/>
          <w:sz w:val="24"/>
          <w:highlight w:val="none"/>
        </w:rPr>
        <w:t>采购文件（含澄清或者修改文件）；</w:t>
      </w:r>
    </w:p>
    <w:p w14:paraId="4C06D590">
      <w:pPr>
        <w:kinsoku/>
        <w:wordWrap/>
        <w:overflowPunct/>
        <w:topLinePunct w:val="0"/>
        <w:bidi w:val="0"/>
        <w:spacing w:line="560" w:lineRule="exact"/>
        <w:ind w:firstLine="480" w:firstLineChars="200"/>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1.1.5 </w:t>
      </w:r>
      <w:r>
        <w:rPr>
          <w:rFonts w:hint="eastAsia" w:ascii="宋体" w:hAnsi="宋体" w:eastAsia="宋体" w:cs="Times New Roman"/>
          <w:color w:val="auto"/>
          <w:sz w:val="24"/>
          <w:highlight w:val="none"/>
        </w:rPr>
        <w:t>其他相关采购文件。</w:t>
      </w:r>
    </w:p>
    <w:p w14:paraId="54FEB597">
      <w:pPr>
        <w:kinsoku/>
        <w:wordWrap/>
        <w:overflowPunct/>
        <w:topLinePunct w:val="0"/>
        <w:bidi w:val="0"/>
        <w:spacing w:line="560" w:lineRule="exact"/>
        <w:ind w:firstLine="482" w:firstLineChars="200"/>
        <w:outlineLvl w:val="9"/>
        <w:rPr>
          <w:rFonts w:ascii="宋体" w:hAnsi="宋体" w:eastAsia="宋体" w:cs="Times New Roman"/>
          <w:b/>
          <w:color w:val="auto"/>
          <w:sz w:val="24"/>
          <w:highlight w:val="none"/>
        </w:rPr>
      </w:pPr>
      <w:bookmarkStart w:id="417" w:name="_Toc22185"/>
      <w:bookmarkStart w:id="418" w:name="_Toc2918"/>
      <w:bookmarkStart w:id="419" w:name="_Toc18585"/>
      <w:bookmarkStart w:id="420" w:name="_Toc6311"/>
      <w:bookmarkStart w:id="421" w:name="_Toc6773"/>
      <w:r>
        <w:rPr>
          <w:rFonts w:ascii="宋体" w:hAnsi="宋体" w:eastAsia="宋体" w:cs="Times New Roman"/>
          <w:b/>
          <w:color w:val="auto"/>
          <w:sz w:val="24"/>
          <w:highlight w:val="none"/>
        </w:rPr>
        <w:t xml:space="preserve">1.2 </w:t>
      </w:r>
      <w:r>
        <w:rPr>
          <w:rFonts w:hint="eastAsia" w:ascii="宋体" w:hAnsi="宋体" w:eastAsia="宋体" w:cs="Times New Roman"/>
          <w:b/>
          <w:color w:val="auto"/>
          <w:sz w:val="24"/>
          <w:highlight w:val="none"/>
        </w:rPr>
        <w:t>标的</w:t>
      </w:r>
      <w:bookmarkEnd w:id="417"/>
      <w:bookmarkEnd w:id="418"/>
      <w:bookmarkEnd w:id="419"/>
      <w:bookmarkEnd w:id="420"/>
      <w:bookmarkEnd w:id="421"/>
    </w:p>
    <w:p w14:paraId="1487FCE2">
      <w:pPr>
        <w:kinsoku/>
        <w:wordWrap/>
        <w:overflowPunct/>
        <w:topLinePunct w:val="0"/>
        <w:bidi w:val="0"/>
        <w:spacing w:line="560" w:lineRule="exact"/>
        <w:ind w:firstLine="480" w:firstLineChars="200"/>
        <w:outlineLvl w:val="9"/>
        <w:rPr>
          <w:rFonts w:ascii="宋体" w:hAnsi="宋体" w:eastAsia="宋体" w:cs="Times New Roman"/>
          <w:color w:val="auto"/>
          <w:sz w:val="24"/>
          <w:highlight w:val="none"/>
          <w:u w:val="single"/>
        </w:rPr>
      </w:pPr>
      <w:r>
        <w:rPr>
          <w:rFonts w:ascii="宋体" w:hAnsi="宋体" w:eastAsia="宋体" w:cs="Times New Roman"/>
          <w:color w:val="auto"/>
          <w:sz w:val="24"/>
          <w:highlight w:val="none"/>
        </w:rPr>
        <w:t xml:space="preserve">1.2.1 </w:t>
      </w:r>
      <w:r>
        <w:rPr>
          <w:rFonts w:hint="eastAsia" w:ascii="宋体" w:hAnsi="宋体" w:eastAsia="宋体" w:cs="Times New Roman"/>
          <w:color w:val="auto"/>
          <w:sz w:val="24"/>
          <w:highlight w:val="none"/>
        </w:rPr>
        <w:t>服务内容</w:t>
      </w:r>
      <w:r>
        <w:rPr>
          <w:rFonts w:ascii="宋体" w:hAnsi="宋体" w:eastAsia="宋体" w:cs="Times New Roman"/>
          <w:color w:val="auto"/>
          <w:sz w:val="24"/>
          <w:highlight w:val="none"/>
        </w:rPr>
        <w:t>：</w:t>
      </w:r>
      <w:r>
        <w:rPr>
          <w:rFonts w:hint="eastAsia" w:ascii="宋体" w:hAnsi="宋体" w:cs="Times New Roman"/>
          <w:color w:val="auto"/>
          <w:sz w:val="24"/>
          <w:highlight w:val="none"/>
          <w:u w:val="single"/>
          <w:lang w:eastAsia="zh-CN"/>
        </w:rPr>
        <w:t>菜篮子食品安全“你点我检”放心工程(生鲜食材快检)</w:t>
      </w:r>
      <w:r>
        <w:rPr>
          <w:rFonts w:hint="eastAsia" w:ascii="宋体" w:hAnsi="宋体" w:eastAsia="宋体" w:cs="Times New Roman"/>
          <w:color w:val="auto"/>
          <w:sz w:val="24"/>
          <w:highlight w:val="none"/>
          <w:u w:val="single"/>
        </w:rPr>
        <w:t>；</w:t>
      </w:r>
    </w:p>
    <w:p w14:paraId="463A8213">
      <w:pPr>
        <w:widowControl w:val="0"/>
        <w:kinsoku/>
        <w:wordWrap/>
        <w:overflowPunct/>
        <w:topLinePunct w:val="0"/>
        <w:bidi w:val="0"/>
        <w:adjustRightInd w:val="0"/>
        <w:spacing w:line="480" w:lineRule="exact"/>
        <w:ind w:firstLine="480" w:firstLineChars="200"/>
        <w:jc w:val="both"/>
        <w:outlineLvl w:val="9"/>
        <w:rPr>
          <w:rFonts w:ascii="宋体" w:hAnsi="宋体" w:eastAsia="宋体" w:cs="Times New Roman"/>
          <w:color w:val="auto"/>
          <w:kern w:val="2"/>
          <w:sz w:val="24"/>
          <w:szCs w:val="24"/>
          <w:highlight w:val="none"/>
          <w:u w:val="single"/>
          <w:lang w:val="en-US" w:eastAsia="zh-CN" w:bidi="ar-SA"/>
        </w:rPr>
      </w:pPr>
      <w:r>
        <w:rPr>
          <w:rFonts w:ascii="宋体" w:hAnsi="宋体" w:eastAsia="宋体" w:cs="Times New Roman"/>
          <w:color w:val="auto"/>
          <w:kern w:val="2"/>
          <w:sz w:val="24"/>
          <w:szCs w:val="24"/>
          <w:highlight w:val="none"/>
          <w:lang w:val="en-US" w:eastAsia="zh-CN" w:bidi="ar-SA"/>
        </w:rPr>
        <w:t xml:space="preserve">1.2.2 </w:t>
      </w:r>
      <w:r>
        <w:rPr>
          <w:rFonts w:hint="eastAsia" w:ascii="宋体" w:hAnsi="宋体" w:eastAsia="宋体" w:cs="Times New Roman"/>
          <w:color w:val="auto"/>
          <w:kern w:val="2"/>
          <w:sz w:val="24"/>
          <w:szCs w:val="24"/>
          <w:highlight w:val="none"/>
          <w:lang w:val="en-US" w:eastAsia="zh-CN" w:bidi="ar-SA"/>
        </w:rPr>
        <w:t>服务标准</w:t>
      </w:r>
      <w:r>
        <w:rPr>
          <w:rFonts w:ascii="宋体" w:hAnsi="宋体" w:eastAsia="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u w:val="single"/>
          <w:lang w:val="en-US" w:eastAsia="zh-CN" w:bidi="ar-SA"/>
        </w:rPr>
        <w:t xml:space="preserve">      ；</w:t>
      </w:r>
    </w:p>
    <w:p w14:paraId="2DF9FB55">
      <w:pPr>
        <w:kinsoku/>
        <w:wordWrap/>
        <w:overflowPunct/>
        <w:topLinePunct w:val="0"/>
        <w:bidi w:val="0"/>
        <w:spacing w:line="560" w:lineRule="exact"/>
        <w:ind w:firstLine="480" w:firstLineChars="200"/>
        <w:outlineLvl w:val="9"/>
        <w:rPr>
          <w:rFonts w:ascii="宋体" w:hAnsi="宋体" w:eastAsia="宋体" w:cs="Times New Roman"/>
          <w:color w:val="auto"/>
          <w:sz w:val="24"/>
          <w:highlight w:val="none"/>
          <w:u w:val="single"/>
        </w:rPr>
      </w:pPr>
      <w:r>
        <w:rPr>
          <w:rFonts w:ascii="宋体" w:hAnsi="宋体" w:eastAsia="宋体" w:cs="Times New Roman"/>
          <w:color w:val="auto"/>
          <w:sz w:val="24"/>
          <w:highlight w:val="none"/>
        </w:rPr>
        <w:t xml:space="preserve">1.2.3 </w:t>
      </w:r>
      <w:r>
        <w:rPr>
          <w:rFonts w:hint="eastAsia" w:ascii="宋体" w:hAnsi="宋体" w:eastAsia="宋体" w:cs="Times New Roman"/>
          <w:color w:val="auto"/>
          <w:sz w:val="24"/>
          <w:highlight w:val="none"/>
        </w:rPr>
        <w:t>技术保障：</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w:t>
      </w:r>
    </w:p>
    <w:p w14:paraId="147A01F6">
      <w:pPr>
        <w:kinsoku/>
        <w:wordWrap/>
        <w:overflowPunct/>
        <w:topLinePunct w:val="0"/>
        <w:bidi w:val="0"/>
        <w:spacing w:line="560" w:lineRule="exact"/>
        <w:ind w:firstLine="480" w:firstLineChars="200"/>
        <w:jc w:val="left"/>
        <w:outlineLvl w:val="9"/>
        <w:rPr>
          <w:rFonts w:ascii="宋体" w:hAnsi="宋体" w:eastAsia="宋体" w:cs="Times New Roman"/>
          <w:color w:val="auto"/>
          <w:sz w:val="24"/>
          <w:highlight w:val="none"/>
        </w:rPr>
      </w:pPr>
      <w:r>
        <w:rPr>
          <w:rFonts w:hint="eastAsia" w:ascii="宋体" w:hAnsi="宋体" w:eastAsia="宋体" w:cs="Times New Roman"/>
          <w:color w:val="auto"/>
          <w:sz w:val="24"/>
          <w:highlight w:val="none"/>
        </w:rPr>
        <w:t>1.2.4 服务人员组成：</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；服务期间，乙方投入人员及设备须与投标文件中内容一致。</w:t>
      </w:r>
      <w:bookmarkStart w:id="422" w:name="_Toc4929"/>
      <w:bookmarkStart w:id="423" w:name="_Toc13918"/>
      <w:bookmarkStart w:id="424" w:name="_Toc1386"/>
      <w:bookmarkStart w:id="425" w:name="_Toc5635"/>
      <w:bookmarkStart w:id="426" w:name="_Toc21124"/>
    </w:p>
    <w:p w14:paraId="03BC37A1">
      <w:pPr>
        <w:kinsoku/>
        <w:wordWrap/>
        <w:overflowPunct/>
        <w:topLinePunct w:val="0"/>
        <w:bidi w:val="0"/>
        <w:spacing w:line="560" w:lineRule="exact"/>
        <w:ind w:firstLine="482" w:firstLineChars="200"/>
        <w:outlineLvl w:val="9"/>
        <w:rPr>
          <w:rFonts w:ascii="宋体" w:hAnsi="宋体" w:eastAsia="宋体" w:cs="Times New Roman"/>
          <w:b/>
          <w:color w:val="auto"/>
          <w:sz w:val="24"/>
          <w:highlight w:val="none"/>
        </w:rPr>
      </w:pPr>
      <w:r>
        <w:rPr>
          <w:rFonts w:ascii="宋体" w:hAnsi="宋体" w:eastAsia="宋体" w:cs="Times New Roman"/>
          <w:b/>
          <w:color w:val="auto"/>
          <w:sz w:val="24"/>
          <w:highlight w:val="none"/>
        </w:rPr>
        <w:t>1.3 价款</w:t>
      </w:r>
      <w:bookmarkEnd w:id="422"/>
      <w:bookmarkEnd w:id="423"/>
      <w:bookmarkEnd w:id="424"/>
      <w:bookmarkEnd w:id="425"/>
      <w:bookmarkEnd w:id="426"/>
    </w:p>
    <w:p w14:paraId="2B0F01B7">
      <w:pPr>
        <w:kinsoku/>
        <w:wordWrap/>
        <w:overflowPunct/>
        <w:topLinePunct w:val="0"/>
        <w:bidi w:val="0"/>
        <w:spacing w:line="560" w:lineRule="exact"/>
        <w:ind w:firstLine="480" w:firstLineChars="200"/>
        <w:outlineLvl w:val="9"/>
        <w:rPr>
          <w:rFonts w:ascii="宋体" w:hAnsi="宋体" w:eastAsia="宋体" w:cs="Times New Roman"/>
          <w:color w:val="auto"/>
          <w:sz w:val="24"/>
          <w:highlight w:val="none"/>
        </w:rPr>
      </w:pPr>
      <w:r>
        <w:rPr>
          <w:rFonts w:hint="eastAsia" w:ascii="宋体" w:hAnsi="宋体" w:eastAsia="宋体" w:cs="宋体"/>
          <w:color w:val="auto"/>
          <w:sz w:val="24"/>
          <w:highlight w:val="none"/>
        </w:rPr>
        <w:t>本项目采用以下第</w:t>
      </w:r>
      <w:r>
        <w:rPr>
          <w:rFonts w:hint="eastAsia" w:ascii="宋体" w:hAnsi="宋体" w:eastAsia="宋体" w:cs="宋体"/>
          <w:color w:val="auto"/>
          <w:sz w:val="24"/>
          <w:highlight w:val="none"/>
          <w:u w:val="single"/>
        </w:rPr>
        <w:t xml:space="preserve"> 1.3.</w:t>
      </w:r>
      <w:r>
        <w:rPr>
          <w:rFonts w:hint="eastAsia" w:ascii="宋体" w:hAnsi="宋体" w:cs="宋体"/>
          <w:color w:val="auto"/>
          <w:sz w:val="24"/>
          <w:highlight w:val="none"/>
          <w:u w:val="single"/>
          <w:lang w:val="en-US" w:eastAsia="zh-CN"/>
        </w:rPr>
        <w:t>2</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条款规定的计价方式计价。</w:t>
      </w:r>
    </w:p>
    <w:p w14:paraId="7644B492">
      <w:pPr>
        <w:kinsoku/>
        <w:wordWrap/>
        <w:overflowPunct/>
        <w:topLinePunct w:val="0"/>
        <w:bidi w:val="0"/>
        <w:spacing w:line="560" w:lineRule="exact"/>
        <w:ind w:firstLine="480" w:firstLineChars="200"/>
        <w:outlineLvl w:val="9"/>
        <w:rPr>
          <w:rFonts w:ascii="宋体" w:hAnsi="宋体" w:eastAsia="宋体" w:cs="Times New Roman"/>
          <w:color w:val="auto"/>
          <w:sz w:val="24"/>
          <w:highlight w:val="none"/>
        </w:rPr>
      </w:pPr>
      <w:r>
        <w:rPr>
          <w:rFonts w:hint="eastAsia" w:ascii="宋体" w:hAnsi="宋体" w:eastAsia="宋体" w:cs="Times New Roman"/>
          <w:color w:val="auto"/>
          <w:sz w:val="24"/>
          <w:highlight w:val="none"/>
        </w:rPr>
        <w:t>1.3.1总价合同，</w:t>
      </w:r>
      <w:r>
        <w:rPr>
          <w:rFonts w:ascii="宋体" w:hAnsi="宋体" w:eastAsia="宋体" w:cs="Times New Roman"/>
          <w:color w:val="auto"/>
          <w:sz w:val="24"/>
          <w:highlight w:val="none"/>
        </w:rPr>
        <w:t>本合同总价</w:t>
      </w:r>
      <w:r>
        <w:rPr>
          <w:rFonts w:hint="eastAsia" w:ascii="宋体" w:hAnsi="宋体" w:eastAsia="宋体" w:cs="Times New Roman"/>
          <w:color w:val="auto"/>
          <w:sz w:val="24"/>
          <w:highlight w:val="none"/>
        </w:rPr>
        <w:t>（含税）</w:t>
      </w:r>
      <w:r>
        <w:rPr>
          <w:rFonts w:ascii="宋体" w:hAnsi="宋体" w:eastAsia="宋体" w:cs="Times New Roman"/>
          <w:color w:val="auto"/>
          <w:sz w:val="24"/>
          <w:highlight w:val="none"/>
        </w:rPr>
        <w:t>为</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u w:val="single"/>
        </w:rPr>
        <w:t xml:space="preserve">        </w:t>
      </w:r>
      <w:r>
        <w:rPr>
          <w:rFonts w:ascii="宋体" w:hAnsi="宋体" w:eastAsia="宋体" w:cs="Times New Roman"/>
          <w:color w:val="auto"/>
          <w:sz w:val="24"/>
          <w:highlight w:val="none"/>
        </w:rPr>
        <w:t>元</w:t>
      </w:r>
      <w:r>
        <w:rPr>
          <w:rFonts w:hint="eastAsia" w:ascii="宋体" w:hAnsi="宋体" w:eastAsia="宋体" w:cs="Times New Roman"/>
          <w:color w:val="auto"/>
          <w:sz w:val="24"/>
          <w:highlight w:val="none"/>
        </w:rPr>
        <w:t>（大写：</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元人民币）</w:t>
      </w:r>
      <w:r>
        <w:rPr>
          <w:rFonts w:ascii="宋体" w:hAnsi="宋体" w:eastAsia="宋体" w:cs="Times New Roman"/>
          <w:color w:val="auto"/>
          <w:sz w:val="24"/>
          <w:highlight w:val="none"/>
        </w:rPr>
        <w:t>。</w:t>
      </w:r>
    </w:p>
    <w:p w14:paraId="50EA558E">
      <w:pPr>
        <w:kinsoku/>
        <w:wordWrap/>
        <w:overflowPunct/>
        <w:topLinePunct w:val="0"/>
        <w:bidi w:val="0"/>
        <w:spacing w:line="560" w:lineRule="exact"/>
        <w:ind w:firstLine="480" w:firstLineChars="200"/>
        <w:outlineLvl w:val="9"/>
        <w:rPr>
          <w:rFonts w:ascii="宋体" w:hAnsi="宋体" w:eastAsia="宋体" w:cs="Times New Roman"/>
          <w:color w:val="auto"/>
          <w:sz w:val="24"/>
          <w:highlight w:val="none"/>
          <w:u w:val="single"/>
        </w:rPr>
      </w:pPr>
      <w:r>
        <w:rPr>
          <w:rFonts w:ascii="宋体" w:hAnsi="宋体" w:eastAsia="宋体" w:cs="Times New Roman"/>
          <w:color w:val="auto"/>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82DB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4E58812">
            <w:pPr>
              <w:widowControl w:val="0"/>
              <w:kinsoku/>
              <w:wordWrap/>
              <w:overflowPunct/>
              <w:topLinePunct w:val="0"/>
              <w:bidi w:val="0"/>
              <w:adjustRightInd/>
              <w:spacing w:line="560" w:lineRule="exact"/>
              <w:jc w:val="center"/>
              <w:outlineLvl w:val="9"/>
              <w:rPr>
                <w:rFonts w:ascii="宋体" w:hAnsi="宋体" w:eastAsia="宋体" w:cs="Times New Roman"/>
                <w:color w:val="auto"/>
                <w:kern w:val="0"/>
                <w:sz w:val="24"/>
                <w:szCs w:val="24"/>
                <w:highlight w:val="none"/>
                <w:lang w:val="en-US" w:eastAsia="zh-CN" w:bidi="ar-SA"/>
              </w:rPr>
            </w:pPr>
            <w:r>
              <w:rPr>
                <w:rFonts w:ascii="宋体" w:hAnsi="宋体" w:eastAsia="宋体" w:cs="Times New Roman"/>
                <w:color w:val="auto"/>
                <w:kern w:val="0"/>
                <w:sz w:val="24"/>
                <w:szCs w:val="24"/>
                <w:highlight w:val="none"/>
                <w:lang w:val="en-US" w:eastAsia="zh-CN" w:bidi="ar-SA"/>
              </w:rPr>
              <w:t>序号</w:t>
            </w:r>
          </w:p>
        </w:tc>
        <w:tc>
          <w:tcPr>
            <w:tcW w:w="3402" w:type="dxa"/>
            <w:vAlign w:val="center"/>
          </w:tcPr>
          <w:p w14:paraId="0AF4E4F8">
            <w:pPr>
              <w:widowControl w:val="0"/>
              <w:kinsoku/>
              <w:wordWrap/>
              <w:overflowPunct/>
              <w:topLinePunct w:val="0"/>
              <w:bidi w:val="0"/>
              <w:adjustRightInd/>
              <w:spacing w:line="560" w:lineRule="exact"/>
              <w:ind w:firstLine="200"/>
              <w:jc w:val="center"/>
              <w:outlineLvl w:val="9"/>
              <w:rPr>
                <w:rFonts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分项名称</w:t>
            </w:r>
          </w:p>
        </w:tc>
        <w:tc>
          <w:tcPr>
            <w:tcW w:w="2552" w:type="dxa"/>
            <w:vAlign w:val="center"/>
          </w:tcPr>
          <w:p w14:paraId="34AE88F9">
            <w:pPr>
              <w:widowControl w:val="0"/>
              <w:kinsoku/>
              <w:wordWrap/>
              <w:overflowPunct/>
              <w:topLinePunct w:val="0"/>
              <w:bidi w:val="0"/>
              <w:adjustRightInd/>
              <w:spacing w:line="560" w:lineRule="exact"/>
              <w:jc w:val="center"/>
              <w:outlineLvl w:val="9"/>
              <w:rPr>
                <w:rFonts w:ascii="宋体" w:hAnsi="宋体" w:eastAsia="宋体" w:cs="Times New Roman"/>
                <w:color w:val="auto"/>
                <w:kern w:val="0"/>
                <w:sz w:val="24"/>
                <w:szCs w:val="24"/>
                <w:highlight w:val="none"/>
                <w:lang w:val="en-US" w:eastAsia="zh-CN" w:bidi="ar-SA"/>
              </w:rPr>
            </w:pPr>
            <w:r>
              <w:rPr>
                <w:rFonts w:ascii="宋体" w:hAnsi="宋体" w:eastAsia="宋体" w:cs="Times New Roman"/>
                <w:color w:val="auto"/>
                <w:kern w:val="0"/>
                <w:sz w:val="24"/>
                <w:szCs w:val="24"/>
                <w:highlight w:val="none"/>
                <w:lang w:val="en-US" w:eastAsia="zh-CN" w:bidi="ar-SA"/>
              </w:rPr>
              <w:t>分项价格</w:t>
            </w:r>
          </w:p>
        </w:tc>
      </w:tr>
      <w:tr w14:paraId="696A3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B2F4BA6">
            <w:pPr>
              <w:widowControl w:val="0"/>
              <w:kinsoku/>
              <w:wordWrap/>
              <w:overflowPunct/>
              <w:topLinePunct w:val="0"/>
              <w:bidi w:val="0"/>
              <w:adjustRightInd/>
              <w:spacing w:line="560" w:lineRule="exact"/>
              <w:ind w:firstLine="200"/>
              <w:jc w:val="center"/>
              <w:outlineLvl w:val="9"/>
              <w:rPr>
                <w:rFonts w:ascii="宋体" w:hAnsi="宋体" w:eastAsia="宋体" w:cs="Times New Roman"/>
                <w:color w:val="auto"/>
                <w:kern w:val="0"/>
                <w:sz w:val="24"/>
                <w:szCs w:val="24"/>
                <w:highlight w:val="none"/>
                <w:lang w:val="en-US" w:eastAsia="zh-CN" w:bidi="ar-SA"/>
              </w:rPr>
            </w:pPr>
          </w:p>
        </w:tc>
        <w:tc>
          <w:tcPr>
            <w:tcW w:w="3402" w:type="dxa"/>
            <w:vAlign w:val="center"/>
          </w:tcPr>
          <w:p w14:paraId="4ED30666">
            <w:pPr>
              <w:widowControl w:val="0"/>
              <w:kinsoku/>
              <w:wordWrap/>
              <w:overflowPunct/>
              <w:topLinePunct w:val="0"/>
              <w:bidi w:val="0"/>
              <w:adjustRightInd/>
              <w:spacing w:line="560" w:lineRule="exact"/>
              <w:ind w:firstLine="200"/>
              <w:jc w:val="center"/>
              <w:outlineLvl w:val="9"/>
              <w:rPr>
                <w:rFonts w:ascii="宋体" w:hAnsi="宋体" w:eastAsia="宋体" w:cs="Times New Roman"/>
                <w:color w:val="auto"/>
                <w:kern w:val="0"/>
                <w:sz w:val="24"/>
                <w:szCs w:val="24"/>
                <w:highlight w:val="none"/>
                <w:lang w:val="en-US" w:eastAsia="zh-CN" w:bidi="ar-SA"/>
              </w:rPr>
            </w:pPr>
          </w:p>
        </w:tc>
        <w:tc>
          <w:tcPr>
            <w:tcW w:w="2552" w:type="dxa"/>
            <w:vAlign w:val="center"/>
          </w:tcPr>
          <w:p w14:paraId="215BDB51">
            <w:pPr>
              <w:widowControl w:val="0"/>
              <w:kinsoku/>
              <w:wordWrap/>
              <w:overflowPunct/>
              <w:topLinePunct w:val="0"/>
              <w:bidi w:val="0"/>
              <w:adjustRightInd/>
              <w:spacing w:line="560" w:lineRule="exact"/>
              <w:ind w:firstLine="200"/>
              <w:jc w:val="center"/>
              <w:outlineLvl w:val="9"/>
              <w:rPr>
                <w:rFonts w:ascii="宋体" w:hAnsi="宋体" w:eastAsia="宋体" w:cs="Times New Roman"/>
                <w:color w:val="auto"/>
                <w:kern w:val="0"/>
                <w:sz w:val="24"/>
                <w:szCs w:val="24"/>
                <w:highlight w:val="none"/>
                <w:lang w:val="en-US" w:eastAsia="zh-CN" w:bidi="ar-SA"/>
              </w:rPr>
            </w:pPr>
          </w:p>
        </w:tc>
      </w:tr>
      <w:tr w14:paraId="05273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A62C591">
            <w:pPr>
              <w:widowControl w:val="0"/>
              <w:kinsoku/>
              <w:wordWrap/>
              <w:overflowPunct/>
              <w:topLinePunct w:val="0"/>
              <w:bidi w:val="0"/>
              <w:adjustRightInd/>
              <w:spacing w:line="560" w:lineRule="exact"/>
              <w:ind w:firstLine="200"/>
              <w:jc w:val="center"/>
              <w:outlineLvl w:val="9"/>
              <w:rPr>
                <w:rFonts w:ascii="宋体" w:hAnsi="宋体" w:eastAsia="宋体" w:cs="Times New Roman"/>
                <w:color w:val="auto"/>
                <w:kern w:val="0"/>
                <w:sz w:val="24"/>
                <w:szCs w:val="24"/>
                <w:highlight w:val="none"/>
                <w:lang w:val="en-US" w:eastAsia="zh-CN" w:bidi="ar-SA"/>
              </w:rPr>
            </w:pPr>
          </w:p>
        </w:tc>
        <w:tc>
          <w:tcPr>
            <w:tcW w:w="3402" w:type="dxa"/>
            <w:vAlign w:val="center"/>
          </w:tcPr>
          <w:p w14:paraId="06922954">
            <w:pPr>
              <w:widowControl w:val="0"/>
              <w:kinsoku/>
              <w:wordWrap/>
              <w:overflowPunct/>
              <w:topLinePunct w:val="0"/>
              <w:bidi w:val="0"/>
              <w:adjustRightInd/>
              <w:spacing w:line="560" w:lineRule="exact"/>
              <w:ind w:firstLine="200"/>
              <w:jc w:val="center"/>
              <w:outlineLvl w:val="9"/>
              <w:rPr>
                <w:rFonts w:ascii="宋体" w:hAnsi="宋体" w:eastAsia="宋体" w:cs="Times New Roman"/>
                <w:color w:val="auto"/>
                <w:kern w:val="0"/>
                <w:sz w:val="24"/>
                <w:szCs w:val="24"/>
                <w:highlight w:val="none"/>
                <w:lang w:val="en-US" w:eastAsia="zh-CN" w:bidi="ar-SA"/>
              </w:rPr>
            </w:pPr>
          </w:p>
        </w:tc>
        <w:tc>
          <w:tcPr>
            <w:tcW w:w="2552" w:type="dxa"/>
            <w:vAlign w:val="center"/>
          </w:tcPr>
          <w:p w14:paraId="663C911E">
            <w:pPr>
              <w:widowControl w:val="0"/>
              <w:kinsoku/>
              <w:wordWrap/>
              <w:overflowPunct/>
              <w:topLinePunct w:val="0"/>
              <w:bidi w:val="0"/>
              <w:adjustRightInd/>
              <w:spacing w:line="560" w:lineRule="exact"/>
              <w:ind w:firstLine="200"/>
              <w:jc w:val="center"/>
              <w:outlineLvl w:val="9"/>
              <w:rPr>
                <w:rFonts w:ascii="宋体" w:hAnsi="宋体" w:eastAsia="宋体" w:cs="Times New Roman"/>
                <w:color w:val="auto"/>
                <w:kern w:val="0"/>
                <w:sz w:val="24"/>
                <w:szCs w:val="24"/>
                <w:highlight w:val="none"/>
                <w:lang w:val="en-US" w:eastAsia="zh-CN" w:bidi="ar-SA"/>
              </w:rPr>
            </w:pPr>
          </w:p>
        </w:tc>
      </w:tr>
      <w:tr w14:paraId="4EF60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AFB20C8">
            <w:pPr>
              <w:widowControl w:val="0"/>
              <w:kinsoku/>
              <w:wordWrap/>
              <w:overflowPunct/>
              <w:topLinePunct w:val="0"/>
              <w:bidi w:val="0"/>
              <w:adjustRightInd/>
              <w:spacing w:line="560" w:lineRule="exact"/>
              <w:ind w:firstLine="200"/>
              <w:jc w:val="center"/>
              <w:outlineLvl w:val="9"/>
              <w:rPr>
                <w:rFonts w:ascii="宋体" w:hAnsi="宋体" w:eastAsia="宋体" w:cs="Times New Roman"/>
                <w:color w:val="auto"/>
                <w:kern w:val="0"/>
                <w:sz w:val="24"/>
                <w:szCs w:val="24"/>
                <w:highlight w:val="none"/>
                <w:lang w:val="en-US" w:eastAsia="zh-CN" w:bidi="ar-SA"/>
              </w:rPr>
            </w:pPr>
          </w:p>
        </w:tc>
        <w:tc>
          <w:tcPr>
            <w:tcW w:w="3402" w:type="dxa"/>
            <w:vAlign w:val="center"/>
          </w:tcPr>
          <w:p w14:paraId="5551C038">
            <w:pPr>
              <w:widowControl w:val="0"/>
              <w:kinsoku/>
              <w:wordWrap/>
              <w:overflowPunct/>
              <w:topLinePunct w:val="0"/>
              <w:bidi w:val="0"/>
              <w:adjustRightInd/>
              <w:spacing w:line="560" w:lineRule="exact"/>
              <w:ind w:firstLine="200"/>
              <w:jc w:val="center"/>
              <w:outlineLvl w:val="9"/>
              <w:rPr>
                <w:rFonts w:ascii="宋体" w:hAnsi="宋体" w:eastAsia="宋体" w:cs="Times New Roman"/>
                <w:color w:val="auto"/>
                <w:kern w:val="0"/>
                <w:sz w:val="24"/>
                <w:szCs w:val="24"/>
                <w:highlight w:val="none"/>
                <w:lang w:val="en-US" w:eastAsia="zh-CN" w:bidi="ar-SA"/>
              </w:rPr>
            </w:pPr>
          </w:p>
        </w:tc>
        <w:tc>
          <w:tcPr>
            <w:tcW w:w="2552" w:type="dxa"/>
            <w:vAlign w:val="center"/>
          </w:tcPr>
          <w:p w14:paraId="75630B01">
            <w:pPr>
              <w:widowControl w:val="0"/>
              <w:kinsoku/>
              <w:wordWrap/>
              <w:overflowPunct/>
              <w:topLinePunct w:val="0"/>
              <w:bidi w:val="0"/>
              <w:adjustRightInd/>
              <w:spacing w:line="560" w:lineRule="exact"/>
              <w:ind w:firstLine="200"/>
              <w:jc w:val="center"/>
              <w:outlineLvl w:val="9"/>
              <w:rPr>
                <w:rFonts w:ascii="宋体" w:hAnsi="宋体" w:eastAsia="宋体" w:cs="Times New Roman"/>
                <w:color w:val="auto"/>
                <w:kern w:val="0"/>
                <w:sz w:val="24"/>
                <w:szCs w:val="24"/>
                <w:highlight w:val="none"/>
                <w:lang w:val="en-US" w:eastAsia="zh-CN" w:bidi="ar-SA"/>
              </w:rPr>
            </w:pPr>
          </w:p>
        </w:tc>
      </w:tr>
      <w:tr w14:paraId="1F7C2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4FBDB4B7">
            <w:pPr>
              <w:widowControl w:val="0"/>
              <w:kinsoku/>
              <w:wordWrap/>
              <w:overflowPunct/>
              <w:topLinePunct w:val="0"/>
              <w:bidi w:val="0"/>
              <w:adjustRightInd/>
              <w:spacing w:line="560" w:lineRule="exact"/>
              <w:ind w:firstLine="200"/>
              <w:jc w:val="center"/>
              <w:outlineLvl w:val="9"/>
              <w:rPr>
                <w:rFonts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总价</w:t>
            </w:r>
          </w:p>
        </w:tc>
        <w:tc>
          <w:tcPr>
            <w:tcW w:w="2552" w:type="dxa"/>
            <w:vAlign w:val="center"/>
          </w:tcPr>
          <w:p w14:paraId="7CC99D12">
            <w:pPr>
              <w:widowControl w:val="0"/>
              <w:kinsoku/>
              <w:wordWrap/>
              <w:overflowPunct/>
              <w:topLinePunct w:val="0"/>
              <w:bidi w:val="0"/>
              <w:adjustRightInd/>
              <w:spacing w:line="560" w:lineRule="exact"/>
              <w:ind w:firstLine="200"/>
              <w:jc w:val="center"/>
              <w:outlineLvl w:val="9"/>
              <w:rPr>
                <w:rFonts w:ascii="宋体" w:hAnsi="宋体" w:eastAsia="宋体" w:cs="Times New Roman"/>
                <w:color w:val="auto"/>
                <w:kern w:val="0"/>
                <w:sz w:val="24"/>
                <w:szCs w:val="24"/>
                <w:highlight w:val="none"/>
                <w:lang w:val="en-US" w:eastAsia="zh-CN" w:bidi="ar-SA"/>
              </w:rPr>
            </w:pPr>
          </w:p>
        </w:tc>
      </w:tr>
    </w:tbl>
    <w:p w14:paraId="79A1C301">
      <w:pPr>
        <w:kinsoku/>
        <w:wordWrap/>
        <w:overflowPunct/>
        <w:topLinePunct w:val="0"/>
        <w:bidi w:val="0"/>
        <w:spacing w:line="560" w:lineRule="exact"/>
        <w:ind w:firstLine="480" w:firstLineChars="200"/>
        <w:outlineLvl w:val="9"/>
        <w:rPr>
          <w:rFonts w:hint="eastAsia" w:ascii="宋体" w:hAnsi="宋体" w:eastAsia="宋体" w:cs="Times New Roman"/>
          <w:color w:val="auto"/>
          <w:sz w:val="24"/>
          <w:highlight w:val="none"/>
        </w:rPr>
      </w:pPr>
      <w:bookmarkStart w:id="427" w:name="_Toc3654"/>
      <w:bookmarkStart w:id="428" w:name="_Toc26916"/>
      <w:bookmarkStart w:id="429" w:name="_Toc30506"/>
      <w:bookmarkStart w:id="430" w:name="_Toc30158"/>
      <w:bookmarkStart w:id="431" w:name="_Toc14993"/>
      <w:r>
        <w:rPr>
          <w:rFonts w:hint="eastAsia" w:ascii="宋体" w:hAnsi="宋体" w:eastAsia="宋体" w:cs="Times New Roman"/>
          <w:bCs/>
          <w:color w:val="auto"/>
          <w:sz w:val="24"/>
          <w:highlight w:val="none"/>
        </w:rPr>
        <w:t>1.3.2单价合同，本合同单价（含税）标准</w:t>
      </w:r>
      <w:r>
        <w:rPr>
          <w:rFonts w:hint="eastAsia" w:ascii="宋体" w:hAnsi="宋体" w:cs="Times New Roman"/>
          <w:bCs/>
          <w:color w:val="auto"/>
          <w:sz w:val="24"/>
          <w:highlight w:val="none"/>
          <w:lang w:val="en-US" w:eastAsia="zh-CN"/>
        </w:rPr>
        <w:t>详见下表</w:t>
      </w:r>
      <w:r>
        <w:rPr>
          <w:rFonts w:ascii="宋体" w:hAnsi="宋体" w:eastAsia="宋体" w:cs="Times New Roman"/>
          <w:color w:val="auto"/>
          <w:sz w:val="24"/>
          <w:highlight w:val="none"/>
        </w:rPr>
        <w:t>。</w:t>
      </w:r>
      <w:r>
        <w:rPr>
          <w:rFonts w:hint="eastAsia" w:ascii="宋体" w:hAnsi="宋体" w:eastAsia="宋体" w:cs="Times New Roman"/>
          <w:color w:val="auto"/>
          <w:sz w:val="24"/>
          <w:highlight w:val="none"/>
        </w:rPr>
        <w:t>服务工作量的计量方式为：</w:t>
      </w:r>
      <w:r>
        <w:rPr>
          <w:rFonts w:hint="eastAsia" w:ascii="宋体" w:hAnsi="宋体" w:eastAsia="宋体" w:cs="Times New Roman"/>
          <w:bCs/>
          <w:color w:val="auto"/>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Times New Roman"/>
          <w:bCs/>
          <w:color w:val="auto"/>
          <w:sz w:val="24"/>
          <w:highlight w:val="none"/>
          <w:u w:val="single"/>
        </w:rPr>
        <w:t xml:space="preserve"> </w:t>
      </w:r>
      <w:r>
        <w:rPr>
          <w:rFonts w:ascii="宋体" w:hAnsi="宋体" w:eastAsia="宋体" w:cs="Times New Roman"/>
          <w:color w:val="auto"/>
          <w:sz w:val="24"/>
          <w:highlight w:val="none"/>
        </w:rPr>
        <w:t>。</w:t>
      </w:r>
      <w:r>
        <w:rPr>
          <w:rFonts w:hint="eastAsia" w:ascii="宋体" w:hAnsi="宋体" w:eastAsia="宋体" w:cs="Times New Roman"/>
          <w:color w:val="auto"/>
          <w:sz w:val="24"/>
          <w:highlight w:val="none"/>
        </w:rPr>
        <w:t>单价合同，在合同履行期间内，根据实际完成的工作量据实结算，但结算总价上限不得超过预算金额或者双方确定的金额￥</w:t>
      </w:r>
      <w:r>
        <w:rPr>
          <w:rFonts w:ascii="宋体" w:hAnsi="宋体" w:eastAsia="宋体" w:cs="Times New Roman"/>
          <w:color w:val="auto"/>
          <w:sz w:val="24"/>
          <w:highlight w:val="none"/>
          <w:u w:val="single"/>
        </w:rPr>
        <w:t xml:space="preserve">           </w:t>
      </w:r>
      <w:r>
        <w:rPr>
          <w:rFonts w:ascii="宋体" w:hAnsi="宋体" w:eastAsia="宋体" w:cs="Times New Roman"/>
          <w:color w:val="auto"/>
          <w:sz w:val="24"/>
          <w:highlight w:val="none"/>
        </w:rPr>
        <w:t>元</w:t>
      </w:r>
      <w:r>
        <w:rPr>
          <w:rFonts w:hint="eastAsia" w:ascii="宋体" w:hAnsi="宋体" w:eastAsia="宋体" w:cs="Times New Roman"/>
          <w:color w:val="auto"/>
          <w:sz w:val="24"/>
          <w:highlight w:val="none"/>
        </w:rPr>
        <w:t>（大写：</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元人民币）。</w:t>
      </w:r>
    </w:p>
    <w:bookmarkEnd w:id="427"/>
    <w:bookmarkEnd w:id="428"/>
    <w:bookmarkEnd w:id="429"/>
    <w:bookmarkEnd w:id="430"/>
    <w:bookmarkEnd w:id="431"/>
    <w:tbl>
      <w:tblPr>
        <w:tblStyle w:val="62"/>
        <w:tblW w:w="4694" w:type="pct"/>
        <w:tblInd w:w="173" w:type="dxa"/>
        <w:tblLayout w:type="autofit"/>
        <w:tblCellMar>
          <w:top w:w="0" w:type="dxa"/>
          <w:left w:w="108" w:type="dxa"/>
          <w:bottom w:w="0" w:type="dxa"/>
          <w:right w:w="108" w:type="dxa"/>
        </w:tblCellMar>
      </w:tblPr>
      <w:tblGrid>
        <w:gridCol w:w="3323"/>
        <w:gridCol w:w="5395"/>
      </w:tblGrid>
      <w:tr w14:paraId="745AF072">
        <w:tblPrEx>
          <w:tblCellMar>
            <w:top w:w="0" w:type="dxa"/>
            <w:left w:w="108" w:type="dxa"/>
            <w:bottom w:w="0" w:type="dxa"/>
            <w:right w:w="108" w:type="dxa"/>
          </w:tblCellMar>
        </w:tblPrEx>
        <w:trPr>
          <w:trHeight w:val="409" w:hRule="atLeast"/>
        </w:trPr>
        <w:tc>
          <w:tcPr>
            <w:tcW w:w="1906" w:type="pct"/>
            <w:tcBorders>
              <w:top w:val="single" w:color="auto" w:sz="4" w:space="0"/>
              <w:left w:val="single" w:color="auto" w:sz="4" w:space="0"/>
              <w:bottom w:val="single" w:color="auto" w:sz="4" w:space="0"/>
              <w:right w:val="single" w:color="auto" w:sz="4" w:space="0"/>
            </w:tcBorders>
            <w:noWrap w:val="0"/>
            <w:vAlign w:val="center"/>
          </w:tcPr>
          <w:p w14:paraId="426B5AA4">
            <w:pPr>
              <w:spacing w:line="460" w:lineRule="exact"/>
              <w:jc w:val="center"/>
              <w:rPr>
                <w:rFonts w:hint="eastAsia" w:ascii="宋体" w:hAnsi="宋体" w:eastAsia="宋体" w:cs="宋体"/>
                <w:color w:val="auto"/>
                <w:sz w:val="24"/>
                <w:szCs w:val="24"/>
                <w:highlight w:val="none"/>
                <w:lang w:eastAsia="zh-CN"/>
              </w:rPr>
            </w:pPr>
            <w:bookmarkStart w:id="432" w:name="_Toc10340"/>
            <w:bookmarkStart w:id="433" w:name="_Toc22618"/>
            <w:bookmarkStart w:id="434" w:name="_Toc1814"/>
            <w:bookmarkStart w:id="435" w:name="_Toc11108"/>
            <w:bookmarkStart w:id="436" w:name="_Toc4760"/>
            <w:bookmarkStart w:id="437" w:name="_Toc31421"/>
            <w:bookmarkStart w:id="438" w:name="_Toc3625"/>
            <w:bookmarkStart w:id="439" w:name="_Toc8772"/>
            <w:r>
              <w:rPr>
                <w:rFonts w:hint="eastAsia" w:ascii="宋体" w:hAnsi="宋体" w:eastAsia="宋体" w:cs="宋体"/>
                <w:color w:val="auto"/>
                <w:sz w:val="24"/>
                <w:szCs w:val="24"/>
                <w:highlight w:val="none"/>
                <w:lang w:val="en-US" w:eastAsia="zh-CN"/>
              </w:rPr>
              <w:t>名称</w:t>
            </w:r>
          </w:p>
        </w:tc>
        <w:tc>
          <w:tcPr>
            <w:tcW w:w="3093" w:type="pct"/>
            <w:tcBorders>
              <w:top w:val="single" w:color="auto" w:sz="4" w:space="0"/>
              <w:left w:val="nil"/>
              <w:bottom w:val="single" w:color="auto" w:sz="4" w:space="0"/>
              <w:right w:val="single" w:color="auto" w:sz="4" w:space="0"/>
            </w:tcBorders>
            <w:noWrap w:val="0"/>
            <w:vAlign w:val="center"/>
          </w:tcPr>
          <w:p w14:paraId="52A10DB2">
            <w:pPr>
              <w:spacing w:line="46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综合</w:t>
            </w:r>
            <w:r>
              <w:rPr>
                <w:rFonts w:hint="eastAsia" w:ascii="宋体" w:hAnsi="宋体" w:eastAsia="宋体" w:cs="宋体"/>
                <w:color w:val="auto"/>
                <w:sz w:val="24"/>
                <w:szCs w:val="24"/>
                <w:highlight w:val="none"/>
              </w:rPr>
              <w:t>单价</w:t>
            </w:r>
          </w:p>
        </w:tc>
      </w:tr>
      <w:tr w14:paraId="37574233">
        <w:tblPrEx>
          <w:tblCellMar>
            <w:top w:w="0" w:type="dxa"/>
            <w:left w:w="108" w:type="dxa"/>
            <w:bottom w:w="0" w:type="dxa"/>
            <w:right w:w="108" w:type="dxa"/>
          </w:tblCellMar>
        </w:tblPrEx>
        <w:trPr>
          <w:trHeight w:val="409" w:hRule="atLeast"/>
        </w:trPr>
        <w:tc>
          <w:tcPr>
            <w:tcW w:w="1906" w:type="pct"/>
            <w:tcBorders>
              <w:top w:val="single" w:color="auto" w:sz="4" w:space="0"/>
              <w:left w:val="single" w:color="auto" w:sz="4" w:space="0"/>
              <w:bottom w:val="single" w:color="auto" w:sz="4" w:space="0"/>
              <w:right w:val="single" w:color="auto" w:sz="4" w:space="0"/>
            </w:tcBorders>
            <w:noWrap w:val="0"/>
            <w:vAlign w:val="center"/>
          </w:tcPr>
          <w:p w14:paraId="6930F317">
            <w:pPr>
              <w:spacing w:line="46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试剂采购</w:t>
            </w:r>
          </w:p>
        </w:tc>
        <w:tc>
          <w:tcPr>
            <w:tcW w:w="3093" w:type="pct"/>
            <w:tcBorders>
              <w:top w:val="single" w:color="auto" w:sz="4" w:space="0"/>
              <w:left w:val="nil"/>
              <w:bottom w:val="single" w:color="auto" w:sz="4" w:space="0"/>
              <w:right w:val="single" w:color="auto" w:sz="4" w:space="0"/>
            </w:tcBorders>
            <w:noWrap w:val="0"/>
            <w:vAlign w:val="center"/>
          </w:tcPr>
          <w:p w14:paraId="2EBCF4E2">
            <w:pPr>
              <w:spacing w:line="46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C00000"/>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元</w:t>
            </w:r>
            <w:r>
              <w:rPr>
                <w:rFonts w:hint="eastAsia" w:ascii="宋体" w:hAnsi="宋体" w:eastAsia="宋体" w:cs="宋体"/>
                <w:color w:val="auto"/>
                <w:sz w:val="24"/>
                <w:szCs w:val="24"/>
                <w:highlight w:val="none"/>
              </w:rPr>
              <w:t>/批次</w:t>
            </w:r>
          </w:p>
        </w:tc>
      </w:tr>
      <w:tr w14:paraId="7FA835B9">
        <w:tblPrEx>
          <w:tblCellMar>
            <w:top w:w="0" w:type="dxa"/>
            <w:left w:w="108" w:type="dxa"/>
            <w:bottom w:w="0" w:type="dxa"/>
            <w:right w:w="108" w:type="dxa"/>
          </w:tblCellMar>
        </w:tblPrEx>
        <w:trPr>
          <w:trHeight w:val="420" w:hRule="atLeast"/>
        </w:trPr>
        <w:tc>
          <w:tcPr>
            <w:tcW w:w="1906" w:type="pct"/>
            <w:tcBorders>
              <w:top w:val="single" w:color="auto" w:sz="4" w:space="0"/>
              <w:left w:val="single" w:color="auto" w:sz="4" w:space="0"/>
              <w:bottom w:val="single" w:color="auto" w:sz="4" w:space="0"/>
              <w:right w:val="single" w:color="auto" w:sz="4" w:space="0"/>
            </w:tcBorders>
            <w:noWrap w:val="0"/>
            <w:vAlign w:val="center"/>
          </w:tcPr>
          <w:p w14:paraId="767D9372">
            <w:pPr>
              <w:spacing w:line="460" w:lineRule="exact"/>
              <w:jc w:val="center"/>
              <w:rPr>
                <w:rFonts w:hint="eastAsia"/>
                <w:highlight w:val="none"/>
              </w:rPr>
            </w:pPr>
            <w:r>
              <w:rPr>
                <w:rFonts w:hint="eastAsia"/>
                <w:highlight w:val="none"/>
              </w:rPr>
              <w:t>日常快速检测</w:t>
            </w:r>
          </w:p>
        </w:tc>
        <w:tc>
          <w:tcPr>
            <w:tcW w:w="3093" w:type="pct"/>
            <w:tcBorders>
              <w:top w:val="single" w:color="auto" w:sz="4" w:space="0"/>
              <w:left w:val="nil"/>
              <w:bottom w:val="single" w:color="auto" w:sz="4" w:space="0"/>
              <w:right w:val="single" w:color="auto" w:sz="4" w:space="0"/>
            </w:tcBorders>
            <w:noWrap w:val="0"/>
            <w:vAlign w:val="center"/>
          </w:tcPr>
          <w:p w14:paraId="2B860DCC">
            <w:pPr>
              <w:spacing w:line="46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元/</w:t>
            </w:r>
            <w:r>
              <w:rPr>
                <w:rFonts w:hint="eastAsia" w:ascii="宋体" w:hAnsi="宋体" w:cs="宋体"/>
                <w:color w:val="auto"/>
                <w:sz w:val="24"/>
                <w:szCs w:val="24"/>
                <w:highlight w:val="none"/>
                <w:lang w:eastAsia="zh-CN"/>
              </w:rPr>
              <w:t>批次</w:t>
            </w:r>
          </w:p>
        </w:tc>
      </w:tr>
      <w:tr w14:paraId="3BD55D1B">
        <w:tblPrEx>
          <w:tblCellMar>
            <w:top w:w="0" w:type="dxa"/>
            <w:left w:w="108" w:type="dxa"/>
            <w:bottom w:w="0" w:type="dxa"/>
            <w:right w:w="108" w:type="dxa"/>
          </w:tblCellMar>
        </w:tblPrEx>
        <w:trPr>
          <w:trHeight w:val="436" w:hRule="atLeast"/>
        </w:trPr>
        <w:tc>
          <w:tcPr>
            <w:tcW w:w="1906" w:type="pct"/>
            <w:vMerge w:val="restart"/>
            <w:tcBorders>
              <w:top w:val="single" w:color="auto" w:sz="4" w:space="0"/>
              <w:left w:val="single" w:color="auto" w:sz="4" w:space="0"/>
              <w:bottom w:val="single" w:color="auto" w:sz="4" w:space="0"/>
              <w:right w:val="single" w:color="auto" w:sz="4" w:space="0"/>
            </w:tcBorders>
            <w:noWrap w:val="0"/>
            <w:vAlign w:val="center"/>
          </w:tcPr>
          <w:p w14:paraId="6D82F3AC">
            <w:pPr>
              <w:spacing w:line="4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专项快速检测</w:t>
            </w:r>
          </w:p>
        </w:tc>
        <w:tc>
          <w:tcPr>
            <w:tcW w:w="3093" w:type="pct"/>
            <w:tcBorders>
              <w:top w:val="single" w:color="auto" w:sz="4" w:space="0"/>
              <w:left w:val="nil"/>
              <w:bottom w:val="single" w:color="auto" w:sz="4" w:space="0"/>
              <w:right w:val="single" w:color="auto" w:sz="4" w:space="0"/>
            </w:tcBorders>
            <w:noWrap w:val="0"/>
            <w:vAlign w:val="center"/>
          </w:tcPr>
          <w:p w14:paraId="0A2206CF">
            <w:pPr>
              <w:spacing w:line="4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农残</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元/</w:t>
            </w:r>
            <w:r>
              <w:rPr>
                <w:rFonts w:hint="eastAsia" w:ascii="宋体" w:hAnsi="宋体" w:cs="宋体"/>
                <w:color w:val="auto"/>
                <w:sz w:val="24"/>
                <w:szCs w:val="24"/>
                <w:highlight w:val="none"/>
                <w:lang w:eastAsia="zh-CN"/>
              </w:rPr>
              <w:t>项</w:t>
            </w:r>
            <w:r>
              <w:rPr>
                <w:rFonts w:hint="eastAsia" w:ascii="宋体" w:hAnsi="宋体" w:eastAsia="宋体" w:cs="宋体"/>
                <w:color w:val="auto"/>
                <w:sz w:val="24"/>
                <w:szCs w:val="24"/>
                <w:highlight w:val="none"/>
              </w:rPr>
              <w:t>次</w:t>
            </w:r>
          </w:p>
        </w:tc>
      </w:tr>
      <w:tr w14:paraId="660D4362">
        <w:tblPrEx>
          <w:tblCellMar>
            <w:top w:w="0" w:type="dxa"/>
            <w:left w:w="108" w:type="dxa"/>
            <w:bottom w:w="0" w:type="dxa"/>
            <w:right w:w="108" w:type="dxa"/>
          </w:tblCellMar>
        </w:tblPrEx>
        <w:trPr>
          <w:trHeight w:val="444" w:hRule="atLeast"/>
        </w:trPr>
        <w:tc>
          <w:tcPr>
            <w:tcW w:w="1906" w:type="pct"/>
            <w:vMerge w:val="continue"/>
            <w:tcBorders>
              <w:top w:val="single" w:color="auto" w:sz="4" w:space="0"/>
              <w:left w:val="single" w:color="auto" w:sz="4" w:space="0"/>
              <w:bottom w:val="single" w:color="auto" w:sz="4" w:space="0"/>
              <w:right w:val="single" w:color="auto" w:sz="4" w:space="0"/>
            </w:tcBorders>
            <w:noWrap w:val="0"/>
            <w:vAlign w:val="center"/>
          </w:tcPr>
          <w:p w14:paraId="422055FA">
            <w:pPr>
              <w:spacing w:line="460" w:lineRule="exact"/>
              <w:jc w:val="center"/>
              <w:rPr>
                <w:rFonts w:hint="eastAsia" w:ascii="宋体" w:hAnsi="宋体" w:eastAsia="宋体" w:cs="宋体"/>
                <w:color w:val="auto"/>
                <w:sz w:val="24"/>
                <w:szCs w:val="24"/>
                <w:highlight w:val="none"/>
              </w:rPr>
            </w:pPr>
          </w:p>
        </w:tc>
        <w:tc>
          <w:tcPr>
            <w:tcW w:w="3093" w:type="pct"/>
            <w:tcBorders>
              <w:top w:val="single" w:color="auto" w:sz="4" w:space="0"/>
              <w:left w:val="nil"/>
              <w:bottom w:val="single" w:color="auto" w:sz="4" w:space="0"/>
              <w:right w:val="single" w:color="auto" w:sz="4" w:space="0"/>
            </w:tcBorders>
            <w:noWrap w:val="0"/>
            <w:vAlign w:val="center"/>
          </w:tcPr>
          <w:p w14:paraId="0D49434B">
            <w:pPr>
              <w:spacing w:line="4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非农残</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元/</w:t>
            </w:r>
            <w:r>
              <w:rPr>
                <w:rFonts w:hint="eastAsia" w:ascii="宋体" w:hAnsi="宋体" w:cs="宋体"/>
                <w:color w:val="auto"/>
                <w:sz w:val="24"/>
                <w:szCs w:val="24"/>
                <w:highlight w:val="none"/>
                <w:lang w:eastAsia="zh-CN"/>
              </w:rPr>
              <w:t>项</w:t>
            </w:r>
            <w:r>
              <w:rPr>
                <w:rFonts w:hint="eastAsia" w:ascii="宋体" w:hAnsi="宋体" w:eastAsia="宋体" w:cs="宋体"/>
                <w:color w:val="auto"/>
                <w:sz w:val="24"/>
                <w:szCs w:val="24"/>
                <w:highlight w:val="none"/>
              </w:rPr>
              <w:t>次</w:t>
            </w:r>
          </w:p>
        </w:tc>
      </w:tr>
      <w:tr w14:paraId="50EBF560">
        <w:tblPrEx>
          <w:tblCellMar>
            <w:top w:w="0" w:type="dxa"/>
            <w:left w:w="108" w:type="dxa"/>
            <w:bottom w:w="0" w:type="dxa"/>
            <w:right w:w="108" w:type="dxa"/>
          </w:tblCellMar>
        </w:tblPrEx>
        <w:trPr>
          <w:trHeight w:val="444" w:hRule="atLeast"/>
        </w:trPr>
        <w:tc>
          <w:tcPr>
            <w:tcW w:w="1906" w:type="pct"/>
            <w:tcBorders>
              <w:top w:val="single" w:color="auto" w:sz="4" w:space="0"/>
              <w:left w:val="single" w:color="auto" w:sz="4" w:space="0"/>
              <w:bottom w:val="single" w:color="auto" w:sz="4" w:space="0"/>
              <w:right w:val="single" w:color="auto" w:sz="4" w:space="0"/>
            </w:tcBorders>
            <w:noWrap w:val="0"/>
            <w:vAlign w:val="center"/>
          </w:tcPr>
          <w:p w14:paraId="2D427BBF">
            <w:pPr>
              <w:spacing w:line="4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快检室建设</w:t>
            </w:r>
          </w:p>
        </w:tc>
        <w:tc>
          <w:tcPr>
            <w:tcW w:w="3093" w:type="pct"/>
            <w:tcBorders>
              <w:top w:val="single" w:color="auto" w:sz="4" w:space="0"/>
              <w:left w:val="nil"/>
              <w:bottom w:val="single" w:color="auto" w:sz="4" w:space="0"/>
              <w:right w:val="single" w:color="auto" w:sz="4" w:space="0"/>
            </w:tcBorders>
            <w:noWrap w:val="0"/>
            <w:vAlign w:val="center"/>
          </w:tcPr>
          <w:p w14:paraId="7A5409DC">
            <w:pPr>
              <w:spacing w:line="46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元/个</w:t>
            </w:r>
          </w:p>
        </w:tc>
      </w:tr>
      <w:tr w14:paraId="0DF53038">
        <w:tblPrEx>
          <w:tblCellMar>
            <w:top w:w="0" w:type="dxa"/>
            <w:left w:w="108" w:type="dxa"/>
            <w:bottom w:w="0" w:type="dxa"/>
            <w:right w:w="108" w:type="dxa"/>
          </w:tblCellMar>
        </w:tblPrEx>
        <w:trPr>
          <w:trHeight w:val="444" w:hRule="atLeast"/>
        </w:trPr>
        <w:tc>
          <w:tcPr>
            <w:tcW w:w="5000" w:type="pct"/>
            <w:gridSpan w:val="2"/>
            <w:tcBorders>
              <w:top w:val="single" w:color="auto" w:sz="4" w:space="0"/>
              <w:left w:val="single" w:color="auto" w:sz="4" w:space="0"/>
              <w:bottom w:val="single" w:color="auto" w:sz="4" w:space="0"/>
              <w:right w:val="single" w:color="auto" w:sz="4" w:space="0"/>
            </w:tcBorders>
            <w:noWrap w:val="0"/>
            <w:vAlign w:val="center"/>
          </w:tcPr>
          <w:p w14:paraId="22741A9F">
            <w:pPr>
              <w:spacing w:line="460" w:lineRule="exact"/>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说明：快检室建设综合单价含完成快检室所有建设内容的总费用，项目实施时，按实际采购量，按实结算。</w:t>
            </w:r>
          </w:p>
        </w:tc>
      </w:tr>
    </w:tbl>
    <w:p w14:paraId="45BBFA44">
      <w:pPr>
        <w:kinsoku/>
        <w:wordWrap/>
        <w:overflowPunct/>
        <w:topLinePunct w:val="0"/>
        <w:bidi w:val="0"/>
        <w:spacing w:line="560" w:lineRule="exact"/>
        <w:ind w:firstLine="482" w:firstLineChars="200"/>
        <w:outlineLvl w:val="9"/>
        <w:rPr>
          <w:rFonts w:ascii="宋体" w:hAnsi="宋体" w:eastAsia="宋体" w:cs="Times New Roman"/>
          <w:b/>
          <w:color w:val="auto"/>
          <w:sz w:val="24"/>
          <w:highlight w:val="none"/>
        </w:rPr>
      </w:pPr>
      <w:r>
        <w:rPr>
          <w:rFonts w:hint="eastAsia" w:ascii="宋体" w:hAnsi="宋体" w:eastAsia="宋体" w:cs="Times New Roman"/>
          <w:b/>
          <w:color w:val="auto"/>
          <w:sz w:val="24"/>
          <w:highlight w:val="none"/>
        </w:rPr>
        <w:t>1.4履约保证金</w:t>
      </w:r>
    </w:p>
    <w:p w14:paraId="720B3002">
      <w:pPr>
        <w:kinsoku/>
        <w:wordWrap/>
        <w:overflowPunct/>
        <w:topLinePunct w:val="0"/>
        <w:bidi w:val="0"/>
        <w:spacing w:line="560" w:lineRule="exact"/>
        <w:ind w:firstLine="480" w:firstLineChars="200"/>
        <w:outlineLvl w:val="9"/>
        <w:rPr>
          <w:rFonts w:ascii="宋体" w:hAnsi="宋体" w:eastAsia="宋体" w:cs="宋体"/>
          <w:color w:val="auto"/>
          <w:sz w:val="24"/>
          <w:highlight w:val="non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是</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需要支付履约保证金。若需要支付履约保证金的，则：</w:t>
      </w:r>
    </w:p>
    <w:p w14:paraId="4F5ED26A">
      <w:pPr>
        <w:kinsoku/>
        <w:wordWrap/>
        <w:overflowPunct/>
        <w:topLinePunct w:val="0"/>
        <w:bidi w:val="0"/>
        <w:spacing w:line="560" w:lineRule="exact"/>
        <w:ind w:firstLine="480" w:firstLineChars="200"/>
        <w:outlineLvl w:val="9"/>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1.4.1履约保证金的比例为合同金额的</w:t>
      </w:r>
      <w:r>
        <w:rPr>
          <w:rFonts w:hint="eastAsia" w:ascii="宋体" w:hAnsi="宋体" w:eastAsia="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1</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49CD8185">
      <w:pPr>
        <w:kinsoku/>
        <w:wordWrap/>
        <w:overflowPunct/>
        <w:topLinePunct w:val="0"/>
        <w:bidi w:val="0"/>
        <w:spacing w:line="560" w:lineRule="exact"/>
        <w:ind w:firstLine="480" w:firstLineChars="200"/>
        <w:outlineLvl w:val="9"/>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1.4.2履约保证金支付方式详见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2B7D0140">
      <w:pPr>
        <w:tabs>
          <w:tab w:val="left" w:pos="0"/>
          <w:tab w:val="left" w:pos="432"/>
        </w:tabs>
        <w:kinsoku/>
        <w:wordWrap/>
        <w:overflowPunct/>
        <w:topLinePunct w:val="0"/>
        <w:bidi w:val="0"/>
        <w:spacing w:line="560" w:lineRule="exact"/>
        <w:ind w:left="0" w:firstLine="480" w:firstLineChars="200"/>
        <w:outlineLvl w:val="9"/>
        <w:rPr>
          <w:rFonts w:ascii="Times New Roman" w:hAnsi="Times New Roman" w:eastAsia="宋体" w:cs="Times New Roman"/>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1083CF2">
      <w:pPr>
        <w:kinsoku/>
        <w:wordWrap/>
        <w:overflowPunct/>
        <w:topLinePunct w:val="0"/>
        <w:bidi w:val="0"/>
        <w:spacing w:line="560" w:lineRule="exact"/>
        <w:ind w:firstLine="480" w:firstLineChars="200"/>
        <w:outlineLvl w:val="9"/>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1.4.4</w:t>
      </w:r>
      <w:r>
        <w:rPr>
          <w:rFonts w:hint="eastAsia" w:ascii="宋体" w:hAnsi="宋体" w:eastAsia="宋体" w:cs="宋体"/>
          <w:color w:val="auto"/>
          <w:sz w:val="24"/>
          <w:highlight w:val="none"/>
        </w:rPr>
        <w:t>履约保证金在乙方完成合同履约后无息退还（但如乙方未能履行合同规定的任何义务，甲方有权从履约保证金中优先扣除应由乙方承担的违约金、赔偿金以及其他款项）</w:t>
      </w:r>
      <w:r>
        <w:rPr>
          <w:rFonts w:hint="eastAsia" w:ascii="宋体" w:hAnsi="宋体" w:eastAsia="宋体" w:cs="宋体"/>
          <w:color w:val="auto"/>
          <w:kern w:val="0"/>
          <w:sz w:val="24"/>
          <w:highlight w:val="none"/>
        </w:rPr>
        <w:t>。</w:t>
      </w:r>
    </w:p>
    <w:p w14:paraId="0C241DA5">
      <w:pPr>
        <w:kinsoku/>
        <w:wordWrap/>
        <w:overflowPunct/>
        <w:topLinePunct w:val="0"/>
        <w:bidi w:val="0"/>
        <w:spacing w:line="560" w:lineRule="exact"/>
        <w:ind w:firstLine="482" w:firstLineChars="200"/>
        <w:outlineLvl w:val="9"/>
        <w:rPr>
          <w:rFonts w:ascii="宋体" w:hAnsi="宋体" w:eastAsia="宋体" w:cs="宋体"/>
          <w:b/>
          <w:color w:val="auto"/>
          <w:sz w:val="24"/>
          <w:highlight w:val="none"/>
        </w:rPr>
      </w:pPr>
      <w:r>
        <w:rPr>
          <w:rFonts w:hint="eastAsia" w:ascii="宋体" w:hAnsi="宋体" w:eastAsia="宋体" w:cs="宋体"/>
          <w:b/>
          <w:color w:val="auto"/>
          <w:sz w:val="24"/>
          <w:highlight w:val="none"/>
        </w:rPr>
        <w:t>1.5</w:t>
      </w:r>
      <w:bookmarkEnd w:id="432"/>
      <w:bookmarkEnd w:id="433"/>
      <w:bookmarkEnd w:id="434"/>
      <w:r>
        <w:rPr>
          <w:rFonts w:hint="eastAsia" w:ascii="宋体" w:hAnsi="宋体" w:eastAsia="宋体" w:cs="宋体"/>
          <w:b/>
          <w:color w:val="auto"/>
          <w:sz w:val="24"/>
          <w:highlight w:val="none"/>
        </w:rPr>
        <w:t>预付款</w:t>
      </w:r>
    </w:p>
    <w:p w14:paraId="565A0678">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甲方</w:t>
      </w:r>
      <w:r>
        <w:rPr>
          <w:rFonts w:hint="eastAsia" w:ascii="宋体" w:hAnsi="宋体" w:eastAsia="宋体" w:cs="宋体"/>
          <w:color w:val="auto"/>
          <w:kern w:val="0"/>
          <w:sz w:val="24"/>
          <w:szCs w:val="24"/>
          <w:highlight w:val="none"/>
          <w:u w:val="single"/>
          <w:lang w:val="en-US" w:eastAsia="zh-CN" w:bidi="ar-SA"/>
        </w:rPr>
        <w:t xml:space="preserve"> 是 </w:t>
      </w:r>
      <w:r>
        <w:rPr>
          <w:rFonts w:hint="eastAsia" w:ascii="宋体" w:hAnsi="宋体" w:eastAsia="宋体" w:cs="宋体"/>
          <w:color w:val="auto"/>
          <w:kern w:val="0"/>
          <w:sz w:val="24"/>
          <w:szCs w:val="24"/>
          <w:highlight w:val="none"/>
          <w:lang w:val="en-US" w:eastAsia="zh-CN" w:bidi="ar-SA"/>
        </w:rPr>
        <w:t>需要支付预付款。若需要支付预付款的，则：</w:t>
      </w:r>
    </w:p>
    <w:p w14:paraId="3B3A29B8">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1.5.1预付款比例、支付方式、时间详见</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b/>
          <w:i/>
          <w:color w:val="auto"/>
          <w:kern w:val="0"/>
          <w:sz w:val="24"/>
          <w:szCs w:val="24"/>
          <w:highlight w:val="none"/>
          <w:u w:val="single"/>
          <w:lang w:val="en-US" w:eastAsia="zh-CN" w:bidi="ar-SA"/>
        </w:rPr>
        <w:t>合同专用条款</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lang w:val="en-US" w:eastAsia="zh-CN" w:bidi="ar-SA"/>
        </w:rPr>
        <w:t>；</w:t>
      </w:r>
    </w:p>
    <w:p w14:paraId="7763C679">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1.5.2预付款的扣回方式详见</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b/>
          <w:i/>
          <w:color w:val="auto"/>
          <w:kern w:val="0"/>
          <w:sz w:val="24"/>
          <w:szCs w:val="24"/>
          <w:highlight w:val="none"/>
          <w:u w:val="single"/>
          <w:lang w:val="en-US" w:eastAsia="zh-CN" w:bidi="ar-SA"/>
        </w:rPr>
        <w:t>合同专用条款</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lang w:val="en-US" w:eastAsia="zh-CN" w:bidi="ar-SA"/>
        </w:rPr>
        <w:t>；</w:t>
      </w:r>
    </w:p>
    <w:p w14:paraId="4DE6B991">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color w:val="auto"/>
          <w:kern w:val="0"/>
          <w:sz w:val="24"/>
          <w:szCs w:val="24"/>
          <w:highlight w:val="none"/>
          <w:u w:val="single"/>
          <w:lang w:val="en-US" w:eastAsia="zh-CN" w:bidi="ar-SA"/>
        </w:rPr>
      </w:pPr>
      <w:r>
        <w:rPr>
          <w:rFonts w:hint="eastAsia" w:ascii="宋体" w:hAnsi="宋体" w:eastAsia="宋体" w:cs="宋体"/>
          <w:color w:val="auto"/>
          <w:kern w:val="0"/>
          <w:sz w:val="24"/>
          <w:szCs w:val="24"/>
          <w:highlight w:val="none"/>
          <w:lang w:val="en-US" w:eastAsia="zh-CN" w:bidi="ar-SA"/>
        </w:rPr>
        <w:t>1.5.3预付款的担保措施详见</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b/>
          <w:i/>
          <w:color w:val="auto"/>
          <w:kern w:val="0"/>
          <w:sz w:val="24"/>
          <w:szCs w:val="24"/>
          <w:highlight w:val="none"/>
          <w:u w:val="single"/>
          <w:lang w:val="en-US" w:eastAsia="zh-CN" w:bidi="ar-SA"/>
        </w:rPr>
        <w:t>合同专用条款</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lang w:val="en-US" w:eastAsia="zh-CN" w:bidi="ar-SA"/>
        </w:rPr>
        <w:t>。</w:t>
      </w:r>
    </w:p>
    <w:p w14:paraId="68C42B1D">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1.6资金支付</w:t>
      </w:r>
    </w:p>
    <w:p w14:paraId="45FA5BB7">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1.6.1甲方应严格履行合同，及时组织验收，验收合格后及时将合同款支付完毕。对于满足合同约定支付条件的，甲方自收到发票后30个工作日内将资金支付到合同约定的乙方账户，有条件的甲方可以即时支付。甲方不得以机构变动、人员更替、政策调整、单位放假等为由延迟付款。</w:t>
      </w:r>
    </w:p>
    <w:p w14:paraId="2B1FF7FF">
      <w:pPr>
        <w:kinsoku/>
        <w:wordWrap/>
        <w:overflowPunct/>
        <w:topLinePunct w:val="0"/>
        <w:bidi w:val="0"/>
        <w:spacing w:line="560" w:lineRule="exact"/>
        <w:ind w:firstLine="480" w:firstLineChars="200"/>
        <w:outlineLvl w:val="9"/>
        <w:rPr>
          <w:rFonts w:ascii="宋体" w:hAnsi="宋体" w:eastAsia="宋体" w:cs="宋体"/>
          <w:color w:val="auto"/>
          <w:sz w:val="24"/>
          <w:highlight w:val="none"/>
        </w:rPr>
      </w:pPr>
      <w:r>
        <w:rPr>
          <w:rFonts w:hint="eastAsia" w:ascii="宋体" w:hAnsi="宋体" w:eastAsia="宋体" w:cs="宋体"/>
          <w:color w:val="auto"/>
          <w:sz w:val="24"/>
          <w:highlight w:val="none"/>
        </w:rPr>
        <w:t>1.6.2资金支付的方式、时间和条件详见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373D522B">
      <w:pPr>
        <w:kinsoku/>
        <w:wordWrap/>
        <w:overflowPunct/>
        <w:topLinePunct w:val="0"/>
        <w:bidi w:val="0"/>
        <w:spacing w:line="560" w:lineRule="exact"/>
        <w:ind w:firstLine="482" w:firstLineChars="200"/>
        <w:outlineLvl w:val="9"/>
        <w:rPr>
          <w:rFonts w:ascii="宋体" w:hAnsi="宋体" w:eastAsia="宋体" w:cs="Times New Roman"/>
          <w:b/>
          <w:color w:val="auto"/>
          <w:sz w:val="24"/>
          <w:highlight w:val="none"/>
        </w:rPr>
      </w:pPr>
      <w:r>
        <w:rPr>
          <w:rFonts w:ascii="宋体" w:hAnsi="宋体" w:eastAsia="宋体" w:cs="Times New Roman"/>
          <w:b/>
          <w:color w:val="auto"/>
          <w:sz w:val="24"/>
          <w:highlight w:val="none"/>
        </w:rPr>
        <w:t>1.</w:t>
      </w:r>
      <w:r>
        <w:rPr>
          <w:rFonts w:hint="eastAsia" w:ascii="宋体" w:hAnsi="宋体" w:eastAsia="宋体" w:cs="Times New Roman"/>
          <w:b/>
          <w:color w:val="auto"/>
          <w:sz w:val="24"/>
          <w:highlight w:val="none"/>
        </w:rPr>
        <w:t>7</w:t>
      </w:r>
      <w:r>
        <w:rPr>
          <w:rFonts w:ascii="宋体" w:hAnsi="宋体" w:eastAsia="宋体" w:cs="Times New Roman"/>
          <w:b/>
          <w:color w:val="auto"/>
          <w:sz w:val="24"/>
          <w:highlight w:val="none"/>
        </w:rPr>
        <w:t xml:space="preserve"> 履行期限</w:t>
      </w:r>
      <w:r>
        <w:rPr>
          <w:rFonts w:hint="eastAsia" w:ascii="宋体" w:hAnsi="宋体" w:eastAsia="宋体" w:cs="Times New Roman"/>
          <w:b/>
          <w:color w:val="auto"/>
          <w:sz w:val="24"/>
          <w:highlight w:val="none"/>
        </w:rPr>
        <w:t>、地点和方式</w:t>
      </w:r>
      <w:bookmarkEnd w:id="435"/>
      <w:bookmarkEnd w:id="436"/>
      <w:bookmarkEnd w:id="437"/>
      <w:bookmarkEnd w:id="438"/>
      <w:bookmarkEnd w:id="439"/>
    </w:p>
    <w:p w14:paraId="316730A0">
      <w:pPr>
        <w:kinsoku/>
        <w:wordWrap/>
        <w:overflowPunct/>
        <w:topLinePunct w:val="0"/>
        <w:bidi w:val="0"/>
        <w:spacing w:line="560" w:lineRule="exact"/>
        <w:ind w:firstLine="480" w:firstLineChars="200"/>
        <w:outlineLvl w:val="9"/>
        <w:rPr>
          <w:rFonts w:ascii="宋体" w:hAnsi="宋体" w:eastAsia="宋体" w:cs="Times New Roman"/>
          <w:color w:val="auto"/>
          <w:sz w:val="24"/>
          <w:highlight w:val="none"/>
          <w:u w:val="single"/>
        </w:rPr>
      </w:pPr>
      <w:r>
        <w:rPr>
          <w:rFonts w:ascii="宋体" w:hAnsi="宋体" w:eastAsia="宋体" w:cs="Times New Roman"/>
          <w:color w:val="auto"/>
          <w:sz w:val="24"/>
          <w:highlight w:val="none"/>
        </w:rPr>
        <w:t>1.</w:t>
      </w:r>
      <w:r>
        <w:rPr>
          <w:rFonts w:hint="eastAsia" w:ascii="宋体" w:hAnsi="宋体" w:eastAsia="宋体" w:cs="Times New Roman"/>
          <w:color w:val="auto"/>
          <w:sz w:val="24"/>
          <w:highlight w:val="none"/>
        </w:rPr>
        <w:t>7</w:t>
      </w:r>
      <w:r>
        <w:rPr>
          <w:rFonts w:ascii="宋体" w:hAnsi="宋体" w:eastAsia="宋体" w:cs="Times New Roman"/>
          <w:color w:val="auto"/>
          <w:sz w:val="24"/>
          <w:highlight w:val="none"/>
        </w:rPr>
        <w:t xml:space="preserve">.1 </w:t>
      </w:r>
      <w:r>
        <w:rPr>
          <w:rFonts w:hint="eastAsia" w:ascii="宋体" w:hAnsi="宋体" w:eastAsia="宋体" w:cs="Times New Roman"/>
          <w:color w:val="auto"/>
          <w:sz w:val="24"/>
          <w:highlight w:val="none"/>
        </w:rPr>
        <w:t>服务交付（实施）的时间（期限）</w:t>
      </w:r>
      <w:r>
        <w:rPr>
          <w:rFonts w:ascii="宋体" w:hAnsi="宋体" w:eastAsia="宋体" w:cs="Times New Roman"/>
          <w:color w:val="auto"/>
          <w:sz w:val="24"/>
          <w:highlight w:val="none"/>
        </w:rPr>
        <w:t>：</w:t>
      </w:r>
      <w:r>
        <w:rPr>
          <w:rFonts w:hint="eastAsia" w:ascii="宋体" w:hAnsi="宋体" w:eastAsia="宋体" w:cs="Times New Roman"/>
          <w:b/>
          <w:i/>
          <w:color w:val="auto"/>
          <w:sz w:val="24"/>
          <w:highlight w:val="none"/>
          <w:u w:val="single"/>
        </w:rPr>
        <w:t>合同专用条款</w:t>
      </w:r>
      <w:r>
        <w:rPr>
          <w:rFonts w:hint="eastAsia" w:ascii="宋体" w:hAnsi="宋体" w:eastAsia="宋体" w:cs="Times New Roman"/>
          <w:color w:val="auto"/>
          <w:sz w:val="24"/>
          <w:highlight w:val="none"/>
        </w:rPr>
        <w:t>；</w:t>
      </w:r>
    </w:p>
    <w:p w14:paraId="78C1274F">
      <w:pPr>
        <w:kinsoku/>
        <w:wordWrap/>
        <w:overflowPunct/>
        <w:topLinePunct w:val="0"/>
        <w:bidi w:val="0"/>
        <w:spacing w:line="560" w:lineRule="exact"/>
        <w:ind w:firstLine="480" w:firstLineChars="200"/>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1.</w:t>
      </w:r>
      <w:r>
        <w:rPr>
          <w:rFonts w:hint="eastAsia" w:ascii="宋体" w:hAnsi="宋体" w:eastAsia="宋体" w:cs="Times New Roman"/>
          <w:color w:val="auto"/>
          <w:sz w:val="24"/>
          <w:highlight w:val="none"/>
        </w:rPr>
        <w:t>7</w:t>
      </w:r>
      <w:r>
        <w:rPr>
          <w:rFonts w:ascii="宋体" w:hAnsi="宋体" w:eastAsia="宋体" w:cs="Times New Roman"/>
          <w:color w:val="auto"/>
          <w:sz w:val="24"/>
          <w:highlight w:val="none"/>
        </w:rPr>
        <w:t xml:space="preserve">.2 </w:t>
      </w:r>
      <w:r>
        <w:rPr>
          <w:rFonts w:hint="eastAsia" w:ascii="宋体" w:hAnsi="宋体" w:eastAsia="宋体" w:cs="Times New Roman"/>
          <w:color w:val="auto"/>
          <w:sz w:val="24"/>
          <w:highlight w:val="none"/>
        </w:rPr>
        <w:t>服</w:t>
      </w:r>
      <w:r>
        <w:rPr>
          <w:rFonts w:hint="eastAsia" w:ascii="宋体" w:hAnsi="宋体" w:eastAsia="宋体" w:cs="宋体"/>
          <w:color w:val="auto"/>
          <w:sz w:val="24"/>
          <w:highlight w:val="none"/>
        </w:rPr>
        <w:t>务交付（实施）的地点（地域范围）：</w:t>
      </w:r>
      <w:r>
        <w:rPr>
          <w:rFonts w:hint="eastAsia" w:ascii="宋体" w:hAnsi="宋体" w:eastAsia="宋体" w:cs="Times New Roman"/>
          <w:b/>
          <w:i/>
          <w:color w:val="auto"/>
          <w:sz w:val="24"/>
          <w:highlight w:val="none"/>
          <w:u w:val="single"/>
        </w:rPr>
        <w:t>合同专用条款</w:t>
      </w:r>
      <w:r>
        <w:rPr>
          <w:rFonts w:hint="eastAsia" w:ascii="宋体" w:hAnsi="宋体" w:eastAsia="宋体" w:cs="Times New Roman"/>
          <w:color w:val="auto"/>
          <w:sz w:val="24"/>
          <w:highlight w:val="none"/>
        </w:rPr>
        <w:t>；</w:t>
      </w:r>
    </w:p>
    <w:p w14:paraId="1E3A8C01">
      <w:pPr>
        <w:kinsoku/>
        <w:wordWrap/>
        <w:overflowPunct/>
        <w:topLinePunct w:val="0"/>
        <w:bidi w:val="0"/>
        <w:spacing w:line="560" w:lineRule="exact"/>
        <w:ind w:firstLine="480" w:firstLineChars="200"/>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1.</w:t>
      </w:r>
      <w:r>
        <w:rPr>
          <w:rFonts w:hint="eastAsia" w:ascii="宋体" w:hAnsi="宋体" w:eastAsia="宋体" w:cs="Times New Roman"/>
          <w:color w:val="auto"/>
          <w:sz w:val="24"/>
          <w:highlight w:val="none"/>
        </w:rPr>
        <w:t>7</w:t>
      </w:r>
      <w:r>
        <w:rPr>
          <w:rFonts w:ascii="宋体" w:hAnsi="宋体" w:eastAsia="宋体" w:cs="Times New Roman"/>
          <w:color w:val="auto"/>
          <w:sz w:val="24"/>
          <w:highlight w:val="none"/>
        </w:rPr>
        <w:t xml:space="preserve">.3 </w:t>
      </w:r>
      <w:r>
        <w:rPr>
          <w:rFonts w:hint="eastAsia" w:ascii="宋体" w:hAnsi="宋体" w:eastAsia="宋体" w:cs="Times New Roman"/>
          <w:color w:val="auto"/>
          <w:sz w:val="24"/>
          <w:highlight w:val="none"/>
        </w:rPr>
        <w:t>服务交付（实施）的方式：</w:t>
      </w:r>
      <w:r>
        <w:rPr>
          <w:rFonts w:hint="eastAsia" w:ascii="宋体" w:hAnsi="宋体" w:eastAsia="宋体" w:cs="Times New Roman"/>
          <w:b/>
          <w:i/>
          <w:color w:val="auto"/>
          <w:sz w:val="24"/>
          <w:highlight w:val="none"/>
          <w:u w:val="single"/>
        </w:rPr>
        <w:t>合同专用条款</w:t>
      </w:r>
      <w:r>
        <w:rPr>
          <w:rFonts w:hint="eastAsia" w:ascii="宋体" w:hAnsi="宋体" w:eastAsia="宋体" w:cs="Times New Roman"/>
          <w:color w:val="auto"/>
          <w:sz w:val="24"/>
          <w:highlight w:val="none"/>
        </w:rPr>
        <w:t>。</w:t>
      </w:r>
    </w:p>
    <w:p w14:paraId="07120FC1">
      <w:pPr>
        <w:kinsoku/>
        <w:wordWrap/>
        <w:overflowPunct/>
        <w:topLinePunct w:val="0"/>
        <w:bidi w:val="0"/>
        <w:spacing w:line="560" w:lineRule="exact"/>
        <w:ind w:firstLine="480" w:firstLineChars="200"/>
        <w:outlineLvl w:val="9"/>
        <w:rPr>
          <w:rFonts w:ascii="宋体" w:hAnsi="宋体" w:eastAsia="宋体" w:cs="Times New Roman"/>
          <w:bCs/>
          <w:color w:val="auto"/>
          <w:sz w:val="24"/>
          <w:highlight w:val="none"/>
        </w:rPr>
      </w:pPr>
      <w:bookmarkStart w:id="440" w:name="_Toc3079"/>
      <w:bookmarkStart w:id="441" w:name="_Toc2375"/>
      <w:bookmarkStart w:id="442" w:name="_Toc24662"/>
      <w:bookmarkStart w:id="443" w:name="_Toc8586"/>
      <w:bookmarkStart w:id="444" w:name="_Toc5698"/>
      <w:r>
        <w:rPr>
          <w:rFonts w:hint="eastAsia" w:ascii="宋体" w:hAnsi="宋体" w:eastAsia="宋体" w:cs="Times New Roman"/>
          <w:bCs/>
          <w:color w:val="auto"/>
          <w:sz w:val="24"/>
          <w:highlight w:val="none"/>
        </w:rPr>
        <w:t>1.7.4若服务</w:t>
      </w:r>
      <w:r>
        <w:rPr>
          <w:rFonts w:hint="eastAsia" w:ascii="Times New Roman" w:hAnsi="Times New Roman" w:eastAsia="宋体" w:cs="Times New Roman"/>
          <w:bCs/>
          <w:color w:val="auto"/>
          <w:sz w:val="24"/>
          <w:highlight w:val="none"/>
        </w:rPr>
        <w:t>涉及货物的，则货物的：</w:t>
      </w:r>
    </w:p>
    <w:p w14:paraId="0D370207">
      <w:pPr>
        <w:kinsoku/>
        <w:wordWrap/>
        <w:overflowPunct/>
        <w:topLinePunct w:val="0"/>
        <w:bidi w:val="0"/>
        <w:spacing w:line="560" w:lineRule="exact"/>
        <w:ind w:firstLine="480" w:firstLineChars="200"/>
        <w:outlineLvl w:val="9"/>
        <w:rPr>
          <w:rFonts w:ascii="宋体" w:hAnsi="宋体" w:eastAsia="宋体" w:cs="宋体"/>
          <w:color w:val="auto"/>
          <w:sz w:val="24"/>
          <w:highlight w:val="none"/>
          <w:u w:val="single"/>
        </w:rPr>
      </w:pPr>
      <w:r>
        <w:rPr>
          <w:rFonts w:hint="eastAsia" w:ascii="宋体" w:hAnsi="宋体" w:eastAsia="宋体" w:cs="宋体"/>
          <w:color w:val="auto"/>
          <w:sz w:val="24"/>
          <w:highlight w:val="none"/>
        </w:rPr>
        <w:t>1.7.4.1 交付期限：详见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7B13ABBF">
      <w:pPr>
        <w:kinsoku/>
        <w:wordWrap/>
        <w:overflowPunct/>
        <w:topLinePunct w:val="0"/>
        <w:bidi w:val="0"/>
        <w:spacing w:line="560" w:lineRule="exact"/>
        <w:ind w:firstLine="480" w:firstLineChars="200"/>
        <w:outlineLvl w:val="9"/>
        <w:rPr>
          <w:rFonts w:ascii="宋体" w:hAnsi="宋体" w:eastAsia="宋体" w:cs="宋体"/>
          <w:color w:val="auto"/>
          <w:sz w:val="24"/>
          <w:highlight w:val="none"/>
        </w:rPr>
      </w:pPr>
      <w:r>
        <w:rPr>
          <w:rFonts w:hint="eastAsia" w:ascii="宋体" w:hAnsi="宋体" w:eastAsia="宋体" w:cs="宋体"/>
          <w:color w:val="auto"/>
          <w:sz w:val="24"/>
          <w:highlight w:val="none"/>
        </w:rPr>
        <w:t>1.7.4.2 交付地点：</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6F133021">
      <w:pPr>
        <w:kinsoku/>
        <w:wordWrap/>
        <w:overflowPunct/>
        <w:topLinePunct w:val="0"/>
        <w:bidi w:val="0"/>
        <w:spacing w:line="560" w:lineRule="exact"/>
        <w:ind w:firstLine="480" w:firstLineChars="200"/>
        <w:outlineLvl w:val="9"/>
        <w:rPr>
          <w:rFonts w:ascii="宋体" w:hAnsi="宋体" w:eastAsia="宋体" w:cs="宋体"/>
          <w:color w:val="auto"/>
          <w:sz w:val="24"/>
          <w:highlight w:val="none"/>
        </w:rPr>
      </w:pPr>
      <w:r>
        <w:rPr>
          <w:rFonts w:hint="eastAsia" w:ascii="宋体" w:hAnsi="宋体" w:eastAsia="宋体" w:cs="宋体"/>
          <w:color w:val="auto"/>
          <w:sz w:val="24"/>
          <w:highlight w:val="none"/>
        </w:rPr>
        <w:t>1.7.4.3 交付方式：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71099AE6">
      <w:pPr>
        <w:kinsoku/>
        <w:wordWrap/>
        <w:overflowPunct/>
        <w:topLinePunct w:val="0"/>
        <w:bidi w:val="0"/>
        <w:spacing w:line="560" w:lineRule="exact"/>
        <w:ind w:firstLine="482" w:firstLineChars="200"/>
        <w:outlineLvl w:val="9"/>
        <w:rPr>
          <w:rFonts w:ascii="宋体" w:hAnsi="宋体" w:eastAsia="宋体" w:cs="Times New Roman"/>
          <w:color w:val="auto"/>
          <w:sz w:val="24"/>
          <w:highlight w:val="none"/>
          <w:u w:val="single"/>
        </w:rPr>
      </w:pPr>
      <w:r>
        <w:rPr>
          <w:rFonts w:ascii="宋体" w:hAnsi="宋体" w:eastAsia="宋体" w:cs="Times New Roman"/>
          <w:b/>
          <w:color w:val="auto"/>
          <w:sz w:val="24"/>
          <w:highlight w:val="none"/>
        </w:rPr>
        <w:t>1.</w:t>
      </w:r>
      <w:r>
        <w:rPr>
          <w:rFonts w:hint="eastAsia" w:ascii="宋体" w:hAnsi="宋体" w:eastAsia="宋体" w:cs="Times New Roman"/>
          <w:b/>
          <w:color w:val="auto"/>
          <w:sz w:val="24"/>
          <w:highlight w:val="none"/>
        </w:rPr>
        <w:t>8违约责任</w:t>
      </w:r>
      <w:bookmarkEnd w:id="440"/>
      <w:bookmarkEnd w:id="441"/>
      <w:bookmarkEnd w:id="442"/>
      <w:bookmarkEnd w:id="443"/>
      <w:bookmarkEnd w:id="444"/>
    </w:p>
    <w:p w14:paraId="2388FA3D">
      <w:pPr>
        <w:kinsoku/>
        <w:wordWrap/>
        <w:overflowPunct/>
        <w:topLinePunct w:val="0"/>
        <w:bidi w:val="0"/>
        <w:spacing w:line="560" w:lineRule="exact"/>
        <w:ind w:firstLine="480" w:firstLineChars="200"/>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1.</w:t>
      </w:r>
      <w:r>
        <w:rPr>
          <w:rFonts w:hint="eastAsia" w:ascii="宋体" w:hAnsi="宋体" w:eastAsia="宋体" w:cs="Times New Roman"/>
          <w:color w:val="auto"/>
          <w:sz w:val="24"/>
          <w:highlight w:val="none"/>
        </w:rPr>
        <w:t>8</w:t>
      </w:r>
      <w:r>
        <w:rPr>
          <w:rFonts w:ascii="宋体" w:hAnsi="宋体" w:eastAsia="宋体" w:cs="Times New Roman"/>
          <w:color w:val="auto"/>
          <w:sz w:val="24"/>
          <w:highlight w:val="none"/>
        </w:rPr>
        <w:t>.1 除不可抗力外，如果乙方没有按照本合同约定的期限</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地点和方式</w:t>
      </w:r>
      <w:r>
        <w:rPr>
          <w:rFonts w:hint="eastAsia" w:ascii="宋体" w:hAnsi="宋体" w:eastAsia="宋体" w:cs="Times New Roman"/>
          <w:color w:val="auto"/>
          <w:sz w:val="24"/>
          <w:highlight w:val="none"/>
        </w:rPr>
        <w:t>交付服务成果或者实施服务</w:t>
      </w:r>
      <w:r>
        <w:rPr>
          <w:rFonts w:ascii="宋体" w:hAnsi="宋体" w:eastAsia="宋体" w:cs="Times New Roman"/>
          <w:color w:val="auto"/>
          <w:sz w:val="24"/>
          <w:highlight w:val="none"/>
        </w:rPr>
        <w:t>，那么甲方可要求乙方支付违约金</w:t>
      </w:r>
      <w:r>
        <w:rPr>
          <w:rFonts w:hint="eastAsia" w:ascii="宋体" w:hAnsi="宋体" w:eastAsia="宋体" w:cs="Times New Roman"/>
          <w:color w:val="auto"/>
          <w:sz w:val="24"/>
          <w:highlight w:val="none"/>
        </w:rPr>
        <w:t>，迟延履行</w:t>
      </w:r>
      <w:r>
        <w:rPr>
          <w:rFonts w:ascii="宋体" w:hAnsi="宋体" w:eastAsia="宋体" w:cs="Times New Roman"/>
          <w:color w:val="auto"/>
          <w:sz w:val="24"/>
          <w:highlight w:val="none"/>
        </w:rPr>
        <w:t>违约金按每迟延</w:t>
      </w:r>
      <w:r>
        <w:rPr>
          <w:rFonts w:hint="eastAsia" w:ascii="宋体" w:hAnsi="宋体" w:eastAsia="宋体" w:cs="Times New Roman"/>
          <w:color w:val="auto"/>
          <w:sz w:val="24"/>
          <w:highlight w:val="none"/>
        </w:rPr>
        <w:t>履行</w:t>
      </w:r>
      <w:r>
        <w:rPr>
          <w:rFonts w:ascii="宋体" w:hAnsi="宋体" w:eastAsia="宋体" w:cs="Times New Roman"/>
          <w:color w:val="auto"/>
          <w:sz w:val="24"/>
          <w:highlight w:val="none"/>
        </w:rPr>
        <w:t>一日的应提供而未</w:t>
      </w:r>
      <w:r>
        <w:rPr>
          <w:rFonts w:hint="eastAsia" w:ascii="宋体" w:hAnsi="宋体" w:eastAsia="宋体" w:cs="Times New Roman"/>
          <w:color w:val="auto"/>
          <w:sz w:val="24"/>
          <w:highlight w:val="none"/>
        </w:rPr>
        <w:t>提供</w:t>
      </w:r>
      <w:r>
        <w:rPr>
          <w:rFonts w:ascii="宋体" w:hAnsi="宋体" w:eastAsia="宋体" w:cs="Times New Roman"/>
          <w:color w:val="auto"/>
          <w:sz w:val="24"/>
          <w:highlight w:val="none"/>
        </w:rPr>
        <w:t>服务价格的</w:t>
      </w:r>
      <w:r>
        <w:rPr>
          <w:rFonts w:hint="eastAsia" w:ascii="宋体" w:hAnsi="宋体" w:eastAsia="宋体" w:cs="Times New Roman"/>
          <w:color w:val="auto"/>
          <w:sz w:val="24"/>
          <w:highlight w:val="none"/>
          <w:u w:val="single"/>
        </w:rPr>
        <w:t>0.05</w:t>
      </w:r>
      <w:r>
        <w:rPr>
          <w:rFonts w:ascii="宋体" w:hAnsi="宋体" w:eastAsia="宋体" w:cs="Times New Roman"/>
          <w:color w:val="auto"/>
          <w:sz w:val="24"/>
          <w:highlight w:val="none"/>
          <w:u w:val="single"/>
        </w:rPr>
        <w:t xml:space="preserve"> </w:t>
      </w:r>
      <w:r>
        <w:rPr>
          <w:rFonts w:ascii="宋体" w:hAnsi="宋体" w:eastAsia="宋体" w:cs="Times New Roman"/>
          <w:color w:val="auto"/>
          <w:sz w:val="24"/>
          <w:highlight w:val="none"/>
        </w:rPr>
        <w:t>%计算</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迟延</w:t>
      </w:r>
      <w:r>
        <w:rPr>
          <w:rFonts w:hint="eastAsia" w:ascii="宋体" w:hAnsi="宋体" w:eastAsia="宋体" w:cs="Times New Roman"/>
          <w:color w:val="auto"/>
          <w:sz w:val="24"/>
          <w:highlight w:val="none"/>
        </w:rPr>
        <w:t>超过30天，</w:t>
      </w:r>
      <w:r>
        <w:rPr>
          <w:rFonts w:ascii="宋体" w:hAnsi="宋体" w:eastAsia="宋体" w:cs="Times New Roman"/>
          <w:color w:val="auto"/>
          <w:sz w:val="24"/>
          <w:highlight w:val="none"/>
        </w:rPr>
        <w:t>甲方有权在要求乙方支付违约金的同时</w:t>
      </w:r>
      <w:r>
        <w:rPr>
          <w:rFonts w:hint="eastAsia" w:ascii="宋体" w:hAnsi="宋体" w:eastAsia="宋体" w:cs="Times New Roman"/>
          <w:color w:val="auto"/>
          <w:sz w:val="24"/>
          <w:highlight w:val="none"/>
        </w:rPr>
        <w:t>，书面通知乙方</w:t>
      </w:r>
      <w:r>
        <w:rPr>
          <w:rFonts w:ascii="宋体" w:hAnsi="宋体" w:eastAsia="宋体" w:cs="Times New Roman"/>
          <w:color w:val="auto"/>
          <w:sz w:val="24"/>
          <w:highlight w:val="none"/>
        </w:rPr>
        <w:t>解除本合同</w:t>
      </w:r>
      <w:r>
        <w:rPr>
          <w:rFonts w:hint="eastAsia" w:ascii="宋体" w:hAnsi="宋体" w:eastAsia="宋体" w:cs="Times New Roman"/>
          <w:color w:val="auto"/>
          <w:sz w:val="24"/>
          <w:highlight w:val="none"/>
        </w:rPr>
        <w:t>；</w:t>
      </w:r>
    </w:p>
    <w:p w14:paraId="5DD7EB3D">
      <w:pPr>
        <w:kinsoku/>
        <w:wordWrap/>
        <w:overflowPunct/>
        <w:topLinePunct w:val="0"/>
        <w:bidi w:val="0"/>
        <w:spacing w:line="560" w:lineRule="exact"/>
        <w:ind w:firstLine="480" w:firstLineChars="200"/>
        <w:outlineLvl w:val="9"/>
        <w:rPr>
          <w:rFonts w:ascii="宋体" w:hAnsi="宋体" w:eastAsia="宋体" w:cs="宋体"/>
          <w:color w:val="auto"/>
          <w:sz w:val="24"/>
          <w:highlight w:val="none"/>
        </w:rPr>
      </w:pPr>
      <w:r>
        <w:rPr>
          <w:rFonts w:hint="eastAsia" w:ascii="宋体" w:hAnsi="宋体" w:eastAsia="宋体" w:cs="宋体"/>
          <w:color w:val="auto"/>
          <w:sz w:val="24"/>
          <w:highlight w:val="none"/>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color w:val="auto"/>
          <w:sz w:val="24"/>
          <w:highlight w:val="none"/>
          <w:u w:val="single"/>
        </w:rPr>
        <w:t xml:space="preserve">0.05 </w:t>
      </w:r>
      <w:r>
        <w:rPr>
          <w:rFonts w:hint="eastAsia" w:ascii="宋体" w:hAnsi="宋体" w:eastAsia="宋体" w:cs="宋体"/>
          <w:color w:val="auto"/>
          <w:sz w:val="24"/>
          <w:highlight w:val="none"/>
        </w:rPr>
        <w:t>%计算；迟延超过30天，甲方有权在要求乙方支付违约金的同时，书面通知乙方解除本合同；</w:t>
      </w:r>
    </w:p>
    <w:p w14:paraId="61B5ADDE">
      <w:pPr>
        <w:kinsoku/>
        <w:wordWrap/>
        <w:overflowPunct/>
        <w:topLinePunct w:val="0"/>
        <w:bidi w:val="0"/>
        <w:spacing w:line="560" w:lineRule="exact"/>
        <w:ind w:firstLine="480" w:firstLineChars="200"/>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1.</w:t>
      </w:r>
      <w:r>
        <w:rPr>
          <w:rFonts w:hint="eastAsia" w:ascii="宋体" w:hAnsi="宋体" w:eastAsia="宋体" w:cs="Times New Roman"/>
          <w:color w:val="auto"/>
          <w:sz w:val="24"/>
          <w:highlight w:val="none"/>
        </w:rPr>
        <w:t>8</w:t>
      </w:r>
      <w:r>
        <w:rPr>
          <w:rFonts w:ascii="宋体" w:hAnsi="宋体" w:eastAsia="宋体" w:cs="Times New Roman"/>
          <w:color w:val="auto"/>
          <w:sz w:val="24"/>
          <w:highlight w:val="none"/>
        </w:rPr>
        <w:t>.</w:t>
      </w:r>
      <w:r>
        <w:rPr>
          <w:rFonts w:hint="eastAsia" w:ascii="宋体" w:hAnsi="宋体" w:eastAsia="宋体" w:cs="Times New Roman"/>
          <w:color w:val="auto"/>
          <w:sz w:val="24"/>
          <w:highlight w:val="none"/>
        </w:rPr>
        <w:t>3</w:t>
      </w:r>
      <w:r>
        <w:rPr>
          <w:rFonts w:hint="eastAsia" w:ascii="宋体" w:hAnsi="宋体" w:eastAsia="宋体" w:cs="宋体"/>
          <w:color w:val="auto"/>
          <w:sz w:val="24"/>
          <w:highlight w:val="none"/>
        </w:rPr>
        <w:t>除不可抗力外，如果甲方没有按照本合同约定的付款方式付款，那么乙方可</w:t>
      </w:r>
      <w:r>
        <w:rPr>
          <w:rFonts w:hint="eastAsia" w:ascii="宋体" w:hAnsi="宋体" w:eastAsia="宋体" w:cs="Times New Roman"/>
          <w:color w:val="auto"/>
          <w:sz w:val="24"/>
          <w:highlight w:val="none"/>
        </w:rPr>
        <w:t>要求</w:t>
      </w:r>
      <w:r>
        <w:rPr>
          <w:rFonts w:hint="eastAsia" w:ascii="宋体" w:hAnsi="宋体" w:eastAsia="宋体" w:cs="宋体"/>
          <w:color w:val="auto"/>
          <w:sz w:val="24"/>
          <w:highlight w:val="none"/>
        </w:rPr>
        <w:t>甲方支付违约金，违约金按每迟延付款一日的应付而未付款的</w:t>
      </w:r>
      <w:r>
        <w:rPr>
          <w:rFonts w:hint="eastAsia" w:ascii="宋体" w:hAnsi="宋体" w:eastAsia="宋体" w:cs="宋体"/>
          <w:color w:val="auto"/>
          <w:sz w:val="24"/>
          <w:highlight w:val="none"/>
          <w:u w:val="single"/>
        </w:rPr>
        <w:t xml:space="preserve">   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eastAsia="宋体" w:cs="Times New Roman"/>
          <w:color w:val="auto"/>
          <w:sz w:val="24"/>
          <w:highlight w:val="none"/>
        </w:rPr>
        <w:t>；</w:t>
      </w:r>
    </w:p>
    <w:p w14:paraId="12C8EAB9">
      <w:pPr>
        <w:kinsoku/>
        <w:wordWrap/>
        <w:overflowPunct/>
        <w:topLinePunct w:val="0"/>
        <w:bidi w:val="0"/>
        <w:spacing w:line="560" w:lineRule="exact"/>
        <w:ind w:firstLine="480" w:firstLineChars="200"/>
        <w:outlineLvl w:val="9"/>
        <w:rPr>
          <w:rFonts w:ascii="宋体" w:hAnsi="宋体" w:eastAsia="宋体" w:cs="宋体"/>
          <w:color w:val="auto"/>
          <w:sz w:val="24"/>
          <w:highlight w:val="none"/>
        </w:rPr>
      </w:pPr>
      <w:bookmarkStart w:id="445" w:name="_Toc9497"/>
      <w:bookmarkStart w:id="446" w:name="_Toc32454"/>
      <w:bookmarkStart w:id="447" w:name="_Toc30329"/>
      <w:bookmarkStart w:id="448" w:name="_Toc26807"/>
      <w:bookmarkStart w:id="449" w:name="_Toc18683"/>
      <w:r>
        <w:rPr>
          <w:rFonts w:hint="eastAsia" w:ascii="宋体" w:hAnsi="宋体" w:eastAsia="宋体" w:cs="宋体"/>
          <w:color w:val="auto"/>
          <w:sz w:val="24"/>
          <w:highlight w:val="none"/>
        </w:rPr>
        <w:t>1.8.4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A900FDE">
      <w:pPr>
        <w:kinsoku/>
        <w:wordWrap/>
        <w:overflowPunct/>
        <w:topLinePunct w:val="0"/>
        <w:bidi w:val="0"/>
        <w:spacing w:line="560" w:lineRule="exact"/>
        <w:ind w:firstLine="480" w:firstLineChars="200"/>
        <w:outlineLvl w:val="9"/>
        <w:rPr>
          <w:rFonts w:ascii="宋体" w:hAnsi="宋体" w:eastAsia="宋体" w:cs="宋体"/>
          <w:color w:val="auto"/>
          <w:sz w:val="24"/>
          <w:highlight w:val="none"/>
        </w:rPr>
      </w:pPr>
      <w:r>
        <w:rPr>
          <w:rFonts w:hint="eastAsia" w:ascii="宋体" w:hAnsi="宋体" w:eastAsia="宋体" w:cs="宋体"/>
          <w:color w:val="auto"/>
          <w:sz w:val="24"/>
          <w:highlight w:val="none"/>
        </w:rPr>
        <w:t>1.8.5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64A28A4">
      <w:pPr>
        <w:kinsoku/>
        <w:wordWrap/>
        <w:overflowPunct/>
        <w:topLinePunct w:val="0"/>
        <w:bidi w:val="0"/>
        <w:spacing w:line="560" w:lineRule="exact"/>
        <w:ind w:firstLine="480" w:firstLineChars="200"/>
        <w:outlineLvl w:val="9"/>
        <w:rPr>
          <w:rFonts w:ascii="宋体" w:hAnsi="宋体" w:eastAsia="宋体" w:cs="宋体"/>
          <w:color w:val="auto"/>
          <w:sz w:val="24"/>
          <w:highlight w:val="none"/>
        </w:rPr>
      </w:pPr>
      <w:r>
        <w:rPr>
          <w:rFonts w:hint="eastAsia" w:ascii="宋体" w:hAnsi="宋体" w:eastAsia="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2ED62055">
      <w:pPr>
        <w:kinsoku/>
        <w:wordWrap/>
        <w:overflowPunct/>
        <w:topLinePunct w:val="0"/>
        <w:bidi w:val="0"/>
        <w:spacing w:line="560" w:lineRule="exact"/>
        <w:ind w:right="-420" w:rightChars="-200" w:firstLine="480" w:firstLineChars="200"/>
        <w:outlineLvl w:val="9"/>
        <w:rPr>
          <w:rFonts w:ascii="宋体" w:hAnsi="宋体" w:eastAsia="宋体" w:cs="宋体"/>
          <w:color w:val="auto"/>
          <w:highlight w:val="none"/>
        </w:rPr>
      </w:pPr>
      <w:r>
        <w:rPr>
          <w:rFonts w:hint="eastAsia" w:ascii="宋体" w:hAnsi="宋体" w:eastAsia="宋体" w:cs="宋体"/>
          <w:color w:val="auto"/>
          <w:sz w:val="24"/>
          <w:highlight w:val="none"/>
        </w:rPr>
        <w:t>1.8.7违约责任</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另有约定的，从其约定。</w:t>
      </w:r>
    </w:p>
    <w:bookmarkEnd w:id="445"/>
    <w:bookmarkEnd w:id="446"/>
    <w:bookmarkEnd w:id="447"/>
    <w:bookmarkEnd w:id="448"/>
    <w:bookmarkEnd w:id="449"/>
    <w:p w14:paraId="112F072F">
      <w:pPr>
        <w:kinsoku/>
        <w:wordWrap/>
        <w:overflowPunct/>
        <w:topLinePunct w:val="0"/>
        <w:bidi w:val="0"/>
        <w:spacing w:line="560" w:lineRule="exact"/>
        <w:ind w:firstLine="482" w:firstLineChars="200"/>
        <w:outlineLvl w:val="9"/>
        <w:rPr>
          <w:rFonts w:ascii="宋体" w:hAnsi="宋体" w:eastAsia="宋体" w:cs="宋体"/>
          <w:b/>
          <w:color w:val="auto"/>
          <w:sz w:val="24"/>
          <w:highlight w:val="none"/>
        </w:rPr>
      </w:pPr>
      <w:bookmarkStart w:id="450" w:name="_Toc15583"/>
      <w:bookmarkStart w:id="451" w:name="_Toc28375"/>
      <w:bookmarkStart w:id="452" w:name="_Toc16021"/>
      <w:r>
        <w:rPr>
          <w:rFonts w:hint="eastAsia" w:ascii="宋体" w:hAnsi="宋体" w:eastAsia="宋体" w:cs="宋体"/>
          <w:b/>
          <w:color w:val="auto"/>
          <w:sz w:val="24"/>
          <w:highlight w:val="none"/>
        </w:rPr>
        <w:t>1.9合同争议的解决</w:t>
      </w:r>
      <w:bookmarkEnd w:id="450"/>
      <w:bookmarkEnd w:id="451"/>
      <w:bookmarkEnd w:id="452"/>
    </w:p>
    <w:p w14:paraId="23E8D081">
      <w:pPr>
        <w:kinsoku/>
        <w:wordWrap/>
        <w:overflowPunct/>
        <w:topLinePunct w:val="0"/>
        <w:bidi w:val="0"/>
        <w:spacing w:line="560" w:lineRule="exact"/>
        <w:ind w:left="-61" w:leftChars="-29" w:right="-420" w:rightChars="-200" w:firstLine="240" w:firstLineChars="100"/>
        <w:outlineLvl w:val="9"/>
        <w:rPr>
          <w:rFonts w:ascii="宋体" w:hAnsi="宋体" w:eastAsia="宋体" w:cs="宋体"/>
          <w:color w:val="auto"/>
          <w:sz w:val="24"/>
          <w:highlight w:val="none"/>
        </w:rPr>
      </w:pPr>
      <w:r>
        <w:rPr>
          <w:rFonts w:hint="eastAsia" w:ascii="宋体" w:hAnsi="宋体" w:eastAsia="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highlight w:val="none"/>
          <w:u w:val="single"/>
        </w:rPr>
        <w:t xml:space="preserve"> 1.9.2 </w:t>
      </w:r>
      <w:r>
        <w:rPr>
          <w:rFonts w:hint="eastAsia" w:ascii="宋体" w:hAnsi="宋体" w:eastAsia="宋体" w:cs="宋体"/>
          <w:color w:val="auto"/>
          <w:sz w:val="24"/>
          <w:highlight w:val="none"/>
        </w:rPr>
        <w:t>条款规定的方式解决：</w:t>
      </w:r>
    </w:p>
    <w:p w14:paraId="3632D2D6">
      <w:pPr>
        <w:kinsoku/>
        <w:wordWrap/>
        <w:overflowPunct/>
        <w:topLinePunct w:val="0"/>
        <w:bidi w:val="0"/>
        <w:spacing w:line="560" w:lineRule="exact"/>
        <w:ind w:left="-420" w:leftChars="-200" w:right="-420" w:rightChars="-200" w:firstLine="600" w:firstLineChars="250"/>
        <w:outlineLvl w:val="9"/>
        <w:rPr>
          <w:rFonts w:ascii="宋体" w:hAnsi="宋体" w:eastAsia="宋体" w:cs="宋体"/>
          <w:color w:val="auto"/>
          <w:sz w:val="24"/>
          <w:highlight w:val="none"/>
        </w:rPr>
      </w:pPr>
      <w:r>
        <w:rPr>
          <w:rFonts w:hint="eastAsia" w:ascii="宋体" w:hAnsi="宋体" w:eastAsia="宋体" w:cs="宋体"/>
          <w:color w:val="auto"/>
          <w:sz w:val="24"/>
          <w:highlight w:val="none"/>
        </w:rPr>
        <w:t>1.9.1 将争议提交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仲裁委员会依申请仲裁时其现行有效的仲裁规则裁决；</w:t>
      </w:r>
    </w:p>
    <w:p w14:paraId="276A47DF">
      <w:pPr>
        <w:kinsoku/>
        <w:wordWrap/>
        <w:overflowPunct/>
        <w:topLinePunct w:val="0"/>
        <w:bidi w:val="0"/>
        <w:spacing w:line="560" w:lineRule="exact"/>
        <w:ind w:left="-420" w:leftChars="-200" w:right="-420" w:rightChars="-200" w:firstLine="600" w:firstLineChars="250"/>
        <w:outlineLvl w:val="9"/>
        <w:rPr>
          <w:rFonts w:ascii="宋体" w:hAnsi="宋体" w:eastAsia="宋体" w:cs="宋体"/>
          <w:color w:val="auto"/>
          <w:sz w:val="24"/>
          <w:highlight w:val="none"/>
        </w:rPr>
      </w:pPr>
      <w:r>
        <w:rPr>
          <w:rFonts w:hint="eastAsia" w:ascii="宋体" w:hAnsi="宋体" w:eastAsia="宋体" w:cs="宋体"/>
          <w:color w:val="auto"/>
          <w:sz w:val="24"/>
          <w:highlight w:val="none"/>
        </w:rPr>
        <w:t>1.9.2 向</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人民法院起诉。</w:t>
      </w:r>
    </w:p>
    <w:p w14:paraId="2A69A9DA">
      <w:pPr>
        <w:kinsoku/>
        <w:wordWrap/>
        <w:overflowPunct/>
        <w:topLinePunct w:val="0"/>
        <w:bidi w:val="0"/>
        <w:spacing w:line="560" w:lineRule="exact"/>
        <w:ind w:firstLine="482" w:firstLineChars="200"/>
        <w:outlineLvl w:val="9"/>
        <w:rPr>
          <w:rFonts w:ascii="宋体" w:hAnsi="宋体" w:eastAsia="宋体" w:cs="宋体"/>
          <w:b/>
          <w:color w:val="auto"/>
          <w:sz w:val="24"/>
          <w:highlight w:val="none"/>
        </w:rPr>
      </w:pPr>
      <w:bookmarkStart w:id="453" w:name="_Toc15322"/>
      <w:bookmarkStart w:id="454" w:name="_Toc7245"/>
      <w:bookmarkStart w:id="455" w:name="_Toc11173"/>
      <w:r>
        <w:rPr>
          <w:rFonts w:hint="eastAsia" w:ascii="宋体" w:hAnsi="宋体" w:eastAsia="宋体" w:cs="宋体"/>
          <w:b/>
          <w:color w:val="auto"/>
          <w:sz w:val="24"/>
          <w:highlight w:val="none"/>
        </w:rPr>
        <w:t>2.0 合同生效</w:t>
      </w:r>
      <w:bookmarkEnd w:id="453"/>
      <w:bookmarkEnd w:id="454"/>
      <w:bookmarkEnd w:id="455"/>
    </w:p>
    <w:p w14:paraId="7E46A9FD">
      <w:pPr>
        <w:kinsoku/>
        <w:wordWrap/>
        <w:overflowPunct/>
        <w:topLinePunct w:val="0"/>
        <w:bidi w:val="0"/>
        <w:spacing w:line="560" w:lineRule="exact"/>
        <w:ind w:firstLine="480" w:firstLineChars="200"/>
        <w:outlineLvl w:val="9"/>
        <w:rPr>
          <w:rFonts w:ascii="宋体" w:hAnsi="宋体" w:eastAsia="宋体" w:cs="宋体"/>
          <w:b/>
          <w:color w:val="auto"/>
          <w:sz w:val="24"/>
          <w:highlight w:val="none"/>
        </w:rPr>
      </w:pPr>
      <w:r>
        <w:rPr>
          <w:rFonts w:hint="eastAsia" w:ascii="宋体" w:hAnsi="宋体" w:eastAsia="宋体" w:cs="宋体"/>
          <w:color w:val="auto"/>
          <w:sz w:val="24"/>
          <w:highlight w:val="none"/>
        </w:rPr>
        <w:t>本合同自双方当事人盖章签字时生效。</w:t>
      </w:r>
    </w:p>
    <w:p w14:paraId="43FBF7E0">
      <w:pPr>
        <w:kinsoku/>
        <w:wordWrap/>
        <w:overflowPunct/>
        <w:topLinePunct w:val="0"/>
        <w:autoSpaceDE w:val="0"/>
        <w:autoSpaceDN w:val="0"/>
        <w:bidi w:val="0"/>
        <w:spacing w:line="560" w:lineRule="exact"/>
        <w:outlineLvl w:val="9"/>
        <w:rPr>
          <w:rFonts w:hint="eastAsia" w:ascii="宋体" w:hAnsi="宋体" w:eastAsia="宋体" w:cs="Times New Roman"/>
          <w:b/>
          <w:color w:val="auto"/>
          <w:sz w:val="24"/>
          <w:highlight w:val="none"/>
          <w:lang w:val="zh-CN"/>
        </w:rPr>
      </w:pPr>
    </w:p>
    <w:p w14:paraId="07B4B5DC">
      <w:pPr>
        <w:kinsoku/>
        <w:wordWrap/>
        <w:overflowPunct/>
        <w:topLinePunct w:val="0"/>
        <w:autoSpaceDE w:val="0"/>
        <w:autoSpaceDN w:val="0"/>
        <w:bidi w:val="0"/>
        <w:spacing w:line="560" w:lineRule="exact"/>
        <w:outlineLvl w:val="9"/>
        <w:rPr>
          <w:rFonts w:hint="eastAsia" w:ascii="宋体" w:hAnsi="宋体" w:eastAsia="宋体" w:cs="Times New Roman"/>
          <w:b/>
          <w:color w:val="auto"/>
          <w:sz w:val="24"/>
          <w:highlight w:val="none"/>
          <w:lang w:val="zh-CN"/>
        </w:rPr>
      </w:pPr>
    </w:p>
    <w:p w14:paraId="3A8DD327">
      <w:pPr>
        <w:kinsoku/>
        <w:wordWrap/>
        <w:overflowPunct/>
        <w:topLinePunct w:val="0"/>
        <w:autoSpaceDE w:val="0"/>
        <w:autoSpaceDN w:val="0"/>
        <w:bidi w:val="0"/>
        <w:spacing w:line="560" w:lineRule="exact"/>
        <w:outlineLvl w:val="9"/>
        <w:rPr>
          <w:rFonts w:ascii="宋体" w:hAnsi="宋体" w:eastAsia="宋体" w:cs="Times New Roman"/>
          <w:color w:val="auto"/>
          <w:sz w:val="24"/>
          <w:highlight w:val="none"/>
          <w:lang w:val="zh-CN"/>
        </w:rPr>
      </w:pPr>
      <w:r>
        <w:rPr>
          <w:rFonts w:hint="eastAsia" w:ascii="宋体" w:hAnsi="宋体" w:eastAsia="宋体" w:cs="Times New Roman"/>
          <w:b/>
          <w:color w:val="auto"/>
          <w:sz w:val="24"/>
          <w:highlight w:val="none"/>
          <w:lang w:val="zh-CN"/>
        </w:rPr>
        <w:t>甲方</w:t>
      </w:r>
      <w:r>
        <w:rPr>
          <w:rFonts w:hint="eastAsia" w:ascii="宋体" w:hAnsi="宋体" w:eastAsia="宋体" w:cs="Times New Roman"/>
          <w:color w:val="auto"/>
          <w:sz w:val="24"/>
          <w:highlight w:val="none"/>
          <w:lang w:val="zh-CN"/>
        </w:rPr>
        <w:t>：</w:t>
      </w:r>
      <w:r>
        <w:rPr>
          <w:rFonts w:ascii="宋体" w:hAnsi="宋体" w:eastAsia="宋体" w:cs="Times New Roman"/>
          <w:color w:val="auto"/>
          <w:sz w:val="24"/>
          <w:highlight w:val="none"/>
          <w:lang w:val="zh-CN"/>
        </w:rPr>
        <w:t xml:space="preserve">                             </w:t>
      </w:r>
      <w:r>
        <w:rPr>
          <w:rFonts w:ascii="宋体" w:hAnsi="宋体" w:eastAsia="宋体" w:cs="Times New Roman"/>
          <w:b/>
          <w:color w:val="auto"/>
          <w:sz w:val="24"/>
          <w:highlight w:val="none"/>
          <w:lang w:val="zh-CN"/>
        </w:rPr>
        <w:t xml:space="preserve">      乙方</w:t>
      </w:r>
      <w:r>
        <w:rPr>
          <w:rFonts w:hint="eastAsia" w:ascii="宋体" w:hAnsi="宋体" w:eastAsia="宋体" w:cs="Times New Roman"/>
          <w:color w:val="auto"/>
          <w:sz w:val="24"/>
          <w:highlight w:val="none"/>
          <w:lang w:val="zh-CN"/>
        </w:rPr>
        <w:t>：</w:t>
      </w:r>
    </w:p>
    <w:p w14:paraId="301EE782">
      <w:pPr>
        <w:kinsoku/>
        <w:wordWrap/>
        <w:overflowPunct/>
        <w:topLinePunct w:val="0"/>
        <w:autoSpaceDE w:val="0"/>
        <w:autoSpaceDN w:val="0"/>
        <w:bidi w:val="0"/>
        <w:spacing w:line="560" w:lineRule="exact"/>
        <w:outlineLvl w:val="9"/>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统一社会信用代码：</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统一社会信用代码或身份证号码：</w:t>
      </w:r>
    </w:p>
    <w:p w14:paraId="3016E229">
      <w:pPr>
        <w:kinsoku/>
        <w:wordWrap/>
        <w:overflowPunct/>
        <w:topLinePunct w:val="0"/>
        <w:autoSpaceDE w:val="0"/>
        <w:autoSpaceDN w:val="0"/>
        <w:bidi w:val="0"/>
        <w:spacing w:line="560" w:lineRule="exact"/>
        <w:outlineLvl w:val="9"/>
        <w:rPr>
          <w:rFonts w:ascii="宋体" w:hAnsi="宋体" w:eastAsia="宋体" w:cs="Times New Roman"/>
          <w:color w:val="auto"/>
          <w:sz w:val="24"/>
          <w:highlight w:val="none"/>
          <w:lang w:val="zh-CN"/>
        </w:rPr>
      </w:pPr>
    </w:p>
    <w:p w14:paraId="5D4CD3C3">
      <w:pPr>
        <w:kinsoku/>
        <w:wordWrap/>
        <w:overflowPunct/>
        <w:topLinePunct w:val="0"/>
        <w:autoSpaceDE w:val="0"/>
        <w:autoSpaceDN w:val="0"/>
        <w:bidi w:val="0"/>
        <w:spacing w:line="560" w:lineRule="exact"/>
        <w:outlineLvl w:val="9"/>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住所：</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住所：</w:t>
      </w:r>
    </w:p>
    <w:p w14:paraId="3D43BA7F">
      <w:pPr>
        <w:kinsoku/>
        <w:wordWrap/>
        <w:overflowPunct/>
        <w:topLinePunct w:val="0"/>
        <w:autoSpaceDE w:val="0"/>
        <w:autoSpaceDN w:val="0"/>
        <w:bidi w:val="0"/>
        <w:spacing w:line="560" w:lineRule="exact"/>
        <w:outlineLvl w:val="9"/>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法定代表人或</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法定代表人或</w:t>
      </w:r>
    </w:p>
    <w:p w14:paraId="11B42726">
      <w:pPr>
        <w:kinsoku/>
        <w:wordWrap/>
        <w:overflowPunct/>
        <w:topLinePunct w:val="0"/>
        <w:autoSpaceDE w:val="0"/>
        <w:autoSpaceDN w:val="0"/>
        <w:bidi w:val="0"/>
        <w:spacing w:line="560" w:lineRule="exact"/>
        <w:outlineLvl w:val="9"/>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授权代表（签字）：</w:t>
      </w:r>
      <w:r>
        <w:rPr>
          <w:rFonts w:ascii="宋体" w:hAnsi="宋体" w:eastAsia="宋体" w:cs="Times New Roman"/>
          <w:color w:val="auto"/>
          <w:sz w:val="24"/>
          <w:highlight w:val="none"/>
          <w:lang w:val="zh-CN"/>
        </w:rPr>
        <w:t xml:space="preserve">                       授权代表（签字）: </w:t>
      </w:r>
    </w:p>
    <w:p w14:paraId="13C2F30B">
      <w:pPr>
        <w:kinsoku/>
        <w:wordWrap/>
        <w:overflowPunct/>
        <w:topLinePunct w:val="0"/>
        <w:autoSpaceDE w:val="0"/>
        <w:autoSpaceDN w:val="0"/>
        <w:bidi w:val="0"/>
        <w:spacing w:line="560" w:lineRule="exact"/>
        <w:outlineLvl w:val="9"/>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联系人：</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联系人：</w:t>
      </w:r>
    </w:p>
    <w:p w14:paraId="7F0B532C">
      <w:pPr>
        <w:kinsoku/>
        <w:wordWrap/>
        <w:overflowPunct/>
        <w:topLinePunct w:val="0"/>
        <w:autoSpaceDE w:val="0"/>
        <w:autoSpaceDN w:val="0"/>
        <w:bidi w:val="0"/>
        <w:spacing w:line="560" w:lineRule="exact"/>
        <w:outlineLvl w:val="9"/>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约定送达地址：</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约定送达地址：</w:t>
      </w:r>
    </w:p>
    <w:p w14:paraId="1DB81A46">
      <w:pPr>
        <w:kinsoku/>
        <w:wordWrap/>
        <w:overflowPunct/>
        <w:topLinePunct w:val="0"/>
        <w:autoSpaceDE w:val="0"/>
        <w:autoSpaceDN w:val="0"/>
        <w:bidi w:val="0"/>
        <w:spacing w:line="560" w:lineRule="exact"/>
        <w:outlineLvl w:val="9"/>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邮政编码：</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邮政编码：</w:t>
      </w:r>
    </w:p>
    <w:p w14:paraId="03A12950">
      <w:pPr>
        <w:kinsoku/>
        <w:wordWrap/>
        <w:overflowPunct/>
        <w:topLinePunct w:val="0"/>
        <w:autoSpaceDE w:val="0"/>
        <w:autoSpaceDN w:val="0"/>
        <w:bidi w:val="0"/>
        <w:spacing w:line="560" w:lineRule="exact"/>
        <w:outlineLvl w:val="9"/>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电话</w:t>
      </w:r>
      <w:r>
        <w:rPr>
          <w:rFonts w:ascii="宋体" w:hAnsi="宋体" w:eastAsia="宋体" w:cs="Times New Roman"/>
          <w:color w:val="auto"/>
          <w:sz w:val="24"/>
          <w:highlight w:val="none"/>
          <w:lang w:val="zh-CN"/>
        </w:rPr>
        <w:t xml:space="preserve">:                                    电话: </w:t>
      </w:r>
    </w:p>
    <w:p w14:paraId="67610B03">
      <w:pPr>
        <w:kinsoku/>
        <w:wordWrap/>
        <w:overflowPunct/>
        <w:topLinePunct w:val="0"/>
        <w:autoSpaceDE w:val="0"/>
        <w:autoSpaceDN w:val="0"/>
        <w:bidi w:val="0"/>
        <w:spacing w:line="560" w:lineRule="exact"/>
        <w:outlineLvl w:val="9"/>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传真</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传真</w:t>
      </w:r>
      <w:r>
        <w:rPr>
          <w:rFonts w:ascii="宋体" w:hAnsi="宋体" w:eastAsia="宋体" w:cs="Times New Roman"/>
          <w:color w:val="auto"/>
          <w:sz w:val="24"/>
          <w:highlight w:val="none"/>
          <w:lang w:val="zh-CN"/>
        </w:rPr>
        <w:t>:</w:t>
      </w:r>
    </w:p>
    <w:p w14:paraId="6E8EFB01">
      <w:pPr>
        <w:kinsoku/>
        <w:wordWrap/>
        <w:overflowPunct/>
        <w:topLinePunct w:val="0"/>
        <w:autoSpaceDE w:val="0"/>
        <w:autoSpaceDN w:val="0"/>
        <w:bidi w:val="0"/>
        <w:spacing w:line="560" w:lineRule="exact"/>
        <w:outlineLvl w:val="9"/>
        <w:rPr>
          <w:rFonts w:ascii="宋体" w:hAnsi="宋体" w:eastAsia="宋体" w:cs="Times New Roman"/>
          <w:color w:val="auto"/>
          <w:sz w:val="24"/>
          <w:highlight w:val="none"/>
        </w:rPr>
      </w:pPr>
      <w:r>
        <w:rPr>
          <w:rFonts w:hint="eastAsia" w:ascii="宋体" w:hAnsi="宋体" w:eastAsia="宋体" w:cs="Times New Roman"/>
          <w:color w:val="auto"/>
          <w:sz w:val="24"/>
          <w:highlight w:val="none"/>
          <w:lang w:val="zh-CN"/>
        </w:rPr>
        <w:t>电子邮箱：</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电子邮箱：</w:t>
      </w:r>
    </w:p>
    <w:p w14:paraId="6395679F">
      <w:pPr>
        <w:kinsoku/>
        <w:wordWrap/>
        <w:overflowPunct/>
        <w:topLinePunct w:val="0"/>
        <w:autoSpaceDE w:val="0"/>
        <w:autoSpaceDN w:val="0"/>
        <w:bidi w:val="0"/>
        <w:spacing w:line="560" w:lineRule="exact"/>
        <w:outlineLvl w:val="9"/>
        <w:rPr>
          <w:rFonts w:ascii="宋体" w:hAnsi="宋体" w:eastAsia="宋体" w:cs="Times New Roman"/>
          <w:color w:val="auto"/>
          <w:sz w:val="24"/>
          <w:highlight w:val="none"/>
        </w:rPr>
      </w:pPr>
      <w:r>
        <w:rPr>
          <w:rFonts w:hint="eastAsia" w:ascii="宋体" w:hAnsi="宋体" w:eastAsia="宋体" w:cs="Times New Roman"/>
          <w:color w:val="auto"/>
          <w:sz w:val="24"/>
          <w:highlight w:val="none"/>
        </w:rPr>
        <w:t>开户银行：</w:t>
      </w:r>
      <w:r>
        <w:rPr>
          <w:rFonts w:ascii="宋体" w:hAnsi="宋体" w:eastAsia="宋体" w:cs="Times New Roman"/>
          <w:color w:val="auto"/>
          <w:sz w:val="24"/>
          <w:highlight w:val="none"/>
        </w:rPr>
        <w:t xml:space="preserve">                               开户银行： </w:t>
      </w:r>
    </w:p>
    <w:p w14:paraId="541D3E99">
      <w:pPr>
        <w:kinsoku/>
        <w:wordWrap/>
        <w:overflowPunct/>
        <w:topLinePunct w:val="0"/>
        <w:autoSpaceDE w:val="0"/>
        <w:autoSpaceDN w:val="0"/>
        <w:bidi w:val="0"/>
        <w:spacing w:line="560" w:lineRule="exact"/>
        <w:outlineLvl w:val="9"/>
        <w:rPr>
          <w:rFonts w:ascii="宋体" w:hAnsi="宋体" w:eastAsia="宋体" w:cs="Times New Roman"/>
          <w:color w:val="auto"/>
          <w:sz w:val="24"/>
          <w:highlight w:val="none"/>
        </w:rPr>
      </w:pPr>
      <w:r>
        <w:rPr>
          <w:rFonts w:hint="eastAsia" w:ascii="宋体" w:hAnsi="宋体" w:eastAsia="宋体" w:cs="Times New Roman"/>
          <w:color w:val="auto"/>
          <w:sz w:val="24"/>
          <w:highlight w:val="none"/>
        </w:rPr>
        <w:t>开户名称：</w:t>
      </w:r>
      <w:r>
        <w:rPr>
          <w:rFonts w:ascii="宋体" w:hAnsi="宋体" w:eastAsia="宋体" w:cs="Times New Roman"/>
          <w:color w:val="auto"/>
          <w:sz w:val="24"/>
          <w:highlight w:val="none"/>
        </w:rPr>
        <w:t xml:space="preserve">                               开户名称： </w:t>
      </w:r>
    </w:p>
    <w:p w14:paraId="0DF2B420">
      <w:pPr>
        <w:kinsoku/>
        <w:wordWrap/>
        <w:overflowPunct/>
        <w:topLinePunct w:val="0"/>
        <w:autoSpaceDE w:val="0"/>
        <w:autoSpaceDN w:val="0"/>
        <w:bidi w:val="0"/>
        <w:spacing w:line="560" w:lineRule="exact"/>
        <w:outlineLvl w:val="9"/>
        <w:rPr>
          <w:rFonts w:ascii="宋体" w:hAnsi="宋体" w:eastAsia="宋体" w:cs="Times New Roman"/>
          <w:color w:val="auto"/>
          <w:sz w:val="24"/>
          <w:highlight w:val="none"/>
        </w:rPr>
      </w:pPr>
      <w:r>
        <w:rPr>
          <w:rFonts w:hint="eastAsia" w:ascii="宋体" w:hAnsi="宋体" w:eastAsia="宋体" w:cs="Times New Roman"/>
          <w:color w:val="auto"/>
          <w:sz w:val="24"/>
          <w:highlight w:val="none"/>
        </w:rPr>
        <w:t>开户账号：</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rPr>
        <w:t>开户账号：</w:t>
      </w:r>
    </w:p>
    <w:p w14:paraId="39EBCAA5">
      <w:pPr>
        <w:widowControl/>
        <w:kinsoku/>
        <w:wordWrap/>
        <w:overflowPunct/>
        <w:topLinePunct w:val="0"/>
        <w:bidi w:val="0"/>
        <w:spacing w:line="560" w:lineRule="exact"/>
        <w:jc w:val="left"/>
        <w:outlineLvl w:val="9"/>
        <w:rPr>
          <w:rFonts w:ascii="宋体" w:hAnsi="宋体" w:eastAsia="宋体" w:cs="Times New Roman"/>
          <w:b/>
          <w:color w:val="auto"/>
          <w:sz w:val="24"/>
          <w:highlight w:val="none"/>
        </w:rPr>
      </w:pPr>
    </w:p>
    <w:p w14:paraId="60923A2A">
      <w:pPr>
        <w:widowControl/>
        <w:kinsoku/>
        <w:wordWrap/>
        <w:overflowPunct/>
        <w:topLinePunct w:val="0"/>
        <w:bidi w:val="0"/>
        <w:adjustRightInd/>
        <w:jc w:val="left"/>
        <w:outlineLvl w:val="9"/>
        <w:rPr>
          <w:rFonts w:ascii="宋体" w:hAnsi="宋体" w:eastAsia="宋体" w:cs="Times New Roman"/>
          <w:b/>
          <w:color w:val="auto"/>
          <w:sz w:val="24"/>
          <w:highlight w:val="none"/>
        </w:rPr>
      </w:pPr>
      <w:r>
        <w:rPr>
          <w:rFonts w:ascii="宋体" w:hAnsi="宋体" w:eastAsia="宋体" w:cs="Times New Roman"/>
          <w:b/>
          <w:color w:val="auto"/>
          <w:highlight w:val="none"/>
        </w:rPr>
        <w:br w:type="page"/>
      </w:r>
    </w:p>
    <w:p w14:paraId="6FC62D3E">
      <w:pPr>
        <w:widowControl w:val="0"/>
        <w:kinsoku/>
        <w:wordWrap/>
        <w:overflowPunct/>
        <w:topLinePunct w:val="0"/>
        <w:autoSpaceDE w:val="0"/>
        <w:autoSpaceDN w:val="0"/>
        <w:bidi w:val="0"/>
        <w:adjustRightInd w:val="0"/>
        <w:snapToGrid w:val="0"/>
        <w:spacing w:after="120" w:line="560" w:lineRule="exact"/>
        <w:ind w:left="420" w:leftChars="200" w:firstLine="482" w:firstLineChars="200"/>
        <w:jc w:val="center"/>
        <w:outlineLvl w:val="9"/>
        <w:rPr>
          <w:rFonts w:ascii="宋体" w:hAnsi="宋体" w:eastAsia="宋体" w:cs="Times New Roman"/>
          <w:b/>
          <w:color w:val="auto"/>
          <w:kern w:val="2"/>
          <w:sz w:val="24"/>
          <w:szCs w:val="24"/>
          <w:highlight w:val="none"/>
          <w:lang w:val="en-US" w:eastAsia="zh-CN" w:bidi="ar-SA"/>
        </w:rPr>
      </w:pPr>
      <w:r>
        <w:rPr>
          <w:rFonts w:hint="eastAsia" w:ascii="宋体" w:hAnsi="宋体" w:eastAsia="宋体" w:cs="Times New Roman"/>
          <w:b/>
          <w:color w:val="auto"/>
          <w:kern w:val="2"/>
          <w:sz w:val="24"/>
          <w:szCs w:val="24"/>
          <w:highlight w:val="none"/>
          <w:lang w:val="en-US" w:eastAsia="zh-CN" w:bidi="ar-SA"/>
        </w:rPr>
        <w:t>第二部分</w:t>
      </w:r>
      <w:r>
        <w:rPr>
          <w:rFonts w:ascii="宋体" w:hAnsi="宋体" w:eastAsia="宋体" w:cs="Times New Roman"/>
          <w:b/>
          <w:color w:val="auto"/>
          <w:kern w:val="2"/>
          <w:sz w:val="24"/>
          <w:szCs w:val="24"/>
          <w:highlight w:val="none"/>
          <w:lang w:val="en-US" w:eastAsia="zh-CN" w:bidi="ar-SA"/>
        </w:rPr>
        <w:t xml:space="preserve"> </w:t>
      </w:r>
      <w:r>
        <w:rPr>
          <w:rFonts w:hint="eastAsia" w:ascii="宋体" w:hAnsi="宋体" w:eastAsia="宋体" w:cs="Times New Roman"/>
          <w:b/>
          <w:color w:val="auto"/>
          <w:kern w:val="2"/>
          <w:sz w:val="24"/>
          <w:szCs w:val="24"/>
          <w:highlight w:val="none"/>
          <w:lang w:val="en-US" w:eastAsia="zh-CN" w:bidi="ar-SA"/>
        </w:rPr>
        <w:t>合同一般条款</w:t>
      </w:r>
    </w:p>
    <w:p w14:paraId="09EEE11B">
      <w:pPr>
        <w:keepNext w:val="0"/>
        <w:keepLines w:val="0"/>
        <w:pageBreakBefore w:val="0"/>
        <w:widowControl w:val="0"/>
        <w:kinsoku/>
        <w:wordWrap/>
        <w:overflowPunct/>
        <w:topLinePunct w:val="0"/>
        <w:autoSpaceDE/>
        <w:autoSpaceDN/>
        <w:bidi w:val="0"/>
        <w:adjustRightInd w:val="0"/>
        <w:snapToGrid/>
        <w:spacing w:line="560" w:lineRule="exact"/>
        <w:ind w:left="-61" w:leftChars="-29" w:right="-420" w:rightChars="-200" w:firstLine="482" w:firstLineChars="200"/>
        <w:textAlignment w:val="auto"/>
        <w:outlineLvl w:val="9"/>
        <w:rPr>
          <w:rFonts w:ascii="宋体" w:hAnsi="宋体" w:eastAsia="宋体" w:cs="Times New Roman"/>
          <w:b/>
          <w:color w:val="auto"/>
          <w:sz w:val="24"/>
          <w:highlight w:val="none"/>
        </w:rPr>
      </w:pPr>
      <w:bookmarkStart w:id="456" w:name="_Toc19680"/>
      <w:bookmarkStart w:id="457" w:name="_Toc5228"/>
      <w:bookmarkStart w:id="458" w:name="_Toc14021"/>
      <w:bookmarkStart w:id="459" w:name="_Toc25079"/>
      <w:bookmarkStart w:id="460" w:name="_Toc31297"/>
      <w:r>
        <w:rPr>
          <w:rFonts w:ascii="宋体" w:hAnsi="宋体" w:eastAsia="宋体" w:cs="Times New Roman"/>
          <w:b/>
          <w:color w:val="auto"/>
          <w:sz w:val="24"/>
          <w:highlight w:val="none"/>
        </w:rPr>
        <w:t>2.1 定义</w:t>
      </w:r>
      <w:bookmarkEnd w:id="456"/>
      <w:bookmarkEnd w:id="457"/>
      <w:bookmarkEnd w:id="458"/>
      <w:bookmarkEnd w:id="459"/>
      <w:bookmarkEnd w:id="460"/>
    </w:p>
    <w:p w14:paraId="63B8776B">
      <w:pPr>
        <w:keepNext w:val="0"/>
        <w:keepLines w:val="0"/>
        <w:pageBreakBefore w:val="0"/>
        <w:widowControl w:val="0"/>
        <w:kinsoku/>
        <w:wordWrap/>
        <w:overflowPunct/>
        <w:topLinePunct w:val="0"/>
        <w:autoSpaceDE/>
        <w:autoSpaceDN/>
        <w:bidi w:val="0"/>
        <w:adjustRightInd w:val="0"/>
        <w:snapToGrid/>
        <w:spacing w:line="560" w:lineRule="exact"/>
        <w:ind w:left="-61" w:leftChars="-29" w:right="-420" w:rightChars="-200"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本合同中的下列词语应按以下内容进行解释：</w:t>
      </w:r>
    </w:p>
    <w:p w14:paraId="61B39B3D">
      <w:pPr>
        <w:keepNext w:val="0"/>
        <w:keepLines w:val="0"/>
        <w:pageBreakBefore w:val="0"/>
        <w:widowControl w:val="0"/>
        <w:kinsoku/>
        <w:wordWrap/>
        <w:overflowPunct/>
        <w:topLinePunct w:val="0"/>
        <w:autoSpaceDE/>
        <w:autoSpaceDN/>
        <w:bidi w:val="0"/>
        <w:adjustRightInd w:val="0"/>
        <w:snapToGrid/>
        <w:spacing w:line="560" w:lineRule="exact"/>
        <w:ind w:left="-61" w:leftChars="-29" w:right="-420" w:rightChars="-200"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2.1.1 “合同”系指采购人和中标或成交供应商签订的载明双方当事人所达成的协议，并包括所有的附件、附录和构成合同的其他文件。</w:t>
      </w:r>
    </w:p>
    <w:p w14:paraId="45A86079">
      <w:pPr>
        <w:keepNext w:val="0"/>
        <w:keepLines w:val="0"/>
        <w:pageBreakBefore w:val="0"/>
        <w:widowControl w:val="0"/>
        <w:kinsoku/>
        <w:wordWrap/>
        <w:overflowPunct/>
        <w:topLinePunct w:val="0"/>
        <w:autoSpaceDE/>
        <w:autoSpaceDN/>
        <w:bidi w:val="0"/>
        <w:adjustRightInd w:val="0"/>
        <w:snapToGrid/>
        <w:spacing w:line="560" w:lineRule="exact"/>
        <w:ind w:left="-61" w:leftChars="-29" w:right="-420" w:rightChars="-200"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2.1.2 “合同价”系指根据合同约定，中标或成交供应商在完全履行合同义务后，采购人应支付给中标或成交供应商的价格。</w:t>
      </w:r>
    </w:p>
    <w:p w14:paraId="0FA1EDB2">
      <w:pPr>
        <w:keepNext w:val="0"/>
        <w:keepLines w:val="0"/>
        <w:pageBreakBefore w:val="0"/>
        <w:widowControl w:val="0"/>
        <w:kinsoku/>
        <w:wordWrap/>
        <w:overflowPunct/>
        <w:topLinePunct w:val="0"/>
        <w:autoSpaceDE/>
        <w:autoSpaceDN/>
        <w:bidi w:val="0"/>
        <w:adjustRightInd w:val="0"/>
        <w:snapToGrid/>
        <w:spacing w:line="560" w:lineRule="exact"/>
        <w:ind w:left="-61" w:leftChars="-29" w:right="-420" w:rightChars="-200"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3E64102C">
      <w:pPr>
        <w:keepNext w:val="0"/>
        <w:keepLines w:val="0"/>
        <w:pageBreakBefore w:val="0"/>
        <w:widowControl w:val="0"/>
        <w:kinsoku/>
        <w:wordWrap/>
        <w:overflowPunct/>
        <w:topLinePunct w:val="0"/>
        <w:autoSpaceDE/>
        <w:autoSpaceDN/>
        <w:bidi w:val="0"/>
        <w:adjustRightInd w:val="0"/>
        <w:snapToGrid/>
        <w:spacing w:line="560" w:lineRule="exact"/>
        <w:ind w:left="-61" w:leftChars="-29" w:right="-420" w:rightChars="-200"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2.1.4 “甲方”系指与中标或成交供应商签署合同的采购人；采购人委托采购代理机构代表其与乙方签订合同的，采购人的授权委托书作为合同附件。</w:t>
      </w:r>
    </w:p>
    <w:p w14:paraId="1FE91EB2">
      <w:pPr>
        <w:keepNext w:val="0"/>
        <w:keepLines w:val="0"/>
        <w:pageBreakBefore w:val="0"/>
        <w:widowControl w:val="0"/>
        <w:kinsoku/>
        <w:wordWrap/>
        <w:overflowPunct/>
        <w:topLinePunct w:val="0"/>
        <w:autoSpaceDE/>
        <w:autoSpaceDN/>
        <w:bidi w:val="0"/>
        <w:adjustRightInd w:val="0"/>
        <w:snapToGrid/>
        <w:spacing w:line="560" w:lineRule="exact"/>
        <w:ind w:left="-61" w:leftChars="-29" w:right="-420" w:rightChars="-200"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08483636">
      <w:pPr>
        <w:keepNext w:val="0"/>
        <w:keepLines w:val="0"/>
        <w:pageBreakBefore w:val="0"/>
        <w:widowControl w:val="0"/>
        <w:kinsoku/>
        <w:wordWrap/>
        <w:overflowPunct/>
        <w:topLinePunct w:val="0"/>
        <w:autoSpaceDE/>
        <w:autoSpaceDN/>
        <w:bidi w:val="0"/>
        <w:adjustRightInd w:val="0"/>
        <w:snapToGrid/>
        <w:spacing w:line="560" w:lineRule="exact"/>
        <w:ind w:left="-61" w:leftChars="-29" w:right="-420" w:rightChars="-200"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2.1.6 “现场”系指合同约定提供服务的地点。</w:t>
      </w:r>
    </w:p>
    <w:p w14:paraId="6D4A4E19">
      <w:pPr>
        <w:keepNext w:val="0"/>
        <w:keepLines w:val="0"/>
        <w:pageBreakBefore w:val="0"/>
        <w:widowControl w:val="0"/>
        <w:kinsoku/>
        <w:wordWrap/>
        <w:overflowPunct/>
        <w:topLinePunct w:val="0"/>
        <w:autoSpaceDE/>
        <w:autoSpaceDN/>
        <w:bidi w:val="0"/>
        <w:adjustRightInd w:val="0"/>
        <w:snapToGrid/>
        <w:spacing w:line="560" w:lineRule="exact"/>
        <w:ind w:left="-61" w:leftChars="-29" w:right="-420" w:rightChars="-200" w:firstLine="482" w:firstLineChars="200"/>
        <w:textAlignment w:val="auto"/>
        <w:outlineLvl w:val="9"/>
        <w:rPr>
          <w:rFonts w:ascii="宋体" w:hAnsi="宋体" w:eastAsia="宋体" w:cs="Times New Roman"/>
          <w:b/>
          <w:color w:val="auto"/>
          <w:sz w:val="24"/>
          <w:highlight w:val="none"/>
        </w:rPr>
      </w:pPr>
      <w:bookmarkStart w:id="461" w:name="_Toc16752"/>
      <w:bookmarkStart w:id="462" w:name="_Toc3769"/>
      <w:bookmarkStart w:id="463" w:name="_Toc31402"/>
      <w:bookmarkStart w:id="464" w:name="_Toc23289"/>
      <w:bookmarkStart w:id="465" w:name="_Toc19539"/>
      <w:r>
        <w:rPr>
          <w:rFonts w:ascii="宋体" w:hAnsi="宋体" w:eastAsia="宋体" w:cs="Times New Roman"/>
          <w:b/>
          <w:color w:val="auto"/>
          <w:sz w:val="24"/>
          <w:highlight w:val="none"/>
        </w:rPr>
        <w:t>2.2 技术规范</w:t>
      </w:r>
      <w:bookmarkEnd w:id="461"/>
      <w:bookmarkEnd w:id="462"/>
      <w:bookmarkEnd w:id="463"/>
      <w:bookmarkEnd w:id="464"/>
      <w:bookmarkEnd w:id="465"/>
    </w:p>
    <w:p w14:paraId="7F8FD89D">
      <w:pPr>
        <w:keepNext w:val="0"/>
        <w:keepLines w:val="0"/>
        <w:pageBreakBefore w:val="0"/>
        <w:widowControl w:val="0"/>
        <w:kinsoku/>
        <w:wordWrap/>
        <w:overflowPunct/>
        <w:topLinePunct w:val="0"/>
        <w:autoSpaceDE/>
        <w:autoSpaceDN/>
        <w:bidi w:val="0"/>
        <w:adjustRightInd w:val="0"/>
        <w:snapToGrid/>
        <w:spacing w:line="560" w:lineRule="exact"/>
        <w:ind w:left="-61" w:leftChars="-29" w:right="-420" w:rightChars="-200" w:firstLine="480" w:firstLineChars="200"/>
        <w:textAlignment w:val="auto"/>
        <w:outlineLvl w:val="9"/>
        <w:rPr>
          <w:rFonts w:ascii="宋体" w:hAnsi="宋体" w:eastAsia="宋体" w:cs="Times New Roman"/>
          <w:color w:val="auto"/>
          <w:sz w:val="24"/>
          <w:highlight w:val="none"/>
        </w:rPr>
      </w:pPr>
      <w:r>
        <w:rPr>
          <w:rFonts w:hint="eastAsia" w:ascii="宋体" w:hAnsi="宋体" w:eastAsia="宋体" w:cs="Times New Roman"/>
          <w:color w:val="auto"/>
          <w:sz w:val="24"/>
          <w:highlight w:val="none"/>
        </w:rPr>
        <w:t>服务</w:t>
      </w:r>
      <w:r>
        <w:rPr>
          <w:rFonts w:ascii="宋体" w:hAnsi="宋体" w:eastAsia="宋体" w:cs="Times New Roman"/>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如果采购文件中没有技术规范的相应说明，那么应以国家有关部门最新颁布的相应标准</w:t>
      </w:r>
      <w:r>
        <w:rPr>
          <w:rFonts w:hint="eastAsia" w:ascii="宋体" w:hAnsi="宋体" w:eastAsia="宋体" w:cs="Times New Roman"/>
          <w:color w:val="auto"/>
          <w:sz w:val="24"/>
          <w:highlight w:val="none"/>
        </w:rPr>
        <w:t>和</w:t>
      </w:r>
      <w:r>
        <w:rPr>
          <w:rFonts w:ascii="宋体" w:hAnsi="宋体" w:eastAsia="宋体" w:cs="Times New Roman"/>
          <w:color w:val="auto"/>
          <w:sz w:val="24"/>
          <w:highlight w:val="none"/>
        </w:rPr>
        <w:t>规范为准。</w:t>
      </w:r>
    </w:p>
    <w:p w14:paraId="5D23372B">
      <w:pPr>
        <w:keepNext w:val="0"/>
        <w:keepLines w:val="0"/>
        <w:pageBreakBefore w:val="0"/>
        <w:widowControl w:val="0"/>
        <w:kinsoku/>
        <w:wordWrap/>
        <w:overflowPunct/>
        <w:topLinePunct w:val="0"/>
        <w:autoSpaceDE/>
        <w:autoSpaceDN/>
        <w:bidi w:val="0"/>
        <w:adjustRightInd w:val="0"/>
        <w:snapToGrid/>
        <w:spacing w:line="560" w:lineRule="exact"/>
        <w:ind w:left="-61" w:leftChars="-29" w:right="-420" w:rightChars="-200" w:firstLine="482" w:firstLineChars="200"/>
        <w:textAlignment w:val="auto"/>
        <w:outlineLvl w:val="9"/>
        <w:rPr>
          <w:rFonts w:ascii="宋体" w:hAnsi="宋体" w:eastAsia="宋体" w:cs="Times New Roman"/>
          <w:b/>
          <w:color w:val="auto"/>
          <w:sz w:val="24"/>
          <w:highlight w:val="none"/>
        </w:rPr>
      </w:pPr>
      <w:bookmarkStart w:id="466" w:name="_Toc4133"/>
      <w:bookmarkStart w:id="467" w:name="_Toc12412"/>
      <w:bookmarkStart w:id="468" w:name="_Toc9161"/>
      <w:bookmarkStart w:id="469" w:name="_Toc27945"/>
      <w:bookmarkStart w:id="470" w:name="_Toc13673"/>
      <w:r>
        <w:rPr>
          <w:rFonts w:ascii="宋体" w:hAnsi="宋体" w:eastAsia="宋体" w:cs="Times New Roman"/>
          <w:b/>
          <w:color w:val="auto"/>
          <w:sz w:val="24"/>
          <w:highlight w:val="none"/>
        </w:rPr>
        <w:t>2.3 知识产权</w:t>
      </w:r>
      <w:bookmarkEnd w:id="466"/>
      <w:bookmarkEnd w:id="467"/>
      <w:bookmarkEnd w:id="468"/>
      <w:bookmarkEnd w:id="469"/>
      <w:bookmarkEnd w:id="470"/>
    </w:p>
    <w:p w14:paraId="6E5DCF38">
      <w:pPr>
        <w:keepNext w:val="0"/>
        <w:keepLines w:val="0"/>
        <w:pageBreakBefore w:val="0"/>
        <w:widowControl w:val="0"/>
        <w:kinsoku/>
        <w:wordWrap/>
        <w:overflowPunct/>
        <w:topLinePunct w:val="0"/>
        <w:autoSpaceDE/>
        <w:autoSpaceDN/>
        <w:bidi w:val="0"/>
        <w:adjustRightInd w:val="0"/>
        <w:snapToGrid/>
        <w:spacing w:line="560" w:lineRule="exact"/>
        <w:ind w:left="-61" w:leftChars="-29" w:right="-420" w:rightChars="-200"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2.3.1 </w:t>
      </w:r>
      <w:r>
        <w:rPr>
          <w:rFonts w:hint="eastAsia" w:ascii="宋体" w:hAnsi="宋体" w:eastAsia="宋体" w:cs="Times New Roman"/>
          <w:color w:val="auto"/>
          <w:sz w:val="24"/>
          <w:highlight w:val="none"/>
        </w:rPr>
        <w:t>乙</w:t>
      </w:r>
      <w:r>
        <w:rPr>
          <w:rFonts w:ascii="宋体" w:hAnsi="宋体" w:eastAsia="宋体" w:cs="Times New Roman"/>
          <w:color w:val="auto"/>
          <w:sz w:val="24"/>
          <w:highlight w:val="none"/>
        </w:rPr>
        <w:t>方应保证</w:t>
      </w:r>
      <w:r>
        <w:rPr>
          <w:rFonts w:hint="eastAsia" w:ascii="宋体" w:hAnsi="宋体" w:eastAsia="宋体" w:cs="Times New Roman"/>
          <w:color w:val="auto"/>
          <w:sz w:val="24"/>
          <w:highlight w:val="none"/>
        </w:rPr>
        <w:t>其提供的服务</w:t>
      </w:r>
      <w:r>
        <w:rPr>
          <w:rFonts w:ascii="宋体" w:hAnsi="宋体" w:eastAsia="宋体" w:cs="Times New Roman"/>
          <w:color w:val="auto"/>
          <w:sz w:val="24"/>
          <w:highlight w:val="none"/>
        </w:rPr>
        <w:t>不受任何第三方提出的侵犯其著作权、商标权、专利权等知识产权方面的起诉</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如果任何第三方提出侵权</w:t>
      </w:r>
      <w:r>
        <w:rPr>
          <w:rFonts w:hint="eastAsia" w:ascii="宋体" w:hAnsi="宋体" w:eastAsia="宋体" w:cs="Times New Roman"/>
          <w:color w:val="auto"/>
          <w:sz w:val="24"/>
          <w:highlight w:val="none"/>
        </w:rPr>
        <w:t>指控</w:t>
      </w:r>
      <w:r>
        <w:rPr>
          <w:rFonts w:ascii="宋体" w:hAnsi="宋体" w:eastAsia="宋体" w:cs="Times New Roman"/>
          <w:color w:val="auto"/>
          <w:sz w:val="24"/>
          <w:highlight w:val="none"/>
        </w:rPr>
        <w:t>，那么乙方须与该第三方交涉并承担由此发生的一切责任、费用和赔偿</w:t>
      </w:r>
      <w:r>
        <w:rPr>
          <w:rFonts w:hint="eastAsia" w:ascii="宋体" w:hAnsi="宋体" w:eastAsia="宋体" w:cs="Times New Roman"/>
          <w:color w:val="auto"/>
          <w:sz w:val="24"/>
          <w:highlight w:val="none"/>
        </w:rPr>
        <w:t>，乙方还应及时澄清相关信息，使甲方声誉免受损害，甲方保留追责的权利。</w:t>
      </w:r>
    </w:p>
    <w:p w14:paraId="0B9D7A08">
      <w:pPr>
        <w:keepNext w:val="0"/>
        <w:keepLines w:val="0"/>
        <w:pageBreakBefore w:val="0"/>
        <w:widowControl w:val="0"/>
        <w:kinsoku/>
        <w:wordWrap/>
        <w:overflowPunct/>
        <w:topLinePunct w:val="0"/>
        <w:autoSpaceDE/>
        <w:autoSpaceDN/>
        <w:bidi w:val="0"/>
        <w:adjustRightInd w:val="0"/>
        <w:snapToGrid/>
        <w:spacing w:line="560" w:lineRule="exact"/>
        <w:ind w:left="-61" w:leftChars="-29" w:right="-420" w:rightChars="-200"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2.3.2 </w:t>
      </w:r>
      <w:r>
        <w:rPr>
          <w:rFonts w:hint="eastAsia" w:ascii="宋体" w:hAnsi="宋体" w:eastAsia="宋体" w:cs="Times New Roman"/>
          <w:color w:val="auto"/>
          <w:sz w:val="24"/>
          <w:highlight w:val="none"/>
        </w:rPr>
        <w:t>合同涉及技术成果的归属和收益的分成办法的，</w:t>
      </w:r>
      <w:r>
        <w:rPr>
          <w:rFonts w:ascii="宋体" w:hAnsi="宋体" w:eastAsia="宋体" w:cs="Times New Roman"/>
          <w:color w:val="auto"/>
          <w:sz w:val="24"/>
          <w:highlight w:val="none"/>
        </w:rPr>
        <w:t>详见</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w:t>
      </w:r>
    </w:p>
    <w:p w14:paraId="1A220A24">
      <w:pPr>
        <w:keepNext w:val="0"/>
        <w:keepLines w:val="0"/>
        <w:pageBreakBefore w:val="0"/>
        <w:widowControl w:val="0"/>
        <w:kinsoku/>
        <w:wordWrap/>
        <w:overflowPunct/>
        <w:topLinePunct w:val="0"/>
        <w:autoSpaceDE/>
        <w:autoSpaceDN/>
        <w:bidi w:val="0"/>
        <w:adjustRightInd w:val="0"/>
        <w:snapToGrid/>
        <w:spacing w:line="560" w:lineRule="exact"/>
        <w:ind w:left="-61" w:leftChars="-29" w:right="-420" w:rightChars="-200" w:firstLine="482" w:firstLineChars="200"/>
        <w:textAlignment w:val="auto"/>
        <w:outlineLvl w:val="9"/>
        <w:rPr>
          <w:rFonts w:ascii="宋体" w:hAnsi="宋体" w:eastAsia="宋体" w:cs="Times New Roman"/>
          <w:b/>
          <w:color w:val="auto"/>
          <w:sz w:val="24"/>
          <w:highlight w:val="none"/>
        </w:rPr>
      </w:pPr>
      <w:r>
        <w:rPr>
          <w:rFonts w:ascii="宋体" w:hAnsi="宋体" w:eastAsia="宋体" w:cs="Times New Roman"/>
          <w:b/>
          <w:color w:val="auto"/>
          <w:sz w:val="24"/>
          <w:highlight w:val="none"/>
        </w:rPr>
        <w:t xml:space="preserve">2.4 </w:t>
      </w:r>
      <w:r>
        <w:rPr>
          <w:rFonts w:hint="eastAsia" w:ascii="宋体" w:hAnsi="宋体" w:eastAsia="宋体" w:cs="Times New Roman"/>
          <w:b/>
          <w:color w:val="auto"/>
          <w:sz w:val="24"/>
          <w:highlight w:val="none"/>
        </w:rPr>
        <w:t>履约检查和问题反馈</w:t>
      </w:r>
    </w:p>
    <w:p w14:paraId="5DA1F7A4">
      <w:pPr>
        <w:keepNext w:val="0"/>
        <w:keepLines w:val="0"/>
        <w:pageBreakBefore w:val="0"/>
        <w:widowControl w:val="0"/>
        <w:kinsoku/>
        <w:wordWrap/>
        <w:overflowPunct/>
        <w:topLinePunct w:val="0"/>
        <w:autoSpaceDE/>
        <w:autoSpaceDN/>
        <w:bidi w:val="0"/>
        <w:adjustRightInd w:val="0"/>
        <w:snapToGrid/>
        <w:spacing w:line="560" w:lineRule="exact"/>
        <w:ind w:left="-61" w:leftChars="-29" w:right="-420" w:rightChars="-200"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2.4.1甲方</w:t>
      </w:r>
      <w:r>
        <w:rPr>
          <w:rFonts w:hint="eastAsia" w:ascii="宋体" w:hAnsi="宋体" w:eastAsia="宋体" w:cs="Times New Roman"/>
          <w:color w:val="auto"/>
          <w:sz w:val="24"/>
          <w:highlight w:val="none"/>
        </w:rPr>
        <w:t>有权</w:t>
      </w:r>
      <w:r>
        <w:rPr>
          <w:rFonts w:ascii="宋体" w:hAnsi="宋体" w:eastAsia="宋体" w:cs="Times New Roman"/>
          <w:color w:val="auto"/>
          <w:sz w:val="24"/>
          <w:highlight w:val="none"/>
        </w:rPr>
        <w:t>在其认为必要时</w:t>
      </w:r>
      <w:r>
        <w:rPr>
          <w:rFonts w:hint="eastAsia" w:ascii="宋体" w:hAnsi="宋体" w:eastAsia="宋体" w:cs="Times New Roman"/>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64AAB946">
      <w:pPr>
        <w:keepNext w:val="0"/>
        <w:keepLines w:val="0"/>
        <w:pageBreakBefore w:val="0"/>
        <w:widowControl w:val="0"/>
        <w:kinsoku/>
        <w:wordWrap/>
        <w:overflowPunct/>
        <w:topLinePunct w:val="0"/>
        <w:autoSpaceDE/>
        <w:autoSpaceDN/>
        <w:bidi w:val="0"/>
        <w:adjustRightInd w:val="0"/>
        <w:snapToGrid/>
        <w:spacing w:line="560" w:lineRule="exact"/>
        <w:ind w:left="-61" w:leftChars="-29" w:right="-420" w:rightChars="-200"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2.4.2 </w:t>
      </w:r>
      <w:r>
        <w:rPr>
          <w:rFonts w:hint="eastAsia" w:ascii="宋体" w:hAnsi="宋体" w:eastAsia="宋体" w:cs="Times New Roman"/>
          <w:color w:val="auto"/>
          <w:sz w:val="24"/>
          <w:highlight w:val="none"/>
        </w:rPr>
        <w:t>合同履行期间，甲方有权将履行过程中出现的问题反馈给乙方，双方当事人应以书面形式约定需要完善和改进的内容。</w:t>
      </w:r>
    </w:p>
    <w:p w14:paraId="7F9817A7">
      <w:pPr>
        <w:keepNext w:val="0"/>
        <w:keepLines w:val="0"/>
        <w:pageBreakBefore w:val="0"/>
        <w:widowControl w:val="0"/>
        <w:kinsoku/>
        <w:wordWrap/>
        <w:overflowPunct/>
        <w:topLinePunct w:val="0"/>
        <w:autoSpaceDE/>
        <w:autoSpaceDN/>
        <w:bidi w:val="0"/>
        <w:adjustRightInd w:val="0"/>
        <w:snapToGrid/>
        <w:spacing w:line="560" w:lineRule="exact"/>
        <w:ind w:left="-61" w:leftChars="-29" w:right="-420" w:rightChars="-200" w:firstLine="482" w:firstLineChars="200"/>
        <w:textAlignment w:val="auto"/>
        <w:outlineLvl w:val="9"/>
        <w:rPr>
          <w:rFonts w:ascii="宋体" w:hAnsi="宋体" w:eastAsia="宋体" w:cs="Times New Roman"/>
          <w:b/>
          <w:color w:val="auto"/>
          <w:sz w:val="24"/>
          <w:highlight w:val="none"/>
        </w:rPr>
      </w:pPr>
      <w:bookmarkStart w:id="471" w:name="_Toc31233"/>
      <w:bookmarkStart w:id="472" w:name="_Toc26555"/>
      <w:bookmarkStart w:id="473" w:name="_Toc15447"/>
      <w:bookmarkStart w:id="474" w:name="_Toc32670"/>
      <w:bookmarkStart w:id="475" w:name="_Toc22011"/>
      <w:r>
        <w:rPr>
          <w:rFonts w:ascii="宋体" w:hAnsi="宋体" w:eastAsia="宋体" w:cs="Times New Roman"/>
          <w:b/>
          <w:color w:val="auto"/>
          <w:sz w:val="24"/>
          <w:highlight w:val="none"/>
        </w:rPr>
        <w:t>2.5 结算方式和付款条件</w:t>
      </w:r>
      <w:bookmarkEnd w:id="471"/>
      <w:bookmarkEnd w:id="472"/>
      <w:bookmarkEnd w:id="473"/>
      <w:bookmarkEnd w:id="474"/>
      <w:bookmarkEnd w:id="475"/>
    </w:p>
    <w:p w14:paraId="46B98C73">
      <w:pPr>
        <w:keepNext w:val="0"/>
        <w:keepLines w:val="0"/>
        <w:pageBreakBefore w:val="0"/>
        <w:widowControl w:val="0"/>
        <w:kinsoku/>
        <w:wordWrap/>
        <w:overflowPunct/>
        <w:topLinePunct w:val="0"/>
        <w:autoSpaceDE/>
        <w:autoSpaceDN/>
        <w:bidi w:val="0"/>
        <w:adjustRightInd w:val="0"/>
        <w:snapToGrid/>
        <w:spacing w:line="560" w:lineRule="exact"/>
        <w:ind w:left="-61" w:leftChars="-29" w:right="-420" w:rightChars="-200"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详见</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w:t>
      </w:r>
    </w:p>
    <w:p w14:paraId="48558CB5">
      <w:pPr>
        <w:keepNext w:val="0"/>
        <w:keepLines w:val="0"/>
        <w:pageBreakBefore w:val="0"/>
        <w:widowControl w:val="0"/>
        <w:kinsoku/>
        <w:wordWrap/>
        <w:overflowPunct/>
        <w:topLinePunct w:val="0"/>
        <w:autoSpaceDE/>
        <w:autoSpaceDN/>
        <w:bidi w:val="0"/>
        <w:adjustRightInd w:val="0"/>
        <w:snapToGrid/>
        <w:spacing w:line="560" w:lineRule="exact"/>
        <w:ind w:left="-61" w:leftChars="-29" w:right="-420" w:rightChars="-200" w:firstLine="482" w:firstLineChars="200"/>
        <w:textAlignment w:val="auto"/>
        <w:outlineLvl w:val="9"/>
        <w:rPr>
          <w:rFonts w:ascii="宋体" w:hAnsi="宋体" w:eastAsia="宋体" w:cs="Times New Roman"/>
          <w:b/>
          <w:color w:val="auto"/>
          <w:sz w:val="24"/>
          <w:highlight w:val="none"/>
        </w:rPr>
      </w:pPr>
      <w:bookmarkStart w:id="476" w:name="_Toc16163"/>
      <w:bookmarkStart w:id="477" w:name="_Toc13154"/>
      <w:bookmarkStart w:id="478" w:name="_Toc18990"/>
      <w:bookmarkStart w:id="479" w:name="_Toc30507"/>
      <w:bookmarkStart w:id="480" w:name="_Toc13467"/>
      <w:r>
        <w:rPr>
          <w:rFonts w:ascii="宋体" w:hAnsi="宋体" w:eastAsia="宋体" w:cs="Times New Roman"/>
          <w:b/>
          <w:color w:val="auto"/>
          <w:sz w:val="24"/>
          <w:highlight w:val="none"/>
        </w:rPr>
        <w:t>2.6 技术资料和保密义务</w:t>
      </w:r>
      <w:bookmarkEnd w:id="476"/>
      <w:bookmarkEnd w:id="477"/>
      <w:bookmarkEnd w:id="478"/>
      <w:bookmarkEnd w:id="479"/>
      <w:bookmarkEnd w:id="480"/>
    </w:p>
    <w:p w14:paraId="201F06EE">
      <w:pPr>
        <w:keepNext w:val="0"/>
        <w:keepLines w:val="0"/>
        <w:pageBreakBefore w:val="0"/>
        <w:widowControl w:val="0"/>
        <w:kinsoku/>
        <w:wordWrap/>
        <w:overflowPunct/>
        <w:topLinePunct w:val="0"/>
        <w:autoSpaceDE/>
        <w:autoSpaceDN/>
        <w:bidi w:val="0"/>
        <w:adjustRightInd w:val="0"/>
        <w:snapToGrid/>
        <w:spacing w:line="560" w:lineRule="exact"/>
        <w:ind w:left="-61" w:leftChars="-29" w:right="-420" w:rightChars="-200"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2.6.1 乙方有权依据合同约定和项目需要，向甲方了解有关情况，调阅有关资料等，甲方应予积极配合；</w:t>
      </w:r>
    </w:p>
    <w:p w14:paraId="48F0C64E">
      <w:pPr>
        <w:keepNext w:val="0"/>
        <w:keepLines w:val="0"/>
        <w:pageBreakBefore w:val="0"/>
        <w:widowControl w:val="0"/>
        <w:kinsoku/>
        <w:wordWrap/>
        <w:overflowPunct/>
        <w:topLinePunct w:val="0"/>
        <w:autoSpaceDE/>
        <w:autoSpaceDN/>
        <w:bidi w:val="0"/>
        <w:adjustRightInd w:val="0"/>
        <w:snapToGrid/>
        <w:spacing w:line="560" w:lineRule="exact"/>
        <w:ind w:left="-61" w:leftChars="-29" w:right="-420" w:rightChars="-200"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2.6.2 </w:t>
      </w:r>
      <w:r>
        <w:rPr>
          <w:rFonts w:hint="eastAsia" w:ascii="宋体" w:hAnsi="宋体" w:eastAsia="宋体" w:cs="Times New Roman"/>
          <w:color w:val="auto"/>
          <w:sz w:val="24"/>
          <w:highlight w:val="none"/>
        </w:rPr>
        <w:t>乙方有义务妥善保管和保护由甲方提供的前款信息和资料等；</w:t>
      </w:r>
    </w:p>
    <w:p w14:paraId="51A9145A">
      <w:pPr>
        <w:keepNext w:val="0"/>
        <w:keepLines w:val="0"/>
        <w:pageBreakBefore w:val="0"/>
        <w:widowControl w:val="0"/>
        <w:kinsoku/>
        <w:wordWrap/>
        <w:overflowPunct/>
        <w:topLinePunct w:val="0"/>
        <w:autoSpaceDE/>
        <w:autoSpaceDN/>
        <w:bidi w:val="0"/>
        <w:adjustRightInd w:val="0"/>
        <w:snapToGrid/>
        <w:spacing w:line="560" w:lineRule="exact"/>
        <w:ind w:left="-61" w:leftChars="-29" w:right="-420" w:rightChars="-200"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2.6.3 </w:t>
      </w:r>
      <w:r>
        <w:rPr>
          <w:rFonts w:hint="eastAsia" w:ascii="宋体" w:hAnsi="宋体" w:eastAsia="宋体" w:cs="Times New Roman"/>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eastAsia="宋体" w:cs="Times New Roman"/>
          <w:color w:val="auto"/>
          <w:sz w:val="24"/>
          <w:highlight w:val="none"/>
        </w:rPr>
        <w:t>技术情报</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技术资料</w:t>
      </w:r>
      <w:r>
        <w:rPr>
          <w:rFonts w:hint="eastAsia" w:ascii="宋体" w:hAnsi="宋体" w:eastAsia="宋体" w:cs="Times New Roman"/>
          <w:color w:val="auto"/>
          <w:sz w:val="24"/>
          <w:highlight w:val="none"/>
        </w:rPr>
        <w:t>、商业秘密和商业信息等，并采取一切合理和必要措施和方式防止任何第三方接触到对方当事人的上述保密信息和资料。</w:t>
      </w:r>
    </w:p>
    <w:p w14:paraId="064DB492">
      <w:pPr>
        <w:keepNext w:val="0"/>
        <w:keepLines w:val="0"/>
        <w:pageBreakBefore w:val="0"/>
        <w:widowControl w:val="0"/>
        <w:kinsoku/>
        <w:wordWrap/>
        <w:overflowPunct/>
        <w:topLinePunct w:val="0"/>
        <w:autoSpaceDE/>
        <w:autoSpaceDN/>
        <w:bidi w:val="0"/>
        <w:adjustRightInd w:val="0"/>
        <w:snapToGrid/>
        <w:spacing w:line="560" w:lineRule="exact"/>
        <w:ind w:left="-61" w:leftChars="-29" w:right="-420" w:rightChars="-200" w:firstLine="482" w:firstLineChars="200"/>
        <w:textAlignment w:val="auto"/>
        <w:outlineLvl w:val="9"/>
        <w:rPr>
          <w:rFonts w:ascii="宋体" w:hAnsi="宋体" w:eastAsia="宋体" w:cs="Times New Roman"/>
          <w:b/>
          <w:color w:val="auto"/>
          <w:sz w:val="24"/>
          <w:highlight w:val="none"/>
        </w:rPr>
      </w:pPr>
      <w:bookmarkStart w:id="481" w:name="_Toc19069"/>
      <w:r>
        <w:rPr>
          <w:rFonts w:ascii="宋体" w:hAnsi="宋体" w:eastAsia="宋体" w:cs="Times New Roman"/>
          <w:b/>
          <w:color w:val="auto"/>
          <w:sz w:val="24"/>
          <w:highlight w:val="none"/>
        </w:rPr>
        <w:t xml:space="preserve">2.7 </w:t>
      </w:r>
      <w:r>
        <w:rPr>
          <w:rFonts w:hint="eastAsia" w:ascii="宋体" w:hAnsi="宋体" w:eastAsia="宋体" w:cs="Times New Roman"/>
          <w:b/>
          <w:color w:val="auto"/>
          <w:sz w:val="24"/>
          <w:highlight w:val="none"/>
        </w:rPr>
        <w:t>质量保证</w:t>
      </w:r>
      <w:bookmarkEnd w:id="481"/>
    </w:p>
    <w:p w14:paraId="0182333E">
      <w:pPr>
        <w:keepNext w:val="0"/>
        <w:keepLines w:val="0"/>
        <w:pageBreakBefore w:val="0"/>
        <w:widowControl w:val="0"/>
        <w:kinsoku/>
        <w:wordWrap/>
        <w:overflowPunct/>
        <w:topLinePunct w:val="0"/>
        <w:autoSpaceDE/>
        <w:autoSpaceDN/>
        <w:bidi w:val="0"/>
        <w:adjustRightInd w:val="0"/>
        <w:snapToGrid/>
        <w:spacing w:line="560" w:lineRule="exact"/>
        <w:ind w:left="-61" w:leftChars="-29" w:right="-420" w:rightChars="-200"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2.7.1 </w:t>
      </w:r>
      <w:r>
        <w:rPr>
          <w:rFonts w:hint="eastAsia" w:ascii="宋体" w:hAnsi="宋体" w:eastAsia="宋体" w:cs="Times New Roman"/>
          <w:color w:val="auto"/>
          <w:sz w:val="24"/>
          <w:highlight w:val="none"/>
        </w:rPr>
        <w:t>乙方应建立和完善履行合同的内部质量保证体系，并提供相关内部规章制度给甲方，以便甲方进行监督检查；</w:t>
      </w:r>
    </w:p>
    <w:p w14:paraId="733C2788">
      <w:pPr>
        <w:keepNext w:val="0"/>
        <w:keepLines w:val="0"/>
        <w:pageBreakBefore w:val="0"/>
        <w:widowControl w:val="0"/>
        <w:kinsoku/>
        <w:wordWrap/>
        <w:overflowPunct/>
        <w:topLinePunct w:val="0"/>
        <w:autoSpaceDE/>
        <w:autoSpaceDN/>
        <w:bidi w:val="0"/>
        <w:adjustRightInd w:val="0"/>
        <w:snapToGrid/>
        <w:spacing w:line="560" w:lineRule="exact"/>
        <w:ind w:left="-61" w:leftChars="-29" w:right="-420" w:rightChars="-200"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2.7.2 </w:t>
      </w:r>
      <w:r>
        <w:rPr>
          <w:rFonts w:hint="eastAsia" w:ascii="宋体" w:hAnsi="宋体" w:eastAsia="宋体" w:cs="Times New Roman"/>
          <w:color w:val="auto"/>
          <w:sz w:val="24"/>
          <w:highlight w:val="none"/>
        </w:rPr>
        <w:t>乙方应保证履行合同的人员数量和素质、软件和硬件设备的配置、场地、环境和设施等满足全面履行合同的要求，并应接受甲方的监督检查。</w:t>
      </w:r>
    </w:p>
    <w:p w14:paraId="6F73D2A7">
      <w:pPr>
        <w:keepNext w:val="0"/>
        <w:keepLines w:val="0"/>
        <w:pageBreakBefore w:val="0"/>
        <w:widowControl w:val="0"/>
        <w:kinsoku/>
        <w:wordWrap/>
        <w:overflowPunct/>
        <w:topLinePunct w:val="0"/>
        <w:autoSpaceDE/>
        <w:autoSpaceDN/>
        <w:bidi w:val="0"/>
        <w:adjustRightInd w:val="0"/>
        <w:snapToGrid/>
        <w:spacing w:line="560" w:lineRule="exact"/>
        <w:ind w:left="-61" w:leftChars="-29" w:right="-420" w:rightChars="-200" w:firstLine="482" w:firstLineChars="200"/>
        <w:textAlignment w:val="auto"/>
        <w:outlineLvl w:val="9"/>
        <w:rPr>
          <w:rFonts w:ascii="宋体" w:hAnsi="宋体" w:eastAsia="宋体" w:cs="Times New Roman"/>
          <w:b/>
          <w:color w:val="auto"/>
          <w:sz w:val="24"/>
          <w:highlight w:val="none"/>
        </w:rPr>
      </w:pPr>
      <w:bookmarkStart w:id="482" w:name="_Toc22267"/>
      <w:r>
        <w:rPr>
          <w:rFonts w:ascii="宋体" w:hAnsi="宋体" w:eastAsia="宋体" w:cs="Times New Roman"/>
          <w:b/>
          <w:color w:val="auto"/>
          <w:sz w:val="24"/>
          <w:highlight w:val="none"/>
        </w:rPr>
        <w:t xml:space="preserve">2.8 </w:t>
      </w:r>
      <w:r>
        <w:rPr>
          <w:rFonts w:hint="eastAsia" w:ascii="宋体" w:hAnsi="宋体" w:eastAsia="宋体" w:cs="Times New Roman"/>
          <w:b/>
          <w:color w:val="auto"/>
          <w:sz w:val="24"/>
          <w:highlight w:val="none"/>
        </w:rPr>
        <w:t>延迟履行</w:t>
      </w:r>
      <w:bookmarkEnd w:id="482"/>
    </w:p>
    <w:p w14:paraId="7A6CA524">
      <w:pPr>
        <w:keepNext w:val="0"/>
        <w:keepLines w:val="0"/>
        <w:pageBreakBefore w:val="0"/>
        <w:widowControl w:val="0"/>
        <w:kinsoku/>
        <w:wordWrap/>
        <w:overflowPunct/>
        <w:topLinePunct w:val="0"/>
        <w:autoSpaceDE/>
        <w:autoSpaceDN/>
        <w:bidi w:val="0"/>
        <w:adjustRightInd w:val="0"/>
        <w:snapToGrid/>
        <w:spacing w:line="560" w:lineRule="exact"/>
        <w:ind w:left="-61" w:leftChars="-29" w:right="-420" w:rightChars="-200" w:firstLine="480" w:firstLineChars="200"/>
        <w:textAlignment w:val="auto"/>
        <w:outlineLvl w:val="9"/>
        <w:rPr>
          <w:rFonts w:ascii="宋体" w:hAnsi="宋体" w:eastAsia="宋体" w:cs="Times New Roman"/>
          <w:color w:val="auto"/>
          <w:sz w:val="24"/>
          <w:highlight w:val="none"/>
        </w:rPr>
      </w:pPr>
      <w:r>
        <w:rPr>
          <w:rFonts w:hint="eastAsia" w:ascii="宋体" w:hAnsi="宋体" w:eastAsia="宋体" w:cs="Times New Roman"/>
          <w:color w:val="auto"/>
          <w:sz w:val="24"/>
          <w:highlight w:val="none"/>
        </w:rPr>
        <w:t>甲乙双方签订合同后，乙方应按照合同约定履行合同义务，除不可抗力外，乙方不得延迟履行。</w:t>
      </w:r>
      <w:r>
        <w:rPr>
          <w:rFonts w:ascii="宋体" w:hAnsi="宋体" w:eastAsia="宋体" w:cs="Times New Roman"/>
          <w:color w:val="auto"/>
          <w:sz w:val="24"/>
          <w:highlight w:val="none"/>
        </w:rPr>
        <w:t>在合同履行过程中，如果</w:t>
      </w:r>
      <w:r>
        <w:rPr>
          <w:rFonts w:hint="eastAsia" w:ascii="宋体" w:hAnsi="宋体" w:eastAsia="宋体" w:cs="Times New Roman"/>
          <w:color w:val="auto"/>
          <w:sz w:val="24"/>
          <w:highlight w:val="none"/>
        </w:rPr>
        <w:t>因不可抗力，</w:t>
      </w:r>
      <w:r>
        <w:rPr>
          <w:rFonts w:ascii="宋体" w:hAnsi="宋体" w:eastAsia="宋体" w:cs="Times New Roman"/>
          <w:color w:val="auto"/>
          <w:sz w:val="24"/>
          <w:highlight w:val="none"/>
        </w:rPr>
        <w:t>乙方遇到不能按时</w:t>
      </w:r>
      <w:r>
        <w:rPr>
          <w:rFonts w:hint="eastAsia" w:ascii="宋体" w:hAnsi="宋体" w:eastAsia="宋体" w:cs="Times New Roman"/>
          <w:color w:val="auto"/>
          <w:sz w:val="24"/>
          <w:highlight w:val="none"/>
        </w:rPr>
        <w:t>提供服务</w:t>
      </w:r>
      <w:r>
        <w:rPr>
          <w:rFonts w:ascii="宋体" w:hAnsi="宋体" w:eastAsia="宋体" w:cs="Times New Roman"/>
          <w:color w:val="auto"/>
          <w:sz w:val="24"/>
          <w:highlight w:val="none"/>
        </w:rPr>
        <w:t>的情况，应及时以书面形式将不能按时</w:t>
      </w:r>
      <w:r>
        <w:rPr>
          <w:rFonts w:hint="eastAsia" w:ascii="宋体" w:hAnsi="宋体" w:eastAsia="宋体" w:cs="Times New Roman"/>
          <w:color w:val="auto"/>
          <w:sz w:val="24"/>
          <w:highlight w:val="none"/>
        </w:rPr>
        <w:t>提供服务</w:t>
      </w:r>
      <w:r>
        <w:rPr>
          <w:rFonts w:ascii="宋体" w:hAnsi="宋体" w:eastAsia="宋体" w:cs="Times New Roman"/>
          <w:color w:val="auto"/>
          <w:sz w:val="24"/>
          <w:highlight w:val="none"/>
        </w:rPr>
        <w:t>的理由、预期延误时间通知甲方</w:t>
      </w:r>
      <w:r>
        <w:rPr>
          <w:rFonts w:hint="eastAsia" w:ascii="宋体" w:hAnsi="宋体" w:eastAsia="宋体" w:cs="Times New Roman"/>
          <w:color w:val="auto"/>
          <w:sz w:val="24"/>
          <w:highlight w:val="none"/>
        </w:rPr>
        <w:t>；甲</w:t>
      </w:r>
      <w:r>
        <w:rPr>
          <w:rFonts w:ascii="宋体" w:hAnsi="宋体" w:eastAsia="宋体" w:cs="Times New Roman"/>
          <w:color w:val="auto"/>
          <w:sz w:val="24"/>
          <w:highlight w:val="none"/>
        </w:rPr>
        <w:t>方收到乙方通知后，认为其理由正当的，可以书面形式酌情同意乙方可以延长</w:t>
      </w:r>
      <w:r>
        <w:rPr>
          <w:rFonts w:hint="eastAsia" w:ascii="宋体" w:hAnsi="宋体" w:eastAsia="宋体" w:cs="Times New Roman"/>
          <w:color w:val="auto"/>
          <w:sz w:val="24"/>
          <w:highlight w:val="none"/>
        </w:rPr>
        <w:t>履行</w:t>
      </w:r>
      <w:r>
        <w:rPr>
          <w:rFonts w:ascii="宋体" w:hAnsi="宋体" w:eastAsia="宋体" w:cs="Times New Roman"/>
          <w:color w:val="auto"/>
          <w:sz w:val="24"/>
          <w:highlight w:val="none"/>
        </w:rPr>
        <w:t>的具体时间。</w:t>
      </w:r>
    </w:p>
    <w:p w14:paraId="615AB7E9">
      <w:pPr>
        <w:keepNext w:val="0"/>
        <w:keepLines w:val="0"/>
        <w:pageBreakBefore w:val="0"/>
        <w:widowControl w:val="0"/>
        <w:kinsoku/>
        <w:wordWrap/>
        <w:overflowPunct/>
        <w:topLinePunct w:val="0"/>
        <w:autoSpaceDE/>
        <w:autoSpaceDN/>
        <w:bidi w:val="0"/>
        <w:adjustRightInd w:val="0"/>
        <w:snapToGrid/>
        <w:spacing w:line="560" w:lineRule="exact"/>
        <w:ind w:left="-61" w:leftChars="-29" w:right="-420" w:rightChars="-200" w:firstLine="482" w:firstLineChars="200"/>
        <w:textAlignment w:val="auto"/>
        <w:outlineLvl w:val="9"/>
        <w:rPr>
          <w:rFonts w:ascii="宋体" w:hAnsi="宋体" w:eastAsia="宋体" w:cs="Times New Roman"/>
          <w:b/>
          <w:color w:val="auto"/>
          <w:sz w:val="24"/>
          <w:highlight w:val="none"/>
        </w:rPr>
      </w:pPr>
      <w:bookmarkStart w:id="483" w:name="_Toc10611"/>
      <w:r>
        <w:rPr>
          <w:rFonts w:ascii="宋体" w:hAnsi="宋体" w:eastAsia="宋体" w:cs="Times New Roman"/>
          <w:b/>
          <w:color w:val="auto"/>
          <w:sz w:val="24"/>
          <w:highlight w:val="none"/>
        </w:rPr>
        <w:t xml:space="preserve">2.9 </w:t>
      </w:r>
      <w:r>
        <w:rPr>
          <w:rFonts w:hint="eastAsia" w:ascii="宋体" w:hAnsi="宋体" w:eastAsia="宋体" w:cs="Times New Roman"/>
          <w:b/>
          <w:color w:val="auto"/>
          <w:sz w:val="24"/>
          <w:highlight w:val="none"/>
        </w:rPr>
        <w:t>合同变更</w:t>
      </w:r>
      <w:bookmarkEnd w:id="483"/>
    </w:p>
    <w:p w14:paraId="641AD965">
      <w:pPr>
        <w:keepNext w:val="0"/>
        <w:keepLines w:val="0"/>
        <w:pageBreakBefore w:val="0"/>
        <w:widowControl w:val="0"/>
        <w:kinsoku/>
        <w:wordWrap/>
        <w:overflowPunct/>
        <w:topLinePunct w:val="0"/>
        <w:autoSpaceDE/>
        <w:autoSpaceDN/>
        <w:bidi w:val="0"/>
        <w:adjustRightInd w:val="0"/>
        <w:snapToGrid/>
        <w:spacing w:line="560" w:lineRule="exact"/>
        <w:ind w:left="-61" w:leftChars="-29" w:right="-420" w:rightChars="-200" w:firstLine="480" w:firstLineChars="200"/>
        <w:textAlignment w:val="auto"/>
        <w:outlineLvl w:val="9"/>
        <w:rPr>
          <w:rFonts w:ascii="宋体" w:hAnsi="宋体" w:eastAsia="宋体" w:cs="Times New Roman"/>
          <w:color w:val="auto"/>
          <w:sz w:val="24"/>
          <w:highlight w:val="none"/>
        </w:rPr>
      </w:pPr>
      <w:r>
        <w:rPr>
          <w:rFonts w:hint="eastAsia" w:ascii="宋体" w:hAnsi="宋体" w:eastAsia="宋体" w:cs="Times New Roman"/>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066279DD">
      <w:pPr>
        <w:keepNext w:val="0"/>
        <w:keepLines w:val="0"/>
        <w:pageBreakBefore w:val="0"/>
        <w:widowControl w:val="0"/>
        <w:kinsoku/>
        <w:wordWrap/>
        <w:overflowPunct/>
        <w:topLinePunct w:val="0"/>
        <w:autoSpaceDE/>
        <w:autoSpaceDN/>
        <w:bidi w:val="0"/>
        <w:adjustRightInd w:val="0"/>
        <w:snapToGrid/>
        <w:spacing w:line="560" w:lineRule="exact"/>
        <w:ind w:left="-61" w:leftChars="-29" w:right="-420" w:rightChars="-200" w:firstLine="482" w:firstLineChars="200"/>
        <w:textAlignment w:val="auto"/>
        <w:outlineLvl w:val="9"/>
        <w:rPr>
          <w:rFonts w:ascii="宋体" w:hAnsi="宋体" w:eastAsia="宋体" w:cs="Times New Roman"/>
          <w:b/>
          <w:color w:val="auto"/>
          <w:sz w:val="24"/>
          <w:highlight w:val="none"/>
        </w:rPr>
      </w:pPr>
      <w:bookmarkStart w:id="484" w:name="_Toc42"/>
      <w:bookmarkStart w:id="485" w:name="_Toc26689"/>
      <w:bookmarkStart w:id="486" w:name="_Toc10663"/>
      <w:bookmarkStart w:id="487" w:name="_Toc23368"/>
      <w:bookmarkStart w:id="488" w:name="_Toc21830"/>
      <w:r>
        <w:rPr>
          <w:rFonts w:ascii="宋体" w:hAnsi="宋体" w:eastAsia="宋体" w:cs="Times New Roman"/>
          <w:b/>
          <w:color w:val="auto"/>
          <w:sz w:val="24"/>
          <w:highlight w:val="none"/>
        </w:rPr>
        <w:t>2.10 合同转让和分包</w:t>
      </w:r>
      <w:bookmarkEnd w:id="484"/>
      <w:bookmarkEnd w:id="485"/>
      <w:bookmarkEnd w:id="486"/>
      <w:bookmarkEnd w:id="487"/>
      <w:bookmarkEnd w:id="488"/>
    </w:p>
    <w:p w14:paraId="1F6ED214">
      <w:pPr>
        <w:keepNext w:val="0"/>
        <w:keepLines w:val="0"/>
        <w:pageBreakBefore w:val="0"/>
        <w:widowControl w:val="0"/>
        <w:kinsoku/>
        <w:wordWrap/>
        <w:overflowPunct/>
        <w:topLinePunct w:val="0"/>
        <w:autoSpaceDE/>
        <w:autoSpaceDN/>
        <w:bidi w:val="0"/>
        <w:adjustRightInd w:val="0"/>
        <w:snapToGrid/>
        <w:spacing w:line="560" w:lineRule="exact"/>
        <w:ind w:left="-61" w:leftChars="-29" w:right="-420" w:rightChars="-200"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合同的权利义务依法不</w:t>
      </w:r>
      <w:r>
        <w:rPr>
          <w:rFonts w:hint="eastAsia" w:ascii="宋体" w:hAnsi="宋体" w:eastAsia="宋体" w:cs="Times New Roman"/>
          <w:color w:val="auto"/>
          <w:sz w:val="24"/>
          <w:highlight w:val="none"/>
        </w:rPr>
        <w:t>得</w:t>
      </w:r>
      <w:r>
        <w:rPr>
          <w:rFonts w:ascii="宋体" w:hAnsi="宋体" w:eastAsia="宋体" w:cs="Times New Roman"/>
          <w:color w:val="auto"/>
          <w:sz w:val="24"/>
          <w:highlight w:val="none"/>
        </w:rPr>
        <w:t>转让</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但经甲方</w:t>
      </w:r>
      <w:r>
        <w:rPr>
          <w:rFonts w:hint="eastAsia" w:ascii="宋体" w:hAnsi="宋体" w:eastAsia="宋体" w:cs="Times New Roman"/>
          <w:color w:val="auto"/>
          <w:sz w:val="24"/>
          <w:highlight w:val="none"/>
        </w:rPr>
        <w:t>同意，乙方可以依法采取分包方式履行合同，即：依法可以</w:t>
      </w:r>
      <w:r>
        <w:rPr>
          <w:rFonts w:ascii="宋体" w:hAnsi="宋体" w:eastAsia="宋体" w:cs="Times New Roman"/>
          <w:color w:val="auto"/>
          <w:sz w:val="24"/>
          <w:highlight w:val="none"/>
        </w:rPr>
        <w:t>将合同项下的部分非主体、非关键性工作分包给他人完成</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接受分包的人应当具备相应的资格条件，并不得再次分包</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且乙方应就分包项目向甲方负责</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并</w:t>
      </w:r>
      <w:r>
        <w:rPr>
          <w:rFonts w:hint="eastAsia" w:ascii="宋体" w:hAnsi="宋体" w:eastAsia="宋体" w:cs="Times New Roman"/>
          <w:color w:val="auto"/>
          <w:sz w:val="24"/>
          <w:highlight w:val="none"/>
        </w:rPr>
        <w:t>与分包供应商就分包项目向甲方承担连带责任。</w:t>
      </w:r>
    </w:p>
    <w:p w14:paraId="020A3306">
      <w:pPr>
        <w:keepNext w:val="0"/>
        <w:keepLines w:val="0"/>
        <w:pageBreakBefore w:val="0"/>
        <w:widowControl w:val="0"/>
        <w:kinsoku/>
        <w:wordWrap/>
        <w:overflowPunct/>
        <w:topLinePunct w:val="0"/>
        <w:autoSpaceDE/>
        <w:autoSpaceDN/>
        <w:bidi w:val="0"/>
        <w:adjustRightInd w:val="0"/>
        <w:snapToGrid/>
        <w:spacing w:line="560" w:lineRule="exact"/>
        <w:ind w:left="-61" w:leftChars="-29" w:right="-420" w:rightChars="-200" w:firstLine="482" w:firstLineChars="200"/>
        <w:textAlignment w:val="auto"/>
        <w:outlineLvl w:val="9"/>
        <w:rPr>
          <w:rFonts w:ascii="宋体" w:hAnsi="宋体" w:eastAsia="宋体" w:cs="Times New Roman"/>
          <w:b/>
          <w:color w:val="auto"/>
          <w:sz w:val="24"/>
          <w:highlight w:val="none"/>
        </w:rPr>
      </w:pPr>
      <w:bookmarkStart w:id="489" w:name="_Toc14371"/>
      <w:bookmarkStart w:id="490" w:name="_Toc32494"/>
      <w:bookmarkStart w:id="491" w:name="_Toc26633"/>
      <w:bookmarkStart w:id="492" w:name="_Toc25571"/>
      <w:bookmarkStart w:id="493" w:name="_Toc4720"/>
      <w:r>
        <w:rPr>
          <w:rFonts w:ascii="宋体" w:hAnsi="宋体" w:eastAsia="宋体" w:cs="Times New Roman"/>
          <w:b/>
          <w:color w:val="auto"/>
          <w:sz w:val="24"/>
          <w:highlight w:val="none"/>
        </w:rPr>
        <w:t>2.11 不可抗力</w:t>
      </w:r>
      <w:bookmarkEnd w:id="489"/>
      <w:bookmarkEnd w:id="490"/>
      <w:bookmarkEnd w:id="491"/>
      <w:bookmarkEnd w:id="492"/>
      <w:bookmarkEnd w:id="493"/>
    </w:p>
    <w:p w14:paraId="6EE98E1F">
      <w:pPr>
        <w:keepNext w:val="0"/>
        <w:keepLines w:val="0"/>
        <w:pageBreakBefore w:val="0"/>
        <w:widowControl w:val="0"/>
        <w:kinsoku/>
        <w:wordWrap/>
        <w:overflowPunct/>
        <w:topLinePunct w:val="0"/>
        <w:autoSpaceDE/>
        <w:autoSpaceDN/>
        <w:bidi w:val="0"/>
        <w:adjustRightInd w:val="0"/>
        <w:snapToGrid/>
        <w:spacing w:line="560" w:lineRule="exact"/>
        <w:ind w:left="-61" w:leftChars="-29" w:right="-420" w:rightChars="-200"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eastAsia="宋体" w:cs="Times New Roman"/>
          <w:color w:val="auto"/>
          <w:sz w:val="24"/>
          <w:highlight w:val="none"/>
        </w:rPr>
        <w:t>；</w:t>
      </w:r>
    </w:p>
    <w:p w14:paraId="5FB08AD7">
      <w:pPr>
        <w:keepNext w:val="0"/>
        <w:keepLines w:val="0"/>
        <w:pageBreakBefore w:val="0"/>
        <w:widowControl w:val="0"/>
        <w:kinsoku/>
        <w:wordWrap/>
        <w:overflowPunct/>
        <w:topLinePunct w:val="0"/>
        <w:autoSpaceDE/>
        <w:autoSpaceDN/>
        <w:bidi w:val="0"/>
        <w:adjustRightInd w:val="0"/>
        <w:snapToGrid/>
        <w:spacing w:line="560" w:lineRule="exact"/>
        <w:ind w:left="-61" w:leftChars="-29" w:right="-420" w:rightChars="-200"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2.11.2 </w:t>
      </w:r>
      <w:r>
        <w:rPr>
          <w:rFonts w:hint="eastAsia" w:ascii="宋体" w:hAnsi="宋体" w:eastAsia="宋体" w:cs="Times New Roman"/>
          <w:color w:val="auto"/>
          <w:sz w:val="24"/>
          <w:highlight w:val="none"/>
        </w:rPr>
        <w:t>因不可抗力致使不能实现合同目的的，当事人可以解除合同；</w:t>
      </w:r>
    </w:p>
    <w:p w14:paraId="59A92D16">
      <w:pPr>
        <w:keepNext w:val="0"/>
        <w:keepLines w:val="0"/>
        <w:pageBreakBefore w:val="0"/>
        <w:widowControl w:val="0"/>
        <w:kinsoku/>
        <w:wordWrap/>
        <w:overflowPunct/>
        <w:topLinePunct w:val="0"/>
        <w:autoSpaceDE/>
        <w:autoSpaceDN/>
        <w:bidi w:val="0"/>
        <w:adjustRightInd w:val="0"/>
        <w:snapToGrid/>
        <w:spacing w:line="560" w:lineRule="exact"/>
        <w:ind w:left="-61" w:leftChars="-29" w:right="-420" w:rightChars="-200"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2.11.3 </w:t>
      </w:r>
      <w:r>
        <w:rPr>
          <w:rFonts w:hint="eastAsia" w:ascii="宋体" w:hAnsi="宋体" w:eastAsia="宋体" w:cs="Times New Roman"/>
          <w:color w:val="auto"/>
          <w:sz w:val="24"/>
          <w:highlight w:val="none"/>
        </w:rPr>
        <w:t>因</w:t>
      </w:r>
      <w:r>
        <w:rPr>
          <w:rFonts w:ascii="宋体" w:hAnsi="宋体" w:eastAsia="宋体" w:cs="Times New Roman"/>
          <w:color w:val="auto"/>
          <w:sz w:val="24"/>
          <w:highlight w:val="none"/>
        </w:rPr>
        <w:t>不可抗力致使合同有变更必要的，双方当事人应在</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约定时间内以书面形式变更合同</w:t>
      </w:r>
      <w:r>
        <w:rPr>
          <w:rFonts w:hint="eastAsia" w:ascii="宋体" w:hAnsi="宋体" w:eastAsia="宋体" w:cs="Times New Roman"/>
          <w:color w:val="auto"/>
          <w:sz w:val="24"/>
          <w:highlight w:val="none"/>
        </w:rPr>
        <w:t>；</w:t>
      </w:r>
    </w:p>
    <w:p w14:paraId="0F8F74AA">
      <w:pPr>
        <w:keepNext w:val="0"/>
        <w:keepLines w:val="0"/>
        <w:pageBreakBefore w:val="0"/>
        <w:widowControl w:val="0"/>
        <w:kinsoku/>
        <w:wordWrap/>
        <w:overflowPunct/>
        <w:topLinePunct w:val="0"/>
        <w:autoSpaceDE/>
        <w:autoSpaceDN/>
        <w:bidi w:val="0"/>
        <w:adjustRightInd w:val="0"/>
        <w:snapToGrid/>
        <w:spacing w:line="560" w:lineRule="exact"/>
        <w:ind w:left="-61" w:leftChars="-29" w:right="-420" w:rightChars="-200"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2.11.4受</w:t>
      </w:r>
      <w:r>
        <w:rPr>
          <w:rFonts w:hint="eastAsia" w:ascii="宋体" w:hAnsi="宋体" w:eastAsia="宋体" w:cs="Times New Roman"/>
          <w:color w:val="auto"/>
          <w:sz w:val="24"/>
          <w:highlight w:val="none"/>
        </w:rPr>
        <w:t>不可抗力</w:t>
      </w:r>
      <w:r>
        <w:rPr>
          <w:rFonts w:ascii="宋体" w:hAnsi="宋体" w:eastAsia="宋体" w:cs="Times New Roman"/>
          <w:color w:val="auto"/>
          <w:sz w:val="24"/>
          <w:highlight w:val="none"/>
        </w:rPr>
        <w:t>影响的一方在不可抗力发生后</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应在</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约定时间内以书面形式通知</w:t>
      </w:r>
      <w:r>
        <w:rPr>
          <w:rFonts w:hint="eastAsia" w:ascii="宋体" w:hAnsi="宋体" w:eastAsia="宋体" w:cs="Times New Roman"/>
          <w:color w:val="auto"/>
          <w:sz w:val="24"/>
          <w:highlight w:val="none"/>
        </w:rPr>
        <w:t>对</w:t>
      </w:r>
      <w:r>
        <w:rPr>
          <w:rFonts w:ascii="宋体" w:hAnsi="宋体" w:eastAsia="宋体" w:cs="Times New Roman"/>
          <w:color w:val="auto"/>
          <w:sz w:val="24"/>
          <w:highlight w:val="none"/>
        </w:rPr>
        <w:t>方当事人，并在</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约定时间内，将有关部门出具的证明文件送达</w:t>
      </w:r>
      <w:r>
        <w:rPr>
          <w:rFonts w:hint="eastAsia" w:ascii="宋体" w:hAnsi="宋体" w:eastAsia="宋体" w:cs="Times New Roman"/>
          <w:color w:val="auto"/>
          <w:sz w:val="24"/>
          <w:highlight w:val="none"/>
        </w:rPr>
        <w:t>对方当事人</w:t>
      </w:r>
      <w:r>
        <w:rPr>
          <w:rFonts w:ascii="宋体" w:hAnsi="宋体" w:eastAsia="宋体" w:cs="Times New Roman"/>
          <w:color w:val="auto"/>
          <w:sz w:val="24"/>
          <w:highlight w:val="none"/>
        </w:rPr>
        <w:t>。</w:t>
      </w:r>
    </w:p>
    <w:p w14:paraId="38335310">
      <w:pPr>
        <w:keepNext w:val="0"/>
        <w:keepLines w:val="0"/>
        <w:pageBreakBefore w:val="0"/>
        <w:widowControl w:val="0"/>
        <w:kinsoku/>
        <w:wordWrap/>
        <w:overflowPunct/>
        <w:topLinePunct w:val="0"/>
        <w:autoSpaceDE/>
        <w:autoSpaceDN/>
        <w:bidi w:val="0"/>
        <w:adjustRightInd w:val="0"/>
        <w:snapToGrid/>
        <w:spacing w:line="560" w:lineRule="exact"/>
        <w:ind w:left="-61" w:leftChars="-29" w:right="-420" w:rightChars="-200" w:firstLine="482" w:firstLineChars="200"/>
        <w:textAlignment w:val="auto"/>
        <w:outlineLvl w:val="9"/>
        <w:rPr>
          <w:rFonts w:ascii="宋体" w:hAnsi="宋体" w:eastAsia="宋体" w:cs="Times New Roman"/>
          <w:b/>
          <w:color w:val="auto"/>
          <w:sz w:val="24"/>
          <w:highlight w:val="none"/>
        </w:rPr>
      </w:pPr>
      <w:bookmarkStart w:id="494" w:name="_Toc23854"/>
      <w:bookmarkStart w:id="495" w:name="_Toc14115"/>
      <w:bookmarkStart w:id="496" w:name="_Toc3638"/>
      <w:bookmarkStart w:id="497" w:name="_Toc24465"/>
      <w:bookmarkStart w:id="498" w:name="_Toc25783"/>
      <w:r>
        <w:rPr>
          <w:rFonts w:ascii="宋体" w:hAnsi="宋体" w:eastAsia="宋体" w:cs="Times New Roman"/>
          <w:b/>
          <w:color w:val="auto"/>
          <w:sz w:val="24"/>
          <w:highlight w:val="none"/>
        </w:rPr>
        <w:t>2.12 税费</w:t>
      </w:r>
      <w:bookmarkEnd w:id="494"/>
      <w:bookmarkEnd w:id="495"/>
      <w:bookmarkEnd w:id="496"/>
      <w:bookmarkEnd w:id="497"/>
      <w:bookmarkEnd w:id="498"/>
    </w:p>
    <w:p w14:paraId="2462B544">
      <w:pPr>
        <w:keepNext w:val="0"/>
        <w:keepLines w:val="0"/>
        <w:pageBreakBefore w:val="0"/>
        <w:widowControl w:val="0"/>
        <w:kinsoku/>
        <w:wordWrap/>
        <w:overflowPunct/>
        <w:topLinePunct w:val="0"/>
        <w:autoSpaceDE/>
        <w:autoSpaceDN/>
        <w:bidi w:val="0"/>
        <w:adjustRightInd w:val="0"/>
        <w:snapToGrid/>
        <w:spacing w:line="560" w:lineRule="exact"/>
        <w:ind w:left="-61" w:leftChars="-29" w:right="-420" w:rightChars="-200"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与合同有关的一切税费</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均按照中华人民共和国法律的相关规定缴纳。</w:t>
      </w:r>
    </w:p>
    <w:p w14:paraId="13EEC768">
      <w:pPr>
        <w:keepNext w:val="0"/>
        <w:keepLines w:val="0"/>
        <w:pageBreakBefore w:val="0"/>
        <w:widowControl w:val="0"/>
        <w:kinsoku/>
        <w:wordWrap/>
        <w:overflowPunct/>
        <w:topLinePunct w:val="0"/>
        <w:autoSpaceDE/>
        <w:autoSpaceDN/>
        <w:bidi w:val="0"/>
        <w:adjustRightInd w:val="0"/>
        <w:snapToGrid/>
        <w:spacing w:line="560" w:lineRule="exact"/>
        <w:ind w:left="-61" w:leftChars="-29" w:right="-420" w:rightChars="-200" w:firstLine="482" w:firstLineChars="200"/>
        <w:textAlignment w:val="auto"/>
        <w:outlineLvl w:val="9"/>
        <w:rPr>
          <w:rFonts w:ascii="宋体" w:hAnsi="宋体" w:eastAsia="宋体" w:cs="Times New Roman"/>
          <w:b/>
          <w:color w:val="auto"/>
          <w:sz w:val="24"/>
          <w:highlight w:val="none"/>
        </w:rPr>
      </w:pPr>
      <w:bookmarkStart w:id="499" w:name="_Toc25525"/>
      <w:bookmarkStart w:id="500" w:name="_Toc7315"/>
      <w:bookmarkStart w:id="501" w:name="_Toc30105"/>
      <w:bookmarkStart w:id="502" w:name="_Toc14814"/>
      <w:bookmarkStart w:id="503" w:name="_Toc26883"/>
      <w:r>
        <w:rPr>
          <w:rFonts w:ascii="宋体" w:hAnsi="宋体" w:eastAsia="宋体" w:cs="Times New Roman"/>
          <w:b/>
          <w:color w:val="auto"/>
          <w:sz w:val="24"/>
          <w:highlight w:val="none"/>
        </w:rPr>
        <w:t>2.13 乙方破产</w:t>
      </w:r>
      <w:bookmarkEnd w:id="499"/>
      <w:bookmarkEnd w:id="500"/>
      <w:bookmarkEnd w:id="501"/>
      <w:bookmarkEnd w:id="502"/>
      <w:bookmarkEnd w:id="503"/>
    </w:p>
    <w:p w14:paraId="02C276B4">
      <w:pPr>
        <w:keepNext w:val="0"/>
        <w:keepLines w:val="0"/>
        <w:pageBreakBefore w:val="0"/>
        <w:widowControl w:val="0"/>
        <w:kinsoku/>
        <w:wordWrap/>
        <w:overflowPunct/>
        <w:topLinePunct w:val="0"/>
        <w:autoSpaceDE/>
        <w:autoSpaceDN/>
        <w:bidi w:val="0"/>
        <w:adjustRightInd w:val="0"/>
        <w:snapToGrid/>
        <w:spacing w:line="560" w:lineRule="exact"/>
        <w:ind w:left="-61" w:leftChars="-29" w:right="-420" w:rightChars="-200"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如果乙方破产导致合同无法履行时，甲方可以书面形式通知乙方终止合同且不给予乙方任何补偿和赔偿</w:t>
      </w:r>
      <w:r>
        <w:rPr>
          <w:rFonts w:hint="eastAsia" w:ascii="宋体" w:hAnsi="宋体" w:eastAsia="宋体" w:cs="Times New Roman"/>
          <w:color w:val="auto"/>
          <w:sz w:val="24"/>
          <w:highlight w:val="none"/>
        </w:rPr>
        <w:t>，但合同的</w:t>
      </w:r>
      <w:r>
        <w:rPr>
          <w:rFonts w:ascii="宋体" w:hAnsi="宋体" w:eastAsia="宋体" w:cs="Times New Roman"/>
          <w:color w:val="auto"/>
          <w:sz w:val="24"/>
          <w:highlight w:val="none"/>
        </w:rPr>
        <w:t>终止不损害或不影响甲方已经采取或将要采取的任何要求乙方支付违约金</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赔偿损失等的行动或补救措施的权利</w:t>
      </w:r>
      <w:r>
        <w:rPr>
          <w:rFonts w:hint="eastAsia" w:ascii="宋体" w:hAnsi="宋体" w:eastAsia="宋体" w:cs="Times New Roman"/>
          <w:color w:val="auto"/>
          <w:sz w:val="24"/>
          <w:highlight w:val="none"/>
        </w:rPr>
        <w:t>。</w:t>
      </w:r>
    </w:p>
    <w:p w14:paraId="21212177">
      <w:pPr>
        <w:keepNext w:val="0"/>
        <w:keepLines w:val="0"/>
        <w:pageBreakBefore w:val="0"/>
        <w:widowControl w:val="0"/>
        <w:kinsoku/>
        <w:wordWrap/>
        <w:overflowPunct/>
        <w:topLinePunct w:val="0"/>
        <w:autoSpaceDE/>
        <w:autoSpaceDN/>
        <w:bidi w:val="0"/>
        <w:adjustRightInd w:val="0"/>
        <w:snapToGrid/>
        <w:spacing w:line="560" w:lineRule="exact"/>
        <w:ind w:left="-61" w:leftChars="-29" w:right="-420" w:rightChars="-200" w:firstLine="482" w:firstLineChars="200"/>
        <w:textAlignment w:val="auto"/>
        <w:outlineLvl w:val="9"/>
        <w:rPr>
          <w:rFonts w:ascii="宋体" w:hAnsi="宋体" w:eastAsia="宋体" w:cs="Times New Roman"/>
          <w:b/>
          <w:color w:val="auto"/>
          <w:sz w:val="24"/>
          <w:highlight w:val="none"/>
        </w:rPr>
      </w:pPr>
      <w:bookmarkStart w:id="504" w:name="_Toc23323"/>
      <w:bookmarkStart w:id="505" w:name="_Toc1123"/>
      <w:bookmarkStart w:id="506" w:name="_Toc2016"/>
      <w:r>
        <w:rPr>
          <w:rFonts w:ascii="宋体" w:hAnsi="宋体" w:eastAsia="宋体" w:cs="Times New Roman"/>
          <w:b/>
          <w:color w:val="auto"/>
          <w:sz w:val="24"/>
          <w:highlight w:val="none"/>
        </w:rPr>
        <w:t>2.14 合同中止、终止</w:t>
      </w:r>
      <w:bookmarkEnd w:id="504"/>
      <w:bookmarkEnd w:id="505"/>
      <w:bookmarkEnd w:id="506"/>
    </w:p>
    <w:p w14:paraId="093A2BF3">
      <w:pPr>
        <w:keepNext w:val="0"/>
        <w:keepLines w:val="0"/>
        <w:pageBreakBefore w:val="0"/>
        <w:widowControl w:val="0"/>
        <w:kinsoku/>
        <w:wordWrap/>
        <w:overflowPunct/>
        <w:topLinePunct w:val="0"/>
        <w:autoSpaceDE/>
        <w:autoSpaceDN/>
        <w:bidi w:val="0"/>
        <w:adjustRightInd w:val="0"/>
        <w:snapToGrid/>
        <w:spacing w:line="560" w:lineRule="exact"/>
        <w:ind w:left="-61" w:leftChars="-29" w:right="-420" w:rightChars="-200"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2.14.1 </w:t>
      </w:r>
      <w:r>
        <w:rPr>
          <w:rFonts w:hint="eastAsia" w:ascii="宋体" w:hAnsi="宋体" w:eastAsia="宋体" w:cs="Times New Roman"/>
          <w:color w:val="auto"/>
          <w:sz w:val="24"/>
          <w:highlight w:val="none"/>
        </w:rPr>
        <w:t>双方当事人不得擅自中止或者终止合同；</w:t>
      </w:r>
    </w:p>
    <w:p w14:paraId="68BE4912">
      <w:pPr>
        <w:keepNext w:val="0"/>
        <w:keepLines w:val="0"/>
        <w:pageBreakBefore w:val="0"/>
        <w:widowControl w:val="0"/>
        <w:kinsoku/>
        <w:wordWrap/>
        <w:overflowPunct/>
        <w:topLinePunct w:val="0"/>
        <w:autoSpaceDE/>
        <w:autoSpaceDN/>
        <w:bidi w:val="0"/>
        <w:adjustRightInd w:val="0"/>
        <w:snapToGrid/>
        <w:spacing w:line="560" w:lineRule="exact"/>
        <w:ind w:left="-61" w:leftChars="-29" w:right="-420" w:rightChars="-200"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7A7A1C94">
      <w:pPr>
        <w:keepNext w:val="0"/>
        <w:keepLines w:val="0"/>
        <w:pageBreakBefore w:val="0"/>
        <w:widowControl w:val="0"/>
        <w:kinsoku/>
        <w:wordWrap/>
        <w:overflowPunct/>
        <w:topLinePunct w:val="0"/>
        <w:autoSpaceDE/>
        <w:autoSpaceDN/>
        <w:bidi w:val="0"/>
        <w:adjustRightInd w:val="0"/>
        <w:snapToGrid/>
        <w:spacing w:line="560" w:lineRule="exact"/>
        <w:ind w:left="-61" w:leftChars="-29" w:right="-420" w:rightChars="-200" w:firstLine="482" w:firstLineChars="200"/>
        <w:textAlignment w:val="auto"/>
        <w:outlineLvl w:val="9"/>
        <w:rPr>
          <w:rFonts w:ascii="宋体" w:hAnsi="宋体" w:eastAsia="宋体" w:cs="Times New Roman"/>
          <w:b/>
          <w:color w:val="auto"/>
          <w:sz w:val="24"/>
          <w:highlight w:val="none"/>
        </w:rPr>
      </w:pPr>
      <w:bookmarkStart w:id="507" w:name="_Toc14525"/>
      <w:bookmarkStart w:id="508" w:name="_Toc1969"/>
      <w:bookmarkStart w:id="509" w:name="_Toc17363"/>
      <w:r>
        <w:rPr>
          <w:rFonts w:ascii="宋体" w:hAnsi="宋体" w:eastAsia="宋体" w:cs="Times New Roman"/>
          <w:b/>
          <w:color w:val="auto"/>
          <w:sz w:val="24"/>
          <w:highlight w:val="none"/>
        </w:rPr>
        <w:t>2.15 检验和验收</w:t>
      </w:r>
      <w:bookmarkEnd w:id="507"/>
      <w:bookmarkEnd w:id="508"/>
      <w:bookmarkEnd w:id="509"/>
    </w:p>
    <w:p w14:paraId="579481CF">
      <w:pPr>
        <w:keepNext w:val="0"/>
        <w:keepLines w:val="0"/>
        <w:pageBreakBefore w:val="0"/>
        <w:widowControl w:val="0"/>
        <w:kinsoku/>
        <w:wordWrap/>
        <w:overflowPunct/>
        <w:topLinePunct w:val="0"/>
        <w:autoSpaceDE/>
        <w:autoSpaceDN/>
        <w:bidi w:val="0"/>
        <w:adjustRightInd w:val="0"/>
        <w:snapToGrid/>
        <w:spacing w:line="560" w:lineRule="exact"/>
        <w:ind w:left="-61" w:leftChars="-29" w:right="-420" w:rightChars="-200"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2.15.1 </w:t>
      </w:r>
      <w:r>
        <w:rPr>
          <w:rFonts w:hint="eastAsia" w:ascii="宋体" w:hAnsi="宋体" w:eastAsia="宋体" w:cs="Times New Roman"/>
          <w:color w:val="auto"/>
          <w:sz w:val="24"/>
          <w:highlight w:val="none"/>
        </w:rPr>
        <w:t>乙方按照</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的约定</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定期提交服务报告</w:t>
      </w:r>
      <w:r>
        <w:rPr>
          <w:rFonts w:hint="eastAsia" w:ascii="宋体" w:hAnsi="宋体" w:eastAsia="宋体" w:cs="Times New Roman"/>
          <w:color w:val="auto"/>
          <w:sz w:val="24"/>
          <w:highlight w:val="none"/>
        </w:rPr>
        <w:t>，甲方按照</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的约定进行定期验收</w:t>
      </w:r>
      <w:r>
        <w:rPr>
          <w:rFonts w:hint="eastAsia" w:ascii="宋体" w:hAnsi="宋体" w:eastAsia="宋体" w:cs="Times New Roman"/>
          <w:color w:val="auto"/>
          <w:sz w:val="24"/>
          <w:highlight w:val="none"/>
        </w:rPr>
        <w:t>；</w:t>
      </w:r>
    </w:p>
    <w:p w14:paraId="5C0CDE99">
      <w:pPr>
        <w:keepNext w:val="0"/>
        <w:keepLines w:val="0"/>
        <w:pageBreakBefore w:val="0"/>
        <w:widowControl w:val="0"/>
        <w:kinsoku/>
        <w:wordWrap/>
        <w:overflowPunct/>
        <w:topLinePunct w:val="0"/>
        <w:autoSpaceDE/>
        <w:autoSpaceDN/>
        <w:bidi w:val="0"/>
        <w:adjustRightInd w:val="0"/>
        <w:snapToGrid/>
        <w:spacing w:line="560" w:lineRule="exact"/>
        <w:ind w:left="-61" w:leftChars="-29" w:right="-420" w:rightChars="-200"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2.15.2 </w:t>
      </w:r>
      <w:r>
        <w:rPr>
          <w:rFonts w:hint="eastAsia" w:ascii="宋体" w:hAnsi="宋体" w:eastAsia="宋体" w:cs="Times New Roman"/>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B0D29FB">
      <w:pPr>
        <w:keepNext w:val="0"/>
        <w:keepLines w:val="0"/>
        <w:pageBreakBefore w:val="0"/>
        <w:widowControl w:val="0"/>
        <w:kinsoku/>
        <w:wordWrap/>
        <w:overflowPunct/>
        <w:topLinePunct w:val="0"/>
        <w:autoSpaceDE/>
        <w:autoSpaceDN/>
        <w:bidi w:val="0"/>
        <w:adjustRightInd w:val="0"/>
        <w:snapToGrid/>
        <w:spacing w:line="560" w:lineRule="exact"/>
        <w:ind w:left="-61" w:leftChars="-29" w:right="-420" w:rightChars="-200"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2.15.3 </w:t>
      </w:r>
      <w:r>
        <w:rPr>
          <w:rFonts w:hint="eastAsia" w:ascii="宋体" w:hAnsi="宋体" w:eastAsia="宋体" w:cs="Times New Roman"/>
          <w:color w:val="auto"/>
          <w:sz w:val="24"/>
          <w:highlight w:val="none"/>
        </w:rPr>
        <w:t>检验和验收标准、程序等具体内容以及前述验收书的效力详见</w:t>
      </w:r>
      <w:r>
        <w:rPr>
          <w:rFonts w:ascii="宋体" w:hAnsi="宋体" w:eastAsia="宋体" w:cs="Times New Roman"/>
          <w:b/>
          <w:i/>
          <w:color w:val="auto"/>
          <w:sz w:val="24"/>
          <w:highlight w:val="none"/>
          <w:u w:val="single"/>
        </w:rPr>
        <w:t>合同专用条款</w:t>
      </w:r>
      <w:r>
        <w:rPr>
          <w:rFonts w:hint="eastAsia" w:ascii="宋体" w:hAnsi="宋体" w:eastAsia="宋体" w:cs="Times New Roman"/>
          <w:i/>
          <w:color w:val="auto"/>
          <w:sz w:val="24"/>
          <w:highlight w:val="none"/>
        </w:rPr>
        <w:t>。</w:t>
      </w:r>
    </w:p>
    <w:p w14:paraId="6FC999E3">
      <w:pPr>
        <w:keepNext w:val="0"/>
        <w:keepLines w:val="0"/>
        <w:pageBreakBefore w:val="0"/>
        <w:widowControl w:val="0"/>
        <w:kinsoku/>
        <w:wordWrap/>
        <w:overflowPunct/>
        <w:topLinePunct w:val="0"/>
        <w:autoSpaceDE/>
        <w:autoSpaceDN/>
        <w:bidi w:val="0"/>
        <w:adjustRightInd w:val="0"/>
        <w:snapToGrid/>
        <w:spacing w:line="560" w:lineRule="exact"/>
        <w:ind w:left="-61" w:leftChars="-29" w:right="-420" w:rightChars="-200" w:firstLine="482" w:firstLineChars="200"/>
        <w:textAlignment w:val="auto"/>
        <w:outlineLvl w:val="9"/>
        <w:rPr>
          <w:rFonts w:ascii="宋体" w:hAnsi="宋体" w:eastAsia="宋体" w:cs="Times New Roman"/>
          <w:b/>
          <w:color w:val="auto"/>
          <w:sz w:val="24"/>
          <w:highlight w:val="none"/>
        </w:rPr>
      </w:pPr>
      <w:bookmarkStart w:id="510" w:name="_Toc9808"/>
      <w:bookmarkStart w:id="511" w:name="_Toc25198"/>
      <w:bookmarkStart w:id="512" w:name="_Toc2308"/>
      <w:bookmarkStart w:id="513" w:name="_Toc12666"/>
      <w:bookmarkStart w:id="514" w:name="_Toc31892"/>
      <w:r>
        <w:rPr>
          <w:rFonts w:ascii="宋体" w:hAnsi="宋体" w:eastAsia="宋体" w:cs="Times New Roman"/>
          <w:b/>
          <w:color w:val="auto"/>
          <w:sz w:val="24"/>
          <w:highlight w:val="none"/>
        </w:rPr>
        <w:t>2.16 通知和送达</w:t>
      </w:r>
      <w:bookmarkEnd w:id="510"/>
      <w:bookmarkEnd w:id="511"/>
      <w:bookmarkEnd w:id="512"/>
      <w:bookmarkEnd w:id="513"/>
      <w:bookmarkEnd w:id="514"/>
    </w:p>
    <w:p w14:paraId="712E5C32">
      <w:pPr>
        <w:keepNext w:val="0"/>
        <w:keepLines w:val="0"/>
        <w:pageBreakBefore w:val="0"/>
        <w:widowControl w:val="0"/>
        <w:kinsoku/>
        <w:wordWrap/>
        <w:overflowPunct/>
        <w:topLinePunct w:val="0"/>
        <w:autoSpaceDE/>
        <w:autoSpaceDN/>
        <w:bidi w:val="0"/>
        <w:adjustRightInd w:val="0"/>
        <w:snapToGrid/>
        <w:spacing w:line="560" w:lineRule="exact"/>
        <w:ind w:left="-61" w:leftChars="-29" w:right="-420" w:rightChars="-200" w:firstLine="480" w:firstLineChars="200"/>
        <w:textAlignment w:val="auto"/>
        <w:outlineLvl w:val="9"/>
        <w:rPr>
          <w:rFonts w:ascii="宋体" w:hAnsi="宋体" w:eastAsia="宋体" w:cs="Times New Roman"/>
          <w:color w:val="auto"/>
          <w:sz w:val="24"/>
          <w:highlight w:val="none"/>
        </w:rPr>
      </w:pPr>
      <w:bookmarkStart w:id="515" w:name="_Toc18401"/>
      <w:bookmarkStart w:id="516" w:name="_Toc27674"/>
      <w:r>
        <w:rPr>
          <w:rFonts w:ascii="宋体" w:hAnsi="宋体" w:eastAsia="宋体" w:cs="Times New Roman"/>
          <w:color w:val="auto"/>
          <w:sz w:val="24"/>
          <w:highlight w:val="none"/>
        </w:rPr>
        <w:t>2.1</w:t>
      </w:r>
      <w:r>
        <w:rPr>
          <w:rFonts w:hint="eastAsia" w:ascii="宋体" w:hAnsi="宋体" w:cs="Times New Roman"/>
          <w:color w:val="auto"/>
          <w:sz w:val="24"/>
          <w:highlight w:val="none"/>
          <w:lang w:val="en-US" w:eastAsia="zh-CN"/>
        </w:rPr>
        <w:t>6</w:t>
      </w:r>
      <w:r>
        <w:rPr>
          <w:rFonts w:ascii="宋体" w:hAnsi="宋体" w:eastAsia="宋体" w:cs="Times New Roman"/>
          <w:color w:val="auto"/>
          <w:sz w:val="24"/>
          <w:highlight w:val="none"/>
        </w:rPr>
        <w:t>.1</w:t>
      </w:r>
      <w:r>
        <w:rPr>
          <w:rFonts w:hint="eastAsia" w:ascii="宋体" w:hAnsi="宋体" w:eastAsia="宋体" w:cs="Times New Roman"/>
          <w:color w:val="auto"/>
          <w:sz w:val="24"/>
          <w:highlight w:val="none"/>
        </w:rPr>
        <w:t>任何一方因履行合同而以合同第一部分尾部所列明的传真或电子邮件</w:t>
      </w:r>
      <w:r>
        <w:rPr>
          <w:rFonts w:ascii="宋体" w:hAnsi="宋体" w:eastAsia="宋体" w:cs="Times New Roman"/>
          <w:color w:val="auto"/>
          <w:sz w:val="24"/>
          <w:highlight w:val="none"/>
        </w:rPr>
        <w:t xml:space="preserve"> </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发出的所有通知、文件、材料，均视为已向对方当事人送达；任何一方变更上述送达方式或者地址的，应于</w:t>
      </w:r>
      <w:r>
        <w:rPr>
          <w:rFonts w:ascii="宋体" w:hAnsi="宋体" w:eastAsia="宋体" w:cs="Times New Roman"/>
          <w:color w:val="auto"/>
          <w:sz w:val="24"/>
          <w:highlight w:val="none"/>
          <w:u w:val="single"/>
        </w:rPr>
        <w:t>3</w:t>
      </w:r>
      <w:r>
        <w:rPr>
          <w:rFonts w:hint="eastAsia" w:ascii="宋体" w:hAnsi="宋体" w:eastAsia="宋体" w:cs="Times New Roman"/>
          <w:color w:val="auto"/>
          <w:sz w:val="24"/>
          <w:highlight w:val="none"/>
        </w:rPr>
        <w:t>个工作日内书面通知对方当事人，在对方当事人收到有关变更通知之前，变更前的约定送达方式或者地址仍视为有效。</w:t>
      </w:r>
    </w:p>
    <w:p w14:paraId="1F90B6A6">
      <w:pPr>
        <w:keepNext w:val="0"/>
        <w:keepLines w:val="0"/>
        <w:pageBreakBefore w:val="0"/>
        <w:widowControl w:val="0"/>
        <w:kinsoku/>
        <w:wordWrap/>
        <w:overflowPunct/>
        <w:topLinePunct w:val="0"/>
        <w:autoSpaceDE/>
        <w:autoSpaceDN/>
        <w:bidi w:val="0"/>
        <w:adjustRightInd w:val="0"/>
        <w:snapToGrid/>
        <w:spacing w:line="560" w:lineRule="exact"/>
        <w:ind w:left="-61" w:leftChars="-29" w:right="-420" w:rightChars="-200"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2.1</w:t>
      </w:r>
      <w:r>
        <w:rPr>
          <w:rFonts w:hint="eastAsia" w:ascii="宋体" w:hAnsi="宋体" w:cs="Times New Roman"/>
          <w:color w:val="auto"/>
          <w:sz w:val="24"/>
          <w:highlight w:val="none"/>
          <w:lang w:val="en-US" w:eastAsia="zh-CN"/>
        </w:rPr>
        <w:t>6</w:t>
      </w:r>
      <w:r>
        <w:rPr>
          <w:rFonts w:ascii="宋体" w:hAnsi="宋体" w:eastAsia="宋体" w:cs="Times New Roman"/>
          <w:color w:val="auto"/>
          <w:sz w:val="24"/>
          <w:highlight w:val="none"/>
        </w:rPr>
        <w:t>.2以当面交付方式送达的，交付之时视为送达；以电子邮件方式送达的，发出电子邮件之时视为送达；以传真方式送达的，发出传真之时视为送达；以邮寄方式送达</w:t>
      </w:r>
      <w:r>
        <w:rPr>
          <w:rFonts w:hint="eastAsia" w:ascii="宋体" w:hAnsi="宋体" w:eastAsia="宋体" w:cs="Times New Roman"/>
          <w:color w:val="auto"/>
          <w:sz w:val="24"/>
          <w:highlight w:val="none"/>
        </w:rPr>
        <w:t>的，邮件挂号寄出或者交邮之日之次日视为送达。</w:t>
      </w:r>
      <w:bookmarkEnd w:id="515"/>
      <w:bookmarkEnd w:id="516"/>
    </w:p>
    <w:p w14:paraId="6882F2D8">
      <w:pPr>
        <w:keepNext w:val="0"/>
        <w:keepLines w:val="0"/>
        <w:pageBreakBefore w:val="0"/>
        <w:widowControl w:val="0"/>
        <w:kinsoku/>
        <w:wordWrap/>
        <w:overflowPunct/>
        <w:topLinePunct w:val="0"/>
        <w:autoSpaceDE/>
        <w:autoSpaceDN/>
        <w:bidi w:val="0"/>
        <w:adjustRightInd w:val="0"/>
        <w:snapToGrid/>
        <w:spacing w:line="560" w:lineRule="exact"/>
        <w:ind w:left="-61" w:leftChars="-29" w:right="-420" w:rightChars="-200" w:firstLine="482" w:firstLineChars="200"/>
        <w:textAlignment w:val="auto"/>
        <w:outlineLvl w:val="9"/>
        <w:rPr>
          <w:rFonts w:ascii="宋体" w:hAnsi="宋体" w:eastAsia="宋体" w:cs="Times New Roman"/>
          <w:b/>
          <w:color w:val="auto"/>
          <w:sz w:val="24"/>
          <w:highlight w:val="none"/>
        </w:rPr>
      </w:pPr>
      <w:bookmarkStart w:id="517" w:name="_Toc12254"/>
      <w:bookmarkStart w:id="518" w:name="_Toc5063"/>
      <w:bookmarkStart w:id="519" w:name="_Toc27644"/>
      <w:bookmarkStart w:id="520" w:name="_Toc28906"/>
      <w:bookmarkStart w:id="521" w:name="_Toc20808"/>
      <w:r>
        <w:rPr>
          <w:rFonts w:ascii="宋体" w:hAnsi="宋体" w:eastAsia="宋体" w:cs="Times New Roman"/>
          <w:b/>
          <w:color w:val="auto"/>
          <w:sz w:val="24"/>
          <w:highlight w:val="none"/>
        </w:rPr>
        <w:t xml:space="preserve">2.17 </w:t>
      </w:r>
      <w:r>
        <w:rPr>
          <w:rFonts w:hint="eastAsia" w:ascii="宋体" w:hAnsi="宋体" w:eastAsia="宋体" w:cs="Times New Roman"/>
          <w:b/>
          <w:color w:val="auto"/>
          <w:sz w:val="24"/>
          <w:highlight w:val="none"/>
        </w:rPr>
        <w:t>合同使用的文字和</w:t>
      </w:r>
      <w:r>
        <w:rPr>
          <w:rFonts w:ascii="宋体" w:hAnsi="宋体" w:eastAsia="宋体" w:cs="Times New Roman"/>
          <w:b/>
          <w:color w:val="auto"/>
          <w:sz w:val="24"/>
          <w:highlight w:val="none"/>
        </w:rPr>
        <w:t>适用的法律</w:t>
      </w:r>
      <w:bookmarkEnd w:id="517"/>
      <w:bookmarkEnd w:id="518"/>
      <w:bookmarkEnd w:id="519"/>
      <w:bookmarkEnd w:id="520"/>
      <w:bookmarkEnd w:id="521"/>
    </w:p>
    <w:p w14:paraId="5A41D5B4">
      <w:pPr>
        <w:keepNext w:val="0"/>
        <w:keepLines w:val="0"/>
        <w:pageBreakBefore w:val="0"/>
        <w:widowControl w:val="0"/>
        <w:kinsoku/>
        <w:wordWrap/>
        <w:overflowPunct/>
        <w:topLinePunct w:val="0"/>
        <w:autoSpaceDE/>
        <w:autoSpaceDN/>
        <w:bidi w:val="0"/>
        <w:adjustRightInd w:val="0"/>
        <w:snapToGrid/>
        <w:spacing w:line="560" w:lineRule="exact"/>
        <w:ind w:left="-61" w:leftChars="-29" w:right="-420" w:rightChars="-200"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2.17.1 合同使用汉语</w:t>
      </w:r>
      <w:r>
        <w:rPr>
          <w:rFonts w:hint="eastAsia" w:ascii="宋体" w:hAnsi="宋体" w:cs="Times New Roman"/>
          <w:color w:val="auto"/>
          <w:sz w:val="24"/>
          <w:highlight w:val="none"/>
          <w:lang w:eastAsia="zh-CN"/>
        </w:rPr>
        <w:t>书写</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变更和解释</w:t>
      </w:r>
      <w:r>
        <w:rPr>
          <w:rFonts w:hint="eastAsia" w:ascii="宋体" w:hAnsi="宋体" w:eastAsia="宋体" w:cs="Times New Roman"/>
          <w:color w:val="auto"/>
          <w:sz w:val="24"/>
          <w:highlight w:val="none"/>
        </w:rPr>
        <w:t>；</w:t>
      </w:r>
    </w:p>
    <w:p w14:paraId="3E6EFEA8">
      <w:pPr>
        <w:keepNext w:val="0"/>
        <w:keepLines w:val="0"/>
        <w:pageBreakBefore w:val="0"/>
        <w:widowControl w:val="0"/>
        <w:kinsoku/>
        <w:wordWrap/>
        <w:overflowPunct/>
        <w:topLinePunct w:val="0"/>
        <w:autoSpaceDE/>
        <w:autoSpaceDN/>
        <w:bidi w:val="0"/>
        <w:adjustRightInd w:val="0"/>
        <w:snapToGrid/>
        <w:spacing w:line="560" w:lineRule="exact"/>
        <w:ind w:left="-61" w:leftChars="-29" w:right="-420" w:rightChars="-200"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2.17.2 </w:t>
      </w:r>
      <w:r>
        <w:rPr>
          <w:rFonts w:hint="eastAsia" w:ascii="宋体" w:hAnsi="宋体" w:eastAsia="宋体" w:cs="Times New Roman"/>
          <w:color w:val="auto"/>
          <w:sz w:val="24"/>
          <w:highlight w:val="none"/>
        </w:rPr>
        <w:t>合同适用</w:t>
      </w:r>
      <w:r>
        <w:rPr>
          <w:rFonts w:ascii="宋体" w:hAnsi="宋体" w:eastAsia="宋体" w:cs="Times New Roman"/>
          <w:color w:val="auto"/>
          <w:sz w:val="24"/>
          <w:highlight w:val="none"/>
        </w:rPr>
        <w:t>中华人民共和国法律。</w:t>
      </w:r>
    </w:p>
    <w:p w14:paraId="6399487D">
      <w:pPr>
        <w:keepNext w:val="0"/>
        <w:keepLines w:val="0"/>
        <w:pageBreakBefore w:val="0"/>
        <w:widowControl w:val="0"/>
        <w:kinsoku/>
        <w:wordWrap/>
        <w:overflowPunct/>
        <w:topLinePunct w:val="0"/>
        <w:autoSpaceDE/>
        <w:autoSpaceDN/>
        <w:bidi w:val="0"/>
        <w:adjustRightInd w:val="0"/>
        <w:snapToGrid/>
        <w:spacing w:line="560" w:lineRule="exact"/>
        <w:ind w:left="-61" w:leftChars="-29" w:right="-420" w:rightChars="-200" w:firstLine="482" w:firstLineChars="200"/>
        <w:textAlignment w:val="auto"/>
        <w:outlineLvl w:val="9"/>
        <w:rPr>
          <w:rFonts w:ascii="宋体" w:hAnsi="宋体" w:eastAsia="宋体" w:cs="宋体"/>
          <w:b/>
          <w:color w:val="auto"/>
          <w:sz w:val="24"/>
          <w:highlight w:val="none"/>
        </w:rPr>
      </w:pPr>
      <w:bookmarkStart w:id="522" w:name="_Toc18540"/>
      <w:bookmarkStart w:id="523" w:name="_Toc4355"/>
      <w:bookmarkStart w:id="524" w:name="_Toc30599"/>
      <w:r>
        <w:rPr>
          <w:rFonts w:hint="eastAsia" w:ascii="宋体" w:hAnsi="宋体" w:eastAsia="宋体" w:cs="宋体"/>
          <w:b/>
          <w:color w:val="auto"/>
          <w:sz w:val="24"/>
          <w:highlight w:val="none"/>
        </w:rPr>
        <w:t>2.18 计量单位</w:t>
      </w:r>
      <w:bookmarkEnd w:id="522"/>
      <w:bookmarkEnd w:id="523"/>
      <w:bookmarkEnd w:id="524"/>
    </w:p>
    <w:p w14:paraId="6EDD6F6D">
      <w:pPr>
        <w:keepNext w:val="0"/>
        <w:keepLines w:val="0"/>
        <w:pageBreakBefore w:val="0"/>
        <w:widowControl w:val="0"/>
        <w:kinsoku/>
        <w:wordWrap/>
        <w:overflowPunct/>
        <w:topLinePunct w:val="0"/>
        <w:autoSpaceDE/>
        <w:autoSpaceDN/>
        <w:bidi w:val="0"/>
        <w:adjustRightInd w:val="0"/>
        <w:snapToGrid/>
        <w:spacing w:line="560" w:lineRule="exact"/>
        <w:ind w:left="-61" w:leftChars="-29" w:right="-420" w:rightChars="-200" w:firstLine="480" w:firstLineChars="200"/>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除技术规范中另有规定外</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合同的计量单位均使用国家法定计量单位。</w:t>
      </w:r>
    </w:p>
    <w:p w14:paraId="39A6DB27">
      <w:pPr>
        <w:keepNext w:val="0"/>
        <w:keepLines w:val="0"/>
        <w:pageBreakBefore w:val="0"/>
        <w:widowControl w:val="0"/>
        <w:kinsoku/>
        <w:wordWrap/>
        <w:overflowPunct/>
        <w:topLinePunct w:val="0"/>
        <w:autoSpaceDE/>
        <w:autoSpaceDN/>
        <w:bidi w:val="0"/>
        <w:adjustRightInd w:val="0"/>
        <w:snapToGrid/>
        <w:spacing w:line="560" w:lineRule="exact"/>
        <w:ind w:left="-61" w:leftChars="-29" w:right="-420" w:rightChars="-200" w:firstLine="482" w:firstLineChars="200"/>
        <w:textAlignment w:val="auto"/>
        <w:outlineLvl w:val="9"/>
        <w:rPr>
          <w:rFonts w:ascii="宋体" w:hAnsi="宋体" w:eastAsia="宋体" w:cs="Times New Roman"/>
          <w:b/>
          <w:color w:val="auto"/>
          <w:sz w:val="24"/>
          <w:highlight w:val="none"/>
        </w:rPr>
      </w:pPr>
      <w:r>
        <w:rPr>
          <w:rFonts w:ascii="宋体" w:hAnsi="宋体" w:eastAsia="宋体" w:cs="Times New Roman"/>
          <w:b/>
          <w:color w:val="auto"/>
          <w:sz w:val="24"/>
          <w:highlight w:val="none"/>
        </w:rPr>
        <w:t>2.</w:t>
      </w:r>
      <w:r>
        <w:rPr>
          <w:rFonts w:hint="eastAsia" w:ascii="宋体" w:hAnsi="宋体" w:eastAsia="宋体" w:cs="Times New Roman"/>
          <w:b/>
          <w:color w:val="auto"/>
          <w:sz w:val="24"/>
          <w:highlight w:val="none"/>
        </w:rPr>
        <w:t>19</w:t>
      </w:r>
      <w:r>
        <w:rPr>
          <w:rFonts w:ascii="宋体" w:hAnsi="宋体" w:eastAsia="宋体" w:cs="Times New Roman"/>
          <w:b/>
          <w:color w:val="auto"/>
          <w:sz w:val="24"/>
          <w:highlight w:val="none"/>
        </w:rPr>
        <w:t>合同份数</w:t>
      </w:r>
    </w:p>
    <w:p w14:paraId="0F8136D5">
      <w:pPr>
        <w:keepNext w:val="0"/>
        <w:keepLines w:val="0"/>
        <w:pageBreakBefore w:val="0"/>
        <w:widowControl w:val="0"/>
        <w:kinsoku/>
        <w:wordWrap/>
        <w:overflowPunct/>
        <w:topLinePunct w:val="0"/>
        <w:autoSpaceDE/>
        <w:autoSpaceDN/>
        <w:bidi w:val="0"/>
        <w:adjustRightInd w:val="0"/>
        <w:snapToGrid/>
        <w:spacing w:line="560" w:lineRule="exact"/>
        <w:ind w:left="-61" w:leftChars="-29" w:right="-420" w:rightChars="-200"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合同份数按</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规定</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每份均具有同等法律效力</w:t>
      </w:r>
      <w:r>
        <w:rPr>
          <w:rFonts w:hint="eastAsia" w:ascii="宋体" w:hAnsi="宋体" w:eastAsia="宋体" w:cs="Times New Roman"/>
          <w:color w:val="auto"/>
          <w:sz w:val="24"/>
          <w:highlight w:val="none"/>
        </w:rPr>
        <w:t>。</w:t>
      </w:r>
    </w:p>
    <w:p w14:paraId="20BD3E56">
      <w:pPr>
        <w:kinsoku/>
        <w:wordWrap/>
        <w:overflowPunct/>
        <w:topLinePunct w:val="0"/>
        <w:bidi w:val="0"/>
        <w:spacing w:line="360" w:lineRule="auto"/>
        <w:jc w:val="center"/>
        <w:outlineLvl w:val="9"/>
        <w:rPr>
          <w:rFonts w:ascii="宋体" w:hAnsi="宋体" w:eastAsia="宋体" w:cs="宋体"/>
          <w:b/>
          <w:color w:val="auto"/>
          <w:sz w:val="24"/>
          <w:highlight w:val="none"/>
        </w:rPr>
      </w:pPr>
      <w:r>
        <w:rPr>
          <w:rFonts w:hint="eastAsia" w:ascii="宋体" w:hAnsi="宋体" w:eastAsia="宋体" w:cs="宋体"/>
          <w:color w:val="auto"/>
          <w:kern w:val="0"/>
          <w:highlight w:val="none"/>
        </w:rPr>
        <w:br w:type="page"/>
      </w:r>
      <w:bookmarkStart w:id="525" w:name="_Toc331685784"/>
      <w:r>
        <w:rPr>
          <w:rFonts w:hint="eastAsia" w:ascii="宋体" w:hAnsi="宋体" w:eastAsia="宋体" w:cs="宋体"/>
          <w:b/>
          <w:color w:val="auto"/>
          <w:sz w:val="24"/>
          <w:highlight w:val="none"/>
        </w:rPr>
        <w:t xml:space="preserve"> </w:t>
      </w:r>
      <w:bookmarkEnd w:id="525"/>
      <w:r>
        <w:rPr>
          <w:rFonts w:hint="eastAsia" w:ascii="宋体" w:hAnsi="宋体" w:eastAsia="宋体" w:cs="宋体"/>
          <w:b/>
          <w:color w:val="auto"/>
          <w:sz w:val="24"/>
          <w:highlight w:val="none"/>
        </w:rPr>
        <w:t>第三部分  合同专用条款</w:t>
      </w:r>
    </w:p>
    <w:p w14:paraId="354FAD3F">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outlineLvl w:val="9"/>
        <w:rPr>
          <w:rFonts w:ascii="宋体" w:hAnsi="宋体" w:eastAsia="宋体" w:cs="宋体"/>
          <w:color w:val="auto"/>
          <w:highlight w:val="none"/>
        </w:rPr>
      </w:pPr>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8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206"/>
      </w:tblGrid>
      <w:tr w14:paraId="4399E5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32E9352A">
            <w:pPr>
              <w:keepNext w:val="0"/>
              <w:keepLines w:val="0"/>
              <w:pageBreakBefore w:val="0"/>
              <w:widowControl w:val="0"/>
              <w:kinsoku/>
              <w:wordWrap/>
              <w:overflowPunct/>
              <w:topLinePunct w:val="0"/>
              <w:autoSpaceDE/>
              <w:autoSpaceDN/>
              <w:bidi w:val="0"/>
              <w:snapToGrid/>
              <w:spacing w:line="336" w:lineRule="auto"/>
              <w:jc w:val="center"/>
              <w:outlineLvl w:val="9"/>
              <w:rPr>
                <w:rFonts w:ascii="宋体" w:hAnsi="宋体" w:eastAsia="宋体" w:cs="宋体"/>
                <w:b/>
                <w:color w:val="auto"/>
                <w:sz w:val="24"/>
                <w:highlight w:val="none"/>
              </w:rPr>
            </w:pPr>
            <w:r>
              <w:rPr>
                <w:rFonts w:hint="eastAsia" w:ascii="宋体" w:hAnsi="宋体" w:eastAsia="宋体" w:cs="宋体"/>
                <w:b/>
                <w:color w:val="auto"/>
                <w:sz w:val="24"/>
                <w:highlight w:val="none"/>
              </w:rPr>
              <w:t>条款号</w:t>
            </w:r>
          </w:p>
        </w:tc>
        <w:tc>
          <w:tcPr>
            <w:tcW w:w="8206" w:type="dxa"/>
            <w:vAlign w:val="center"/>
          </w:tcPr>
          <w:p w14:paraId="107011B8">
            <w:pPr>
              <w:keepNext w:val="0"/>
              <w:keepLines w:val="0"/>
              <w:pageBreakBefore w:val="0"/>
              <w:widowControl w:val="0"/>
              <w:kinsoku/>
              <w:wordWrap/>
              <w:overflowPunct/>
              <w:topLinePunct w:val="0"/>
              <w:autoSpaceDE/>
              <w:autoSpaceDN/>
              <w:bidi w:val="0"/>
              <w:snapToGrid/>
              <w:spacing w:line="336" w:lineRule="auto"/>
              <w:jc w:val="center"/>
              <w:outlineLvl w:val="9"/>
              <w:rPr>
                <w:rFonts w:ascii="宋体" w:hAnsi="宋体" w:eastAsia="宋体" w:cs="宋体"/>
                <w:b/>
                <w:color w:val="auto"/>
                <w:sz w:val="24"/>
                <w:highlight w:val="none"/>
              </w:rPr>
            </w:pPr>
            <w:r>
              <w:rPr>
                <w:rFonts w:hint="eastAsia" w:ascii="宋体" w:hAnsi="宋体" w:eastAsia="宋体" w:cs="宋体"/>
                <w:b/>
                <w:color w:val="auto"/>
                <w:sz w:val="24"/>
                <w:highlight w:val="none"/>
              </w:rPr>
              <w:t>约定内容</w:t>
            </w:r>
          </w:p>
        </w:tc>
      </w:tr>
      <w:tr w14:paraId="7240A5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39F5A8AB">
            <w:pPr>
              <w:keepNext w:val="0"/>
              <w:keepLines w:val="0"/>
              <w:pageBreakBefore w:val="0"/>
              <w:widowControl w:val="0"/>
              <w:kinsoku/>
              <w:wordWrap/>
              <w:overflowPunct/>
              <w:topLinePunct w:val="0"/>
              <w:autoSpaceDE/>
              <w:autoSpaceDN/>
              <w:bidi w:val="0"/>
              <w:snapToGrid/>
              <w:spacing w:line="336" w:lineRule="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1.3.2</w:t>
            </w:r>
          </w:p>
        </w:tc>
        <w:tc>
          <w:tcPr>
            <w:tcW w:w="8206" w:type="dxa"/>
            <w:vAlign w:val="center"/>
          </w:tcPr>
          <w:p w14:paraId="56431955">
            <w:pPr>
              <w:keepNext w:val="0"/>
              <w:keepLines w:val="0"/>
              <w:pageBreakBefore w:val="0"/>
              <w:widowControl w:val="0"/>
              <w:kinsoku/>
              <w:wordWrap/>
              <w:overflowPunct/>
              <w:topLinePunct w:val="0"/>
              <w:autoSpaceDE/>
              <w:autoSpaceDN/>
              <w:bidi w:val="0"/>
              <w:snapToGrid/>
              <w:spacing w:line="336" w:lineRule="auto"/>
              <w:outlineLvl w:val="9"/>
              <w:rPr>
                <w:rFonts w:hint="default" w:ascii="宋体" w:hAnsi="宋体" w:eastAsia="宋体" w:cs="宋体"/>
                <w:color w:val="auto"/>
                <w:sz w:val="24"/>
                <w:highlight w:val="none"/>
                <w:lang w:val="en-US"/>
              </w:rPr>
            </w:pPr>
            <w:r>
              <w:rPr>
                <w:rFonts w:hint="eastAsia" w:ascii="宋体" w:hAnsi="宋体" w:eastAsia="宋体" w:cs="宋体"/>
                <w:color w:val="auto"/>
                <w:kern w:val="0"/>
                <w:sz w:val="24"/>
                <w:szCs w:val="24"/>
                <w:highlight w:val="none"/>
                <w:lang w:val="en-US" w:eastAsia="zh-CN"/>
              </w:rPr>
              <w:t>根据甲方出具的任务单</w:t>
            </w:r>
            <w:r>
              <w:rPr>
                <w:rFonts w:hint="eastAsia" w:ascii="宋体" w:hAnsi="宋体" w:cs="宋体"/>
                <w:color w:val="auto"/>
                <w:kern w:val="0"/>
                <w:sz w:val="24"/>
                <w:szCs w:val="24"/>
                <w:highlight w:val="none"/>
                <w:lang w:val="en-US" w:eastAsia="zh-CN"/>
              </w:rPr>
              <w:t>或采购单</w:t>
            </w:r>
          </w:p>
        </w:tc>
      </w:tr>
      <w:tr w14:paraId="006DBC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60F4C896">
            <w:pPr>
              <w:keepNext w:val="0"/>
              <w:keepLines w:val="0"/>
              <w:pageBreakBefore w:val="0"/>
              <w:widowControl w:val="0"/>
              <w:kinsoku/>
              <w:wordWrap/>
              <w:overflowPunct/>
              <w:topLinePunct w:val="0"/>
              <w:autoSpaceDE/>
              <w:autoSpaceDN/>
              <w:bidi w:val="0"/>
              <w:snapToGrid/>
              <w:spacing w:line="336" w:lineRule="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1.4.2</w:t>
            </w:r>
          </w:p>
        </w:tc>
        <w:tc>
          <w:tcPr>
            <w:tcW w:w="8206" w:type="dxa"/>
            <w:vAlign w:val="center"/>
          </w:tcPr>
          <w:p w14:paraId="73CAFBB0">
            <w:pPr>
              <w:keepNext w:val="0"/>
              <w:keepLines w:val="0"/>
              <w:pageBreakBefore w:val="0"/>
              <w:widowControl w:val="0"/>
              <w:kinsoku/>
              <w:wordWrap/>
              <w:overflowPunct/>
              <w:topLinePunct w:val="0"/>
              <w:autoSpaceDE/>
              <w:autoSpaceDN/>
              <w:bidi w:val="0"/>
              <w:snapToGrid/>
              <w:spacing w:line="336" w:lineRule="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银行汇票（电汇）、支票（仅限于使用宁波大市区范围内的银行开具的支票）、银行保函、保险保单等非现金形式；</w:t>
            </w:r>
          </w:p>
        </w:tc>
      </w:tr>
      <w:tr w14:paraId="28CAA7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0F116A4E">
            <w:pPr>
              <w:keepNext w:val="0"/>
              <w:keepLines w:val="0"/>
              <w:pageBreakBefore w:val="0"/>
              <w:widowControl w:val="0"/>
              <w:kinsoku/>
              <w:wordWrap/>
              <w:overflowPunct/>
              <w:topLinePunct w:val="0"/>
              <w:autoSpaceDE/>
              <w:autoSpaceDN/>
              <w:bidi w:val="0"/>
              <w:snapToGrid/>
              <w:spacing w:line="336" w:lineRule="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 xml:space="preserve">1.5.1 </w:t>
            </w:r>
          </w:p>
        </w:tc>
        <w:tc>
          <w:tcPr>
            <w:tcW w:w="8206" w:type="dxa"/>
            <w:vAlign w:val="center"/>
          </w:tcPr>
          <w:p w14:paraId="32D6791A">
            <w:pPr>
              <w:keepNext w:val="0"/>
              <w:keepLines w:val="0"/>
              <w:pageBreakBefore w:val="0"/>
              <w:widowControl w:val="0"/>
              <w:kinsoku/>
              <w:wordWrap/>
              <w:overflowPunct/>
              <w:topLinePunct w:val="0"/>
              <w:autoSpaceDE/>
              <w:autoSpaceDN/>
              <w:bidi w:val="0"/>
              <w:adjustRightInd/>
              <w:snapToGrid/>
              <w:spacing w:line="336" w:lineRule="auto"/>
              <w:textAlignment w:val="baseline"/>
              <w:outlineLvl w:val="9"/>
              <w:rPr>
                <w:rFonts w:ascii="宋体" w:hAnsi="宋体" w:eastAsia="宋体" w:cs="宋体"/>
                <w:color w:val="auto"/>
                <w:kern w:val="2"/>
                <w:sz w:val="24"/>
                <w:szCs w:val="24"/>
                <w:highlight w:val="none"/>
                <w:lang w:val="en-US" w:eastAsia="zh-CN" w:bidi="ar-SA"/>
              </w:rPr>
            </w:pPr>
            <w:r>
              <w:rPr>
                <w:rFonts w:hint="eastAsia" w:ascii="宋体" w:hAnsi="宋体" w:cs="宋体"/>
                <w:color w:val="000000" w:themeColor="text1"/>
                <w:sz w:val="24"/>
                <w:highlight w:val="none"/>
                <w14:textFill>
                  <w14:solidFill>
                    <w14:schemeClr w14:val="tx1"/>
                  </w14:solidFill>
                </w14:textFill>
              </w:rPr>
              <w:t>合同生效并具备实施条件后7个工作日内，</w:t>
            </w:r>
            <w:r>
              <w:rPr>
                <w:rFonts w:hint="eastAsia" w:ascii="宋体" w:hAnsi="宋体" w:cs="宋体"/>
                <w:color w:val="000000" w:themeColor="text1"/>
                <w:sz w:val="24"/>
                <w:highlight w:val="none"/>
                <w:lang w:val="en-US" w:eastAsia="zh-CN"/>
                <w14:textFill>
                  <w14:solidFill>
                    <w14:schemeClr w14:val="tx1"/>
                  </w14:solidFill>
                </w14:textFill>
              </w:rPr>
              <w:t>甲方</w:t>
            </w:r>
            <w:r>
              <w:rPr>
                <w:rFonts w:hint="eastAsia" w:ascii="宋体" w:hAnsi="宋体" w:cs="宋体"/>
                <w:color w:val="000000" w:themeColor="text1"/>
                <w:sz w:val="24"/>
                <w:highlight w:val="none"/>
                <w14:textFill>
                  <w14:solidFill>
                    <w14:schemeClr w14:val="tx1"/>
                  </w14:solidFill>
                </w14:textFill>
              </w:rPr>
              <w:t>向</w:t>
            </w:r>
            <w:r>
              <w:rPr>
                <w:rFonts w:hint="eastAsia" w:ascii="宋体" w:hAnsi="宋体" w:cs="宋体"/>
                <w:color w:val="000000" w:themeColor="text1"/>
                <w:sz w:val="24"/>
                <w:highlight w:val="none"/>
                <w:lang w:val="en-US" w:eastAsia="zh-CN"/>
                <w14:textFill>
                  <w14:solidFill>
                    <w14:schemeClr w14:val="tx1"/>
                  </w14:solidFill>
                </w14:textFill>
              </w:rPr>
              <w:t>乙方</w:t>
            </w:r>
            <w:r>
              <w:rPr>
                <w:rFonts w:hint="eastAsia" w:ascii="宋体" w:hAnsi="宋体" w:cs="宋体"/>
                <w:color w:val="000000" w:themeColor="text1"/>
                <w:sz w:val="24"/>
                <w:highlight w:val="none"/>
                <w14:textFill>
                  <w14:solidFill>
                    <w14:schemeClr w14:val="tx1"/>
                  </w14:solidFill>
                </w14:textFill>
              </w:rPr>
              <w:t>支付合同额的40%作为预付款；</w:t>
            </w:r>
          </w:p>
        </w:tc>
      </w:tr>
      <w:tr w14:paraId="3C4BA7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4C3E12D3">
            <w:pPr>
              <w:keepNext w:val="0"/>
              <w:keepLines w:val="0"/>
              <w:pageBreakBefore w:val="0"/>
              <w:widowControl w:val="0"/>
              <w:kinsoku/>
              <w:wordWrap/>
              <w:overflowPunct/>
              <w:topLinePunct w:val="0"/>
              <w:autoSpaceDE/>
              <w:autoSpaceDN/>
              <w:bidi w:val="0"/>
              <w:snapToGrid/>
              <w:spacing w:line="336" w:lineRule="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1.5.2</w:t>
            </w:r>
          </w:p>
        </w:tc>
        <w:tc>
          <w:tcPr>
            <w:tcW w:w="8206" w:type="dxa"/>
            <w:vAlign w:val="center"/>
          </w:tcPr>
          <w:p w14:paraId="0592814D">
            <w:pPr>
              <w:keepNext w:val="0"/>
              <w:keepLines w:val="0"/>
              <w:pageBreakBefore w:val="0"/>
              <w:widowControl w:val="0"/>
              <w:kinsoku/>
              <w:wordWrap/>
              <w:overflowPunct/>
              <w:topLinePunct w:val="0"/>
              <w:autoSpaceDE/>
              <w:autoSpaceDN/>
              <w:bidi w:val="0"/>
              <w:snapToGrid/>
              <w:spacing w:line="336" w:lineRule="auto"/>
              <w:outlineLvl w:val="9"/>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详见</w:t>
            </w:r>
            <w:r>
              <w:rPr>
                <w:rFonts w:hint="eastAsia" w:ascii="宋体" w:hAnsi="宋体" w:eastAsia="宋体" w:cs="宋体"/>
                <w:color w:val="auto"/>
                <w:sz w:val="24"/>
                <w:highlight w:val="none"/>
              </w:rPr>
              <w:t>1.6.2</w:t>
            </w:r>
          </w:p>
        </w:tc>
      </w:tr>
      <w:tr w14:paraId="221467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59F521E0">
            <w:pPr>
              <w:keepNext w:val="0"/>
              <w:keepLines w:val="0"/>
              <w:pageBreakBefore w:val="0"/>
              <w:widowControl w:val="0"/>
              <w:kinsoku/>
              <w:wordWrap/>
              <w:overflowPunct/>
              <w:topLinePunct w:val="0"/>
              <w:autoSpaceDE/>
              <w:autoSpaceDN/>
              <w:bidi w:val="0"/>
              <w:snapToGrid/>
              <w:spacing w:line="336" w:lineRule="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 xml:space="preserve">1.5.3 </w:t>
            </w:r>
          </w:p>
        </w:tc>
        <w:tc>
          <w:tcPr>
            <w:tcW w:w="8206" w:type="dxa"/>
            <w:vAlign w:val="center"/>
          </w:tcPr>
          <w:p w14:paraId="67841E42">
            <w:pPr>
              <w:keepNext w:val="0"/>
              <w:keepLines w:val="0"/>
              <w:pageBreakBefore w:val="0"/>
              <w:widowControl w:val="0"/>
              <w:kinsoku/>
              <w:wordWrap/>
              <w:overflowPunct/>
              <w:topLinePunct w:val="0"/>
              <w:autoSpaceDE/>
              <w:autoSpaceDN/>
              <w:bidi w:val="0"/>
              <w:snapToGrid/>
              <w:spacing w:line="336" w:lineRule="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w:t>
            </w:r>
          </w:p>
        </w:tc>
      </w:tr>
      <w:tr w14:paraId="740B7C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977" w:type="dxa"/>
            <w:tcBorders>
              <w:left w:val="single" w:color="auto" w:sz="4" w:space="0"/>
            </w:tcBorders>
            <w:vAlign w:val="center"/>
          </w:tcPr>
          <w:p w14:paraId="6B689CF1">
            <w:pPr>
              <w:keepNext w:val="0"/>
              <w:keepLines w:val="0"/>
              <w:pageBreakBefore w:val="0"/>
              <w:widowControl w:val="0"/>
              <w:kinsoku/>
              <w:wordWrap/>
              <w:overflowPunct/>
              <w:topLinePunct w:val="0"/>
              <w:autoSpaceDE/>
              <w:autoSpaceDN/>
              <w:bidi w:val="0"/>
              <w:snapToGrid/>
              <w:spacing w:line="336" w:lineRule="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1.6.2</w:t>
            </w:r>
          </w:p>
        </w:tc>
        <w:tc>
          <w:tcPr>
            <w:tcW w:w="8206" w:type="dxa"/>
            <w:vAlign w:val="center"/>
          </w:tcPr>
          <w:p w14:paraId="2EC15BE4">
            <w:pPr>
              <w:keepNext w:val="0"/>
              <w:keepLines w:val="0"/>
              <w:pageBreakBefore w:val="0"/>
              <w:widowControl w:val="0"/>
              <w:kinsoku/>
              <w:wordWrap/>
              <w:overflowPunct/>
              <w:topLinePunct w:val="0"/>
              <w:autoSpaceDE/>
              <w:autoSpaceDN/>
              <w:bidi w:val="0"/>
              <w:adjustRightInd/>
              <w:snapToGrid/>
              <w:spacing w:line="336" w:lineRule="auto"/>
              <w:jc w:val="left"/>
              <w:textAlignment w:val="auto"/>
              <w:outlineLvl w:val="9"/>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（1）试剂采购及日常检测部分：根据实际采购量按实进行结算，按季支付。（每季度支付费用=实际数量×单价）</w:t>
            </w:r>
          </w:p>
          <w:p w14:paraId="4FD0EB34">
            <w:pPr>
              <w:keepNext w:val="0"/>
              <w:keepLines w:val="0"/>
              <w:pageBreakBefore w:val="0"/>
              <w:widowControl w:val="0"/>
              <w:kinsoku/>
              <w:wordWrap/>
              <w:overflowPunct/>
              <w:topLinePunct w:val="0"/>
              <w:autoSpaceDE/>
              <w:autoSpaceDN/>
              <w:bidi w:val="0"/>
              <w:adjustRightInd/>
              <w:snapToGrid/>
              <w:spacing w:line="336" w:lineRule="auto"/>
              <w:jc w:val="left"/>
              <w:textAlignment w:val="auto"/>
              <w:outlineLvl w:val="9"/>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（2）快检室建设部分：实验室最终验收合格后支付至快检室建设费用的100%。</w:t>
            </w:r>
          </w:p>
          <w:p w14:paraId="482F63F7">
            <w:pPr>
              <w:keepNext w:val="0"/>
              <w:keepLines w:val="0"/>
              <w:pageBreakBefore w:val="0"/>
              <w:widowControl w:val="0"/>
              <w:kinsoku/>
              <w:wordWrap/>
              <w:overflowPunct/>
              <w:topLinePunct w:val="0"/>
              <w:autoSpaceDE/>
              <w:autoSpaceDN/>
              <w:bidi w:val="0"/>
              <w:adjustRightInd/>
              <w:snapToGrid/>
              <w:spacing w:line="336" w:lineRule="auto"/>
              <w:jc w:val="left"/>
              <w:textAlignment w:val="auto"/>
              <w:outlineLvl w:val="9"/>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（3）</w:t>
            </w:r>
            <w:r>
              <w:rPr>
                <w:rFonts w:ascii="宋体" w:hAnsi="宋体" w:eastAsia="宋体" w:cs="宋体"/>
                <w:kern w:val="0"/>
                <w:sz w:val="24"/>
                <w:szCs w:val="24"/>
                <w:highlight w:val="none"/>
                <w:lang w:val="en-US" w:eastAsia="zh-CN" w:bidi="ar"/>
              </w:rPr>
              <w:t>款项将首先从</w:t>
            </w:r>
            <w:r>
              <w:rPr>
                <w:rFonts w:hint="eastAsia" w:ascii="宋体" w:hAnsi="宋体" w:eastAsia="宋体" w:cs="宋体"/>
                <w:kern w:val="0"/>
                <w:sz w:val="24"/>
                <w:szCs w:val="24"/>
                <w:highlight w:val="none"/>
                <w:lang w:val="en-US" w:eastAsia="zh-CN" w:bidi="ar"/>
              </w:rPr>
              <w:t>甲方</w:t>
            </w:r>
            <w:r>
              <w:rPr>
                <w:rFonts w:ascii="宋体" w:hAnsi="宋体" w:eastAsia="宋体" w:cs="宋体"/>
                <w:kern w:val="0"/>
                <w:sz w:val="24"/>
                <w:szCs w:val="24"/>
                <w:highlight w:val="none"/>
                <w:lang w:val="en-US" w:eastAsia="zh-CN" w:bidi="ar"/>
              </w:rPr>
              <w:t>已支付的预付款中进行等额抵扣。</w:t>
            </w:r>
          </w:p>
        </w:tc>
      </w:tr>
      <w:tr w14:paraId="0F1FF7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5081F194">
            <w:pPr>
              <w:keepNext w:val="0"/>
              <w:keepLines w:val="0"/>
              <w:pageBreakBefore w:val="0"/>
              <w:widowControl w:val="0"/>
              <w:kinsoku/>
              <w:wordWrap/>
              <w:overflowPunct/>
              <w:topLinePunct w:val="0"/>
              <w:autoSpaceDE/>
              <w:autoSpaceDN/>
              <w:bidi w:val="0"/>
              <w:snapToGrid/>
              <w:spacing w:line="336" w:lineRule="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1.7.1</w:t>
            </w:r>
          </w:p>
        </w:tc>
        <w:tc>
          <w:tcPr>
            <w:tcW w:w="8206" w:type="dxa"/>
            <w:vAlign w:val="center"/>
          </w:tcPr>
          <w:p w14:paraId="1C123984">
            <w:pPr>
              <w:keepNext w:val="0"/>
              <w:keepLines w:val="0"/>
              <w:pageBreakBefore w:val="0"/>
              <w:widowControl w:val="0"/>
              <w:kinsoku/>
              <w:wordWrap/>
              <w:overflowPunct/>
              <w:topLinePunct w:val="0"/>
              <w:autoSpaceDE/>
              <w:autoSpaceDN/>
              <w:bidi w:val="0"/>
              <w:adjustRightInd/>
              <w:snapToGrid/>
              <w:spacing w:line="336" w:lineRule="auto"/>
              <w:jc w:val="left"/>
              <w:textAlignment w:val="auto"/>
              <w:outlineLvl w:val="9"/>
              <w:rPr>
                <w:rFonts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本合同服务期限至2025年12月31日止，其中自合同签订之日起至2025年4月30日前完成实验室初步验收，6月30日前完成实验室最终验收。</w:t>
            </w:r>
          </w:p>
        </w:tc>
      </w:tr>
      <w:tr w14:paraId="47527E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38BDF2BE">
            <w:pPr>
              <w:keepNext w:val="0"/>
              <w:keepLines w:val="0"/>
              <w:pageBreakBefore w:val="0"/>
              <w:widowControl w:val="0"/>
              <w:kinsoku/>
              <w:wordWrap/>
              <w:overflowPunct/>
              <w:topLinePunct w:val="0"/>
              <w:autoSpaceDE/>
              <w:autoSpaceDN/>
              <w:bidi w:val="0"/>
              <w:snapToGrid/>
              <w:spacing w:line="336" w:lineRule="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1.7.2</w:t>
            </w:r>
          </w:p>
        </w:tc>
        <w:tc>
          <w:tcPr>
            <w:tcW w:w="8206" w:type="dxa"/>
            <w:vAlign w:val="center"/>
          </w:tcPr>
          <w:p w14:paraId="5E8DF1EE">
            <w:pPr>
              <w:keepNext w:val="0"/>
              <w:keepLines w:val="0"/>
              <w:pageBreakBefore w:val="0"/>
              <w:widowControl w:val="0"/>
              <w:kinsoku/>
              <w:wordWrap/>
              <w:overflowPunct/>
              <w:topLinePunct w:val="0"/>
              <w:autoSpaceDE/>
              <w:autoSpaceDN/>
              <w:bidi w:val="0"/>
              <w:snapToGrid/>
              <w:spacing w:line="336" w:lineRule="auto"/>
              <w:outlineLvl w:val="9"/>
              <w:rPr>
                <w:rFonts w:ascii="宋体" w:hAnsi="宋体" w:eastAsia="宋体" w:cs="宋体"/>
                <w:color w:val="auto"/>
                <w:sz w:val="24"/>
                <w:highlight w:val="none"/>
              </w:rPr>
            </w:pPr>
            <w:r>
              <w:rPr>
                <w:rFonts w:hint="eastAsia" w:ascii="宋体" w:hAnsi="宋体" w:cs="宋体"/>
                <w:color w:val="000000" w:themeColor="text1"/>
                <w:sz w:val="24"/>
                <w:highlight w:val="none"/>
                <w:lang w:val="en-US" w:eastAsia="zh-CN"/>
                <w14:textFill>
                  <w14:solidFill>
                    <w14:schemeClr w14:val="tx1"/>
                  </w14:solidFill>
                </w14:textFill>
              </w:rPr>
              <w:t>甲方</w:t>
            </w:r>
            <w:r>
              <w:rPr>
                <w:rFonts w:hint="eastAsia" w:ascii="宋体" w:hAnsi="宋体" w:cs="宋体"/>
                <w:color w:val="000000" w:themeColor="text1"/>
                <w:sz w:val="24"/>
                <w:highlight w:val="none"/>
                <w14:textFill>
                  <w14:solidFill>
                    <w14:schemeClr w14:val="tx1"/>
                  </w14:solidFill>
                </w14:textFill>
              </w:rPr>
              <w:t>指定</w:t>
            </w:r>
            <w:r>
              <w:rPr>
                <w:rFonts w:hint="eastAsia" w:ascii="宋体" w:hAnsi="宋体" w:cs="宋体"/>
                <w:color w:val="000000" w:themeColor="text1"/>
                <w:sz w:val="24"/>
                <w:highlight w:val="none"/>
                <w:lang w:val="en-US" w:eastAsia="zh-CN"/>
                <w14:textFill>
                  <w14:solidFill>
                    <w14:schemeClr w14:val="tx1"/>
                  </w14:solidFill>
                </w14:textFill>
              </w:rPr>
              <w:t>实验室</w:t>
            </w:r>
            <w:r>
              <w:rPr>
                <w:rFonts w:hint="eastAsia" w:ascii="宋体" w:hAnsi="宋体" w:cs="宋体"/>
                <w:color w:val="000000" w:themeColor="text1"/>
                <w:sz w:val="24"/>
                <w:highlight w:val="none"/>
                <w14:textFill>
                  <w14:solidFill>
                    <w14:schemeClr w14:val="tx1"/>
                  </w14:solidFill>
                </w14:textFill>
              </w:rPr>
              <w:t>内。</w:t>
            </w:r>
          </w:p>
        </w:tc>
      </w:tr>
      <w:tr w14:paraId="563C3F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7FD2FB99">
            <w:pPr>
              <w:keepNext w:val="0"/>
              <w:keepLines w:val="0"/>
              <w:pageBreakBefore w:val="0"/>
              <w:widowControl w:val="0"/>
              <w:kinsoku/>
              <w:wordWrap/>
              <w:overflowPunct/>
              <w:topLinePunct w:val="0"/>
              <w:autoSpaceDE/>
              <w:autoSpaceDN/>
              <w:bidi w:val="0"/>
              <w:snapToGrid/>
              <w:spacing w:line="336" w:lineRule="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1.7.3</w:t>
            </w:r>
          </w:p>
        </w:tc>
        <w:tc>
          <w:tcPr>
            <w:tcW w:w="8206" w:type="dxa"/>
            <w:vAlign w:val="center"/>
          </w:tcPr>
          <w:p w14:paraId="7EFF679D">
            <w:pPr>
              <w:keepNext w:val="0"/>
              <w:keepLines w:val="0"/>
              <w:pageBreakBefore w:val="0"/>
              <w:widowControl w:val="0"/>
              <w:kinsoku/>
              <w:wordWrap/>
              <w:overflowPunct/>
              <w:topLinePunct w:val="0"/>
              <w:autoSpaceDE/>
              <w:autoSpaceDN/>
              <w:bidi w:val="0"/>
              <w:snapToGrid/>
              <w:spacing w:line="336" w:lineRule="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w:t>
            </w:r>
          </w:p>
        </w:tc>
      </w:tr>
      <w:tr w14:paraId="4DB4E6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4B44907A">
            <w:pPr>
              <w:keepNext w:val="0"/>
              <w:keepLines w:val="0"/>
              <w:pageBreakBefore w:val="0"/>
              <w:widowControl w:val="0"/>
              <w:kinsoku/>
              <w:wordWrap/>
              <w:overflowPunct/>
              <w:topLinePunct w:val="0"/>
              <w:autoSpaceDE/>
              <w:autoSpaceDN/>
              <w:bidi w:val="0"/>
              <w:snapToGrid/>
              <w:spacing w:line="336" w:lineRule="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1.7.4.1</w:t>
            </w:r>
          </w:p>
        </w:tc>
        <w:tc>
          <w:tcPr>
            <w:tcW w:w="8206" w:type="dxa"/>
            <w:vAlign w:val="center"/>
          </w:tcPr>
          <w:p w14:paraId="5F7D0E8F">
            <w:pPr>
              <w:keepNext w:val="0"/>
              <w:keepLines w:val="0"/>
              <w:pageBreakBefore w:val="0"/>
              <w:widowControl w:val="0"/>
              <w:kinsoku/>
              <w:wordWrap/>
              <w:overflowPunct/>
              <w:topLinePunct w:val="0"/>
              <w:autoSpaceDE/>
              <w:autoSpaceDN/>
              <w:bidi w:val="0"/>
              <w:snapToGrid/>
              <w:spacing w:line="336" w:lineRule="auto"/>
              <w:outlineLvl w:val="9"/>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按甲方通知</w:t>
            </w:r>
          </w:p>
        </w:tc>
      </w:tr>
      <w:tr w14:paraId="67F931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16FF9C82">
            <w:pPr>
              <w:keepNext w:val="0"/>
              <w:keepLines w:val="0"/>
              <w:pageBreakBefore w:val="0"/>
              <w:widowControl w:val="0"/>
              <w:kinsoku/>
              <w:wordWrap/>
              <w:overflowPunct/>
              <w:topLinePunct w:val="0"/>
              <w:autoSpaceDE/>
              <w:autoSpaceDN/>
              <w:bidi w:val="0"/>
              <w:snapToGrid/>
              <w:spacing w:line="336" w:lineRule="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1.7.4.2</w:t>
            </w:r>
          </w:p>
        </w:tc>
        <w:tc>
          <w:tcPr>
            <w:tcW w:w="8206" w:type="dxa"/>
            <w:vAlign w:val="center"/>
          </w:tcPr>
          <w:p w14:paraId="1B42F360">
            <w:pPr>
              <w:keepNext w:val="0"/>
              <w:keepLines w:val="0"/>
              <w:pageBreakBefore w:val="0"/>
              <w:widowControl w:val="0"/>
              <w:kinsoku/>
              <w:wordWrap/>
              <w:overflowPunct/>
              <w:topLinePunct w:val="0"/>
              <w:autoSpaceDE/>
              <w:autoSpaceDN/>
              <w:bidi w:val="0"/>
              <w:snapToGrid/>
              <w:spacing w:line="336" w:lineRule="auto"/>
              <w:outlineLvl w:val="9"/>
              <w:rPr>
                <w:rFonts w:ascii="宋体" w:hAnsi="宋体" w:eastAsia="宋体" w:cs="宋体"/>
                <w:color w:val="auto"/>
                <w:sz w:val="24"/>
                <w:highlight w:val="none"/>
              </w:rPr>
            </w:pPr>
            <w:r>
              <w:rPr>
                <w:rFonts w:hint="eastAsia" w:ascii="宋体" w:hAnsi="宋体" w:cs="宋体"/>
                <w:color w:val="000000" w:themeColor="text1"/>
                <w:sz w:val="24"/>
                <w:highlight w:val="none"/>
                <w:lang w:val="en-US" w:eastAsia="zh-CN"/>
                <w14:textFill>
                  <w14:solidFill>
                    <w14:schemeClr w14:val="tx1"/>
                  </w14:solidFill>
                </w14:textFill>
              </w:rPr>
              <w:t>甲方</w:t>
            </w:r>
            <w:r>
              <w:rPr>
                <w:rFonts w:hint="eastAsia" w:ascii="宋体" w:hAnsi="宋体" w:cs="宋体"/>
                <w:color w:val="000000" w:themeColor="text1"/>
                <w:sz w:val="24"/>
                <w:highlight w:val="none"/>
                <w14:textFill>
                  <w14:solidFill>
                    <w14:schemeClr w14:val="tx1"/>
                  </w14:solidFill>
                </w14:textFill>
              </w:rPr>
              <w:t>指定</w:t>
            </w:r>
            <w:r>
              <w:rPr>
                <w:rFonts w:hint="eastAsia" w:ascii="宋体" w:hAnsi="宋体" w:cs="宋体"/>
                <w:color w:val="000000" w:themeColor="text1"/>
                <w:sz w:val="24"/>
                <w:highlight w:val="none"/>
                <w:lang w:val="en-US" w:eastAsia="zh-CN"/>
                <w14:textFill>
                  <w14:solidFill>
                    <w14:schemeClr w14:val="tx1"/>
                  </w14:solidFill>
                </w14:textFill>
              </w:rPr>
              <w:t>实验室</w:t>
            </w:r>
            <w:r>
              <w:rPr>
                <w:rFonts w:hint="eastAsia" w:ascii="宋体" w:hAnsi="宋体" w:cs="宋体"/>
                <w:color w:val="000000" w:themeColor="text1"/>
                <w:sz w:val="24"/>
                <w:highlight w:val="none"/>
                <w14:textFill>
                  <w14:solidFill>
                    <w14:schemeClr w14:val="tx1"/>
                  </w14:solidFill>
                </w14:textFill>
              </w:rPr>
              <w:t>内。</w:t>
            </w:r>
          </w:p>
        </w:tc>
      </w:tr>
      <w:tr w14:paraId="7EA0CA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025584C6">
            <w:pPr>
              <w:keepNext w:val="0"/>
              <w:keepLines w:val="0"/>
              <w:pageBreakBefore w:val="0"/>
              <w:widowControl w:val="0"/>
              <w:kinsoku/>
              <w:wordWrap/>
              <w:overflowPunct/>
              <w:topLinePunct w:val="0"/>
              <w:autoSpaceDE/>
              <w:autoSpaceDN/>
              <w:bidi w:val="0"/>
              <w:snapToGrid/>
              <w:spacing w:line="336" w:lineRule="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1.7.4.3</w:t>
            </w:r>
          </w:p>
        </w:tc>
        <w:tc>
          <w:tcPr>
            <w:tcW w:w="8206" w:type="dxa"/>
            <w:vAlign w:val="center"/>
          </w:tcPr>
          <w:p w14:paraId="0778EA4E">
            <w:pPr>
              <w:keepNext w:val="0"/>
              <w:keepLines w:val="0"/>
              <w:pageBreakBefore w:val="0"/>
              <w:widowControl w:val="0"/>
              <w:kinsoku/>
              <w:wordWrap/>
              <w:overflowPunct/>
              <w:topLinePunct w:val="0"/>
              <w:autoSpaceDE/>
              <w:autoSpaceDN/>
              <w:bidi w:val="0"/>
              <w:snapToGrid/>
              <w:spacing w:line="336" w:lineRule="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现货</w:t>
            </w:r>
          </w:p>
        </w:tc>
      </w:tr>
      <w:tr w14:paraId="2A0D46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495E7FA4">
            <w:pPr>
              <w:keepNext w:val="0"/>
              <w:keepLines w:val="0"/>
              <w:pageBreakBefore w:val="0"/>
              <w:widowControl w:val="0"/>
              <w:kinsoku/>
              <w:wordWrap/>
              <w:overflowPunct/>
              <w:topLinePunct w:val="0"/>
              <w:autoSpaceDE/>
              <w:autoSpaceDN/>
              <w:bidi w:val="0"/>
              <w:snapToGrid/>
              <w:spacing w:line="336" w:lineRule="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1.8.7</w:t>
            </w:r>
          </w:p>
        </w:tc>
        <w:tc>
          <w:tcPr>
            <w:tcW w:w="8206" w:type="dxa"/>
            <w:vAlign w:val="center"/>
          </w:tcPr>
          <w:p w14:paraId="1A3E8AA3">
            <w:pPr>
              <w:keepNext w:val="0"/>
              <w:keepLines w:val="0"/>
              <w:pageBreakBefore w:val="0"/>
              <w:widowControl w:val="0"/>
              <w:kinsoku/>
              <w:wordWrap/>
              <w:overflowPunct/>
              <w:topLinePunct w:val="0"/>
              <w:autoSpaceDE/>
              <w:autoSpaceDN/>
              <w:bidi w:val="0"/>
              <w:snapToGrid/>
              <w:spacing w:line="336" w:lineRule="auto"/>
              <w:outlineLvl w:val="9"/>
              <w:rPr>
                <w:rFonts w:hint="eastAsia" w:ascii="Times New Roman" w:hAnsi="Times New Roman" w:eastAsia="宋体" w:cs="Times New Roman"/>
                <w:color w:val="auto"/>
                <w:highlight w:val="none"/>
                <w:lang w:val="en-US" w:eastAsia="zh-CN"/>
              </w:rPr>
            </w:pPr>
            <w:r>
              <w:rPr>
                <w:rFonts w:hint="eastAsia" w:cs="Times New Roman"/>
                <w:color w:val="auto"/>
                <w:highlight w:val="none"/>
                <w:lang w:val="en-US" w:eastAsia="zh-CN"/>
              </w:rPr>
              <w:t>/</w:t>
            </w:r>
          </w:p>
        </w:tc>
      </w:tr>
      <w:tr w14:paraId="55431E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3A85302B">
            <w:pPr>
              <w:keepNext w:val="0"/>
              <w:keepLines w:val="0"/>
              <w:pageBreakBefore w:val="0"/>
              <w:widowControl w:val="0"/>
              <w:kinsoku/>
              <w:wordWrap/>
              <w:overflowPunct/>
              <w:topLinePunct w:val="0"/>
              <w:autoSpaceDE/>
              <w:autoSpaceDN/>
              <w:bidi w:val="0"/>
              <w:snapToGrid/>
              <w:spacing w:line="336" w:lineRule="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1.9.1</w:t>
            </w:r>
          </w:p>
        </w:tc>
        <w:tc>
          <w:tcPr>
            <w:tcW w:w="8206" w:type="dxa"/>
            <w:vAlign w:val="center"/>
          </w:tcPr>
          <w:p w14:paraId="1A4227EB">
            <w:pPr>
              <w:keepNext w:val="0"/>
              <w:keepLines w:val="0"/>
              <w:pageBreakBefore w:val="0"/>
              <w:widowControl w:val="0"/>
              <w:kinsoku/>
              <w:wordWrap/>
              <w:overflowPunct/>
              <w:topLinePunct w:val="0"/>
              <w:autoSpaceDE/>
              <w:autoSpaceDN/>
              <w:bidi w:val="0"/>
              <w:snapToGrid/>
              <w:spacing w:line="336" w:lineRule="auto"/>
              <w:outlineLvl w:val="9"/>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2174EC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007200B5">
            <w:pPr>
              <w:keepNext w:val="0"/>
              <w:keepLines w:val="0"/>
              <w:pageBreakBefore w:val="0"/>
              <w:widowControl w:val="0"/>
              <w:kinsoku/>
              <w:wordWrap/>
              <w:overflowPunct/>
              <w:topLinePunct w:val="0"/>
              <w:autoSpaceDE/>
              <w:autoSpaceDN/>
              <w:bidi w:val="0"/>
              <w:snapToGrid/>
              <w:spacing w:line="336" w:lineRule="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1.9.2</w:t>
            </w:r>
          </w:p>
        </w:tc>
        <w:tc>
          <w:tcPr>
            <w:tcW w:w="8206" w:type="dxa"/>
            <w:vAlign w:val="center"/>
          </w:tcPr>
          <w:p w14:paraId="67102CDC">
            <w:pPr>
              <w:keepNext w:val="0"/>
              <w:keepLines w:val="0"/>
              <w:pageBreakBefore w:val="0"/>
              <w:widowControl w:val="0"/>
              <w:kinsoku/>
              <w:wordWrap/>
              <w:overflowPunct/>
              <w:topLinePunct w:val="0"/>
              <w:autoSpaceDE/>
              <w:autoSpaceDN/>
              <w:bidi w:val="0"/>
              <w:snapToGrid/>
              <w:spacing w:line="336" w:lineRule="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宁波市</w:t>
            </w:r>
            <w:r>
              <w:rPr>
                <w:rFonts w:hint="eastAsia" w:ascii="宋体" w:hAnsi="宋体" w:cs="宋体"/>
                <w:color w:val="auto"/>
                <w:sz w:val="24"/>
                <w:highlight w:val="none"/>
                <w:lang w:val="en-US" w:eastAsia="zh-CN"/>
              </w:rPr>
              <w:t>宁海县</w:t>
            </w:r>
          </w:p>
        </w:tc>
      </w:tr>
      <w:tr w14:paraId="35D808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0A110DAB">
            <w:pPr>
              <w:keepNext w:val="0"/>
              <w:keepLines w:val="0"/>
              <w:pageBreakBefore w:val="0"/>
              <w:widowControl w:val="0"/>
              <w:kinsoku/>
              <w:wordWrap/>
              <w:overflowPunct/>
              <w:topLinePunct w:val="0"/>
              <w:autoSpaceDE/>
              <w:autoSpaceDN/>
              <w:bidi w:val="0"/>
              <w:snapToGrid/>
              <w:spacing w:line="336" w:lineRule="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2.3.2</w:t>
            </w:r>
          </w:p>
        </w:tc>
        <w:tc>
          <w:tcPr>
            <w:tcW w:w="8206" w:type="dxa"/>
            <w:vAlign w:val="center"/>
          </w:tcPr>
          <w:p w14:paraId="01D0AFE1">
            <w:pPr>
              <w:keepNext w:val="0"/>
              <w:keepLines w:val="0"/>
              <w:pageBreakBefore w:val="0"/>
              <w:widowControl w:val="0"/>
              <w:kinsoku/>
              <w:wordWrap/>
              <w:overflowPunct/>
              <w:topLinePunct w:val="0"/>
              <w:autoSpaceDE/>
              <w:autoSpaceDN/>
              <w:bidi w:val="0"/>
              <w:snapToGrid/>
              <w:spacing w:line="336" w:lineRule="auto"/>
              <w:ind w:left="-420" w:leftChars="-200" w:right="-420" w:rightChars="-200" w:firstLine="480" w:firstLineChars="200"/>
              <w:outlineLvl w:val="9"/>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归甲方所有</w:t>
            </w:r>
          </w:p>
        </w:tc>
      </w:tr>
      <w:tr w14:paraId="4E4B8E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5BD872C1">
            <w:pPr>
              <w:keepNext w:val="0"/>
              <w:keepLines w:val="0"/>
              <w:pageBreakBefore w:val="0"/>
              <w:widowControl w:val="0"/>
              <w:kinsoku/>
              <w:wordWrap/>
              <w:overflowPunct/>
              <w:topLinePunct w:val="0"/>
              <w:autoSpaceDE/>
              <w:autoSpaceDN/>
              <w:bidi w:val="0"/>
              <w:snapToGrid/>
              <w:spacing w:line="336" w:lineRule="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2.</w:t>
            </w:r>
            <w:r>
              <w:rPr>
                <w:rFonts w:ascii="宋体" w:hAnsi="宋体" w:eastAsia="宋体" w:cs="宋体"/>
                <w:color w:val="auto"/>
                <w:sz w:val="24"/>
                <w:highlight w:val="none"/>
              </w:rPr>
              <w:t>5</w:t>
            </w:r>
          </w:p>
        </w:tc>
        <w:tc>
          <w:tcPr>
            <w:tcW w:w="8206" w:type="dxa"/>
            <w:vAlign w:val="center"/>
          </w:tcPr>
          <w:p w14:paraId="67B15E74">
            <w:pPr>
              <w:keepNext w:val="0"/>
              <w:keepLines w:val="0"/>
              <w:pageBreakBefore w:val="0"/>
              <w:widowControl w:val="0"/>
              <w:kinsoku/>
              <w:wordWrap/>
              <w:overflowPunct/>
              <w:topLinePunct w:val="0"/>
              <w:autoSpaceDE/>
              <w:autoSpaceDN/>
              <w:bidi w:val="0"/>
              <w:adjustRightInd/>
              <w:snapToGrid/>
              <w:spacing w:line="336" w:lineRule="auto"/>
              <w:jc w:val="left"/>
              <w:textAlignment w:val="auto"/>
              <w:outlineLvl w:val="9"/>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（1）试剂采购及日常检测部分：根据实际采购量按实进行结算，按季支付。（每季度支付费用=实际数量×单价）</w:t>
            </w:r>
          </w:p>
          <w:p w14:paraId="26E11EB6">
            <w:pPr>
              <w:keepNext w:val="0"/>
              <w:keepLines w:val="0"/>
              <w:pageBreakBefore w:val="0"/>
              <w:widowControl w:val="0"/>
              <w:kinsoku/>
              <w:wordWrap/>
              <w:overflowPunct/>
              <w:topLinePunct w:val="0"/>
              <w:autoSpaceDE/>
              <w:autoSpaceDN/>
              <w:bidi w:val="0"/>
              <w:adjustRightInd/>
              <w:snapToGrid/>
              <w:spacing w:line="336" w:lineRule="auto"/>
              <w:jc w:val="left"/>
              <w:textAlignment w:val="auto"/>
              <w:outlineLvl w:val="9"/>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（2）快检室建设部分：实验室最终验收合格后支付至快检室建设费用的100%。</w:t>
            </w:r>
          </w:p>
          <w:p w14:paraId="68417EE2">
            <w:pPr>
              <w:keepNext w:val="0"/>
              <w:keepLines w:val="0"/>
              <w:pageBreakBefore w:val="0"/>
              <w:widowControl w:val="0"/>
              <w:kinsoku/>
              <w:wordWrap/>
              <w:overflowPunct/>
              <w:topLinePunct w:val="0"/>
              <w:autoSpaceDE/>
              <w:autoSpaceDN/>
              <w:bidi w:val="0"/>
              <w:snapToGrid/>
              <w:spacing w:line="336" w:lineRule="auto"/>
              <w:outlineLvl w:val="9"/>
              <w:rPr>
                <w:rFonts w:ascii="宋体" w:hAnsi="宋体" w:eastAsia="宋体" w:cs="宋体"/>
                <w:color w:val="auto"/>
                <w:sz w:val="24"/>
                <w:highlight w:val="none"/>
              </w:rPr>
            </w:pPr>
            <w:r>
              <w:rPr>
                <w:rFonts w:hint="eastAsia" w:ascii="宋体" w:hAnsi="宋体" w:eastAsia="宋体" w:cs="宋体"/>
                <w:kern w:val="0"/>
                <w:sz w:val="24"/>
                <w:szCs w:val="24"/>
                <w:highlight w:val="none"/>
                <w:lang w:val="en-US" w:eastAsia="zh-CN" w:bidi="ar"/>
              </w:rPr>
              <w:t>（3）</w:t>
            </w:r>
            <w:r>
              <w:rPr>
                <w:rFonts w:ascii="宋体" w:hAnsi="宋体" w:eastAsia="宋体" w:cs="宋体"/>
                <w:kern w:val="0"/>
                <w:sz w:val="24"/>
                <w:szCs w:val="24"/>
                <w:highlight w:val="none"/>
                <w:lang w:val="en-US" w:eastAsia="zh-CN" w:bidi="ar"/>
              </w:rPr>
              <w:t>款项将首先从</w:t>
            </w:r>
            <w:r>
              <w:rPr>
                <w:rFonts w:hint="eastAsia" w:ascii="宋体" w:hAnsi="宋体" w:eastAsia="宋体" w:cs="宋体"/>
                <w:kern w:val="0"/>
                <w:sz w:val="24"/>
                <w:szCs w:val="24"/>
                <w:highlight w:val="none"/>
                <w:lang w:val="en-US" w:eastAsia="zh-CN" w:bidi="ar"/>
              </w:rPr>
              <w:t>甲方</w:t>
            </w:r>
            <w:r>
              <w:rPr>
                <w:rFonts w:ascii="宋体" w:hAnsi="宋体" w:eastAsia="宋体" w:cs="宋体"/>
                <w:kern w:val="0"/>
                <w:sz w:val="24"/>
                <w:szCs w:val="24"/>
                <w:highlight w:val="none"/>
                <w:lang w:val="en-US" w:eastAsia="zh-CN" w:bidi="ar"/>
              </w:rPr>
              <w:t>已支付的预付款中进行等额抵扣。</w:t>
            </w:r>
          </w:p>
        </w:tc>
      </w:tr>
      <w:tr w14:paraId="33B157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19B2E132">
            <w:pPr>
              <w:keepNext w:val="0"/>
              <w:keepLines w:val="0"/>
              <w:pageBreakBefore w:val="0"/>
              <w:widowControl w:val="0"/>
              <w:kinsoku/>
              <w:wordWrap/>
              <w:overflowPunct/>
              <w:topLinePunct w:val="0"/>
              <w:autoSpaceDE/>
              <w:autoSpaceDN/>
              <w:bidi w:val="0"/>
              <w:snapToGrid/>
              <w:spacing w:line="336" w:lineRule="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2.</w:t>
            </w:r>
            <w:r>
              <w:rPr>
                <w:rFonts w:ascii="宋体" w:hAnsi="宋体" w:eastAsia="宋体" w:cs="宋体"/>
                <w:color w:val="auto"/>
                <w:sz w:val="24"/>
                <w:highlight w:val="none"/>
              </w:rPr>
              <w:t>11</w:t>
            </w:r>
            <w:r>
              <w:rPr>
                <w:rFonts w:hint="eastAsia" w:ascii="宋体" w:hAnsi="宋体" w:eastAsia="宋体" w:cs="宋体"/>
                <w:color w:val="auto"/>
                <w:sz w:val="24"/>
                <w:highlight w:val="none"/>
              </w:rPr>
              <w:t>.</w:t>
            </w:r>
            <w:r>
              <w:rPr>
                <w:rFonts w:ascii="宋体" w:hAnsi="宋体" w:eastAsia="宋体" w:cs="宋体"/>
                <w:color w:val="auto"/>
                <w:sz w:val="24"/>
                <w:highlight w:val="none"/>
              </w:rPr>
              <w:t>3</w:t>
            </w:r>
          </w:p>
        </w:tc>
        <w:tc>
          <w:tcPr>
            <w:tcW w:w="8206" w:type="dxa"/>
            <w:vAlign w:val="center"/>
          </w:tcPr>
          <w:p w14:paraId="10428788">
            <w:pPr>
              <w:keepNext w:val="0"/>
              <w:keepLines w:val="0"/>
              <w:pageBreakBefore w:val="0"/>
              <w:widowControl w:val="0"/>
              <w:kinsoku/>
              <w:wordWrap/>
              <w:overflowPunct/>
              <w:topLinePunct w:val="0"/>
              <w:autoSpaceDE/>
              <w:autoSpaceDN/>
              <w:bidi w:val="0"/>
              <w:adjustRightInd w:val="0"/>
              <w:snapToGrid/>
              <w:spacing w:line="336" w:lineRule="auto"/>
              <w:ind w:right="0" w:rightChars="0"/>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不可抗力</w:t>
            </w:r>
            <w:r>
              <w:rPr>
                <w:rFonts w:hint="eastAsia" w:ascii="宋体" w:hAnsi="宋体" w:cs="宋体"/>
                <w:color w:val="auto"/>
                <w:sz w:val="24"/>
                <w:highlight w:val="none"/>
                <w:lang w:eastAsia="zh-CN"/>
              </w:rPr>
              <w:t>事件发生后</w:t>
            </w:r>
            <w:r>
              <w:rPr>
                <w:rFonts w:hint="eastAsia" w:ascii="宋体" w:hAnsi="宋体" w:eastAsia="宋体" w:cs="宋体"/>
                <w:color w:val="auto"/>
                <w:sz w:val="24"/>
                <w:highlight w:val="none"/>
              </w:rPr>
              <w:t>7天</w:t>
            </w:r>
            <w:r>
              <w:rPr>
                <w:rFonts w:hint="eastAsia" w:ascii="宋体" w:hAnsi="宋体" w:eastAsia="宋体" w:cs="宋体"/>
                <w:color w:val="auto"/>
                <w:sz w:val="24"/>
                <w:highlight w:val="none"/>
                <w:lang w:eastAsia="zh-CN"/>
              </w:rPr>
              <w:t>。</w:t>
            </w:r>
          </w:p>
        </w:tc>
      </w:tr>
      <w:tr w14:paraId="5A7101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tcPr>
          <w:p w14:paraId="4191FB58">
            <w:pPr>
              <w:keepNext w:val="0"/>
              <w:keepLines w:val="0"/>
              <w:pageBreakBefore w:val="0"/>
              <w:widowControl w:val="0"/>
              <w:kinsoku/>
              <w:wordWrap/>
              <w:overflowPunct/>
              <w:topLinePunct w:val="0"/>
              <w:autoSpaceDE/>
              <w:autoSpaceDN/>
              <w:bidi w:val="0"/>
              <w:snapToGrid/>
              <w:spacing w:line="336" w:lineRule="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2.</w:t>
            </w:r>
            <w:r>
              <w:rPr>
                <w:rFonts w:ascii="宋体" w:hAnsi="宋体" w:eastAsia="宋体" w:cs="宋体"/>
                <w:color w:val="auto"/>
                <w:sz w:val="24"/>
                <w:highlight w:val="none"/>
              </w:rPr>
              <w:t>11.4</w:t>
            </w:r>
            <w:r>
              <w:rPr>
                <w:rFonts w:hint="eastAsia" w:ascii="宋体" w:hAnsi="宋体" w:eastAsia="宋体" w:cs="宋体"/>
                <w:color w:val="auto"/>
                <w:sz w:val="24"/>
                <w:highlight w:val="none"/>
              </w:rPr>
              <w:t xml:space="preserve"> </w:t>
            </w:r>
          </w:p>
        </w:tc>
        <w:tc>
          <w:tcPr>
            <w:tcW w:w="8206" w:type="dxa"/>
            <w:vAlign w:val="top"/>
          </w:tcPr>
          <w:p w14:paraId="0527F798">
            <w:pPr>
              <w:keepNext w:val="0"/>
              <w:keepLines w:val="0"/>
              <w:pageBreakBefore w:val="0"/>
              <w:widowControl w:val="0"/>
              <w:kinsoku/>
              <w:wordWrap/>
              <w:overflowPunct/>
              <w:topLinePunct w:val="0"/>
              <w:autoSpaceDE/>
              <w:autoSpaceDN/>
              <w:bidi w:val="0"/>
              <w:adjustRightInd w:val="0"/>
              <w:snapToGrid/>
              <w:spacing w:line="336" w:lineRule="auto"/>
              <w:ind w:right="0" w:rightChars="0"/>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不可抗力</w:t>
            </w:r>
            <w:r>
              <w:rPr>
                <w:rFonts w:hint="eastAsia" w:ascii="宋体" w:hAnsi="宋体" w:cs="宋体"/>
                <w:color w:val="auto"/>
                <w:sz w:val="24"/>
                <w:highlight w:val="none"/>
                <w:lang w:eastAsia="zh-CN"/>
              </w:rPr>
              <w:t>事件发生后</w:t>
            </w:r>
            <w:r>
              <w:rPr>
                <w:rFonts w:hint="eastAsia" w:ascii="宋体" w:hAnsi="宋体" w:eastAsia="宋体" w:cs="宋体"/>
                <w:color w:val="auto"/>
                <w:sz w:val="24"/>
                <w:highlight w:val="none"/>
              </w:rPr>
              <w:t>7天。</w:t>
            </w:r>
          </w:p>
        </w:tc>
      </w:tr>
      <w:tr w14:paraId="3A04CF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6136AAAD">
            <w:pPr>
              <w:keepNext w:val="0"/>
              <w:keepLines w:val="0"/>
              <w:pageBreakBefore w:val="0"/>
              <w:widowControl w:val="0"/>
              <w:kinsoku/>
              <w:wordWrap/>
              <w:overflowPunct/>
              <w:topLinePunct w:val="0"/>
              <w:autoSpaceDE/>
              <w:autoSpaceDN/>
              <w:bidi w:val="0"/>
              <w:snapToGrid/>
              <w:spacing w:line="336" w:lineRule="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2.</w:t>
            </w:r>
            <w:r>
              <w:rPr>
                <w:rFonts w:ascii="宋体" w:hAnsi="宋体" w:eastAsia="宋体" w:cs="宋体"/>
                <w:color w:val="auto"/>
                <w:sz w:val="24"/>
                <w:highlight w:val="none"/>
              </w:rPr>
              <w:t>15</w:t>
            </w:r>
            <w:r>
              <w:rPr>
                <w:rFonts w:hint="eastAsia" w:ascii="宋体" w:hAnsi="宋体" w:eastAsia="宋体" w:cs="宋体"/>
                <w:color w:val="auto"/>
                <w:sz w:val="24"/>
                <w:highlight w:val="none"/>
              </w:rPr>
              <w:t>.</w:t>
            </w:r>
            <w:r>
              <w:rPr>
                <w:rFonts w:ascii="宋体" w:hAnsi="宋体" w:eastAsia="宋体" w:cs="宋体"/>
                <w:color w:val="auto"/>
                <w:sz w:val="24"/>
                <w:highlight w:val="none"/>
              </w:rPr>
              <w:t>1</w:t>
            </w:r>
          </w:p>
        </w:tc>
        <w:tc>
          <w:tcPr>
            <w:tcW w:w="8206" w:type="dxa"/>
            <w:vAlign w:val="center"/>
          </w:tcPr>
          <w:p w14:paraId="25B57946">
            <w:pPr>
              <w:keepNext w:val="0"/>
              <w:keepLines w:val="0"/>
              <w:pageBreakBefore w:val="0"/>
              <w:widowControl w:val="0"/>
              <w:kinsoku/>
              <w:wordWrap/>
              <w:overflowPunct/>
              <w:topLinePunct w:val="0"/>
              <w:autoSpaceDE/>
              <w:autoSpaceDN/>
              <w:bidi w:val="0"/>
              <w:adjustRightInd w:val="0"/>
              <w:snapToGrid/>
              <w:spacing w:line="336" w:lineRule="auto"/>
              <w:ind w:right="0" w:rightChars="0"/>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w:t>
            </w:r>
          </w:p>
        </w:tc>
      </w:tr>
      <w:tr w14:paraId="7174A2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425F8E16">
            <w:pPr>
              <w:keepNext w:val="0"/>
              <w:keepLines w:val="0"/>
              <w:pageBreakBefore w:val="0"/>
              <w:widowControl w:val="0"/>
              <w:kinsoku/>
              <w:wordWrap/>
              <w:overflowPunct/>
              <w:topLinePunct w:val="0"/>
              <w:autoSpaceDE/>
              <w:autoSpaceDN/>
              <w:bidi w:val="0"/>
              <w:snapToGrid/>
              <w:spacing w:line="336" w:lineRule="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2.</w:t>
            </w:r>
            <w:r>
              <w:rPr>
                <w:rFonts w:ascii="宋体" w:hAnsi="宋体" w:eastAsia="宋体" w:cs="宋体"/>
                <w:color w:val="auto"/>
                <w:sz w:val="24"/>
                <w:highlight w:val="none"/>
              </w:rPr>
              <w:t>15</w:t>
            </w:r>
            <w:r>
              <w:rPr>
                <w:rFonts w:hint="eastAsia" w:ascii="宋体" w:hAnsi="宋体" w:eastAsia="宋体" w:cs="宋体"/>
                <w:color w:val="auto"/>
                <w:sz w:val="24"/>
                <w:highlight w:val="none"/>
              </w:rPr>
              <w:t>.</w:t>
            </w:r>
            <w:r>
              <w:rPr>
                <w:rFonts w:ascii="宋体" w:hAnsi="宋体" w:eastAsia="宋体" w:cs="宋体"/>
                <w:color w:val="auto"/>
                <w:sz w:val="24"/>
                <w:highlight w:val="none"/>
              </w:rPr>
              <w:t>3</w:t>
            </w:r>
          </w:p>
        </w:tc>
        <w:tc>
          <w:tcPr>
            <w:tcW w:w="8206" w:type="dxa"/>
            <w:vAlign w:val="center"/>
          </w:tcPr>
          <w:p w14:paraId="7EC9FCDE">
            <w:pPr>
              <w:keepNext w:val="0"/>
              <w:keepLines w:val="0"/>
              <w:pageBreakBefore w:val="0"/>
              <w:widowControl w:val="0"/>
              <w:kinsoku/>
              <w:wordWrap/>
              <w:overflowPunct/>
              <w:topLinePunct w:val="0"/>
              <w:autoSpaceDE/>
              <w:autoSpaceDN/>
              <w:bidi w:val="0"/>
              <w:adjustRightInd w:val="0"/>
              <w:snapToGrid/>
              <w:spacing w:line="336" w:lineRule="auto"/>
              <w:ind w:right="0" w:rightChars="0"/>
              <w:textAlignment w:val="auto"/>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按照</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lang w:eastAsia="zh-CN"/>
              </w:rPr>
              <w:t>文件</w:t>
            </w:r>
            <w:r>
              <w:rPr>
                <w:rFonts w:hint="eastAsia" w:ascii="宋体" w:hAnsi="宋体" w:eastAsia="宋体" w:cs="宋体"/>
                <w:color w:val="auto"/>
                <w:sz w:val="24"/>
                <w:highlight w:val="none"/>
              </w:rPr>
              <w:t>和</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提供的</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文件及</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和</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签订的政府采购合同为标准进行验收。</w:t>
            </w:r>
            <w:r>
              <w:rPr>
                <w:rFonts w:hint="eastAsia" w:ascii="宋体" w:hAnsi="宋体" w:cs="宋体"/>
                <w:color w:val="auto"/>
                <w:sz w:val="24"/>
                <w:highlight w:val="none"/>
                <w:lang w:val="en-US" w:eastAsia="zh-CN"/>
              </w:rPr>
              <w:t>(其中</w:t>
            </w:r>
            <w:r>
              <w:rPr>
                <w:rFonts w:hint="eastAsia" w:ascii="宋体" w:hAnsi="宋体" w:eastAsia="宋体" w:cs="宋体"/>
                <w:color w:val="auto"/>
                <w:sz w:val="24"/>
                <w:highlight w:val="none"/>
                <w:lang w:val="en-US" w:eastAsia="zh-CN"/>
              </w:rPr>
              <w:t>快检室按附表标准进行验收打分，满分</w:t>
            </w:r>
            <w:r>
              <w:rPr>
                <w:rFonts w:hint="eastAsia" w:ascii="宋体" w:hAnsi="宋体" w:cs="宋体"/>
                <w:color w:val="auto"/>
                <w:sz w:val="24"/>
                <w:highlight w:val="none"/>
                <w:lang w:val="en-US" w:eastAsia="zh-CN"/>
              </w:rPr>
              <w:t>50</w:t>
            </w:r>
            <w:r>
              <w:rPr>
                <w:rFonts w:hint="eastAsia" w:ascii="宋体" w:hAnsi="宋体" w:eastAsia="宋体" w:cs="宋体"/>
                <w:color w:val="auto"/>
                <w:sz w:val="24"/>
                <w:highlight w:val="none"/>
                <w:lang w:val="en-US" w:eastAsia="zh-CN"/>
              </w:rPr>
              <w:t>分，低于</w:t>
            </w:r>
            <w:r>
              <w:rPr>
                <w:rFonts w:hint="eastAsia" w:ascii="宋体" w:hAnsi="宋体" w:cs="宋体"/>
                <w:color w:val="auto"/>
                <w:sz w:val="24"/>
                <w:highlight w:val="none"/>
                <w:lang w:val="en-US" w:eastAsia="zh-CN"/>
              </w:rPr>
              <w:t>45</w:t>
            </w:r>
            <w:r>
              <w:rPr>
                <w:rFonts w:hint="eastAsia" w:ascii="宋体" w:hAnsi="宋体" w:eastAsia="宋体" w:cs="宋体"/>
                <w:color w:val="auto"/>
                <w:sz w:val="24"/>
                <w:highlight w:val="none"/>
                <w:lang w:val="en-US" w:eastAsia="zh-CN"/>
              </w:rPr>
              <w:t>分的，验收</w:t>
            </w:r>
            <w:r>
              <w:rPr>
                <w:rFonts w:hint="eastAsia" w:ascii="宋体" w:hAnsi="宋体" w:cs="宋体"/>
                <w:color w:val="auto"/>
                <w:sz w:val="24"/>
                <w:highlight w:val="none"/>
                <w:lang w:val="en-US" w:eastAsia="zh-CN"/>
              </w:rPr>
              <w:t>做不合格处理</w:t>
            </w:r>
            <w:r>
              <w:rPr>
                <w:rFonts w:hint="eastAsia" w:ascii="宋体" w:hAnsi="宋体" w:eastAsia="宋体" w:cs="宋体"/>
                <w:color w:val="auto"/>
                <w:sz w:val="24"/>
                <w:highlight w:val="none"/>
                <w:lang w:val="en-US" w:eastAsia="zh-CN"/>
              </w:rPr>
              <w:t xml:space="preserve">。甲方有权要求乙方进行整改，并按 </w:t>
            </w:r>
            <w:r>
              <w:rPr>
                <w:rFonts w:hint="eastAsia" w:ascii="宋体" w:hAnsi="宋体" w:cs="宋体"/>
                <w:color w:val="auto"/>
                <w:sz w:val="24"/>
                <w:highlight w:val="none"/>
                <w:lang w:val="en-US" w:eastAsia="zh-CN"/>
              </w:rPr>
              <w:t>1000</w:t>
            </w:r>
            <w:r>
              <w:rPr>
                <w:rFonts w:hint="eastAsia" w:ascii="宋体" w:hAnsi="宋体" w:eastAsia="宋体" w:cs="宋体"/>
                <w:color w:val="auto"/>
                <w:sz w:val="24"/>
                <w:highlight w:val="none"/>
                <w:lang w:val="en-US" w:eastAsia="zh-CN"/>
              </w:rPr>
              <w:t>元/天进行扣罚。</w:t>
            </w:r>
            <w:r>
              <w:rPr>
                <w:rFonts w:hint="eastAsia" w:ascii="宋体" w:hAnsi="宋体" w:cs="宋体"/>
                <w:color w:val="auto"/>
                <w:sz w:val="24"/>
                <w:highlight w:val="none"/>
                <w:lang w:val="en-US" w:eastAsia="zh-CN"/>
              </w:rPr>
              <w:t>)</w:t>
            </w:r>
          </w:p>
        </w:tc>
      </w:tr>
      <w:tr w14:paraId="1F11F5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tcPr>
          <w:p w14:paraId="3408664E">
            <w:pPr>
              <w:keepNext w:val="0"/>
              <w:keepLines w:val="0"/>
              <w:pageBreakBefore w:val="0"/>
              <w:widowControl w:val="0"/>
              <w:kinsoku/>
              <w:wordWrap/>
              <w:overflowPunct/>
              <w:topLinePunct w:val="0"/>
              <w:autoSpaceDE/>
              <w:autoSpaceDN/>
              <w:bidi w:val="0"/>
              <w:snapToGrid/>
              <w:spacing w:line="336" w:lineRule="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2.19</w:t>
            </w:r>
          </w:p>
        </w:tc>
        <w:tc>
          <w:tcPr>
            <w:tcW w:w="8206" w:type="dxa"/>
          </w:tcPr>
          <w:p w14:paraId="137FC7E1">
            <w:pPr>
              <w:keepNext w:val="0"/>
              <w:keepLines w:val="0"/>
              <w:pageBreakBefore w:val="0"/>
              <w:widowControl w:val="0"/>
              <w:kinsoku/>
              <w:wordWrap/>
              <w:overflowPunct/>
              <w:topLinePunct w:val="0"/>
              <w:autoSpaceDE/>
              <w:autoSpaceDN/>
              <w:bidi w:val="0"/>
              <w:snapToGrid/>
              <w:spacing w:line="336" w:lineRule="auto"/>
              <w:outlineLvl w:val="9"/>
              <w:rPr>
                <w:rFonts w:ascii="宋体" w:hAnsi="宋体" w:eastAsia="宋体" w:cs="宋体"/>
                <w:color w:val="auto"/>
                <w:sz w:val="24"/>
                <w:highlight w:val="none"/>
              </w:rPr>
            </w:pPr>
            <w:r>
              <w:rPr>
                <w:rFonts w:ascii="宋体" w:hAnsi="宋体" w:eastAsia="宋体" w:cs="宋体"/>
                <w:color w:val="auto"/>
                <w:sz w:val="24"/>
                <w:highlight w:val="none"/>
              </w:rPr>
              <w:t>一式</w:t>
            </w:r>
            <w:r>
              <w:rPr>
                <w:rFonts w:hint="eastAsia" w:ascii="宋体" w:hAnsi="宋体" w:eastAsia="宋体" w:cs="宋体"/>
                <w:color w:val="auto"/>
                <w:sz w:val="24"/>
                <w:highlight w:val="none"/>
                <w:u w:val="single"/>
              </w:rPr>
              <w:t xml:space="preserve">  </w:t>
            </w:r>
            <w:r>
              <w:rPr>
                <w:rFonts w:ascii="宋体" w:hAnsi="宋体" w:eastAsia="宋体" w:cs="宋体"/>
                <w:color w:val="auto"/>
                <w:sz w:val="24"/>
                <w:highlight w:val="none"/>
              </w:rPr>
              <w:t>份</w:t>
            </w:r>
            <w:r>
              <w:rPr>
                <w:rFonts w:hint="eastAsia" w:ascii="宋体" w:hAnsi="宋体" w:eastAsia="宋体" w:cs="宋体"/>
                <w:color w:val="auto"/>
                <w:sz w:val="24"/>
                <w:highlight w:val="none"/>
              </w:rPr>
              <w:t>，</w:t>
            </w:r>
            <w:r>
              <w:rPr>
                <w:rFonts w:ascii="宋体" w:hAnsi="宋体" w:eastAsia="宋体" w:cs="宋体"/>
                <w:color w:val="auto"/>
                <w:sz w:val="24"/>
                <w:highlight w:val="none"/>
              </w:rPr>
              <w:t>双方各</w:t>
            </w:r>
            <w:r>
              <w:rPr>
                <w:rFonts w:hint="eastAsia" w:ascii="宋体" w:hAnsi="宋体" w:eastAsia="宋体" w:cs="宋体"/>
                <w:color w:val="auto"/>
                <w:sz w:val="24"/>
                <w:highlight w:val="none"/>
              </w:rPr>
              <w:t>执</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份。</w:t>
            </w:r>
          </w:p>
        </w:tc>
      </w:tr>
    </w:tbl>
    <w:p w14:paraId="5F6B6038">
      <w:pPr>
        <w:kinsoku/>
        <w:wordWrap/>
        <w:overflowPunct/>
        <w:topLinePunct w:val="0"/>
        <w:bidi w:val="0"/>
        <w:spacing w:line="360" w:lineRule="auto"/>
        <w:ind w:left="-420" w:leftChars="-200" w:right="-420" w:rightChars="-200" w:firstLine="960" w:firstLineChars="400"/>
        <w:jc w:val="both"/>
        <w:outlineLvl w:val="9"/>
        <w:rPr>
          <w:rFonts w:hint="eastAsia" w:ascii="宋体" w:hAnsi="宋体" w:eastAsia="宋体" w:cs="宋体"/>
          <w:color w:val="auto"/>
          <w:sz w:val="24"/>
          <w:szCs w:val="24"/>
          <w:highlight w:val="none"/>
        </w:rPr>
      </w:pPr>
    </w:p>
    <w:p w14:paraId="6A5DA95C">
      <w:pPr>
        <w:widowControl/>
        <w:adjustRightInd/>
        <w:jc w:val="center"/>
        <w:rPr>
          <w:rFonts w:ascii="宋体" w:hAnsi="宋体" w:cs="宋体"/>
          <w:b/>
          <w:sz w:val="36"/>
          <w:szCs w:val="20"/>
          <w:highlight w:val="none"/>
        </w:rPr>
      </w:pPr>
    </w:p>
    <w:p w14:paraId="6AE54BC4">
      <w:pPr>
        <w:widowControl/>
        <w:adjustRightInd/>
        <w:jc w:val="center"/>
        <w:rPr>
          <w:rFonts w:ascii="宋体" w:hAnsi="宋体" w:cs="宋体"/>
          <w:b/>
          <w:sz w:val="36"/>
          <w:szCs w:val="20"/>
          <w:highlight w:val="none"/>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14:paraId="374A4E7A">
      <w:pPr>
        <w:widowControl/>
        <w:adjustRightInd/>
        <w:jc w:val="center"/>
        <w:outlineLvl w:val="0"/>
        <w:rPr>
          <w:rFonts w:ascii="宋体" w:hAnsi="宋体" w:cs="宋体"/>
          <w:b/>
          <w:sz w:val="36"/>
          <w:szCs w:val="20"/>
          <w:highlight w:val="none"/>
        </w:rPr>
      </w:pPr>
      <w:bookmarkStart w:id="526" w:name="_Toc22947"/>
      <w:r>
        <w:rPr>
          <w:rFonts w:hint="eastAsia" w:ascii="宋体" w:hAnsi="宋体" w:cs="宋体"/>
          <w:b/>
          <w:sz w:val="36"/>
          <w:szCs w:val="20"/>
          <w:highlight w:val="none"/>
        </w:rPr>
        <w:t>第六部分</w:t>
      </w:r>
      <w:bookmarkEnd w:id="409"/>
      <w:r>
        <w:rPr>
          <w:rFonts w:hint="eastAsia" w:ascii="宋体" w:hAnsi="宋体" w:cs="宋体"/>
          <w:b/>
          <w:sz w:val="36"/>
          <w:szCs w:val="20"/>
          <w:highlight w:val="none"/>
        </w:rPr>
        <w:t xml:space="preserve"> </w:t>
      </w:r>
      <w:bookmarkEnd w:id="410"/>
      <w:r>
        <w:rPr>
          <w:rFonts w:hint="eastAsia" w:ascii="宋体" w:hAnsi="宋体" w:cs="宋体"/>
          <w:b/>
          <w:sz w:val="36"/>
          <w:szCs w:val="20"/>
          <w:highlight w:val="none"/>
        </w:rPr>
        <w:t>应提交的有关格式范例</w:t>
      </w:r>
      <w:bookmarkEnd w:id="526"/>
    </w:p>
    <w:p w14:paraId="38B17AB5">
      <w:pPr>
        <w:spacing w:line="360" w:lineRule="auto"/>
        <w:jc w:val="center"/>
        <w:outlineLvl w:val="9"/>
        <w:rPr>
          <w:rFonts w:ascii="宋体" w:hAnsi="宋体" w:cs="宋体"/>
          <w:b/>
          <w:kern w:val="0"/>
          <w:sz w:val="36"/>
          <w:szCs w:val="36"/>
          <w:highlight w:val="none"/>
        </w:rPr>
      </w:pPr>
    </w:p>
    <w:p w14:paraId="0BBD4A2C">
      <w:pPr>
        <w:spacing w:line="360" w:lineRule="auto"/>
        <w:jc w:val="center"/>
        <w:outlineLvl w:val="0"/>
        <w:rPr>
          <w:rFonts w:ascii="宋体" w:hAnsi="宋体" w:cs="宋体"/>
          <w:b/>
          <w:kern w:val="0"/>
          <w:sz w:val="36"/>
          <w:szCs w:val="36"/>
          <w:highlight w:val="none"/>
        </w:rPr>
      </w:pPr>
      <w:bookmarkStart w:id="527" w:name="_Toc8313"/>
      <w:r>
        <w:rPr>
          <w:rFonts w:hint="eastAsia" w:ascii="宋体" w:hAnsi="宋体" w:cs="宋体"/>
          <w:b/>
          <w:kern w:val="0"/>
          <w:sz w:val="36"/>
          <w:szCs w:val="36"/>
          <w:highlight w:val="none"/>
        </w:rPr>
        <w:t>资格文件部分</w:t>
      </w:r>
      <w:bookmarkEnd w:id="527"/>
    </w:p>
    <w:p w14:paraId="77D33A58">
      <w:pPr>
        <w:spacing w:line="360" w:lineRule="auto"/>
        <w:jc w:val="center"/>
        <w:outlineLvl w:val="0"/>
        <w:rPr>
          <w:rFonts w:ascii="宋体" w:hAnsi="宋体" w:cs="宋体"/>
          <w:b/>
          <w:kern w:val="0"/>
          <w:sz w:val="36"/>
          <w:szCs w:val="36"/>
          <w:highlight w:val="none"/>
        </w:rPr>
      </w:pPr>
      <w:bookmarkStart w:id="528" w:name="_Toc32371"/>
      <w:r>
        <w:rPr>
          <w:rFonts w:hint="eastAsia" w:ascii="宋体" w:hAnsi="宋体" w:cs="宋体"/>
          <w:b/>
          <w:kern w:val="0"/>
          <w:sz w:val="36"/>
          <w:szCs w:val="36"/>
          <w:highlight w:val="none"/>
        </w:rPr>
        <w:t>目录</w:t>
      </w:r>
      <w:bookmarkEnd w:id="528"/>
    </w:p>
    <w:p w14:paraId="7D72434B">
      <w:pPr>
        <w:spacing w:line="360" w:lineRule="auto"/>
        <w:jc w:val="center"/>
        <w:outlineLvl w:val="9"/>
        <w:rPr>
          <w:rFonts w:ascii="宋体" w:hAnsi="宋体" w:cs="宋体"/>
          <w:b/>
          <w:kern w:val="0"/>
          <w:sz w:val="36"/>
          <w:szCs w:val="36"/>
          <w:highlight w:val="none"/>
        </w:rPr>
      </w:pPr>
    </w:p>
    <w:p w14:paraId="238C81B8">
      <w:pPr>
        <w:snapToGrid w:val="0"/>
        <w:spacing w:line="360" w:lineRule="auto"/>
        <w:rPr>
          <w:rFonts w:ascii="宋体" w:hAnsi="宋体" w:cs="宋体"/>
          <w:sz w:val="24"/>
          <w:highlight w:val="none"/>
        </w:rPr>
      </w:pPr>
      <w:r>
        <w:rPr>
          <w:rFonts w:hint="eastAsia" w:ascii="宋体" w:hAnsi="宋体" w:cs="宋体"/>
          <w:sz w:val="24"/>
          <w:highlight w:val="none"/>
        </w:rPr>
        <w:t>（1）符合参加政府采购活动应当具备的一般条件的承诺函……………（页码）</w:t>
      </w:r>
    </w:p>
    <w:p w14:paraId="605931DB">
      <w:pPr>
        <w:snapToGrid w:val="0"/>
        <w:spacing w:line="360" w:lineRule="auto"/>
        <w:rPr>
          <w:rFonts w:ascii="宋体" w:hAnsi="宋体" w:cs="宋体"/>
          <w:sz w:val="24"/>
          <w:highlight w:val="none"/>
        </w:rPr>
      </w:pPr>
      <w:r>
        <w:rPr>
          <w:rFonts w:hint="eastAsia" w:ascii="宋体" w:hAnsi="宋体" w:cs="宋体"/>
          <w:snapToGrid w:val="0"/>
          <w:kern w:val="28"/>
          <w:sz w:val="24"/>
          <w:szCs w:val="20"/>
          <w:highlight w:val="none"/>
        </w:rPr>
        <w:t>（2）联合协议</w:t>
      </w:r>
      <w:r>
        <w:rPr>
          <w:rFonts w:hint="eastAsia" w:ascii="宋体" w:hAnsi="宋体" w:cs="宋体"/>
          <w:sz w:val="24"/>
          <w:highlight w:val="none"/>
        </w:rPr>
        <w:t>………………………………………………………………（页码）</w:t>
      </w:r>
    </w:p>
    <w:p w14:paraId="58DA795F">
      <w:pPr>
        <w:snapToGrid w:val="0"/>
        <w:spacing w:line="360" w:lineRule="auto"/>
        <w:rPr>
          <w:rFonts w:ascii="宋体" w:hAnsi="宋体" w:cs="宋体"/>
          <w:sz w:val="24"/>
          <w:highlight w:val="none"/>
        </w:rPr>
      </w:pPr>
      <w:r>
        <w:rPr>
          <w:rFonts w:hint="eastAsia" w:ascii="宋体" w:hAnsi="宋体" w:cs="宋体"/>
          <w:sz w:val="24"/>
          <w:highlight w:val="none"/>
        </w:rPr>
        <w:t>（3）落实政府采购政策需满足的资格要求………………………………（页码）</w:t>
      </w:r>
    </w:p>
    <w:p w14:paraId="506F110B">
      <w:pPr>
        <w:snapToGrid w:val="0"/>
        <w:spacing w:line="360" w:lineRule="auto"/>
        <w:rPr>
          <w:rFonts w:ascii="宋体" w:hAnsi="宋体" w:cs="宋体"/>
          <w:sz w:val="24"/>
          <w:highlight w:val="none"/>
        </w:rPr>
      </w:pPr>
      <w:r>
        <w:rPr>
          <w:rFonts w:hint="eastAsia" w:ascii="宋体" w:hAnsi="宋体" w:cs="宋体"/>
          <w:sz w:val="24"/>
          <w:highlight w:val="none"/>
        </w:rPr>
        <w:t>（4）本项目的特定资格要求………………………………………………（页码）</w:t>
      </w:r>
    </w:p>
    <w:p w14:paraId="4FEDC38A">
      <w:pPr>
        <w:snapToGrid w:val="0"/>
        <w:spacing w:line="360" w:lineRule="auto"/>
        <w:ind w:firstLine="480" w:firstLineChars="200"/>
        <w:rPr>
          <w:rFonts w:ascii="宋体" w:hAnsi="宋体" w:cs="宋体"/>
          <w:sz w:val="24"/>
          <w:highlight w:val="none"/>
        </w:rPr>
      </w:pPr>
    </w:p>
    <w:p w14:paraId="6F73583A">
      <w:pPr>
        <w:spacing w:line="360" w:lineRule="auto"/>
        <w:ind w:firstLine="480" w:firstLineChars="200"/>
        <w:rPr>
          <w:rFonts w:ascii="宋体" w:hAnsi="宋体" w:cs="宋体"/>
          <w:sz w:val="24"/>
          <w:highlight w:val="none"/>
        </w:rPr>
      </w:pPr>
    </w:p>
    <w:p w14:paraId="370C93C5">
      <w:pPr>
        <w:snapToGrid w:val="0"/>
        <w:spacing w:line="360" w:lineRule="auto"/>
        <w:ind w:right="480"/>
        <w:jc w:val="center"/>
        <w:rPr>
          <w:rFonts w:ascii="宋体" w:hAnsi="宋体" w:cs="宋体"/>
          <w:b/>
          <w:kern w:val="0"/>
          <w:sz w:val="32"/>
          <w:szCs w:val="32"/>
          <w:highlight w:val="none"/>
        </w:rPr>
      </w:pPr>
      <w:r>
        <w:rPr>
          <w:rFonts w:hint="eastAsia" w:ascii="宋体" w:hAnsi="宋体" w:cs="宋体"/>
          <w:kern w:val="0"/>
          <w:sz w:val="24"/>
          <w:highlight w:val="none"/>
        </w:rPr>
        <w:br w:type="page"/>
      </w:r>
      <w:r>
        <w:rPr>
          <w:rFonts w:hint="eastAsia" w:ascii="宋体" w:hAnsi="宋体" w:cs="宋体"/>
          <w:b/>
          <w:kern w:val="0"/>
          <w:sz w:val="32"/>
          <w:szCs w:val="32"/>
          <w:highlight w:val="none"/>
        </w:rPr>
        <w:t xml:space="preserve">  一、 符合参加政府采购活动应当具备的一般条件的承诺函</w:t>
      </w:r>
    </w:p>
    <w:p w14:paraId="788DB937">
      <w:pPr>
        <w:snapToGrid w:val="0"/>
        <w:spacing w:line="360" w:lineRule="auto"/>
        <w:rPr>
          <w:rFonts w:ascii="宋体" w:hAnsi="宋体" w:cs="宋体"/>
          <w:sz w:val="24"/>
          <w:highlight w:val="none"/>
        </w:rPr>
      </w:pPr>
      <w:r>
        <w:rPr>
          <w:rFonts w:hint="eastAsia" w:ascii="宋体" w:hAnsi="宋体" w:cs="宋体"/>
          <w:sz w:val="24"/>
          <w:highlight w:val="none"/>
          <w:lang w:eastAsia="zh-CN"/>
        </w:rPr>
        <w:t>宁海县市场监督管理局</w:t>
      </w:r>
      <w:r>
        <w:rPr>
          <w:rFonts w:hint="eastAsia" w:ascii="宋体" w:hAnsi="宋体" w:cs="宋体"/>
          <w:sz w:val="24"/>
          <w:highlight w:val="none"/>
        </w:rPr>
        <w:t>、</w:t>
      </w:r>
      <w:r>
        <w:rPr>
          <w:rFonts w:hint="eastAsia" w:ascii="宋体" w:hAnsi="宋体" w:cs="宋体"/>
          <w:sz w:val="24"/>
          <w:highlight w:val="none"/>
          <w:lang w:eastAsia="zh-CN"/>
        </w:rPr>
        <w:t>浙江中基正采管理咨询有限公司</w:t>
      </w:r>
      <w:r>
        <w:rPr>
          <w:rFonts w:hint="eastAsia" w:ascii="宋体" w:hAnsi="宋体" w:cs="宋体"/>
          <w:sz w:val="24"/>
          <w:highlight w:val="none"/>
        </w:rPr>
        <w:t>：</w:t>
      </w:r>
    </w:p>
    <w:p w14:paraId="70076C36">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我方参与</w:t>
      </w:r>
      <w:r>
        <w:rPr>
          <w:rFonts w:hint="eastAsia" w:ascii="宋体" w:hAnsi="宋体" w:cs="宋体"/>
          <w:sz w:val="24"/>
          <w:highlight w:val="none"/>
          <w:lang w:eastAsia="zh-CN"/>
        </w:rPr>
        <w:t>菜篮子食品安全“你点我检”放心工程(生鲜食材快检)</w:t>
      </w:r>
      <w:r>
        <w:rPr>
          <w:rFonts w:hint="eastAsia" w:ascii="宋体" w:hAnsi="宋体" w:cs="宋体"/>
          <w:sz w:val="24"/>
          <w:highlight w:val="none"/>
        </w:rPr>
        <w:t>【招标编号：</w:t>
      </w:r>
      <w:r>
        <w:rPr>
          <w:rFonts w:hint="eastAsia" w:ascii="宋体" w:hAnsi="宋体" w:cs="宋体"/>
          <w:sz w:val="24"/>
          <w:highlight w:val="none"/>
          <w:lang w:eastAsia="zh-CN"/>
        </w:rPr>
        <w:t>CBZJ-20256033G</w:t>
      </w:r>
      <w:r>
        <w:rPr>
          <w:rFonts w:hint="eastAsia" w:ascii="宋体" w:hAnsi="宋体" w:cs="宋体"/>
          <w:sz w:val="24"/>
          <w:highlight w:val="none"/>
        </w:rPr>
        <w:t>】政府采购活动，郑重承诺：</w:t>
      </w:r>
    </w:p>
    <w:p w14:paraId="67CF4FC5">
      <w:pPr>
        <w:snapToGrid w:val="0"/>
        <w:spacing w:line="360" w:lineRule="auto"/>
        <w:ind w:firstLine="360" w:firstLineChars="150"/>
        <w:rPr>
          <w:rFonts w:ascii="宋体" w:hAnsi="宋体" w:cs="宋体"/>
          <w:sz w:val="24"/>
          <w:highlight w:val="none"/>
        </w:rPr>
      </w:pPr>
      <w:r>
        <w:rPr>
          <w:rFonts w:hint="eastAsia" w:ascii="宋体" w:hAnsi="宋体" w:cs="宋体"/>
          <w:sz w:val="24"/>
          <w:highlight w:val="none"/>
        </w:rPr>
        <w:t>（一）具备《中华人民共和国政府采购法》第二十二条第一款规定的条件：</w:t>
      </w:r>
    </w:p>
    <w:p w14:paraId="17343806">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1、具有独立承担民事责任的能力；</w:t>
      </w:r>
    </w:p>
    <w:p w14:paraId="4955F088">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2、具有良好的商业信誉和健全的财务会计制度； </w:t>
      </w:r>
    </w:p>
    <w:p w14:paraId="00F96DA6">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3、具有履行合同所必需的设备和专业技术能力；</w:t>
      </w:r>
    </w:p>
    <w:p w14:paraId="7BF01D6B">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4、有依法缴纳税收和社会保障资金的良好记录；</w:t>
      </w:r>
    </w:p>
    <w:p w14:paraId="45A580D7">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5、参加政府采购活动前三年内，在经营活动中没有重大违法记录；</w:t>
      </w:r>
    </w:p>
    <w:p w14:paraId="794C9DC8">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6、具有法律、行政法规规定的其他条件。</w:t>
      </w:r>
    </w:p>
    <w:p w14:paraId="0B4DEE28">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（二）未被信用中国（www.creditchina.gov.cn</w:t>
      </w:r>
      <w:r>
        <w:rPr>
          <w:rFonts w:hint="eastAsia" w:ascii="宋体" w:hAnsi="宋体" w:cs="宋体"/>
          <w:sz w:val="24"/>
          <w:highlight w:val="none"/>
          <w:lang w:eastAsia="zh-CN"/>
        </w:rPr>
        <w:t>）</w:t>
      </w:r>
      <w:r>
        <w:rPr>
          <w:rFonts w:hint="eastAsia" w:ascii="宋体" w:hAnsi="宋体" w:cs="宋体"/>
          <w:sz w:val="24"/>
          <w:highlight w:val="none"/>
        </w:rPr>
        <w:t>、中国政府采购网（www.ccgp.gov.cn）列入失信被执行人、重大税收违法案件当事人名单（重大税收违法失信主体）、政府采购严重违法失信行为记录名单。</w:t>
      </w:r>
    </w:p>
    <w:p w14:paraId="47B6289B">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（三）不存在以下情况：</w:t>
      </w:r>
    </w:p>
    <w:p w14:paraId="3240A55D">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1、单位负责人为同一人或者存在直接控股、管理关系的不同供应商参加同一合同项下的政府采购活动的；</w:t>
      </w:r>
    </w:p>
    <w:p w14:paraId="7514BF91">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2、为采购项目提供整体设计、规范编制或者项目管理、监理、检测等服务后再参加该采购项目的其他采购活动的。</w:t>
      </w:r>
    </w:p>
    <w:p w14:paraId="38061543">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3、未在中国裁判文书网有行贿犯罪相关记录。</w:t>
      </w:r>
    </w:p>
    <w:p w14:paraId="5C6A8148">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投标人名称（电子签名）：</w:t>
      </w:r>
    </w:p>
    <w:p w14:paraId="7CEE8E1B">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66CE91AD">
      <w:pPr>
        <w:snapToGrid w:val="0"/>
        <w:spacing w:line="360" w:lineRule="auto"/>
        <w:ind w:right="480"/>
        <w:jc w:val="center"/>
        <w:rPr>
          <w:rFonts w:ascii="宋体" w:hAnsi="宋体" w:cs="宋体"/>
          <w:b/>
          <w:kern w:val="0"/>
          <w:sz w:val="32"/>
          <w:szCs w:val="32"/>
          <w:highlight w:val="none"/>
        </w:rPr>
      </w:pPr>
    </w:p>
    <w:p w14:paraId="1DB77B08">
      <w:pPr>
        <w:rPr>
          <w:rFonts w:ascii="宋体" w:hAnsi="宋体" w:cs="宋体"/>
          <w:highlight w:val="none"/>
        </w:rPr>
      </w:pPr>
    </w:p>
    <w:p w14:paraId="22F7ABF0">
      <w:pPr>
        <w:snapToGrid w:val="0"/>
        <w:spacing w:line="360" w:lineRule="auto"/>
        <w:ind w:right="480"/>
        <w:jc w:val="center"/>
        <w:rPr>
          <w:rFonts w:ascii="宋体" w:hAnsi="宋体" w:cs="宋体"/>
          <w:b/>
          <w:kern w:val="0"/>
          <w:sz w:val="32"/>
          <w:szCs w:val="32"/>
          <w:highlight w:val="none"/>
        </w:rPr>
      </w:pPr>
    </w:p>
    <w:p w14:paraId="128BDB59">
      <w:pPr>
        <w:snapToGrid w:val="0"/>
        <w:spacing w:line="360" w:lineRule="auto"/>
        <w:ind w:right="480"/>
        <w:jc w:val="center"/>
        <w:rPr>
          <w:rFonts w:ascii="宋体" w:hAnsi="宋体" w:cs="宋体"/>
          <w:b/>
          <w:kern w:val="0"/>
          <w:sz w:val="32"/>
          <w:szCs w:val="32"/>
          <w:highlight w:val="none"/>
        </w:rPr>
      </w:pPr>
    </w:p>
    <w:p w14:paraId="1A6AB1E9">
      <w:pPr>
        <w:snapToGrid w:val="0"/>
        <w:spacing w:line="360" w:lineRule="auto"/>
        <w:ind w:right="480"/>
        <w:jc w:val="center"/>
        <w:rPr>
          <w:rFonts w:ascii="宋体" w:hAnsi="宋体" w:cs="宋体"/>
          <w:b/>
          <w:kern w:val="0"/>
          <w:sz w:val="32"/>
          <w:szCs w:val="32"/>
          <w:highlight w:val="none"/>
        </w:rPr>
      </w:pPr>
    </w:p>
    <w:p w14:paraId="0A38038D">
      <w:pPr>
        <w:widowControl/>
        <w:adjustRightInd/>
        <w:jc w:val="left"/>
        <w:rPr>
          <w:rFonts w:ascii="宋体" w:hAnsi="宋体" w:cs="宋体"/>
          <w:b/>
          <w:kern w:val="0"/>
          <w:sz w:val="32"/>
          <w:szCs w:val="32"/>
          <w:highlight w:val="none"/>
        </w:rPr>
      </w:pPr>
      <w:r>
        <w:rPr>
          <w:rFonts w:hint="eastAsia" w:ascii="宋体" w:hAnsi="宋体" w:cs="宋体"/>
          <w:b/>
          <w:kern w:val="0"/>
          <w:sz w:val="32"/>
          <w:szCs w:val="32"/>
          <w:highlight w:val="none"/>
        </w:rPr>
        <w:br w:type="page"/>
      </w:r>
    </w:p>
    <w:p w14:paraId="21ECEBC7">
      <w:pPr>
        <w:widowControl/>
        <w:spacing w:line="360" w:lineRule="auto"/>
        <w:ind w:firstLine="643" w:firstLineChars="200"/>
        <w:jc w:val="center"/>
        <w:rPr>
          <w:rFonts w:ascii="宋体" w:hAnsi="宋体" w:cs="宋体"/>
          <w:b/>
          <w:kern w:val="0"/>
          <w:sz w:val="32"/>
          <w:szCs w:val="32"/>
          <w:highlight w:val="none"/>
        </w:rPr>
      </w:pPr>
      <w:r>
        <w:rPr>
          <w:rFonts w:hint="eastAsia" w:ascii="宋体" w:hAnsi="宋体" w:cs="宋体"/>
          <w:b/>
          <w:kern w:val="0"/>
          <w:sz w:val="32"/>
          <w:szCs w:val="32"/>
          <w:highlight w:val="none"/>
        </w:rPr>
        <w:t>二、联合协议（如果有）</w:t>
      </w:r>
    </w:p>
    <w:p w14:paraId="191DE393">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[以联合体形式投标的，提供联合协议（附件</w:t>
      </w:r>
      <w:r>
        <w:rPr>
          <w:rFonts w:hint="eastAsia" w:ascii="宋体" w:hAnsi="宋体" w:cs="宋体"/>
          <w:b/>
          <w:sz w:val="24"/>
          <w:highlight w:val="none"/>
          <w:lang w:val="en-US" w:eastAsia="zh-CN"/>
        </w:rPr>
        <w:t>5</w:t>
      </w:r>
      <w:r>
        <w:rPr>
          <w:rFonts w:hint="eastAsia" w:ascii="宋体" w:hAnsi="宋体" w:cs="宋体"/>
          <w:b/>
          <w:sz w:val="24"/>
          <w:highlight w:val="none"/>
        </w:rPr>
        <w:t>）；本项目不接受联合体投标或者投标人不以联合体形式投标的，则不需要提供）]</w:t>
      </w:r>
    </w:p>
    <w:p w14:paraId="2AB02D4F">
      <w:pPr>
        <w:snapToGrid w:val="0"/>
        <w:spacing w:line="360" w:lineRule="auto"/>
        <w:ind w:right="480"/>
        <w:jc w:val="center"/>
        <w:rPr>
          <w:rFonts w:ascii="宋体" w:hAnsi="宋体" w:cs="宋体"/>
          <w:b/>
          <w:kern w:val="0"/>
          <w:sz w:val="32"/>
          <w:szCs w:val="32"/>
          <w:highlight w:val="none"/>
        </w:rPr>
      </w:pPr>
    </w:p>
    <w:p w14:paraId="43C6FE4D">
      <w:pPr>
        <w:snapToGrid w:val="0"/>
        <w:spacing w:line="360" w:lineRule="auto"/>
        <w:ind w:right="480"/>
        <w:jc w:val="center"/>
        <w:rPr>
          <w:rFonts w:ascii="宋体" w:hAnsi="宋体" w:cs="宋体"/>
          <w:b/>
          <w:kern w:val="0"/>
          <w:sz w:val="32"/>
          <w:szCs w:val="32"/>
          <w:highlight w:val="none"/>
        </w:rPr>
      </w:pPr>
    </w:p>
    <w:p w14:paraId="44169834">
      <w:pPr>
        <w:snapToGrid w:val="0"/>
        <w:spacing w:line="360" w:lineRule="auto"/>
        <w:ind w:right="480"/>
        <w:jc w:val="center"/>
        <w:rPr>
          <w:rFonts w:ascii="宋体" w:hAnsi="宋体" w:cs="宋体"/>
          <w:b/>
          <w:kern w:val="0"/>
          <w:sz w:val="32"/>
          <w:szCs w:val="32"/>
          <w:highlight w:val="none"/>
        </w:rPr>
      </w:pPr>
      <w:r>
        <w:rPr>
          <w:rFonts w:hint="eastAsia" w:ascii="宋体" w:hAnsi="宋体" w:cs="宋体"/>
          <w:b/>
          <w:kern w:val="0"/>
          <w:sz w:val="32"/>
          <w:szCs w:val="32"/>
          <w:highlight w:val="none"/>
        </w:rPr>
        <w:t>三、落实政府采购政策需满足的资格要求</w:t>
      </w:r>
    </w:p>
    <w:p w14:paraId="31D9E0A1">
      <w:pPr>
        <w:spacing w:line="360" w:lineRule="auto"/>
        <w:rPr>
          <w:rFonts w:ascii="宋体" w:hAnsi="宋体" w:cs="宋体"/>
          <w:sz w:val="24"/>
          <w:highlight w:val="none"/>
        </w:rPr>
      </w:pPr>
      <w:r>
        <w:rPr>
          <w:rFonts w:hint="eastAsia" w:ascii="宋体" w:hAnsi="宋体" w:cs="宋体"/>
          <w:sz w:val="24"/>
          <w:highlight w:val="none"/>
        </w:rPr>
        <w:t>（根据招标公告落实政府采购政策需满足的资格要求选择提供相应的材料；未要求的，无需提供）</w:t>
      </w:r>
    </w:p>
    <w:p w14:paraId="0E8B3CE2">
      <w:pPr>
        <w:snapToGrid w:val="0"/>
        <w:spacing w:before="50" w:after="50" w:line="360" w:lineRule="auto"/>
        <w:ind w:firstLine="472" w:firstLineChars="196"/>
        <w:jc w:val="left"/>
        <w:rPr>
          <w:rFonts w:ascii="宋体" w:hAnsi="宋体" w:cs="宋体"/>
          <w:sz w:val="24"/>
          <w:highlight w:val="none"/>
        </w:rPr>
      </w:pPr>
      <w:r>
        <w:rPr>
          <w:rFonts w:hint="eastAsia" w:ascii="宋体" w:hAnsi="宋体" w:cs="宋体"/>
          <w:b/>
          <w:sz w:val="24"/>
          <w:highlight w:val="none"/>
        </w:rPr>
        <w:t>A</w:t>
      </w:r>
      <w:r>
        <w:rPr>
          <w:rFonts w:hint="eastAsia" w:ascii="宋体" w:hAnsi="宋体" w:cs="宋体"/>
          <w:sz w:val="24"/>
          <w:highlight w:val="none"/>
        </w:rPr>
        <w:t>.专门面向中小企业，服务全部由符合政策要求的中小企业（或小微企业）承接的，提供相应的中小企业声明函（附件</w:t>
      </w:r>
      <w:r>
        <w:rPr>
          <w:rFonts w:hint="eastAsia" w:ascii="宋体" w:hAnsi="宋体" w:cs="宋体"/>
          <w:sz w:val="24"/>
          <w:highlight w:val="none"/>
          <w:lang w:val="en-US" w:eastAsia="zh-CN"/>
        </w:rPr>
        <w:t>7</w:t>
      </w:r>
      <w:r>
        <w:rPr>
          <w:rFonts w:hint="eastAsia" w:ascii="宋体" w:hAnsi="宋体" w:cs="宋体"/>
          <w:sz w:val="24"/>
          <w:highlight w:val="none"/>
        </w:rPr>
        <w:t xml:space="preserve">）。 </w:t>
      </w:r>
    </w:p>
    <w:p w14:paraId="0EAB6D04">
      <w:pPr>
        <w:widowControl/>
        <w:spacing w:line="360" w:lineRule="auto"/>
        <w:ind w:firstLine="480"/>
        <w:jc w:val="left"/>
        <w:rPr>
          <w:rFonts w:ascii="宋体" w:hAnsi="宋体" w:cs="宋体"/>
          <w:sz w:val="24"/>
          <w:highlight w:val="none"/>
        </w:rPr>
      </w:pPr>
    </w:p>
    <w:p w14:paraId="6181EDCB">
      <w:pPr>
        <w:widowControl/>
        <w:spacing w:line="360" w:lineRule="auto"/>
        <w:ind w:firstLine="472" w:firstLineChars="196"/>
        <w:jc w:val="left"/>
        <w:rPr>
          <w:rFonts w:ascii="宋体" w:hAnsi="宋体" w:cs="宋体"/>
          <w:sz w:val="24"/>
          <w:highlight w:val="none"/>
        </w:rPr>
      </w:pPr>
      <w:r>
        <w:rPr>
          <w:rFonts w:hint="eastAsia" w:ascii="宋体" w:hAnsi="宋体" w:cs="宋体"/>
          <w:b/>
          <w:sz w:val="24"/>
          <w:highlight w:val="none"/>
        </w:rPr>
        <w:t>B.</w:t>
      </w:r>
      <w:r>
        <w:rPr>
          <w:rFonts w:hint="eastAsia" w:ascii="宋体" w:hAnsi="宋体" w:cs="宋体"/>
          <w:sz w:val="24"/>
          <w:highlight w:val="none"/>
        </w:rPr>
        <w:t>要求以联合体形式参加的，提供联合协议（附件</w:t>
      </w:r>
      <w:r>
        <w:rPr>
          <w:rFonts w:hint="eastAsia" w:ascii="宋体" w:hAnsi="宋体" w:cs="宋体"/>
          <w:sz w:val="24"/>
          <w:highlight w:val="none"/>
          <w:lang w:val="en-US" w:eastAsia="zh-CN"/>
        </w:rPr>
        <w:t>5</w:t>
      </w:r>
      <w:r>
        <w:rPr>
          <w:rFonts w:hint="eastAsia" w:ascii="宋体" w:hAnsi="宋体" w:cs="宋体"/>
          <w:sz w:val="24"/>
          <w:highlight w:val="none"/>
        </w:rPr>
        <w:t>）和中小企业声明函（附件</w:t>
      </w:r>
      <w:r>
        <w:rPr>
          <w:rFonts w:hint="eastAsia" w:ascii="宋体" w:hAnsi="宋体" w:cs="宋体"/>
          <w:sz w:val="24"/>
          <w:highlight w:val="none"/>
          <w:lang w:val="en-US" w:eastAsia="zh-CN"/>
        </w:rPr>
        <w:t>7</w:t>
      </w:r>
      <w:r>
        <w:rPr>
          <w:rFonts w:hint="eastAsia" w:ascii="宋体" w:hAnsi="宋体" w:cs="宋体"/>
          <w:sz w:val="24"/>
          <w:highlight w:val="none"/>
        </w:rPr>
        <w:t>），联合协议中中小企业合同金额应当达到招标公告载明的比例；如果供应商本身提供所有标的均由中小企业承接的，</w:t>
      </w:r>
      <w:r>
        <w:rPr>
          <w:rFonts w:hint="eastAsia" w:ascii="宋体" w:hAnsi="宋体" w:cs="宋体"/>
          <w:spacing w:val="8"/>
          <w:kern w:val="0"/>
          <w:sz w:val="24"/>
          <w:highlight w:val="none"/>
        </w:rPr>
        <w:t>并相应达到了前述比例要求，</w:t>
      </w:r>
      <w:r>
        <w:rPr>
          <w:rFonts w:hint="eastAsia" w:ascii="宋体" w:hAnsi="宋体" w:cs="宋体"/>
          <w:sz w:val="24"/>
          <w:highlight w:val="none"/>
        </w:rPr>
        <w:t>视同符合了资格条件，无需再与其他中小企业组成联合体参加政府采购活动，无需提供联合协议。</w:t>
      </w:r>
    </w:p>
    <w:p w14:paraId="508C7F8E">
      <w:pPr>
        <w:snapToGrid w:val="0"/>
        <w:spacing w:before="50" w:after="50" w:line="360" w:lineRule="auto"/>
        <w:jc w:val="center"/>
        <w:rPr>
          <w:rFonts w:ascii="宋体" w:hAnsi="宋体" w:cs="宋体"/>
          <w:sz w:val="24"/>
          <w:highlight w:val="none"/>
        </w:rPr>
      </w:pPr>
      <w:r>
        <w:rPr>
          <w:rFonts w:hint="eastAsia" w:ascii="宋体" w:hAnsi="宋体" w:cs="宋体"/>
          <w:b/>
          <w:sz w:val="24"/>
          <w:highlight w:val="none"/>
        </w:rPr>
        <w:t xml:space="preserve">    </w:t>
      </w:r>
    </w:p>
    <w:p w14:paraId="39063943">
      <w:pPr>
        <w:spacing w:line="360" w:lineRule="auto"/>
        <w:ind w:firstLine="482" w:firstLineChars="200"/>
        <w:rPr>
          <w:rFonts w:ascii="宋体" w:hAnsi="宋体" w:cs="宋体"/>
          <w:sz w:val="24"/>
          <w:highlight w:val="none"/>
        </w:rPr>
      </w:pPr>
      <w:r>
        <w:rPr>
          <w:rFonts w:hint="eastAsia" w:ascii="宋体" w:hAnsi="宋体" w:cs="宋体"/>
          <w:b/>
          <w:sz w:val="24"/>
          <w:highlight w:val="none"/>
        </w:rPr>
        <w:t>C</w:t>
      </w:r>
      <w:r>
        <w:rPr>
          <w:rFonts w:hint="eastAsia" w:ascii="宋体" w:hAnsi="宋体" w:cs="宋体"/>
          <w:b/>
          <w:sz w:val="24"/>
          <w:highlight w:val="none"/>
          <w:lang w:eastAsia="zh-CN"/>
        </w:rPr>
        <w:t>.</w:t>
      </w:r>
      <w:r>
        <w:rPr>
          <w:rFonts w:hint="eastAsia" w:ascii="宋体" w:hAnsi="宋体" w:cs="宋体"/>
          <w:sz w:val="24"/>
          <w:highlight w:val="none"/>
        </w:rPr>
        <w:t>要求合同分包的，提供分包意向协议和中小企业声明函（附件</w:t>
      </w:r>
      <w:r>
        <w:rPr>
          <w:rFonts w:hint="eastAsia" w:ascii="宋体" w:hAnsi="宋体" w:cs="宋体"/>
          <w:sz w:val="24"/>
          <w:highlight w:val="none"/>
          <w:lang w:val="en-US" w:eastAsia="zh-CN"/>
        </w:rPr>
        <w:t>7</w:t>
      </w:r>
      <w:r>
        <w:rPr>
          <w:rFonts w:hint="eastAsia" w:ascii="宋体" w:hAnsi="宋体" w:cs="宋体"/>
          <w:sz w:val="24"/>
          <w:highlight w:val="none"/>
        </w:rPr>
        <w:t>），分包意向协议中中小企业合同金额应当达到招标公告载明的比例；如果供应商本身提供所有标的均由中小企业承接的，</w:t>
      </w:r>
      <w:r>
        <w:rPr>
          <w:rFonts w:hint="eastAsia" w:ascii="宋体" w:hAnsi="宋体" w:cs="宋体"/>
          <w:spacing w:val="8"/>
          <w:kern w:val="0"/>
          <w:sz w:val="24"/>
          <w:highlight w:val="none"/>
        </w:rPr>
        <w:t>并相应达到了前述比例要求，</w:t>
      </w:r>
      <w:r>
        <w:rPr>
          <w:rFonts w:hint="eastAsia" w:ascii="宋体" w:hAnsi="宋体" w:cs="宋体"/>
          <w:sz w:val="24"/>
          <w:highlight w:val="none"/>
        </w:rPr>
        <w:t>视同符合了资格条件，无需再向中小企业分包，无需提供分包意向协议。</w:t>
      </w:r>
    </w:p>
    <w:p w14:paraId="3ECF8E8A">
      <w:pPr>
        <w:widowControl/>
        <w:spacing w:line="360" w:lineRule="auto"/>
        <w:ind w:left="150"/>
        <w:jc w:val="center"/>
        <w:rPr>
          <w:rFonts w:ascii="宋体" w:hAnsi="宋体" w:cs="宋体"/>
          <w:b/>
          <w:kern w:val="0"/>
          <w:sz w:val="32"/>
          <w:szCs w:val="32"/>
          <w:highlight w:val="none"/>
        </w:rPr>
      </w:pPr>
    </w:p>
    <w:p w14:paraId="3B9C1DBF">
      <w:pPr>
        <w:widowControl/>
        <w:spacing w:line="360" w:lineRule="auto"/>
        <w:ind w:left="150"/>
        <w:jc w:val="center"/>
        <w:rPr>
          <w:rFonts w:ascii="宋体" w:hAnsi="宋体" w:cs="宋体"/>
          <w:b/>
          <w:kern w:val="0"/>
          <w:sz w:val="32"/>
          <w:szCs w:val="32"/>
          <w:highlight w:val="none"/>
        </w:rPr>
      </w:pPr>
      <w:r>
        <w:rPr>
          <w:rFonts w:hint="eastAsia" w:ascii="宋体" w:hAnsi="宋体" w:cs="宋体"/>
          <w:b/>
          <w:kern w:val="0"/>
          <w:sz w:val="32"/>
          <w:szCs w:val="32"/>
          <w:highlight w:val="none"/>
        </w:rPr>
        <w:t>四、本项目的特定资格要求</w:t>
      </w:r>
    </w:p>
    <w:p w14:paraId="6F2E0B84">
      <w:pPr>
        <w:spacing w:line="360" w:lineRule="auto"/>
        <w:jc w:val="center"/>
        <w:rPr>
          <w:rFonts w:ascii="宋体" w:hAnsi="宋体" w:cs="宋体"/>
          <w:sz w:val="24"/>
          <w:highlight w:val="none"/>
        </w:rPr>
      </w:pPr>
      <w:r>
        <w:rPr>
          <w:rFonts w:hint="eastAsia" w:ascii="宋体" w:hAnsi="宋体" w:cs="宋体"/>
          <w:sz w:val="24"/>
          <w:highlight w:val="none"/>
        </w:rPr>
        <w:t>（根据招标公告本项目的特定资格要求提供相应的材料；未要求的，无需提供）</w:t>
      </w:r>
    </w:p>
    <w:p w14:paraId="547CACB4">
      <w:pPr>
        <w:rPr>
          <w:rFonts w:ascii="宋体" w:hAnsi="宋体" w:cs="宋体"/>
          <w:highlight w:val="none"/>
        </w:rPr>
      </w:pPr>
    </w:p>
    <w:p w14:paraId="4DFA68DB">
      <w:pPr>
        <w:snapToGrid w:val="0"/>
        <w:spacing w:line="360" w:lineRule="auto"/>
        <w:ind w:right="480"/>
        <w:jc w:val="center"/>
        <w:rPr>
          <w:rFonts w:ascii="宋体" w:hAnsi="宋体" w:cs="宋体"/>
          <w:b/>
          <w:kern w:val="0"/>
          <w:sz w:val="32"/>
          <w:szCs w:val="32"/>
          <w:highlight w:val="none"/>
        </w:rPr>
      </w:pPr>
    </w:p>
    <w:p w14:paraId="1A956FE1">
      <w:pPr>
        <w:widowControl/>
        <w:adjustRightInd/>
        <w:jc w:val="left"/>
        <w:rPr>
          <w:rFonts w:ascii="宋体" w:hAnsi="宋体" w:cs="宋体"/>
          <w:b/>
          <w:kern w:val="0"/>
          <w:sz w:val="36"/>
          <w:szCs w:val="36"/>
          <w:highlight w:val="none"/>
        </w:rPr>
      </w:pPr>
      <w:r>
        <w:rPr>
          <w:rFonts w:hint="eastAsia" w:ascii="宋体" w:hAnsi="宋体" w:cs="宋体"/>
          <w:b/>
          <w:kern w:val="0"/>
          <w:sz w:val="36"/>
          <w:szCs w:val="36"/>
          <w:highlight w:val="none"/>
        </w:rPr>
        <w:br w:type="page"/>
      </w:r>
    </w:p>
    <w:p w14:paraId="71F1C7CD">
      <w:pPr>
        <w:spacing w:line="360" w:lineRule="auto"/>
        <w:ind w:right="420" w:firstLine="3614" w:firstLineChars="1000"/>
        <w:rPr>
          <w:rFonts w:ascii="宋体" w:hAnsi="宋体" w:cs="宋体"/>
          <w:b/>
          <w:kern w:val="0"/>
          <w:sz w:val="36"/>
          <w:szCs w:val="36"/>
          <w:highlight w:val="none"/>
        </w:rPr>
      </w:pPr>
      <w:r>
        <w:rPr>
          <w:rFonts w:hint="eastAsia" w:ascii="宋体" w:hAnsi="宋体" w:cs="宋体"/>
          <w:b/>
          <w:kern w:val="0"/>
          <w:sz w:val="36"/>
          <w:szCs w:val="36"/>
          <w:highlight w:val="none"/>
        </w:rPr>
        <w:t>商务技术文件部分</w:t>
      </w:r>
    </w:p>
    <w:p w14:paraId="638B0519">
      <w:pPr>
        <w:spacing w:line="360" w:lineRule="auto"/>
        <w:jc w:val="center"/>
        <w:outlineLvl w:val="9"/>
        <w:rPr>
          <w:rFonts w:ascii="宋体" w:hAnsi="宋体" w:cs="宋体"/>
          <w:b/>
          <w:kern w:val="0"/>
          <w:sz w:val="24"/>
          <w:highlight w:val="none"/>
        </w:rPr>
      </w:pPr>
    </w:p>
    <w:p w14:paraId="674F730F">
      <w:pPr>
        <w:spacing w:line="360" w:lineRule="auto"/>
        <w:jc w:val="center"/>
        <w:outlineLvl w:val="0"/>
        <w:rPr>
          <w:rFonts w:ascii="宋体" w:hAnsi="宋体" w:cs="宋体"/>
          <w:b/>
          <w:kern w:val="0"/>
          <w:sz w:val="28"/>
          <w:szCs w:val="28"/>
          <w:highlight w:val="none"/>
        </w:rPr>
      </w:pPr>
      <w:bookmarkStart w:id="529" w:name="_Toc4930"/>
      <w:r>
        <w:rPr>
          <w:rFonts w:hint="eastAsia" w:ascii="宋体" w:hAnsi="宋体" w:cs="宋体"/>
          <w:b/>
          <w:kern w:val="0"/>
          <w:sz w:val="28"/>
          <w:szCs w:val="28"/>
          <w:highlight w:val="none"/>
        </w:rPr>
        <w:t>目录</w:t>
      </w:r>
      <w:bookmarkEnd w:id="529"/>
    </w:p>
    <w:p w14:paraId="6DFE04A0">
      <w:pPr>
        <w:snapToGrid w:val="0"/>
        <w:spacing w:line="360" w:lineRule="auto"/>
        <w:ind w:left="479" w:leftChars="228"/>
        <w:rPr>
          <w:rFonts w:ascii="宋体" w:hAnsi="宋体" w:cs="宋体"/>
          <w:highlight w:val="none"/>
        </w:rPr>
      </w:pPr>
      <w:r>
        <w:rPr>
          <w:rFonts w:hint="eastAsia" w:ascii="宋体" w:hAnsi="宋体" w:cs="宋体"/>
          <w:sz w:val="24"/>
          <w:highlight w:val="none"/>
        </w:rPr>
        <w:t>（1）投标函</w:t>
      </w:r>
      <w:r>
        <w:rPr>
          <w:rFonts w:hint="eastAsia" w:ascii="宋体" w:hAnsi="宋体" w:cs="宋体"/>
          <w:highlight w:val="none"/>
        </w:rPr>
        <w:t>…………………………………………………………………………………（页码）</w:t>
      </w:r>
      <w:r>
        <w:rPr>
          <w:rFonts w:hint="eastAsia" w:ascii="宋体" w:hAnsi="宋体" w:cs="宋体"/>
          <w:sz w:val="24"/>
          <w:highlight w:val="none"/>
        </w:rPr>
        <w:t>（2）授权委托书或法定代表人（单位负责人、自然人本人）身份证明</w:t>
      </w:r>
      <w:r>
        <w:rPr>
          <w:rFonts w:hint="eastAsia" w:ascii="宋体" w:hAnsi="宋体" w:cs="宋体"/>
          <w:highlight w:val="none"/>
        </w:rPr>
        <w:t>………（页码）</w:t>
      </w:r>
    </w:p>
    <w:p w14:paraId="450469D5">
      <w:pPr>
        <w:snapToGrid w:val="0"/>
        <w:spacing w:line="360" w:lineRule="auto"/>
        <w:ind w:left="479" w:leftChars="228"/>
        <w:rPr>
          <w:rFonts w:ascii="宋体" w:hAnsi="宋体" w:cs="宋体"/>
          <w:highlight w:val="none"/>
        </w:rPr>
      </w:pPr>
      <w:r>
        <w:rPr>
          <w:rFonts w:hint="eastAsia" w:ascii="宋体" w:hAnsi="宋体" w:cs="宋体"/>
          <w:sz w:val="24"/>
          <w:highlight w:val="none"/>
        </w:rPr>
        <w:t>（3）分包意向协议</w:t>
      </w:r>
      <w:r>
        <w:rPr>
          <w:rFonts w:hint="eastAsia" w:ascii="宋体" w:hAnsi="宋体" w:cs="宋体"/>
          <w:highlight w:val="none"/>
        </w:rPr>
        <w:t>…………………………………………………………………………（页码）</w:t>
      </w:r>
    </w:p>
    <w:p w14:paraId="555CE605">
      <w:pPr>
        <w:snapToGrid w:val="0"/>
        <w:spacing w:line="360" w:lineRule="auto"/>
        <w:ind w:firstLine="480" w:firstLineChars="200"/>
        <w:rPr>
          <w:rFonts w:ascii="宋体" w:hAnsi="宋体" w:cs="宋体"/>
          <w:highlight w:val="none"/>
        </w:rPr>
      </w:pPr>
      <w:r>
        <w:rPr>
          <w:rFonts w:hint="eastAsia" w:ascii="宋体" w:hAnsi="宋体" w:cs="宋体"/>
          <w:sz w:val="24"/>
          <w:highlight w:val="none"/>
        </w:rPr>
        <w:t>（4）符合性审查资料</w:t>
      </w:r>
      <w:r>
        <w:rPr>
          <w:rFonts w:hint="eastAsia" w:ascii="宋体" w:hAnsi="宋体" w:cs="宋体"/>
          <w:highlight w:val="none"/>
        </w:rPr>
        <w:t>………………………………………………………………………（页码）</w:t>
      </w:r>
    </w:p>
    <w:p w14:paraId="67F13F41">
      <w:pPr>
        <w:snapToGrid w:val="0"/>
        <w:spacing w:line="360" w:lineRule="auto"/>
        <w:ind w:left="479" w:leftChars="228"/>
        <w:rPr>
          <w:rFonts w:ascii="宋体" w:hAnsi="宋体" w:cs="宋体"/>
          <w:highlight w:val="none"/>
        </w:rPr>
      </w:pPr>
      <w:r>
        <w:rPr>
          <w:rFonts w:hint="eastAsia" w:ascii="宋体" w:hAnsi="宋体" w:cs="宋体"/>
          <w:sz w:val="24"/>
          <w:highlight w:val="none"/>
        </w:rPr>
        <w:t>（5）评标标准相应的商务技术资料</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……………（页码）</w:t>
      </w:r>
      <w:r>
        <w:rPr>
          <w:rFonts w:hint="eastAsia" w:ascii="宋体" w:hAnsi="宋体" w:cs="宋体"/>
          <w:sz w:val="24"/>
          <w:highlight w:val="none"/>
        </w:rPr>
        <w:t>（6）商务技术偏离表</w:t>
      </w:r>
      <w:r>
        <w:rPr>
          <w:rFonts w:hint="eastAsia" w:ascii="宋体" w:hAnsi="宋体" w:cs="宋体"/>
          <w:highlight w:val="none"/>
        </w:rPr>
        <w:t>………………………………………………………………………（页码）</w:t>
      </w:r>
    </w:p>
    <w:p w14:paraId="2D14A0F8">
      <w:pPr>
        <w:snapToGrid w:val="0"/>
        <w:spacing w:line="360" w:lineRule="auto"/>
        <w:ind w:left="479" w:leftChars="228"/>
        <w:rPr>
          <w:rFonts w:ascii="宋体" w:hAnsi="宋体" w:cs="宋体"/>
          <w:highlight w:val="none"/>
        </w:rPr>
      </w:pPr>
      <w:r>
        <w:rPr>
          <w:rFonts w:hint="eastAsia" w:ascii="宋体" w:hAnsi="宋体" w:cs="宋体"/>
          <w:sz w:val="24"/>
          <w:highlight w:val="none"/>
          <w:lang w:val="zh-CN"/>
        </w:rPr>
        <w:t>（</w:t>
      </w:r>
      <w:r>
        <w:rPr>
          <w:rFonts w:hint="eastAsia" w:ascii="宋体" w:hAnsi="宋体" w:cs="宋体"/>
          <w:sz w:val="24"/>
          <w:highlight w:val="none"/>
        </w:rPr>
        <w:t>7</w:t>
      </w:r>
      <w:r>
        <w:rPr>
          <w:rFonts w:hint="eastAsia" w:ascii="宋体" w:hAnsi="宋体" w:cs="宋体"/>
          <w:sz w:val="24"/>
          <w:highlight w:val="none"/>
          <w:lang w:val="zh-CN"/>
        </w:rPr>
        <w:t>）政府采购供应商廉洁自律承诺书</w:t>
      </w:r>
      <w:r>
        <w:rPr>
          <w:rFonts w:hint="eastAsia" w:ascii="宋体" w:hAnsi="宋体" w:cs="宋体"/>
          <w:highlight w:val="none"/>
        </w:rPr>
        <w:t>…………………………………………………（页码）</w:t>
      </w:r>
    </w:p>
    <w:p w14:paraId="0B700358">
      <w:pPr>
        <w:snapToGrid w:val="0"/>
        <w:spacing w:line="360" w:lineRule="auto"/>
        <w:jc w:val="center"/>
        <w:rPr>
          <w:rFonts w:ascii="宋体" w:hAnsi="宋体" w:cs="宋体"/>
          <w:b/>
          <w:kern w:val="0"/>
          <w:sz w:val="32"/>
          <w:szCs w:val="32"/>
          <w:highlight w:val="none"/>
          <w:lang w:val="zh-CN"/>
        </w:rPr>
      </w:pPr>
    </w:p>
    <w:p w14:paraId="633CF1C0">
      <w:pPr>
        <w:snapToGrid w:val="0"/>
        <w:spacing w:line="360" w:lineRule="auto"/>
        <w:jc w:val="center"/>
        <w:rPr>
          <w:rFonts w:ascii="宋体" w:hAnsi="宋体" w:cs="宋体"/>
          <w:b/>
          <w:kern w:val="0"/>
          <w:sz w:val="32"/>
          <w:szCs w:val="32"/>
          <w:highlight w:val="none"/>
          <w:lang w:val="zh-CN"/>
        </w:rPr>
      </w:pPr>
    </w:p>
    <w:p w14:paraId="34134817">
      <w:pPr>
        <w:snapToGrid w:val="0"/>
        <w:spacing w:line="360" w:lineRule="auto"/>
        <w:jc w:val="center"/>
        <w:rPr>
          <w:rFonts w:ascii="宋体" w:hAnsi="宋体" w:cs="宋体"/>
          <w:b/>
          <w:kern w:val="0"/>
          <w:sz w:val="32"/>
          <w:szCs w:val="32"/>
          <w:highlight w:val="none"/>
          <w:lang w:val="zh-CN"/>
        </w:rPr>
      </w:pPr>
    </w:p>
    <w:p w14:paraId="62C15F10">
      <w:pPr>
        <w:snapToGrid w:val="0"/>
        <w:spacing w:line="360" w:lineRule="auto"/>
        <w:jc w:val="center"/>
        <w:rPr>
          <w:rFonts w:ascii="宋体" w:hAnsi="宋体" w:cs="宋体"/>
          <w:b/>
          <w:kern w:val="0"/>
          <w:sz w:val="32"/>
          <w:szCs w:val="32"/>
          <w:highlight w:val="none"/>
          <w:lang w:val="zh-CN"/>
        </w:rPr>
      </w:pPr>
    </w:p>
    <w:p w14:paraId="2F68D84F">
      <w:pPr>
        <w:snapToGrid w:val="0"/>
        <w:spacing w:line="360" w:lineRule="auto"/>
        <w:jc w:val="center"/>
        <w:rPr>
          <w:rFonts w:ascii="宋体" w:hAnsi="宋体" w:cs="宋体"/>
          <w:b/>
          <w:kern w:val="0"/>
          <w:sz w:val="32"/>
          <w:szCs w:val="32"/>
          <w:highlight w:val="none"/>
          <w:lang w:val="zh-CN"/>
        </w:rPr>
      </w:pPr>
    </w:p>
    <w:p w14:paraId="643F0CF6">
      <w:pPr>
        <w:snapToGrid w:val="0"/>
        <w:spacing w:line="360" w:lineRule="auto"/>
        <w:jc w:val="center"/>
        <w:rPr>
          <w:rFonts w:ascii="宋体" w:hAnsi="宋体" w:cs="宋体"/>
          <w:b/>
          <w:kern w:val="0"/>
          <w:sz w:val="32"/>
          <w:szCs w:val="32"/>
          <w:highlight w:val="none"/>
          <w:lang w:val="zh-CN"/>
        </w:rPr>
      </w:pPr>
    </w:p>
    <w:p w14:paraId="61E13765">
      <w:pPr>
        <w:snapToGrid w:val="0"/>
        <w:spacing w:line="360" w:lineRule="auto"/>
        <w:jc w:val="center"/>
        <w:rPr>
          <w:rFonts w:ascii="宋体" w:hAnsi="宋体" w:cs="宋体"/>
          <w:b/>
          <w:kern w:val="0"/>
          <w:sz w:val="32"/>
          <w:szCs w:val="32"/>
          <w:highlight w:val="none"/>
          <w:lang w:val="zh-CN"/>
        </w:rPr>
      </w:pPr>
    </w:p>
    <w:p w14:paraId="18170B77">
      <w:pPr>
        <w:snapToGrid w:val="0"/>
        <w:spacing w:line="360" w:lineRule="auto"/>
        <w:jc w:val="center"/>
        <w:rPr>
          <w:rFonts w:ascii="宋体" w:hAnsi="宋体" w:cs="宋体"/>
          <w:b/>
          <w:kern w:val="0"/>
          <w:sz w:val="32"/>
          <w:szCs w:val="32"/>
          <w:highlight w:val="none"/>
          <w:lang w:val="zh-CN"/>
        </w:rPr>
      </w:pPr>
    </w:p>
    <w:p w14:paraId="471F8BAD">
      <w:pPr>
        <w:snapToGrid w:val="0"/>
        <w:spacing w:line="360" w:lineRule="auto"/>
        <w:jc w:val="center"/>
        <w:rPr>
          <w:rFonts w:ascii="宋体" w:hAnsi="宋体" w:cs="宋体"/>
          <w:b/>
          <w:kern w:val="0"/>
          <w:sz w:val="32"/>
          <w:szCs w:val="32"/>
          <w:highlight w:val="none"/>
          <w:lang w:val="zh-CN"/>
        </w:rPr>
      </w:pPr>
    </w:p>
    <w:p w14:paraId="203E5593">
      <w:pPr>
        <w:snapToGrid w:val="0"/>
        <w:spacing w:line="360" w:lineRule="auto"/>
        <w:jc w:val="center"/>
        <w:rPr>
          <w:rFonts w:ascii="宋体" w:hAnsi="宋体" w:cs="宋体"/>
          <w:b/>
          <w:kern w:val="0"/>
          <w:sz w:val="32"/>
          <w:szCs w:val="32"/>
          <w:highlight w:val="none"/>
          <w:lang w:val="zh-CN"/>
        </w:rPr>
      </w:pPr>
    </w:p>
    <w:p w14:paraId="1265A732">
      <w:pPr>
        <w:snapToGrid w:val="0"/>
        <w:spacing w:line="360" w:lineRule="auto"/>
        <w:jc w:val="center"/>
        <w:rPr>
          <w:rFonts w:ascii="宋体" w:hAnsi="宋体" w:cs="宋体"/>
          <w:b/>
          <w:kern w:val="0"/>
          <w:sz w:val="32"/>
          <w:szCs w:val="32"/>
          <w:highlight w:val="none"/>
          <w:lang w:val="zh-CN"/>
        </w:rPr>
      </w:pPr>
    </w:p>
    <w:p w14:paraId="60CBE4E1">
      <w:pPr>
        <w:snapToGrid w:val="0"/>
        <w:spacing w:line="360" w:lineRule="auto"/>
        <w:jc w:val="center"/>
        <w:rPr>
          <w:rFonts w:ascii="宋体" w:hAnsi="宋体" w:cs="宋体"/>
          <w:b/>
          <w:kern w:val="0"/>
          <w:sz w:val="32"/>
          <w:szCs w:val="32"/>
          <w:highlight w:val="none"/>
          <w:lang w:val="zh-CN"/>
        </w:rPr>
      </w:pPr>
    </w:p>
    <w:p w14:paraId="09188307">
      <w:pPr>
        <w:rPr>
          <w:rFonts w:ascii="宋体" w:hAnsi="宋体" w:cs="宋体"/>
          <w:b/>
          <w:kern w:val="0"/>
          <w:sz w:val="32"/>
          <w:szCs w:val="32"/>
          <w:highlight w:val="none"/>
          <w:lang w:val="zh-CN"/>
        </w:rPr>
      </w:pPr>
    </w:p>
    <w:p w14:paraId="0C675D9E">
      <w:pPr>
        <w:widowControl/>
        <w:adjustRightInd/>
        <w:jc w:val="left"/>
        <w:rPr>
          <w:rFonts w:ascii="宋体" w:hAnsi="宋体" w:cs="宋体"/>
          <w:b/>
          <w:kern w:val="0"/>
          <w:sz w:val="32"/>
          <w:szCs w:val="32"/>
          <w:highlight w:val="none"/>
        </w:rPr>
      </w:pPr>
      <w:r>
        <w:rPr>
          <w:rFonts w:hint="eastAsia" w:ascii="宋体" w:hAnsi="宋体" w:cs="宋体"/>
          <w:b/>
          <w:kern w:val="0"/>
          <w:sz w:val="32"/>
          <w:szCs w:val="32"/>
          <w:highlight w:val="none"/>
        </w:rPr>
        <w:br w:type="page"/>
      </w:r>
    </w:p>
    <w:p w14:paraId="747F211B">
      <w:pPr>
        <w:snapToGrid w:val="0"/>
        <w:spacing w:line="360" w:lineRule="auto"/>
        <w:jc w:val="center"/>
        <w:outlineLvl w:val="0"/>
        <w:rPr>
          <w:rFonts w:ascii="宋体" w:hAnsi="宋体" w:cs="宋体"/>
          <w:b/>
          <w:sz w:val="32"/>
          <w:szCs w:val="32"/>
          <w:highlight w:val="none"/>
        </w:rPr>
      </w:pPr>
      <w:bookmarkStart w:id="530" w:name="_Toc13840"/>
      <w:r>
        <w:rPr>
          <w:rFonts w:hint="eastAsia" w:ascii="宋体" w:hAnsi="宋体" w:cs="宋体"/>
          <w:b/>
          <w:kern w:val="0"/>
          <w:sz w:val="32"/>
          <w:szCs w:val="32"/>
          <w:highlight w:val="none"/>
        </w:rPr>
        <w:t>一、投标</w:t>
      </w:r>
      <w:r>
        <w:rPr>
          <w:rFonts w:hint="eastAsia" w:ascii="宋体" w:hAnsi="宋体" w:cs="宋体"/>
          <w:b/>
          <w:sz w:val="32"/>
          <w:szCs w:val="32"/>
          <w:highlight w:val="none"/>
        </w:rPr>
        <w:t>函</w:t>
      </w:r>
      <w:bookmarkEnd w:id="530"/>
    </w:p>
    <w:p w14:paraId="4C25F72D">
      <w:pPr>
        <w:snapToGrid w:val="0"/>
        <w:spacing w:line="360" w:lineRule="auto"/>
        <w:rPr>
          <w:rFonts w:ascii="宋体" w:hAnsi="宋体" w:cs="宋体"/>
          <w:sz w:val="24"/>
          <w:highlight w:val="none"/>
        </w:rPr>
      </w:pPr>
      <w:r>
        <w:rPr>
          <w:rFonts w:hint="eastAsia" w:ascii="宋体" w:hAnsi="宋体" w:cs="宋体"/>
          <w:sz w:val="24"/>
          <w:highlight w:val="none"/>
          <w:lang w:eastAsia="zh-CN"/>
        </w:rPr>
        <w:t>宁海县市场监督管理局</w:t>
      </w:r>
      <w:r>
        <w:rPr>
          <w:rFonts w:hint="eastAsia" w:ascii="宋体" w:hAnsi="宋体" w:cs="宋体"/>
          <w:sz w:val="24"/>
          <w:highlight w:val="none"/>
        </w:rPr>
        <w:t>、</w:t>
      </w:r>
      <w:r>
        <w:rPr>
          <w:rFonts w:hint="eastAsia" w:ascii="宋体" w:hAnsi="宋体" w:cs="宋体"/>
          <w:sz w:val="24"/>
          <w:highlight w:val="none"/>
          <w:lang w:eastAsia="zh-CN"/>
        </w:rPr>
        <w:t>浙江中基正采管理咨询有限公司</w:t>
      </w:r>
      <w:r>
        <w:rPr>
          <w:rFonts w:hint="eastAsia" w:ascii="宋体" w:hAnsi="宋体" w:cs="宋体"/>
          <w:sz w:val="24"/>
          <w:highlight w:val="none"/>
        </w:rPr>
        <w:t>：</w:t>
      </w:r>
    </w:p>
    <w:p w14:paraId="6788689D">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我方参加你方组织的</w:t>
      </w:r>
      <w:r>
        <w:rPr>
          <w:rFonts w:hint="eastAsia" w:ascii="宋体" w:hAnsi="宋体" w:cs="宋体"/>
          <w:sz w:val="24"/>
          <w:highlight w:val="none"/>
          <w:lang w:eastAsia="zh-CN"/>
        </w:rPr>
        <w:t>菜篮子食品安全“你点我检”放心工程(生鲜食材快检)</w:t>
      </w:r>
      <w:r>
        <w:rPr>
          <w:rFonts w:hint="eastAsia" w:ascii="宋体" w:hAnsi="宋体" w:cs="宋体"/>
          <w:sz w:val="24"/>
          <w:highlight w:val="none"/>
        </w:rPr>
        <w:t>【招标编号：</w:t>
      </w:r>
      <w:r>
        <w:rPr>
          <w:rFonts w:hint="eastAsia" w:ascii="宋体" w:hAnsi="宋体" w:cs="宋体"/>
          <w:sz w:val="24"/>
          <w:highlight w:val="none"/>
          <w:lang w:eastAsia="zh-CN"/>
        </w:rPr>
        <w:t>CBZJ-20256033G</w:t>
      </w:r>
      <w:r>
        <w:rPr>
          <w:rFonts w:hint="eastAsia" w:ascii="宋体" w:hAnsi="宋体" w:cs="宋体"/>
          <w:sz w:val="24"/>
          <w:highlight w:val="none"/>
        </w:rPr>
        <w:t>】招标的有关活动，并对此项目进行投标。为此：</w:t>
      </w:r>
    </w:p>
    <w:p w14:paraId="7722451E">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1、我方承诺投标有效期从提交投标文件的截止之日起</w:t>
      </w:r>
      <w:r>
        <w:rPr>
          <w:rFonts w:hint="eastAsia" w:ascii="宋体" w:hAnsi="宋体" w:cs="宋体"/>
          <w:sz w:val="24"/>
          <w:highlight w:val="none"/>
          <w:u w:val="single"/>
        </w:rPr>
        <w:t xml:space="preserve">     </w:t>
      </w:r>
      <w:r>
        <w:rPr>
          <w:rFonts w:hint="eastAsia" w:ascii="宋体" w:hAnsi="宋体" w:cs="宋体"/>
          <w:sz w:val="24"/>
          <w:highlight w:val="none"/>
        </w:rPr>
        <w:t>天（不少于90天）</w:t>
      </w:r>
      <w:r>
        <w:rPr>
          <w:rFonts w:hint="eastAsia" w:ascii="宋体" w:hAnsi="宋体" w:cs="宋体"/>
          <w:highlight w:val="none"/>
        </w:rPr>
        <w:t>，</w:t>
      </w:r>
      <w:r>
        <w:rPr>
          <w:rFonts w:hint="eastAsia" w:ascii="宋体" w:hAnsi="宋体" w:cs="宋体"/>
          <w:sz w:val="24"/>
          <w:highlight w:val="none"/>
        </w:rPr>
        <w:t>本投标文件在投标有效期满之前均具有约束力。</w:t>
      </w:r>
    </w:p>
    <w:p w14:paraId="78C29A4A">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2、我方的投标文件包括以下内容：</w:t>
      </w:r>
    </w:p>
    <w:p w14:paraId="5CA5F59A">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2.1资格文件：</w:t>
      </w:r>
    </w:p>
    <w:p w14:paraId="65CC045D">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2.1.1符合参加政府采购活动应当具备的一般条件的承诺函；</w:t>
      </w:r>
    </w:p>
    <w:p w14:paraId="5ED04172">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2.1.2</w:t>
      </w:r>
      <w:r>
        <w:rPr>
          <w:rFonts w:hint="eastAsia" w:ascii="宋体" w:hAnsi="宋体" w:cs="宋体"/>
          <w:snapToGrid w:val="0"/>
          <w:kern w:val="28"/>
          <w:sz w:val="24"/>
          <w:szCs w:val="20"/>
          <w:highlight w:val="none"/>
        </w:rPr>
        <w:t>联合协议</w:t>
      </w:r>
      <w:bookmarkStart w:id="531" w:name="_Hlk101257010"/>
      <w:r>
        <w:rPr>
          <w:rFonts w:hint="eastAsia" w:ascii="宋体" w:hAnsi="宋体" w:cs="宋体"/>
          <w:sz w:val="24"/>
          <w:highlight w:val="none"/>
        </w:rPr>
        <w:t>（如果有</w:t>
      </w:r>
      <w:r>
        <w:rPr>
          <w:rFonts w:hint="eastAsia" w:ascii="宋体" w:hAnsi="宋体" w:cs="宋体"/>
          <w:sz w:val="24"/>
          <w:highlight w:val="none"/>
          <w:lang w:eastAsia="zh-CN"/>
        </w:rPr>
        <w:t>）</w:t>
      </w:r>
      <w:bookmarkEnd w:id="531"/>
      <w:r>
        <w:rPr>
          <w:rFonts w:hint="eastAsia" w:ascii="宋体" w:hAnsi="宋体" w:cs="宋体"/>
          <w:snapToGrid w:val="0"/>
          <w:kern w:val="28"/>
          <w:sz w:val="24"/>
          <w:szCs w:val="20"/>
          <w:highlight w:val="none"/>
        </w:rPr>
        <w:t>；</w:t>
      </w:r>
    </w:p>
    <w:p w14:paraId="766B8E33">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2.1.3落实政府采购政策需满足的资格要求（如果有）；</w:t>
      </w:r>
    </w:p>
    <w:p w14:paraId="173B27ED">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2.1.4本项目的特定资格要求（如果有</w:t>
      </w:r>
      <w:r>
        <w:rPr>
          <w:rFonts w:hint="eastAsia" w:ascii="宋体" w:hAnsi="宋体" w:cs="宋体"/>
          <w:sz w:val="24"/>
          <w:highlight w:val="none"/>
          <w:lang w:eastAsia="zh-CN"/>
        </w:rPr>
        <w:t>）</w:t>
      </w:r>
      <w:r>
        <w:rPr>
          <w:rFonts w:hint="eastAsia" w:ascii="宋体" w:hAnsi="宋体" w:cs="宋体"/>
          <w:sz w:val="24"/>
          <w:highlight w:val="none"/>
        </w:rPr>
        <w:t>。</w:t>
      </w:r>
    </w:p>
    <w:p w14:paraId="53776A11">
      <w:pPr>
        <w:snapToGrid w:val="0"/>
        <w:spacing w:line="360" w:lineRule="auto"/>
        <w:ind w:left="210" w:leftChars="1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 xml:space="preserve"> </w:t>
      </w:r>
      <w:r>
        <w:rPr>
          <w:rFonts w:hint="eastAsia" w:ascii="宋体" w:hAnsi="宋体" w:cs="宋体"/>
          <w:sz w:val="24"/>
          <w:highlight w:val="none"/>
        </w:rPr>
        <w:t>商务技术</w:t>
      </w:r>
      <w:r>
        <w:rPr>
          <w:rFonts w:hint="eastAsia" w:ascii="宋体" w:hAnsi="宋体" w:cs="宋体"/>
          <w:sz w:val="24"/>
          <w:highlight w:val="none"/>
          <w:lang w:val="zh-CN"/>
        </w:rPr>
        <w:t>文件：</w:t>
      </w:r>
    </w:p>
    <w:p w14:paraId="272CE625">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2.2.1投标函；</w:t>
      </w:r>
      <w:r>
        <w:rPr>
          <w:rFonts w:hint="eastAsia" w:ascii="宋体" w:hAnsi="宋体" w:cs="宋体"/>
          <w:sz w:val="24"/>
          <w:highlight w:val="none"/>
          <w:lang w:val="zh-CN"/>
        </w:rPr>
        <w:t xml:space="preserve"> </w:t>
      </w:r>
    </w:p>
    <w:p w14:paraId="0085D65D">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2.2.2</w:t>
      </w:r>
      <w:r>
        <w:rPr>
          <w:rFonts w:hint="eastAsia" w:ascii="宋体" w:hAnsi="宋体" w:cs="宋体"/>
          <w:sz w:val="24"/>
          <w:highlight w:val="none"/>
          <w:lang w:val="zh-CN"/>
        </w:rPr>
        <w:t>授权委托书或法定代表人（单位负责人、自然人本人）身份证明</w:t>
      </w:r>
      <w:r>
        <w:rPr>
          <w:rFonts w:hint="eastAsia" w:ascii="宋体" w:hAnsi="宋体" w:cs="宋体"/>
          <w:sz w:val="24"/>
          <w:highlight w:val="none"/>
        </w:rPr>
        <w:t>；</w:t>
      </w:r>
    </w:p>
    <w:p w14:paraId="297D54C0">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2.2.3分包意向协议（如果有</w:t>
      </w:r>
      <w:r>
        <w:rPr>
          <w:rFonts w:hint="eastAsia" w:ascii="宋体" w:hAnsi="宋体" w:cs="宋体"/>
          <w:sz w:val="24"/>
          <w:highlight w:val="none"/>
          <w:lang w:eastAsia="zh-CN"/>
        </w:rPr>
        <w:t>）</w:t>
      </w:r>
      <w:r>
        <w:rPr>
          <w:rFonts w:hint="eastAsia" w:ascii="宋体" w:hAnsi="宋体" w:cs="宋体"/>
          <w:sz w:val="24"/>
          <w:highlight w:val="none"/>
        </w:rPr>
        <w:t>；</w:t>
      </w:r>
    </w:p>
    <w:p w14:paraId="48290E9C">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2.2.4符合性审查资料；</w:t>
      </w:r>
    </w:p>
    <w:p w14:paraId="6A22593D">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2.2.5评标标准相应的商务技术资料；</w:t>
      </w:r>
    </w:p>
    <w:p w14:paraId="42C6643C">
      <w:pPr>
        <w:snapToGrid w:val="0"/>
        <w:spacing w:line="360" w:lineRule="auto"/>
        <w:ind w:left="420" w:leftChars="2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.2.</w:t>
      </w:r>
      <w:r>
        <w:rPr>
          <w:rFonts w:hint="eastAsia" w:ascii="宋体" w:hAnsi="宋体" w:cs="宋体"/>
          <w:sz w:val="24"/>
          <w:highlight w:val="none"/>
        </w:rPr>
        <w:t>6</w:t>
      </w:r>
      <w:r>
        <w:rPr>
          <w:rFonts w:hint="eastAsia" w:ascii="宋体" w:hAnsi="宋体" w:cs="宋体"/>
          <w:sz w:val="24"/>
          <w:highlight w:val="none"/>
          <w:lang w:val="zh-CN"/>
        </w:rPr>
        <w:t>商务技术偏离表；</w:t>
      </w:r>
    </w:p>
    <w:p w14:paraId="50001AED">
      <w:pPr>
        <w:snapToGrid w:val="0"/>
        <w:spacing w:line="360" w:lineRule="auto"/>
        <w:ind w:left="420" w:leftChars="200" w:firstLine="480" w:firstLineChars="200"/>
        <w:rPr>
          <w:rFonts w:ascii="宋体" w:hAnsi="宋体" w:cs="宋体"/>
          <w:sz w:val="24"/>
          <w:highlight w:val="none"/>
          <w:lang w:val="zh-CN"/>
        </w:rPr>
      </w:pPr>
      <w:r>
        <w:rPr>
          <w:rFonts w:hint="eastAsia" w:ascii="宋体" w:hAnsi="宋体" w:cs="宋体"/>
          <w:sz w:val="24"/>
          <w:highlight w:val="none"/>
          <w:lang w:val="zh-CN"/>
        </w:rPr>
        <w:t>2.2.</w:t>
      </w:r>
      <w:r>
        <w:rPr>
          <w:rFonts w:hint="eastAsia" w:ascii="宋体" w:hAnsi="宋体" w:cs="宋体"/>
          <w:sz w:val="24"/>
          <w:highlight w:val="none"/>
        </w:rPr>
        <w:t>7</w:t>
      </w:r>
      <w:r>
        <w:rPr>
          <w:rFonts w:hint="eastAsia" w:ascii="宋体" w:hAnsi="宋体" w:cs="宋体"/>
          <w:sz w:val="24"/>
          <w:highlight w:val="none"/>
          <w:lang w:val="zh-CN"/>
        </w:rPr>
        <w:t>政府采购供应商廉洁自律承诺书；</w:t>
      </w:r>
    </w:p>
    <w:p w14:paraId="2F15DABA">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3报价文件</w:t>
      </w:r>
    </w:p>
    <w:p w14:paraId="7474E93C">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2.3.1开标一览表（报价表）；</w:t>
      </w:r>
    </w:p>
    <w:p w14:paraId="1CCE411E">
      <w:pPr>
        <w:snapToGrid w:val="0"/>
        <w:spacing w:line="360" w:lineRule="auto"/>
        <w:ind w:left="420" w:leftChars="200" w:firstLine="480" w:firstLineChars="200"/>
        <w:rPr>
          <w:rFonts w:hint="eastAsia" w:ascii="宋体" w:hAnsi="宋体" w:cs="宋体"/>
          <w:sz w:val="24"/>
          <w:highlight w:val="none"/>
        </w:rPr>
      </w:pPr>
      <w:r>
        <w:rPr>
          <w:rFonts w:hint="eastAsia" w:ascii="宋体" w:hAnsi="宋体" w:cs="宋体"/>
          <w:sz w:val="24"/>
          <w:highlight w:val="none"/>
        </w:rPr>
        <w:t>2.3.</w:t>
      </w:r>
      <w:r>
        <w:rPr>
          <w:rFonts w:hint="eastAsia" w:ascii="宋体" w:hAnsi="宋体" w:cs="宋体"/>
          <w:sz w:val="24"/>
          <w:highlight w:val="none"/>
          <w:lang w:val="en-US" w:eastAsia="zh-CN"/>
        </w:rPr>
        <w:t>2</w:t>
      </w:r>
      <w:r>
        <w:rPr>
          <w:rFonts w:hint="eastAsia" w:ascii="宋体" w:hAnsi="宋体" w:eastAsia="宋体" w:cs="宋体"/>
          <w:sz w:val="24"/>
          <w:highlight w:val="none"/>
          <w:lang w:val="en-US" w:eastAsia="zh-CN"/>
        </w:rPr>
        <w:t>分项报价表；</w:t>
      </w:r>
    </w:p>
    <w:p w14:paraId="49CAE890">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2.3.</w:t>
      </w:r>
      <w:r>
        <w:rPr>
          <w:rFonts w:hint="eastAsia" w:ascii="宋体" w:hAnsi="宋体" w:cs="宋体"/>
          <w:sz w:val="24"/>
          <w:highlight w:val="none"/>
          <w:lang w:val="en-US" w:eastAsia="zh-CN"/>
        </w:rPr>
        <w:t>3</w:t>
      </w:r>
      <w:r>
        <w:rPr>
          <w:rFonts w:hint="eastAsia" w:ascii="宋体" w:hAnsi="宋体" w:cs="宋体"/>
          <w:sz w:val="24"/>
          <w:highlight w:val="none"/>
        </w:rPr>
        <w:t>中小企业声明函（如果有）。</w:t>
      </w:r>
    </w:p>
    <w:p w14:paraId="0848A6A5">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3、我方承诺除商务技术偏离表列出的偏离外，我方响应招标文件的全部要求。</w:t>
      </w:r>
    </w:p>
    <w:p w14:paraId="662DC29C">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4、如我方中标，我方承诺：</w:t>
      </w:r>
    </w:p>
    <w:p w14:paraId="048FBD22">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4.1在收到中标通知书后，在中标通知书规定的期限内与你方签订合同； </w:t>
      </w:r>
    </w:p>
    <w:p w14:paraId="19576864">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4.2在签订合同时不向你方提出附加条件； </w:t>
      </w:r>
    </w:p>
    <w:p w14:paraId="494C9028">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4.3按照招标文件要求提交履约保证金； </w:t>
      </w:r>
    </w:p>
    <w:p w14:paraId="1943217B">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4.4在合同约定的期限内完成合同规定的全部义务。 </w:t>
      </w:r>
    </w:p>
    <w:p w14:paraId="3F682215">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5、其他补充说明</w:t>
      </w:r>
      <w:r>
        <w:rPr>
          <w:rFonts w:hint="eastAsia" w:ascii="宋体" w:hAnsi="宋体" w:cs="宋体"/>
          <w:sz w:val="24"/>
          <w:highlight w:val="none"/>
          <w:lang w:eastAsia="zh-CN"/>
        </w:rPr>
        <w:t>：</w:t>
      </w:r>
      <w:r>
        <w:rPr>
          <w:rFonts w:hint="eastAsia" w:ascii="宋体" w:hAnsi="宋体" w:cs="宋体"/>
          <w:sz w:val="24"/>
          <w:highlight w:val="none"/>
          <w:u w:val="single"/>
        </w:rPr>
        <w:t xml:space="preserve">                                        </w:t>
      </w:r>
      <w:r>
        <w:rPr>
          <w:rFonts w:hint="eastAsia" w:ascii="宋体" w:hAnsi="宋体" w:cs="宋体"/>
          <w:sz w:val="24"/>
          <w:highlight w:val="none"/>
        </w:rPr>
        <w:t>。</w:t>
      </w:r>
    </w:p>
    <w:p w14:paraId="18F05486">
      <w:pPr>
        <w:spacing w:line="360" w:lineRule="auto"/>
        <w:ind w:firstLine="3600" w:firstLineChars="1500"/>
        <w:rPr>
          <w:rFonts w:ascii="宋体" w:hAnsi="宋体" w:cs="宋体"/>
          <w:sz w:val="24"/>
          <w:highlight w:val="none"/>
        </w:rPr>
      </w:pPr>
      <w:r>
        <w:rPr>
          <w:rFonts w:hint="eastAsia" w:ascii="宋体" w:hAnsi="宋体" w:cs="宋体"/>
          <w:sz w:val="24"/>
          <w:highlight w:val="none"/>
        </w:rPr>
        <w:t xml:space="preserve">投标人名称（电子签名）：                          </w:t>
      </w:r>
    </w:p>
    <w:p w14:paraId="56E76ACD">
      <w:pPr>
        <w:spacing w:line="360" w:lineRule="auto"/>
        <w:jc w:val="center"/>
        <w:rPr>
          <w:rFonts w:ascii="宋体" w:hAnsi="宋体" w:cs="宋体"/>
          <w:sz w:val="24"/>
          <w:highlight w:val="none"/>
        </w:rPr>
      </w:pPr>
      <w:r>
        <w:rPr>
          <w:rFonts w:hint="eastAsia" w:ascii="宋体" w:hAnsi="宋体" w:cs="宋体"/>
          <w:sz w:val="24"/>
          <w:highlight w:val="none"/>
        </w:rPr>
        <w:t xml:space="preserve">     日期：  年   月   日</w:t>
      </w:r>
    </w:p>
    <w:p w14:paraId="06F91750">
      <w:pPr>
        <w:snapToGrid w:val="0"/>
        <w:spacing w:line="360" w:lineRule="auto"/>
        <w:ind w:left="420" w:leftChars="200" w:firstLine="4200" w:firstLineChars="1750"/>
        <w:rPr>
          <w:rFonts w:ascii="宋体" w:hAnsi="宋体" w:cs="宋体"/>
          <w:kern w:val="0"/>
          <w:sz w:val="24"/>
          <w:highlight w:val="none"/>
          <w:u w:val="single"/>
        </w:rPr>
      </w:pPr>
    </w:p>
    <w:p w14:paraId="1D000D90">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26151B51">
      <w:pPr>
        <w:snapToGrid w:val="0"/>
        <w:spacing w:line="360" w:lineRule="auto"/>
        <w:jc w:val="center"/>
        <w:rPr>
          <w:rFonts w:ascii="宋体" w:hAnsi="宋体" w:cs="宋体"/>
          <w:b/>
          <w:kern w:val="0"/>
          <w:sz w:val="32"/>
          <w:szCs w:val="32"/>
          <w:highlight w:val="none"/>
        </w:rPr>
      </w:pPr>
    </w:p>
    <w:p w14:paraId="12C5A947">
      <w:pPr>
        <w:snapToGrid w:val="0"/>
        <w:spacing w:line="360" w:lineRule="auto"/>
        <w:rPr>
          <w:rFonts w:ascii="宋体" w:hAnsi="宋体" w:cs="宋体"/>
          <w:sz w:val="24"/>
          <w:highlight w:val="none"/>
        </w:rPr>
      </w:pPr>
    </w:p>
    <w:p w14:paraId="43FBBAC5">
      <w:pPr>
        <w:jc w:val="center"/>
        <w:rPr>
          <w:rFonts w:ascii="宋体" w:hAnsi="宋体" w:cs="宋体"/>
          <w:b/>
          <w:kern w:val="0"/>
          <w:sz w:val="32"/>
          <w:szCs w:val="32"/>
          <w:highlight w:val="none"/>
        </w:rPr>
      </w:pPr>
    </w:p>
    <w:p w14:paraId="2B38F754">
      <w:pPr>
        <w:jc w:val="center"/>
        <w:rPr>
          <w:rFonts w:ascii="宋体" w:hAnsi="宋体" w:cs="宋体"/>
          <w:b/>
          <w:kern w:val="0"/>
          <w:sz w:val="32"/>
          <w:szCs w:val="32"/>
          <w:highlight w:val="none"/>
        </w:rPr>
      </w:pPr>
    </w:p>
    <w:p w14:paraId="43750A3D">
      <w:pPr>
        <w:jc w:val="center"/>
        <w:rPr>
          <w:rFonts w:ascii="宋体" w:hAnsi="宋体" w:cs="宋体"/>
          <w:b/>
          <w:kern w:val="0"/>
          <w:sz w:val="32"/>
          <w:szCs w:val="32"/>
          <w:highlight w:val="none"/>
        </w:rPr>
      </w:pPr>
    </w:p>
    <w:p w14:paraId="7C168CE4">
      <w:pPr>
        <w:jc w:val="center"/>
        <w:rPr>
          <w:rFonts w:ascii="宋体" w:hAnsi="宋体" w:cs="宋体"/>
          <w:b/>
          <w:kern w:val="0"/>
          <w:sz w:val="32"/>
          <w:szCs w:val="32"/>
          <w:highlight w:val="none"/>
        </w:rPr>
      </w:pPr>
    </w:p>
    <w:p w14:paraId="0827F2A7">
      <w:pPr>
        <w:jc w:val="center"/>
        <w:rPr>
          <w:rFonts w:ascii="宋体" w:hAnsi="宋体" w:cs="宋体"/>
          <w:b/>
          <w:kern w:val="0"/>
          <w:sz w:val="32"/>
          <w:szCs w:val="32"/>
          <w:highlight w:val="none"/>
        </w:rPr>
      </w:pPr>
    </w:p>
    <w:p w14:paraId="7F94B2D3">
      <w:pPr>
        <w:jc w:val="center"/>
        <w:rPr>
          <w:rFonts w:ascii="宋体" w:hAnsi="宋体" w:cs="宋体"/>
          <w:b/>
          <w:kern w:val="0"/>
          <w:sz w:val="32"/>
          <w:szCs w:val="32"/>
          <w:highlight w:val="none"/>
        </w:rPr>
      </w:pPr>
    </w:p>
    <w:p w14:paraId="069D57C5">
      <w:pPr>
        <w:jc w:val="center"/>
        <w:rPr>
          <w:rFonts w:ascii="宋体" w:hAnsi="宋体" w:cs="宋体"/>
          <w:b/>
          <w:kern w:val="0"/>
          <w:sz w:val="32"/>
          <w:szCs w:val="32"/>
          <w:highlight w:val="none"/>
        </w:rPr>
      </w:pPr>
    </w:p>
    <w:p w14:paraId="5D3CD17E">
      <w:pPr>
        <w:jc w:val="center"/>
        <w:rPr>
          <w:rFonts w:ascii="宋体" w:hAnsi="宋体" w:cs="宋体"/>
          <w:b/>
          <w:kern w:val="0"/>
          <w:sz w:val="32"/>
          <w:szCs w:val="32"/>
          <w:highlight w:val="none"/>
        </w:rPr>
      </w:pPr>
    </w:p>
    <w:p w14:paraId="013DC012">
      <w:pPr>
        <w:jc w:val="center"/>
        <w:rPr>
          <w:rFonts w:ascii="宋体" w:hAnsi="宋体" w:cs="宋体"/>
          <w:b/>
          <w:kern w:val="0"/>
          <w:sz w:val="32"/>
          <w:szCs w:val="32"/>
          <w:highlight w:val="none"/>
        </w:rPr>
      </w:pPr>
    </w:p>
    <w:p w14:paraId="38FE183B">
      <w:pPr>
        <w:jc w:val="center"/>
        <w:rPr>
          <w:rFonts w:ascii="宋体" w:hAnsi="宋体" w:cs="宋体"/>
          <w:b/>
          <w:kern w:val="0"/>
          <w:sz w:val="32"/>
          <w:szCs w:val="32"/>
          <w:highlight w:val="none"/>
        </w:rPr>
      </w:pPr>
    </w:p>
    <w:p w14:paraId="06F450ED">
      <w:pPr>
        <w:jc w:val="center"/>
        <w:rPr>
          <w:rFonts w:ascii="宋体" w:hAnsi="宋体" w:cs="宋体"/>
          <w:b/>
          <w:kern w:val="0"/>
          <w:sz w:val="32"/>
          <w:szCs w:val="32"/>
          <w:highlight w:val="none"/>
        </w:rPr>
      </w:pPr>
    </w:p>
    <w:p w14:paraId="65D14998">
      <w:pPr>
        <w:jc w:val="center"/>
        <w:rPr>
          <w:rFonts w:ascii="宋体" w:hAnsi="宋体" w:cs="宋体"/>
          <w:b/>
          <w:kern w:val="0"/>
          <w:sz w:val="32"/>
          <w:szCs w:val="32"/>
          <w:highlight w:val="none"/>
        </w:rPr>
      </w:pPr>
    </w:p>
    <w:p w14:paraId="29014096">
      <w:pPr>
        <w:jc w:val="center"/>
        <w:rPr>
          <w:rFonts w:ascii="宋体" w:hAnsi="宋体" w:cs="宋体"/>
          <w:b/>
          <w:kern w:val="0"/>
          <w:sz w:val="32"/>
          <w:szCs w:val="32"/>
          <w:highlight w:val="none"/>
        </w:rPr>
      </w:pPr>
    </w:p>
    <w:p w14:paraId="30177157">
      <w:pPr>
        <w:jc w:val="center"/>
        <w:rPr>
          <w:rFonts w:ascii="宋体" w:hAnsi="宋体" w:cs="宋体"/>
          <w:b/>
          <w:kern w:val="0"/>
          <w:sz w:val="32"/>
          <w:szCs w:val="32"/>
          <w:highlight w:val="none"/>
        </w:rPr>
      </w:pPr>
    </w:p>
    <w:p w14:paraId="0E63EEF3">
      <w:pPr>
        <w:jc w:val="center"/>
        <w:rPr>
          <w:rFonts w:ascii="宋体" w:hAnsi="宋体" w:cs="宋体"/>
          <w:b/>
          <w:kern w:val="0"/>
          <w:sz w:val="32"/>
          <w:szCs w:val="32"/>
          <w:highlight w:val="none"/>
        </w:rPr>
      </w:pPr>
    </w:p>
    <w:p w14:paraId="2AD299AD">
      <w:pPr>
        <w:jc w:val="center"/>
        <w:rPr>
          <w:rFonts w:ascii="宋体" w:hAnsi="宋体" w:cs="宋体"/>
          <w:b/>
          <w:kern w:val="0"/>
          <w:sz w:val="32"/>
          <w:szCs w:val="32"/>
          <w:highlight w:val="none"/>
        </w:rPr>
      </w:pPr>
    </w:p>
    <w:p w14:paraId="6C5E3A91">
      <w:pPr>
        <w:jc w:val="center"/>
        <w:rPr>
          <w:rFonts w:ascii="宋体" w:hAnsi="宋体" w:cs="宋体"/>
          <w:b/>
          <w:kern w:val="0"/>
          <w:sz w:val="32"/>
          <w:szCs w:val="32"/>
          <w:highlight w:val="none"/>
        </w:rPr>
      </w:pPr>
    </w:p>
    <w:p w14:paraId="75F9B9C5">
      <w:pPr>
        <w:jc w:val="center"/>
        <w:rPr>
          <w:rFonts w:ascii="宋体" w:hAnsi="宋体" w:cs="宋体"/>
          <w:b/>
          <w:kern w:val="0"/>
          <w:sz w:val="32"/>
          <w:szCs w:val="32"/>
          <w:highlight w:val="none"/>
        </w:rPr>
      </w:pPr>
    </w:p>
    <w:p w14:paraId="0858A664">
      <w:pPr>
        <w:jc w:val="center"/>
        <w:rPr>
          <w:rFonts w:ascii="宋体" w:hAnsi="宋体" w:cs="宋体"/>
          <w:b/>
          <w:kern w:val="0"/>
          <w:sz w:val="32"/>
          <w:szCs w:val="32"/>
          <w:highlight w:val="none"/>
        </w:rPr>
      </w:pPr>
    </w:p>
    <w:p w14:paraId="4BF40C7D">
      <w:pPr>
        <w:jc w:val="center"/>
        <w:rPr>
          <w:rFonts w:ascii="宋体" w:hAnsi="宋体" w:cs="宋体"/>
          <w:b/>
          <w:kern w:val="0"/>
          <w:sz w:val="32"/>
          <w:szCs w:val="32"/>
          <w:highlight w:val="none"/>
        </w:rPr>
      </w:pPr>
    </w:p>
    <w:p w14:paraId="7341CC41">
      <w:pPr>
        <w:jc w:val="center"/>
        <w:rPr>
          <w:rFonts w:ascii="宋体" w:hAnsi="宋体" w:cs="宋体"/>
          <w:b/>
          <w:kern w:val="0"/>
          <w:sz w:val="32"/>
          <w:szCs w:val="32"/>
          <w:highlight w:val="none"/>
        </w:rPr>
        <w:sectPr>
          <w:pgSz w:w="11906" w:h="16838"/>
          <w:pgMar w:top="1276" w:right="1418" w:bottom="1247" w:left="1418" w:header="851" w:footer="992" w:gutter="0"/>
          <w:cols w:space="720" w:num="1"/>
          <w:titlePg/>
          <w:docGrid w:linePitch="312" w:charSpace="0"/>
        </w:sectPr>
      </w:pPr>
    </w:p>
    <w:p w14:paraId="6B62FC2F">
      <w:pPr>
        <w:jc w:val="center"/>
        <w:rPr>
          <w:rFonts w:ascii="宋体" w:hAnsi="宋体" w:cs="宋体"/>
          <w:b/>
          <w:kern w:val="0"/>
          <w:sz w:val="32"/>
          <w:szCs w:val="32"/>
          <w:highlight w:val="none"/>
          <w:lang w:val="zh-CN"/>
        </w:rPr>
      </w:pPr>
      <w:r>
        <w:rPr>
          <w:rFonts w:hint="eastAsia" w:ascii="宋体" w:hAnsi="宋体" w:cs="宋体"/>
          <w:b/>
          <w:kern w:val="0"/>
          <w:sz w:val="32"/>
          <w:szCs w:val="32"/>
          <w:highlight w:val="none"/>
          <w:lang w:val="zh-CN"/>
        </w:rPr>
        <w:t>二、授权委托书或法定代表人（单位负责人、自然人本人）身份证明</w:t>
      </w:r>
    </w:p>
    <w:p w14:paraId="4F718871">
      <w:pPr>
        <w:snapToGrid w:val="0"/>
        <w:spacing w:line="360" w:lineRule="auto"/>
        <w:rPr>
          <w:rFonts w:ascii="宋体" w:hAnsi="宋体" w:cs="宋体"/>
          <w:sz w:val="24"/>
          <w:highlight w:val="none"/>
        </w:rPr>
      </w:pPr>
      <w:r>
        <w:rPr>
          <w:rFonts w:hint="eastAsia" w:ascii="宋体" w:hAnsi="宋体" w:cs="宋体"/>
          <w:sz w:val="24"/>
          <w:highlight w:val="none"/>
        </w:rPr>
        <w:t xml:space="preserve">                                </w:t>
      </w:r>
    </w:p>
    <w:p w14:paraId="518C2A25">
      <w:pPr>
        <w:snapToGrid w:val="0"/>
        <w:spacing w:line="360" w:lineRule="auto"/>
        <w:ind w:firstLine="2872" w:firstLineChars="894"/>
        <w:rPr>
          <w:rFonts w:ascii="宋体" w:hAnsi="宋体" w:cs="宋体"/>
          <w:highlight w:val="none"/>
        </w:rPr>
      </w:pPr>
      <w:r>
        <w:rPr>
          <w:rFonts w:hint="eastAsia" w:ascii="宋体" w:hAnsi="宋体" w:cs="宋体"/>
          <w:b/>
          <w:kern w:val="0"/>
          <w:sz w:val="32"/>
          <w:szCs w:val="32"/>
          <w:highlight w:val="none"/>
          <w:lang w:val="zh-CN"/>
        </w:rPr>
        <w:t>授权委托书（适用于非联合体投标）</w:t>
      </w:r>
      <w:r>
        <w:rPr>
          <w:rFonts w:hint="eastAsia" w:ascii="宋体" w:hAnsi="宋体" w:cs="宋体"/>
          <w:highlight w:val="none"/>
        </w:rPr>
        <w:t xml:space="preserve">                               </w:t>
      </w:r>
    </w:p>
    <w:p w14:paraId="0939B825">
      <w:pPr>
        <w:snapToGrid w:val="0"/>
        <w:spacing w:line="360" w:lineRule="auto"/>
        <w:rPr>
          <w:rFonts w:ascii="宋体" w:hAnsi="宋体" w:cs="宋体"/>
          <w:kern w:val="0"/>
          <w:sz w:val="24"/>
          <w:highlight w:val="none"/>
        </w:rPr>
      </w:pPr>
      <w:r>
        <w:rPr>
          <w:rFonts w:hint="eastAsia" w:ascii="宋体" w:hAnsi="宋体" w:cs="宋体"/>
          <w:sz w:val="24"/>
          <w:highlight w:val="none"/>
          <w:lang w:eastAsia="zh-CN"/>
        </w:rPr>
        <w:t>宁海县市场监督管理局</w:t>
      </w:r>
      <w:r>
        <w:rPr>
          <w:rFonts w:hint="eastAsia" w:ascii="宋体" w:hAnsi="宋体" w:cs="宋体"/>
          <w:sz w:val="24"/>
          <w:highlight w:val="none"/>
        </w:rPr>
        <w:t>、</w:t>
      </w:r>
      <w:r>
        <w:rPr>
          <w:rFonts w:hint="eastAsia" w:ascii="宋体" w:hAnsi="宋体" w:cs="宋体"/>
          <w:sz w:val="24"/>
          <w:highlight w:val="none"/>
          <w:lang w:eastAsia="zh-CN"/>
        </w:rPr>
        <w:t>浙江中基正采管理咨询有限公司</w:t>
      </w:r>
      <w:r>
        <w:rPr>
          <w:rFonts w:hint="eastAsia" w:ascii="宋体" w:hAnsi="宋体" w:cs="宋体"/>
          <w:kern w:val="0"/>
          <w:sz w:val="24"/>
          <w:highlight w:val="none"/>
          <w:lang w:val="zh-CN"/>
        </w:rPr>
        <w:t>：</w:t>
      </w:r>
    </w:p>
    <w:p w14:paraId="065A09BC">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），以我方名义处理</w:t>
      </w:r>
      <w:r>
        <w:rPr>
          <w:rFonts w:hint="eastAsia" w:ascii="宋体" w:hAnsi="宋体" w:cs="宋体"/>
          <w:sz w:val="24"/>
          <w:highlight w:val="none"/>
          <w:lang w:eastAsia="zh-CN"/>
        </w:rPr>
        <w:t>菜篮子食品安全“你点我检”放心工程(生鲜食材快检)</w:t>
      </w:r>
      <w:r>
        <w:rPr>
          <w:rFonts w:hint="eastAsia" w:ascii="宋体" w:hAnsi="宋体" w:cs="宋体"/>
          <w:sz w:val="24"/>
          <w:highlight w:val="none"/>
        </w:rPr>
        <w:t>【招标编号：</w:t>
      </w:r>
      <w:r>
        <w:rPr>
          <w:rFonts w:hint="eastAsia" w:ascii="宋体" w:hAnsi="宋体" w:cs="宋体"/>
          <w:sz w:val="24"/>
          <w:highlight w:val="none"/>
          <w:lang w:eastAsia="zh-CN"/>
        </w:rPr>
        <w:t>CBZJ-20256033G</w:t>
      </w:r>
      <w:r>
        <w:rPr>
          <w:rFonts w:hint="eastAsia" w:ascii="宋体" w:hAnsi="宋体" w:cs="宋体"/>
          <w:sz w:val="24"/>
          <w:highlight w:val="none"/>
        </w:rPr>
        <w:t>】</w:t>
      </w:r>
      <w:r>
        <w:rPr>
          <w:rFonts w:hint="eastAsia" w:ascii="宋体" w:hAnsi="宋体" w:cs="宋体"/>
          <w:kern w:val="0"/>
          <w:sz w:val="24"/>
          <w:highlight w:val="none"/>
          <w:lang w:val="zh-CN"/>
        </w:rPr>
        <w:t>政府采购投标的一切事项，其法律后果由我方承担。</w:t>
      </w:r>
    </w:p>
    <w:p w14:paraId="47341DCE">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14:paraId="35683DA1">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14:paraId="7B112280">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投标人名称（电子签名）：</w:t>
      </w:r>
    </w:p>
    <w:p w14:paraId="5B65809C">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签发日期：  年  月   日</w:t>
      </w:r>
    </w:p>
    <w:p w14:paraId="6003C11A">
      <w:pPr>
        <w:snapToGrid w:val="0"/>
        <w:spacing w:line="360" w:lineRule="auto"/>
        <w:rPr>
          <w:rFonts w:ascii="宋体" w:hAnsi="宋体" w:cs="宋体"/>
          <w:sz w:val="24"/>
          <w:highlight w:val="none"/>
        </w:rPr>
      </w:pPr>
    </w:p>
    <w:p w14:paraId="0B13F9E2">
      <w:pPr>
        <w:jc w:val="center"/>
        <w:rPr>
          <w:rFonts w:ascii="宋体" w:hAnsi="宋体" w:cs="宋体"/>
          <w:b/>
          <w:kern w:val="0"/>
          <w:sz w:val="32"/>
          <w:szCs w:val="32"/>
          <w:highlight w:val="none"/>
        </w:rPr>
      </w:pPr>
      <w:r>
        <w:rPr>
          <w:rFonts w:hint="eastAsia" w:ascii="宋体" w:hAnsi="宋体" w:cs="宋体"/>
          <w:b/>
          <w:kern w:val="0"/>
          <w:sz w:val="32"/>
          <w:szCs w:val="32"/>
          <w:highlight w:val="none"/>
          <w:lang w:val="zh-CN"/>
        </w:rPr>
        <w:t xml:space="preserve">      </w:t>
      </w:r>
      <w:r>
        <w:rPr>
          <w:rFonts w:hint="eastAsia" w:ascii="宋体" w:hAnsi="宋体" w:cs="宋体"/>
          <w:b/>
          <w:kern w:val="0"/>
          <w:sz w:val="32"/>
          <w:szCs w:val="32"/>
          <w:highlight w:val="none"/>
        </w:rPr>
        <w:t xml:space="preserve"> </w:t>
      </w:r>
      <w:r>
        <w:rPr>
          <w:rFonts w:hint="eastAsia" w:ascii="宋体" w:hAnsi="宋体" w:cs="宋体"/>
          <w:b/>
          <w:kern w:val="0"/>
          <w:sz w:val="32"/>
          <w:szCs w:val="32"/>
          <w:highlight w:val="none"/>
          <w:lang w:val="zh-CN"/>
        </w:rPr>
        <w:t>授权委托书（适用于联合体投标）</w:t>
      </w:r>
    </w:p>
    <w:p w14:paraId="18661B1C">
      <w:pPr>
        <w:snapToGrid w:val="0"/>
        <w:spacing w:line="360" w:lineRule="auto"/>
        <w:rPr>
          <w:rFonts w:ascii="宋体" w:hAnsi="宋体" w:cs="宋体"/>
          <w:kern w:val="0"/>
          <w:sz w:val="24"/>
          <w:highlight w:val="none"/>
        </w:rPr>
      </w:pPr>
      <w:r>
        <w:rPr>
          <w:rFonts w:hint="eastAsia" w:ascii="宋体" w:hAnsi="宋体" w:cs="宋体"/>
          <w:sz w:val="24"/>
          <w:highlight w:val="none"/>
          <w:lang w:eastAsia="zh-CN"/>
        </w:rPr>
        <w:t>宁海县市场监督管理局</w:t>
      </w:r>
      <w:r>
        <w:rPr>
          <w:rFonts w:hint="eastAsia" w:ascii="宋体" w:hAnsi="宋体" w:cs="宋体"/>
          <w:sz w:val="24"/>
          <w:highlight w:val="none"/>
        </w:rPr>
        <w:t>、</w:t>
      </w:r>
      <w:r>
        <w:rPr>
          <w:rFonts w:hint="eastAsia" w:ascii="宋体" w:hAnsi="宋体" w:cs="宋体"/>
          <w:sz w:val="24"/>
          <w:highlight w:val="none"/>
          <w:lang w:eastAsia="zh-CN"/>
        </w:rPr>
        <w:t>浙江中基正采管理咨询有限公司</w:t>
      </w:r>
      <w:r>
        <w:rPr>
          <w:rFonts w:hint="eastAsia" w:ascii="宋体" w:hAnsi="宋体" w:cs="宋体"/>
          <w:kern w:val="0"/>
          <w:sz w:val="24"/>
          <w:highlight w:val="none"/>
          <w:lang w:val="zh-CN"/>
        </w:rPr>
        <w:t>：</w:t>
      </w:r>
    </w:p>
    <w:p w14:paraId="202ACA01">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），以我方名义处理</w:t>
      </w:r>
      <w:r>
        <w:rPr>
          <w:rFonts w:hint="eastAsia" w:ascii="宋体" w:hAnsi="宋体" w:cs="宋体"/>
          <w:sz w:val="24"/>
          <w:highlight w:val="none"/>
          <w:lang w:eastAsia="zh-CN"/>
        </w:rPr>
        <w:t>菜篮子食品安全“你点我检”放心工程(生鲜食材快检)</w:t>
      </w:r>
      <w:r>
        <w:rPr>
          <w:rFonts w:hint="eastAsia" w:ascii="宋体" w:hAnsi="宋体" w:cs="宋体"/>
          <w:sz w:val="24"/>
          <w:highlight w:val="none"/>
        </w:rPr>
        <w:t>【招标编号：</w:t>
      </w:r>
      <w:r>
        <w:rPr>
          <w:rFonts w:hint="eastAsia" w:ascii="宋体" w:hAnsi="宋体" w:cs="宋体"/>
          <w:sz w:val="24"/>
          <w:highlight w:val="none"/>
          <w:lang w:eastAsia="zh-CN"/>
        </w:rPr>
        <w:t>CBZJ-20256033G</w:t>
      </w:r>
      <w:r>
        <w:rPr>
          <w:rFonts w:hint="eastAsia" w:ascii="宋体" w:hAnsi="宋体" w:cs="宋体"/>
          <w:sz w:val="24"/>
          <w:highlight w:val="none"/>
        </w:rPr>
        <w:t>】</w:t>
      </w:r>
      <w:r>
        <w:rPr>
          <w:rFonts w:hint="eastAsia" w:ascii="宋体" w:hAnsi="宋体" w:cs="宋体"/>
          <w:kern w:val="0"/>
          <w:sz w:val="24"/>
          <w:highlight w:val="none"/>
          <w:lang w:val="zh-CN"/>
        </w:rPr>
        <w:t>政府采购投标的一切事项，其法律后果由我方承担。</w:t>
      </w:r>
    </w:p>
    <w:p w14:paraId="2494511F">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14:paraId="68F8D40C">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14:paraId="2CEBBCA2">
      <w:pPr>
        <w:jc w:val="center"/>
        <w:rPr>
          <w:rFonts w:ascii="宋体" w:hAnsi="宋体" w:cs="宋体"/>
          <w:b/>
          <w:kern w:val="0"/>
          <w:sz w:val="32"/>
          <w:szCs w:val="32"/>
          <w:highlight w:val="none"/>
        </w:rPr>
      </w:pPr>
    </w:p>
    <w:p w14:paraId="6AB05862">
      <w:pPr>
        <w:rPr>
          <w:rFonts w:ascii="宋体" w:hAnsi="宋体" w:cs="宋体"/>
          <w:highlight w:val="none"/>
        </w:rPr>
      </w:pPr>
    </w:p>
    <w:p w14:paraId="0A3B9706">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2B1D787A">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24A3BC1C">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14:paraId="38744534">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5F8FBD39">
      <w:pPr>
        <w:autoSpaceDE w:val="0"/>
        <w:autoSpaceDN w:val="0"/>
        <w:spacing w:line="360" w:lineRule="auto"/>
        <w:jc w:val="center"/>
        <w:rPr>
          <w:rFonts w:ascii="宋体" w:hAnsi="宋体" w:cs="宋体"/>
          <w:b/>
          <w:kern w:val="0"/>
          <w:sz w:val="32"/>
          <w:szCs w:val="32"/>
          <w:highlight w:val="none"/>
          <w:lang w:val="zh-CN"/>
        </w:rPr>
      </w:pPr>
    </w:p>
    <w:p w14:paraId="285B0BAD">
      <w:pPr>
        <w:autoSpaceDE w:val="0"/>
        <w:autoSpaceDN w:val="0"/>
        <w:spacing w:line="360" w:lineRule="auto"/>
        <w:jc w:val="center"/>
        <w:rPr>
          <w:rFonts w:ascii="宋体" w:hAnsi="宋体" w:cs="宋体"/>
          <w:b/>
          <w:kern w:val="0"/>
          <w:sz w:val="32"/>
          <w:szCs w:val="32"/>
          <w:highlight w:val="none"/>
          <w:lang w:val="zh-CN"/>
        </w:rPr>
      </w:pPr>
    </w:p>
    <w:p w14:paraId="47DBA8C4">
      <w:pPr>
        <w:autoSpaceDE w:val="0"/>
        <w:autoSpaceDN w:val="0"/>
        <w:spacing w:line="360" w:lineRule="auto"/>
        <w:jc w:val="center"/>
        <w:rPr>
          <w:rFonts w:ascii="宋体" w:hAnsi="宋体" w:cs="宋体"/>
          <w:b/>
          <w:kern w:val="0"/>
          <w:sz w:val="32"/>
          <w:szCs w:val="32"/>
          <w:highlight w:val="none"/>
          <w:lang w:val="zh-CN"/>
        </w:rPr>
      </w:pPr>
    </w:p>
    <w:p w14:paraId="50E63487">
      <w:pPr>
        <w:autoSpaceDE w:val="0"/>
        <w:autoSpaceDN w:val="0"/>
        <w:spacing w:line="360" w:lineRule="auto"/>
        <w:jc w:val="center"/>
        <w:rPr>
          <w:rFonts w:ascii="宋体" w:hAnsi="宋体" w:cs="宋体"/>
          <w:b/>
          <w:sz w:val="24"/>
          <w:highlight w:val="none"/>
        </w:rPr>
      </w:pPr>
      <w:r>
        <w:rPr>
          <w:rFonts w:hint="eastAsia" w:ascii="宋体" w:hAnsi="宋体" w:cs="宋体"/>
          <w:b/>
          <w:kern w:val="0"/>
          <w:sz w:val="32"/>
          <w:szCs w:val="32"/>
          <w:highlight w:val="none"/>
          <w:lang w:val="zh-CN"/>
        </w:rPr>
        <w:t>法定代表人、单位负责人或自然人本人</w:t>
      </w:r>
      <w:r>
        <w:rPr>
          <w:rFonts w:hint="eastAsia" w:ascii="宋体" w:hAnsi="宋体" w:cs="宋体"/>
          <w:b/>
          <w:sz w:val="30"/>
          <w:szCs w:val="30"/>
          <w:highlight w:val="none"/>
        </w:rPr>
        <w:t>的身份证明（适用于法定代表人、单位负责人或者自然人本人代表投标人参加投标）</w:t>
      </w:r>
    </w:p>
    <w:p w14:paraId="2A7A0A44">
      <w:pPr>
        <w:pStyle w:val="151"/>
        <w:spacing w:line="360" w:lineRule="auto"/>
        <w:rPr>
          <w:rFonts w:hAnsi="宋体" w:cs="宋体"/>
          <w:bCs/>
          <w:sz w:val="24"/>
          <w:highlight w:val="none"/>
        </w:rPr>
      </w:pPr>
      <w:r>
        <w:rPr>
          <w:rFonts w:hint="eastAsia" w:hAnsi="宋体" w:cs="宋体"/>
          <w:bCs/>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C6E5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6E8A9C6">
            <w:pPr>
              <w:pStyle w:val="151"/>
              <w:adjustRightInd w:val="0"/>
              <w:spacing w:line="360" w:lineRule="auto"/>
              <w:rPr>
                <w:rFonts w:hAnsi="宋体" w:cs="宋体"/>
                <w:bCs/>
                <w:sz w:val="24"/>
                <w:highlight w:val="none"/>
              </w:rPr>
            </w:pPr>
            <w:r>
              <w:rPr>
                <w:rFonts w:hint="eastAsia" w:hAnsi="宋体" w:cs="宋体"/>
                <w:bCs/>
                <w:sz w:val="24"/>
                <w:highlight w:val="none"/>
              </w:rPr>
              <w:t>正面：                                 反面：</w:t>
            </w:r>
          </w:p>
          <w:p w14:paraId="46C5C6F4">
            <w:pPr>
              <w:pStyle w:val="151"/>
              <w:adjustRightInd w:val="0"/>
              <w:spacing w:line="360" w:lineRule="auto"/>
              <w:rPr>
                <w:rFonts w:hAnsi="宋体" w:cs="宋体"/>
                <w:bCs/>
                <w:sz w:val="24"/>
                <w:highlight w:val="none"/>
              </w:rPr>
            </w:pPr>
          </w:p>
        </w:tc>
      </w:tr>
    </w:tbl>
    <w:p w14:paraId="200E9AD1">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6B55F886">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投标人名称（电子签名）：                              </w:t>
      </w:r>
    </w:p>
    <w:p w14:paraId="5C2C1A26">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22F40C2F">
      <w:pPr>
        <w:jc w:val="center"/>
        <w:rPr>
          <w:rFonts w:ascii="宋体" w:hAnsi="宋体" w:cs="宋体"/>
          <w:b/>
          <w:kern w:val="0"/>
          <w:sz w:val="32"/>
          <w:szCs w:val="32"/>
          <w:highlight w:val="none"/>
        </w:rPr>
      </w:pPr>
    </w:p>
    <w:p w14:paraId="07841B87">
      <w:pPr>
        <w:jc w:val="center"/>
        <w:rPr>
          <w:rFonts w:ascii="宋体" w:hAnsi="宋体" w:cs="宋体"/>
          <w:b/>
          <w:kern w:val="0"/>
          <w:sz w:val="32"/>
          <w:szCs w:val="32"/>
          <w:highlight w:val="none"/>
        </w:rPr>
      </w:pPr>
    </w:p>
    <w:p w14:paraId="7220C336">
      <w:pPr>
        <w:jc w:val="center"/>
        <w:rPr>
          <w:rFonts w:ascii="宋体" w:hAnsi="宋体" w:cs="宋体"/>
          <w:b/>
          <w:kern w:val="0"/>
          <w:sz w:val="32"/>
          <w:szCs w:val="32"/>
          <w:highlight w:val="none"/>
        </w:rPr>
      </w:pPr>
    </w:p>
    <w:p w14:paraId="6DEDDF28">
      <w:pPr>
        <w:jc w:val="center"/>
        <w:rPr>
          <w:rFonts w:ascii="宋体" w:hAnsi="宋体" w:cs="宋体"/>
          <w:b/>
          <w:kern w:val="0"/>
          <w:sz w:val="32"/>
          <w:szCs w:val="32"/>
          <w:highlight w:val="none"/>
        </w:rPr>
      </w:pPr>
    </w:p>
    <w:p w14:paraId="5996FAFD">
      <w:pPr>
        <w:jc w:val="center"/>
        <w:rPr>
          <w:rFonts w:ascii="宋体" w:hAnsi="宋体" w:cs="宋体"/>
          <w:b/>
          <w:kern w:val="0"/>
          <w:sz w:val="32"/>
          <w:szCs w:val="32"/>
          <w:highlight w:val="none"/>
        </w:rPr>
      </w:pPr>
    </w:p>
    <w:p w14:paraId="1027A6B0">
      <w:pPr>
        <w:jc w:val="center"/>
        <w:rPr>
          <w:rFonts w:ascii="宋体" w:hAnsi="宋体" w:cs="宋体"/>
          <w:b/>
          <w:kern w:val="0"/>
          <w:sz w:val="32"/>
          <w:szCs w:val="32"/>
          <w:highlight w:val="none"/>
        </w:rPr>
      </w:pPr>
    </w:p>
    <w:p w14:paraId="5C325B31">
      <w:pPr>
        <w:jc w:val="center"/>
        <w:rPr>
          <w:rFonts w:ascii="宋体" w:hAnsi="宋体" w:cs="宋体"/>
          <w:b/>
          <w:kern w:val="0"/>
          <w:sz w:val="32"/>
          <w:szCs w:val="32"/>
          <w:highlight w:val="none"/>
        </w:rPr>
      </w:pPr>
    </w:p>
    <w:p w14:paraId="12E15BEB">
      <w:pPr>
        <w:jc w:val="center"/>
        <w:rPr>
          <w:rFonts w:ascii="宋体" w:hAnsi="宋体" w:cs="宋体"/>
          <w:b/>
          <w:kern w:val="0"/>
          <w:sz w:val="32"/>
          <w:szCs w:val="32"/>
          <w:highlight w:val="none"/>
        </w:rPr>
      </w:pPr>
    </w:p>
    <w:p w14:paraId="6A8FF62C">
      <w:pPr>
        <w:jc w:val="center"/>
        <w:rPr>
          <w:rFonts w:ascii="宋体" w:hAnsi="宋体" w:cs="宋体"/>
          <w:b/>
          <w:kern w:val="0"/>
          <w:sz w:val="32"/>
          <w:szCs w:val="32"/>
          <w:highlight w:val="none"/>
        </w:rPr>
      </w:pPr>
    </w:p>
    <w:p w14:paraId="2FE3F1D8">
      <w:pPr>
        <w:jc w:val="center"/>
        <w:rPr>
          <w:rFonts w:ascii="宋体" w:hAnsi="宋体" w:cs="宋体"/>
          <w:b/>
          <w:kern w:val="0"/>
          <w:sz w:val="32"/>
          <w:szCs w:val="32"/>
          <w:highlight w:val="none"/>
        </w:rPr>
      </w:pPr>
    </w:p>
    <w:p w14:paraId="24C259A3">
      <w:pPr>
        <w:snapToGrid w:val="0"/>
        <w:spacing w:line="360" w:lineRule="auto"/>
        <w:ind w:right="480"/>
        <w:rPr>
          <w:rFonts w:ascii="宋体" w:hAnsi="宋体" w:cs="宋体"/>
          <w:b/>
          <w:kern w:val="0"/>
          <w:sz w:val="32"/>
          <w:szCs w:val="32"/>
          <w:highlight w:val="none"/>
        </w:rPr>
        <w:sectPr>
          <w:pgSz w:w="11906" w:h="16838"/>
          <w:pgMar w:top="1276" w:right="1418" w:bottom="1247" w:left="1418" w:header="851" w:footer="992" w:gutter="0"/>
          <w:cols w:space="720" w:num="1"/>
          <w:titlePg/>
          <w:docGrid w:linePitch="312" w:charSpace="0"/>
        </w:sectPr>
      </w:pPr>
    </w:p>
    <w:p w14:paraId="5E6E4AE7">
      <w:pPr>
        <w:snapToGrid w:val="0"/>
        <w:spacing w:line="360" w:lineRule="auto"/>
        <w:jc w:val="center"/>
        <w:rPr>
          <w:rFonts w:ascii="宋体" w:hAnsi="宋体" w:cs="宋体"/>
          <w:b/>
          <w:kern w:val="0"/>
          <w:sz w:val="32"/>
          <w:szCs w:val="32"/>
          <w:highlight w:val="none"/>
        </w:rPr>
      </w:pPr>
      <w:r>
        <w:rPr>
          <w:rFonts w:hint="eastAsia" w:ascii="宋体" w:hAnsi="宋体" w:cs="宋体"/>
          <w:b/>
          <w:kern w:val="0"/>
          <w:sz w:val="32"/>
          <w:szCs w:val="32"/>
          <w:highlight w:val="none"/>
        </w:rPr>
        <w:t>三、分包意向协议（如果有）</w:t>
      </w:r>
    </w:p>
    <w:p w14:paraId="483C5EC7">
      <w:pPr>
        <w:widowControl/>
        <w:spacing w:line="360" w:lineRule="auto"/>
        <w:ind w:firstLine="120" w:firstLineChars="50"/>
        <w:jc w:val="left"/>
        <w:rPr>
          <w:rFonts w:ascii="宋体" w:hAnsi="宋体" w:cs="宋体"/>
          <w:sz w:val="24"/>
          <w:highlight w:val="none"/>
        </w:rPr>
      </w:pPr>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中标后以分包方式履行合同的，提供分包意向协议；采购人不同意分包或者投标人中标后不以分包方式履行合同的，则不需要提供。</w:t>
      </w:r>
      <w:r>
        <w:rPr>
          <w:rFonts w:hint="eastAsia" w:ascii="宋体" w:hAnsi="宋体" w:cs="宋体"/>
          <w:sz w:val="24"/>
          <w:highlight w:val="none"/>
        </w:rPr>
        <w:t>]</w:t>
      </w:r>
    </w:p>
    <w:p w14:paraId="4F0CD07C">
      <w:pPr>
        <w:snapToGrid w:val="0"/>
        <w:spacing w:line="360" w:lineRule="auto"/>
        <w:rPr>
          <w:rFonts w:ascii="宋体" w:hAnsi="宋体" w:cs="宋体"/>
          <w:kern w:val="0"/>
          <w:sz w:val="24"/>
          <w:highlight w:val="none"/>
        </w:rPr>
      </w:pPr>
    </w:p>
    <w:p w14:paraId="39A6F6DF">
      <w:pPr>
        <w:jc w:val="center"/>
        <w:rPr>
          <w:rFonts w:ascii="宋体" w:hAnsi="宋体" w:cs="宋体"/>
          <w:b/>
          <w:kern w:val="0"/>
          <w:sz w:val="32"/>
          <w:szCs w:val="32"/>
          <w:highlight w:val="none"/>
        </w:rPr>
      </w:pPr>
      <w:r>
        <w:rPr>
          <w:rFonts w:hint="eastAsia" w:ascii="宋体" w:hAnsi="宋体" w:cs="宋体"/>
          <w:b/>
          <w:kern w:val="0"/>
          <w:sz w:val="32"/>
          <w:szCs w:val="32"/>
          <w:highlight w:val="none"/>
        </w:rPr>
        <w:t>四、符合性审查资料</w:t>
      </w:r>
    </w:p>
    <w:p w14:paraId="555989F9">
      <w:pPr>
        <w:jc w:val="center"/>
        <w:rPr>
          <w:rFonts w:ascii="宋体" w:hAnsi="宋体" w:cs="宋体"/>
          <w:b/>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A3DD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70F01CD">
            <w:pPr>
              <w:snapToGrid w:val="0"/>
              <w:spacing w:line="240" w:lineRule="atLeast"/>
              <w:jc w:val="center"/>
              <w:rPr>
                <w:rFonts w:ascii="宋体" w:hAnsi="宋体" w:cs="宋体"/>
                <w:b/>
                <w:sz w:val="24"/>
                <w:highlight w:val="none"/>
              </w:rPr>
            </w:pPr>
            <w:r>
              <w:rPr>
                <w:rFonts w:hint="eastAsia" w:ascii="宋体" w:hAnsi="宋体" w:cs="宋体"/>
                <w:b/>
                <w:sz w:val="24"/>
                <w:highlight w:val="none"/>
              </w:rPr>
              <w:t>序号</w:t>
            </w:r>
          </w:p>
        </w:tc>
        <w:tc>
          <w:tcPr>
            <w:tcW w:w="4991" w:type="dxa"/>
            <w:vAlign w:val="center"/>
          </w:tcPr>
          <w:p w14:paraId="45C50856">
            <w:pPr>
              <w:snapToGrid w:val="0"/>
              <w:spacing w:line="240" w:lineRule="atLeast"/>
              <w:jc w:val="center"/>
              <w:rPr>
                <w:rFonts w:ascii="宋体" w:hAnsi="宋体" w:cs="宋体"/>
                <w:b/>
                <w:sz w:val="24"/>
                <w:highlight w:val="none"/>
              </w:rPr>
            </w:pPr>
            <w:r>
              <w:rPr>
                <w:rFonts w:hint="eastAsia" w:ascii="宋体" w:hAnsi="宋体" w:cs="宋体"/>
                <w:b/>
                <w:sz w:val="24"/>
                <w:highlight w:val="none"/>
              </w:rPr>
              <w:t>实质性要求</w:t>
            </w:r>
          </w:p>
        </w:tc>
        <w:tc>
          <w:tcPr>
            <w:tcW w:w="2551" w:type="dxa"/>
            <w:vAlign w:val="center"/>
          </w:tcPr>
          <w:p w14:paraId="32DDB68A">
            <w:pPr>
              <w:snapToGrid w:val="0"/>
              <w:spacing w:line="240" w:lineRule="atLeast"/>
              <w:jc w:val="center"/>
              <w:rPr>
                <w:rFonts w:ascii="宋体" w:hAnsi="宋体" w:cs="宋体"/>
                <w:b/>
                <w:sz w:val="24"/>
                <w:highlight w:val="none"/>
              </w:rPr>
            </w:pPr>
            <w:r>
              <w:rPr>
                <w:rFonts w:hint="eastAsia" w:ascii="宋体" w:hAnsi="宋体" w:cs="宋体"/>
                <w:b/>
                <w:sz w:val="24"/>
                <w:highlight w:val="none"/>
              </w:rPr>
              <w:t>需要提供的符合性审查资料</w:t>
            </w:r>
          </w:p>
        </w:tc>
        <w:tc>
          <w:tcPr>
            <w:tcW w:w="1418" w:type="dxa"/>
            <w:vAlign w:val="center"/>
          </w:tcPr>
          <w:p w14:paraId="7EB0AA2A">
            <w:pPr>
              <w:snapToGrid w:val="0"/>
              <w:spacing w:line="240" w:lineRule="atLeast"/>
              <w:jc w:val="center"/>
              <w:rPr>
                <w:rFonts w:ascii="宋体" w:hAnsi="宋体" w:cs="宋体"/>
                <w:b/>
                <w:sz w:val="24"/>
                <w:highlight w:val="none"/>
              </w:rPr>
            </w:pPr>
            <w:r>
              <w:rPr>
                <w:rFonts w:hint="eastAsia" w:ascii="宋体" w:hAnsi="宋体" w:cs="宋体"/>
                <w:b/>
                <w:sz w:val="24"/>
                <w:highlight w:val="none"/>
              </w:rPr>
              <w:t>投标文件中的</w:t>
            </w:r>
          </w:p>
          <w:p w14:paraId="5A7D0BE3">
            <w:pPr>
              <w:snapToGrid w:val="0"/>
              <w:spacing w:line="240" w:lineRule="atLeast"/>
              <w:jc w:val="center"/>
              <w:rPr>
                <w:rFonts w:ascii="宋体" w:hAnsi="宋体" w:cs="宋体"/>
                <w:b/>
                <w:sz w:val="24"/>
                <w:highlight w:val="none"/>
              </w:rPr>
            </w:pPr>
            <w:r>
              <w:rPr>
                <w:rFonts w:hint="eastAsia" w:ascii="宋体" w:hAnsi="宋体" w:cs="宋体"/>
                <w:b/>
                <w:sz w:val="24"/>
                <w:highlight w:val="none"/>
              </w:rPr>
              <w:t>页码位置</w:t>
            </w:r>
          </w:p>
        </w:tc>
      </w:tr>
      <w:tr w14:paraId="46F72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2378CD3">
            <w:pPr>
              <w:jc w:val="center"/>
              <w:rPr>
                <w:rFonts w:ascii="宋体" w:hAnsi="宋体" w:cs="宋体"/>
                <w:sz w:val="24"/>
                <w:highlight w:val="none"/>
              </w:rPr>
            </w:pPr>
            <w:r>
              <w:rPr>
                <w:rFonts w:hint="eastAsia" w:ascii="宋体" w:hAnsi="宋体" w:cs="宋体"/>
                <w:sz w:val="24"/>
                <w:highlight w:val="none"/>
              </w:rPr>
              <w:t>1</w:t>
            </w:r>
          </w:p>
        </w:tc>
        <w:tc>
          <w:tcPr>
            <w:tcW w:w="4991" w:type="dxa"/>
          </w:tcPr>
          <w:p w14:paraId="28221AA6">
            <w:pPr>
              <w:spacing w:line="360" w:lineRule="auto"/>
              <w:rPr>
                <w:rFonts w:ascii="宋体" w:hAnsi="宋体" w:cs="宋体"/>
                <w:sz w:val="24"/>
                <w:highlight w:val="none"/>
              </w:rPr>
            </w:pPr>
            <w:r>
              <w:rPr>
                <w:rFonts w:hint="eastAsia" w:ascii="宋体" w:hAnsi="宋体" w:cs="宋体"/>
                <w:sz w:val="24"/>
                <w:highlight w:val="none"/>
              </w:rPr>
              <w:t>投标文件按照招标文件要求签署、盖章。</w:t>
            </w:r>
          </w:p>
        </w:tc>
        <w:tc>
          <w:tcPr>
            <w:tcW w:w="2551" w:type="dxa"/>
            <w:vAlign w:val="center"/>
          </w:tcPr>
          <w:p w14:paraId="3F651B4A">
            <w:pPr>
              <w:rPr>
                <w:rFonts w:ascii="宋体" w:hAnsi="宋体" w:cs="宋体"/>
                <w:sz w:val="24"/>
                <w:highlight w:val="none"/>
              </w:rPr>
            </w:pPr>
            <w:r>
              <w:rPr>
                <w:rFonts w:hint="eastAsia" w:ascii="宋体" w:hAnsi="宋体" w:cs="宋体"/>
                <w:sz w:val="24"/>
                <w:highlight w:val="none"/>
              </w:rPr>
              <w:t>需要使用电子签名或者签字盖章的投标文件的组成部分</w:t>
            </w:r>
          </w:p>
        </w:tc>
        <w:tc>
          <w:tcPr>
            <w:tcW w:w="1418" w:type="dxa"/>
          </w:tcPr>
          <w:p w14:paraId="0E05EDD3">
            <w:pPr>
              <w:rPr>
                <w:rFonts w:ascii="宋体" w:hAnsi="宋体" w:cs="宋体"/>
                <w:sz w:val="24"/>
                <w:highlight w:val="none"/>
              </w:rPr>
            </w:pPr>
            <w:r>
              <w:rPr>
                <w:rFonts w:hint="eastAsia" w:ascii="宋体" w:hAnsi="宋体" w:cs="宋体"/>
                <w:sz w:val="24"/>
                <w:highlight w:val="none"/>
              </w:rPr>
              <w:t>见投标文件</w:t>
            </w:r>
          </w:p>
          <w:p w14:paraId="14817F23">
            <w:pPr>
              <w:rPr>
                <w:rFonts w:ascii="宋体" w:hAnsi="宋体" w:cs="宋体"/>
                <w:highlight w:val="none"/>
              </w:rPr>
            </w:pPr>
            <w:r>
              <w:rPr>
                <w:rFonts w:hint="eastAsia" w:ascii="宋体" w:hAnsi="宋体" w:cs="宋体"/>
                <w:sz w:val="24"/>
                <w:highlight w:val="none"/>
              </w:rPr>
              <w:t>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264AB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1987798">
            <w:pPr>
              <w:jc w:val="center"/>
              <w:rPr>
                <w:rFonts w:ascii="宋体" w:hAnsi="宋体" w:cs="宋体"/>
                <w:sz w:val="24"/>
                <w:highlight w:val="none"/>
              </w:rPr>
            </w:pPr>
            <w:r>
              <w:rPr>
                <w:rFonts w:hint="eastAsia" w:ascii="宋体" w:hAnsi="宋体" w:cs="宋体"/>
                <w:sz w:val="24"/>
                <w:highlight w:val="none"/>
              </w:rPr>
              <w:t>2</w:t>
            </w:r>
          </w:p>
        </w:tc>
        <w:tc>
          <w:tcPr>
            <w:tcW w:w="4991" w:type="dxa"/>
          </w:tcPr>
          <w:p w14:paraId="2130C163">
            <w:pPr>
              <w:spacing w:line="360" w:lineRule="auto"/>
              <w:rPr>
                <w:rFonts w:ascii="宋体" w:hAnsi="宋体" w:cs="宋体"/>
                <w:sz w:val="24"/>
                <w:highlight w:val="none"/>
              </w:rPr>
            </w:pPr>
            <w:r>
              <w:rPr>
                <w:rFonts w:hint="eastAsia" w:ascii="宋体" w:hAnsi="宋体" w:cs="宋体"/>
                <w:sz w:val="24"/>
                <w:highlight w:val="none"/>
              </w:rPr>
              <w:t>投标文件中承诺的投标有效期不少于招标文件中载明的投标有效期。</w:t>
            </w:r>
          </w:p>
        </w:tc>
        <w:tc>
          <w:tcPr>
            <w:tcW w:w="2551" w:type="dxa"/>
            <w:vAlign w:val="center"/>
          </w:tcPr>
          <w:p w14:paraId="6677AB29">
            <w:pPr>
              <w:rPr>
                <w:rFonts w:ascii="宋体" w:hAnsi="宋体" w:cs="宋体"/>
                <w:sz w:val="24"/>
                <w:highlight w:val="none"/>
              </w:rPr>
            </w:pPr>
            <w:r>
              <w:rPr>
                <w:rFonts w:hint="eastAsia" w:ascii="宋体" w:hAnsi="宋体" w:cs="宋体"/>
                <w:sz w:val="24"/>
                <w:highlight w:val="none"/>
              </w:rPr>
              <w:t>投标函</w:t>
            </w:r>
          </w:p>
        </w:tc>
        <w:tc>
          <w:tcPr>
            <w:tcW w:w="1418" w:type="dxa"/>
          </w:tcPr>
          <w:p w14:paraId="17EE2694">
            <w:pPr>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78794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B768096">
            <w:pPr>
              <w:jc w:val="center"/>
              <w:rPr>
                <w:rFonts w:ascii="宋体" w:hAnsi="宋体" w:cs="宋体"/>
                <w:sz w:val="24"/>
                <w:highlight w:val="none"/>
              </w:rPr>
            </w:pPr>
            <w:r>
              <w:rPr>
                <w:rFonts w:hint="eastAsia" w:ascii="宋体" w:hAnsi="宋体" w:cs="宋体"/>
                <w:sz w:val="24"/>
                <w:highlight w:val="none"/>
              </w:rPr>
              <w:t>3</w:t>
            </w:r>
          </w:p>
        </w:tc>
        <w:tc>
          <w:tcPr>
            <w:tcW w:w="4991" w:type="dxa"/>
          </w:tcPr>
          <w:p w14:paraId="2C2FA833">
            <w:pPr>
              <w:spacing w:line="360" w:lineRule="auto"/>
              <w:rPr>
                <w:rFonts w:ascii="宋体" w:hAnsi="宋体" w:cs="宋体"/>
                <w:sz w:val="24"/>
                <w:highlight w:val="none"/>
              </w:rPr>
            </w:pPr>
            <w:r>
              <w:rPr>
                <w:rFonts w:hint="eastAsia" w:ascii="宋体" w:hAnsi="宋体" w:cs="宋体"/>
                <w:sz w:val="24"/>
                <w:highlight w:val="none"/>
              </w:rPr>
              <w:t>投标文件满足招标文件</w:t>
            </w:r>
            <w:r>
              <w:rPr>
                <w:rFonts w:hint="eastAsia" w:ascii="宋体" w:hAnsi="宋体" w:cs="宋体"/>
                <w:sz w:val="24"/>
                <w:highlight w:val="none"/>
                <w:lang w:eastAsia="zh-CN"/>
              </w:rPr>
              <w:t>的其他</w:t>
            </w:r>
            <w:r>
              <w:rPr>
                <w:rFonts w:hint="eastAsia" w:ascii="宋体" w:hAnsi="宋体" w:cs="宋体"/>
                <w:sz w:val="24"/>
                <w:highlight w:val="none"/>
              </w:rPr>
              <w:t>实质性要求。</w:t>
            </w:r>
          </w:p>
        </w:tc>
        <w:tc>
          <w:tcPr>
            <w:tcW w:w="2551" w:type="dxa"/>
            <w:vAlign w:val="center"/>
          </w:tcPr>
          <w:p w14:paraId="3B547EB9">
            <w:pPr>
              <w:rPr>
                <w:rFonts w:ascii="宋体" w:hAnsi="宋体" w:cs="宋体"/>
                <w:sz w:val="24"/>
                <w:highlight w:val="none"/>
              </w:rPr>
            </w:pPr>
            <w:r>
              <w:rPr>
                <w:rFonts w:hint="eastAsia" w:ascii="宋体" w:hAnsi="宋体" w:cs="宋体"/>
                <w:kern w:val="0"/>
                <w:sz w:val="24"/>
                <w:highlight w:val="none"/>
              </w:rPr>
              <w:t>招标文件其它实质性要求相应的材料（“▲” 系指实质性要求条款，招标文件</w:t>
            </w:r>
            <w:r>
              <w:rPr>
                <w:rFonts w:hint="eastAsia" w:ascii="宋体" w:hAnsi="宋体" w:cs="宋体"/>
                <w:kern w:val="0"/>
                <w:sz w:val="24"/>
                <w:highlight w:val="none"/>
                <w:lang w:eastAsia="zh-CN"/>
              </w:rPr>
              <w:t>无其他</w:t>
            </w:r>
            <w:r>
              <w:rPr>
                <w:rFonts w:hint="eastAsia" w:ascii="宋体" w:hAnsi="宋体" w:cs="宋体"/>
                <w:kern w:val="0"/>
                <w:sz w:val="24"/>
                <w:highlight w:val="none"/>
              </w:rPr>
              <w:t>实质性要求的，无需提供）</w:t>
            </w:r>
          </w:p>
        </w:tc>
        <w:tc>
          <w:tcPr>
            <w:tcW w:w="1418" w:type="dxa"/>
          </w:tcPr>
          <w:p w14:paraId="338E6303">
            <w:pPr>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bl>
    <w:p w14:paraId="5EDF56C1">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391003CE">
      <w:pPr>
        <w:jc w:val="center"/>
        <w:rPr>
          <w:rFonts w:ascii="宋体" w:hAnsi="宋体" w:cs="宋体"/>
          <w:b/>
          <w:kern w:val="0"/>
          <w:sz w:val="32"/>
          <w:szCs w:val="32"/>
          <w:highlight w:val="none"/>
        </w:rPr>
      </w:pPr>
    </w:p>
    <w:p w14:paraId="366EB992">
      <w:pPr>
        <w:jc w:val="center"/>
        <w:rPr>
          <w:rFonts w:ascii="宋体" w:hAnsi="宋体" w:cs="宋体"/>
          <w:b/>
          <w:kern w:val="0"/>
          <w:sz w:val="32"/>
          <w:szCs w:val="32"/>
          <w:highlight w:val="none"/>
        </w:rPr>
      </w:pPr>
      <w:r>
        <w:rPr>
          <w:rFonts w:hint="eastAsia" w:ascii="宋体" w:hAnsi="宋体" w:cs="宋体"/>
          <w:b/>
          <w:kern w:val="0"/>
          <w:sz w:val="32"/>
          <w:szCs w:val="32"/>
          <w:highlight w:val="none"/>
        </w:rPr>
        <w:t xml:space="preserve">            </w:t>
      </w:r>
    </w:p>
    <w:p w14:paraId="50D1F7AC">
      <w:pPr>
        <w:jc w:val="center"/>
        <w:rPr>
          <w:rFonts w:ascii="宋体" w:hAnsi="宋体" w:cs="宋体"/>
          <w:b/>
          <w:kern w:val="0"/>
          <w:sz w:val="32"/>
          <w:szCs w:val="32"/>
          <w:highlight w:val="none"/>
        </w:rPr>
      </w:pPr>
    </w:p>
    <w:p w14:paraId="22174EF6">
      <w:pPr>
        <w:jc w:val="center"/>
        <w:rPr>
          <w:rFonts w:ascii="宋体" w:hAnsi="宋体" w:cs="宋体"/>
          <w:b/>
          <w:kern w:val="0"/>
          <w:sz w:val="32"/>
          <w:szCs w:val="32"/>
          <w:highlight w:val="none"/>
        </w:rPr>
      </w:pPr>
    </w:p>
    <w:p w14:paraId="733D0629">
      <w:pPr>
        <w:jc w:val="center"/>
        <w:rPr>
          <w:rFonts w:ascii="宋体" w:hAnsi="宋体" w:cs="宋体"/>
          <w:b/>
          <w:kern w:val="0"/>
          <w:sz w:val="32"/>
          <w:szCs w:val="32"/>
          <w:highlight w:val="none"/>
        </w:rPr>
      </w:pPr>
    </w:p>
    <w:p w14:paraId="07224816">
      <w:pPr>
        <w:jc w:val="center"/>
        <w:rPr>
          <w:rFonts w:ascii="宋体" w:hAnsi="宋体" w:cs="宋体"/>
          <w:b/>
          <w:kern w:val="0"/>
          <w:sz w:val="32"/>
          <w:szCs w:val="32"/>
          <w:highlight w:val="none"/>
        </w:rPr>
      </w:pPr>
    </w:p>
    <w:p w14:paraId="49342AC4">
      <w:pPr>
        <w:jc w:val="center"/>
        <w:rPr>
          <w:rFonts w:ascii="宋体" w:hAnsi="宋体" w:cs="宋体"/>
          <w:b/>
          <w:kern w:val="0"/>
          <w:sz w:val="32"/>
          <w:szCs w:val="32"/>
          <w:highlight w:val="none"/>
        </w:rPr>
      </w:pPr>
    </w:p>
    <w:p w14:paraId="71597293">
      <w:pPr>
        <w:jc w:val="center"/>
        <w:rPr>
          <w:rFonts w:ascii="宋体" w:hAnsi="宋体" w:cs="宋体"/>
          <w:b/>
          <w:kern w:val="0"/>
          <w:sz w:val="32"/>
          <w:szCs w:val="32"/>
          <w:highlight w:val="none"/>
        </w:rPr>
      </w:pPr>
    </w:p>
    <w:p w14:paraId="0F8D5549">
      <w:pPr>
        <w:jc w:val="center"/>
        <w:rPr>
          <w:rFonts w:ascii="宋体" w:hAnsi="宋体" w:cs="宋体"/>
          <w:b/>
          <w:kern w:val="0"/>
          <w:sz w:val="32"/>
          <w:szCs w:val="32"/>
          <w:highlight w:val="none"/>
        </w:rPr>
      </w:pPr>
    </w:p>
    <w:p w14:paraId="3C0D89F1">
      <w:pPr>
        <w:jc w:val="center"/>
        <w:rPr>
          <w:rFonts w:ascii="宋体" w:hAnsi="宋体" w:cs="宋体"/>
          <w:b/>
          <w:kern w:val="0"/>
          <w:sz w:val="32"/>
          <w:szCs w:val="32"/>
          <w:highlight w:val="none"/>
        </w:rPr>
      </w:pPr>
    </w:p>
    <w:p w14:paraId="6E71B3C5">
      <w:pPr>
        <w:jc w:val="center"/>
        <w:rPr>
          <w:rFonts w:ascii="宋体" w:hAnsi="宋体" w:cs="宋体"/>
          <w:b/>
          <w:kern w:val="0"/>
          <w:sz w:val="32"/>
          <w:szCs w:val="32"/>
          <w:highlight w:val="none"/>
        </w:rPr>
      </w:pPr>
    </w:p>
    <w:p w14:paraId="1B0A88E0">
      <w:pPr>
        <w:jc w:val="center"/>
        <w:rPr>
          <w:rFonts w:ascii="宋体" w:hAnsi="宋体" w:cs="宋体"/>
          <w:b/>
          <w:kern w:val="0"/>
          <w:sz w:val="32"/>
          <w:szCs w:val="32"/>
          <w:highlight w:val="none"/>
        </w:rPr>
      </w:pPr>
    </w:p>
    <w:p w14:paraId="7E31BA09">
      <w:pPr>
        <w:jc w:val="center"/>
        <w:rPr>
          <w:rFonts w:ascii="宋体" w:hAnsi="宋体" w:cs="宋体"/>
          <w:b/>
          <w:kern w:val="0"/>
          <w:sz w:val="32"/>
          <w:szCs w:val="32"/>
          <w:highlight w:val="none"/>
        </w:rPr>
      </w:pPr>
    </w:p>
    <w:p w14:paraId="54BAE21B">
      <w:pPr>
        <w:jc w:val="center"/>
        <w:rPr>
          <w:rFonts w:ascii="宋体" w:hAnsi="宋体" w:cs="宋体"/>
          <w:b/>
          <w:kern w:val="0"/>
          <w:sz w:val="32"/>
          <w:szCs w:val="32"/>
          <w:highlight w:val="none"/>
        </w:rPr>
      </w:pPr>
    </w:p>
    <w:p w14:paraId="208102CC">
      <w:pPr>
        <w:jc w:val="center"/>
        <w:rPr>
          <w:rFonts w:ascii="宋体" w:hAnsi="宋体" w:cs="宋体"/>
          <w:highlight w:val="none"/>
        </w:rPr>
      </w:pPr>
      <w:r>
        <w:rPr>
          <w:rFonts w:hint="eastAsia" w:ascii="宋体" w:hAnsi="宋体" w:cs="宋体"/>
          <w:b/>
          <w:kern w:val="0"/>
          <w:sz w:val="32"/>
          <w:szCs w:val="32"/>
          <w:highlight w:val="none"/>
        </w:rPr>
        <w:t>五、评标标准相应的商务技术资料</w:t>
      </w:r>
    </w:p>
    <w:p w14:paraId="10550F8C">
      <w:pPr>
        <w:snapToGrid w:val="0"/>
        <w:spacing w:line="360" w:lineRule="auto"/>
        <w:jc w:val="left"/>
        <w:rPr>
          <w:rFonts w:ascii="宋体" w:hAnsi="宋体" w:cs="宋体"/>
          <w:b/>
          <w:sz w:val="24"/>
          <w:highlight w:val="none"/>
        </w:rPr>
      </w:pPr>
      <w:r>
        <w:rPr>
          <w:rFonts w:hint="eastAsia" w:ascii="宋体" w:hAnsi="宋体" w:cs="宋体"/>
          <w:b/>
          <w:sz w:val="24"/>
          <w:highlight w:val="none"/>
        </w:rPr>
        <w:t>（按招标文件第四部分评标办法前附表中“投标文件中评标标准相应的商务技术资料目录”提供资料。）</w:t>
      </w:r>
    </w:p>
    <w:p w14:paraId="2A42339F">
      <w:pPr>
        <w:jc w:val="center"/>
        <w:rPr>
          <w:rFonts w:ascii="宋体" w:hAnsi="宋体" w:cs="宋体"/>
          <w:b/>
          <w:kern w:val="0"/>
          <w:sz w:val="32"/>
          <w:szCs w:val="32"/>
          <w:highlight w:val="none"/>
        </w:rPr>
      </w:pPr>
    </w:p>
    <w:p w14:paraId="48C3125C">
      <w:pPr>
        <w:jc w:val="center"/>
        <w:rPr>
          <w:rFonts w:ascii="宋体" w:hAnsi="宋体" w:cs="宋体"/>
          <w:b/>
          <w:kern w:val="0"/>
          <w:sz w:val="32"/>
          <w:szCs w:val="32"/>
          <w:highlight w:val="none"/>
        </w:rPr>
      </w:pPr>
    </w:p>
    <w:p w14:paraId="7EA424B7">
      <w:pPr>
        <w:jc w:val="center"/>
        <w:rPr>
          <w:rFonts w:ascii="宋体" w:hAnsi="宋体" w:cs="宋体"/>
          <w:b/>
          <w:kern w:val="0"/>
          <w:sz w:val="32"/>
          <w:szCs w:val="32"/>
          <w:highlight w:val="none"/>
        </w:rPr>
      </w:pPr>
    </w:p>
    <w:p w14:paraId="7A2183C0">
      <w:pPr>
        <w:jc w:val="center"/>
        <w:rPr>
          <w:rFonts w:ascii="宋体" w:hAnsi="宋体" w:cs="宋体"/>
          <w:b/>
          <w:kern w:val="0"/>
          <w:sz w:val="32"/>
          <w:szCs w:val="32"/>
          <w:highlight w:val="none"/>
        </w:rPr>
      </w:pPr>
      <w:r>
        <w:rPr>
          <w:rFonts w:hint="eastAsia" w:ascii="宋体" w:hAnsi="宋体" w:cs="宋体"/>
          <w:b/>
          <w:kern w:val="0"/>
          <w:sz w:val="32"/>
          <w:szCs w:val="32"/>
          <w:highlight w:val="none"/>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8C60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2C865F1">
            <w:pPr>
              <w:jc w:val="center"/>
              <w:rPr>
                <w:rFonts w:ascii="宋体" w:hAnsi="宋体" w:cs="宋体"/>
                <w:b/>
                <w:bCs/>
                <w:sz w:val="24"/>
                <w:highlight w:val="none"/>
              </w:rPr>
            </w:pPr>
            <w:r>
              <w:rPr>
                <w:rFonts w:hint="eastAsia" w:ascii="宋体" w:hAnsi="宋体" w:cs="宋体"/>
                <w:b/>
                <w:bCs/>
                <w:sz w:val="24"/>
                <w:highlight w:val="none"/>
              </w:rPr>
              <w:t>序号</w:t>
            </w:r>
          </w:p>
        </w:tc>
        <w:tc>
          <w:tcPr>
            <w:tcW w:w="3683" w:type="dxa"/>
          </w:tcPr>
          <w:p w14:paraId="0CFBBEDF">
            <w:pPr>
              <w:jc w:val="center"/>
              <w:rPr>
                <w:rFonts w:ascii="宋体" w:hAnsi="宋体" w:cs="宋体"/>
                <w:b/>
                <w:bCs/>
                <w:sz w:val="24"/>
                <w:highlight w:val="none"/>
              </w:rPr>
            </w:pPr>
            <w:r>
              <w:rPr>
                <w:rFonts w:hint="eastAsia" w:ascii="宋体" w:hAnsi="宋体" w:cs="宋体"/>
                <w:b/>
                <w:bCs/>
                <w:sz w:val="24"/>
                <w:highlight w:val="none"/>
              </w:rPr>
              <w:t>招标文件章节及具体内容</w:t>
            </w:r>
          </w:p>
        </w:tc>
        <w:tc>
          <w:tcPr>
            <w:tcW w:w="3546" w:type="dxa"/>
          </w:tcPr>
          <w:p w14:paraId="30D62F47">
            <w:pPr>
              <w:jc w:val="center"/>
              <w:rPr>
                <w:rFonts w:ascii="宋体" w:hAnsi="宋体" w:cs="宋体"/>
                <w:b/>
                <w:bCs/>
                <w:sz w:val="24"/>
                <w:highlight w:val="none"/>
              </w:rPr>
            </w:pPr>
            <w:r>
              <w:rPr>
                <w:rFonts w:hint="eastAsia" w:ascii="宋体" w:hAnsi="宋体" w:cs="宋体"/>
                <w:b/>
                <w:bCs/>
                <w:sz w:val="24"/>
                <w:highlight w:val="none"/>
              </w:rPr>
              <w:t>投标文件章节及具体内容</w:t>
            </w:r>
          </w:p>
        </w:tc>
        <w:tc>
          <w:tcPr>
            <w:tcW w:w="1276" w:type="dxa"/>
          </w:tcPr>
          <w:p w14:paraId="23E08E76">
            <w:pPr>
              <w:jc w:val="center"/>
              <w:rPr>
                <w:rFonts w:ascii="宋体" w:hAnsi="宋体" w:cs="宋体"/>
                <w:b/>
                <w:bCs/>
                <w:sz w:val="24"/>
                <w:highlight w:val="none"/>
              </w:rPr>
            </w:pPr>
            <w:r>
              <w:rPr>
                <w:rFonts w:hint="eastAsia" w:ascii="宋体" w:hAnsi="宋体" w:cs="宋体"/>
                <w:b/>
                <w:bCs/>
                <w:sz w:val="24"/>
                <w:highlight w:val="none"/>
              </w:rPr>
              <w:t>偏离说明</w:t>
            </w:r>
          </w:p>
        </w:tc>
      </w:tr>
      <w:tr w14:paraId="6D150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0D1B73D">
            <w:pPr>
              <w:jc w:val="center"/>
              <w:rPr>
                <w:rFonts w:ascii="宋体" w:hAnsi="宋体" w:cs="宋体"/>
                <w:kern w:val="0"/>
                <w:sz w:val="24"/>
                <w:highlight w:val="none"/>
              </w:rPr>
            </w:pPr>
            <w:r>
              <w:rPr>
                <w:rFonts w:hint="eastAsia" w:ascii="宋体" w:hAnsi="宋体" w:cs="宋体"/>
                <w:kern w:val="0"/>
                <w:sz w:val="24"/>
                <w:highlight w:val="none"/>
              </w:rPr>
              <w:t>1</w:t>
            </w:r>
          </w:p>
        </w:tc>
        <w:tc>
          <w:tcPr>
            <w:tcW w:w="3683" w:type="dxa"/>
          </w:tcPr>
          <w:p w14:paraId="686F88E2">
            <w:pPr>
              <w:jc w:val="center"/>
              <w:rPr>
                <w:rFonts w:ascii="宋体" w:hAnsi="宋体" w:cs="宋体"/>
                <w:b/>
                <w:kern w:val="0"/>
                <w:sz w:val="32"/>
                <w:szCs w:val="32"/>
                <w:highlight w:val="none"/>
              </w:rPr>
            </w:pPr>
          </w:p>
        </w:tc>
        <w:tc>
          <w:tcPr>
            <w:tcW w:w="3546" w:type="dxa"/>
          </w:tcPr>
          <w:p w14:paraId="19E32B42">
            <w:pPr>
              <w:jc w:val="center"/>
              <w:rPr>
                <w:rFonts w:ascii="宋体" w:hAnsi="宋体" w:cs="宋体"/>
                <w:b/>
                <w:kern w:val="0"/>
                <w:sz w:val="32"/>
                <w:szCs w:val="32"/>
                <w:highlight w:val="none"/>
              </w:rPr>
            </w:pPr>
          </w:p>
        </w:tc>
        <w:tc>
          <w:tcPr>
            <w:tcW w:w="1276" w:type="dxa"/>
          </w:tcPr>
          <w:p w14:paraId="3AFF3EB2">
            <w:pPr>
              <w:jc w:val="center"/>
              <w:rPr>
                <w:rFonts w:ascii="宋体" w:hAnsi="宋体" w:cs="宋体"/>
                <w:b/>
                <w:kern w:val="0"/>
                <w:sz w:val="32"/>
                <w:szCs w:val="32"/>
                <w:highlight w:val="none"/>
              </w:rPr>
            </w:pPr>
          </w:p>
        </w:tc>
      </w:tr>
      <w:tr w14:paraId="6B787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A3771EC">
            <w:pPr>
              <w:jc w:val="center"/>
              <w:rPr>
                <w:rFonts w:ascii="宋体" w:hAnsi="宋体" w:cs="宋体"/>
                <w:kern w:val="0"/>
                <w:sz w:val="24"/>
                <w:highlight w:val="none"/>
              </w:rPr>
            </w:pPr>
            <w:r>
              <w:rPr>
                <w:rFonts w:hint="eastAsia" w:ascii="宋体" w:hAnsi="宋体" w:cs="宋体"/>
                <w:kern w:val="0"/>
                <w:sz w:val="24"/>
                <w:highlight w:val="none"/>
              </w:rPr>
              <w:t>2</w:t>
            </w:r>
          </w:p>
        </w:tc>
        <w:tc>
          <w:tcPr>
            <w:tcW w:w="3683" w:type="dxa"/>
          </w:tcPr>
          <w:p w14:paraId="1C1A623F">
            <w:pPr>
              <w:jc w:val="center"/>
              <w:rPr>
                <w:rFonts w:ascii="宋体" w:hAnsi="宋体" w:cs="宋体"/>
                <w:b/>
                <w:kern w:val="0"/>
                <w:sz w:val="32"/>
                <w:szCs w:val="32"/>
                <w:highlight w:val="none"/>
              </w:rPr>
            </w:pPr>
          </w:p>
        </w:tc>
        <w:tc>
          <w:tcPr>
            <w:tcW w:w="3546" w:type="dxa"/>
          </w:tcPr>
          <w:p w14:paraId="3B37D9DD">
            <w:pPr>
              <w:jc w:val="center"/>
              <w:rPr>
                <w:rFonts w:ascii="宋体" w:hAnsi="宋体" w:cs="宋体"/>
                <w:b/>
                <w:kern w:val="0"/>
                <w:sz w:val="32"/>
                <w:szCs w:val="32"/>
                <w:highlight w:val="none"/>
              </w:rPr>
            </w:pPr>
          </w:p>
        </w:tc>
        <w:tc>
          <w:tcPr>
            <w:tcW w:w="1276" w:type="dxa"/>
          </w:tcPr>
          <w:p w14:paraId="68ADB7FE">
            <w:pPr>
              <w:jc w:val="center"/>
              <w:rPr>
                <w:rFonts w:ascii="宋体" w:hAnsi="宋体" w:cs="宋体"/>
                <w:b/>
                <w:kern w:val="0"/>
                <w:sz w:val="32"/>
                <w:szCs w:val="32"/>
                <w:highlight w:val="none"/>
              </w:rPr>
            </w:pPr>
          </w:p>
        </w:tc>
      </w:tr>
      <w:tr w14:paraId="1B86B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80A95D6">
            <w:pPr>
              <w:jc w:val="center"/>
              <w:rPr>
                <w:rFonts w:ascii="宋体" w:hAnsi="宋体" w:cs="宋体"/>
                <w:kern w:val="0"/>
                <w:sz w:val="24"/>
                <w:highlight w:val="none"/>
              </w:rPr>
            </w:pPr>
            <w:r>
              <w:rPr>
                <w:rFonts w:hint="eastAsia" w:ascii="宋体" w:hAnsi="宋体" w:cs="宋体"/>
                <w:kern w:val="0"/>
                <w:sz w:val="24"/>
                <w:highlight w:val="none"/>
              </w:rPr>
              <w:t>……</w:t>
            </w:r>
          </w:p>
        </w:tc>
        <w:tc>
          <w:tcPr>
            <w:tcW w:w="3683" w:type="dxa"/>
          </w:tcPr>
          <w:p w14:paraId="1922E41F">
            <w:pPr>
              <w:jc w:val="center"/>
              <w:rPr>
                <w:rFonts w:ascii="宋体" w:hAnsi="宋体" w:cs="宋体"/>
                <w:b/>
                <w:kern w:val="0"/>
                <w:sz w:val="32"/>
                <w:szCs w:val="32"/>
                <w:highlight w:val="none"/>
              </w:rPr>
            </w:pPr>
          </w:p>
        </w:tc>
        <w:tc>
          <w:tcPr>
            <w:tcW w:w="3546" w:type="dxa"/>
          </w:tcPr>
          <w:p w14:paraId="6A9647A2">
            <w:pPr>
              <w:jc w:val="center"/>
              <w:rPr>
                <w:rFonts w:ascii="宋体" w:hAnsi="宋体" w:cs="宋体"/>
                <w:b/>
                <w:kern w:val="0"/>
                <w:sz w:val="32"/>
                <w:szCs w:val="32"/>
                <w:highlight w:val="none"/>
              </w:rPr>
            </w:pPr>
          </w:p>
        </w:tc>
        <w:tc>
          <w:tcPr>
            <w:tcW w:w="1276" w:type="dxa"/>
          </w:tcPr>
          <w:p w14:paraId="224711E8">
            <w:pPr>
              <w:jc w:val="center"/>
              <w:rPr>
                <w:rFonts w:ascii="宋体" w:hAnsi="宋体" w:cs="宋体"/>
                <w:b/>
                <w:kern w:val="0"/>
                <w:sz w:val="32"/>
                <w:szCs w:val="32"/>
                <w:highlight w:val="none"/>
              </w:rPr>
            </w:pPr>
          </w:p>
        </w:tc>
      </w:tr>
    </w:tbl>
    <w:p w14:paraId="19DB3C16">
      <w:pPr>
        <w:jc w:val="left"/>
        <w:rPr>
          <w:rFonts w:ascii="宋体" w:hAnsi="宋体" w:cs="宋体"/>
          <w:kern w:val="0"/>
          <w:sz w:val="24"/>
          <w:highlight w:val="none"/>
        </w:rPr>
      </w:pPr>
      <w:r>
        <w:rPr>
          <w:rFonts w:hint="eastAsia" w:ascii="宋体" w:hAnsi="宋体" w:cs="宋体"/>
          <w:kern w:val="0"/>
          <w:sz w:val="24"/>
          <w:highlight w:val="none"/>
        </w:rPr>
        <w:t>投标人保证：除商务技术偏离表列出的偏离外，投标人响应招标文件的全部要求</w:t>
      </w:r>
    </w:p>
    <w:p w14:paraId="0A9CE579">
      <w:pPr>
        <w:jc w:val="center"/>
        <w:rPr>
          <w:rFonts w:ascii="宋体" w:hAnsi="宋体" w:cs="宋体"/>
          <w:b/>
          <w:kern w:val="0"/>
          <w:sz w:val="32"/>
          <w:szCs w:val="32"/>
          <w:highlight w:val="none"/>
        </w:rPr>
      </w:pPr>
    </w:p>
    <w:p w14:paraId="401BFF64">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0D216E28">
      <w:pPr>
        <w:ind w:firstLine="1911" w:firstLineChars="595"/>
        <w:rPr>
          <w:rFonts w:ascii="宋体" w:hAnsi="宋体" w:cs="宋体"/>
          <w:b/>
          <w:bCs/>
          <w:sz w:val="32"/>
          <w:szCs w:val="32"/>
          <w:highlight w:val="none"/>
        </w:rPr>
      </w:pPr>
    </w:p>
    <w:p w14:paraId="568BAB4E">
      <w:pPr>
        <w:ind w:firstLine="1911" w:firstLineChars="595"/>
        <w:rPr>
          <w:rFonts w:ascii="宋体" w:hAnsi="宋体" w:cs="宋体"/>
          <w:b/>
          <w:bCs/>
          <w:sz w:val="32"/>
          <w:szCs w:val="32"/>
          <w:highlight w:val="none"/>
        </w:rPr>
      </w:pPr>
    </w:p>
    <w:p w14:paraId="4737A0B5">
      <w:pPr>
        <w:ind w:firstLine="1911" w:firstLineChars="595"/>
        <w:rPr>
          <w:rFonts w:ascii="宋体" w:hAnsi="宋体" w:cs="宋体"/>
          <w:b/>
          <w:bCs/>
          <w:sz w:val="32"/>
          <w:szCs w:val="32"/>
          <w:highlight w:val="none"/>
        </w:rPr>
      </w:pPr>
    </w:p>
    <w:p w14:paraId="3C1D23A2">
      <w:pPr>
        <w:widowControl/>
        <w:adjustRightInd/>
        <w:jc w:val="left"/>
        <w:rPr>
          <w:rFonts w:ascii="宋体" w:hAnsi="宋体" w:cs="宋体"/>
          <w:b/>
          <w:bCs/>
          <w:sz w:val="32"/>
          <w:szCs w:val="32"/>
          <w:highlight w:val="none"/>
        </w:rPr>
      </w:pPr>
      <w:r>
        <w:rPr>
          <w:rFonts w:hint="eastAsia" w:ascii="宋体" w:hAnsi="宋体" w:cs="宋体"/>
          <w:b/>
          <w:bCs/>
          <w:sz w:val="32"/>
          <w:szCs w:val="32"/>
          <w:highlight w:val="none"/>
        </w:rPr>
        <w:br w:type="page"/>
      </w:r>
    </w:p>
    <w:p w14:paraId="44ECDC90">
      <w:pPr>
        <w:ind w:firstLine="1911" w:firstLineChars="595"/>
        <w:rPr>
          <w:rFonts w:ascii="宋体" w:hAnsi="宋体" w:cs="宋体"/>
          <w:b/>
          <w:kern w:val="0"/>
          <w:sz w:val="32"/>
          <w:szCs w:val="32"/>
          <w:highlight w:val="none"/>
        </w:rPr>
      </w:pPr>
      <w:r>
        <w:rPr>
          <w:rFonts w:hint="eastAsia" w:ascii="宋体" w:hAnsi="宋体" w:cs="宋体"/>
          <w:b/>
          <w:bCs/>
          <w:sz w:val="32"/>
          <w:szCs w:val="32"/>
          <w:highlight w:val="none"/>
        </w:rPr>
        <w:t>七</w:t>
      </w:r>
      <w:r>
        <w:rPr>
          <w:rFonts w:hint="eastAsia" w:ascii="宋体" w:hAnsi="宋体" w:cs="宋体"/>
          <w:b/>
          <w:kern w:val="0"/>
          <w:sz w:val="32"/>
          <w:szCs w:val="32"/>
          <w:highlight w:val="none"/>
        </w:rPr>
        <w:t>、</w:t>
      </w:r>
      <w:r>
        <w:rPr>
          <w:rFonts w:hint="eastAsia" w:ascii="宋体" w:hAnsi="宋体" w:cs="宋体"/>
          <w:b/>
          <w:kern w:val="0"/>
          <w:sz w:val="32"/>
          <w:szCs w:val="32"/>
          <w:highlight w:val="none"/>
          <w:lang w:val="zh-CN"/>
        </w:rPr>
        <w:t>政府采购供应商廉洁自律承诺书</w:t>
      </w:r>
    </w:p>
    <w:p w14:paraId="4DD64A91">
      <w:pPr>
        <w:snapToGrid w:val="0"/>
        <w:spacing w:line="360" w:lineRule="auto"/>
        <w:rPr>
          <w:rFonts w:ascii="宋体" w:hAnsi="宋体" w:cs="宋体"/>
          <w:sz w:val="24"/>
          <w:highlight w:val="none"/>
        </w:rPr>
      </w:pPr>
    </w:p>
    <w:p w14:paraId="30F776BE">
      <w:pPr>
        <w:snapToGrid w:val="0"/>
        <w:spacing w:line="360" w:lineRule="auto"/>
        <w:rPr>
          <w:rFonts w:ascii="宋体" w:hAnsi="宋体" w:cs="宋体"/>
          <w:kern w:val="0"/>
          <w:sz w:val="24"/>
          <w:highlight w:val="none"/>
        </w:rPr>
      </w:pPr>
      <w:r>
        <w:rPr>
          <w:rFonts w:hint="eastAsia" w:ascii="宋体" w:hAnsi="宋体" w:cs="宋体"/>
          <w:sz w:val="24"/>
          <w:highlight w:val="none"/>
          <w:lang w:eastAsia="zh-CN"/>
        </w:rPr>
        <w:t>宁海县市场监督管理局</w:t>
      </w:r>
      <w:r>
        <w:rPr>
          <w:rFonts w:hint="eastAsia" w:ascii="宋体" w:hAnsi="宋体" w:cs="宋体"/>
          <w:sz w:val="24"/>
          <w:highlight w:val="none"/>
        </w:rPr>
        <w:t>、</w:t>
      </w:r>
      <w:r>
        <w:rPr>
          <w:rFonts w:hint="eastAsia" w:ascii="宋体" w:hAnsi="宋体" w:cs="宋体"/>
          <w:sz w:val="24"/>
          <w:highlight w:val="none"/>
          <w:lang w:eastAsia="zh-CN"/>
        </w:rPr>
        <w:t>浙江中基正采管理咨询有限公司</w:t>
      </w:r>
      <w:r>
        <w:rPr>
          <w:rFonts w:hint="eastAsia" w:ascii="宋体" w:hAnsi="宋体" w:cs="宋体"/>
          <w:kern w:val="0"/>
          <w:sz w:val="24"/>
          <w:highlight w:val="none"/>
          <w:lang w:val="zh-CN"/>
        </w:rPr>
        <w:t>：</w:t>
      </w:r>
    </w:p>
    <w:p w14:paraId="2093173D">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我单位响应你</w:t>
      </w:r>
      <w:r>
        <w:rPr>
          <w:rFonts w:hint="eastAsia" w:ascii="宋体" w:hAnsi="宋体" w:cs="宋体"/>
          <w:sz w:val="24"/>
          <w:highlight w:val="none"/>
        </w:rPr>
        <w:t>单位</w:t>
      </w:r>
      <w:r>
        <w:rPr>
          <w:rFonts w:hint="eastAsia" w:ascii="宋体" w:hAnsi="宋体" w:cs="宋体"/>
          <w:kern w:val="0"/>
          <w:sz w:val="24"/>
          <w:highlight w:val="none"/>
          <w:lang w:val="zh-CN"/>
        </w:rPr>
        <w:t>项目招标要求参加投标。在这次投标过程中和中标后，我们将严格遵守国家法律法规要求，并郑重承诺：</w:t>
      </w:r>
    </w:p>
    <w:p w14:paraId="45EF4C30">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一、不向项目有关人员及部门赠送礼金礼物、有价证券、回扣以及中介费、介绍费、咨询费等好处费； </w:t>
      </w:r>
    </w:p>
    <w:p w14:paraId="084A9CCA">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二、不为项目有关人员及部门报销应由你方单位或个人支付的费用； </w:t>
      </w:r>
    </w:p>
    <w:p w14:paraId="316DB292">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三、不向项目有关人员及部门提供有可能影响公正的宴请和健身娱乐等活动； </w:t>
      </w:r>
    </w:p>
    <w:p w14:paraId="586865ED">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四、不为项目有关人员及部门出国（境）、旅游等提供方便；</w:t>
      </w:r>
    </w:p>
    <w:p w14:paraId="381B1B9A">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五、不为项目有关人员个人装修住房、婚丧嫁娶、配偶子女工作安排等提供</w:t>
      </w:r>
    </w:p>
    <w:p w14:paraId="02FEA902">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好处；</w:t>
      </w:r>
    </w:p>
    <w:p w14:paraId="4F90F88F">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六、严格遵守《</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政府采购法》《</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招标投标法》</w:t>
      </w:r>
      <w:r>
        <w:rPr>
          <w:rFonts w:hint="eastAsia" w:ascii="宋体" w:hAnsi="宋体" w:cs="宋体"/>
          <w:sz w:val="24"/>
          <w:highlight w:val="none"/>
          <w:lang w:val="zh-CN"/>
        </w:rPr>
        <w:t>《中华人民共和国民法典》</w:t>
      </w:r>
      <w:r>
        <w:rPr>
          <w:rFonts w:hint="eastAsia" w:ascii="宋体" w:hAnsi="宋体" w:cs="宋体"/>
          <w:kern w:val="0"/>
          <w:sz w:val="24"/>
          <w:highlight w:val="none"/>
          <w:lang w:val="zh-CN"/>
        </w:rPr>
        <w:t xml:space="preserve">等法律法规，诚实守信，合法经营，坚决抵制各种违法违纪行为。 </w:t>
      </w:r>
    </w:p>
    <w:p w14:paraId="079C5501">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如违反上述承诺，你</w:t>
      </w:r>
      <w:r>
        <w:rPr>
          <w:rFonts w:hint="eastAsia" w:ascii="宋体" w:hAnsi="宋体" w:cs="宋体"/>
          <w:sz w:val="24"/>
          <w:highlight w:val="none"/>
        </w:rPr>
        <w:t>单位</w:t>
      </w:r>
      <w:r>
        <w:rPr>
          <w:rFonts w:hint="eastAsia" w:ascii="宋体" w:hAnsi="宋体" w:cs="宋体"/>
          <w:kern w:val="0"/>
          <w:sz w:val="24"/>
          <w:highlight w:val="none"/>
          <w:lang w:val="zh-CN"/>
        </w:rPr>
        <w:t>有权立即取消我单位投标、中标或在建项目的建设资格，有权拒绝我单位在一定时期内进入你</w:t>
      </w:r>
      <w:r>
        <w:rPr>
          <w:rFonts w:hint="eastAsia" w:ascii="宋体" w:hAnsi="宋体" w:cs="宋体"/>
          <w:sz w:val="24"/>
          <w:highlight w:val="none"/>
        </w:rPr>
        <w:t>单位</w:t>
      </w:r>
      <w:r>
        <w:rPr>
          <w:rFonts w:hint="eastAsia" w:ascii="宋体" w:hAnsi="宋体" w:cs="宋体"/>
          <w:kern w:val="0"/>
          <w:sz w:val="24"/>
          <w:highlight w:val="none"/>
          <w:lang w:val="zh-CN"/>
        </w:rPr>
        <w:t>进行项目建设或其他经营活动，并通报</w:t>
      </w:r>
      <w:r>
        <w:rPr>
          <w:rFonts w:hint="eastAsia" w:ascii="宋体" w:hAnsi="宋体" w:cs="宋体"/>
          <w:kern w:val="0"/>
          <w:sz w:val="24"/>
          <w:highlight w:val="none"/>
        </w:rPr>
        <w:t>区</w:t>
      </w:r>
      <w:r>
        <w:rPr>
          <w:rFonts w:hint="eastAsia" w:ascii="宋体" w:hAnsi="宋体" w:cs="宋体"/>
          <w:kern w:val="0"/>
          <w:sz w:val="24"/>
          <w:highlight w:val="none"/>
          <w:lang w:val="zh-CN"/>
        </w:rPr>
        <w:t>财政局。由此引起的相应损失均由我单位承担。</w:t>
      </w:r>
    </w:p>
    <w:p w14:paraId="1375ACAE">
      <w:pPr>
        <w:autoSpaceDE w:val="0"/>
        <w:autoSpaceDN w:val="0"/>
        <w:spacing w:line="360" w:lineRule="auto"/>
        <w:ind w:left="2"/>
        <w:jc w:val="left"/>
        <w:rPr>
          <w:rFonts w:ascii="宋体" w:hAnsi="宋体" w:cs="宋体"/>
          <w:kern w:val="0"/>
          <w:sz w:val="24"/>
          <w:highlight w:val="none"/>
          <w:lang w:val="zh-CN"/>
        </w:rPr>
      </w:pPr>
    </w:p>
    <w:p w14:paraId="246E5439">
      <w:pPr>
        <w:autoSpaceDE w:val="0"/>
        <w:autoSpaceDN w:val="0"/>
        <w:spacing w:line="360" w:lineRule="auto"/>
        <w:ind w:left="2"/>
        <w:jc w:val="left"/>
        <w:rPr>
          <w:rFonts w:ascii="宋体" w:hAnsi="宋体" w:cs="宋体"/>
          <w:kern w:val="0"/>
          <w:sz w:val="24"/>
          <w:highlight w:val="none"/>
          <w:lang w:val="zh-CN"/>
        </w:rPr>
      </w:pPr>
    </w:p>
    <w:p w14:paraId="37A1CD59">
      <w:pPr>
        <w:autoSpaceDE w:val="0"/>
        <w:autoSpaceDN w:val="0"/>
        <w:spacing w:line="360" w:lineRule="auto"/>
        <w:ind w:left="2"/>
        <w:jc w:val="left"/>
        <w:rPr>
          <w:rFonts w:ascii="宋体" w:hAnsi="宋体" w:cs="宋体"/>
          <w:kern w:val="0"/>
          <w:sz w:val="24"/>
          <w:highlight w:val="none"/>
          <w:lang w:val="zh-CN"/>
        </w:rPr>
      </w:pPr>
    </w:p>
    <w:p w14:paraId="554FA37A">
      <w:pPr>
        <w:autoSpaceDE w:val="0"/>
        <w:autoSpaceDN w:val="0"/>
        <w:spacing w:line="360" w:lineRule="auto"/>
        <w:ind w:left="2" w:leftChars="1" w:right="1120" w:firstLine="4560" w:firstLineChars="1900"/>
        <w:jc w:val="left"/>
        <w:rPr>
          <w:rFonts w:ascii="宋体" w:hAnsi="宋体" w:cs="宋体"/>
          <w:kern w:val="0"/>
          <w:sz w:val="24"/>
          <w:highlight w:val="none"/>
          <w:lang w:val="zh-CN"/>
        </w:rPr>
      </w:pPr>
      <w:r>
        <w:rPr>
          <w:rFonts w:hint="eastAsia" w:ascii="宋体" w:hAnsi="宋体" w:cs="宋体"/>
          <w:kern w:val="0"/>
          <w:sz w:val="24"/>
          <w:highlight w:val="none"/>
          <w:lang w:val="zh-CN"/>
        </w:rPr>
        <w:t>投标人名称（</w:t>
      </w:r>
      <w:r>
        <w:rPr>
          <w:rFonts w:hint="eastAsia" w:ascii="宋体" w:hAnsi="宋体" w:cs="宋体"/>
          <w:sz w:val="24"/>
          <w:highlight w:val="none"/>
        </w:rPr>
        <w:t>电子签名</w:t>
      </w:r>
      <w:r>
        <w:rPr>
          <w:rFonts w:hint="eastAsia" w:ascii="宋体" w:hAnsi="宋体" w:cs="宋体"/>
          <w:kern w:val="0"/>
          <w:sz w:val="24"/>
          <w:highlight w:val="none"/>
          <w:lang w:val="zh-CN"/>
        </w:rPr>
        <w:t xml:space="preserve">）：                                                                                                                                                                                                               </w:t>
      </w:r>
    </w:p>
    <w:p w14:paraId="6B3F587C">
      <w:pPr>
        <w:spacing w:line="360" w:lineRule="auto"/>
        <w:ind w:left="4620" w:leftChars="2200"/>
        <w:rPr>
          <w:rFonts w:ascii="宋体" w:hAnsi="宋体" w:cs="宋体"/>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w:t>
      </w:r>
      <w:r>
        <w:rPr>
          <w:rFonts w:hint="eastAsia" w:ascii="宋体" w:hAnsi="宋体" w:cs="宋体"/>
          <w:kern w:val="0"/>
          <w:sz w:val="24"/>
          <w:highlight w:val="none"/>
          <w:lang w:val="zh-CN"/>
        </w:rPr>
        <w:t xml:space="preserve">   年   月   日</w:t>
      </w:r>
    </w:p>
    <w:p w14:paraId="78326CBA">
      <w:pPr>
        <w:spacing w:line="360" w:lineRule="auto"/>
        <w:jc w:val="center"/>
        <w:rPr>
          <w:rFonts w:ascii="宋体" w:hAnsi="宋体" w:cs="宋体"/>
          <w:b/>
          <w:bCs/>
          <w:sz w:val="24"/>
          <w:highlight w:val="none"/>
        </w:rPr>
      </w:pPr>
    </w:p>
    <w:p w14:paraId="41821A20">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520484C5">
      <w:pPr>
        <w:spacing w:line="360" w:lineRule="auto"/>
        <w:jc w:val="center"/>
        <w:rPr>
          <w:rFonts w:ascii="宋体" w:hAnsi="宋体" w:cs="宋体"/>
          <w:b/>
          <w:bCs/>
          <w:sz w:val="24"/>
          <w:highlight w:val="none"/>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14:paraId="702D4F9C">
      <w:pPr>
        <w:jc w:val="center"/>
        <w:rPr>
          <w:rFonts w:ascii="宋体" w:hAnsi="宋体" w:cs="宋体"/>
          <w:b/>
          <w:kern w:val="0"/>
          <w:sz w:val="32"/>
          <w:szCs w:val="32"/>
          <w:highlight w:val="none"/>
        </w:rPr>
      </w:pPr>
    </w:p>
    <w:p w14:paraId="1553FBE6">
      <w:pPr>
        <w:spacing w:line="360" w:lineRule="auto"/>
        <w:jc w:val="center"/>
        <w:outlineLvl w:val="0"/>
        <w:rPr>
          <w:rFonts w:ascii="宋体" w:hAnsi="宋体" w:cs="宋体"/>
          <w:b/>
          <w:kern w:val="0"/>
          <w:sz w:val="36"/>
          <w:szCs w:val="36"/>
          <w:highlight w:val="none"/>
        </w:rPr>
      </w:pPr>
      <w:bookmarkStart w:id="532" w:name="_Toc8616"/>
      <w:r>
        <w:rPr>
          <w:rFonts w:hint="eastAsia" w:ascii="宋体" w:hAnsi="宋体" w:cs="宋体"/>
          <w:b/>
          <w:kern w:val="0"/>
          <w:sz w:val="36"/>
          <w:szCs w:val="36"/>
          <w:highlight w:val="none"/>
        </w:rPr>
        <w:t>报价文件部分</w:t>
      </w:r>
      <w:bookmarkEnd w:id="532"/>
    </w:p>
    <w:p w14:paraId="51F37381">
      <w:pPr>
        <w:spacing w:line="360" w:lineRule="auto"/>
        <w:jc w:val="center"/>
        <w:outlineLvl w:val="0"/>
        <w:rPr>
          <w:rFonts w:ascii="宋体" w:hAnsi="宋体" w:cs="宋体"/>
          <w:b/>
          <w:kern w:val="0"/>
          <w:sz w:val="36"/>
          <w:szCs w:val="36"/>
          <w:highlight w:val="none"/>
        </w:rPr>
      </w:pPr>
      <w:bookmarkStart w:id="533" w:name="_Toc15307"/>
      <w:r>
        <w:rPr>
          <w:rFonts w:hint="eastAsia" w:ascii="宋体" w:hAnsi="宋体" w:cs="宋体"/>
          <w:b/>
          <w:kern w:val="0"/>
          <w:sz w:val="36"/>
          <w:szCs w:val="36"/>
          <w:highlight w:val="none"/>
        </w:rPr>
        <w:t>目录</w:t>
      </w:r>
      <w:bookmarkEnd w:id="533"/>
    </w:p>
    <w:p w14:paraId="03A30A9C">
      <w:pPr>
        <w:spacing w:line="360" w:lineRule="auto"/>
        <w:jc w:val="center"/>
        <w:outlineLvl w:val="9"/>
        <w:rPr>
          <w:rFonts w:ascii="宋体" w:hAnsi="宋体" w:cs="宋体"/>
          <w:b/>
          <w:kern w:val="0"/>
          <w:sz w:val="36"/>
          <w:szCs w:val="36"/>
          <w:highlight w:val="none"/>
        </w:rPr>
      </w:pPr>
    </w:p>
    <w:p w14:paraId="20DAC7FC">
      <w:pPr>
        <w:snapToGrid w:val="0"/>
        <w:spacing w:line="360" w:lineRule="auto"/>
        <w:rPr>
          <w:rFonts w:hint="eastAsia" w:ascii="宋体" w:hAnsi="宋体" w:eastAsia="宋体" w:cs="宋体"/>
          <w:sz w:val="24"/>
          <w:highlight w:val="none"/>
        </w:rPr>
      </w:pPr>
      <w:r>
        <w:rPr>
          <w:rFonts w:hint="eastAsia" w:ascii="宋体" w:hAnsi="宋体" w:cs="宋体"/>
          <w:sz w:val="24"/>
          <w:highlight w:val="none"/>
        </w:rPr>
        <w:t>（1）开</w:t>
      </w:r>
      <w:r>
        <w:rPr>
          <w:rFonts w:hint="eastAsia" w:ascii="宋体" w:hAnsi="宋体" w:eastAsia="宋体" w:cs="宋体"/>
          <w:sz w:val="24"/>
          <w:highlight w:val="none"/>
        </w:rPr>
        <w:t>标一览表（报价表）………………………………………………………（页码）</w:t>
      </w:r>
    </w:p>
    <w:p w14:paraId="70918731">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sz w:val="24"/>
          <w:highlight w:val="none"/>
          <w:lang w:val="en-US" w:eastAsia="zh-CN"/>
        </w:rPr>
        <w:t>分项报价表</w:t>
      </w:r>
      <w:r>
        <w:rPr>
          <w:rFonts w:hint="eastAsia" w:ascii="宋体" w:hAnsi="宋体" w:eastAsia="宋体" w:cs="宋体"/>
          <w:sz w:val="24"/>
          <w:highlight w:val="none"/>
        </w:rPr>
        <w:t>……………………………………………………………………（页码）</w:t>
      </w:r>
    </w:p>
    <w:p w14:paraId="0436C2B3">
      <w:pPr>
        <w:snapToGrid w:val="0"/>
        <w:spacing w:line="360" w:lineRule="auto"/>
        <w:rPr>
          <w:rFonts w:ascii="宋体" w:hAnsi="宋体" w:cs="宋体"/>
          <w:sz w:val="24"/>
          <w:highlight w:val="none"/>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）中小企业</w:t>
      </w:r>
      <w:r>
        <w:rPr>
          <w:rFonts w:hint="eastAsia" w:ascii="宋体" w:hAnsi="宋体" w:cs="宋体"/>
          <w:sz w:val="24"/>
          <w:highlight w:val="none"/>
        </w:rPr>
        <w:t>声明函………………………………………………………………（页码）</w:t>
      </w:r>
    </w:p>
    <w:p w14:paraId="53050A9A">
      <w:pPr>
        <w:pStyle w:val="23"/>
        <w:rPr>
          <w:rFonts w:hAnsi="宋体" w:cs="宋体"/>
          <w:highlight w:val="none"/>
        </w:rPr>
      </w:pPr>
    </w:p>
    <w:p w14:paraId="0374878C">
      <w:pPr>
        <w:snapToGrid w:val="0"/>
        <w:spacing w:line="360" w:lineRule="auto"/>
        <w:ind w:right="480"/>
        <w:jc w:val="center"/>
        <w:rPr>
          <w:rFonts w:ascii="宋体" w:hAnsi="宋体" w:cs="宋体"/>
          <w:b/>
          <w:kern w:val="0"/>
          <w:sz w:val="32"/>
          <w:szCs w:val="32"/>
          <w:highlight w:val="none"/>
        </w:rPr>
      </w:pPr>
    </w:p>
    <w:p w14:paraId="2880B1EB">
      <w:pPr>
        <w:snapToGrid w:val="0"/>
        <w:spacing w:line="360" w:lineRule="auto"/>
        <w:ind w:right="480"/>
        <w:jc w:val="center"/>
        <w:rPr>
          <w:rFonts w:ascii="宋体" w:hAnsi="宋体" w:cs="宋体"/>
          <w:b/>
          <w:kern w:val="0"/>
          <w:sz w:val="32"/>
          <w:szCs w:val="32"/>
          <w:highlight w:val="none"/>
        </w:rPr>
      </w:pPr>
    </w:p>
    <w:p w14:paraId="6C3656B7">
      <w:pPr>
        <w:snapToGrid w:val="0"/>
        <w:spacing w:line="360" w:lineRule="auto"/>
        <w:ind w:right="480"/>
        <w:jc w:val="center"/>
        <w:rPr>
          <w:rFonts w:ascii="宋体" w:hAnsi="宋体" w:cs="宋体"/>
          <w:b/>
          <w:kern w:val="0"/>
          <w:sz w:val="32"/>
          <w:szCs w:val="32"/>
          <w:highlight w:val="none"/>
        </w:rPr>
      </w:pPr>
    </w:p>
    <w:p w14:paraId="7BA99C38">
      <w:pPr>
        <w:snapToGrid w:val="0"/>
        <w:spacing w:line="360" w:lineRule="auto"/>
        <w:ind w:right="480"/>
        <w:jc w:val="center"/>
        <w:rPr>
          <w:rFonts w:ascii="宋体" w:hAnsi="宋体" w:cs="宋体"/>
          <w:b/>
          <w:kern w:val="0"/>
          <w:sz w:val="32"/>
          <w:szCs w:val="32"/>
          <w:highlight w:val="none"/>
        </w:rPr>
      </w:pPr>
    </w:p>
    <w:p w14:paraId="34DB0635">
      <w:pPr>
        <w:snapToGrid w:val="0"/>
        <w:spacing w:line="360" w:lineRule="auto"/>
        <w:ind w:right="480"/>
        <w:jc w:val="center"/>
        <w:rPr>
          <w:rFonts w:ascii="宋体" w:hAnsi="宋体" w:cs="宋体"/>
          <w:b/>
          <w:kern w:val="0"/>
          <w:sz w:val="32"/>
          <w:szCs w:val="32"/>
          <w:highlight w:val="none"/>
        </w:rPr>
      </w:pPr>
    </w:p>
    <w:p w14:paraId="5189EE74">
      <w:pPr>
        <w:snapToGrid w:val="0"/>
        <w:spacing w:line="360" w:lineRule="auto"/>
        <w:ind w:right="480"/>
        <w:jc w:val="center"/>
        <w:rPr>
          <w:rFonts w:ascii="宋体" w:hAnsi="宋体" w:cs="宋体"/>
          <w:b/>
          <w:kern w:val="0"/>
          <w:sz w:val="32"/>
          <w:szCs w:val="32"/>
          <w:highlight w:val="none"/>
        </w:rPr>
      </w:pPr>
    </w:p>
    <w:p w14:paraId="338DB1C2">
      <w:pPr>
        <w:snapToGrid w:val="0"/>
        <w:spacing w:line="360" w:lineRule="auto"/>
        <w:ind w:right="480"/>
        <w:jc w:val="center"/>
        <w:rPr>
          <w:rFonts w:ascii="宋体" w:hAnsi="宋体" w:cs="宋体"/>
          <w:b/>
          <w:kern w:val="0"/>
          <w:sz w:val="32"/>
          <w:szCs w:val="32"/>
          <w:highlight w:val="none"/>
        </w:rPr>
      </w:pPr>
    </w:p>
    <w:p w14:paraId="5DE91C3E">
      <w:pPr>
        <w:snapToGrid w:val="0"/>
        <w:spacing w:line="360" w:lineRule="auto"/>
        <w:ind w:right="480"/>
        <w:jc w:val="center"/>
        <w:rPr>
          <w:rFonts w:ascii="宋体" w:hAnsi="宋体" w:cs="宋体"/>
          <w:b/>
          <w:kern w:val="0"/>
          <w:sz w:val="32"/>
          <w:szCs w:val="32"/>
          <w:highlight w:val="none"/>
        </w:rPr>
      </w:pPr>
    </w:p>
    <w:p w14:paraId="52ED5C46">
      <w:pPr>
        <w:snapToGrid w:val="0"/>
        <w:spacing w:line="360" w:lineRule="auto"/>
        <w:ind w:right="480"/>
        <w:jc w:val="center"/>
        <w:rPr>
          <w:rFonts w:ascii="宋体" w:hAnsi="宋体" w:cs="宋体"/>
          <w:b/>
          <w:kern w:val="0"/>
          <w:sz w:val="32"/>
          <w:szCs w:val="32"/>
          <w:highlight w:val="none"/>
        </w:rPr>
      </w:pPr>
    </w:p>
    <w:p w14:paraId="76F9DCE4">
      <w:pPr>
        <w:snapToGrid w:val="0"/>
        <w:spacing w:line="360" w:lineRule="auto"/>
        <w:ind w:right="480"/>
        <w:jc w:val="center"/>
        <w:rPr>
          <w:rFonts w:ascii="宋体" w:hAnsi="宋体" w:cs="宋体"/>
          <w:b/>
          <w:kern w:val="0"/>
          <w:sz w:val="32"/>
          <w:szCs w:val="32"/>
          <w:highlight w:val="none"/>
        </w:rPr>
      </w:pPr>
    </w:p>
    <w:p w14:paraId="6A9C1382">
      <w:pPr>
        <w:snapToGrid w:val="0"/>
        <w:spacing w:line="360" w:lineRule="auto"/>
        <w:ind w:right="480"/>
        <w:jc w:val="center"/>
        <w:rPr>
          <w:rFonts w:ascii="宋体" w:hAnsi="宋体" w:cs="宋体"/>
          <w:b/>
          <w:kern w:val="0"/>
          <w:sz w:val="32"/>
          <w:szCs w:val="32"/>
          <w:highlight w:val="none"/>
        </w:rPr>
      </w:pPr>
    </w:p>
    <w:p w14:paraId="00A545A9">
      <w:pPr>
        <w:snapToGrid w:val="0"/>
        <w:spacing w:line="360" w:lineRule="auto"/>
        <w:ind w:right="480"/>
        <w:jc w:val="center"/>
        <w:rPr>
          <w:rFonts w:ascii="宋体" w:hAnsi="宋体" w:cs="宋体"/>
          <w:b/>
          <w:kern w:val="0"/>
          <w:sz w:val="32"/>
          <w:szCs w:val="32"/>
          <w:highlight w:val="none"/>
        </w:rPr>
      </w:pPr>
    </w:p>
    <w:p w14:paraId="5F6E194B">
      <w:pPr>
        <w:snapToGrid w:val="0"/>
        <w:spacing w:line="360" w:lineRule="auto"/>
        <w:ind w:right="480"/>
        <w:jc w:val="center"/>
        <w:rPr>
          <w:rFonts w:ascii="宋体" w:hAnsi="宋体" w:cs="宋体"/>
          <w:b/>
          <w:kern w:val="0"/>
          <w:sz w:val="32"/>
          <w:szCs w:val="32"/>
          <w:highlight w:val="none"/>
        </w:rPr>
      </w:pPr>
    </w:p>
    <w:p w14:paraId="1DCD353B">
      <w:pPr>
        <w:snapToGrid w:val="0"/>
        <w:spacing w:line="360" w:lineRule="auto"/>
        <w:ind w:right="480"/>
        <w:jc w:val="center"/>
        <w:rPr>
          <w:rFonts w:ascii="宋体" w:hAnsi="宋体" w:cs="宋体"/>
          <w:b/>
          <w:kern w:val="0"/>
          <w:sz w:val="32"/>
          <w:szCs w:val="32"/>
          <w:highlight w:val="none"/>
        </w:rPr>
      </w:pPr>
    </w:p>
    <w:p w14:paraId="4116F58F">
      <w:pPr>
        <w:pStyle w:val="696"/>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sectPr>
          <w:headerReference r:id="rId18" w:type="first"/>
          <w:footerReference r:id="rId20" w:type="first"/>
          <w:headerReference r:id="rId17" w:type="default"/>
          <w:footerReference r:id="rId19" w:type="default"/>
          <w:pgSz w:w="11906" w:h="16838"/>
          <w:pgMar w:top="1276" w:right="1418" w:bottom="1247" w:left="1418" w:header="851" w:footer="992" w:gutter="0"/>
          <w:cols w:space="720" w:num="1"/>
          <w:titlePg/>
          <w:docGrid w:linePitch="312" w:charSpace="0"/>
        </w:sectPr>
      </w:pPr>
    </w:p>
    <w:p w14:paraId="1728AB06">
      <w:pPr>
        <w:pStyle w:val="696"/>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r>
        <w:rPr>
          <w:rFonts w:hint="eastAsia" w:ascii="宋体" w:hAnsi="宋体" w:eastAsia="宋体" w:cs="宋体"/>
          <w:kern w:val="2"/>
          <w:sz w:val="32"/>
          <w:szCs w:val="32"/>
          <w:highlight w:val="none"/>
        </w:rPr>
        <w:t>一、开标一览表（报价表）</w:t>
      </w:r>
    </w:p>
    <w:p w14:paraId="0E35CA0B">
      <w:pPr>
        <w:snapToGrid w:val="0"/>
        <w:spacing w:line="360" w:lineRule="auto"/>
        <w:rPr>
          <w:rFonts w:ascii="宋体" w:hAnsi="宋体" w:cs="宋体"/>
          <w:kern w:val="0"/>
          <w:sz w:val="24"/>
          <w:highlight w:val="none"/>
        </w:rPr>
      </w:pPr>
      <w:r>
        <w:rPr>
          <w:rFonts w:hint="eastAsia" w:ascii="宋体" w:hAnsi="宋体" w:cs="宋体"/>
          <w:sz w:val="24"/>
          <w:highlight w:val="none"/>
          <w:lang w:eastAsia="zh-CN"/>
        </w:rPr>
        <w:t>宁海县市场监督管理局</w:t>
      </w:r>
      <w:r>
        <w:rPr>
          <w:rFonts w:hint="eastAsia" w:ascii="宋体" w:hAnsi="宋体" w:cs="宋体"/>
          <w:sz w:val="24"/>
          <w:highlight w:val="none"/>
        </w:rPr>
        <w:t>、</w:t>
      </w:r>
      <w:r>
        <w:rPr>
          <w:rFonts w:hint="eastAsia" w:ascii="宋体" w:hAnsi="宋体" w:cs="宋体"/>
          <w:sz w:val="24"/>
          <w:highlight w:val="none"/>
          <w:lang w:eastAsia="zh-CN"/>
        </w:rPr>
        <w:t>浙江中基正采管理咨询有限公司</w:t>
      </w:r>
      <w:r>
        <w:rPr>
          <w:rFonts w:hint="eastAsia" w:ascii="宋体" w:hAnsi="宋体" w:cs="宋体"/>
          <w:kern w:val="0"/>
          <w:sz w:val="24"/>
          <w:highlight w:val="none"/>
          <w:lang w:val="zh-CN"/>
        </w:rPr>
        <w:t>：</w:t>
      </w:r>
    </w:p>
    <w:p w14:paraId="4094B8B3">
      <w:pPr>
        <w:snapToGrid w:val="0"/>
        <w:spacing w:line="360" w:lineRule="auto"/>
        <w:ind w:firstLine="482"/>
        <w:rPr>
          <w:rFonts w:ascii="宋体" w:hAnsi="宋体" w:cs="宋体"/>
          <w:kern w:val="0"/>
          <w:sz w:val="24"/>
          <w:highlight w:val="none"/>
          <w:lang w:val="zh-CN"/>
        </w:rPr>
      </w:pPr>
      <w:r>
        <w:rPr>
          <w:rFonts w:hint="eastAsia" w:ascii="宋体" w:hAnsi="宋体" w:cs="宋体"/>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highlight w:val="none"/>
          <w:lang w:eastAsia="zh-CN"/>
        </w:rPr>
        <w:t>菜篮子食品安全“你点我检”放心工程(生鲜食材快检)</w:t>
      </w:r>
      <w:r>
        <w:rPr>
          <w:rFonts w:hint="eastAsia" w:ascii="宋体" w:hAnsi="宋体" w:cs="宋体"/>
          <w:kern w:val="0"/>
          <w:sz w:val="24"/>
          <w:highlight w:val="none"/>
          <w:lang w:val="zh-CN"/>
        </w:rPr>
        <w:t>【招标编号：</w:t>
      </w:r>
      <w:r>
        <w:rPr>
          <w:rFonts w:hint="eastAsia" w:ascii="宋体" w:hAnsi="宋体" w:cs="宋体"/>
          <w:sz w:val="24"/>
          <w:highlight w:val="none"/>
          <w:lang w:eastAsia="zh-CN"/>
        </w:rPr>
        <w:t>CBZJ-20256033G</w:t>
      </w:r>
      <w:r>
        <w:rPr>
          <w:rFonts w:hint="eastAsia" w:ascii="宋体" w:hAnsi="宋体" w:cs="宋体"/>
          <w:sz w:val="24"/>
          <w:highlight w:val="none"/>
        </w:rPr>
        <w:t>】的实施</w:t>
      </w:r>
      <w:r>
        <w:rPr>
          <w:rFonts w:hint="eastAsia" w:ascii="宋体" w:hAnsi="宋体" w:cs="宋体"/>
          <w:kern w:val="0"/>
          <w:sz w:val="24"/>
          <w:highlight w:val="none"/>
          <w:lang w:val="zh-CN"/>
        </w:rPr>
        <w:t>。</w:t>
      </w:r>
    </w:p>
    <w:p w14:paraId="247E876A">
      <w:pPr>
        <w:spacing w:line="360" w:lineRule="auto"/>
        <w:jc w:val="center"/>
        <w:rPr>
          <w:rFonts w:ascii="宋体" w:hAnsi="宋体" w:cs="宋体"/>
          <w:b/>
          <w:kern w:val="0"/>
          <w:sz w:val="24"/>
          <w:highlight w:val="none"/>
          <w:lang w:val="zh-CN"/>
        </w:rPr>
      </w:pPr>
      <w:r>
        <w:rPr>
          <w:rFonts w:hint="eastAsia" w:ascii="宋体" w:hAnsi="宋体" w:cs="宋体"/>
          <w:b/>
          <w:kern w:val="0"/>
          <w:sz w:val="24"/>
          <w:highlight w:val="none"/>
          <w:lang w:val="zh-CN"/>
        </w:rPr>
        <w:t>开标一览表（报价表）（单位均为人民币元）</w:t>
      </w:r>
    </w:p>
    <w:tbl>
      <w:tblPr>
        <w:tblStyle w:val="6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1"/>
        <w:gridCol w:w="1077"/>
        <w:gridCol w:w="1140"/>
        <w:gridCol w:w="2112"/>
        <w:gridCol w:w="1923"/>
        <w:gridCol w:w="1095"/>
        <w:gridCol w:w="1101"/>
      </w:tblGrid>
      <w:tr w14:paraId="33907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8" w:type="pct"/>
            <w:vAlign w:val="center"/>
          </w:tcPr>
          <w:p w14:paraId="251DC5ED">
            <w:pPr>
              <w:adjustRightInd/>
              <w:snapToGrid w:val="0"/>
              <w:spacing w:line="360" w:lineRule="auto"/>
              <w:jc w:val="center"/>
              <w:rPr>
                <w:rFonts w:ascii="宋体" w:hAnsi="宋体" w:cs="宋体"/>
                <w:b/>
                <w:bCs/>
                <w:sz w:val="24"/>
                <w:highlight w:val="none"/>
              </w:rPr>
            </w:pPr>
            <w:r>
              <w:rPr>
                <w:rFonts w:hint="eastAsia" w:ascii="宋体" w:hAnsi="宋体" w:cs="宋体"/>
                <w:b/>
                <w:bCs/>
                <w:sz w:val="24"/>
                <w:highlight w:val="none"/>
              </w:rPr>
              <w:t>序号</w:t>
            </w:r>
          </w:p>
        </w:tc>
        <w:tc>
          <w:tcPr>
            <w:tcW w:w="1194" w:type="pct"/>
            <w:gridSpan w:val="2"/>
            <w:vAlign w:val="center"/>
          </w:tcPr>
          <w:p w14:paraId="023ED577">
            <w:pPr>
              <w:adjustRightInd/>
              <w:snapToGrid w:val="0"/>
              <w:spacing w:line="360" w:lineRule="auto"/>
              <w:jc w:val="center"/>
              <w:rPr>
                <w:rFonts w:ascii="宋体" w:hAnsi="宋体" w:cs="宋体"/>
                <w:b/>
                <w:bCs/>
                <w:sz w:val="24"/>
                <w:highlight w:val="none"/>
              </w:rPr>
            </w:pPr>
            <w:r>
              <w:rPr>
                <w:rFonts w:hint="eastAsia" w:ascii="宋体" w:hAnsi="宋体" w:cs="宋体"/>
                <w:b/>
                <w:bCs/>
                <w:sz w:val="24"/>
                <w:highlight w:val="none"/>
              </w:rPr>
              <w:t>采购内容</w:t>
            </w:r>
          </w:p>
        </w:tc>
        <w:tc>
          <w:tcPr>
            <w:tcW w:w="1138" w:type="pct"/>
            <w:vAlign w:val="center"/>
          </w:tcPr>
          <w:p w14:paraId="3F8FEAD5">
            <w:pPr>
              <w:adjustRightInd/>
              <w:snapToGrid w:val="0"/>
              <w:spacing w:line="360" w:lineRule="auto"/>
              <w:jc w:val="center"/>
              <w:rPr>
                <w:rFonts w:hint="default" w:ascii="宋体" w:hAnsi="宋体" w:eastAsia="宋体" w:cs="宋体"/>
                <w:b/>
                <w:bCs/>
                <w:sz w:val="24"/>
                <w:highlight w:val="none"/>
                <w:lang w:val="en-US" w:eastAsia="zh-CN"/>
              </w:rPr>
            </w:pPr>
            <w:r>
              <w:rPr>
                <w:rFonts w:hint="eastAsia" w:ascii="宋体" w:hAnsi="宋体" w:cs="宋体"/>
                <w:b/>
                <w:bCs/>
                <w:sz w:val="24"/>
                <w:highlight w:val="none"/>
                <w:lang w:val="en-US" w:eastAsia="zh-CN"/>
              </w:rPr>
              <w:t>投标综合单价</w:t>
            </w:r>
          </w:p>
        </w:tc>
        <w:tc>
          <w:tcPr>
            <w:tcW w:w="1036" w:type="pct"/>
            <w:vAlign w:val="center"/>
          </w:tcPr>
          <w:p w14:paraId="62653D6C">
            <w:pPr>
              <w:adjustRightInd/>
              <w:snapToGrid w:val="0"/>
              <w:spacing w:line="360" w:lineRule="auto"/>
              <w:jc w:val="center"/>
              <w:rPr>
                <w:rFonts w:hint="eastAsia" w:ascii="宋体" w:hAnsi="宋体" w:cs="宋体"/>
                <w:b/>
                <w:bCs/>
                <w:sz w:val="24"/>
                <w:highlight w:val="none"/>
              </w:rPr>
            </w:pPr>
            <w:r>
              <w:rPr>
                <w:rFonts w:hint="eastAsia" w:ascii="宋体" w:hAnsi="宋体" w:cs="宋体"/>
                <w:b/>
                <w:bCs/>
                <w:sz w:val="24"/>
                <w:highlight w:val="none"/>
              </w:rPr>
              <w:t>数量</w:t>
            </w:r>
          </w:p>
        </w:tc>
        <w:tc>
          <w:tcPr>
            <w:tcW w:w="590" w:type="pct"/>
            <w:vAlign w:val="center"/>
          </w:tcPr>
          <w:p w14:paraId="0F30B47E">
            <w:pPr>
              <w:adjustRightInd/>
              <w:snapToGrid w:val="0"/>
              <w:spacing w:line="360" w:lineRule="auto"/>
              <w:jc w:val="center"/>
              <w:rPr>
                <w:rFonts w:hint="eastAsia" w:ascii="宋体" w:hAnsi="宋体" w:eastAsia="宋体" w:cs="宋体"/>
                <w:b/>
                <w:bCs/>
                <w:sz w:val="24"/>
                <w:highlight w:val="none"/>
                <w:lang w:val="en-US" w:eastAsia="zh-CN"/>
              </w:rPr>
            </w:pPr>
            <w:r>
              <w:rPr>
                <w:rFonts w:hint="eastAsia" w:ascii="宋体" w:hAnsi="宋体" w:cs="宋体"/>
                <w:b/>
                <w:bCs/>
                <w:sz w:val="24"/>
                <w:highlight w:val="none"/>
                <w:lang w:val="en-US" w:eastAsia="zh-CN"/>
              </w:rPr>
              <w:t>合计</w:t>
            </w:r>
          </w:p>
        </w:tc>
        <w:tc>
          <w:tcPr>
            <w:tcW w:w="593" w:type="pct"/>
            <w:vAlign w:val="center"/>
          </w:tcPr>
          <w:p w14:paraId="22720A5A">
            <w:pPr>
              <w:adjustRightInd/>
              <w:snapToGrid w:val="0"/>
              <w:spacing w:line="360" w:lineRule="auto"/>
              <w:jc w:val="center"/>
              <w:rPr>
                <w:rFonts w:hint="eastAsia" w:ascii="宋体" w:hAnsi="宋体" w:cs="宋体"/>
                <w:b/>
                <w:bCs/>
                <w:sz w:val="24"/>
                <w:highlight w:val="none"/>
              </w:rPr>
            </w:pPr>
            <w:r>
              <w:rPr>
                <w:rFonts w:hint="eastAsia" w:ascii="宋体" w:hAnsi="宋体" w:cs="宋体"/>
                <w:b/>
                <w:bCs/>
                <w:sz w:val="24"/>
                <w:highlight w:val="none"/>
              </w:rPr>
              <w:t>合同履行期限</w:t>
            </w:r>
          </w:p>
        </w:tc>
      </w:tr>
      <w:tr w14:paraId="10D7B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448" w:type="pct"/>
            <w:vAlign w:val="center"/>
          </w:tcPr>
          <w:p w14:paraId="53AC5F79">
            <w:pPr>
              <w:adjustRightInd/>
              <w:snapToGrid w:val="0"/>
              <w:spacing w:line="360" w:lineRule="auto"/>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1</w:t>
            </w:r>
          </w:p>
        </w:tc>
        <w:tc>
          <w:tcPr>
            <w:tcW w:w="1194" w:type="pct"/>
            <w:gridSpan w:val="2"/>
            <w:vAlign w:val="center"/>
          </w:tcPr>
          <w:p w14:paraId="16D78970">
            <w:pPr>
              <w:spacing w:line="460" w:lineRule="exact"/>
              <w:jc w:val="center"/>
              <w:rPr>
                <w:rFonts w:ascii="宋体" w:hAnsi="宋体" w:cs="宋体"/>
                <w:color w:val="auto"/>
                <w:sz w:val="24"/>
                <w:highlight w:val="none"/>
              </w:rPr>
            </w:pPr>
            <w:r>
              <w:rPr>
                <w:rFonts w:hint="eastAsia" w:ascii="宋体" w:hAnsi="宋体" w:eastAsia="宋体" w:cs="宋体"/>
                <w:color w:val="auto"/>
                <w:sz w:val="24"/>
                <w:szCs w:val="24"/>
                <w:highlight w:val="none"/>
                <w:lang w:val="en-US" w:eastAsia="zh-CN"/>
              </w:rPr>
              <w:t>试剂采购</w:t>
            </w:r>
          </w:p>
        </w:tc>
        <w:tc>
          <w:tcPr>
            <w:tcW w:w="1138" w:type="pct"/>
            <w:vAlign w:val="center"/>
          </w:tcPr>
          <w:p w14:paraId="65C0576A">
            <w:pPr>
              <w:spacing w:line="460" w:lineRule="exact"/>
              <w:jc w:val="center"/>
              <w:rPr>
                <w:rFonts w:ascii="宋体" w:hAnsi="宋体" w:cs="宋体"/>
                <w:color w:val="auto"/>
                <w:sz w:val="24"/>
                <w:highlight w:val="none"/>
              </w:rPr>
            </w:pP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元</w:t>
            </w:r>
            <w:r>
              <w:rPr>
                <w:rFonts w:hint="eastAsia" w:ascii="宋体" w:hAnsi="宋体" w:eastAsia="宋体" w:cs="宋体"/>
                <w:color w:val="auto"/>
                <w:sz w:val="24"/>
                <w:szCs w:val="24"/>
                <w:highlight w:val="none"/>
              </w:rPr>
              <w:t>/批次</w:t>
            </w:r>
          </w:p>
        </w:tc>
        <w:tc>
          <w:tcPr>
            <w:tcW w:w="1036" w:type="pct"/>
            <w:vAlign w:val="center"/>
          </w:tcPr>
          <w:p w14:paraId="380903A5">
            <w:pPr>
              <w:spacing w:line="460" w:lineRule="exact"/>
              <w:jc w:val="center"/>
              <w:rPr>
                <w:rFonts w:ascii="宋体" w:hAnsi="宋体" w:cs="宋体"/>
                <w:color w:val="auto"/>
                <w:sz w:val="24"/>
                <w:highlight w:val="none"/>
              </w:rPr>
            </w:pPr>
            <w:r>
              <w:rPr>
                <w:rFonts w:hint="eastAsia" w:ascii="宋体" w:hAnsi="宋体" w:cs="宋体"/>
                <w:color w:val="auto"/>
                <w:sz w:val="24"/>
                <w:szCs w:val="24"/>
                <w:highlight w:val="none"/>
                <w:lang w:val="en-US" w:eastAsia="zh-CN"/>
              </w:rPr>
              <w:t>100000</w:t>
            </w:r>
            <w:r>
              <w:rPr>
                <w:rFonts w:hint="eastAsia" w:ascii="宋体" w:hAnsi="宋体" w:eastAsia="宋体" w:cs="宋体"/>
                <w:color w:val="auto"/>
                <w:sz w:val="24"/>
                <w:szCs w:val="24"/>
                <w:highlight w:val="none"/>
              </w:rPr>
              <w:t>批次</w:t>
            </w:r>
          </w:p>
        </w:tc>
        <w:tc>
          <w:tcPr>
            <w:tcW w:w="590" w:type="pct"/>
            <w:vAlign w:val="center"/>
          </w:tcPr>
          <w:p w14:paraId="3984A883">
            <w:pPr>
              <w:adjustRightInd/>
              <w:snapToGrid w:val="0"/>
              <w:spacing w:line="360" w:lineRule="auto"/>
              <w:jc w:val="center"/>
              <w:rPr>
                <w:rFonts w:ascii="宋体" w:hAnsi="宋体" w:cs="宋体"/>
                <w:sz w:val="24"/>
                <w:highlight w:val="none"/>
              </w:rPr>
            </w:pPr>
          </w:p>
        </w:tc>
        <w:tc>
          <w:tcPr>
            <w:tcW w:w="593" w:type="pct"/>
            <w:vMerge w:val="restart"/>
            <w:vAlign w:val="center"/>
          </w:tcPr>
          <w:p w14:paraId="1DCFD1F2">
            <w:pPr>
              <w:adjustRightInd/>
              <w:snapToGrid w:val="0"/>
              <w:spacing w:line="360" w:lineRule="auto"/>
              <w:jc w:val="center"/>
              <w:rPr>
                <w:rFonts w:ascii="宋体" w:hAnsi="宋体" w:cs="宋体"/>
                <w:sz w:val="24"/>
                <w:highlight w:val="none"/>
              </w:rPr>
            </w:pPr>
          </w:p>
        </w:tc>
      </w:tr>
      <w:tr w14:paraId="145C5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448" w:type="pct"/>
            <w:vAlign w:val="center"/>
          </w:tcPr>
          <w:p w14:paraId="79D456A7">
            <w:pPr>
              <w:adjustRightInd/>
              <w:snapToGrid w:val="0"/>
              <w:spacing w:line="360" w:lineRule="auto"/>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2</w:t>
            </w:r>
          </w:p>
        </w:tc>
        <w:tc>
          <w:tcPr>
            <w:tcW w:w="1194" w:type="pct"/>
            <w:gridSpan w:val="2"/>
            <w:vAlign w:val="center"/>
          </w:tcPr>
          <w:p w14:paraId="38A4FB1F">
            <w:pPr>
              <w:spacing w:line="460" w:lineRule="exact"/>
              <w:jc w:val="center"/>
              <w:rPr>
                <w:rFonts w:ascii="宋体" w:hAnsi="宋体" w:cs="宋体"/>
                <w:color w:val="auto"/>
                <w:sz w:val="24"/>
                <w:highlight w:val="none"/>
              </w:rPr>
            </w:pPr>
            <w:r>
              <w:rPr>
                <w:rFonts w:hint="eastAsia"/>
                <w:color w:val="auto"/>
                <w:highlight w:val="none"/>
              </w:rPr>
              <w:t>日常快速检测</w:t>
            </w:r>
          </w:p>
        </w:tc>
        <w:tc>
          <w:tcPr>
            <w:tcW w:w="1138" w:type="pct"/>
            <w:vAlign w:val="center"/>
          </w:tcPr>
          <w:p w14:paraId="17E5C026">
            <w:pPr>
              <w:spacing w:line="460" w:lineRule="exact"/>
              <w:jc w:val="center"/>
              <w:rPr>
                <w:rFonts w:ascii="宋体" w:hAnsi="宋体" w:cs="宋体"/>
                <w:color w:val="auto"/>
                <w:sz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元/</w:t>
            </w:r>
            <w:r>
              <w:rPr>
                <w:rFonts w:hint="eastAsia" w:ascii="宋体" w:hAnsi="宋体" w:cs="宋体"/>
                <w:color w:val="auto"/>
                <w:sz w:val="24"/>
                <w:szCs w:val="24"/>
                <w:highlight w:val="none"/>
                <w:lang w:eastAsia="zh-CN"/>
              </w:rPr>
              <w:t>批次</w:t>
            </w:r>
          </w:p>
        </w:tc>
        <w:tc>
          <w:tcPr>
            <w:tcW w:w="1036" w:type="pct"/>
            <w:vAlign w:val="center"/>
          </w:tcPr>
          <w:p w14:paraId="09663AC7">
            <w:pPr>
              <w:spacing w:line="460" w:lineRule="exact"/>
              <w:jc w:val="center"/>
              <w:rPr>
                <w:rFonts w:ascii="宋体" w:hAnsi="宋体" w:cs="宋体"/>
                <w:color w:val="auto"/>
                <w:sz w:val="24"/>
                <w:highlight w:val="none"/>
              </w:rPr>
            </w:pPr>
            <w:r>
              <w:rPr>
                <w:rFonts w:hint="eastAsia" w:ascii="宋体" w:hAnsi="宋体" w:cs="宋体"/>
                <w:color w:val="auto"/>
                <w:sz w:val="24"/>
                <w:szCs w:val="24"/>
                <w:highlight w:val="none"/>
                <w:lang w:val="en-US" w:eastAsia="zh-CN"/>
              </w:rPr>
              <w:t>2000</w:t>
            </w:r>
            <w:r>
              <w:rPr>
                <w:rFonts w:hint="eastAsia" w:ascii="宋体" w:hAnsi="宋体" w:eastAsia="宋体" w:cs="宋体"/>
                <w:color w:val="auto"/>
                <w:sz w:val="24"/>
                <w:szCs w:val="24"/>
                <w:highlight w:val="none"/>
              </w:rPr>
              <w:t>批次</w:t>
            </w:r>
          </w:p>
        </w:tc>
        <w:tc>
          <w:tcPr>
            <w:tcW w:w="590" w:type="pct"/>
            <w:vAlign w:val="center"/>
          </w:tcPr>
          <w:p w14:paraId="5FC7C1EC">
            <w:pPr>
              <w:adjustRightInd/>
              <w:snapToGrid w:val="0"/>
              <w:spacing w:line="360" w:lineRule="auto"/>
              <w:jc w:val="center"/>
              <w:rPr>
                <w:rFonts w:ascii="宋体" w:hAnsi="宋体" w:cs="宋体"/>
                <w:sz w:val="24"/>
                <w:highlight w:val="none"/>
              </w:rPr>
            </w:pPr>
          </w:p>
        </w:tc>
        <w:tc>
          <w:tcPr>
            <w:tcW w:w="593" w:type="pct"/>
            <w:vMerge w:val="continue"/>
            <w:vAlign w:val="center"/>
          </w:tcPr>
          <w:p w14:paraId="26C26468">
            <w:pPr>
              <w:adjustRightInd/>
              <w:snapToGrid w:val="0"/>
              <w:spacing w:line="360" w:lineRule="auto"/>
              <w:jc w:val="center"/>
              <w:rPr>
                <w:rFonts w:ascii="宋体" w:hAnsi="宋体" w:cs="宋体"/>
                <w:sz w:val="24"/>
                <w:highlight w:val="none"/>
              </w:rPr>
            </w:pPr>
          </w:p>
        </w:tc>
      </w:tr>
      <w:tr w14:paraId="1D0B9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448" w:type="pct"/>
            <w:vAlign w:val="center"/>
          </w:tcPr>
          <w:p w14:paraId="2ABB4B1F">
            <w:pPr>
              <w:adjustRightInd/>
              <w:snapToGrid w:val="0"/>
              <w:spacing w:line="360" w:lineRule="auto"/>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3</w:t>
            </w:r>
          </w:p>
        </w:tc>
        <w:tc>
          <w:tcPr>
            <w:tcW w:w="580" w:type="pct"/>
            <w:vMerge w:val="restart"/>
            <w:vAlign w:val="center"/>
          </w:tcPr>
          <w:p w14:paraId="3DFD117C">
            <w:pPr>
              <w:spacing w:line="460" w:lineRule="exact"/>
              <w:jc w:val="center"/>
              <w:rPr>
                <w:rFonts w:ascii="宋体" w:hAnsi="宋体" w:cs="宋体"/>
                <w:color w:val="auto"/>
                <w:sz w:val="24"/>
                <w:highlight w:val="none"/>
              </w:rPr>
            </w:pPr>
            <w:r>
              <w:rPr>
                <w:rFonts w:hint="eastAsia" w:ascii="宋体" w:hAnsi="宋体" w:eastAsia="宋体" w:cs="宋体"/>
                <w:color w:val="auto"/>
                <w:sz w:val="24"/>
                <w:szCs w:val="24"/>
                <w:highlight w:val="none"/>
              </w:rPr>
              <w:t>专项快速检测</w:t>
            </w:r>
          </w:p>
        </w:tc>
        <w:tc>
          <w:tcPr>
            <w:tcW w:w="613" w:type="pct"/>
            <w:vAlign w:val="center"/>
          </w:tcPr>
          <w:p w14:paraId="62D6BEDE">
            <w:pPr>
              <w:spacing w:line="4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农残</w:t>
            </w:r>
          </w:p>
        </w:tc>
        <w:tc>
          <w:tcPr>
            <w:tcW w:w="1138" w:type="pct"/>
            <w:vAlign w:val="center"/>
          </w:tcPr>
          <w:p w14:paraId="4F94FF90">
            <w:pPr>
              <w:spacing w:line="460" w:lineRule="exact"/>
              <w:jc w:val="center"/>
              <w:rPr>
                <w:rFonts w:ascii="宋体" w:hAnsi="宋体" w:cs="宋体"/>
                <w:color w:val="auto"/>
                <w:sz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元/</w:t>
            </w:r>
            <w:r>
              <w:rPr>
                <w:rFonts w:hint="eastAsia" w:ascii="宋体" w:hAnsi="宋体" w:cs="宋体"/>
                <w:color w:val="auto"/>
                <w:sz w:val="24"/>
                <w:szCs w:val="24"/>
                <w:highlight w:val="none"/>
                <w:lang w:eastAsia="zh-CN"/>
              </w:rPr>
              <w:t>项</w:t>
            </w:r>
            <w:r>
              <w:rPr>
                <w:rFonts w:hint="eastAsia" w:ascii="宋体" w:hAnsi="宋体" w:eastAsia="宋体" w:cs="宋体"/>
                <w:color w:val="auto"/>
                <w:sz w:val="24"/>
                <w:szCs w:val="24"/>
                <w:highlight w:val="none"/>
              </w:rPr>
              <w:t>次</w:t>
            </w:r>
          </w:p>
        </w:tc>
        <w:tc>
          <w:tcPr>
            <w:tcW w:w="1036" w:type="pct"/>
            <w:vAlign w:val="center"/>
          </w:tcPr>
          <w:p w14:paraId="13C81F2E">
            <w:pPr>
              <w:spacing w:line="460" w:lineRule="exact"/>
              <w:jc w:val="center"/>
              <w:rPr>
                <w:rFonts w:ascii="宋体" w:hAnsi="宋体" w:cs="宋体"/>
                <w:color w:val="auto"/>
                <w:sz w:val="24"/>
                <w:highlight w:val="none"/>
              </w:rPr>
            </w:pPr>
            <w:r>
              <w:rPr>
                <w:rFonts w:hint="eastAsia" w:ascii="宋体" w:hAnsi="宋体" w:cs="宋体"/>
                <w:color w:val="auto"/>
                <w:sz w:val="24"/>
                <w:szCs w:val="24"/>
                <w:highlight w:val="none"/>
                <w:lang w:val="en-US" w:eastAsia="zh-CN"/>
              </w:rPr>
              <w:t>4000</w:t>
            </w:r>
            <w:r>
              <w:rPr>
                <w:rFonts w:hint="eastAsia" w:ascii="宋体" w:hAnsi="宋体" w:eastAsia="宋体" w:cs="宋体"/>
                <w:color w:val="auto"/>
                <w:sz w:val="24"/>
                <w:szCs w:val="24"/>
                <w:highlight w:val="none"/>
              </w:rPr>
              <w:t>批次</w:t>
            </w:r>
          </w:p>
        </w:tc>
        <w:tc>
          <w:tcPr>
            <w:tcW w:w="590" w:type="pct"/>
            <w:vAlign w:val="center"/>
          </w:tcPr>
          <w:p w14:paraId="0D608DFD">
            <w:pPr>
              <w:adjustRightInd/>
              <w:snapToGrid w:val="0"/>
              <w:spacing w:line="360" w:lineRule="auto"/>
              <w:jc w:val="center"/>
              <w:rPr>
                <w:rFonts w:ascii="宋体" w:hAnsi="宋体" w:cs="宋体"/>
                <w:sz w:val="24"/>
                <w:highlight w:val="none"/>
              </w:rPr>
            </w:pPr>
          </w:p>
        </w:tc>
        <w:tc>
          <w:tcPr>
            <w:tcW w:w="593" w:type="pct"/>
            <w:vMerge w:val="continue"/>
            <w:vAlign w:val="center"/>
          </w:tcPr>
          <w:p w14:paraId="482F896A">
            <w:pPr>
              <w:adjustRightInd/>
              <w:snapToGrid w:val="0"/>
              <w:spacing w:line="360" w:lineRule="auto"/>
              <w:jc w:val="center"/>
              <w:rPr>
                <w:rFonts w:ascii="宋体" w:hAnsi="宋体" w:cs="宋体"/>
                <w:sz w:val="24"/>
                <w:highlight w:val="none"/>
              </w:rPr>
            </w:pPr>
          </w:p>
        </w:tc>
      </w:tr>
      <w:tr w14:paraId="27B77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448" w:type="pct"/>
            <w:vAlign w:val="center"/>
          </w:tcPr>
          <w:p w14:paraId="0A9FC0A6">
            <w:pPr>
              <w:adjustRightInd/>
              <w:snapToGrid w:val="0"/>
              <w:spacing w:line="360" w:lineRule="auto"/>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4</w:t>
            </w:r>
          </w:p>
        </w:tc>
        <w:tc>
          <w:tcPr>
            <w:tcW w:w="580" w:type="pct"/>
            <w:vMerge w:val="continue"/>
            <w:vAlign w:val="center"/>
          </w:tcPr>
          <w:p w14:paraId="1E2D5F1A">
            <w:pPr>
              <w:adjustRightInd/>
              <w:snapToGrid w:val="0"/>
              <w:spacing w:line="360" w:lineRule="auto"/>
              <w:jc w:val="center"/>
              <w:rPr>
                <w:rFonts w:ascii="宋体" w:hAnsi="宋体" w:cs="宋体"/>
                <w:color w:val="auto"/>
                <w:sz w:val="24"/>
                <w:highlight w:val="none"/>
              </w:rPr>
            </w:pPr>
          </w:p>
        </w:tc>
        <w:tc>
          <w:tcPr>
            <w:tcW w:w="613" w:type="pct"/>
            <w:vAlign w:val="center"/>
          </w:tcPr>
          <w:p w14:paraId="69932CED">
            <w:pPr>
              <w:adjustRightInd/>
              <w:snapToGrid w:val="0"/>
              <w:spacing w:line="360" w:lineRule="auto"/>
              <w:jc w:val="center"/>
              <w:rPr>
                <w:rFonts w:ascii="宋体" w:hAnsi="宋体" w:cs="宋体"/>
                <w:color w:val="auto"/>
                <w:sz w:val="24"/>
                <w:highlight w:val="none"/>
              </w:rPr>
            </w:pPr>
            <w:r>
              <w:rPr>
                <w:rFonts w:hint="eastAsia" w:ascii="宋体" w:hAnsi="宋体" w:eastAsia="宋体" w:cs="宋体"/>
                <w:color w:val="auto"/>
                <w:sz w:val="24"/>
                <w:szCs w:val="24"/>
                <w:highlight w:val="none"/>
              </w:rPr>
              <w:t>非农残</w:t>
            </w:r>
          </w:p>
        </w:tc>
        <w:tc>
          <w:tcPr>
            <w:tcW w:w="1138" w:type="pct"/>
            <w:vAlign w:val="center"/>
          </w:tcPr>
          <w:p w14:paraId="3191E624">
            <w:pPr>
              <w:spacing w:line="460" w:lineRule="exact"/>
              <w:jc w:val="center"/>
              <w:rPr>
                <w:rFonts w:ascii="宋体" w:hAnsi="宋体" w:cs="宋体"/>
                <w:color w:val="auto"/>
                <w:sz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元/</w:t>
            </w:r>
            <w:r>
              <w:rPr>
                <w:rFonts w:hint="eastAsia" w:ascii="宋体" w:hAnsi="宋体" w:cs="宋体"/>
                <w:color w:val="auto"/>
                <w:sz w:val="24"/>
                <w:szCs w:val="24"/>
                <w:highlight w:val="none"/>
                <w:lang w:eastAsia="zh-CN"/>
              </w:rPr>
              <w:t>项</w:t>
            </w:r>
            <w:r>
              <w:rPr>
                <w:rFonts w:hint="eastAsia" w:ascii="宋体" w:hAnsi="宋体" w:eastAsia="宋体" w:cs="宋体"/>
                <w:color w:val="auto"/>
                <w:sz w:val="24"/>
                <w:szCs w:val="24"/>
                <w:highlight w:val="none"/>
              </w:rPr>
              <w:t>次</w:t>
            </w:r>
          </w:p>
        </w:tc>
        <w:tc>
          <w:tcPr>
            <w:tcW w:w="1036" w:type="pct"/>
            <w:vAlign w:val="center"/>
          </w:tcPr>
          <w:p w14:paraId="6966B0F3">
            <w:pPr>
              <w:spacing w:line="460" w:lineRule="exact"/>
              <w:jc w:val="center"/>
              <w:rPr>
                <w:rFonts w:ascii="宋体" w:hAnsi="宋体" w:cs="宋体"/>
                <w:color w:val="auto"/>
                <w:sz w:val="24"/>
                <w:highlight w:val="none"/>
              </w:rPr>
            </w:pPr>
            <w:r>
              <w:rPr>
                <w:rFonts w:hint="eastAsia" w:ascii="宋体" w:hAnsi="宋体" w:cs="宋体"/>
                <w:color w:val="auto"/>
                <w:sz w:val="24"/>
                <w:szCs w:val="24"/>
                <w:highlight w:val="none"/>
                <w:lang w:val="en-US" w:eastAsia="zh-CN"/>
              </w:rPr>
              <w:t>2000</w:t>
            </w:r>
            <w:r>
              <w:rPr>
                <w:rFonts w:hint="eastAsia" w:ascii="宋体" w:hAnsi="宋体" w:eastAsia="宋体" w:cs="宋体"/>
                <w:color w:val="auto"/>
                <w:sz w:val="24"/>
                <w:szCs w:val="24"/>
                <w:highlight w:val="none"/>
              </w:rPr>
              <w:t>批次</w:t>
            </w:r>
          </w:p>
        </w:tc>
        <w:tc>
          <w:tcPr>
            <w:tcW w:w="590" w:type="pct"/>
            <w:vAlign w:val="center"/>
          </w:tcPr>
          <w:p w14:paraId="6AD60716">
            <w:pPr>
              <w:adjustRightInd/>
              <w:snapToGrid w:val="0"/>
              <w:spacing w:line="360" w:lineRule="auto"/>
              <w:jc w:val="center"/>
              <w:rPr>
                <w:rFonts w:ascii="宋体" w:hAnsi="宋体" w:cs="宋体"/>
                <w:sz w:val="24"/>
                <w:highlight w:val="none"/>
              </w:rPr>
            </w:pPr>
          </w:p>
        </w:tc>
        <w:tc>
          <w:tcPr>
            <w:tcW w:w="593" w:type="pct"/>
            <w:vMerge w:val="continue"/>
            <w:vAlign w:val="center"/>
          </w:tcPr>
          <w:p w14:paraId="082F5E93">
            <w:pPr>
              <w:adjustRightInd/>
              <w:snapToGrid w:val="0"/>
              <w:spacing w:line="360" w:lineRule="auto"/>
              <w:jc w:val="center"/>
              <w:rPr>
                <w:rFonts w:ascii="宋体" w:hAnsi="宋体" w:cs="宋体"/>
                <w:sz w:val="24"/>
                <w:highlight w:val="none"/>
              </w:rPr>
            </w:pPr>
          </w:p>
        </w:tc>
      </w:tr>
      <w:tr w14:paraId="0CB89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448" w:type="pct"/>
            <w:vAlign w:val="center"/>
          </w:tcPr>
          <w:p w14:paraId="3E14A6CD">
            <w:pPr>
              <w:adjustRightInd/>
              <w:snapToGrid w:val="0"/>
              <w:spacing w:line="360" w:lineRule="auto"/>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5</w:t>
            </w:r>
          </w:p>
        </w:tc>
        <w:tc>
          <w:tcPr>
            <w:tcW w:w="1194" w:type="pct"/>
            <w:gridSpan w:val="2"/>
            <w:vAlign w:val="center"/>
          </w:tcPr>
          <w:p w14:paraId="1535076F">
            <w:pPr>
              <w:adjustRightInd/>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快检室建设</w:t>
            </w:r>
          </w:p>
        </w:tc>
        <w:tc>
          <w:tcPr>
            <w:tcW w:w="1138" w:type="pct"/>
            <w:vAlign w:val="center"/>
          </w:tcPr>
          <w:p w14:paraId="27251CD4">
            <w:pPr>
              <w:spacing w:line="46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元/个</w:t>
            </w:r>
          </w:p>
        </w:tc>
        <w:tc>
          <w:tcPr>
            <w:tcW w:w="1036" w:type="pct"/>
            <w:vAlign w:val="center"/>
          </w:tcPr>
          <w:p w14:paraId="40A51764">
            <w:pPr>
              <w:spacing w:line="46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13个</w:t>
            </w:r>
          </w:p>
        </w:tc>
        <w:tc>
          <w:tcPr>
            <w:tcW w:w="590" w:type="pct"/>
            <w:vAlign w:val="center"/>
          </w:tcPr>
          <w:p w14:paraId="3B07AC0B">
            <w:pPr>
              <w:adjustRightInd/>
              <w:snapToGrid w:val="0"/>
              <w:spacing w:line="360" w:lineRule="auto"/>
              <w:jc w:val="center"/>
              <w:rPr>
                <w:rFonts w:ascii="宋体" w:hAnsi="宋体" w:cs="宋体"/>
                <w:sz w:val="24"/>
                <w:highlight w:val="none"/>
              </w:rPr>
            </w:pPr>
          </w:p>
        </w:tc>
        <w:tc>
          <w:tcPr>
            <w:tcW w:w="593" w:type="pct"/>
            <w:vMerge w:val="continue"/>
            <w:vAlign w:val="center"/>
          </w:tcPr>
          <w:p w14:paraId="02164259">
            <w:pPr>
              <w:adjustRightInd/>
              <w:snapToGrid w:val="0"/>
              <w:spacing w:line="360" w:lineRule="auto"/>
              <w:jc w:val="center"/>
              <w:rPr>
                <w:rFonts w:ascii="宋体" w:hAnsi="宋体" w:cs="宋体"/>
                <w:sz w:val="24"/>
                <w:highlight w:val="none"/>
              </w:rPr>
            </w:pPr>
          </w:p>
        </w:tc>
      </w:tr>
      <w:tr w14:paraId="6E707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1642" w:type="pct"/>
            <w:gridSpan w:val="3"/>
            <w:vAlign w:val="center"/>
          </w:tcPr>
          <w:p w14:paraId="06FE5DA5">
            <w:pPr>
              <w:adjustRightInd/>
              <w:snapToGrid w:val="0"/>
              <w:spacing w:line="360" w:lineRule="auto"/>
              <w:jc w:val="center"/>
              <w:rPr>
                <w:rFonts w:hint="eastAsia" w:ascii="宋体" w:hAnsi="宋体" w:eastAsia="宋体" w:cs="宋体"/>
                <w:sz w:val="24"/>
                <w:highlight w:val="none"/>
                <w:lang w:eastAsia="zh-CN"/>
              </w:rPr>
            </w:pPr>
            <w:r>
              <w:rPr>
                <w:rFonts w:hint="eastAsia" w:ascii="宋体" w:hAnsi="宋体" w:cs="宋体"/>
                <w:b/>
                <w:color w:val="000000" w:themeColor="text1"/>
                <w:sz w:val="24"/>
                <w:highlight w:val="none"/>
                <w14:textFill>
                  <w14:solidFill>
                    <w14:schemeClr w14:val="tx1"/>
                  </w14:solidFill>
                </w14:textFill>
              </w:rPr>
              <w:t>投标总价（元）</w:t>
            </w:r>
          </w:p>
        </w:tc>
        <w:tc>
          <w:tcPr>
            <w:tcW w:w="3357" w:type="pct"/>
            <w:gridSpan w:val="4"/>
            <w:vAlign w:val="center"/>
          </w:tcPr>
          <w:p w14:paraId="675B4494">
            <w:pPr>
              <w:adjustRightInd/>
              <w:snapToGrid w:val="0"/>
              <w:spacing w:line="360" w:lineRule="auto"/>
              <w:jc w:val="left"/>
              <w:rPr>
                <w:rFonts w:hint="default" w:ascii="宋体" w:hAnsi="宋体" w:eastAsia="宋体" w:cs="宋体"/>
                <w:sz w:val="24"/>
                <w:highlight w:val="none"/>
                <w:lang w:val="en-US" w:eastAsia="zh-CN"/>
              </w:rPr>
            </w:pPr>
            <w:r>
              <w:rPr>
                <w:rFonts w:hint="eastAsia" w:ascii="宋体" w:hAnsi="宋体" w:cs="宋体"/>
                <w:sz w:val="24"/>
                <w:highlight w:val="none"/>
              </w:rPr>
              <w:t>小写：</w:t>
            </w:r>
          </w:p>
          <w:p w14:paraId="3362C01A">
            <w:pPr>
              <w:adjustRightInd/>
              <w:snapToGrid w:val="0"/>
              <w:spacing w:line="360" w:lineRule="auto"/>
              <w:jc w:val="left"/>
              <w:rPr>
                <w:rFonts w:hint="eastAsia" w:ascii="宋体" w:hAnsi="宋体" w:eastAsia="宋体" w:cs="宋体"/>
                <w:sz w:val="24"/>
                <w:highlight w:val="none"/>
                <w:lang w:val="en-US" w:eastAsia="zh-CN"/>
              </w:rPr>
            </w:pPr>
            <w:r>
              <w:rPr>
                <w:rFonts w:hint="eastAsia" w:ascii="宋体" w:hAnsi="宋体" w:cs="宋体"/>
                <w:sz w:val="24"/>
                <w:highlight w:val="none"/>
              </w:rPr>
              <w:t>大写：</w:t>
            </w:r>
          </w:p>
        </w:tc>
      </w:tr>
      <w:tr w14:paraId="24002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jc w:val="center"/>
        </w:trPr>
        <w:tc>
          <w:tcPr>
            <w:tcW w:w="1642" w:type="pct"/>
            <w:gridSpan w:val="3"/>
            <w:vAlign w:val="center"/>
          </w:tcPr>
          <w:p w14:paraId="6B011A03">
            <w:pPr>
              <w:adjustRightInd/>
              <w:snapToGrid w:val="0"/>
              <w:spacing w:line="360" w:lineRule="auto"/>
              <w:jc w:val="center"/>
              <w:rPr>
                <w:rFonts w:ascii="宋体" w:hAnsi="宋体" w:cs="宋体"/>
                <w:sz w:val="24"/>
                <w:highlight w:val="none"/>
              </w:rPr>
            </w:pPr>
            <w:r>
              <w:rPr>
                <w:rFonts w:hint="eastAsia" w:ascii="宋体" w:hAnsi="宋体" w:cs="宋体"/>
                <w:sz w:val="24"/>
                <w:highlight w:val="none"/>
              </w:rPr>
              <w:t>投标声明</w:t>
            </w:r>
          </w:p>
        </w:tc>
        <w:tc>
          <w:tcPr>
            <w:tcW w:w="3357" w:type="pct"/>
            <w:gridSpan w:val="4"/>
            <w:vAlign w:val="center"/>
          </w:tcPr>
          <w:p w14:paraId="244FC9DF">
            <w:pPr>
              <w:adjustRightInd/>
              <w:snapToGrid w:val="0"/>
              <w:spacing w:line="360" w:lineRule="auto"/>
              <w:jc w:val="center"/>
              <w:rPr>
                <w:rFonts w:ascii="宋体" w:hAnsi="宋体" w:cs="宋体"/>
                <w:sz w:val="24"/>
                <w:highlight w:val="none"/>
              </w:rPr>
            </w:pPr>
          </w:p>
        </w:tc>
      </w:tr>
    </w:tbl>
    <w:p w14:paraId="36246FA6">
      <w:pPr>
        <w:snapToGrid w:val="0"/>
        <w:spacing w:line="360" w:lineRule="auto"/>
        <w:ind w:left="480"/>
        <w:rPr>
          <w:rFonts w:ascii="宋体" w:hAnsi="宋体" w:cs="宋体"/>
          <w:b/>
          <w:kern w:val="0"/>
          <w:sz w:val="24"/>
          <w:highlight w:val="none"/>
          <w:lang w:val="zh-CN"/>
        </w:rPr>
      </w:pPr>
      <w:r>
        <w:rPr>
          <w:rFonts w:hint="eastAsia" w:ascii="宋体" w:hAnsi="宋体" w:cs="宋体"/>
          <w:b/>
          <w:kern w:val="0"/>
          <w:sz w:val="24"/>
          <w:highlight w:val="none"/>
          <w:lang w:val="zh-CN"/>
        </w:rPr>
        <w:t>注：</w:t>
      </w:r>
    </w:p>
    <w:p w14:paraId="2EDC0DBF">
      <w:pPr>
        <w:spacing w:line="360" w:lineRule="auto"/>
        <w:ind w:left="-2" w:leftChars="-1"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1、投标人需按本表格式填写</w:t>
      </w:r>
      <w:r>
        <w:rPr>
          <w:rFonts w:hint="eastAsia" w:ascii="宋体" w:hAnsi="宋体" w:cs="宋体"/>
          <w:b/>
          <w:kern w:val="0"/>
          <w:sz w:val="24"/>
          <w:highlight w:val="none"/>
          <w:lang w:val="zh-CN"/>
        </w:rPr>
        <w:t>，</w:t>
      </w:r>
      <w:r>
        <w:rPr>
          <w:rFonts w:hint="eastAsia" w:ascii="宋体" w:hAnsi="宋体" w:cs="宋体"/>
          <w:b/>
          <w:kern w:val="0"/>
          <w:sz w:val="24"/>
          <w:highlight w:val="none"/>
        </w:rPr>
        <w:t>否则视为</w:t>
      </w:r>
      <w:r>
        <w:rPr>
          <w:rFonts w:hint="eastAsia" w:ascii="宋体" w:hAnsi="宋体" w:cs="宋体"/>
          <w:b/>
          <w:sz w:val="24"/>
          <w:highlight w:val="none"/>
        </w:rPr>
        <w:t>投标文件含有采购人不能接受的附加条件，投标无效</w:t>
      </w:r>
      <w:r>
        <w:rPr>
          <w:rFonts w:hint="eastAsia" w:ascii="宋体" w:hAnsi="宋体" w:cs="宋体"/>
          <w:kern w:val="0"/>
          <w:sz w:val="24"/>
          <w:highlight w:val="none"/>
          <w:lang w:val="zh-CN"/>
        </w:rPr>
        <w:t>。</w:t>
      </w:r>
    </w:p>
    <w:p w14:paraId="4B081514">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lang w:val="zh-CN"/>
        </w:rPr>
        <w:t>2、有关本项目实施所涉及的一切费用均计入报价。</w:t>
      </w:r>
      <w:r>
        <w:rPr>
          <w:rFonts w:hint="eastAsia" w:ascii="宋体" w:hAnsi="宋体" w:cs="宋体"/>
          <w:b/>
          <w:kern w:val="0"/>
          <w:sz w:val="24"/>
          <w:highlight w:val="none"/>
          <w:lang w:val="zh-CN"/>
        </w:rPr>
        <w:t>采购人将以合同形式有偿取得货物或服务，不接受投标人给予的赠品、回扣或者与采购无关的其他商品、服务</w:t>
      </w:r>
      <w:r>
        <w:rPr>
          <w:rFonts w:hint="eastAsia" w:ascii="宋体" w:hAnsi="宋体" w:cs="宋体"/>
          <w:kern w:val="0"/>
          <w:sz w:val="24"/>
          <w:highlight w:val="none"/>
          <w:lang w:val="zh-CN"/>
        </w:rPr>
        <w:t>，</w:t>
      </w:r>
      <w:r>
        <w:rPr>
          <w:rFonts w:hint="eastAsia" w:ascii="宋体" w:hAnsi="宋体" w:cs="宋体"/>
          <w:b/>
          <w:kern w:val="0"/>
          <w:sz w:val="24"/>
          <w:highlight w:val="none"/>
          <w:lang w:val="zh-CN"/>
        </w:rPr>
        <w:t>不得出现“0元”“免费赠送”等形式的无偿报价，</w:t>
      </w:r>
      <w:r>
        <w:rPr>
          <w:rFonts w:hint="eastAsia" w:ascii="宋体" w:hAnsi="宋体" w:cs="宋体"/>
          <w:b/>
          <w:kern w:val="0"/>
          <w:sz w:val="24"/>
          <w:highlight w:val="none"/>
        </w:rPr>
        <w:t>否则视为</w:t>
      </w:r>
      <w:r>
        <w:rPr>
          <w:rFonts w:hint="eastAsia" w:ascii="宋体" w:hAnsi="宋体" w:cs="宋体"/>
          <w:b/>
          <w:sz w:val="24"/>
          <w:highlight w:val="none"/>
        </w:rPr>
        <w:t>投标文件含有采购人不能接受的附加条件，投标无效</w:t>
      </w:r>
      <w:r>
        <w:rPr>
          <w:rFonts w:hint="eastAsia" w:ascii="宋体" w:hAnsi="宋体" w:cs="宋体"/>
          <w:b/>
          <w:kern w:val="0"/>
          <w:sz w:val="24"/>
          <w:highlight w:val="none"/>
          <w:lang w:val="zh-CN"/>
        </w:rPr>
        <w:t>；采购内容未包含在《开标一览表（报价表）》名称栏中，投标人不能作出合理解释的，</w:t>
      </w:r>
      <w:r>
        <w:rPr>
          <w:rFonts w:hint="eastAsia" w:ascii="宋体" w:hAnsi="宋体" w:cs="宋体"/>
          <w:b/>
          <w:kern w:val="0"/>
          <w:sz w:val="24"/>
          <w:highlight w:val="none"/>
        </w:rPr>
        <w:t>视为</w:t>
      </w:r>
      <w:r>
        <w:rPr>
          <w:rFonts w:hint="eastAsia" w:ascii="宋体" w:hAnsi="宋体" w:cs="宋体"/>
          <w:b/>
          <w:sz w:val="24"/>
          <w:highlight w:val="none"/>
        </w:rPr>
        <w:t>投标文件含有采购人不能接受的附加条件的，投标无效。</w:t>
      </w:r>
    </w:p>
    <w:p w14:paraId="101D7F0E">
      <w:pPr>
        <w:snapToGrid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3、特别提示：采购代理机构将对项目名称和项目编号，中标人名称、地址和中标金额，主要中标标的名称、服务范围、服务要求、服务时间、服务标准等予以公示。</w:t>
      </w:r>
    </w:p>
    <w:p w14:paraId="569FE6F2">
      <w:pPr>
        <w:snapToGrid w:val="0"/>
        <w:spacing w:line="360" w:lineRule="auto"/>
        <w:ind w:firstLine="480" w:firstLineChars="200"/>
        <w:jc w:val="left"/>
        <w:rPr>
          <w:rFonts w:hint="eastAsia" w:ascii="宋体" w:hAnsi="宋体" w:cs="宋体"/>
          <w:kern w:val="0"/>
          <w:sz w:val="24"/>
          <w:highlight w:val="none"/>
          <w:lang w:val="zh-CN"/>
        </w:rPr>
      </w:pPr>
      <w:r>
        <w:rPr>
          <w:rFonts w:hint="eastAsia" w:ascii="宋体" w:hAnsi="宋体" w:cs="宋体"/>
          <w:kern w:val="0"/>
          <w:sz w:val="24"/>
          <w:szCs w:val="22"/>
          <w:highlight w:val="none"/>
          <w:lang w:val="zh-CN"/>
        </w:rPr>
        <w:t>4、</w:t>
      </w:r>
      <w:r>
        <w:rPr>
          <w:rFonts w:hint="eastAsia" w:ascii="宋体" w:hAnsi="宋体" w:cs="宋体"/>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7DCC1F7">
      <w:pPr>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000000" w:themeColor="text1"/>
          <w:sz w:val="24"/>
          <w:highlight w:val="none"/>
          <w:lang w:val="en-US" w:eastAsia="zh-CN"/>
          <w14:textFill>
            <w14:solidFill>
              <w14:schemeClr w14:val="tx1"/>
            </w14:solidFill>
          </w14:textFill>
        </w:rPr>
        <w:t>▲</w:t>
      </w:r>
      <w:r>
        <w:rPr>
          <w:rFonts w:hint="eastAsia" w:ascii="宋体" w:hAnsi="宋体" w:cs="宋体"/>
          <w:b/>
          <w:bCs/>
          <w:kern w:val="0"/>
          <w:sz w:val="24"/>
          <w:highlight w:val="none"/>
          <w:lang w:val="en-US" w:eastAsia="zh-CN"/>
        </w:rPr>
        <w:t>5、</w:t>
      </w:r>
      <w:r>
        <w:rPr>
          <w:rFonts w:hint="eastAsia" w:ascii="宋体" w:hAnsi="宋体" w:eastAsia="宋体" w:cs="宋体"/>
          <w:b/>
          <w:bCs/>
          <w:color w:val="auto"/>
          <w:sz w:val="24"/>
          <w:szCs w:val="24"/>
          <w:highlight w:val="none"/>
        </w:rPr>
        <w:t>快检室建设</w:t>
      </w:r>
      <w:r>
        <w:rPr>
          <w:rFonts w:hint="eastAsia" w:ascii="宋体" w:hAnsi="宋体" w:eastAsia="宋体" w:cs="宋体"/>
          <w:b/>
          <w:bCs/>
          <w:color w:val="auto"/>
          <w:sz w:val="24"/>
          <w:szCs w:val="24"/>
          <w:highlight w:val="none"/>
          <w:lang w:val="en-US" w:eastAsia="zh-CN"/>
        </w:rPr>
        <w:t>需提供分项报价表，未提供的作无效投标处理。</w:t>
      </w:r>
    </w:p>
    <w:p w14:paraId="078257FE">
      <w:pPr>
        <w:spacing w:line="360" w:lineRule="auto"/>
        <w:ind w:firstLine="482" w:firstLineChars="200"/>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6、专项快速检测部分投标时的数量暂按每批次1项次计算（即农残暂定4000项次，非农残暂定2000项次），项目实施时，按实际项次，按实结算。</w:t>
      </w:r>
    </w:p>
    <w:p w14:paraId="4F6BA7DB">
      <w:pPr>
        <w:spacing w:line="360" w:lineRule="auto"/>
        <w:ind w:firstLine="482" w:firstLineChars="200"/>
        <w:rPr>
          <w:rFonts w:ascii="宋体" w:hAnsi="宋体" w:cs="宋体"/>
          <w:b/>
          <w:kern w:val="0"/>
          <w:sz w:val="24"/>
          <w:highlight w:val="none"/>
        </w:rPr>
      </w:pPr>
    </w:p>
    <w:p w14:paraId="70136382">
      <w:pPr>
        <w:rPr>
          <w:rFonts w:ascii="宋体" w:hAnsi="宋体" w:eastAsia="宋体" w:cs="宋体"/>
          <w:kern w:val="2"/>
          <w:sz w:val="32"/>
          <w:szCs w:val="32"/>
          <w:highlight w:val="none"/>
        </w:rPr>
      </w:pPr>
      <w:r>
        <w:rPr>
          <w:rFonts w:ascii="宋体" w:hAnsi="宋体" w:eastAsia="宋体" w:cs="宋体"/>
          <w:kern w:val="2"/>
          <w:sz w:val="32"/>
          <w:szCs w:val="32"/>
          <w:highlight w:val="none"/>
        </w:rPr>
        <w:br w:type="page"/>
      </w:r>
    </w:p>
    <w:p w14:paraId="7E0129A1">
      <w:pPr>
        <w:pStyle w:val="33"/>
        <w:kinsoku/>
        <w:wordWrap/>
        <w:overflowPunct/>
        <w:topLinePunct w:val="0"/>
        <w:bidi w:val="0"/>
        <w:snapToGrid w:val="0"/>
        <w:spacing w:before="295" w:after="295"/>
        <w:jc w:val="center"/>
        <w:outlineLvl w:val="9"/>
        <w:rPr>
          <w:rFonts w:hint="eastAsia" w:eastAsia="宋体"/>
          <w:color w:val="auto"/>
          <w:szCs w:val="21"/>
          <w:highlight w:val="none"/>
          <w:lang w:val="en-US" w:eastAsia="zh-CN"/>
        </w:rPr>
      </w:pPr>
      <w:r>
        <w:rPr>
          <w:rFonts w:hint="eastAsia" w:ascii="Times New Roman" w:hAnsi="Times New Roman" w:cs="Times New Roman"/>
          <w:b/>
          <w:bCs/>
          <w:snapToGrid/>
          <w:color w:val="auto"/>
          <w:sz w:val="30"/>
          <w:szCs w:val="30"/>
          <w:highlight w:val="none"/>
        </w:rPr>
        <w:t>二、分项报价表</w:t>
      </w:r>
      <w:r>
        <w:rPr>
          <w:rFonts w:hint="eastAsia" w:ascii="Times New Roman" w:hAnsi="Times New Roman" w:cs="Times New Roman"/>
          <w:b/>
          <w:bCs/>
          <w:snapToGrid/>
          <w:color w:val="auto"/>
          <w:sz w:val="30"/>
          <w:szCs w:val="30"/>
          <w:highlight w:val="none"/>
          <w:lang w:eastAsia="zh-CN"/>
        </w:rPr>
        <w:t>（</w:t>
      </w:r>
      <w:r>
        <w:rPr>
          <w:rFonts w:hint="eastAsia" w:ascii="Times New Roman" w:hAnsi="Times New Roman" w:cs="Times New Roman"/>
          <w:b/>
          <w:bCs/>
          <w:snapToGrid/>
          <w:color w:val="auto"/>
          <w:sz w:val="30"/>
          <w:szCs w:val="30"/>
          <w:highlight w:val="none"/>
          <w:lang w:val="en-US" w:eastAsia="zh-CN"/>
        </w:rPr>
        <w:t>快检室建设</w:t>
      </w:r>
      <w:r>
        <w:rPr>
          <w:rFonts w:hint="eastAsia" w:ascii="Times New Roman" w:hAnsi="Times New Roman" w:cs="Times New Roman"/>
          <w:b/>
          <w:bCs/>
          <w:snapToGrid/>
          <w:color w:val="auto"/>
          <w:sz w:val="30"/>
          <w:szCs w:val="30"/>
          <w:highlight w:val="none"/>
          <w:lang w:eastAsia="zh-CN"/>
        </w:rPr>
        <w:t>）</w:t>
      </w:r>
    </w:p>
    <w:p w14:paraId="621C1574">
      <w:pPr>
        <w:kinsoku/>
        <w:wordWrap/>
        <w:overflowPunct/>
        <w:topLinePunct w:val="0"/>
        <w:bidi w:val="0"/>
        <w:outlineLvl w:val="9"/>
        <w:rPr>
          <w:rFonts w:hint="default" w:eastAsia="宋体"/>
          <w:color w:val="auto"/>
          <w:szCs w:val="21"/>
          <w:highlight w:val="none"/>
          <w:lang w:val="en-US" w:eastAsia="zh-CN"/>
        </w:rPr>
      </w:pPr>
    </w:p>
    <w:tbl>
      <w:tblPr>
        <w:tblStyle w:val="62"/>
        <w:tblW w:w="91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4046"/>
        <w:gridCol w:w="1155"/>
        <w:gridCol w:w="1624"/>
        <w:gridCol w:w="1390"/>
      </w:tblGrid>
      <w:tr w14:paraId="5AB7E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1" w:type="dxa"/>
            <w:vAlign w:val="center"/>
          </w:tcPr>
          <w:p w14:paraId="576004CA">
            <w:pPr>
              <w:kinsoku/>
              <w:wordWrap/>
              <w:overflowPunct/>
              <w:topLinePunct w:val="0"/>
              <w:bidi w:val="0"/>
              <w:jc w:val="center"/>
              <w:outlineLvl w:val="9"/>
              <w:rPr>
                <w:rFonts w:hint="eastAsia"/>
                <w:color w:val="auto"/>
                <w:szCs w:val="21"/>
                <w:highlight w:val="none"/>
              </w:rPr>
            </w:pPr>
            <w:r>
              <w:rPr>
                <w:rFonts w:hint="eastAsia"/>
                <w:color w:val="auto"/>
                <w:szCs w:val="21"/>
                <w:highlight w:val="none"/>
              </w:rPr>
              <w:t>序号</w:t>
            </w:r>
          </w:p>
        </w:tc>
        <w:tc>
          <w:tcPr>
            <w:tcW w:w="4046" w:type="dxa"/>
            <w:vAlign w:val="center"/>
          </w:tcPr>
          <w:p w14:paraId="6FED3578">
            <w:pPr>
              <w:kinsoku/>
              <w:wordWrap/>
              <w:overflowPunct/>
              <w:topLinePunct w:val="0"/>
              <w:bidi w:val="0"/>
              <w:jc w:val="center"/>
              <w:outlineLvl w:val="9"/>
              <w:rPr>
                <w:rFonts w:hint="eastAsia"/>
                <w:color w:val="auto"/>
                <w:szCs w:val="21"/>
                <w:highlight w:val="none"/>
              </w:rPr>
            </w:pPr>
            <w:r>
              <w:rPr>
                <w:rFonts w:hint="eastAsia"/>
                <w:color w:val="auto"/>
                <w:szCs w:val="21"/>
                <w:highlight w:val="none"/>
              </w:rPr>
              <w:t>采购内容</w:t>
            </w:r>
          </w:p>
        </w:tc>
        <w:tc>
          <w:tcPr>
            <w:tcW w:w="1155" w:type="dxa"/>
            <w:vAlign w:val="center"/>
          </w:tcPr>
          <w:p w14:paraId="001D1F53">
            <w:pPr>
              <w:kinsoku/>
              <w:wordWrap/>
              <w:overflowPunct/>
              <w:topLinePunct w:val="0"/>
              <w:bidi w:val="0"/>
              <w:jc w:val="center"/>
              <w:outlineLvl w:val="9"/>
              <w:rPr>
                <w:rFonts w:hint="eastAsia"/>
                <w:color w:val="auto"/>
                <w:szCs w:val="21"/>
                <w:highlight w:val="none"/>
              </w:rPr>
            </w:pPr>
            <w:r>
              <w:rPr>
                <w:rFonts w:hint="eastAsia"/>
                <w:color w:val="auto"/>
                <w:szCs w:val="21"/>
                <w:highlight w:val="none"/>
              </w:rPr>
              <w:t>数量</w:t>
            </w:r>
          </w:p>
        </w:tc>
        <w:tc>
          <w:tcPr>
            <w:tcW w:w="1624" w:type="dxa"/>
            <w:vAlign w:val="center"/>
          </w:tcPr>
          <w:p w14:paraId="0AAC4B24">
            <w:pPr>
              <w:tabs>
                <w:tab w:val="left" w:pos="1418"/>
              </w:tabs>
              <w:kinsoku/>
              <w:wordWrap/>
              <w:overflowPunct/>
              <w:topLinePunct w:val="0"/>
              <w:bidi w:val="0"/>
              <w:snapToGrid w:val="0"/>
              <w:spacing w:before="50" w:after="50"/>
              <w:jc w:val="center"/>
              <w:outlineLvl w:val="9"/>
              <w:rPr>
                <w:rFonts w:hint="default"/>
                <w:color w:val="auto"/>
                <w:szCs w:val="21"/>
                <w:highlight w:val="none"/>
                <w:lang w:val="en-US" w:eastAsia="zh-CN"/>
              </w:rPr>
            </w:pPr>
            <w:r>
              <w:rPr>
                <w:rFonts w:hint="eastAsia" w:hAnsi="宋体" w:eastAsia="宋体" w:cs="宋体"/>
                <w:color w:val="auto"/>
                <w:sz w:val="21"/>
                <w:highlight w:val="none"/>
                <w:lang w:val="en-US" w:eastAsia="zh-CN"/>
              </w:rPr>
              <w:t>投标综合</w:t>
            </w:r>
            <w:r>
              <w:rPr>
                <w:rFonts w:hint="eastAsia" w:hAnsi="宋体" w:eastAsia="宋体" w:cs="宋体"/>
                <w:color w:val="auto"/>
                <w:sz w:val="21"/>
                <w:highlight w:val="none"/>
              </w:rPr>
              <w:t>单价</w:t>
            </w:r>
          </w:p>
        </w:tc>
        <w:tc>
          <w:tcPr>
            <w:tcW w:w="1390" w:type="dxa"/>
            <w:vAlign w:val="center"/>
          </w:tcPr>
          <w:p w14:paraId="259844BE">
            <w:pPr>
              <w:tabs>
                <w:tab w:val="left" w:pos="1418"/>
              </w:tabs>
              <w:kinsoku/>
              <w:wordWrap/>
              <w:overflowPunct/>
              <w:topLinePunct w:val="0"/>
              <w:bidi w:val="0"/>
              <w:snapToGrid w:val="0"/>
              <w:spacing w:before="50" w:after="50"/>
              <w:jc w:val="center"/>
              <w:outlineLvl w:val="9"/>
              <w:rPr>
                <w:rFonts w:hint="eastAsia" w:eastAsia="宋体"/>
                <w:color w:val="auto"/>
                <w:szCs w:val="21"/>
                <w:highlight w:val="none"/>
                <w:lang w:eastAsia="zh-CN"/>
              </w:rPr>
            </w:pPr>
            <w:r>
              <w:rPr>
                <w:rFonts w:hint="eastAsia" w:hAnsi="宋体" w:eastAsia="宋体" w:cs="宋体"/>
                <w:color w:val="auto"/>
                <w:sz w:val="21"/>
                <w:highlight w:val="none"/>
                <w:lang w:val="en-US" w:eastAsia="zh-CN"/>
              </w:rPr>
              <w:t>合计</w:t>
            </w:r>
          </w:p>
        </w:tc>
      </w:tr>
      <w:tr w14:paraId="3CB58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941" w:type="dxa"/>
            <w:vAlign w:val="center"/>
          </w:tcPr>
          <w:p w14:paraId="0D7418E7">
            <w:pPr>
              <w:kinsoku/>
              <w:wordWrap/>
              <w:overflowPunct/>
              <w:topLinePunct w:val="0"/>
              <w:bidi w:val="0"/>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p>
        </w:tc>
        <w:tc>
          <w:tcPr>
            <w:tcW w:w="4046" w:type="dxa"/>
            <w:vAlign w:val="center"/>
          </w:tcPr>
          <w:p w14:paraId="218BDD1D">
            <w:pPr>
              <w:kinsoku/>
              <w:wordWrap/>
              <w:overflowPunct/>
              <w:topLinePunct w:val="0"/>
              <w:bidi w:val="0"/>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检测室外观标准化</w:t>
            </w:r>
          </w:p>
        </w:tc>
        <w:tc>
          <w:tcPr>
            <w:tcW w:w="1155" w:type="dxa"/>
            <w:vAlign w:val="center"/>
          </w:tcPr>
          <w:p w14:paraId="2E9577E4">
            <w:pPr>
              <w:kinsoku/>
              <w:wordWrap/>
              <w:overflowPunct/>
              <w:topLinePunct w:val="0"/>
              <w:bidi w:val="0"/>
              <w:jc w:val="center"/>
              <w:outlineLvl w:val="9"/>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1项</w:t>
            </w:r>
          </w:p>
        </w:tc>
        <w:tc>
          <w:tcPr>
            <w:tcW w:w="1624" w:type="dxa"/>
            <w:vAlign w:val="center"/>
          </w:tcPr>
          <w:p w14:paraId="1EE610DB">
            <w:pPr>
              <w:kinsoku/>
              <w:wordWrap/>
              <w:overflowPunct/>
              <w:topLinePunct w:val="0"/>
              <w:bidi w:val="0"/>
              <w:jc w:val="center"/>
              <w:outlineLvl w:val="9"/>
              <w:rPr>
                <w:rFonts w:hint="eastAsia"/>
                <w:color w:val="auto"/>
                <w:szCs w:val="21"/>
                <w:highlight w:val="none"/>
              </w:rPr>
            </w:pPr>
          </w:p>
        </w:tc>
        <w:tc>
          <w:tcPr>
            <w:tcW w:w="1390" w:type="dxa"/>
            <w:vAlign w:val="center"/>
          </w:tcPr>
          <w:p w14:paraId="1E4071EA">
            <w:pPr>
              <w:kinsoku/>
              <w:wordWrap/>
              <w:overflowPunct/>
              <w:topLinePunct w:val="0"/>
              <w:bidi w:val="0"/>
              <w:jc w:val="center"/>
              <w:outlineLvl w:val="9"/>
              <w:rPr>
                <w:rFonts w:hint="eastAsia" w:ascii="宋体" w:hAnsi="宋体" w:cs="宋体"/>
                <w:color w:val="auto"/>
                <w:szCs w:val="21"/>
                <w:highlight w:val="none"/>
              </w:rPr>
            </w:pPr>
          </w:p>
        </w:tc>
      </w:tr>
      <w:tr w14:paraId="523B9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941" w:type="dxa"/>
            <w:vAlign w:val="center"/>
          </w:tcPr>
          <w:p w14:paraId="42F375EE">
            <w:pPr>
              <w:kinsoku/>
              <w:wordWrap/>
              <w:overflowPunct/>
              <w:topLinePunct w:val="0"/>
              <w:bidi w:val="0"/>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w:t>
            </w:r>
          </w:p>
        </w:tc>
        <w:tc>
          <w:tcPr>
            <w:tcW w:w="4046" w:type="dxa"/>
            <w:vAlign w:val="center"/>
          </w:tcPr>
          <w:p w14:paraId="499C5458">
            <w:pPr>
              <w:kinsoku/>
              <w:wordWrap/>
              <w:overflowPunct/>
              <w:topLinePunct w:val="0"/>
              <w:bidi w:val="0"/>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检测室布局标准化</w:t>
            </w:r>
          </w:p>
        </w:tc>
        <w:tc>
          <w:tcPr>
            <w:tcW w:w="1155" w:type="dxa"/>
            <w:vAlign w:val="center"/>
          </w:tcPr>
          <w:p w14:paraId="74D75022">
            <w:pPr>
              <w:kinsoku/>
              <w:wordWrap/>
              <w:overflowPunct/>
              <w:topLinePunct w:val="0"/>
              <w:bidi w:val="0"/>
              <w:jc w:val="center"/>
              <w:outlineLvl w:val="9"/>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1项</w:t>
            </w:r>
          </w:p>
        </w:tc>
        <w:tc>
          <w:tcPr>
            <w:tcW w:w="1624" w:type="dxa"/>
            <w:vAlign w:val="center"/>
          </w:tcPr>
          <w:p w14:paraId="24EA5B1F">
            <w:pPr>
              <w:kinsoku/>
              <w:wordWrap/>
              <w:overflowPunct/>
              <w:topLinePunct w:val="0"/>
              <w:bidi w:val="0"/>
              <w:jc w:val="center"/>
              <w:outlineLvl w:val="9"/>
              <w:rPr>
                <w:rFonts w:hint="eastAsia"/>
                <w:color w:val="auto"/>
                <w:szCs w:val="21"/>
                <w:highlight w:val="none"/>
              </w:rPr>
            </w:pPr>
          </w:p>
        </w:tc>
        <w:tc>
          <w:tcPr>
            <w:tcW w:w="1390" w:type="dxa"/>
            <w:vAlign w:val="center"/>
          </w:tcPr>
          <w:p w14:paraId="7CD51F97">
            <w:pPr>
              <w:kinsoku/>
              <w:wordWrap/>
              <w:overflowPunct/>
              <w:topLinePunct w:val="0"/>
              <w:bidi w:val="0"/>
              <w:jc w:val="center"/>
              <w:outlineLvl w:val="9"/>
              <w:rPr>
                <w:rFonts w:hint="eastAsia" w:ascii="宋体" w:hAnsi="宋体" w:cs="宋体"/>
                <w:color w:val="auto"/>
                <w:szCs w:val="21"/>
                <w:highlight w:val="none"/>
              </w:rPr>
            </w:pPr>
          </w:p>
        </w:tc>
      </w:tr>
      <w:tr w14:paraId="3D23A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941" w:type="dxa"/>
            <w:vAlign w:val="center"/>
          </w:tcPr>
          <w:p w14:paraId="00DA0467">
            <w:pPr>
              <w:kinsoku/>
              <w:wordWrap/>
              <w:overflowPunct/>
              <w:topLinePunct w:val="0"/>
              <w:bidi w:val="0"/>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w:t>
            </w:r>
          </w:p>
        </w:tc>
        <w:tc>
          <w:tcPr>
            <w:tcW w:w="4046" w:type="dxa"/>
            <w:vAlign w:val="center"/>
          </w:tcPr>
          <w:p w14:paraId="46F33B20">
            <w:pPr>
              <w:kinsoku/>
              <w:wordWrap/>
              <w:overflowPunct/>
              <w:topLinePunct w:val="0"/>
              <w:bidi w:val="0"/>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检测室仪器设备配备标准化</w:t>
            </w:r>
          </w:p>
          <w:p w14:paraId="249C325E">
            <w:pPr>
              <w:kinsoku/>
              <w:wordWrap/>
              <w:overflowPunct/>
              <w:topLinePunct w:val="0"/>
              <w:bidi w:val="0"/>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（3.1与3.2合计）</w:t>
            </w:r>
          </w:p>
        </w:tc>
        <w:tc>
          <w:tcPr>
            <w:tcW w:w="1155" w:type="dxa"/>
            <w:vAlign w:val="center"/>
          </w:tcPr>
          <w:p w14:paraId="235C598A">
            <w:pPr>
              <w:kinsoku/>
              <w:wordWrap/>
              <w:overflowPunct/>
              <w:topLinePunct w:val="0"/>
              <w:bidi w:val="0"/>
              <w:jc w:val="center"/>
              <w:outlineLvl w:val="9"/>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1项</w:t>
            </w:r>
          </w:p>
        </w:tc>
        <w:tc>
          <w:tcPr>
            <w:tcW w:w="1624" w:type="dxa"/>
            <w:vAlign w:val="center"/>
          </w:tcPr>
          <w:p w14:paraId="6C096A3A">
            <w:pPr>
              <w:kinsoku/>
              <w:wordWrap/>
              <w:overflowPunct/>
              <w:topLinePunct w:val="0"/>
              <w:bidi w:val="0"/>
              <w:jc w:val="center"/>
              <w:outlineLvl w:val="9"/>
              <w:rPr>
                <w:rFonts w:hint="default" w:eastAsia="宋体"/>
                <w:color w:val="auto"/>
                <w:szCs w:val="21"/>
                <w:highlight w:val="none"/>
                <w:lang w:val="en-US" w:eastAsia="zh-CN"/>
              </w:rPr>
            </w:pPr>
          </w:p>
        </w:tc>
        <w:tc>
          <w:tcPr>
            <w:tcW w:w="1390" w:type="dxa"/>
            <w:vAlign w:val="center"/>
          </w:tcPr>
          <w:p w14:paraId="22475B2B">
            <w:pPr>
              <w:kinsoku/>
              <w:wordWrap/>
              <w:overflowPunct/>
              <w:topLinePunct w:val="0"/>
              <w:bidi w:val="0"/>
              <w:jc w:val="center"/>
              <w:outlineLvl w:val="9"/>
              <w:rPr>
                <w:rFonts w:hint="eastAsia" w:ascii="宋体" w:hAnsi="宋体" w:eastAsia="宋体" w:cs="宋体"/>
                <w:color w:val="auto"/>
                <w:szCs w:val="21"/>
                <w:highlight w:val="none"/>
                <w:lang w:val="en-US" w:eastAsia="zh-CN"/>
              </w:rPr>
            </w:pPr>
          </w:p>
        </w:tc>
      </w:tr>
      <w:tr w14:paraId="4EEB2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941" w:type="dxa"/>
            <w:vAlign w:val="center"/>
          </w:tcPr>
          <w:p w14:paraId="2561EFAC">
            <w:pPr>
              <w:kinsoku/>
              <w:wordWrap/>
              <w:overflowPunct/>
              <w:topLinePunct w:val="0"/>
              <w:bidi w:val="0"/>
              <w:jc w:val="center"/>
              <w:outlineLvl w:val="9"/>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3.1</w:t>
            </w:r>
          </w:p>
        </w:tc>
        <w:tc>
          <w:tcPr>
            <w:tcW w:w="4046" w:type="dxa"/>
            <w:vAlign w:val="center"/>
          </w:tcPr>
          <w:p w14:paraId="78828609">
            <w:pPr>
              <w:kinsoku/>
              <w:wordWrap/>
              <w:overflowPunct/>
              <w:topLinePunct w:val="0"/>
              <w:bidi w:val="0"/>
              <w:jc w:val="center"/>
              <w:outlineLvl w:val="9"/>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设备仪器(3.1.1-3.1.20合计)</w:t>
            </w:r>
          </w:p>
        </w:tc>
        <w:tc>
          <w:tcPr>
            <w:tcW w:w="1155" w:type="dxa"/>
            <w:vAlign w:val="center"/>
          </w:tcPr>
          <w:p w14:paraId="799BD850">
            <w:pPr>
              <w:kinsoku/>
              <w:wordWrap/>
              <w:overflowPunct/>
              <w:topLinePunct w:val="0"/>
              <w:bidi w:val="0"/>
              <w:jc w:val="center"/>
              <w:outlineLvl w:val="9"/>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p>
        </w:tc>
        <w:tc>
          <w:tcPr>
            <w:tcW w:w="1624" w:type="dxa"/>
            <w:vAlign w:val="center"/>
          </w:tcPr>
          <w:p w14:paraId="58259EE3">
            <w:pPr>
              <w:kinsoku/>
              <w:wordWrap/>
              <w:overflowPunct/>
              <w:topLinePunct w:val="0"/>
              <w:bidi w:val="0"/>
              <w:jc w:val="center"/>
              <w:outlineLvl w:val="9"/>
              <w:rPr>
                <w:rFonts w:hint="eastAsia" w:eastAsia="宋体"/>
                <w:color w:val="auto"/>
                <w:szCs w:val="21"/>
                <w:highlight w:val="none"/>
                <w:lang w:val="en-US" w:eastAsia="zh-CN"/>
              </w:rPr>
            </w:pPr>
            <w:r>
              <w:rPr>
                <w:rFonts w:hint="eastAsia"/>
                <w:color w:val="auto"/>
                <w:szCs w:val="21"/>
                <w:highlight w:val="none"/>
                <w:lang w:val="en-US" w:eastAsia="zh-CN"/>
              </w:rPr>
              <w:t>/</w:t>
            </w:r>
          </w:p>
        </w:tc>
        <w:tc>
          <w:tcPr>
            <w:tcW w:w="1390" w:type="dxa"/>
            <w:vAlign w:val="center"/>
          </w:tcPr>
          <w:p w14:paraId="2B8A05CF">
            <w:pPr>
              <w:kinsoku/>
              <w:wordWrap/>
              <w:overflowPunct/>
              <w:topLinePunct w:val="0"/>
              <w:bidi w:val="0"/>
              <w:jc w:val="center"/>
              <w:outlineLvl w:val="9"/>
              <w:rPr>
                <w:rFonts w:hint="default" w:ascii="宋体" w:hAnsi="宋体" w:eastAsia="宋体" w:cs="宋体"/>
                <w:color w:val="auto"/>
                <w:szCs w:val="21"/>
                <w:highlight w:val="none"/>
                <w:lang w:val="en-US" w:eastAsia="zh-CN"/>
              </w:rPr>
            </w:pPr>
          </w:p>
        </w:tc>
      </w:tr>
      <w:tr w14:paraId="296A2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941" w:type="dxa"/>
            <w:vAlign w:val="center"/>
          </w:tcPr>
          <w:p w14:paraId="7302BD99">
            <w:pPr>
              <w:kinsoku/>
              <w:wordWrap/>
              <w:overflowPunct/>
              <w:topLinePunct w:val="0"/>
              <w:bidi w:val="0"/>
              <w:jc w:val="center"/>
              <w:outlineLvl w:val="9"/>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3.1.1</w:t>
            </w:r>
          </w:p>
        </w:tc>
        <w:tc>
          <w:tcPr>
            <w:tcW w:w="4046" w:type="dxa"/>
            <w:shd w:val="clear" w:color="auto" w:fill="auto"/>
            <w:vAlign w:val="center"/>
          </w:tcPr>
          <w:p w14:paraId="20D35CA2">
            <w:pPr>
              <w:kinsoku/>
              <w:wordWrap/>
              <w:overflowPunct/>
              <w:topLinePunct w:val="0"/>
              <w:bidi w:val="0"/>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便携式食品安全智能分析仪（可使用胶体金检测方法）</w:t>
            </w:r>
          </w:p>
        </w:tc>
        <w:tc>
          <w:tcPr>
            <w:tcW w:w="1155" w:type="dxa"/>
            <w:shd w:val="clear" w:color="auto" w:fill="auto"/>
            <w:vAlign w:val="center"/>
          </w:tcPr>
          <w:p w14:paraId="3D080557">
            <w:pPr>
              <w:kinsoku/>
              <w:wordWrap/>
              <w:overflowPunct/>
              <w:topLinePunct w:val="0"/>
              <w:bidi w:val="0"/>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1套</w:t>
            </w:r>
          </w:p>
        </w:tc>
        <w:tc>
          <w:tcPr>
            <w:tcW w:w="1624" w:type="dxa"/>
            <w:vAlign w:val="center"/>
          </w:tcPr>
          <w:p w14:paraId="089FAB15">
            <w:pPr>
              <w:kinsoku/>
              <w:wordWrap/>
              <w:overflowPunct/>
              <w:topLinePunct w:val="0"/>
              <w:bidi w:val="0"/>
              <w:jc w:val="center"/>
              <w:outlineLvl w:val="9"/>
              <w:rPr>
                <w:rFonts w:hint="eastAsia"/>
                <w:color w:val="auto"/>
                <w:szCs w:val="21"/>
                <w:highlight w:val="none"/>
              </w:rPr>
            </w:pPr>
          </w:p>
        </w:tc>
        <w:tc>
          <w:tcPr>
            <w:tcW w:w="1390" w:type="dxa"/>
            <w:vAlign w:val="center"/>
          </w:tcPr>
          <w:p w14:paraId="3B5EE4BE">
            <w:pPr>
              <w:kinsoku/>
              <w:wordWrap/>
              <w:overflowPunct/>
              <w:topLinePunct w:val="0"/>
              <w:bidi w:val="0"/>
              <w:jc w:val="center"/>
              <w:outlineLvl w:val="9"/>
              <w:rPr>
                <w:rFonts w:hint="eastAsia" w:ascii="宋体" w:hAnsi="宋体" w:cs="宋体"/>
                <w:color w:val="auto"/>
                <w:szCs w:val="21"/>
                <w:highlight w:val="none"/>
              </w:rPr>
            </w:pPr>
          </w:p>
        </w:tc>
      </w:tr>
      <w:tr w14:paraId="1BA33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941" w:type="dxa"/>
            <w:vAlign w:val="center"/>
          </w:tcPr>
          <w:p w14:paraId="03B4795D">
            <w:pPr>
              <w:kinsoku/>
              <w:wordWrap/>
              <w:overflowPunct/>
              <w:topLinePunct w:val="0"/>
              <w:bidi w:val="0"/>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3.1.2</w:t>
            </w:r>
          </w:p>
        </w:tc>
        <w:tc>
          <w:tcPr>
            <w:tcW w:w="4046" w:type="dxa"/>
            <w:shd w:val="clear" w:color="auto" w:fill="auto"/>
            <w:vAlign w:val="center"/>
          </w:tcPr>
          <w:p w14:paraId="59597451">
            <w:pPr>
              <w:kinsoku/>
              <w:wordWrap/>
              <w:overflowPunct/>
              <w:topLinePunct w:val="0"/>
              <w:bidi w:val="0"/>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吹干仪</w:t>
            </w:r>
          </w:p>
        </w:tc>
        <w:tc>
          <w:tcPr>
            <w:tcW w:w="1155" w:type="dxa"/>
            <w:shd w:val="clear" w:color="auto" w:fill="auto"/>
            <w:vAlign w:val="center"/>
          </w:tcPr>
          <w:p w14:paraId="6EEA329E">
            <w:pPr>
              <w:kinsoku/>
              <w:wordWrap/>
              <w:overflowPunct/>
              <w:topLinePunct w:val="0"/>
              <w:bidi w:val="0"/>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1套</w:t>
            </w:r>
          </w:p>
        </w:tc>
        <w:tc>
          <w:tcPr>
            <w:tcW w:w="1624" w:type="dxa"/>
            <w:vAlign w:val="center"/>
          </w:tcPr>
          <w:p w14:paraId="156663AE">
            <w:pPr>
              <w:kinsoku/>
              <w:wordWrap/>
              <w:overflowPunct/>
              <w:topLinePunct w:val="0"/>
              <w:bidi w:val="0"/>
              <w:jc w:val="center"/>
              <w:outlineLvl w:val="9"/>
              <w:rPr>
                <w:rFonts w:hint="eastAsia"/>
                <w:color w:val="auto"/>
                <w:szCs w:val="21"/>
                <w:highlight w:val="none"/>
              </w:rPr>
            </w:pPr>
          </w:p>
        </w:tc>
        <w:tc>
          <w:tcPr>
            <w:tcW w:w="1390" w:type="dxa"/>
            <w:vAlign w:val="center"/>
          </w:tcPr>
          <w:p w14:paraId="7DF878AF">
            <w:pPr>
              <w:kinsoku/>
              <w:wordWrap/>
              <w:overflowPunct/>
              <w:topLinePunct w:val="0"/>
              <w:bidi w:val="0"/>
              <w:jc w:val="center"/>
              <w:outlineLvl w:val="9"/>
              <w:rPr>
                <w:rFonts w:hint="eastAsia" w:ascii="宋体" w:hAnsi="宋体" w:cs="宋体"/>
                <w:color w:val="auto"/>
                <w:szCs w:val="21"/>
                <w:highlight w:val="none"/>
              </w:rPr>
            </w:pPr>
          </w:p>
        </w:tc>
      </w:tr>
      <w:tr w14:paraId="1574B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941" w:type="dxa"/>
            <w:vAlign w:val="center"/>
          </w:tcPr>
          <w:p w14:paraId="0C21022E">
            <w:pPr>
              <w:kinsoku/>
              <w:wordWrap/>
              <w:overflowPunct/>
              <w:topLinePunct w:val="0"/>
              <w:bidi w:val="0"/>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3.1.3</w:t>
            </w:r>
          </w:p>
        </w:tc>
        <w:tc>
          <w:tcPr>
            <w:tcW w:w="4046" w:type="dxa"/>
            <w:shd w:val="clear" w:color="auto" w:fill="auto"/>
            <w:vAlign w:val="center"/>
          </w:tcPr>
          <w:p w14:paraId="65ECF590">
            <w:pPr>
              <w:kinsoku/>
              <w:wordWrap/>
              <w:overflowPunct/>
              <w:topLinePunct w:val="0"/>
              <w:bidi w:val="0"/>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涡旋振荡器（</w:t>
            </w:r>
            <w:r>
              <w:rPr>
                <w:rFonts w:hint="eastAsia" w:ascii="宋体" w:hAnsi="宋体" w:cs="宋体"/>
                <w:color w:val="auto"/>
                <w:szCs w:val="21"/>
                <w:highlight w:val="none"/>
                <w:lang w:val="en-US" w:eastAsia="zh-CN"/>
              </w:rPr>
              <w:t>或</w:t>
            </w:r>
            <w:r>
              <w:rPr>
                <w:rFonts w:hint="eastAsia" w:ascii="宋体" w:hAnsi="宋体" w:eastAsia="宋体" w:cs="宋体"/>
                <w:color w:val="auto"/>
                <w:szCs w:val="21"/>
                <w:highlight w:val="none"/>
                <w:lang w:val="en-US" w:eastAsia="zh-CN"/>
              </w:rPr>
              <w:t>多管旋涡混匀仪）</w:t>
            </w:r>
          </w:p>
        </w:tc>
        <w:tc>
          <w:tcPr>
            <w:tcW w:w="1155" w:type="dxa"/>
            <w:shd w:val="clear" w:color="auto" w:fill="auto"/>
            <w:vAlign w:val="center"/>
          </w:tcPr>
          <w:p w14:paraId="17B176FF">
            <w:pPr>
              <w:kinsoku/>
              <w:wordWrap/>
              <w:overflowPunct/>
              <w:topLinePunct w:val="0"/>
              <w:bidi w:val="0"/>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1套</w:t>
            </w:r>
          </w:p>
        </w:tc>
        <w:tc>
          <w:tcPr>
            <w:tcW w:w="1624" w:type="dxa"/>
            <w:vAlign w:val="center"/>
          </w:tcPr>
          <w:p w14:paraId="1C4F7ABA">
            <w:pPr>
              <w:kinsoku/>
              <w:wordWrap/>
              <w:overflowPunct/>
              <w:topLinePunct w:val="0"/>
              <w:bidi w:val="0"/>
              <w:jc w:val="center"/>
              <w:outlineLvl w:val="9"/>
              <w:rPr>
                <w:rFonts w:hint="eastAsia"/>
                <w:color w:val="auto"/>
                <w:szCs w:val="21"/>
                <w:highlight w:val="none"/>
              </w:rPr>
            </w:pPr>
          </w:p>
        </w:tc>
        <w:tc>
          <w:tcPr>
            <w:tcW w:w="1390" w:type="dxa"/>
            <w:vAlign w:val="center"/>
          </w:tcPr>
          <w:p w14:paraId="7D21B604">
            <w:pPr>
              <w:kinsoku/>
              <w:wordWrap/>
              <w:overflowPunct/>
              <w:topLinePunct w:val="0"/>
              <w:bidi w:val="0"/>
              <w:jc w:val="center"/>
              <w:outlineLvl w:val="9"/>
              <w:rPr>
                <w:rFonts w:hint="eastAsia" w:ascii="宋体" w:hAnsi="宋体" w:cs="宋体"/>
                <w:color w:val="auto"/>
                <w:szCs w:val="21"/>
                <w:highlight w:val="none"/>
              </w:rPr>
            </w:pPr>
          </w:p>
        </w:tc>
      </w:tr>
      <w:tr w14:paraId="22F5B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941" w:type="dxa"/>
            <w:vAlign w:val="center"/>
          </w:tcPr>
          <w:p w14:paraId="1DC283D7">
            <w:pPr>
              <w:kinsoku/>
              <w:wordWrap/>
              <w:overflowPunct/>
              <w:topLinePunct w:val="0"/>
              <w:bidi w:val="0"/>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3.1.4</w:t>
            </w:r>
          </w:p>
        </w:tc>
        <w:tc>
          <w:tcPr>
            <w:tcW w:w="4046" w:type="dxa"/>
            <w:shd w:val="clear" w:color="auto" w:fill="auto"/>
            <w:vAlign w:val="center"/>
          </w:tcPr>
          <w:p w14:paraId="5E5ECF59">
            <w:pPr>
              <w:kinsoku/>
              <w:wordWrap/>
              <w:overflowPunct/>
              <w:topLinePunct w:val="0"/>
              <w:bidi w:val="0"/>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微型离心机</w:t>
            </w:r>
          </w:p>
        </w:tc>
        <w:tc>
          <w:tcPr>
            <w:tcW w:w="1155" w:type="dxa"/>
            <w:shd w:val="clear" w:color="auto" w:fill="auto"/>
            <w:vAlign w:val="center"/>
          </w:tcPr>
          <w:p w14:paraId="09FA31AD">
            <w:pPr>
              <w:kinsoku/>
              <w:wordWrap/>
              <w:overflowPunct/>
              <w:topLinePunct w:val="0"/>
              <w:bidi w:val="0"/>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1套</w:t>
            </w:r>
          </w:p>
        </w:tc>
        <w:tc>
          <w:tcPr>
            <w:tcW w:w="1624" w:type="dxa"/>
            <w:vAlign w:val="center"/>
          </w:tcPr>
          <w:p w14:paraId="2C8905CD">
            <w:pPr>
              <w:kinsoku/>
              <w:wordWrap/>
              <w:overflowPunct/>
              <w:topLinePunct w:val="0"/>
              <w:bidi w:val="0"/>
              <w:jc w:val="center"/>
              <w:outlineLvl w:val="9"/>
              <w:rPr>
                <w:rFonts w:hint="eastAsia"/>
                <w:color w:val="auto"/>
                <w:szCs w:val="21"/>
                <w:highlight w:val="none"/>
              </w:rPr>
            </w:pPr>
          </w:p>
        </w:tc>
        <w:tc>
          <w:tcPr>
            <w:tcW w:w="1390" w:type="dxa"/>
            <w:vAlign w:val="center"/>
          </w:tcPr>
          <w:p w14:paraId="68213F2F">
            <w:pPr>
              <w:kinsoku/>
              <w:wordWrap/>
              <w:overflowPunct/>
              <w:topLinePunct w:val="0"/>
              <w:bidi w:val="0"/>
              <w:jc w:val="center"/>
              <w:outlineLvl w:val="9"/>
              <w:rPr>
                <w:rFonts w:hint="eastAsia" w:ascii="宋体" w:hAnsi="宋体" w:cs="宋体"/>
                <w:color w:val="auto"/>
                <w:szCs w:val="21"/>
                <w:highlight w:val="none"/>
              </w:rPr>
            </w:pPr>
          </w:p>
        </w:tc>
      </w:tr>
      <w:tr w14:paraId="6BB96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941" w:type="dxa"/>
            <w:vAlign w:val="center"/>
          </w:tcPr>
          <w:p w14:paraId="596EC509">
            <w:pPr>
              <w:kinsoku/>
              <w:wordWrap/>
              <w:overflowPunct/>
              <w:topLinePunct w:val="0"/>
              <w:bidi w:val="0"/>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3.1.5</w:t>
            </w:r>
          </w:p>
        </w:tc>
        <w:tc>
          <w:tcPr>
            <w:tcW w:w="4046" w:type="dxa"/>
            <w:shd w:val="clear" w:color="auto" w:fill="auto"/>
            <w:vAlign w:val="center"/>
          </w:tcPr>
          <w:p w14:paraId="13CF0DCC">
            <w:pPr>
              <w:kinsoku/>
              <w:wordWrap/>
              <w:overflowPunct/>
              <w:topLinePunct w:val="0"/>
              <w:bidi w:val="0"/>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数显恒温水浴锅</w:t>
            </w:r>
          </w:p>
        </w:tc>
        <w:tc>
          <w:tcPr>
            <w:tcW w:w="1155" w:type="dxa"/>
            <w:shd w:val="clear" w:color="auto" w:fill="auto"/>
            <w:vAlign w:val="center"/>
          </w:tcPr>
          <w:p w14:paraId="2DC3DB14">
            <w:pPr>
              <w:kinsoku/>
              <w:wordWrap/>
              <w:overflowPunct/>
              <w:topLinePunct w:val="0"/>
              <w:bidi w:val="0"/>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1套</w:t>
            </w:r>
          </w:p>
        </w:tc>
        <w:tc>
          <w:tcPr>
            <w:tcW w:w="1624" w:type="dxa"/>
            <w:vAlign w:val="center"/>
          </w:tcPr>
          <w:p w14:paraId="33FE3B3E">
            <w:pPr>
              <w:kinsoku/>
              <w:wordWrap/>
              <w:overflowPunct/>
              <w:topLinePunct w:val="0"/>
              <w:bidi w:val="0"/>
              <w:jc w:val="center"/>
              <w:outlineLvl w:val="9"/>
              <w:rPr>
                <w:rFonts w:hint="eastAsia"/>
                <w:color w:val="auto"/>
                <w:szCs w:val="21"/>
                <w:highlight w:val="none"/>
              </w:rPr>
            </w:pPr>
          </w:p>
        </w:tc>
        <w:tc>
          <w:tcPr>
            <w:tcW w:w="1390" w:type="dxa"/>
            <w:vAlign w:val="center"/>
          </w:tcPr>
          <w:p w14:paraId="45FD18B3">
            <w:pPr>
              <w:kinsoku/>
              <w:wordWrap/>
              <w:overflowPunct/>
              <w:topLinePunct w:val="0"/>
              <w:bidi w:val="0"/>
              <w:jc w:val="center"/>
              <w:outlineLvl w:val="9"/>
              <w:rPr>
                <w:rFonts w:hint="eastAsia" w:ascii="宋体" w:hAnsi="宋体" w:cs="宋体"/>
                <w:color w:val="auto"/>
                <w:szCs w:val="21"/>
                <w:highlight w:val="none"/>
              </w:rPr>
            </w:pPr>
          </w:p>
        </w:tc>
      </w:tr>
      <w:tr w14:paraId="6AAD3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941" w:type="dxa"/>
            <w:vAlign w:val="center"/>
          </w:tcPr>
          <w:p w14:paraId="4E7AA80F">
            <w:pPr>
              <w:kinsoku/>
              <w:wordWrap/>
              <w:overflowPunct/>
              <w:topLinePunct w:val="0"/>
              <w:bidi w:val="0"/>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3.1.6</w:t>
            </w:r>
          </w:p>
        </w:tc>
        <w:tc>
          <w:tcPr>
            <w:tcW w:w="4046" w:type="dxa"/>
            <w:shd w:val="clear" w:color="auto" w:fill="auto"/>
            <w:vAlign w:val="center"/>
          </w:tcPr>
          <w:p w14:paraId="704215E9">
            <w:pPr>
              <w:kinsoku/>
              <w:wordWrap/>
              <w:overflowPunct/>
              <w:topLinePunct w:val="0"/>
              <w:bidi w:val="0"/>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料理机（粉碎机）</w:t>
            </w:r>
          </w:p>
        </w:tc>
        <w:tc>
          <w:tcPr>
            <w:tcW w:w="1155" w:type="dxa"/>
            <w:shd w:val="clear" w:color="auto" w:fill="auto"/>
            <w:vAlign w:val="center"/>
          </w:tcPr>
          <w:p w14:paraId="11A846E8">
            <w:pPr>
              <w:kinsoku/>
              <w:wordWrap/>
              <w:overflowPunct/>
              <w:topLinePunct w:val="0"/>
              <w:bidi w:val="0"/>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1套</w:t>
            </w:r>
          </w:p>
        </w:tc>
        <w:tc>
          <w:tcPr>
            <w:tcW w:w="1624" w:type="dxa"/>
            <w:vAlign w:val="center"/>
          </w:tcPr>
          <w:p w14:paraId="35280CFF">
            <w:pPr>
              <w:kinsoku/>
              <w:wordWrap/>
              <w:overflowPunct/>
              <w:topLinePunct w:val="0"/>
              <w:bidi w:val="0"/>
              <w:jc w:val="center"/>
              <w:outlineLvl w:val="9"/>
              <w:rPr>
                <w:rFonts w:hint="eastAsia"/>
                <w:color w:val="auto"/>
                <w:szCs w:val="21"/>
                <w:highlight w:val="none"/>
              </w:rPr>
            </w:pPr>
          </w:p>
        </w:tc>
        <w:tc>
          <w:tcPr>
            <w:tcW w:w="1390" w:type="dxa"/>
            <w:vAlign w:val="center"/>
          </w:tcPr>
          <w:p w14:paraId="269333E0">
            <w:pPr>
              <w:kinsoku/>
              <w:wordWrap/>
              <w:overflowPunct/>
              <w:topLinePunct w:val="0"/>
              <w:bidi w:val="0"/>
              <w:jc w:val="center"/>
              <w:outlineLvl w:val="9"/>
              <w:rPr>
                <w:rFonts w:hint="eastAsia" w:ascii="宋体" w:hAnsi="宋体" w:cs="宋体"/>
                <w:color w:val="auto"/>
                <w:szCs w:val="21"/>
                <w:highlight w:val="none"/>
              </w:rPr>
            </w:pPr>
          </w:p>
        </w:tc>
      </w:tr>
      <w:tr w14:paraId="504C0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941" w:type="dxa"/>
            <w:vAlign w:val="center"/>
          </w:tcPr>
          <w:p w14:paraId="239CA232">
            <w:pPr>
              <w:kinsoku/>
              <w:wordWrap/>
              <w:overflowPunct/>
              <w:topLinePunct w:val="0"/>
              <w:bidi w:val="0"/>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3.1.7</w:t>
            </w:r>
          </w:p>
        </w:tc>
        <w:tc>
          <w:tcPr>
            <w:tcW w:w="4046" w:type="dxa"/>
            <w:shd w:val="clear" w:color="auto" w:fill="auto"/>
            <w:vAlign w:val="center"/>
          </w:tcPr>
          <w:p w14:paraId="5E5FFFA7">
            <w:pPr>
              <w:kinsoku/>
              <w:wordWrap/>
              <w:overflowPunct/>
              <w:topLinePunct w:val="0"/>
              <w:bidi w:val="0"/>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数显恒温磁力搅拌器</w:t>
            </w:r>
          </w:p>
        </w:tc>
        <w:tc>
          <w:tcPr>
            <w:tcW w:w="1155" w:type="dxa"/>
            <w:shd w:val="clear" w:color="auto" w:fill="auto"/>
            <w:vAlign w:val="center"/>
          </w:tcPr>
          <w:p w14:paraId="43A920B6">
            <w:pPr>
              <w:kinsoku/>
              <w:wordWrap/>
              <w:overflowPunct/>
              <w:topLinePunct w:val="0"/>
              <w:bidi w:val="0"/>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1套</w:t>
            </w:r>
          </w:p>
        </w:tc>
        <w:tc>
          <w:tcPr>
            <w:tcW w:w="1624" w:type="dxa"/>
            <w:vAlign w:val="center"/>
          </w:tcPr>
          <w:p w14:paraId="64F4725B">
            <w:pPr>
              <w:kinsoku/>
              <w:wordWrap/>
              <w:overflowPunct/>
              <w:topLinePunct w:val="0"/>
              <w:bidi w:val="0"/>
              <w:jc w:val="center"/>
              <w:outlineLvl w:val="9"/>
              <w:rPr>
                <w:rFonts w:hint="eastAsia"/>
                <w:color w:val="auto"/>
                <w:szCs w:val="21"/>
                <w:highlight w:val="none"/>
              </w:rPr>
            </w:pPr>
          </w:p>
        </w:tc>
        <w:tc>
          <w:tcPr>
            <w:tcW w:w="1390" w:type="dxa"/>
            <w:vAlign w:val="center"/>
          </w:tcPr>
          <w:p w14:paraId="059A091A">
            <w:pPr>
              <w:kinsoku/>
              <w:wordWrap/>
              <w:overflowPunct/>
              <w:topLinePunct w:val="0"/>
              <w:bidi w:val="0"/>
              <w:jc w:val="center"/>
              <w:outlineLvl w:val="9"/>
              <w:rPr>
                <w:rFonts w:hint="eastAsia" w:ascii="宋体" w:hAnsi="宋体" w:cs="宋体"/>
                <w:color w:val="auto"/>
                <w:szCs w:val="21"/>
                <w:highlight w:val="none"/>
              </w:rPr>
            </w:pPr>
          </w:p>
        </w:tc>
      </w:tr>
      <w:tr w14:paraId="0C333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941" w:type="dxa"/>
            <w:vAlign w:val="center"/>
          </w:tcPr>
          <w:p w14:paraId="2A9BDDC1">
            <w:pPr>
              <w:kinsoku/>
              <w:wordWrap/>
              <w:overflowPunct/>
              <w:topLinePunct w:val="0"/>
              <w:bidi w:val="0"/>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3.1.8</w:t>
            </w:r>
          </w:p>
        </w:tc>
        <w:tc>
          <w:tcPr>
            <w:tcW w:w="4046" w:type="dxa"/>
            <w:shd w:val="clear" w:color="auto" w:fill="auto"/>
            <w:vAlign w:val="center"/>
          </w:tcPr>
          <w:p w14:paraId="73096370">
            <w:pPr>
              <w:kinsoku/>
              <w:wordWrap/>
              <w:overflowPunct/>
              <w:topLinePunct w:val="0"/>
              <w:bidi w:val="0"/>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电子天平</w:t>
            </w:r>
          </w:p>
        </w:tc>
        <w:tc>
          <w:tcPr>
            <w:tcW w:w="1155" w:type="dxa"/>
            <w:shd w:val="clear" w:color="auto" w:fill="auto"/>
            <w:vAlign w:val="center"/>
          </w:tcPr>
          <w:p w14:paraId="38A84E2B">
            <w:pPr>
              <w:kinsoku/>
              <w:wordWrap/>
              <w:overflowPunct/>
              <w:topLinePunct w:val="0"/>
              <w:bidi w:val="0"/>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1台</w:t>
            </w:r>
          </w:p>
        </w:tc>
        <w:tc>
          <w:tcPr>
            <w:tcW w:w="1624" w:type="dxa"/>
            <w:vAlign w:val="center"/>
          </w:tcPr>
          <w:p w14:paraId="31875774">
            <w:pPr>
              <w:kinsoku/>
              <w:wordWrap/>
              <w:overflowPunct/>
              <w:topLinePunct w:val="0"/>
              <w:bidi w:val="0"/>
              <w:jc w:val="center"/>
              <w:outlineLvl w:val="9"/>
              <w:rPr>
                <w:rFonts w:hint="eastAsia"/>
                <w:color w:val="auto"/>
                <w:szCs w:val="21"/>
                <w:highlight w:val="none"/>
              </w:rPr>
            </w:pPr>
          </w:p>
        </w:tc>
        <w:tc>
          <w:tcPr>
            <w:tcW w:w="1390" w:type="dxa"/>
            <w:vAlign w:val="center"/>
          </w:tcPr>
          <w:p w14:paraId="5796377F">
            <w:pPr>
              <w:kinsoku/>
              <w:wordWrap/>
              <w:overflowPunct/>
              <w:topLinePunct w:val="0"/>
              <w:bidi w:val="0"/>
              <w:jc w:val="center"/>
              <w:outlineLvl w:val="9"/>
              <w:rPr>
                <w:rFonts w:hint="eastAsia" w:ascii="宋体" w:hAnsi="宋体" w:cs="宋体"/>
                <w:color w:val="auto"/>
                <w:szCs w:val="21"/>
                <w:highlight w:val="none"/>
              </w:rPr>
            </w:pPr>
          </w:p>
        </w:tc>
      </w:tr>
      <w:tr w14:paraId="3DC58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941" w:type="dxa"/>
            <w:vAlign w:val="center"/>
          </w:tcPr>
          <w:p w14:paraId="6CAFB484">
            <w:pPr>
              <w:kinsoku/>
              <w:wordWrap/>
              <w:overflowPunct/>
              <w:topLinePunct w:val="0"/>
              <w:bidi w:val="0"/>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3.1.9</w:t>
            </w:r>
          </w:p>
        </w:tc>
        <w:tc>
          <w:tcPr>
            <w:tcW w:w="4046" w:type="dxa"/>
            <w:shd w:val="clear" w:color="auto" w:fill="auto"/>
            <w:vAlign w:val="center"/>
          </w:tcPr>
          <w:p w14:paraId="1B2FFD01">
            <w:pPr>
              <w:kinsoku/>
              <w:wordWrap/>
              <w:overflowPunct/>
              <w:topLinePunct w:val="0"/>
              <w:bidi w:val="0"/>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磁力搅拌器</w:t>
            </w:r>
          </w:p>
        </w:tc>
        <w:tc>
          <w:tcPr>
            <w:tcW w:w="1155" w:type="dxa"/>
            <w:shd w:val="clear" w:color="auto" w:fill="auto"/>
            <w:vAlign w:val="center"/>
          </w:tcPr>
          <w:p w14:paraId="1574D414">
            <w:pPr>
              <w:kinsoku/>
              <w:wordWrap/>
              <w:overflowPunct/>
              <w:topLinePunct w:val="0"/>
              <w:bidi w:val="0"/>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1套</w:t>
            </w:r>
          </w:p>
        </w:tc>
        <w:tc>
          <w:tcPr>
            <w:tcW w:w="1624" w:type="dxa"/>
            <w:vAlign w:val="center"/>
          </w:tcPr>
          <w:p w14:paraId="13CEAC0D">
            <w:pPr>
              <w:kinsoku/>
              <w:wordWrap/>
              <w:overflowPunct/>
              <w:topLinePunct w:val="0"/>
              <w:bidi w:val="0"/>
              <w:jc w:val="center"/>
              <w:outlineLvl w:val="9"/>
              <w:rPr>
                <w:rFonts w:hint="eastAsia"/>
                <w:color w:val="auto"/>
                <w:szCs w:val="21"/>
                <w:highlight w:val="none"/>
              </w:rPr>
            </w:pPr>
          </w:p>
        </w:tc>
        <w:tc>
          <w:tcPr>
            <w:tcW w:w="1390" w:type="dxa"/>
            <w:vAlign w:val="center"/>
          </w:tcPr>
          <w:p w14:paraId="087B2824">
            <w:pPr>
              <w:kinsoku/>
              <w:wordWrap/>
              <w:overflowPunct/>
              <w:topLinePunct w:val="0"/>
              <w:bidi w:val="0"/>
              <w:jc w:val="center"/>
              <w:outlineLvl w:val="9"/>
              <w:rPr>
                <w:rFonts w:hint="eastAsia" w:ascii="宋体" w:hAnsi="宋体" w:cs="宋体"/>
                <w:color w:val="auto"/>
                <w:szCs w:val="21"/>
                <w:highlight w:val="none"/>
              </w:rPr>
            </w:pPr>
          </w:p>
        </w:tc>
      </w:tr>
      <w:tr w14:paraId="5075F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941" w:type="dxa"/>
            <w:vAlign w:val="center"/>
          </w:tcPr>
          <w:p w14:paraId="24FBF24F">
            <w:pPr>
              <w:kinsoku/>
              <w:wordWrap/>
              <w:overflowPunct/>
              <w:topLinePunct w:val="0"/>
              <w:bidi w:val="0"/>
              <w:jc w:val="center"/>
              <w:outlineLvl w:val="9"/>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3.1.10</w:t>
            </w:r>
          </w:p>
        </w:tc>
        <w:tc>
          <w:tcPr>
            <w:tcW w:w="4046" w:type="dxa"/>
            <w:shd w:val="clear" w:color="auto" w:fill="auto"/>
            <w:vAlign w:val="center"/>
          </w:tcPr>
          <w:p w14:paraId="680CFBBA">
            <w:pPr>
              <w:kinsoku/>
              <w:wordWrap/>
              <w:overflowPunct/>
              <w:topLinePunct w:val="0"/>
              <w:bidi w:val="0"/>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高清摄像头</w:t>
            </w:r>
          </w:p>
        </w:tc>
        <w:tc>
          <w:tcPr>
            <w:tcW w:w="1155" w:type="dxa"/>
            <w:shd w:val="clear" w:color="auto" w:fill="auto"/>
            <w:vAlign w:val="center"/>
          </w:tcPr>
          <w:p w14:paraId="01A4D3B8">
            <w:pPr>
              <w:kinsoku/>
              <w:wordWrap/>
              <w:overflowPunct/>
              <w:topLinePunct w:val="0"/>
              <w:bidi w:val="0"/>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1套</w:t>
            </w:r>
          </w:p>
        </w:tc>
        <w:tc>
          <w:tcPr>
            <w:tcW w:w="1624" w:type="dxa"/>
            <w:vAlign w:val="center"/>
          </w:tcPr>
          <w:p w14:paraId="66B7A8BF">
            <w:pPr>
              <w:kinsoku/>
              <w:wordWrap/>
              <w:overflowPunct/>
              <w:topLinePunct w:val="0"/>
              <w:bidi w:val="0"/>
              <w:jc w:val="center"/>
              <w:outlineLvl w:val="9"/>
              <w:rPr>
                <w:rFonts w:hint="eastAsia"/>
                <w:color w:val="auto"/>
                <w:szCs w:val="21"/>
                <w:highlight w:val="none"/>
              </w:rPr>
            </w:pPr>
          </w:p>
        </w:tc>
        <w:tc>
          <w:tcPr>
            <w:tcW w:w="1390" w:type="dxa"/>
            <w:vAlign w:val="center"/>
          </w:tcPr>
          <w:p w14:paraId="023D6E3D">
            <w:pPr>
              <w:kinsoku/>
              <w:wordWrap/>
              <w:overflowPunct/>
              <w:topLinePunct w:val="0"/>
              <w:bidi w:val="0"/>
              <w:jc w:val="center"/>
              <w:outlineLvl w:val="9"/>
              <w:rPr>
                <w:rFonts w:hint="eastAsia" w:ascii="宋体" w:hAnsi="宋体" w:cs="宋体"/>
                <w:color w:val="auto"/>
                <w:szCs w:val="21"/>
                <w:highlight w:val="none"/>
              </w:rPr>
            </w:pPr>
          </w:p>
        </w:tc>
      </w:tr>
      <w:tr w14:paraId="375CA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941" w:type="dxa"/>
            <w:vAlign w:val="center"/>
          </w:tcPr>
          <w:p w14:paraId="16DA3DE8">
            <w:pPr>
              <w:kinsoku/>
              <w:wordWrap/>
              <w:overflowPunct/>
              <w:topLinePunct w:val="0"/>
              <w:bidi w:val="0"/>
              <w:jc w:val="center"/>
              <w:outlineLvl w:val="9"/>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3.1.11</w:t>
            </w:r>
          </w:p>
        </w:tc>
        <w:tc>
          <w:tcPr>
            <w:tcW w:w="4046" w:type="dxa"/>
            <w:shd w:val="clear" w:color="auto" w:fill="auto"/>
            <w:vAlign w:val="center"/>
          </w:tcPr>
          <w:p w14:paraId="728E80EC">
            <w:pPr>
              <w:kinsoku/>
              <w:wordWrap/>
              <w:overflowPunct/>
              <w:topLinePunct w:val="0"/>
              <w:bidi w:val="0"/>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清洗</w:t>
            </w:r>
            <w:r>
              <w:rPr>
                <w:rFonts w:hint="eastAsia" w:ascii="宋体" w:hAnsi="宋体" w:cs="宋体"/>
                <w:color w:val="auto"/>
                <w:szCs w:val="21"/>
                <w:highlight w:val="none"/>
                <w:lang w:val="en-US" w:eastAsia="zh-CN"/>
              </w:rPr>
              <w:t>水槽</w:t>
            </w:r>
          </w:p>
        </w:tc>
        <w:tc>
          <w:tcPr>
            <w:tcW w:w="1155" w:type="dxa"/>
            <w:shd w:val="clear" w:color="auto" w:fill="auto"/>
            <w:vAlign w:val="center"/>
          </w:tcPr>
          <w:p w14:paraId="4D17C355">
            <w:pPr>
              <w:kinsoku/>
              <w:wordWrap/>
              <w:overflowPunct/>
              <w:topLinePunct w:val="0"/>
              <w:bidi w:val="0"/>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1套</w:t>
            </w:r>
          </w:p>
        </w:tc>
        <w:tc>
          <w:tcPr>
            <w:tcW w:w="1624" w:type="dxa"/>
            <w:vAlign w:val="center"/>
          </w:tcPr>
          <w:p w14:paraId="63AE04BB">
            <w:pPr>
              <w:kinsoku/>
              <w:wordWrap/>
              <w:overflowPunct/>
              <w:topLinePunct w:val="0"/>
              <w:bidi w:val="0"/>
              <w:jc w:val="center"/>
              <w:outlineLvl w:val="9"/>
              <w:rPr>
                <w:rFonts w:hint="eastAsia"/>
                <w:color w:val="auto"/>
                <w:szCs w:val="21"/>
                <w:highlight w:val="none"/>
              </w:rPr>
            </w:pPr>
          </w:p>
        </w:tc>
        <w:tc>
          <w:tcPr>
            <w:tcW w:w="1390" w:type="dxa"/>
            <w:vAlign w:val="center"/>
          </w:tcPr>
          <w:p w14:paraId="59CD29A2">
            <w:pPr>
              <w:kinsoku/>
              <w:wordWrap/>
              <w:overflowPunct/>
              <w:topLinePunct w:val="0"/>
              <w:bidi w:val="0"/>
              <w:jc w:val="center"/>
              <w:outlineLvl w:val="9"/>
              <w:rPr>
                <w:rFonts w:hint="eastAsia" w:ascii="宋体" w:hAnsi="宋体" w:cs="宋体"/>
                <w:color w:val="auto"/>
                <w:szCs w:val="21"/>
                <w:highlight w:val="none"/>
              </w:rPr>
            </w:pPr>
          </w:p>
        </w:tc>
      </w:tr>
      <w:tr w14:paraId="2DEBF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941" w:type="dxa"/>
            <w:vAlign w:val="center"/>
          </w:tcPr>
          <w:p w14:paraId="577A763A">
            <w:pPr>
              <w:kinsoku/>
              <w:wordWrap/>
              <w:overflowPunct/>
              <w:topLinePunct w:val="0"/>
              <w:bidi w:val="0"/>
              <w:jc w:val="center"/>
              <w:outlineLvl w:val="9"/>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3.1.12</w:t>
            </w:r>
          </w:p>
        </w:tc>
        <w:tc>
          <w:tcPr>
            <w:tcW w:w="4046" w:type="dxa"/>
            <w:shd w:val="clear" w:color="auto" w:fill="auto"/>
            <w:vAlign w:val="center"/>
          </w:tcPr>
          <w:p w14:paraId="49B603D6">
            <w:pPr>
              <w:kinsoku/>
              <w:wordWrap/>
              <w:overflowPunct/>
              <w:topLinePunct w:val="0"/>
              <w:bidi w:val="0"/>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台式离心机</w:t>
            </w:r>
          </w:p>
        </w:tc>
        <w:tc>
          <w:tcPr>
            <w:tcW w:w="1155" w:type="dxa"/>
            <w:shd w:val="clear" w:color="auto" w:fill="auto"/>
            <w:vAlign w:val="center"/>
          </w:tcPr>
          <w:p w14:paraId="6EF86E98">
            <w:pPr>
              <w:kinsoku/>
              <w:wordWrap/>
              <w:overflowPunct/>
              <w:topLinePunct w:val="0"/>
              <w:bidi w:val="0"/>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1套</w:t>
            </w:r>
          </w:p>
        </w:tc>
        <w:tc>
          <w:tcPr>
            <w:tcW w:w="1624" w:type="dxa"/>
            <w:vAlign w:val="center"/>
          </w:tcPr>
          <w:p w14:paraId="64B86121">
            <w:pPr>
              <w:kinsoku/>
              <w:wordWrap/>
              <w:overflowPunct/>
              <w:topLinePunct w:val="0"/>
              <w:bidi w:val="0"/>
              <w:jc w:val="center"/>
              <w:outlineLvl w:val="9"/>
              <w:rPr>
                <w:rFonts w:hint="eastAsia"/>
                <w:color w:val="auto"/>
                <w:szCs w:val="21"/>
                <w:highlight w:val="none"/>
              </w:rPr>
            </w:pPr>
          </w:p>
        </w:tc>
        <w:tc>
          <w:tcPr>
            <w:tcW w:w="1390" w:type="dxa"/>
            <w:vAlign w:val="center"/>
          </w:tcPr>
          <w:p w14:paraId="10BB8EB0">
            <w:pPr>
              <w:kinsoku/>
              <w:wordWrap/>
              <w:overflowPunct/>
              <w:topLinePunct w:val="0"/>
              <w:bidi w:val="0"/>
              <w:jc w:val="center"/>
              <w:outlineLvl w:val="9"/>
              <w:rPr>
                <w:rFonts w:hint="eastAsia" w:ascii="宋体" w:hAnsi="宋体" w:cs="宋体"/>
                <w:color w:val="auto"/>
                <w:szCs w:val="21"/>
                <w:highlight w:val="none"/>
              </w:rPr>
            </w:pPr>
          </w:p>
        </w:tc>
      </w:tr>
      <w:tr w14:paraId="3EC23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941" w:type="dxa"/>
            <w:vAlign w:val="center"/>
          </w:tcPr>
          <w:p w14:paraId="0FD72285">
            <w:pPr>
              <w:kinsoku/>
              <w:wordWrap/>
              <w:overflowPunct/>
              <w:topLinePunct w:val="0"/>
              <w:bidi w:val="0"/>
              <w:jc w:val="center"/>
              <w:outlineLvl w:val="9"/>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3.1.13</w:t>
            </w:r>
          </w:p>
        </w:tc>
        <w:tc>
          <w:tcPr>
            <w:tcW w:w="4046" w:type="dxa"/>
            <w:shd w:val="clear" w:color="auto" w:fill="auto"/>
            <w:vAlign w:val="center"/>
          </w:tcPr>
          <w:p w14:paraId="0F2B4D6F">
            <w:pPr>
              <w:kinsoku/>
              <w:wordWrap/>
              <w:overflowPunct/>
              <w:topLinePunct w:val="0"/>
              <w:bidi w:val="0"/>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工作站</w:t>
            </w:r>
          </w:p>
        </w:tc>
        <w:tc>
          <w:tcPr>
            <w:tcW w:w="1155" w:type="dxa"/>
            <w:shd w:val="clear" w:color="auto" w:fill="auto"/>
            <w:vAlign w:val="center"/>
          </w:tcPr>
          <w:p w14:paraId="50BBB6E5">
            <w:pPr>
              <w:kinsoku/>
              <w:wordWrap/>
              <w:overflowPunct/>
              <w:topLinePunct w:val="0"/>
              <w:bidi w:val="0"/>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1套</w:t>
            </w:r>
          </w:p>
        </w:tc>
        <w:tc>
          <w:tcPr>
            <w:tcW w:w="1624" w:type="dxa"/>
            <w:vAlign w:val="center"/>
          </w:tcPr>
          <w:p w14:paraId="35EB455E">
            <w:pPr>
              <w:kinsoku/>
              <w:wordWrap/>
              <w:overflowPunct/>
              <w:topLinePunct w:val="0"/>
              <w:bidi w:val="0"/>
              <w:jc w:val="center"/>
              <w:outlineLvl w:val="9"/>
              <w:rPr>
                <w:rFonts w:hint="eastAsia"/>
                <w:color w:val="auto"/>
                <w:szCs w:val="21"/>
                <w:highlight w:val="none"/>
              </w:rPr>
            </w:pPr>
          </w:p>
        </w:tc>
        <w:tc>
          <w:tcPr>
            <w:tcW w:w="1390" w:type="dxa"/>
            <w:vAlign w:val="center"/>
          </w:tcPr>
          <w:p w14:paraId="5F9CDE3E">
            <w:pPr>
              <w:kinsoku/>
              <w:wordWrap/>
              <w:overflowPunct/>
              <w:topLinePunct w:val="0"/>
              <w:bidi w:val="0"/>
              <w:jc w:val="center"/>
              <w:outlineLvl w:val="9"/>
              <w:rPr>
                <w:rFonts w:hint="eastAsia" w:ascii="宋体" w:hAnsi="宋体" w:cs="宋体"/>
                <w:color w:val="auto"/>
                <w:szCs w:val="21"/>
                <w:highlight w:val="none"/>
              </w:rPr>
            </w:pPr>
          </w:p>
        </w:tc>
      </w:tr>
      <w:tr w14:paraId="3E5CF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941" w:type="dxa"/>
            <w:vAlign w:val="center"/>
          </w:tcPr>
          <w:p w14:paraId="2B2444F3">
            <w:pPr>
              <w:kinsoku/>
              <w:wordWrap/>
              <w:overflowPunct/>
              <w:topLinePunct w:val="0"/>
              <w:bidi w:val="0"/>
              <w:jc w:val="center"/>
              <w:outlineLvl w:val="9"/>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3.1.14</w:t>
            </w:r>
          </w:p>
        </w:tc>
        <w:tc>
          <w:tcPr>
            <w:tcW w:w="4046" w:type="dxa"/>
            <w:shd w:val="clear" w:color="auto" w:fill="auto"/>
            <w:vAlign w:val="center"/>
          </w:tcPr>
          <w:p w14:paraId="2024CEF7">
            <w:pPr>
              <w:kinsoku/>
              <w:wordWrap/>
              <w:overflowPunct/>
              <w:topLinePunct w:val="0"/>
              <w:bidi w:val="0"/>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冰箱</w:t>
            </w:r>
          </w:p>
        </w:tc>
        <w:tc>
          <w:tcPr>
            <w:tcW w:w="1155" w:type="dxa"/>
            <w:shd w:val="clear" w:color="auto" w:fill="auto"/>
            <w:vAlign w:val="center"/>
          </w:tcPr>
          <w:p w14:paraId="4B681C24">
            <w:pPr>
              <w:kinsoku/>
              <w:wordWrap/>
              <w:overflowPunct/>
              <w:topLinePunct w:val="0"/>
              <w:bidi w:val="0"/>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2个</w:t>
            </w:r>
          </w:p>
        </w:tc>
        <w:tc>
          <w:tcPr>
            <w:tcW w:w="1624" w:type="dxa"/>
            <w:vAlign w:val="center"/>
          </w:tcPr>
          <w:p w14:paraId="5F9DEE6F">
            <w:pPr>
              <w:kinsoku/>
              <w:wordWrap/>
              <w:overflowPunct/>
              <w:topLinePunct w:val="0"/>
              <w:bidi w:val="0"/>
              <w:jc w:val="center"/>
              <w:outlineLvl w:val="9"/>
              <w:rPr>
                <w:rFonts w:hint="eastAsia"/>
                <w:color w:val="auto"/>
                <w:szCs w:val="21"/>
                <w:highlight w:val="none"/>
              </w:rPr>
            </w:pPr>
          </w:p>
        </w:tc>
        <w:tc>
          <w:tcPr>
            <w:tcW w:w="1390" w:type="dxa"/>
            <w:vAlign w:val="center"/>
          </w:tcPr>
          <w:p w14:paraId="0B92781B">
            <w:pPr>
              <w:kinsoku/>
              <w:wordWrap/>
              <w:overflowPunct/>
              <w:topLinePunct w:val="0"/>
              <w:bidi w:val="0"/>
              <w:jc w:val="center"/>
              <w:outlineLvl w:val="9"/>
              <w:rPr>
                <w:rFonts w:hint="eastAsia" w:ascii="宋体" w:hAnsi="宋体" w:cs="宋体"/>
                <w:color w:val="auto"/>
                <w:szCs w:val="21"/>
                <w:highlight w:val="none"/>
              </w:rPr>
            </w:pPr>
          </w:p>
        </w:tc>
      </w:tr>
      <w:tr w14:paraId="48DEF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941" w:type="dxa"/>
            <w:vAlign w:val="center"/>
          </w:tcPr>
          <w:p w14:paraId="4A0EC4E4">
            <w:pPr>
              <w:kinsoku/>
              <w:wordWrap/>
              <w:overflowPunct/>
              <w:topLinePunct w:val="0"/>
              <w:bidi w:val="0"/>
              <w:jc w:val="center"/>
              <w:outlineLvl w:val="9"/>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3.1.15</w:t>
            </w:r>
          </w:p>
        </w:tc>
        <w:tc>
          <w:tcPr>
            <w:tcW w:w="4046" w:type="dxa"/>
            <w:shd w:val="clear" w:color="auto" w:fill="auto"/>
            <w:vAlign w:val="center"/>
          </w:tcPr>
          <w:p w14:paraId="1FF70105">
            <w:pPr>
              <w:kinsoku/>
              <w:wordWrap/>
              <w:overflowPunct/>
              <w:topLinePunct w:val="0"/>
              <w:bidi w:val="0"/>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实验操作台</w:t>
            </w:r>
          </w:p>
        </w:tc>
        <w:tc>
          <w:tcPr>
            <w:tcW w:w="1155" w:type="dxa"/>
            <w:shd w:val="clear" w:color="auto" w:fill="auto"/>
            <w:vAlign w:val="center"/>
          </w:tcPr>
          <w:p w14:paraId="2A41F239">
            <w:pPr>
              <w:kinsoku/>
              <w:wordWrap/>
              <w:overflowPunct/>
              <w:topLinePunct w:val="0"/>
              <w:bidi w:val="0"/>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1套</w:t>
            </w:r>
          </w:p>
        </w:tc>
        <w:tc>
          <w:tcPr>
            <w:tcW w:w="1624" w:type="dxa"/>
            <w:vAlign w:val="center"/>
          </w:tcPr>
          <w:p w14:paraId="03322472">
            <w:pPr>
              <w:kinsoku/>
              <w:wordWrap/>
              <w:overflowPunct/>
              <w:topLinePunct w:val="0"/>
              <w:bidi w:val="0"/>
              <w:jc w:val="center"/>
              <w:outlineLvl w:val="9"/>
              <w:rPr>
                <w:rFonts w:hint="eastAsia"/>
                <w:color w:val="auto"/>
                <w:szCs w:val="21"/>
                <w:highlight w:val="none"/>
              </w:rPr>
            </w:pPr>
          </w:p>
        </w:tc>
        <w:tc>
          <w:tcPr>
            <w:tcW w:w="1390" w:type="dxa"/>
            <w:vAlign w:val="center"/>
          </w:tcPr>
          <w:p w14:paraId="2C303BBC">
            <w:pPr>
              <w:kinsoku/>
              <w:wordWrap/>
              <w:overflowPunct/>
              <w:topLinePunct w:val="0"/>
              <w:bidi w:val="0"/>
              <w:jc w:val="center"/>
              <w:outlineLvl w:val="9"/>
              <w:rPr>
                <w:rFonts w:hint="eastAsia" w:ascii="宋体" w:hAnsi="宋体" w:cs="宋体"/>
                <w:color w:val="auto"/>
                <w:szCs w:val="21"/>
                <w:highlight w:val="none"/>
              </w:rPr>
            </w:pPr>
          </w:p>
        </w:tc>
      </w:tr>
      <w:tr w14:paraId="09577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941" w:type="dxa"/>
            <w:vAlign w:val="center"/>
          </w:tcPr>
          <w:p w14:paraId="23E19E39">
            <w:pPr>
              <w:kinsoku/>
              <w:wordWrap/>
              <w:overflowPunct/>
              <w:topLinePunct w:val="0"/>
              <w:bidi w:val="0"/>
              <w:jc w:val="center"/>
              <w:outlineLvl w:val="9"/>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3.1.16</w:t>
            </w:r>
          </w:p>
        </w:tc>
        <w:tc>
          <w:tcPr>
            <w:tcW w:w="4046" w:type="dxa"/>
            <w:shd w:val="clear" w:color="auto" w:fill="auto"/>
            <w:vAlign w:val="center"/>
          </w:tcPr>
          <w:p w14:paraId="75D7B3CB">
            <w:pPr>
              <w:kinsoku/>
              <w:wordWrap/>
              <w:overflowPunct/>
              <w:topLinePunct w:val="0"/>
              <w:bidi w:val="0"/>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通风柜（如因场地的</w:t>
            </w:r>
            <w:r>
              <w:rPr>
                <w:rFonts w:hint="eastAsia" w:ascii="宋体" w:hAnsi="宋体" w:cs="宋体"/>
                <w:color w:val="auto"/>
                <w:szCs w:val="21"/>
                <w:highlight w:val="none"/>
                <w:lang w:val="en-US" w:eastAsia="zh-CN"/>
              </w:rPr>
              <w:t>原因</w:t>
            </w:r>
            <w:r>
              <w:rPr>
                <w:rFonts w:hint="eastAsia" w:ascii="宋体" w:hAnsi="宋体" w:eastAsia="宋体" w:cs="宋体"/>
                <w:color w:val="auto"/>
                <w:szCs w:val="21"/>
                <w:highlight w:val="none"/>
                <w:lang w:val="en-US" w:eastAsia="zh-CN"/>
              </w:rPr>
              <w:t>可选择万向抽气罩）</w:t>
            </w:r>
          </w:p>
        </w:tc>
        <w:tc>
          <w:tcPr>
            <w:tcW w:w="1155" w:type="dxa"/>
            <w:shd w:val="clear" w:color="auto" w:fill="auto"/>
            <w:vAlign w:val="center"/>
          </w:tcPr>
          <w:p w14:paraId="07BF559F">
            <w:pPr>
              <w:kinsoku/>
              <w:wordWrap/>
              <w:overflowPunct/>
              <w:topLinePunct w:val="0"/>
              <w:bidi w:val="0"/>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1套</w:t>
            </w:r>
          </w:p>
        </w:tc>
        <w:tc>
          <w:tcPr>
            <w:tcW w:w="1624" w:type="dxa"/>
            <w:vAlign w:val="center"/>
          </w:tcPr>
          <w:p w14:paraId="30D2D5A7">
            <w:pPr>
              <w:kinsoku/>
              <w:wordWrap/>
              <w:overflowPunct/>
              <w:topLinePunct w:val="0"/>
              <w:bidi w:val="0"/>
              <w:jc w:val="center"/>
              <w:outlineLvl w:val="9"/>
              <w:rPr>
                <w:rFonts w:hint="eastAsia"/>
                <w:color w:val="auto"/>
                <w:szCs w:val="21"/>
                <w:highlight w:val="none"/>
              </w:rPr>
            </w:pPr>
          </w:p>
        </w:tc>
        <w:tc>
          <w:tcPr>
            <w:tcW w:w="1390" w:type="dxa"/>
            <w:vAlign w:val="center"/>
          </w:tcPr>
          <w:p w14:paraId="7EB132BD">
            <w:pPr>
              <w:kinsoku/>
              <w:wordWrap/>
              <w:overflowPunct/>
              <w:topLinePunct w:val="0"/>
              <w:bidi w:val="0"/>
              <w:jc w:val="center"/>
              <w:outlineLvl w:val="9"/>
              <w:rPr>
                <w:rFonts w:hint="eastAsia" w:ascii="宋体" w:hAnsi="宋体" w:cs="宋体"/>
                <w:color w:val="auto"/>
                <w:szCs w:val="21"/>
                <w:highlight w:val="none"/>
              </w:rPr>
            </w:pPr>
          </w:p>
        </w:tc>
      </w:tr>
      <w:tr w14:paraId="3216D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941" w:type="dxa"/>
            <w:vAlign w:val="center"/>
          </w:tcPr>
          <w:p w14:paraId="77F961D7">
            <w:pPr>
              <w:kinsoku/>
              <w:wordWrap/>
              <w:overflowPunct/>
              <w:topLinePunct w:val="0"/>
              <w:bidi w:val="0"/>
              <w:jc w:val="center"/>
              <w:outlineLvl w:val="9"/>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3.1.17</w:t>
            </w:r>
          </w:p>
        </w:tc>
        <w:tc>
          <w:tcPr>
            <w:tcW w:w="4046" w:type="dxa"/>
            <w:shd w:val="clear" w:color="auto" w:fill="auto"/>
            <w:vAlign w:val="center"/>
          </w:tcPr>
          <w:p w14:paraId="11773BD9">
            <w:pPr>
              <w:kinsoku/>
              <w:wordWrap/>
              <w:overflowPunct/>
              <w:topLinePunct w:val="0"/>
              <w:bidi w:val="0"/>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垃圾桶</w:t>
            </w:r>
          </w:p>
        </w:tc>
        <w:tc>
          <w:tcPr>
            <w:tcW w:w="1155" w:type="dxa"/>
            <w:shd w:val="clear" w:color="auto" w:fill="auto"/>
            <w:vAlign w:val="center"/>
          </w:tcPr>
          <w:p w14:paraId="7CA37321">
            <w:pPr>
              <w:kinsoku/>
              <w:wordWrap/>
              <w:overflowPunct/>
              <w:topLinePunct w:val="0"/>
              <w:bidi w:val="0"/>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1个</w:t>
            </w:r>
          </w:p>
        </w:tc>
        <w:tc>
          <w:tcPr>
            <w:tcW w:w="1624" w:type="dxa"/>
            <w:vAlign w:val="center"/>
          </w:tcPr>
          <w:p w14:paraId="6DC19AFA">
            <w:pPr>
              <w:kinsoku/>
              <w:wordWrap/>
              <w:overflowPunct/>
              <w:topLinePunct w:val="0"/>
              <w:bidi w:val="0"/>
              <w:jc w:val="center"/>
              <w:outlineLvl w:val="9"/>
              <w:rPr>
                <w:rFonts w:hint="eastAsia"/>
                <w:color w:val="auto"/>
                <w:szCs w:val="21"/>
                <w:highlight w:val="none"/>
              </w:rPr>
            </w:pPr>
          </w:p>
        </w:tc>
        <w:tc>
          <w:tcPr>
            <w:tcW w:w="1390" w:type="dxa"/>
            <w:vAlign w:val="center"/>
          </w:tcPr>
          <w:p w14:paraId="2B529DAC">
            <w:pPr>
              <w:kinsoku/>
              <w:wordWrap/>
              <w:overflowPunct/>
              <w:topLinePunct w:val="0"/>
              <w:bidi w:val="0"/>
              <w:jc w:val="center"/>
              <w:outlineLvl w:val="9"/>
              <w:rPr>
                <w:rFonts w:hint="eastAsia" w:ascii="宋体" w:hAnsi="宋体" w:cs="宋体"/>
                <w:color w:val="auto"/>
                <w:szCs w:val="21"/>
                <w:highlight w:val="none"/>
              </w:rPr>
            </w:pPr>
          </w:p>
        </w:tc>
      </w:tr>
      <w:tr w14:paraId="6763A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941" w:type="dxa"/>
            <w:vAlign w:val="center"/>
          </w:tcPr>
          <w:p w14:paraId="530F30AD">
            <w:pPr>
              <w:kinsoku/>
              <w:wordWrap/>
              <w:overflowPunct/>
              <w:topLinePunct w:val="0"/>
              <w:bidi w:val="0"/>
              <w:jc w:val="center"/>
              <w:outlineLvl w:val="9"/>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3.1.18</w:t>
            </w:r>
          </w:p>
        </w:tc>
        <w:tc>
          <w:tcPr>
            <w:tcW w:w="4046" w:type="dxa"/>
            <w:shd w:val="clear" w:color="auto" w:fill="auto"/>
            <w:vAlign w:val="center"/>
          </w:tcPr>
          <w:p w14:paraId="787D2BE9">
            <w:pPr>
              <w:kinsoku/>
              <w:wordWrap/>
              <w:overflowPunct/>
              <w:topLinePunct w:val="0"/>
              <w:bidi w:val="0"/>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试验台插座</w:t>
            </w:r>
          </w:p>
        </w:tc>
        <w:tc>
          <w:tcPr>
            <w:tcW w:w="1155" w:type="dxa"/>
            <w:shd w:val="clear" w:color="auto" w:fill="auto"/>
            <w:vAlign w:val="center"/>
          </w:tcPr>
          <w:p w14:paraId="1950BFED">
            <w:pPr>
              <w:kinsoku/>
              <w:wordWrap/>
              <w:overflowPunct/>
              <w:topLinePunct w:val="0"/>
              <w:bidi w:val="0"/>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1个</w:t>
            </w:r>
          </w:p>
        </w:tc>
        <w:tc>
          <w:tcPr>
            <w:tcW w:w="1624" w:type="dxa"/>
            <w:vAlign w:val="center"/>
          </w:tcPr>
          <w:p w14:paraId="79AAA098">
            <w:pPr>
              <w:kinsoku/>
              <w:wordWrap/>
              <w:overflowPunct/>
              <w:topLinePunct w:val="0"/>
              <w:bidi w:val="0"/>
              <w:jc w:val="center"/>
              <w:outlineLvl w:val="9"/>
              <w:rPr>
                <w:rFonts w:hint="eastAsia"/>
                <w:color w:val="auto"/>
                <w:szCs w:val="21"/>
                <w:highlight w:val="none"/>
              </w:rPr>
            </w:pPr>
          </w:p>
        </w:tc>
        <w:tc>
          <w:tcPr>
            <w:tcW w:w="1390" w:type="dxa"/>
            <w:vAlign w:val="center"/>
          </w:tcPr>
          <w:p w14:paraId="296AB721">
            <w:pPr>
              <w:kinsoku/>
              <w:wordWrap/>
              <w:overflowPunct/>
              <w:topLinePunct w:val="0"/>
              <w:bidi w:val="0"/>
              <w:jc w:val="center"/>
              <w:outlineLvl w:val="9"/>
              <w:rPr>
                <w:rFonts w:hint="eastAsia" w:ascii="宋体" w:hAnsi="宋体" w:cs="宋体"/>
                <w:color w:val="auto"/>
                <w:szCs w:val="21"/>
                <w:highlight w:val="none"/>
              </w:rPr>
            </w:pPr>
          </w:p>
        </w:tc>
      </w:tr>
      <w:tr w14:paraId="3A238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941" w:type="dxa"/>
            <w:vAlign w:val="center"/>
          </w:tcPr>
          <w:p w14:paraId="36945A92">
            <w:pPr>
              <w:kinsoku/>
              <w:wordWrap/>
              <w:overflowPunct/>
              <w:topLinePunct w:val="0"/>
              <w:bidi w:val="0"/>
              <w:jc w:val="center"/>
              <w:outlineLvl w:val="9"/>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3.1.19</w:t>
            </w:r>
          </w:p>
        </w:tc>
        <w:tc>
          <w:tcPr>
            <w:tcW w:w="4046" w:type="dxa"/>
            <w:shd w:val="clear" w:color="auto" w:fill="auto"/>
            <w:vAlign w:val="center"/>
          </w:tcPr>
          <w:p w14:paraId="518F4366">
            <w:pPr>
              <w:kinsoku/>
              <w:wordWrap/>
              <w:overflowPunct/>
              <w:topLinePunct w:val="0"/>
              <w:bidi w:val="0"/>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试剂架（操作台置物架）</w:t>
            </w:r>
          </w:p>
        </w:tc>
        <w:tc>
          <w:tcPr>
            <w:tcW w:w="1155" w:type="dxa"/>
            <w:shd w:val="clear" w:color="auto" w:fill="auto"/>
            <w:vAlign w:val="center"/>
          </w:tcPr>
          <w:p w14:paraId="3280814D">
            <w:pPr>
              <w:kinsoku/>
              <w:wordWrap/>
              <w:overflowPunct/>
              <w:topLinePunct w:val="0"/>
              <w:bidi w:val="0"/>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1套</w:t>
            </w:r>
          </w:p>
        </w:tc>
        <w:tc>
          <w:tcPr>
            <w:tcW w:w="1624" w:type="dxa"/>
            <w:vAlign w:val="center"/>
          </w:tcPr>
          <w:p w14:paraId="3F45417A">
            <w:pPr>
              <w:kinsoku/>
              <w:wordWrap/>
              <w:overflowPunct/>
              <w:topLinePunct w:val="0"/>
              <w:bidi w:val="0"/>
              <w:jc w:val="center"/>
              <w:outlineLvl w:val="9"/>
              <w:rPr>
                <w:rFonts w:hint="eastAsia"/>
                <w:color w:val="auto"/>
                <w:szCs w:val="21"/>
                <w:highlight w:val="none"/>
              </w:rPr>
            </w:pPr>
          </w:p>
        </w:tc>
        <w:tc>
          <w:tcPr>
            <w:tcW w:w="1390" w:type="dxa"/>
            <w:vAlign w:val="center"/>
          </w:tcPr>
          <w:p w14:paraId="15010DBB">
            <w:pPr>
              <w:kinsoku/>
              <w:wordWrap/>
              <w:overflowPunct/>
              <w:topLinePunct w:val="0"/>
              <w:bidi w:val="0"/>
              <w:jc w:val="center"/>
              <w:outlineLvl w:val="9"/>
              <w:rPr>
                <w:rFonts w:hint="eastAsia" w:ascii="宋体" w:hAnsi="宋体" w:cs="宋体"/>
                <w:color w:val="auto"/>
                <w:szCs w:val="21"/>
                <w:highlight w:val="none"/>
              </w:rPr>
            </w:pPr>
          </w:p>
        </w:tc>
      </w:tr>
      <w:tr w14:paraId="5B4C3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941" w:type="dxa"/>
            <w:vAlign w:val="center"/>
          </w:tcPr>
          <w:p w14:paraId="34D5CBAF">
            <w:pPr>
              <w:kinsoku/>
              <w:wordWrap/>
              <w:overflowPunct/>
              <w:topLinePunct w:val="0"/>
              <w:bidi w:val="0"/>
              <w:jc w:val="center"/>
              <w:outlineLvl w:val="9"/>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3.1.20</w:t>
            </w:r>
          </w:p>
        </w:tc>
        <w:tc>
          <w:tcPr>
            <w:tcW w:w="4046" w:type="dxa"/>
            <w:shd w:val="clear" w:color="auto" w:fill="auto"/>
            <w:vAlign w:val="center"/>
          </w:tcPr>
          <w:p w14:paraId="42344A50">
            <w:pPr>
              <w:kinsoku/>
              <w:wordWrap/>
              <w:overflowPunct/>
              <w:topLinePunct w:val="0"/>
              <w:bidi w:val="0"/>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滴水架</w:t>
            </w:r>
          </w:p>
        </w:tc>
        <w:tc>
          <w:tcPr>
            <w:tcW w:w="1155" w:type="dxa"/>
            <w:shd w:val="clear" w:color="auto" w:fill="auto"/>
            <w:vAlign w:val="center"/>
          </w:tcPr>
          <w:p w14:paraId="2B03B19E">
            <w:pPr>
              <w:kinsoku/>
              <w:wordWrap/>
              <w:overflowPunct/>
              <w:topLinePunct w:val="0"/>
              <w:bidi w:val="0"/>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1套</w:t>
            </w:r>
          </w:p>
        </w:tc>
        <w:tc>
          <w:tcPr>
            <w:tcW w:w="1624" w:type="dxa"/>
            <w:vAlign w:val="center"/>
          </w:tcPr>
          <w:p w14:paraId="0C9E21BE">
            <w:pPr>
              <w:kinsoku/>
              <w:wordWrap/>
              <w:overflowPunct/>
              <w:topLinePunct w:val="0"/>
              <w:bidi w:val="0"/>
              <w:jc w:val="center"/>
              <w:outlineLvl w:val="9"/>
              <w:rPr>
                <w:rFonts w:hint="eastAsia"/>
                <w:color w:val="auto"/>
                <w:szCs w:val="21"/>
                <w:highlight w:val="none"/>
              </w:rPr>
            </w:pPr>
          </w:p>
        </w:tc>
        <w:tc>
          <w:tcPr>
            <w:tcW w:w="1390" w:type="dxa"/>
            <w:vAlign w:val="center"/>
          </w:tcPr>
          <w:p w14:paraId="56BA73BE">
            <w:pPr>
              <w:kinsoku/>
              <w:wordWrap/>
              <w:overflowPunct/>
              <w:topLinePunct w:val="0"/>
              <w:bidi w:val="0"/>
              <w:jc w:val="center"/>
              <w:outlineLvl w:val="9"/>
              <w:rPr>
                <w:rFonts w:hint="eastAsia" w:ascii="宋体" w:hAnsi="宋体" w:cs="宋体"/>
                <w:color w:val="auto"/>
                <w:szCs w:val="21"/>
                <w:highlight w:val="none"/>
              </w:rPr>
            </w:pPr>
          </w:p>
        </w:tc>
      </w:tr>
      <w:tr w14:paraId="4B670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941" w:type="dxa"/>
            <w:vAlign w:val="center"/>
          </w:tcPr>
          <w:p w14:paraId="77B8A0BF">
            <w:pPr>
              <w:kinsoku/>
              <w:wordWrap/>
              <w:overflowPunct/>
              <w:topLinePunct w:val="0"/>
              <w:bidi w:val="0"/>
              <w:jc w:val="center"/>
              <w:outlineLvl w:val="9"/>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3.2</w:t>
            </w:r>
          </w:p>
        </w:tc>
        <w:tc>
          <w:tcPr>
            <w:tcW w:w="4046" w:type="dxa"/>
            <w:vAlign w:val="center"/>
          </w:tcPr>
          <w:p w14:paraId="05711B92">
            <w:pPr>
              <w:kinsoku/>
              <w:wordWrap/>
              <w:overflowPunct/>
              <w:topLinePunct w:val="0"/>
              <w:bidi w:val="0"/>
              <w:jc w:val="center"/>
              <w:outlineLvl w:val="9"/>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实验室耗材辅助（3.2.1-3.2.20）合计</w:t>
            </w:r>
          </w:p>
        </w:tc>
        <w:tc>
          <w:tcPr>
            <w:tcW w:w="1155" w:type="dxa"/>
            <w:vAlign w:val="center"/>
          </w:tcPr>
          <w:p w14:paraId="3EB1129B">
            <w:pPr>
              <w:kinsoku/>
              <w:wordWrap/>
              <w:overflowPunct/>
              <w:topLinePunct w:val="0"/>
              <w:bidi w:val="0"/>
              <w:jc w:val="center"/>
              <w:outlineLvl w:val="9"/>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p>
        </w:tc>
        <w:tc>
          <w:tcPr>
            <w:tcW w:w="1624" w:type="dxa"/>
            <w:vAlign w:val="center"/>
          </w:tcPr>
          <w:p w14:paraId="4B28E2F0">
            <w:pPr>
              <w:kinsoku/>
              <w:wordWrap/>
              <w:overflowPunct/>
              <w:topLinePunct w:val="0"/>
              <w:bidi w:val="0"/>
              <w:jc w:val="center"/>
              <w:outlineLvl w:val="9"/>
              <w:rPr>
                <w:rFonts w:hint="eastAsia" w:eastAsia="宋体"/>
                <w:color w:val="auto"/>
                <w:szCs w:val="21"/>
                <w:highlight w:val="none"/>
                <w:lang w:val="en-US" w:eastAsia="zh-CN"/>
              </w:rPr>
            </w:pPr>
            <w:r>
              <w:rPr>
                <w:rFonts w:hint="eastAsia"/>
                <w:color w:val="auto"/>
                <w:szCs w:val="21"/>
                <w:highlight w:val="none"/>
                <w:lang w:val="en-US" w:eastAsia="zh-CN"/>
              </w:rPr>
              <w:t>/</w:t>
            </w:r>
          </w:p>
        </w:tc>
        <w:tc>
          <w:tcPr>
            <w:tcW w:w="1390" w:type="dxa"/>
            <w:vAlign w:val="center"/>
          </w:tcPr>
          <w:p w14:paraId="3897A924">
            <w:pPr>
              <w:kinsoku/>
              <w:wordWrap/>
              <w:overflowPunct/>
              <w:topLinePunct w:val="0"/>
              <w:bidi w:val="0"/>
              <w:jc w:val="center"/>
              <w:outlineLvl w:val="9"/>
              <w:rPr>
                <w:rFonts w:hint="eastAsia" w:ascii="宋体" w:hAnsi="宋体" w:cs="宋体"/>
                <w:color w:val="auto"/>
                <w:szCs w:val="21"/>
                <w:highlight w:val="none"/>
              </w:rPr>
            </w:pPr>
          </w:p>
        </w:tc>
      </w:tr>
      <w:tr w14:paraId="662E3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941" w:type="dxa"/>
            <w:vAlign w:val="center"/>
          </w:tcPr>
          <w:p w14:paraId="3A4AE60B">
            <w:pPr>
              <w:kinsoku/>
              <w:wordWrap/>
              <w:overflowPunct/>
              <w:topLinePunct w:val="0"/>
              <w:bidi w:val="0"/>
              <w:jc w:val="center"/>
              <w:outlineLvl w:val="9"/>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3.2.1</w:t>
            </w:r>
          </w:p>
        </w:tc>
        <w:tc>
          <w:tcPr>
            <w:tcW w:w="4046" w:type="dxa"/>
            <w:shd w:val="clear" w:color="auto" w:fill="auto"/>
            <w:vAlign w:val="center"/>
          </w:tcPr>
          <w:p w14:paraId="38A0ECC9">
            <w:pPr>
              <w:kinsoku/>
              <w:wordWrap/>
              <w:overflowPunct/>
              <w:topLinePunct w:val="0"/>
              <w:bidi w:val="0"/>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食品安全附件箱（包含一般耗材）</w:t>
            </w:r>
          </w:p>
        </w:tc>
        <w:tc>
          <w:tcPr>
            <w:tcW w:w="1155" w:type="dxa"/>
            <w:shd w:val="clear" w:color="auto" w:fill="auto"/>
            <w:vAlign w:val="center"/>
          </w:tcPr>
          <w:p w14:paraId="5CBFB75A">
            <w:pPr>
              <w:jc w:val="center"/>
              <w:rPr>
                <w:rFonts w:hint="default" w:ascii="宋体" w:hAnsi="宋体" w:eastAsia="宋体" w:cs="宋体"/>
                <w:i w:val="0"/>
                <w:iCs w:val="0"/>
                <w:caps w:val="0"/>
                <w:color w:val="171A1D"/>
                <w:spacing w:val="0"/>
                <w:kern w:val="2"/>
                <w:sz w:val="24"/>
                <w:szCs w:val="24"/>
                <w:highlight w:val="none"/>
                <w:shd w:val="clear" w:color="auto" w:fill="FFFFFF"/>
                <w:lang w:val="en-US" w:eastAsia="zh-CN" w:bidi="ar-SA"/>
              </w:rPr>
            </w:pPr>
            <w:r>
              <w:rPr>
                <w:rFonts w:hint="eastAsia" w:ascii="宋体" w:hAnsi="宋体" w:eastAsia="宋体" w:cs="宋体"/>
                <w:i w:val="0"/>
                <w:iCs w:val="0"/>
                <w:caps w:val="0"/>
                <w:color w:val="171A1D"/>
                <w:spacing w:val="0"/>
                <w:sz w:val="24"/>
                <w:szCs w:val="24"/>
                <w:highlight w:val="none"/>
                <w:shd w:val="clear" w:color="auto" w:fill="FFFFFF"/>
                <w:lang w:val="en-US" w:eastAsia="zh-CN"/>
              </w:rPr>
              <w:t>1个</w:t>
            </w:r>
          </w:p>
        </w:tc>
        <w:tc>
          <w:tcPr>
            <w:tcW w:w="1624" w:type="dxa"/>
            <w:vAlign w:val="center"/>
          </w:tcPr>
          <w:p w14:paraId="48763AFA">
            <w:pPr>
              <w:kinsoku/>
              <w:wordWrap/>
              <w:overflowPunct/>
              <w:topLinePunct w:val="0"/>
              <w:bidi w:val="0"/>
              <w:jc w:val="center"/>
              <w:outlineLvl w:val="9"/>
              <w:rPr>
                <w:rFonts w:hint="eastAsia"/>
                <w:color w:val="auto"/>
                <w:szCs w:val="21"/>
                <w:highlight w:val="none"/>
              </w:rPr>
            </w:pPr>
          </w:p>
        </w:tc>
        <w:tc>
          <w:tcPr>
            <w:tcW w:w="1390" w:type="dxa"/>
            <w:vAlign w:val="center"/>
          </w:tcPr>
          <w:p w14:paraId="7C5E83FD">
            <w:pPr>
              <w:kinsoku/>
              <w:wordWrap/>
              <w:overflowPunct/>
              <w:topLinePunct w:val="0"/>
              <w:bidi w:val="0"/>
              <w:jc w:val="center"/>
              <w:outlineLvl w:val="9"/>
              <w:rPr>
                <w:rFonts w:hint="eastAsia" w:ascii="宋体" w:hAnsi="宋体" w:cs="宋体"/>
                <w:color w:val="auto"/>
                <w:szCs w:val="21"/>
                <w:highlight w:val="none"/>
              </w:rPr>
            </w:pPr>
          </w:p>
        </w:tc>
      </w:tr>
      <w:tr w14:paraId="1F719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941" w:type="dxa"/>
            <w:vAlign w:val="center"/>
          </w:tcPr>
          <w:p w14:paraId="453B8E6B">
            <w:pPr>
              <w:kinsoku/>
              <w:wordWrap/>
              <w:overflowPunct/>
              <w:topLinePunct w:val="0"/>
              <w:bidi w:val="0"/>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3.2.2</w:t>
            </w:r>
          </w:p>
        </w:tc>
        <w:tc>
          <w:tcPr>
            <w:tcW w:w="4046" w:type="dxa"/>
            <w:shd w:val="clear" w:color="auto" w:fill="auto"/>
            <w:vAlign w:val="center"/>
          </w:tcPr>
          <w:p w14:paraId="31573C33">
            <w:pPr>
              <w:kinsoku/>
              <w:wordWrap/>
              <w:overflowPunct/>
              <w:topLinePunct w:val="0"/>
              <w:bidi w:val="0"/>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多量程移液枪（100-1000u）</w:t>
            </w:r>
          </w:p>
        </w:tc>
        <w:tc>
          <w:tcPr>
            <w:tcW w:w="1155" w:type="dxa"/>
            <w:shd w:val="clear" w:color="auto" w:fill="auto"/>
            <w:vAlign w:val="center"/>
          </w:tcPr>
          <w:p w14:paraId="115DE201">
            <w:pPr>
              <w:jc w:val="center"/>
              <w:rPr>
                <w:rFonts w:hint="eastAsia" w:ascii="宋体" w:hAnsi="宋体" w:eastAsia="宋体" w:cs="宋体"/>
                <w:i w:val="0"/>
                <w:iCs w:val="0"/>
                <w:caps w:val="0"/>
                <w:color w:val="171A1D"/>
                <w:spacing w:val="0"/>
                <w:kern w:val="2"/>
                <w:sz w:val="24"/>
                <w:szCs w:val="24"/>
                <w:highlight w:val="none"/>
                <w:shd w:val="clear" w:color="auto" w:fill="FFFFFF"/>
                <w:lang w:val="en-US" w:eastAsia="zh-CN" w:bidi="ar-SA"/>
              </w:rPr>
            </w:pPr>
            <w:r>
              <w:rPr>
                <w:rFonts w:hint="eastAsia" w:ascii="宋体" w:hAnsi="宋体" w:eastAsia="宋体" w:cs="宋体"/>
                <w:i w:val="0"/>
                <w:iCs w:val="0"/>
                <w:caps w:val="0"/>
                <w:color w:val="171A1D"/>
                <w:spacing w:val="0"/>
                <w:sz w:val="24"/>
                <w:szCs w:val="24"/>
                <w:highlight w:val="none"/>
                <w:shd w:val="clear" w:color="auto" w:fill="FFFFFF"/>
                <w:lang w:val="en-US" w:eastAsia="zh-CN"/>
              </w:rPr>
              <w:t>1把</w:t>
            </w:r>
          </w:p>
        </w:tc>
        <w:tc>
          <w:tcPr>
            <w:tcW w:w="1624" w:type="dxa"/>
            <w:vAlign w:val="center"/>
          </w:tcPr>
          <w:p w14:paraId="495F0201">
            <w:pPr>
              <w:kinsoku/>
              <w:wordWrap/>
              <w:overflowPunct/>
              <w:topLinePunct w:val="0"/>
              <w:bidi w:val="0"/>
              <w:jc w:val="center"/>
              <w:outlineLvl w:val="9"/>
              <w:rPr>
                <w:rFonts w:hint="eastAsia"/>
                <w:color w:val="auto"/>
                <w:szCs w:val="21"/>
                <w:highlight w:val="none"/>
              </w:rPr>
            </w:pPr>
          </w:p>
        </w:tc>
        <w:tc>
          <w:tcPr>
            <w:tcW w:w="1390" w:type="dxa"/>
            <w:vAlign w:val="center"/>
          </w:tcPr>
          <w:p w14:paraId="5941CAA9">
            <w:pPr>
              <w:kinsoku/>
              <w:wordWrap/>
              <w:overflowPunct/>
              <w:topLinePunct w:val="0"/>
              <w:bidi w:val="0"/>
              <w:jc w:val="center"/>
              <w:outlineLvl w:val="9"/>
              <w:rPr>
                <w:rFonts w:hint="eastAsia" w:ascii="宋体" w:hAnsi="宋体" w:cs="宋体"/>
                <w:color w:val="auto"/>
                <w:szCs w:val="21"/>
                <w:highlight w:val="none"/>
              </w:rPr>
            </w:pPr>
          </w:p>
        </w:tc>
      </w:tr>
      <w:tr w14:paraId="04E89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941" w:type="dxa"/>
            <w:vAlign w:val="center"/>
          </w:tcPr>
          <w:p w14:paraId="791919B3">
            <w:pPr>
              <w:kinsoku/>
              <w:wordWrap/>
              <w:overflowPunct/>
              <w:topLinePunct w:val="0"/>
              <w:bidi w:val="0"/>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3.2.3</w:t>
            </w:r>
          </w:p>
        </w:tc>
        <w:tc>
          <w:tcPr>
            <w:tcW w:w="4046" w:type="dxa"/>
            <w:shd w:val="clear" w:color="auto" w:fill="auto"/>
            <w:vAlign w:val="center"/>
          </w:tcPr>
          <w:p w14:paraId="7223AF50">
            <w:pPr>
              <w:kinsoku/>
              <w:wordWrap/>
              <w:overflowPunct/>
              <w:topLinePunct w:val="0"/>
              <w:bidi w:val="0"/>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移液枪头（100-1000u）</w:t>
            </w:r>
          </w:p>
        </w:tc>
        <w:tc>
          <w:tcPr>
            <w:tcW w:w="1155" w:type="dxa"/>
            <w:shd w:val="clear" w:color="auto" w:fill="auto"/>
            <w:vAlign w:val="center"/>
          </w:tcPr>
          <w:p w14:paraId="131D9E97">
            <w:pPr>
              <w:jc w:val="center"/>
              <w:rPr>
                <w:rFonts w:hint="eastAsia" w:ascii="宋体" w:hAnsi="宋体" w:eastAsia="宋体" w:cs="宋体"/>
                <w:i w:val="0"/>
                <w:iCs w:val="0"/>
                <w:caps w:val="0"/>
                <w:color w:val="171A1D"/>
                <w:spacing w:val="0"/>
                <w:kern w:val="2"/>
                <w:sz w:val="24"/>
                <w:szCs w:val="24"/>
                <w:highlight w:val="none"/>
                <w:shd w:val="clear" w:color="auto" w:fill="FFFFFF"/>
                <w:lang w:val="en-US" w:eastAsia="zh-CN" w:bidi="ar-SA"/>
              </w:rPr>
            </w:pPr>
            <w:r>
              <w:rPr>
                <w:rFonts w:hint="eastAsia" w:ascii="宋体" w:hAnsi="宋体" w:eastAsia="宋体" w:cs="宋体"/>
                <w:i w:val="0"/>
                <w:iCs w:val="0"/>
                <w:caps w:val="0"/>
                <w:color w:val="171A1D"/>
                <w:spacing w:val="0"/>
                <w:sz w:val="24"/>
                <w:szCs w:val="24"/>
                <w:highlight w:val="none"/>
                <w:shd w:val="clear" w:color="auto" w:fill="FFFFFF"/>
                <w:lang w:val="en-US" w:eastAsia="zh-CN"/>
              </w:rPr>
              <w:t>1包</w:t>
            </w:r>
          </w:p>
        </w:tc>
        <w:tc>
          <w:tcPr>
            <w:tcW w:w="1624" w:type="dxa"/>
            <w:vAlign w:val="center"/>
          </w:tcPr>
          <w:p w14:paraId="39393515">
            <w:pPr>
              <w:kinsoku/>
              <w:wordWrap/>
              <w:overflowPunct/>
              <w:topLinePunct w:val="0"/>
              <w:bidi w:val="0"/>
              <w:jc w:val="center"/>
              <w:outlineLvl w:val="9"/>
              <w:rPr>
                <w:rFonts w:hint="eastAsia"/>
                <w:color w:val="auto"/>
                <w:szCs w:val="21"/>
                <w:highlight w:val="none"/>
              </w:rPr>
            </w:pPr>
          </w:p>
        </w:tc>
        <w:tc>
          <w:tcPr>
            <w:tcW w:w="1390" w:type="dxa"/>
            <w:vAlign w:val="center"/>
          </w:tcPr>
          <w:p w14:paraId="14437B26">
            <w:pPr>
              <w:kinsoku/>
              <w:wordWrap/>
              <w:overflowPunct/>
              <w:topLinePunct w:val="0"/>
              <w:bidi w:val="0"/>
              <w:jc w:val="center"/>
              <w:outlineLvl w:val="9"/>
              <w:rPr>
                <w:rFonts w:hint="eastAsia" w:ascii="宋体" w:hAnsi="宋体" w:cs="宋体"/>
                <w:color w:val="auto"/>
                <w:szCs w:val="21"/>
                <w:highlight w:val="none"/>
              </w:rPr>
            </w:pPr>
          </w:p>
        </w:tc>
      </w:tr>
      <w:tr w14:paraId="14BCC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941" w:type="dxa"/>
            <w:vAlign w:val="center"/>
          </w:tcPr>
          <w:p w14:paraId="2F9B0D83">
            <w:pPr>
              <w:kinsoku/>
              <w:wordWrap/>
              <w:overflowPunct/>
              <w:topLinePunct w:val="0"/>
              <w:bidi w:val="0"/>
              <w:jc w:val="center"/>
              <w:outlineLvl w:val="9"/>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3.2.4</w:t>
            </w:r>
          </w:p>
        </w:tc>
        <w:tc>
          <w:tcPr>
            <w:tcW w:w="4046" w:type="dxa"/>
            <w:shd w:val="clear" w:color="auto" w:fill="auto"/>
            <w:vAlign w:val="center"/>
          </w:tcPr>
          <w:p w14:paraId="002E9CF5">
            <w:pPr>
              <w:kinsoku/>
              <w:wordWrap/>
              <w:overflowPunct/>
              <w:topLinePunct w:val="0"/>
              <w:bidi w:val="0"/>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移液枪头(1</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5ml/个）</w:t>
            </w:r>
          </w:p>
        </w:tc>
        <w:tc>
          <w:tcPr>
            <w:tcW w:w="1155" w:type="dxa"/>
            <w:shd w:val="clear" w:color="auto" w:fill="auto"/>
            <w:vAlign w:val="center"/>
          </w:tcPr>
          <w:p w14:paraId="6AB0020F">
            <w:pPr>
              <w:jc w:val="center"/>
              <w:rPr>
                <w:rFonts w:hint="eastAsia" w:ascii="宋体" w:hAnsi="宋体" w:eastAsia="宋体" w:cs="宋体"/>
                <w:i w:val="0"/>
                <w:iCs w:val="0"/>
                <w:caps w:val="0"/>
                <w:color w:val="171A1D"/>
                <w:spacing w:val="0"/>
                <w:kern w:val="2"/>
                <w:sz w:val="24"/>
                <w:szCs w:val="24"/>
                <w:highlight w:val="none"/>
                <w:shd w:val="clear" w:color="auto" w:fill="FFFFFF"/>
                <w:lang w:val="en-US" w:eastAsia="zh-CN" w:bidi="ar-SA"/>
              </w:rPr>
            </w:pPr>
            <w:r>
              <w:rPr>
                <w:rFonts w:hint="eastAsia" w:ascii="宋体" w:hAnsi="宋体" w:eastAsia="宋体" w:cs="宋体"/>
                <w:i w:val="0"/>
                <w:iCs w:val="0"/>
                <w:caps w:val="0"/>
                <w:color w:val="171A1D"/>
                <w:spacing w:val="0"/>
                <w:sz w:val="24"/>
                <w:szCs w:val="24"/>
                <w:highlight w:val="none"/>
                <w:shd w:val="clear" w:color="auto" w:fill="FFFFFF"/>
                <w:lang w:val="en-US" w:eastAsia="zh-CN"/>
              </w:rPr>
              <w:t>10包</w:t>
            </w:r>
          </w:p>
        </w:tc>
        <w:tc>
          <w:tcPr>
            <w:tcW w:w="1624" w:type="dxa"/>
            <w:vAlign w:val="center"/>
          </w:tcPr>
          <w:p w14:paraId="55494738">
            <w:pPr>
              <w:kinsoku/>
              <w:wordWrap/>
              <w:overflowPunct/>
              <w:topLinePunct w:val="0"/>
              <w:bidi w:val="0"/>
              <w:jc w:val="center"/>
              <w:outlineLvl w:val="9"/>
              <w:rPr>
                <w:rFonts w:hint="eastAsia"/>
                <w:color w:val="auto"/>
                <w:szCs w:val="21"/>
                <w:highlight w:val="none"/>
              </w:rPr>
            </w:pPr>
          </w:p>
        </w:tc>
        <w:tc>
          <w:tcPr>
            <w:tcW w:w="1390" w:type="dxa"/>
            <w:vAlign w:val="center"/>
          </w:tcPr>
          <w:p w14:paraId="3CC6FBB6">
            <w:pPr>
              <w:kinsoku/>
              <w:wordWrap/>
              <w:overflowPunct/>
              <w:topLinePunct w:val="0"/>
              <w:bidi w:val="0"/>
              <w:jc w:val="center"/>
              <w:outlineLvl w:val="9"/>
              <w:rPr>
                <w:rFonts w:hint="eastAsia" w:ascii="宋体" w:hAnsi="宋体" w:cs="宋体"/>
                <w:color w:val="auto"/>
                <w:szCs w:val="21"/>
                <w:highlight w:val="none"/>
              </w:rPr>
            </w:pPr>
          </w:p>
        </w:tc>
      </w:tr>
      <w:tr w14:paraId="7A0F7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941" w:type="dxa"/>
            <w:vAlign w:val="center"/>
          </w:tcPr>
          <w:p w14:paraId="1429BD84">
            <w:pPr>
              <w:kinsoku/>
              <w:wordWrap/>
              <w:overflowPunct/>
              <w:topLinePunct w:val="0"/>
              <w:bidi w:val="0"/>
              <w:jc w:val="center"/>
              <w:outlineLvl w:val="9"/>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3.2.5</w:t>
            </w:r>
          </w:p>
        </w:tc>
        <w:tc>
          <w:tcPr>
            <w:tcW w:w="4046" w:type="dxa"/>
            <w:shd w:val="clear" w:color="auto" w:fill="auto"/>
            <w:vAlign w:val="center"/>
          </w:tcPr>
          <w:p w14:paraId="0485DFA4">
            <w:pPr>
              <w:kinsoku/>
              <w:wordWrap/>
              <w:overflowPunct/>
              <w:topLinePunct w:val="0"/>
              <w:bidi w:val="0"/>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移液枪头（20-200ul）</w:t>
            </w:r>
          </w:p>
        </w:tc>
        <w:tc>
          <w:tcPr>
            <w:tcW w:w="1155" w:type="dxa"/>
            <w:shd w:val="clear" w:color="auto" w:fill="auto"/>
            <w:vAlign w:val="center"/>
          </w:tcPr>
          <w:p w14:paraId="1CECBF14">
            <w:pPr>
              <w:jc w:val="center"/>
              <w:rPr>
                <w:rFonts w:hint="eastAsia" w:ascii="宋体" w:hAnsi="宋体" w:eastAsia="宋体" w:cs="宋体"/>
                <w:i w:val="0"/>
                <w:iCs w:val="0"/>
                <w:caps w:val="0"/>
                <w:color w:val="171A1D"/>
                <w:spacing w:val="0"/>
                <w:kern w:val="2"/>
                <w:sz w:val="24"/>
                <w:szCs w:val="24"/>
                <w:highlight w:val="none"/>
                <w:shd w:val="clear" w:color="auto" w:fill="FFFFFF"/>
                <w:lang w:val="en-US" w:eastAsia="zh-CN" w:bidi="ar-SA"/>
              </w:rPr>
            </w:pPr>
            <w:r>
              <w:rPr>
                <w:rFonts w:hint="eastAsia" w:ascii="宋体" w:hAnsi="宋体" w:eastAsia="宋体" w:cs="宋体"/>
                <w:i w:val="0"/>
                <w:iCs w:val="0"/>
                <w:caps w:val="0"/>
                <w:color w:val="171A1D"/>
                <w:spacing w:val="0"/>
                <w:sz w:val="24"/>
                <w:szCs w:val="24"/>
                <w:highlight w:val="none"/>
                <w:shd w:val="clear" w:color="auto" w:fill="FFFFFF"/>
                <w:lang w:val="en-US" w:eastAsia="zh-CN"/>
              </w:rPr>
              <w:t>10包</w:t>
            </w:r>
          </w:p>
        </w:tc>
        <w:tc>
          <w:tcPr>
            <w:tcW w:w="1624" w:type="dxa"/>
            <w:vAlign w:val="center"/>
          </w:tcPr>
          <w:p w14:paraId="5BA637D7">
            <w:pPr>
              <w:kinsoku/>
              <w:wordWrap/>
              <w:overflowPunct/>
              <w:topLinePunct w:val="0"/>
              <w:bidi w:val="0"/>
              <w:jc w:val="center"/>
              <w:outlineLvl w:val="9"/>
              <w:rPr>
                <w:rFonts w:hint="eastAsia"/>
                <w:color w:val="auto"/>
                <w:szCs w:val="21"/>
                <w:highlight w:val="none"/>
              </w:rPr>
            </w:pPr>
          </w:p>
        </w:tc>
        <w:tc>
          <w:tcPr>
            <w:tcW w:w="1390" w:type="dxa"/>
            <w:vAlign w:val="center"/>
          </w:tcPr>
          <w:p w14:paraId="296AA2A5">
            <w:pPr>
              <w:kinsoku/>
              <w:wordWrap/>
              <w:overflowPunct/>
              <w:topLinePunct w:val="0"/>
              <w:bidi w:val="0"/>
              <w:jc w:val="center"/>
              <w:outlineLvl w:val="9"/>
              <w:rPr>
                <w:rFonts w:hint="eastAsia" w:ascii="宋体" w:hAnsi="宋体" w:cs="宋体"/>
                <w:color w:val="auto"/>
                <w:szCs w:val="21"/>
                <w:highlight w:val="none"/>
              </w:rPr>
            </w:pPr>
          </w:p>
        </w:tc>
      </w:tr>
      <w:tr w14:paraId="4DE70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941" w:type="dxa"/>
            <w:vAlign w:val="center"/>
          </w:tcPr>
          <w:p w14:paraId="37A2D6F4">
            <w:pPr>
              <w:kinsoku/>
              <w:wordWrap/>
              <w:overflowPunct/>
              <w:topLinePunct w:val="0"/>
              <w:bidi w:val="0"/>
              <w:jc w:val="center"/>
              <w:outlineLvl w:val="9"/>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3.2.6</w:t>
            </w:r>
          </w:p>
        </w:tc>
        <w:tc>
          <w:tcPr>
            <w:tcW w:w="4046" w:type="dxa"/>
            <w:shd w:val="clear" w:color="auto" w:fill="auto"/>
            <w:vAlign w:val="center"/>
          </w:tcPr>
          <w:p w14:paraId="3B00CB3F">
            <w:pPr>
              <w:kinsoku/>
              <w:wordWrap/>
              <w:overflowPunct/>
              <w:topLinePunct w:val="0"/>
              <w:bidi w:val="0"/>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离心管50ml（50个/包）</w:t>
            </w:r>
          </w:p>
        </w:tc>
        <w:tc>
          <w:tcPr>
            <w:tcW w:w="1155" w:type="dxa"/>
            <w:shd w:val="clear" w:color="auto" w:fill="auto"/>
            <w:vAlign w:val="center"/>
          </w:tcPr>
          <w:p w14:paraId="418224F4">
            <w:pPr>
              <w:jc w:val="center"/>
              <w:rPr>
                <w:rFonts w:hint="default" w:ascii="宋体" w:hAnsi="宋体" w:eastAsia="宋体" w:cs="宋体"/>
                <w:i w:val="0"/>
                <w:iCs w:val="0"/>
                <w:caps w:val="0"/>
                <w:color w:val="171A1D"/>
                <w:spacing w:val="0"/>
                <w:kern w:val="2"/>
                <w:sz w:val="24"/>
                <w:szCs w:val="24"/>
                <w:highlight w:val="none"/>
                <w:shd w:val="clear" w:color="auto" w:fill="FFFFFF"/>
                <w:lang w:val="en-US" w:eastAsia="zh-CN" w:bidi="ar-SA"/>
              </w:rPr>
            </w:pPr>
            <w:r>
              <w:rPr>
                <w:rFonts w:hint="eastAsia" w:ascii="宋体" w:hAnsi="宋体" w:eastAsia="宋体" w:cs="宋体"/>
                <w:i w:val="0"/>
                <w:iCs w:val="0"/>
                <w:caps w:val="0"/>
                <w:color w:val="171A1D"/>
                <w:spacing w:val="0"/>
                <w:sz w:val="24"/>
                <w:szCs w:val="24"/>
                <w:highlight w:val="none"/>
                <w:shd w:val="clear" w:color="auto" w:fill="FFFFFF"/>
                <w:lang w:val="en-US" w:eastAsia="zh-CN"/>
              </w:rPr>
              <w:t>1包</w:t>
            </w:r>
          </w:p>
        </w:tc>
        <w:tc>
          <w:tcPr>
            <w:tcW w:w="1624" w:type="dxa"/>
            <w:vAlign w:val="center"/>
          </w:tcPr>
          <w:p w14:paraId="45CD0CF4">
            <w:pPr>
              <w:kinsoku/>
              <w:wordWrap/>
              <w:overflowPunct/>
              <w:topLinePunct w:val="0"/>
              <w:bidi w:val="0"/>
              <w:jc w:val="center"/>
              <w:outlineLvl w:val="9"/>
              <w:rPr>
                <w:rFonts w:hint="eastAsia"/>
                <w:color w:val="auto"/>
                <w:szCs w:val="21"/>
                <w:highlight w:val="none"/>
              </w:rPr>
            </w:pPr>
          </w:p>
        </w:tc>
        <w:tc>
          <w:tcPr>
            <w:tcW w:w="1390" w:type="dxa"/>
            <w:vAlign w:val="center"/>
          </w:tcPr>
          <w:p w14:paraId="663731E0">
            <w:pPr>
              <w:kinsoku/>
              <w:wordWrap/>
              <w:overflowPunct/>
              <w:topLinePunct w:val="0"/>
              <w:bidi w:val="0"/>
              <w:jc w:val="center"/>
              <w:outlineLvl w:val="9"/>
              <w:rPr>
                <w:rFonts w:hint="eastAsia" w:ascii="宋体" w:hAnsi="宋体" w:cs="宋体"/>
                <w:color w:val="auto"/>
                <w:szCs w:val="21"/>
                <w:highlight w:val="none"/>
              </w:rPr>
            </w:pPr>
          </w:p>
        </w:tc>
      </w:tr>
      <w:tr w14:paraId="0D47F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41" w:type="dxa"/>
            <w:vAlign w:val="center"/>
          </w:tcPr>
          <w:p w14:paraId="5A3DB61F">
            <w:pPr>
              <w:kinsoku/>
              <w:wordWrap/>
              <w:overflowPunct/>
              <w:topLinePunct w:val="0"/>
              <w:bidi w:val="0"/>
              <w:jc w:val="center"/>
              <w:outlineLvl w:val="9"/>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3.2.7</w:t>
            </w:r>
          </w:p>
        </w:tc>
        <w:tc>
          <w:tcPr>
            <w:tcW w:w="4046" w:type="dxa"/>
            <w:shd w:val="clear" w:color="auto" w:fill="auto"/>
            <w:vAlign w:val="center"/>
          </w:tcPr>
          <w:p w14:paraId="0BB9942B">
            <w:pPr>
              <w:kinsoku/>
              <w:wordWrap/>
              <w:overflowPunct/>
              <w:topLinePunct w:val="0"/>
              <w:bidi w:val="0"/>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离心管5ml（200个/包）</w:t>
            </w:r>
          </w:p>
        </w:tc>
        <w:tc>
          <w:tcPr>
            <w:tcW w:w="1155" w:type="dxa"/>
            <w:shd w:val="clear" w:color="auto" w:fill="auto"/>
            <w:vAlign w:val="center"/>
          </w:tcPr>
          <w:p w14:paraId="29CC22DC">
            <w:pPr>
              <w:jc w:val="center"/>
              <w:rPr>
                <w:rFonts w:hint="eastAsia" w:ascii="宋体" w:hAnsi="宋体" w:eastAsia="宋体" w:cs="宋体"/>
                <w:i w:val="0"/>
                <w:iCs w:val="0"/>
                <w:caps w:val="0"/>
                <w:color w:val="171A1D"/>
                <w:spacing w:val="0"/>
                <w:kern w:val="2"/>
                <w:sz w:val="24"/>
                <w:szCs w:val="24"/>
                <w:highlight w:val="none"/>
                <w:shd w:val="clear" w:color="auto" w:fill="FFFFFF"/>
                <w:lang w:val="en-US" w:eastAsia="zh-CN" w:bidi="ar-SA"/>
              </w:rPr>
            </w:pPr>
            <w:r>
              <w:rPr>
                <w:rFonts w:hint="eastAsia" w:ascii="宋体" w:hAnsi="宋体" w:eastAsia="宋体" w:cs="宋体"/>
                <w:i w:val="0"/>
                <w:iCs w:val="0"/>
                <w:caps w:val="0"/>
                <w:color w:val="171A1D"/>
                <w:spacing w:val="0"/>
                <w:sz w:val="24"/>
                <w:szCs w:val="24"/>
                <w:highlight w:val="none"/>
                <w:shd w:val="clear" w:color="auto" w:fill="FFFFFF"/>
                <w:lang w:val="en-US" w:eastAsia="zh-CN"/>
              </w:rPr>
              <w:t>1包</w:t>
            </w:r>
          </w:p>
        </w:tc>
        <w:tc>
          <w:tcPr>
            <w:tcW w:w="1624" w:type="dxa"/>
            <w:vAlign w:val="center"/>
          </w:tcPr>
          <w:p w14:paraId="2A4D3A2B">
            <w:pPr>
              <w:kinsoku/>
              <w:wordWrap/>
              <w:overflowPunct/>
              <w:topLinePunct w:val="0"/>
              <w:bidi w:val="0"/>
              <w:jc w:val="center"/>
              <w:outlineLvl w:val="9"/>
              <w:rPr>
                <w:rFonts w:hint="eastAsia"/>
                <w:color w:val="auto"/>
                <w:szCs w:val="21"/>
                <w:highlight w:val="none"/>
              </w:rPr>
            </w:pPr>
          </w:p>
        </w:tc>
        <w:tc>
          <w:tcPr>
            <w:tcW w:w="1390" w:type="dxa"/>
            <w:vAlign w:val="center"/>
          </w:tcPr>
          <w:p w14:paraId="4190A7DF">
            <w:pPr>
              <w:kinsoku/>
              <w:wordWrap/>
              <w:overflowPunct/>
              <w:topLinePunct w:val="0"/>
              <w:bidi w:val="0"/>
              <w:jc w:val="center"/>
              <w:outlineLvl w:val="9"/>
              <w:rPr>
                <w:rFonts w:hint="eastAsia" w:ascii="宋体" w:hAnsi="宋体" w:cs="宋体"/>
                <w:color w:val="auto"/>
                <w:szCs w:val="21"/>
                <w:highlight w:val="none"/>
              </w:rPr>
            </w:pPr>
          </w:p>
        </w:tc>
      </w:tr>
      <w:tr w14:paraId="351E6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941" w:type="dxa"/>
            <w:vAlign w:val="center"/>
          </w:tcPr>
          <w:p w14:paraId="61C0B829">
            <w:pPr>
              <w:kinsoku/>
              <w:wordWrap/>
              <w:overflowPunct/>
              <w:topLinePunct w:val="0"/>
              <w:bidi w:val="0"/>
              <w:jc w:val="center"/>
              <w:outlineLvl w:val="9"/>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3.2.8</w:t>
            </w:r>
          </w:p>
        </w:tc>
        <w:tc>
          <w:tcPr>
            <w:tcW w:w="4046" w:type="dxa"/>
            <w:shd w:val="clear" w:color="auto" w:fill="auto"/>
            <w:vAlign w:val="center"/>
          </w:tcPr>
          <w:p w14:paraId="63DD5450">
            <w:pPr>
              <w:kinsoku/>
              <w:wordWrap/>
              <w:overflowPunct/>
              <w:topLinePunct w:val="0"/>
              <w:bidi w:val="0"/>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离心管1.5ml（包）</w:t>
            </w:r>
          </w:p>
        </w:tc>
        <w:tc>
          <w:tcPr>
            <w:tcW w:w="1155" w:type="dxa"/>
            <w:shd w:val="clear" w:color="auto" w:fill="auto"/>
            <w:vAlign w:val="center"/>
          </w:tcPr>
          <w:p w14:paraId="5488B07F">
            <w:pPr>
              <w:jc w:val="center"/>
              <w:rPr>
                <w:rFonts w:hint="eastAsia" w:ascii="宋体" w:hAnsi="宋体" w:eastAsia="宋体" w:cs="宋体"/>
                <w:i w:val="0"/>
                <w:iCs w:val="0"/>
                <w:caps w:val="0"/>
                <w:color w:val="171A1D"/>
                <w:spacing w:val="0"/>
                <w:kern w:val="2"/>
                <w:sz w:val="24"/>
                <w:szCs w:val="24"/>
                <w:highlight w:val="none"/>
                <w:shd w:val="clear" w:color="auto" w:fill="FFFFFF"/>
                <w:lang w:val="en-US" w:eastAsia="zh-CN" w:bidi="ar-SA"/>
              </w:rPr>
            </w:pPr>
            <w:r>
              <w:rPr>
                <w:rFonts w:hint="eastAsia" w:ascii="宋体" w:hAnsi="宋体" w:eastAsia="宋体" w:cs="宋体"/>
                <w:i w:val="0"/>
                <w:iCs w:val="0"/>
                <w:caps w:val="0"/>
                <w:color w:val="171A1D"/>
                <w:spacing w:val="0"/>
                <w:sz w:val="24"/>
                <w:szCs w:val="24"/>
                <w:highlight w:val="none"/>
                <w:shd w:val="clear" w:color="auto" w:fill="FFFFFF"/>
                <w:lang w:val="en-US" w:eastAsia="zh-CN"/>
              </w:rPr>
              <w:t>1包</w:t>
            </w:r>
          </w:p>
        </w:tc>
        <w:tc>
          <w:tcPr>
            <w:tcW w:w="1624" w:type="dxa"/>
            <w:vAlign w:val="center"/>
          </w:tcPr>
          <w:p w14:paraId="2B3A7545">
            <w:pPr>
              <w:kinsoku/>
              <w:wordWrap/>
              <w:overflowPunct/>
              <w:topLinePunct w:val="0"/>
              <w:bidi w:val="0"/>
              <w:jc w:val="center"/>
              <w:outlineLvl w:val="9"/>
              <w:rPr>
                <w:rFonts w:hint="eastAsia"/>
                <w:color w:val="auto"/>
                <w:szCs w:val="21"/>
                <w:highlight w:val="none"/>
              </w:rPr>
            </w:pPr>
          </w:p>
        </w:tc>
        <w:tc>
          <w:tcPr>
            <w:tcW w:w="1390" w:type="dxa"/>
            <w:vAlign w:val="center"/>
          </w:tcPr>
          <w:p w14:paraId="71B0C0C8">
            <w:pPr>
              <w:kinsoku/>
              <w:wordWrap/>
              <w:overflowPunct/>
              <w:topLinePunct w:val="0"/>
              <w:bidi w:val="0"/>
              <w:jc w:val="center"/>
              <w:outlineLvl w:val="9"/>
              <w:rPr>
                <w:rFonts w:hint="eastAsia" w:ascii="宋体" w:hAnsi="宋体" w:cs="宋体"/>
                <w:color w:val="auto"/>
                <w:szCs w:val="21"/>
                <w:highlight w:val="none"/>
              </w:rPr>
            </w:pPr>
          </w:p>
        </w:tc>
      </w:tr>
      <w:tr w14:paraId="72717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941" w:type="dxa"/>
            <w:vAlign w:val="center"/>
          </w:tcPr>
          <w:p w14:paraId="711D77DC">
            <w:pPr>
              <w:kinsoku/>
              <w:wordWrap/>
              <w:overflowPunct/>
              <w:topLinePunct w:val="0"/>
              <w:bidi w:val="0"/>
              <w:jc w:val="center"/>
              <w:outlineLvl w:val="9"/>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3.2.9</w:t>
            </w:r>
          </w:p>
        </w:tc>
        <w:tc>
          <w:tcPr>
            <w:tcW w:w="4046" w:type="dxa"/>
            <w:shd w:val="clear" w:color="auto" w:fill="auto"/>
            <w:vAlign w:val="center"/>
          </w:tcPr>
          <w:p w14:paraId="4C8A0C1B">
            <w:pPr>
              <w:kinsoku/>
              <w:wordWrap/>
              <w:overflowPunct/>
              <w:topLinePunct w:val="0"/>
              <w:bidi w:val="0"/>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离心管15ml（100个/包）</w:t>
            </w:r>
          </w:p>
        </w:tc>
        <w:tc>
          <w:tcPr>
            <w:tcW w:w="1155" w:type="dxa"/>
            <w:shd w:val="clear" w:color="auto" w:fill="auto"/>
            <w:vAlign w:val="center"/>
          </w:tcPr>
          <w:p w14:paraId="192F7AB0">
            <w:pPr>
              <w:jc w:val="center"/>
              <w:rPr>
                <w:rFonts w:hint="eastAsia" w:ascii="宋体" w:hAnsi="宋体" w:eastAsia="宋体" w:cs="宋体"/>
                <w:i w:val="0"/>
                <w:iCs w:val="0"/>
                <w:caps w:val="0"/>
                <w:color w:val="171A1D"/>
                <w:spacing w:val="0"/>
                <w:kern w:val="2"/>
                <w:sz w:val="24"/>
                <w:szCs w:val="24"/>
                <w:highlight w:val="none"/>
                <w:shd w:val="clear" w:color="auto" w:fill="FFFFFF"/>
                <w:lang w:val="en-US" w:eastAsia="zh-CN" w:bidi="ar-SA"/>
              </w:rPr>
            </w:pPr>
            <w:r>
              <w:rPr>
                <w:rFonts w:hint="eastAsia" w:ascii="宋体" w:hAnsi="宋体" w:eastAsia="宋体" w:cs="宋体"/>
                <w:i w:val="0"/>
                <w:iCs w:val="0"/>
                <w:caps w:val="0"/>
                <w:color w:val="171A1D"/>
                <w:spacing w:val="0"/>
                <w:sz w:val="24"/>
                <w:szCs w:val="24"/>
                <w:highlight w:val="none"/>
                <w:shd w:val="clear" w:color="auto" w:fill="FFFFFF"/>
                <w:lang w:val="en-US" w:eastAsia="zh-CN"/>
              </w:rPr>
              <w:t>1包</w:t>
            </w:r>
          </w:p>
        </w:tc>
        <w:tc>
          <w:tcPr>
            <w:tcW w:w="1624" w:type="dxa"/>
            <w:vAlign w:val="center"/>
          </w:tcPr>
          <w:p w14:paraId="6E3CCDCC">
            <w:pPr>
              <w:kinsoku/>
              <w:wordWrap/>
              <w:overflowPunct/>
              <w:topLinePunct w:val="0"/>
              <w:bidi w:val="0"/>
              <w:jc w:val="center"/>
              <w:outlineLvl w:val="9"/>
              <w:rPr>
                <w:rFonts w:hint="eastAsia"/>
                <w:color w:val="auto"/>
                <w:szCs w:val="21"/>
                <w:highlight w:val="none"/>
              </w:rPr>
            </w:pPr>
          </w:p>
        </w:tc>
        <w:tc>
          <w:tcPr>
            <w:tcW w:w="1390" w:type="dxa"/>
            <w:vAlign w:val="center"/>
          </w:tcPr>
          <w:p w14:paraId="3B85F19E">
            <w:pPr>
              <w:kinsoku/>
              <w:wordWrap/>
              <w:overflowPunct/>
              <w:topLinePunct w:val="0"/>
              <w:bidi w:val="0"/>
              <w:jc w:val="center"/>
              <w:outlineLvl w:val="9"/>
              <w:rPr>
                <w:rFonts w:hint="eastAsia" w:ascii="宋体" w:hAnsi="宋体" w:cs="宋体"/>
                <w:color w:val="auto"/>
                <w:szCs w:val="21"/>
                <w:highlight w:val="none"/>
              </w:rPr>
            </w:pPr>
          </w:p>
        </w:tc>
      </w:tr>
      <w:tr w14:paraId="413A1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941" w:type="dxa"/>
            <w:vAlign w:val="center"/>
          </w:tcPr>
          <w:p w14:paraId="45055FD7">
            <w:pPr>
              <w:kinsoku/>
              <w:wordWrap/>
              <w:overflowPunct/>
              <w:topLinePunct w:val="0"/>
              <w:bidi w:val="0"/>
              <w:jc w:val="center"/>
              <w:outlineLvl w:val="9"/>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3.2.10</w:t>
            </w:r>
          </w:p>
        </w:tc>
        <w:tc>
          <w:tcPr>
            <w:tcW w:w="4046" w:type="dxa"/>
            <w:shd w:val="clear" w:color="auto" w:fill="auto"/>
            <w:vAlign w:val="center"/>
          </w:tcPr>
          <w:p w14:paraId="36E26EF3">
            <w:pPr>
              <w:kinsoku/>
              <w:wordWrap/>
              <w:overflowPunct/>
              <w:topLinePunct w:val="0"/>
              <w:bidi w:val="0"/>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离心管架50ml通用（个）</w:t>
            </w:r>
          </w:p>
        </w:tc>
        <w:tc>
          <w:tcPr>
            <w:tcW w:w="1155" w:type="dxa"/>
            <w:shd w:val="clear" w:color="auto" w:fill="auto"/>
            <w:vAlign w:val="center"/>
          </w:tcPr>
          <w:p w14:paraId="1BA34B11">
            <w:pPr>
              <w:jc w:val="center"/>
              <w:rPr>
                <w:rFonts w:hint="default" w:ascii="宋体" w:hAnsi="宋体" w:eastAsia="宋体" w:cs="宋体"/>
                <w:i w:val="0"/>
                <w:iCs w:val="0"/>
                <w:caps w:val="0"/>
                <w:color w:val="171A1D"/>
                <w:spacing w:val="0"/>
                <w:kern w:val="2"/>
                <w:sz w:val="24"/>
                <w:szCs w:val="24"/>
                <w:highlight w:val="none"/>
                <w:shd w:val="clear" w:color="auto" w:fill="FFFFFF"/>
                <w:lang w:val="en-US" w:eastAsia="zh-CN" w:bidi="ar-SA"/>
              </w:rPr>
            </w:pPr>
            <w:r>
              <w:rPr>
                <w:rFonts w:hint="eastAsia" w:ascii="宋体" w:hAnsi="宋体" w:eastAsia="宋体" w:cs="宋体"/>
                <w:i w:val="0"/>
                <w:iCs w:val="0"/>
                <w:caps w:val="0"/>
                <w:color w:val="171A1D"/>
                <w:spacing w:val="0"/>
                <w:sz w:val="24"/>
                <w:szCs w:val="24"/>
                <w:highlight w:val="none"/>
                <w:shd w:val="clear" w:color="auto" w:fill="FFFFFF"/>
                <w:lang w:val="en-US" w:eastAsia="zh-CN"/>
              </w:rPr>
              <w:t>1个</w:t>
            </w:r>
          </w:p>
        </w:tc>
        <w:tc>
          <w:tcPr>
            <w:tcW w:w="1624" w:type="dxa"/>
            <w:vAlign w:val="center"/>
          </w:tcPr>
          <w:p w14:paraId="7C36F3F8">
            <w:pPr>
              <w:kinsoku/>
              <w:wordWrap/>
              <w:overflowPunct/>
              <w:topLinePunct w:val="0"/>
              <w:bidi w:val="0"/>
              <w:jc w:val="center"/>
              <w:outlineLvl w:val="9"/>
              <w:rPr>
                <w:rFonts w:hint="eastAsia"/>
                <w:color w:val="auto"/>
                <w:szCs w:val="21"/>
                <w:highlight w:val="none"/>
              </w:rPr>
            </w:pPr>
          </w:p>
        </w:tc>
        <w:tc>
          <w:tcPr>
            <w:tcW w:w="1390" w:type="dxa"/>
            <w:vAlign w:val="center"/>
          </w:tcPr>
          <w:p w14:paraId="011BE6DC">
            <w:pPr>
              <w:kinsoku/>
              <w:wordWrap/>
              <w:overflowPunct/>
              <w:topLinePunct w:val="0"/>
              <w:bidi w:val="0"/>
              <w:jc w:val="center"/>
              <w:outlineLvl w:val="9"/>
              <w:rPr>
                <w:rFonts w:hint="eastAsia" w:ascii="宋体" w:hAnsi="宋体" w:cs="宋体"/>
                <w:color w:val="auto"/>
                <w:szCs w:val="21"/>
                <w:highlight w:val="none"/>
              </w:rPr>
            </w:pPr>
          </w:p>
        </w:tc>
      </w:tr>
      <w:tr w14:paraId="72D25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941" w:type="dxa"/>
            <w:vAlign w:val="center"/>
          </w:tcPr>
          <w:p w14:paraId="6AC9E9DF">
            <w:pPr>
              <w:kinsoku/>
              <w:wordWrap/>
              <w:overflowPunct/>
              <w:topLinePunct w:val="0"/>
              <w:bidi w:val="0"/>
              <w:jc w:val="center"/>
              <w:outlineLvl w:val="9"/>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3.2.11</w:t>
            </w:r>
          </w:p>
        </w:tc>
        <w:tc>
          <w:tcPr>
            <w:tcW w:w="4046" w:type="dxa"/>
            <w:shd w:val="clear" w:color="auto" w:fill="auto"/>
            <w:vAlign w:val="center"/>
          </w:tcPr>
          <w:p w14:paraId="449916D3">
            <w:pPr>
              <w:kinsoku/>
              <w:wordWrap/>
              <w:overflowPunct/>
              <w:topLinePunct w:val="0"/>
              <w:bidi w:val="0"/>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白大褂</w:t>
            </w:r>
          </w:p>
        </w:tc>
        <w:tc>
          <w:tcPr>
            <w:tcW w:w="1155" w:type="dxa"/>
            <w:shd w:val="clear" w:color="auto" w:fill="auto"/>
            <w:vAlign w:val="center"/>
          </w:tcPr>
          <w:p w14:paraId="2141B2EA">
            <w:pPr>
              <w:jc w:val="center"/>
              <w:rPr>
                <w:rFonts w:hint="eastAsia" w:ascii="宋体" w:hAnsi="宋体" w:eastAsia="宋体" w:cs="宋体"/>
                <w:i w:val="0"/>
                <w:iCs w:val="0"/>
                <w:caps w:val="0"/>
                <w:color w:val="171A1D"/>
                <w:spacing w:val="0"/>
                <w:kern w:val="2"/>
                <w:sz w:val="24"/>
                <w:szCs w:val="24"/>
                <w:highlight w:val="none"/>
                <w:shd w:val="clear" w:color="auto" w:fill="FFFFFF"/>
                <w:lang w:val="en-US" w:eastAsia="zh-CN" w:bidi="ar-SA"/>
              </w:rPr>
            </w:pPr>
            <w:r>
              <w:rPr>
                <w:rFonts w:hint="eastAsia" w:ascii="宋体" w:hAnsi="宋体" w:eastAsia="宋体" w:cs="宋体"/>
                <w:i w:val="0"/>
                <w:iCs w:val="0"/>
                <w:caps w:val="0"/>
                <w:color w:val="171A1D"/>
                <w:spacing w:val="0"/>
                <w:sz w:val="24"/>
                <w:szCs w:val="24"/>
                <w:highlight w:val="none"/>
                <w:shd w:val="clear" w:color="auto" w:fill="FFFFFF"/>
                <w:lang w:val="en-US" w:eastAsia="zh-CN"/>
              </w:rPr>
              <w:t>2件</w:t>
            </w:r>
          </w:p>
        </w:tc>
        <w:tc>
          <w:tcPr>
            <w:tcW w:w="1624" w:type="dxa"/>
            <w:vAlign w:val="center"/>
          </w:tcPr>
          <w:p w14:paraId="44E13F17">
            <w:pPr>
              <w:kinsoku/>
              <w:wordWrap/>
              <w:overflowPunct/>
              <w:topLinePunct w:val="0"/>
              <w:bidi w:val="0"/>
              <w:jc w:val="center"/>
              <w:outlineLvl w:val="9"/>
              <w:rPr>
                <w:rFonts w:hint="eastAsia"/>
                <w:color w:val="auto"/>
                <w:szCs w:val="21"/>
                <w:highlight w:val="none"/>
              </w:rPr>
            </w:pPr>
          </w:p>
        </w:tc>
        <w:tc>
          <w:tcPr>
            <w:tcW w:w="1390" w:type="dxa"/>
            <w:vAlign w:val="center"/>
          </w:tcPr>
          <w:p w14:paraId="79F255C6">
            <w:pPr>
              <w:kinsoku/>
              <w:wordWrap/>
              <w:overflowPunct/>
              <w:topLinePunct w:val="0"/>
              <w:bidi w:val="0"/>
              <w:jc w:val="center"/>
              <w:outlineLvl w:val="9"/>
              <w:rPr>
                <w:rFonts w:hint="eastAsia" w:ascii="宋体" w:hAnsi="宋体" w:cs="宋体"/>
                <w:color w:val="auto"/>
                <w:szCs w:val="21"/>
                <w:highlight w:val="none"/>
              </w:rPr>
            </w:pPr>
          </w:p>
        </w:tc>
      </w:tr>
      <w:tr w14:paraId="1B996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941" w:type="dxa"/>
            <w:vAlign w:val="center"/>
          </w:tcPr>
          <w:p w14:paraId="10E1FD8C">
            <w:pPr>
              <w:kinsoku/>
              <w:wordWrap/>
              <w:overflowPunct/>
              <w:topLinePunct w:val="0"/>
              <w:bidi w:val="0"/>
              <w:jc w:val="center"/>
              <w:outlineLvl w:val="9"/>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3.2.12</w:t>
            </w:r>
          </w:p>
        </w:tc>
        <w:tc>
          <w:tcPr>
            <w:tcW w:w="4046" w:type="dxa"/>
            <w:shd w:val="clear" w:color="auto" w:fill="auto"/>
            <w:vAlign w:val="center"/>
          </w:tcPr>
          <w:p w14:paraId="531213F8">
            <w:pPr>
              <w:kinsoku/>
              <w:wordWrap/>
              <w:overflowPunct/>
              <w:topLinePunct w:val="0"/>
              <w:bidi w:val="0"/>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玻璃试管10个/包</w:t>
            </w:r>
          </w:p>
        </w:tc>
        <w:tc>
          <w:tcPr>
            <w:tcW w:w="1155" w:type="dxa"/>
            <w:shd w:val="clear" w:color="auto" w:fill="auto"/>
            <w:vAlign w:val="center"/>
          </w:tcPr>
          <w:p w14:paraId="2BD1EE19">
            <w:pPr>
              <w:jc w:val="center"/>
              <w:rPr>
                <w:rFonts w:hint="eastAsia" w:ascii="宋体" w:hAnsi="宋体" w:eastAsia="宋体" w:cs="宋体"/>
                <w:i w:val="0"/>
                <w:iCs w:val="0"/>
                <w:caps w:val="0"/>
                <w:color w:val="171A1D"/>
                <w:spacing w:val="0"/>
                <w:kern w:val="2"/>
                <w:sz w:val="24"/>
                <w:szCs w:val="24"/>
                <w:highlight w:val="none"/>
                <w:shd w:val="clear" w:color="auto" w:fill="FFFFFF"/>
                <w:lang w:val="en-US" w:eastAsia="zh-CN" w:bidi="ar-SA"/>
              </w:rPr>
            </w:pPr>
            <w:r>
              <w:rPr>
                <w:rFonts w:hint="eastAsia" w:ascii="宋体" w:hAnsi="宋体" w:eastAsia="宋体" w:cs="宋体"/>
                <w:i w:val="0"/>
                <w:iCs w:val="0"/>
                <w:caps w:val="0"/>
                <w:color w:val="171A1D"/>
                <w:spacing w:val="0"/>
                <w:sz w:val="24"/>
                <w:szCs w:val="24"/>
                <w:highlight w:val="none"/>
                <w:shd w:val="clear" w:color="auto" w:fill="FFFFFF"/>
                <w:lang w:val="en-US" w:eastAsia="zh-CN"/>
              </w:rPr>
              <w:t>1包</w:t>
            </w:r>
          </w:p>
        </w:tc>
        <w:tc>
          <w:tcPr>
            <w:tcW w:w="1624" w:type="dxa"/>
            <w:vAlign w:val="center"/>
          </w:tcPr>
          <w:p w14:paraId="2B7353A1">
            <w:pPr>
              <w:kinsoku/>
              <w:wordWrap/>
              <w:overflowPunct/>
              <w:topLinePunct w:val="0"/>
              <w:bidi w:val="0"/>
              <w:jc w:val="center"/>
              <w:outlineLvl w:val="9"/>
              <w:rPr>
                <w:rFonts w:hint="eastAsia"/>
                <w:color w:val="auto"/>
                <w:szCs w:val="21"/>
                <w:highlight w:val="none"/>
              </w:rPr>
            </w:pPr>
          </w:p>
        </w:tc>
        <w:tc>
          <w:tcPr>
            <w:tcW w:w="1390" w:type="dxa"/>
            <w:vAlign w:val="center"/>
          </w:tcPr>
          <w:p w14:paraId="70DFF42B">
            <w:pPr>
              <w:kinsoku/>
              <w:wordWrap/>
              <w:overflowPunct/>
              <w:topLinePunct w:val="0"/>
              <w:bidi w:val="0"/>
              <w:jc w:val="center"/>
              <w:outlineLvl w:val="9"/>
              <w:rPr>
                <w:rFonts w:hint="eastAsia" w:ascii="宋体" w:hAnsi="宋体" w:cs="宋体"/>
                <w:color w:val="auto"/>
                <w:szCs w:val="21"/>
                <w:highlight w:val="none"/>
              </w:rPr>
            </w:pPr>
          </w:p>
        </w:tc>
      </w:tr>
      <w:tr w14:paraId="4BD6A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941" w:type="dxa"/>
            <w:vAlign w:val="center"/>
          </w:tcPr>
          <w:p w14:paraId="108FA091">
            <w:pPr>
              <w:kinsoku/>
              <w:wordWrap/>
              <w:overflowPunct/>
              <w:topLinePunct w:val="0"/>
              <w:bidi w:val="0"/>
              <w:jc w:val="center"/>
              <w:outlineLvl w:val="9"/>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3.2.13</w:t>
            </w:r>
          </w:p>
        </w:tc>
        <w:tc>
          <w:tcPr>
            <w:tcW w:w="4046" w:type="dxa"/>
            <w:shd w:val="clear" w:color="auto" w:fill="auto"/>
            <w:vAlign w:val="center"/>
          </w:tcPr>
          <w:p w14:paraId="17379998">
            <w:pPr>
              <w:kinsoku/>
              <w:wordWrap/>
              <w:overflowPunct/>
              <w:topLinePunct w:val="0"/>
              <w:bidi w:val="0"/>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50ml烧杯12个/盒</w:t>
            </w:r>
          </w:p>
        </w:tc>
        <w:tc>
          <w:tcPr>
            <w:tcW w:w="1155" w:type="dxa"/>
            <w:shd w:val="clear" w:color="auto" w:fill="auto"/>
            <w:vAlign w:val="center"/>
          </w:tcPr>
          <w:p w14:paraId="307AA717">
            <w:pPr>
              <w:jc w:val="center"/>
              <w:rPr>
                <w:rFonts w:hint="eastAsia" w:ascii="宋体" w:hAnsi="宋体" w:eastAsia="宋体" w:cs="宋体"/>
                <w:i w:val="0"/>
                <w:iCs w:val="0"/>
                <w:caps w:val="0"/>
                <w:color w:val="171A1D"/>
                <w:spacing w:val="0"/>
                <w:kern w:val="2"/>
                <w:sz w:val="24"/>
                <w:szCs w:val="24"/>
                <w:highlight w:val="none"/>
                <w:shd w:val="clear" w:color="auto" w:fill="FFFFFF"/>
                <w:lang w:val="en-US" w:eastAsia="zh-CN" w:bidi="ar-SA"/>
              </w:rPr>
            </w:pPr>
            <w:r>
              <w:rPr>
                <w:rFonts w:hint="eastAsia" w:ascii="宋体" w:hAnsi="宋体" w:eastAsia="宋体" w:cs="宋体"/>
                <w:i w:val="0"/>
                <w:iCs w:val="0"/>
                <w:caps w:val="0"/>
                <w:color w:val="171A1D"/>
                <w:spacing w:val="0"/>
                <w:sz w:val="24"/>
                <w:szCs w:val="24"/>
                <w:highlight w:val="none"/>
                <w:shd w:val="clear" w:color="auto" w:fill="FFFFFF"/>
                <w:lang w:val="en-US" w:eastAsia="zh-CN"/>
              </w:rPr>
              <w:t>2盒</w:t>
            </w:r>
          </w:p>
        </w:tc>
        <w:tc>
          <w:tcPr>
            <w:tcW w:w="1624" w:type="dxa"/>
            <w:vAlign w:val="center"/>
          </w:tcPr>
          <w:p w14:paraId="21505BA9">
            <w:pPr>
              <w:kinsoku/>
              <w:wordWrap/>
              <w:overflowPunct/>
              <w:topLinePunct w:val="0"/>
              <w:bidi w:val="0"/>
              <w:jc w:val="center"/>
              <w:outlineLvl w:val="9"/>
              <w:rPr>
                <w:rFonts w:hint="eastAsia"/>
                <w:color w:val="auto"/>
                <w:szCs w:val="21"/>
                <w:highlight w:val="none"/>
              </w:rPr>
            </w:pPr>
          </w:p>
        </w:tc>
        <w:tc>
          <w:tcPr>
            <w:tcW w:w="1390" w:type="dxa"/>
            <w:vAlign w:val="center"/>
          </w:tcPr>
          <w:p w14:paraId="4AF81BCA">
            <w:pPr>
              <w:kinsoku/>
              <w:wordWrap/>
              <w:overflowPunct/>
              <w:topLinePunct w:val="0"/>
              <w:bidi w:val="0"/>
              <w:jc w:val="center"/>
              <w:outlineLvl w:val="9"/>
              <w:rPr>
                <w:rFonts w:hint="eastAsia" w:ascii="宋体" w:hAnsi="宋体" w:cs="宋体"/>
                <w:color w:val="auto"/>
                <w:szCs w:val="21"/>
                <w:highlight w:val="none"/>
              </w:rPr>
            </w:pPr>
          </w:p>
        </w:tc>
      </w:tr>
      <w:tr w14:paraId="1E1E7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941" w:type="dxa"/>
            <w:vAlign w:val="center"/>
          </w:tcPr>
          <w:p w14:paraId="62CDF916">
            <w:pPr>
              <w:kinsoku/>
              <w:wordWrap/>
              <w:overflowPunct/>
              <w:topLinePunct w:val="0"/>
              <w:bidi w:val="0"/>
              <w:jc w:val="center"/>
              <w:outlineLvl w:val="9"/>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3.2.14</w:t>
            </w:r>
          </w:p>
        </w:tc>
        <w:tc>
          <w:tcPr>
            <w:tcW w:w="4046" w:type="dxa"/>
            <w:shd w:val="clear" w:color="auto" w:fill="auto"/>
            <w:vAlign w:val="center"/>
          </w:tcPr>
          <w:p w14:paraId="38209942">
            <w:pPr>
              <w:kinsoku/>
              <w:wordWrap/>
              <w:overflowPunct/>
              <w:topLinePunct w:val="0"/>
              <w:bidi w:val="0"/>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试管架</w:t>
            </w:r>
          </w:p>
        </w:tc>
        <w:tc>
          <w:tcPr>
            <w:tcW w:w="1155" w:type="dxa"/>
            <w:shd w:val="clear" w:color="auto" w:fill="auto"/>
            <w:vAlign w:val="center"/>
          </w:tcPr>
          <w:p w14:paraId="1B9F3C5E">
            <w:pPr>
              <w:jc w:val="center"/>
              <w:rPr>
                <w:rFonts w:hint="default" w:ascii="宋体" w:hAnsi="宋体" w:eastAsia="宋体" w:cs="宋体"/>
                <w:i w:val="0"/>
                <w:iCs w:val="0"/>
                <w:caps w:val="0"/>
                <w:color w:val="171A1D"/>
                <w:spacing w:val="0"/>
                <w:kern w:val="2"/>
                <w:sz w:val="24"/>
                <w:szCs w:val="24"/>
                <w:highlight w:val="none"/>
                <w:shd w:val="clear" w:color="auto" w:fill="FFFFFF"/>
                <w:lang w:val="en-US" w:eastAsia="zh-CN" w:bidi="ar-SA"/>
              </w:rPr>
            </w:pPr>
            <w:r>
              <w:rPr>
                <w:rFonts w:hint="eastAsia" w:ascii="宋体" w:hAnsi="宋体" w:eastAsia="宋体" w:cs="宋体"/>
                <w:i w:val="0"/>
                <w:iCs w:val="0"/>
                <w:caps w:val="0"/>
                <w:color w:val="171A1D"/>
                <w:spacing w:val="0"/>
                <w:sz w:val="24"/>
                <w:szCs w:val="24"/>
                <w:highlight w:val="none"/>
                <w:shd w:val="clear" w:color="auto" w:fill="FFFFFF"/>
                <w:lang w:val="en-US" w:eastAsia="zh-CN"/>
              </w:rPr>
              <w:t>1个</w:t>
            </w:r>
          </w:p>
        </w:tc>
        <w:tc>
          <w:tcPr>
            <w:tcW w:w="1624" w:type="dxa"/>
            <w:vAlign w:val="center"/>
          </w:tcPr>
          <w:p w14:paraId="40447059">
            <w:pPr>
              <w:kinsoku/>
              <w:wordWrap/>
              <w:overflowPunct/>
              <w:topLinePunct w:val="0"/>
              <w:bidi w:val="0"/>
              <w:jc w:val="center"/>
              <w:outlineLvl w:val="9"/>
              <w:rPr>
                <w:rFonts w:hint="eastAsia"/>
                <w:color w:val="auto"/>
                <w:szCs w:val="21"/>
                <w:highlight w:val="none"/>
              </w:rPr>
            </w:pPr>
          </w:p>
        </w:tc>
        <w:tc>
          <w:tcPr>
            <w:tcW w:w="1390" w:type="dxa"/>
            <w:vAlign w:val="center"/>
          </w:tcPr>
          <w:p w14:paraId="7410CBD6">
            <w:pPr>
              <w:kinsoku/>
              <w:wordWrap/>
              <w:overflowPunct/>
              <w:topLinePunct w:val="0"/>
              <w:bidi w:val="0"/>
              <w:jc w:val="center"/>
              <w:outlineLvl w:val="9"/>
              <w:rPr>
                <w:rFonts w:hint="eastAsia" w:ascii="宋体" w:hAnsi="宋体" w:cs="宋体"/>
                <w:color w:val="auto"/>
                <w:szCs w:val="21"/>
                <w:highlight w:val="none"/>
              </w:rPr>
            </w:pPr>
          </w:p>
        </w:tc>
      </w:tr>
      <w:tr w14:paraId="786B0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941" w:type="dxa"/>
            <w:vAlign w:val="center"/>
          </w:tcPr>
          <w:p w14:paraId="71DE5862">
            <w:pPr>
              <w:kinsoku/>
              <w:wordWrap/>
              <w:overflowPunct/>
              <w:topLinePunct w:val="0"/>
              <w:bidi w:val="0"/>
              <w:jc w:val="center"/>
              <w:outlineLvl w:val="9"/>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3.2.15</w:t>
            </w:r>
          </w:p>
        </w:tc>
        <w:tc>
          <w:tcPr>
            <w:tcW w:w="4046" w:type="dxa"/>
            <w:shd w:val="clear" w:color="auto" w:fill="auto"/>
            <w:vAlign w:val="center"/>
          </w:tcPr>
          <w:p w14:paraId="31F068EC">
            <w:pPr>
              <w:kinsoku/>
              <w:wordWrap/>
              <w:overflowPunct/>
              <w:topLinePunct w:val="0"/>
              <w:bidi w:val="0"/>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比色皿10个/盒</w:t>
            </w:r>
          </w:p>
        </w:tc>
        <w:tc>
          <w:tcPr>
            <w:tcW w:w="1155" w:type="dxa"/>
            <w:shd w:val="clear" w:color="auto" w:fill="auto"/>
            <w:vAlign w:val="center"/>
          </w:tcPr>
          <w:p w14:paraId="2A7B2344">
            <w:pPr>
              <w:jc w:val="center"/>
              <w:rPr>
                <w:rFonts w:hint="default" w:ascii="宋体" w:hAnsi="宋体" w:eastAsia="宋体" w:cs="宋体"/>
                <w:i w:val="0"/>
                <w:iCs w:val="0"/>
                <w:caps w:val="0"/>
                <w:color w:val="171A1D"/>
                <w:spacing w:val="0"/>
                <w:kern w:val="2"/>
                <w:sz w:val="24"/>
                <w:szCs w:val="24"/>
                <w:highlight w:val="none"/>
                <w:shd w:val="clear" w:color="auto" w:fill="FFFFFF"/>
                <w:lang w:val="en-US" w:eastAsia="zh-CN" w:bidi="ar-SA"/>
              </w:rPr>
            </w:pPr>
            <w:r>
              <w:rPr>
                <w:rFonts w:hint="eastAsia" w:ascii="宋体" w:hAnsi="宋体" w:eastAsia="宋体" w:cs="宋体"/>
                <w:i w:val="0"/>
                <w:iCs w:val="0"/>
                <w:caps w:val="0"/>
                <w:color w:val="171A1D"/>
                <w:spacing w:val="0"/>
                <w:sz w:val="24"/>
                <w:szCs w:val="24"/>
                <w:highlight w:val="none"/>
                <w:shd w:val="clear" w:color="auto" w:fill="FFFFFF"/>
                <w:lang w:val="en-US" w:eastAsia="zh-CN"/>
              </w:rPr>
              <w:t>1盒</w:t>
            </w:r>
          </w:p>
        </w:tc>
        <w:tc>
          <w:tcPr>
            <w:tcW w:w="1624" w:type="dxa"/>
            <w:vAlign w:val="center"/>
          </w:tcPr>
          <w:p w14:paraId="2D22C0E2">
            <w:pPr>
              <w:kinsoku/>
              <w:wordWrap/>
              <w:overflowPunct/>
              <w:topLinePunct w:val="0"/>
              <w:bidi w:val="0"/>
              <w:jc w:val="center"/>
              <w:outlineLvl w:val="9"/>
              <w:rPr>
                <w:rFonts w:hint="eastAsia"/>
                <w:color w:val="auto"/>
                <w:szCs w:val="21"/>
                <w:highlight w:val="none"/>
              </w:rPr>
            </w:pPr>
          </w:p>
        </w:tc>
        <w:tc>
          <w:tcPr>
            <w:tcW w:w="1390" w:type="dxa"/>
            <w:vAlign w:val="center"/>
          </w:tcPr>
          <w:p w14:paraId="4E0AEC5F">
            <w:pPr>
              <w:kinsoku/>
              <w:wordWrap/>
              <w:overflowPunct/>
              <w:topLinePunct w:val="0"/>
              <w:bidi w:val="0"/>
              <w:jc w:val="center"/>
              <w:outlineLvl w:val="9"/>
              <w:rPr>
                <w:rFonts w:hint="eastAsia" w:ascii="宋体" w:hAnsi="宋体" w:cs="宋体"/>
                <w:color w:val="auto"/>
                <w:szCs w:val="21"/>
                <w:highlight w:val="none"/>
              </w:rPr>
            </w:pPr>
          </w:p>
        </w:tc>
      </w:tr>
      <w:tr w14:paraId="614AE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941" w:type="dxa"/>
            <w:vAlign w:val="center"/>
          </w:tcPr>
          <w:p w14:paraId="20B4DB8F">
            <w:pPr>
              <w:kinsoku/>
              <w:wordWrap/>
              <w:overflowPunct/>
              <w:topLinePunct w:val="0"/>
              <w:bidi w:val="0"/>
              <w:jc w:val="center"/>
              <w:outlineLvl w:val="9"/>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3.2.16</w:t>
            </w:r>
          </w:p>
        </w:tc>
        <w:tc>
          <w:tcPr>
            <w:tcW w:w="4046" w:type="dxa"/>
            <w:shd w:val="clear" w:color="auto" w:fill="auto"/>
            <w:vAlign w:val="center"/>
          </w:tcPr>
          <w:p w14:paraId="75E20890">
            <w:pPr>
              <w:kinsoku/>
              <w:wordWrap/>
              <w:overflowPunct/>
              <w:topLinePunct w:val="0"/>
              <w:bidi w:val="0"/>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一次性丁腈手套100个/盒</w:t>
            </w:r>
          </w:p>
        </w:tc>
        <w:tc>
          <w:tcPr>
            <w:tcW w:w="1155" w:type="dxa"/>
            <w:shd w:val="clear" w:color="auto" w:fill="auto"/>
            <w:vAlign w:val="center"/>
          </w:tcPr>
          <w:p w14:paraId="7F0D92FA">
            <w:pPr>
              <w:jc w:val="center"/>
              <w:rPr>
                <w:rFonts w:hint="eastAsia" w:ascii="宋体" w:hAnsi="宋体" w:eastAsia="宋体" w:cs="宋体"/>
                <w:i w:val="0"/>
                <w:iCs w:val="0"/>
                <w:caps w:val="0"/>
                <w:color w:val="171A1D"/>
                <w:spacing w:val="0"/>
                <w:kern w:val="2"/>
                <w:sz w:val="24"/>
                <w:szCs w:val="24"/>
                <w:highlight w:val="none"/>
                <w:shd w:val="clear" w:color="auto" w:fill="FFFFFF"/>
                <w:lang w:val="en-US" w:eastAsia="zh-CN" w:bidi="ar-SA"/>
              </w:rPr>
            </w:pPr>
            <w:r>
              <w:rPr>
                <w:rFonts w:hint="eastAsia" w:ascii="宋体" w:hAnsi="宋体" w:eastAsia="宋体" w:cs="宋体"/>
                <w:i w:val="0"/>
                <w:iCs w:val="0"/>
                <w:caps w:val="0"/>
                <w:color w:val="171A1D"/>
                <w:spacing w:val="0"/>
                <w:sz w:val="24"/>
                <w:szCs w:val="24"/>
                <w:highlight w:val="none"/>
                <w:shd w:val="clear" w:color="auto" w:fill="FFFFFF"/>
                <w:lang w:val="en-US" w:eastAsia="zh-CN"/>
              </w:rPr>
              <w:t>1盒</w:t>
            </w:r>
          </w:p>
        </w:tc>
        <w:tc>
          <w:tcPr>
            <w:tcW w:w="1624" w:type="dxa"/>
            <w:vAlign w:val="center"/>
          </w:tcPr>
          <w:p w14:paraId="0126F004">
            <w:pPr>
              <w:kinsoku/>
              <w:wordWrap/>
              <w:overflowPunct/>
              <w:topLinePunct w:val="0"/>
              <w:bidi w:val="0"/>
              <w:jc w:val="center"/>
              <w:outlineLvl w:val="9"/>
              <w:rPr>
                <w:rFonts w:hint="eastAsia"/>
                <w:color w:val="auto"/>
                <w:szCs w:val="21"/>
                <w:highlight w:val="none"/>
              </w:rPr>
            </w:pPr>
          </w:p>
        </w:tc>
        <w:tc>
          <w:tcPr>
            <w:tcW w:w="1390" w:type="dxa"/>
            <w:vAlign w:val="center"/>
          </w:tcPr>
          <w:p w14:paraId="0FF4BC03">
            <w:pPr>
              <w:kinsoku/>
              <w:wordWrap/>
              <w:overflowPunct/>
              <w:topLinePunct w:val="0"/>
              <w:bidi w:val="0"/>
              <w:jc w:val="center"/>
              <w:outlineLvl w:val="9"/>
              <w:rPr>
                <w:rFonts w:hint="eastAsia" w:ascii="宋体" w:hAnsi="宋体" w:cs="宋体"/>
                <w:color w:val="auto"/>
                <w:szCs w:val="21"/>
                <w:highlight w:val="none"/>
              </w:rPr>
            </w:pPr>
          </w:p>
        </w:tc>
      </w:tr>
      <w:tr w14:paraId="1E33F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941" w:type="dxa"/>
            <w:vAlign w:val="center"/>
          </w:tcPr>
          <w:p w14:paraId="2C766DC4">
            <w:pPr>
              <w:kinsoku/>
              <w:wordWrap/>
              <w:overflowPunct/>
              <w:topLinePunct w:val="0"/>
              <w:bidi w:val="0"/>
              <w:jc w:val="center"/>
              <w:outlineLvl w:val="9"/>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3.2.17</w:t>
            </w:r>
          </w:p>
        </w:tc>
        <w:tc>
          <w:tcPr>
            <w:tcW w:w="4046" w:type="dxa"/>
            <w:shd w:val="clear" w:color="auto" w:fill="auto"/>
            <w:vAlign w:val="center"/>
          </w:tcPr>
          <w:p w14:paraId="30840E97">
            <w:pPr>
              <w:kinsoku/>
              <w:wordWrap/>
              <w:overflowPunct/>
              <w:topLinePunct w:val="0"/>
              <w:bidi w:val="0"/>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采样框30格</w:t>
            </w:r>
          </w:p>
        </w:tc>
        <w:tc>
          <w:tcPr>
            <w:tcW w:w="1155" w:type="dxa"/>
            <w:shd w:val="clear" w:color="auto" w:fill="auto"/>
            <w:vAlign w:val="center"/>
          </w:tcPr>
          <w:p w14:paraId="49ED4CBE">
            <w:pPr>
              <w:jc w:val="center"/>
              <w:rPr>
                <w:rFonts w:hint="default" w:ascii="宋体" w:hAnsi="宋体" w:eastAsia="宋体" w:cs="宋体"/>
                <w:i w:val="0"/>
                <w:iCs w:val="0"/>
                <w:caps w:val="0"/>
                <w:color w:val="171A1D"/>
                <w:spacing w:val="0"/>
                <w:kern w:val="2"/>
                <w:sz w:val="24"/>
                <w:szCs w:val="24"/>
                <w:highlight w:val="none"/>
                <w:shd w:val="clear" w:color="auto" w:fill="FFFFFF"/>
                <w:lang w:val="en-US" w:eastAsia="zh-CN" w:bidi="ar-SA"/>
              </w:rPr>
            </w:pPr>
            <w:r>
              <w:rPr>
                <w:rFonts w:hint="eastAsia" w:ascii="宋体" w:hAnsi="宋体" w:eastAsia="宋体" w:cs="宋体"/>
                <w:i w:val="0"/>
                <w:iCs w:val="0"/>
                <w:caps w:val="0"/>
                <w:color w:val="171A1D"/>
                <w:spacing w:val="0"/>
                <w:sz w:val="24"/>
                <w:szCs w:val="24"/>
                <w:highlight w:val="none"/>
                <w:shd w:val="clear" w:color="auto" w:fill="FFFFFF"/>
                <w:lang w:val="en-US" w:eastAsia="zh-CN"/>
              </w:rPr>
              <w:t>1个</w:t>
            </w:r>
          </w:p>
        </w:tc>
        <w:tc>
          <w:tcPr>
            <w:tcW w:w="1624" w:type="dxa"/>
            <w:vAlign w:val="center"/>
          </w:tcPr>
          <w:p w14:paraId="78693384">
            <w:pPr>
              <w:kinsoku/>
              <w:wordWrap/>
              <w:overflowPunct/>
              <w:topLinePunct w:val="0"/>
              <w:bidi w:val="0"/>
              <w:jc w:val="center"/>
              <w:outlineLvl w:val="9"/>
              <w:rPr>
                <w:rFonts w:hint="eastAsia"/>
                <w:color w:val="auto"/>
                <w:szCs w:val="21"/>
                <w:highlight w:val="none"/>
              </w:rPr>
            </w:pPr>
          </w:p>
        </w:tc>
        <w:tc>
          <w:tcPr>
            <w:tcW w:w="1390" w:type="dxa"/>
            <w:vAlign w:val="center"/>
          </w:tcPr>
          <w:p w14:paraId="7C9FD0B2">
            <w:pPr>
              <w:kinsoku/>
              <w:wordWrap/>
              <w:overflowPunct/>
              <w:topLinePunct w:val="0"/>
              <w:bidi w:val="0"/>
              <w:jc w:val="center"/>
              <w:outlineLvl w:val="9"/>
              <w:rPr>
                <w:rFonts w:hint="eastAsia" w:ascii="宋体" w:hAnsi="宋体" w:cs="宋体"/>
                <w:color w:val="auto"/>
                <w:szCs w:val="21"/>
                <w:highlight w:val="none"/>
              </w:rPr>
            </w:pPr>
          </w:p>
        </w:tc>
      </w:tr>
      <w:tr w14:paraId="3DEB3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941" w:type="dxa"/>
            <w:vAlign w:val="center"/>
          </w:tcPr>
          <w:p w14:paraId="006C135C">
            <w:pPr>
              <w:kinsoku/>
              <w:wordWrap/>
              <w:overflowPunct/>
              <w:topLinePunct w:val="0"/>
              <w:bidi w:val="0"/>
              <w:jc w:val="center"/>
              <w:outlineLvl w:val="9"/>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3.2.18</w:t>
            </w:r>
          </w:p>
        </w:tc>
        <w:tc>
          <w:tcPr>
            <w:tcW w:w="4046" w:type="dxa"/>
            <w:shd w:val="clear" w:color="auto" w:fill="auto"/>
            <w:vAlign w:val="center"/>
          </w:tcPr>
          <w:p w14:paraId="6FA17660">
            <w:pPr>
              <w:kinsoku/>
              <w:wordWrap/>
              <w:overflowPunct/>
              <w:topLinePunct w:val="0"/>
              <w:bidi w:val="0"/>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移液器架</w:t>
            </w:r>
          </w:p>
        </w:tc>
        <w:tc>
          <w:tcPr>
            <w:tcW w:w="1155" w:type="dxa"/>
            <w:shd w:val="clear" w:color="auto" w:fill="auto"/>
            <w:vAlign w:val="center"/>
          </w:tcPr>
          <w:p w14:paraId="5CA2AF80">
            <w:pPr>
              <w:jc w:val="center"/>
              <w:rPr>
                <w:rFonts w:hint="default" w:ascii="宋体" w:hAnsi="宋体" w:eastAsia="宋体" w:cs="宋体"/>
                <w:i w:val="0"/>
                <w:iCs w:val="0"/>
                <w:caps w:val="0"/>
                <w:color w:val="171A1D"/>
                <w:spacing w:val="0"/>
                <w:kern w:val="2"/>
                <w:sz w:val="24"/>
                <w:szCs w:val="24"/>
                <w:highlight w:val="none"/>
                <w:shd w:val="clear" w:color="auto" w:fill="FFFFFF"/>
                <w:lang w:val="en-US" w:eastAsia="zh-CN" w:bidi="ar-SA"/>
              </w:rPr>
            </w:pPr>
            <w:r>
              <w:rPr>
                <w:rFonts w:hint="eastAsia" w:ascii="宋体" w:hAnsi="宋体" w:eastAsia="宋体" w:cs="宋体"/>
                <w:i w:val="0"/>
                <w:iCs w:val="0"/>
                <w:caps w:val="0"/>
                <w:color w:val="171A1D"/>
                <w:spacing w:val="0"/>
                <w:sz w:val="24"/>
                <w:szCs w:val="24"/>
                <w:highlight w:val="none"/>
                <w:shd w:val="clear" w:color="auto" w:fill="FFFFFF"/>
                <w:lang w:val="en-US" w:eastAsia="zh-CN"/>
              </w:rPr>
              <w:t>1个</w:t>
            </w:r>
          </w:p>
        </w:tc>
        <w:tc>
          <w:tcPr>
            <w:tcW w:w="1624" w:type="dxa"/>
            <w:vAlign w:val="center"/>
          </w:tcPr>
          <w:p w14:paraId="7BFCB021">
            <w:pPr>
              <w:kinsoku/>
              <w:wordWrap/>
              <w:overflowPunct/>
              <w:topLinePunct w:val="0"/>
              <w:bidi w:val="0"/>
              <w:jc w:val="center"/>
              <w:outlineLvl w:val="9"/>
              <w:rPr>
                <w:rFonts w:hint="eastAsia"/>
                <w:color w:val="auto"/>
                <w:szCs w:val="21"/>
                <w:highlight w:val="none"/>
              </w:rPr>
            </w:pPr>
          </w:p>
        </w:tc>
        <w:tc>
          <w:tcPr>
            <w:tcW w:w="1390" w:type="dxa"/>
            <w:vAlign w:val="center"/>
          </w:tcPr>
          <w:p w14:paraId="30DCF737">
            <w:pPr>
              <w:kinsoku/>
              <w:wordWrap/>
              <w:overflowPunct/>
              <w:topLinePunct w:val="0"/>
              <w:bidi w:val="0"/>
              <w:jc w:val="center"/>
              <w:outlineLvl w:val="9"/>
              <w:rPr>
                <w:rFonts w:hint="eastAsia" w:ascii="宋体" w:hAnsi="宋体" w:cs="宋体"/>
                <w:color w:val="auto"/>
                <w:szCs w:val="21"/>
                <w:highlight w:val="none"/>
              </w:rPr>
            </w:pPr>
          </w:p>
        </w:tc>
      </w:tr>
      <w:tr w14:paraId="3708F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941" w:type="dxa"/>
            <w:vAlign w:val="center"/>
          </w:tcPr>
          <w:p w14:paraId="18E942AD">
            <w:pPr>
              <w:kinsoku/>
              <w:wordWrap/>
              <w:overflowPunct/>
              <w:topLinePunct w:val="0"/>
              <w:bidi w:val="0"/>
              <w:jc w:val="center"/>
              <w:outlineLvl w:val="9"/>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3.2.19</w:t>
            </w:r>
          </w:p>
        </w:tc>
        <w:tc>
          <w:tcPr>
            <w:tcW w:w="4046" w:type="dxa"/>
            <w:shd w:val="clear" w:color="auto" w:fill="auto"/>
            <w:vAlign w:val="center"/>
          </w:tcPr>
          <w:p w14:paraId="6BCFD4FB">
            <w:pPr>
              <w:kinsoku/>
              <w:wordWrap/>
              <w:overflowPunct/>
              <w:topLinePunct w:val="0"/>
              <w:bidi w:val="0"/>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1ml移液枪头盒</w:t>
            </w:r>
          </w:p>
        </w:tc>
        <w:tc>
          <w:tcPr>
            <w:tcW w:w="1155" w:type="dxa"/>
            <w:shd w:val="clear" w:color="auto" w:fill="auto"/>
            <w:vAlign w:val="center"/>
          </w:tcPr>
          <w:p w14:paraId="36A01F80">
            <w:pPr>
              <w:jc w:val="center"/>
              <w:rPr>
                <w:rFonts w:hint="eastAsia" w:ascii="宋体" w:hAnsi="宋体" w:eastAsia="宋体" w:cs="宋体"/>
                <w:i w:val="0"/>
                <w:iCs w:val="0"/>
                <w:caps w:val="0"/>
                <w:color w:val="171A1D"/>
                <w:spacing w:val="0"/>
                <w:kern w:val="2"/>
                <w:sz w:val="24"/>
                <w:szCs w:val="24"/>
                <w:highlight w:val="none"/>
                <w:shd w:val="clear" w:color="auto" w:fill="FFFFFF"/>
                <w:lang w:val="en-US" w:eastAsia="zh-CN" w:bidi="ar-SA"/>
              </w:rPr>
            </w:pPr>
            <w:r>
              <w:rPr>
                <w:rFonts w:hint="eastAsia" w:ascii="宋体" w:hAnsi="宋体" w:eastAsia="宋体" w:cs="宋体"/>
                <w:i w:val="0"/>
                <w:iCs w:val="0"/>
                <w:caps w:val="0"/>
                <w:color w:val="171A1D"/>
                <w:spacing w:val="0"/>
                <w:sz w:val="24"/>
                <w:szCs w:val="24"/>
                <w:highlight w:val="none"/>
                <w:shd w:val="clear" w:color="auto" w:fill="FFFFFF"/>
                <w:lang w:val="en-US" w:eastAsia="zh-CN"/>
              </w:rPr>
              <w:t>1个</w:t>
            </w:r>
          </w:p>
        </w:tc>
        <w:tc>
          <w:tcPr>
            <w:tcW w:w="1624" w:type="dxa"/>
            <w:vAlign w:val="center"/>
          </w:tcPr>
          <w:p w14:paraId="73E0819E">
            <w:pPr>
              <w:kinsoku/>
              <w:wordWrap/>
              <w:overflowPunct/>
              <w:topLinePunct w:val="0"/>
              <w:bidi w:val="0"/>
              <w:jc w:val="center"/>
              <w:outlineLvl w:val="9"/>
              <w:rPr>
                <w:rFonts w:hint="eastAsia"/>
                <w:color w:val="auto"/>
                <w:szCs w:val="21"/>
                <w:highlight w:val="none"/>
              </w:rPr>
            </w:pPr>
          </w:p>
        </w:tc>
        <w:tc>
          <w:tcPr>
            <w:tcW w:w="1390" w:type="dxa"/>
            <w:vAlign w:val="center"/>
          </w:tcPr>
          <w:p w14:paraId="4DCB4294">
            <w:pPr>
              <w:kinsoku/>
              <w:wordWrap/>
              <w:overflowPunct/>
              <w:topLinePunct w:val="0"/>
              <w:bidi w:val="0"/>
              <w:jc w:val="center"/>
              <w:outlineLvl w:val="9"/>
              <w:rPr>
                <w:rFonts w:hint="eastAsia" w:ascii="宋体" w:hAnsi="宋体" w:cs="宋体"/>
                <w:color w:val="auto"/>
                <w:szCs w:val="21"/>
                <w:highlight w:val="none"/>
              </w:rPr>
            </w:pPr>
          </w:p>
        </w:tc>
      </w:tr>
      <w:tr w14:paraId="2B126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941" w:type="dxa"/>
            <w:vAlign w:val="center"/>
          </w:tcPr>
          <w:p w14:paraId="07CE8883">
            <w:pPr>
              <w:kinsoku/>
              <w:wordWrap/>
              <w:overflowPunct/>
              <w:topLinePunct w:val="0"/>
              <w:bidi w:val="0"/>
              <w:jc w:val="center"/>
              <w:outlineLvl w:val="9"/>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3.2.20</w:t>
            </w:r>
          </w:p>
        </w:tc>
        <w:tc>
          <w:tcPr>
            <w:tcW w:w="4046" w:type="dxa"/>
            <w:shd w:val="clear" w:color="auto" w:fill="auto"/>
            <w:vAlign w:val="center"/>
          </w:tcPr>
          <w:p w14:paraId="1BE94CF1">
            <w:pPr>
              <w:kinsoku/>
              <w:wordWrap/>
              <w:overflowPunct/>
              <w:topLinePunct w:val="0"/>
              <w:bidi w:val="0"/>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5ml移液枪头盒</w:t>
            </w:r>
          </w:p>
        </w:tc>
        <w:tc>
          <w:tcPr>
            <w:tcW w:w="1155" w:type="dxa"/>
            <w:shd w:val="clear" w:color="auto" w:fill="auto"/>
            <w:vAlign w:val="center"/>
          </w:tcPr>
          <w:p w14:paraId="6E735921">
            <w:pPr>
              <w:jc w:val="center"/>
              <w:rPr>
                <w:rFonts w:hint="eastAsia" w:ascii="宋体" w:hAnsi="宋体" w:eastAsia="宋体" w:cs="宋体"/>
                <w:i w:val="0"/>
                <w:iCs w:val="0"/>
                <w:caps w:val="0"/>
                <w:color w:val="171A1D"/>
                <w:spacing w:val="0"/>
                <w:kern w:val="2"/>
                <w:sz w:val="24"/>
                <w:szCs w:val="24"/>
                <w:highlight w:val="none"/>
                <w:shd w:val="clear" w:color="auto" w:fill="FFFFFF"/>
                <w:lang w:val="en-US" w:eastAsia="zh-CN" w:bidi="ar-SA"/>
              </w:rPr>
            </w:pPr>
            <w:r>
              <w:rPr>
                <w:rFonts w:hint="eastAsia" w:ascii="宋体" w:hAnsi="宋体" w:eastAsia="宋体" w:cs="宋体"/>
                <w:i w:val="0"/>
                <w:iCs w:val="0"/>
                <w:caps w:val="0"/>
                <w:color w:val="171A1D"/>
                <w:spacing w:val="0"/>
                <w:sz w:val="24"/>
                <w:szCs w:val="24"/>
                <w:highlight w:val="none"/>
                <w:shd w:val="clear" w:color="auto" w:fill="FFFFFF"/>
                <w:lang w:val="en-US" w:eastAsia="zh-CN"/>
              </w:rPr>
              <w:t>1个</w:t>
            </w:r>
          </w:p>
        </w:tc>
        <w:tc>
          <w:tcPr>
            <w:tcW w:w="1624" w:type="dxa"/>
            <w:vAlign w:val="center"/>
          </w:tcPr>
          <w:p w14:paraId="3B6A2C6C">
            <w:pPr>
              <w:kinsoku/>
              <w:wordWrap/>
              <w:overflowPunct/>
              <w:topLinePunct w:val="0"/>
              <w:bidi w:val="0"/>
              <w:jc w:val="center"/>
              <w:outlineLvl w:val="9"/>
              <w:rPr>
                <w:rFonts w:hint="eastAsia"/>
                <w:color w:val="auto"/>
                <w:szCs w:val="21"/>
                <w:highlight w:val="none"/>
              </w:rPr>
            </w:pPr>
          </w:p>
        </w:tc>
        <w:tc>
          <w:tcPr>
            <w:tcW w:w="1390" w:type="dxa"/>
            <w:vAlign w:val="center"/>
          </w:tcPr>
          <w:p w14:paraId="28353EEB">
            <w:pPr>
              <w:kinsoku/>
              <w:wordWrap/>
              <w:overflowPunct/>
              <w:topLinePunct w:val="0"/>
              <w:bidi w:val="0"/>
              <w:jc w:val="center"/>
              <w:outlineLvl w:val="9"/>
              <w:rPr>
                <w:rFonts w:hint="eastAsia" w:ascii="宋体" w:hAnsi="宋体" w:cs="宋体"/>
                <w:color w:val="auto"/>
                <w:szCs w:val="21"/>
                <w:highlight w:val="none"/>
              </w:rPr>
            </w:pPr>
          </w:p>
        </w:tc>
      </w:tr>
      <w:tr w14:paraId="22688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142" w:type="dxa"/>
            <w:gridSpan w:val="3"/>
            <w:vAlign w:val="center"/>
          </w:tcPr>
          <w:p w14:paraId="4DEE2848">
            <w:pPr>
              <w:kinsoku/>
              <w:wordWrap/>
              <w:overflowPunct/>
              <w:topLinePunct w:val="0"/>
              <w:bidi w:val="0"/>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投标综合单价（元）【序号1+序号2+序号3】</w:t>
            </w:r>
          </w:p>
        </w:tc>
        <w:tc>
          <w:tcPr>
            <w:tcW w:w="3014" w:type="dxa"/>
            <w:gridSpan w:val="2"/>
            <w:vAlign w:val="center"/>
          </w:tcPr>
          <w:p w14:paraId="399C96A9">
            <w:pPr>
              <w:kinsoku/>
              <w:wordWrap/>
              <w:overflowPunct/>
              <w:topLinePunct w:val="0"/>
              <w:bidi w:val="0"/>
              <w:jc w:val="center"/>
              <w:outlineLvl w:val="9"/>
              <w:rPr>
                <w:rFonts w:hint="eastAsia"/>
                <w:color w:val="auto"/>
                <w:szCs w:val="21"/>
                <w:highlight w:val="none"/>
              </w:rPr>
            </w:pPr>
          </w:p>
        </w:tc>
      </w:tr>
    </w:tbl>
    <w:p w14:paraId="4BB9C21F">
      <w:pPr>
        <w:pStyle w:val="33"/>
        <w:kinsoku/>
        <w:wordWrap/>
        <w:overflowPunct/>
        <w:topLinePunct w:val="0"/>
        <w:bidi w:val="0"/>
        <w:snapToGrid w:val="0"/>
        <w:outlineLvl w:val="9"/>
        <w:rPr>
          <w:rFonts w:hint="default" w:hAnsi="宋体" w:eastAsia="宋体" w:cs="宋体"/>
          <w:color w:val="auto"/>
          <w:highlight w:val="none"/>
          <w:lang w:val="en-US" w:eastAsia="zh-CN"/>
        </w:rPr>
      </w:pPr>
    </w:p>
    <w:p w14:paraId="0693CDC2">
      <w:pPr>
        <w:snapToGrid w:val="0"/>
        <w:spacing w:line="360" w:lineRule="auto"/>
        <w:ind w:firstLine="480" w:firstLineChars="200"/>
        <w:jc w:val="left"/>
        <w:rPr>
          <w:rFonts w:hint="default"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说明：1、以上分项报价按1个快检室建设计算，其投标综合单价需与开标一览表（报价表）中</w:t>
      </w:r>
      <w:r>
        <w:rPr>
          <w:rFonts w:hint="eastAsia" w:ascii="宋体" w:hAnsi="宋体" w:eastAsia="宋体" w:cs="宋体"/>
          <w:color w:val="auto"/>
          <w:sz w:val="24"/>
          <w:szCs w:val="24"/>
          <w:highlight w:val="none"/>
        </w:rPr>
        <w:t>快检室建设</w:t>
      </w:r>
      <w:r>
        <w:rPr>
          <w:rFonts w:hint="eastAsia" w:ascii="宋体" w:hAnsi="宋体" w:eastAsia="宋体" w:cs="宋体"/>
          <w:color w:val="auto"/>
          <w:sz w:val="24"/>
          <w:szCs w:val="24"/>
          <w:highlight w:val="none"/>
          <w:lang w:val="en-US" w:eastAsia="zh-CN"/>
        </w:rPr>
        <w:t>投标综合单价一致，否则作无效标处理。</w:t>
      </w:r>
    </w:p>
    <w:p w14:paraId="449124A1">
      <w:pPr>
        <w:pStyle w:val="61"/>
        <w:kinsoku/>
        <w:wordWrap/>
        <w:overflowPunct/>
        <w:topLinePunct w:val="0"/>
        <w:bidi w:val="0"/>
        <w:outlineLvl w:val="9"/>
        <w:rPr>
          <w:color w:val="auto"/>
          <w:highlight w:val="none"/>
          <w:lang w:val="zh-CN"/>
        </w:rPr>
      </w:pPr>
    </w:p>
    <w:p w14:paraId="4322EB37">
      <w:pPr>
        <w:kinsoku/>
        <w:wordWrap/>
        <w:overflowPunct/>
        <w:topLinePunct w:val="0"/>
        <w:autoSpaceDE w:val="0"/>
        <w:autoSpaceDN w:val="0"/>
        <w:bidi w:val="0"/>
        <w:spacing w:line="360" w:lineRule="auto"/>
        <w:ind w:left="2" w:leftChars="1" w:right="1120" w:firstLine="4560" w:firstLineChars="19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供应商名称（电子签名）：                                                                                                                                                                           </w:t>
      </w:r>
    </w:p>
    <w:p w14:paraId="53EB23EE">
      <w:pPr>
        <w:kinsoku/>
        <w:wordWrap/>
        <w:overflowPunct/>
        <w:topLinePunct w:val="0"/>
        <w:autoSpaceDE w:val="0"/>
        <w:autoSpaceDN w:val="0"/>
        <w:bidi w:val="0"/>
        <w:spacing w:line="360" w:lineRule="auto"/>
        <w:ind w:left="2" w:leftChars="1" w:right="1120" w:firstLine="4560" w:firstLineChars="1900"/>
        <w:jc w:val="left"/>
        <w:outlineLvl w:val="9"/>
        <w:rPr>
          <w:rFonts w:ascii="宋体" w:hAnsi="宋体" w:eastAsia="宋体" w:cs="宋体"/>
          <w:color w:val="auto"/>
          <w:kern w:val="2"/>
          <w:sz w:val="32"/>
          <w:szCs w:val="32"/>
          <w:highlight w:val="none"/>
        </w:rPr>
      </w:pPr>
      <w:r>
        <w:rPr>
          <w:rFonts w:hint="eastAsia" w:ascii="宋体" w:hAnsi="宋体" w:cs="宋体"/>
          <w:color w:val="auto"/>
          <w:kern w:val="0"/>
          <w:sz w:val="24"/>
          <w:highlight w:val="none"/>
          <w:lang w:val="zh-CN"/>
        </w:rPr>
        <w:t>日期：   年   月   日</w:t>
      </w:r>
    </w:p>
    <w:p w14:paraId="1C592100">
      <w:pPr>
        <w:rPr>
          <w:rFonts w:ascii="宋体" w:hAnsi="宋体" w:eastAsia="宋体" w:cs="宋体"/>
          <w:color w:val="auto"/>
          <w:kern w:val="2"/>
          <w:sz w:val="32"/>
          <w:szCs w:val="32"/>
          <w:highlight w:val="none"/>
        </w:rPr>
      </w:pPr>
      <w:r>
        <w:rPr>
          <w:rFonts w:ascii="宋体" w:hAnsi="宋体" w:eastAsia="宋体" w:cs="宋体"/>
          <w:color w:val="auto"/>
          <w:kern w:val="2"/>
          <w:sz w:val="32"/>
          <w:szCs w:val="32"/>
          <w:highlight w:val="none"/>
        </w:rPr>
        <w:br w:type="page"/>
      </w:r>
    </w:p>
    <w:p w14:paraId="5E7689BB">
      <w:pPr>
        <w:pStyle w:val="696"/>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sectPr>
          <w:pgSz w:w="11906" w:h="16838"/>
          <w:pgMar w:top="1247" w:right="1418" w:bottom="1276" w:left="1418" w:header="851" w:footer="992" w:gutter="0"/>
          <w:cols w:space="720" w:num="1"/>
          <w:titlePg/>
          <w:docGrid w:linePitch="312" w:charSpace="0"/>
        </w:sectPr>
      </w:pPr>
    </w:p>
    <w:p w14:paraId="720913E6">
      <w:pPr>
        <w:pStyle w:val="696"/>
        <w:keepNext w:val="0"/>
        <w:pageBreakBefore w:val="0"/>
        <w:tabs>
          <w:tab w:val="clear" w:pos="720"/>
        </w:tabs>
        <w:snapToGrid w:val="0"/>
        <w:spacing w:before="120" w:after="120"/>
        <w:ind w:firstLine="643"/>
        <w:outlineLvl w:val="9"/>
        <w:rPr>
          <w:rFonts w:ascii="宋体" w:hAnsi="宋体" w:eastAsia="宋体" w:cs="宋体"/>
          <w:sz w:val="32"/>
          <w:szCs w:val="32"/>
          <w:highlight w:val="none"/>
        </w:rPr>
      </w:pPr>
      <w:r>
        <w:rPr>
          <w:rFonts w:hint="eastAsia" w:ascii="宋体" w:hAnsi="宋体" w:eastAsia="宋体" w:cs="宋体"/>
          <w:kern w:val="2"/>
          <w:sz w:val="32"/>
          <w:szCs w:val="32"/>
          <w:highlight w:val="none"/>
          <w:lang w:val="en-US" w:eastAsia="zh-CN"/>
        </w:rPr>
        <w:t>三</w:t>
      </w:r>
      <w:r>
        <w:rPr>
          <w:rFonts w:hint="eastAsia" w:ascii="宋体" w:hAnsi="宋体" w:eastAsia="宋体" w:cs="宋体"/>
          <w:kern w:val="2"/>
          <w:sz w:val="32"/>
          <w:szCs w:val="32"/>
          <w:highlight w:val="none"/>
        </w:rPr>
        <w:t>、</w:t>
      </w:r>
      <w:r>
        <w:rPr>
          <w:rFonts w:hint="eastAsia" w:ascii="宋体" w:hAnsi="宋体" w:eastAsia="宋体" w:cs="宋体"/>
          <w:sz w:val="32"/>
          <w:szCs w:val="32"/>
          <w:highlight w:val="none"/>
        </w:rPr>
        <w:t>中小企业声明函（如果有）</w:t>
      </w:r>
    </w:p>
    <w:p w14:paraId="59899BEC">
      <w:pPr>
        <w:widowControl/>
        <w:spacing w:line="360" w:lineRule="auto"/>
        <w:ind w:firstLine="120" w:firstLineChars="50"/>
        <w:jc w:val="left"/>
        <w:rPr>
          <w:rFonts w:ascii="宋体" w:hAnsi="宋体" w:cs="宋体"/>
          <w:b/>
          <w:sz w:val="24"/>
          <w:highlight w:val="none"/>
        </w:rPr>
        <w:sectPr>
          <w:headerReference r:id="rId22" w:type="first"/>
          <w:footerReference r:id="rId25" w:type="first"/>
          <w:headerReference r:id="rId21" w:type="default"/>
          <w:footerReference r:id="rId23" w:type="default"/>
          <w:footerReference r:id="rId24" w:type="even"/>
          <w:pgSz w:w="11906" w:h="16838"/>
          <w:pgMar w:top="1276" w:right="1418" w:bottom="1247" w:left="1418" w:header="851" w:footer="992" w:gutter="0"/>
          <w:cols w:space="720" w:num="1"/>
          <w:titlePg/>
          <w:docGrid w:linePitch="312" w:charSpace="0"/>
        </w:sectPr>
      </w:pPr>
      <w:r>
        <w:rPr>
          <w:rFonts w:hint="eastAsia" w:ascii="宋体" w:hAnsi="宋体" w:cs="宋体"/>
          <w:b/>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hint="eastAsia" w:ascii="宋体" w:hAnsi="宋体" w:cs="宋体"/>
          <w:b/>
          <w:sz w:val="24"/>
          <w:highlight w:val="none"/>
          <w:lang w:val="en-US" w:eastAsia="zh-CN"/>
        </w:rPr>
        <w:t>7</w:t>
      </w:r>
      <w:r>
        <w:rPr>
          <w:rFonts w:hint="eastAsia" w:ascii="宋体" w:hAnsi="宋体" w:cs="宋体"/>
          <w:b/>
          <w:sz w:val="24"/>
          <w:highlight w:val="none"/>
        </w:rPr>
        <w:t>）。]</w:t>
      </w:r>
    </w:p>
    <w:p w14:paraId="0FAB3379">
      <w:pPr>
        <w:pStyle w:val="2"/>
        <w:keepNext w:val="0"/>
        <w:keepLines w:val="0"/>
        <w:pageBreakBefore/>
        <w:widowControl/>
        <w:spacing w:before="100" w:beforeAutospacing="1" w:after="100" w:afterAutospacing="1" w:line="360" w:lineRule="auto"/>
        <w:ind w:left="1290" w:firstLine="3092" w:firstLineChars="700"/>
        <w:rPr>
          <w:rFonts w:ascii="宋体" w:hAnsi="宋体" w:cs="宋体"/>
          <w:highlight w:val="none"/>
        </w:rPr>
      </w:pPr>
      <w:bookmarkStart w:id="534" w:name="_Toc3024"/>
      <w:r>
        <w:rPr>
          <w:rFonts w:hint="eastAsia" w:ascii="宋体" w:hAnsi="宋体" w:cs="宋体"/>
          <w:highlight w:val="none"/>
        </w:rPr>
        <w:t>附件</w:t>
      </w:r>
      <w:bookmarkEnd w:id="534"/>
    </w:p>
    <w:p w14:paraId="35E25E3B">
      <w:pPr>
        <w:spacing w:line="360" w:lineRule="auto"/>
        <w:rPr>
          <w:rFonts w:ascii="宋体" w:hAnsi="宋体" w:cs="宋体"/>
          <w:b/>
          <w:spacing w:val="6"/>
          <w:sz w:val="32"/>
          <w:szCs w:val="32"/>
          <w:highlight w:val="none"/>
        </w:rPr>
      </w:pPr>
      <w:r>
        <w:rPr>
          <w:rFonts w:hint="eastAsia" w:ascii="宋体" w:hAnsi="宋体" w:cs="宋体"/>
          <w:b/>
          <w:spacing w:val="6"/>
          <w:sz w:val="32"/>
          <w:szCs w:val="32"/>
          <w:highlight w:val="none"/>
        </w:rPr>
        <w:t>附件1：</w:t>
      </w:r>
    </w:p>
    <w:p w14:paraId="4845DCE4">
      <w:pPr>
        <w:spacing w:line="360" w:lineRule="auto"/>
        <w:jc w:val="center"/>
        <w:rPr>
          <w:rFonts w:ascii="宋体" w:hAnsi="宋体" w:cs="宋体"/>
          <w:b/>
          <w:spacing w:val="6"/>
          <w:sz w:val="32"/>
          <w:szCs w:val="32"/>
          <w:highlight w:val="none"/>
        </w:rPr>
      </w:pPr>
      <w:bookmarkStart w:id="535" w:name="OLE_LINK14"/>
      <w:bookmarkStart w:id="536" w:name="OLE_LINK13"/>
      <w:r>
        <w:rPr>
          <w:rFonts w:hint="eastAsia" w:ascii="宋体" w:hAnsi="宋体" w:cs="宋体"/>
          <w:b/>
          <w:spacing w:val="6"/>
          <w:sz w:val="32"/>
          <w:szCs w:val="32"/>
          <w:highlight w:val="none"/>
        </w:rPr>
        <w:t>残疾人福利性单位声明函</w:t>
      </w:r>
    </w:p>
    <w:bookmarkEnd w:id="535"/>
    <w:bookmarkEnd w:id="536"/>
    <w:p w14:paraId="3B380067">
      <w:pPr>
        <w:spacing w:line="360" w:lineRule="auto"/>
        <w:rPr>
          <w:rFonts w:ascii="宋体" w:hAnsi="宋体" w:cs="宋体"/>
          <w:b/>
          <w:spacing w:val="6"/>
          <w:sz w:val="30"/>
          <w:szCs w:val="30"/>
          <w:highlight w:val="none"/>
        </w:rPr>
      </w:pPr>
    </w:p>
    <w:p w14:paraId="6E7446A2">
      <w:pPr>
        <w:spacing w:line="360" w:lineRule="auto"/>
        <w:ind w:firstLine="480" w:firstLineChars="200"/>
        <w:rPr>
          <w:rFonts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highlight w:val="none"/>
          <w:lang w:eastAsia="zh-CN"/>
        </w:rPr>
        <w:t>（</w:t>
      </w:r>
      <w:r>
        <w:rPr>
          <w:rFonts w:hint="eastAsia" w:ascii="宋体" w:hAnsi="宋体" w:cs="宋体"/>
          <w:sz w:val="24"/>
          <w:highlight w:val="none"/>
          <w:u w:val="single"/>
        </w:rPr>
        <w:t>采购人</w:t>
      </w:r>
      <w:r>
        <w:rPr>
          <w:rFonts w:hint="eastAsia" w:ascii="宋体" w:hAnsi="宋体" w:cs="宋体"/>
          <w:sz w:val="24"/>
          <w:highlight w:val="none"/>
          <w:u w:val="single"/>
          <w:lang w:eastAsia="zh-CN"/>
        </w:rPr>
        <w:t>）</w:t>
      </w:r>
      <w:r>
        <w:rPr>
          <w:rFonts w:hint="eastAsia" w:ascii="宋体" w:hAnsi="宋体" w:cs="宋体"/>
          <w:sz w:val="24"/>
          <w:highlight w:val="none"/>
        </w:rPr>
        <w:t>_单位的_</w:t>
      </w:r>
      <w:r>
        <w:rPr>
          <w:rFonts w:hint="eastAsia" w:ascii="宋体" w:hAnsi="宋体" w:cs="宋体"/>
          <w:sz w:val="24"/>
          <w:highlight w:val="none"/>
          <w:u w:val="single"/>
          <w:lang w:eastAsia="zh-CN"/>
        </w:rPr>
        <w:t>菜篮子食品安全“你点我检”放心工程(生鲜食材快检)</w:t>
      </w:r>
      <w:r>
        <w:rPr>
          <w:rFonts w:hint="eastAsia" w:ascii="宋体" w:hAnsi="宋体" w:cs="宋体"/>
          <w:sz w:val="24"/>
          <w:highlight w:val="none"/>
        </w:rPr>
        <w:t>__采购活动提供本单位制造的货物（由本单位承担工程/提供服务），或者提供其他残疾人福利性单位制造的货物（不包括使用非残疾人福利性单位注册商标的货物）。</w:t>
      </w:r>
    </w:p>
    <w:p w14:paraId="7DC69F2C">
      <w:pPr>
        <w:spacing w:line="360" w:lineRule="auto"/>
        <w:ind w:firstLine="480" w:firstLineChars="200"/>
        <w:rPr>
          <w:rFonts w:ascii="宋体" w:hAnsi="宋体" w:cs="宋体"/>
          <w:sz w:val="24"/>
          <w:highlight w:val="none"/>
        </w:rPr>
      </w:pPr>
      <w:r>
        <w:rPr>
          <w:rFonts w:hint="eastAsia" w:ascii="宋体" w:hAnsi="宋体" w:cs="宋体"/>
          <w:sz w:val="24"/>
          <w:highlight w:val="none"/>
        </w:rPr>
        <w:t>本单位对上述声明的真实性负责。如有虚假，将依法承担相应责任。</w:t>
      </w:r>
    </w:p>
    <w:p w14:paraId="47D55199">
      <w:pPr>
        <w:spacing w:line="360" w:lineRule="auto"/>
        <w:ind w:firstLine="480" w:firstLineChars="200"/>
        <w:rPr>
          <w:rFonts w:ascii="宋体" w:hAnsi="宋体" w:cs="宋体"/>
          <w:sz w:val="24"/>
          <w:highlight w:val="none"/>
        </w:rPr>
      </w:pPr>
    </w:p>
    <w:p w14:paraId="5DA822BD">
      <w:pPr>
        <w:spacing w:line="360" w:lineRule="auto"/>
        <w:ind w:firstLine="480" w:firstLineChars="200"/>
        <w:rPr>
          <w:rFonts w:ascii="宋体" w:hAnsi="宋体" w:cs="宋体"/>
          <w:sz w:val="24"/>
          <w:highlight w:val="none"/>
        </w:rPr>
      </w:pPr>
    </w:p>
    <w:p w14:paraId="1649836E">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kern w:val="0"/>
          <w:sz w:val="24"/>
          <w:highlight w:val="none"/>
          <w:lang w:val="zh-CN"/>
        </w:rPr>
        <w:t>投标人名称（电子签名）</w:t>
      </w:r>
      <w:r>
        <w:rPr>
          <w:rFonts w:hint="eastAsia" w:ascii="宋体" w:hAnsi="宋体" w:cs="宋体"/>
          <w:sz w:val="24"/>
          <w:highlight w:val="none"/>
        </w:rPr>
        <w:t>：</w:t>
      </w:r>
    </w:p>
    <w:p w14:paraId="1D43D37A">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日  期：</w:t>
      </w:r>
    </w:p>
    <w:p w14:paraId="4E14B1DB">
      <w:pPr>
        <w:spacing w:line="360" w:lineRule="auto"/>
        <w:ind w:firstLine="480" w:firstLineChars="200"/>
        <w:rPr>
          <w:rFonts w:ascii="宋体" w:hAnsi="宋体" w:cs="宋体"/>
          <w:sz w:val="24"/>
          <w:highlight w:val="none"/>
        </w:rPr>
      </w:pPr>
    </w:p>
    <w:p w14:paraId="0AF803CA">
      <w:pPr>
        <w:spacing w:line="360" w:lineRule="auto"/>
        <w:ind w:firstLine="420" w:firstLineChars="200"/>
        <w:rPr>
          <w:rFonts w:ascii="宋体" w:hAnsi="宋体" w:cs="宋体"/>
          <w:highlight w:val="none"/>
        </w:rPr>
      </w:pPr>
    </w:p>
    <w:p w14:paraId="67B61F11">
      <w:pPr>
        <w:spacing w:line="360" w:lineRule="auto"/>
        <w:ind w:firstLine="420" w:firstLineChars="200"/>
        <w:rPr>
          <w:rFonts w:ascii="宋体" w:hAnsi="宋体" w:cs="宋体"/>
          <w:highlight w:val="none"/>
        </w:rPr>
      </w:pPr>
    </w:p>
    <w:p w14:paraId="50D2C257">
      <w:pPr>
        <w:spacing w:line="360" w:lineRule="auto"/>
        <w:ind w:firstLine="420" w:firstLineChars="200"/>
        <w:rPr>
          <w:rFonts w:ascii="宋体" w:hAnsi="宋体" w:cs="宋体"/>
          <w:highlight w:val="none"/>
        </w:rPr>
      </w:pPr>
    </w:p>
    <w:p w14:paraId="4076646A">
      <w:pPr>
        <w:spacing w:line="360" w:lineRule="auto"/>
        <w:ind w:firstLine="420" w:firstLineChars="200"/>
        <w:rPr>
          <w:rFonts w:ascii="宋体" w:hAnsi="宋体" w:cs="宋体"/>
          <w:highlight w:val="none"/>
        </w:rPr>
      </w:pPr>
    </w:p>
    <w:p w14:paraId="18F70410">
      <w:pPr>
        <w:spacing w:line="360" w:lineRule="auto"/>
        <w:rPr>
          <w:rFonts w:ascii="宋体" w:hAnsi="宋体" w:cs="宋体"/>
          <w:b/>
          <w:sz w:val="24"/>
          <w:highlight w:val="none"/>
        </w:rPr>
      </w:pPr>
    </w:p>
    <w:p w14:paraId="57638D36">
      <w:pPr>
        <w:spacing w:line="360" w:lineRule="auto"/>
        <w:rPr>
          <w:rFonts w:ascii="宋体" w:hAnsi="宋体" w:cs="宋体"/>
          <w:b/>
          <w:sz w:val="24"/>
          <w:highlight w:val="none"/>
        </w:rPr>
      </w:pPr>
    </w:p>
    <w:p w14:paraId="212D41B0">
      <w:pPr>
        <w:spacing w:line="360" w:lineRule="auto"/>
        <w:rPr>
          <w:rFonts w:ascii="宋体" w:hAnsi="宋体" w:cs="宋体"/>
          <w:b/>
          <w:sz w:val="24"/>
          <w:highlight w:val="none"/>
        </w:rPr>
      </w:pPr>
    </w:p>
    <w:p w14:paraId="603DB415">
      <w:pPr>
        <w:spacing w:line="360" w:lineRule="auto"/>
        <w:rPr>
          <w:rFonts w:ascii="宋体" w:hAnsi="宋体" w:cs="宋体"/>
          <w:b/>
          <w:sz w:val="24"/>
          <w:highlight w:val="none"/>
        </w:rPr>
      </w:pPr>
    </w:p>
    <w:p w14:paraId="3A327DD8">
      <w:pPr>
        <w:spacing w:line="360" w:lineRule="auto"/>
        <w:rPr>
          <w:rFonts w:ascii="宋体" w:hAnsi="宋体" w:cs="宋体"/>
          <w:b/>
          <w:sz w:val="24"/>
          <w:highlight w:val="none"/>
        </w:rPr>
      </w:pPr>
    </w:p>
    <w:p w14:paraId="3E1296BE">
      <w:pPr>
        <w:spacing w:line="360" w:lineRule="auto"/>
        <w:rPr>
          <w:rFonts w:ascii="宋体" w:hAnsi="宋体" w:cs="宋体"/>
          <w:b/>
          <w:sz w:val="24"/>
          <w:highlight w:val="none"/>
        </w:rPr>
      </w:pPr>
    </w:p>
    <w:p w14:paraId="6A2DD79B">
      <w:pPr>
        <w:spacing w:line="360" w:lineRule="auto"/>
        <w:rPr>
          <w:rFonts w:ascii="宋体" w:hAnsi="宋体" w:cs="宋体"/>
          <w:b/>
          <w:sz w:val="24"/>
          <w:highlight w:val="none"/>
        </w:rPr>
      </w:pPr>
    </w:p>
    <w:p w14:paraId="7BB53450">
      <w:pPr>
        <w:spacing w:line="360" w:lineRule="auto"/>
        <w:rPr>
          <w:rFonts w:ascii="宋体" w:hAnsi="宋体" w:cs="宋体"/>
          <w:b/>
          <w:sz w:val="24"/>
          <w:highlight w:val="none"/>
        </w:rPr>
      </w:pPr>
    </w:p>
    <w:p w14:paraId="71A4ED8D">
      <w:pPr>
        <w:spacing w:line="360" w:lineRule="auto"/>
        <w:rPr>
          <w:rFonts w:ascii="宋体" w:hAnsi="宋体" w:cs="宋体"/>
          <w:b/>
          <w:spacing w:val="6"/>
          <w:sz w:val="32"/>
          <w:szCs w:val="32"/>
          <w:highlight w:val="none"/>
        </w:rPr>
      </w:pPr>
    </w:p>
    <w:p w14:paraId="5F3A2A3D">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w:t>
      </w:r>
      <w:r>
        <w:rPr>
          <w:rFonts w:hint="eastAsia" w:ascii="宋体" w:hAnsi="宋体" w:cs="宋体"/>
          <w:b/>
          <w:spacing w:val="6"/>
          <w:sz w:val="32"/>
          <w:szCs w:val="32"/>
          <w:highlight w:val="none"/>
          <w:lang w:val="en-US" w:eastAsia="zh-CN"/>
        </w:rPr>
        <w:t>2</w:t>
      </w:r>
      <w:r>
        <w:rPr>
          <w:rFonts w:hint="eastAsia" w:ascii="宋体" w:hAnsi="宋体" w:cs="宋体"/>
          <w:b/>
          <w:spacing w:val="6"/>
          <w:sz w:val="32"/>
          <w:szCs w:val="32"/>
          <w:highlight w:val="none"/>
        </w:rPr>
        <w:t>：质疑函范本及制作说明</w:t>
      </w:r>
    </w:p>
    <w:p w14:paraId="55735547">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质疑函范本</w:t>
      </w:r>
    </w:p>
    <w:p w14:paraId="449B6CF1">
      <w:pPr>
        <w:snapToGrid w:val="0"/>
        <w:spacing w:before="240" w:beforeLines="100" w:line="360" w:lineRule="auto"/>
        <w:rPr>
          <w:rFonts w:ascii="宋体" w:hAnsi="宋体" w:cs="宋体"/>
          <w:bCs/>
          <w:sz w:val="24"/>
          <w:highlight w:val="none"/>
        </w:rPr>
      </w:pPr>
      <w:r>
        <w:rPr>
          <w:rFonts w:hint="eastAsia" w:ascii="宋体" w:hAnsi="宋体" w:cs="宋体"/>
          <w:bCs/>
          <w:sz w:val="24"/>
          <w:highlight w:val="none"/>
        </w:rPr>
        <w:t>一、质疑供应商基本信息</w:t>
      </w:r>
    </w:p>
    <w:p w14:paraId="19AF45D3">
      <w:pPr>
        <w:snapToGrid w:val="0"/>
        <w:spacing w:line="360" w:lineRule="auto"/>
        <w:rPr>
          <w:rFonts w:ascii="宋体" w:hAnsi="宋体" w:cs="宋体"/>
          <w:sz w:val="24"/>
          <w:highlight w:val="none"/>
          <w:u w:val="dotted"/>
        </w:rPr>
      </w:pPr>
      <w:r>
        <w:rPr>
          <w:rFonts w:hint="eastAsia" w:ascii="宋体" w:hAnsi="宋体" w:cs="宋体"/>
          <w:sz w:val="24"/>
          <w:highlight w:val="none"/>
        </w:rPr>
        <w:t>质疑供应商：</w:t>
      </w:r>
      <w:r>
        <w:rPr>
          <w:rFonts w:hint="eastAsia" w:ascii="宋体" w:hAnsi="宋体" w:cs="宋体"/>
          <w:sz w:val="24"/>
          <w:highlight w:val="none"/>
          <w:u w:val="dotted"/>
        </w:rPr>
        <w:t xml:space="preserve">                                        </w:t>
      </w:r>
    </w:p>
    <w:p w14:paraId="7416752F">
      <w:pPr>
        <w:snapToGrid w:val="0"/>
        <w:spacing w:line="360" w:lineRule="auto"/>
        <w:rPr>
          <w:rFonts w:ascii="宋体" w:hAnsi="宋体" w:cs="宋体"/>
          <w:sz w:val="24"/>
          <w:highlight w:val="none"/>
        </w:rPr>
      </w:pPr>
      <w:r>
        <w:rPr>
          <w:rFonts w:hint="eastAsia" w:ascii="宋体" w:hAnsi="宋体" w:cs="宋体"/>
          <w:sz w:val="24"/>
          <w:highlight w:val="none"/>
        </w:rPr>
        <w:t>地址：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1C9A7B7F">
      <w:pPr>
        <w:snapToGrid w:val="0"/>
        <w:spacing w:line="360" w:lineRule="auto"/>
        <w:rPr>
          <w:rFonts w:ascii="宋体" w:hAnsi="宋体" w:cs="宋体"/>
          <w:sz w:val="24"/>
          <w:highlight w:val="non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6D806E82">
      <w:pPr>
        <w:snapToGrid w:val="0"/>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p>
    <w:p w14:paraId="731C53FB">
      <w:pPr>
        <w:snapToGrid w:val="0"/>
        <w:spacing w:line="360" w:lineRule="auto"/>
        <w:rPr>
          <w:rFonts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20CEAD76">
      <w:pPr>
        <w:snapToGrid w:val="0"/>
        <w:spacing w:line="360" w:lineRule="auto"/>
        <w:rPr>
          <w:rFonts w:ascii="宋体" w:hAnsi="宋体" w:cs="宋体"/>
          <w:sz w:val="24"/>
          <w:highlight w:val="none"/>
        </w:rPr>
      </w:pPr>
      <w:r>
        <w:rPr>
          <w:rFonts w:hint="eastAsia" w:ascii="宋体" w:hAnsi="宋体" w:cs="宋体"/>
          <w:sz w:val="24"/>
          <w:highlight w:val="none"/>
        </w:rPr>
        <w:t xml:space="preserve">地址： </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33E14349">
      <w:pPr>
        <w:snapToGrid w:val="0"/>
        <w:spacing w:line="360" w:lineRule="auto"/>
        <w:rPr>
          <w:rFonts w:ascii="宋体" w:hAnsi="宋体" w:cs="宋体"/>
          <w:bCs/>
          <w:sz w:val="24"/>
          <w:highlight w:val="none"/>
        </w:rPr>
      </w:pPr>
      <w:r>
        <w:rPr>
          <w:rFonts w:hint="eastAsia" w:ascii="宋体" w:hAnsi="宋体" w:cs="宋体"/>
          <w:bCs/>
          <w:sz w:val="24"/>
          <w:highlight w:val="none"/>
        </w:rPr>
        <w:t>二、质疑项目基本情况</w:t>
      </w:r>
    </w:p>
    <w:p w14:paraId="63DF22EE">
      <w:pPr>
        <w:snapToGrid w:val="0"/>
        <w:spacing w:line="360" w:lineRule="auto"/>
        <w:rPr>
          <w:rFonts w:ascii="宋体" w:hAnsi="宋体" w:cs="宋体"/>
          <w:sz w:val="24"/>
          <w:highlight w:val="none"/>
        </w:rPr>
      </w:pPr>
      <w:r>
        <w:rPr>
          <w:rFonts w:hint="eastAsia" w:ascii="宋体" w:hAnsi="宋体" w:cs="宋体"/>
          <w:sz w:val="24"/>
          <w:highlight w:val="none"/>
        </w:rPr>
        <w:t>质疑项目的名称：</w:t>
      </w:r>
      <w:r>
        <w:rPr>
          <w:rFonts w:hint="eastAsia" w:ascii="宋体" w:hAnsi="宋体" w:cs="宋体"/>
          <w:sz w:val="24"/>
          <w:highlight w:val="none"/>
          <w:u w:val="dotted"/>
        </w:rPr>
        <w:t xml:space="preserve">                                      </w:t>
      </w:r>
    </w:p>
    <w:p w14:paraId="024BF562">
      <w:pPr>
        <w:snapToGrid w:val="0"/>
        <w:spacing w:line="360" w:lineRule="auto"/>
        <w:rPr>
          <w:rFonts w:ascii="宋体" w:hAnsi="宋体" w:cs="宋体"/>
          <w:sz w:val="24"/>
          <w:highlight w:val="none"/>
        </w:rPr>
      </w:pPr>
      <w:r>
        <w:rPr>
          <w:rFonts w:hint="eastAsia" w:ascii="宋体" w:hAnsi="宋体" w:cs="宋体"/>
          <w:sz w:val="24"/>
          <w:highlight w:val="none"/>
        </w:rPr>
        <w:t>质疑项目的编号：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371159D0">
      <w:pPr>
        <w:snapToGrid w:val="0"/>
        <w:spacing w:line="360" w:lineRule="auto"/>
        <w:rPr>
          <w:rFonts w:ascii="宋体" w:hAnsi="宋体" w:cs="宋体"/>
          <w:sz w:val="24"/>
          <w:highlight w:val="none"/>
          <w:u w:val="dotted"/>
        </w:rPr>
      </w:pPr>
      <w:r>
        <w:rPr>
          <w:rFonts w:hint="eastAsia" w:ascii="宋体" w:hAnsi="宋体" w:cs="宋体"/>
          <w:sz w:val="24"/>
          <w:highlight w:val="none"/>
        </w:rPr>
        <w:t>采购人名称：</w:t>
      </w:r>
      <w:r>
        <w:rPr>
          <w:rFonts w:hint="eastAsia" w:ascii="宋体" w:hAnsi="宋体" w:cs="宋体"/>
          <w:sz w:val="24"/>
          <w:highlight w:val="none"/>
          <w:u w:val="dotted"/>
        </w:rPr>
        <w:t xml:space="preserve">                                         </w:t>
      </w:r>
    </w:p>
    <w:p w14:paraId="2FAF56A9">
      <w:pPr>
        <w:snapToGrid w:val="0"/>
        <w:spacing w:line="360" w:lineRule="auto"/>
        <w:rPr>
          <w:rFonts w:ascii="宋体" w:hAnsi="宋体" w:cs="宋体"/>
          <w:sz w:val="24"/>
          <w:highlight w:val="none"/>
        </w:rPr>
      </w:pPr>
      <w:r>
        <w:rPr>
          <w:rFonts w:hint="eastAsia" w:ascii="宋体" w:hAnsi="宋体" w:cs="宋体"/>
          <w:sz w:val="24"/>
          <w:highlight w:val="none"/>
        </w:rPr>
        <w:t>采购文件获取日期：</w:t>
      </w:r>
      <w:r>
        <w:rPr>
          <w:rFonts w:hint="eastAsia" w:ascii="宋体" w:hAnsi="宋体" w:cs="宋体"/>
          <w:sz w:val="24"/>
          <w:highlight w:val="none"/>
          <w:u w:val="dotted"/>
        </w:rPr>
        <w:t xml:space="preserve">                                           </w:t>
      </w:r>
    </w:p>
    <w:p w14:paraId="749C508E">
      <w:pPr>
        <w:snapToGrid w:val="0"/>
        <w:spacing w:line="360" w:lineRule="auto"/>
        <w:rPr>
          <w:rFonts w:ascii="宋体" w:hAnsi="宋体" w:cs="宋体"/>
          <w:bCs/>
          <w:sz w:val="24"/>
          <w:highlight w:val="none"/>
        </w:rPr>
      </w:pPr>
      <w:r>
        <w:rPr>
          <w:rFonts w:hint="eastAsia" w:ascii="宋体" w:hAnsi="宋体" w:cs="宋体"/>
          <w:bCs/>
          <w:sz w:val="24"/>
          <w:highlight w:val="none"/>
        </w:rPr>
        <w:t>三、质疑事项具体内容</w:t>
      </w:r>
    </w:p>
    <w:p w14:paraId="2BCB5C83">
      <w:pPr>
        <w:snapToGrid w:val="0"/>
        <w:spacing w:line="360" w:lineRule="auto"/>
        <w:rPr>
          <w:rFonts w:ascii="宋体" w:hAnsi="宋体" w:cs="宋体"/>
          <w:sz w:val="24"/>
          <w:highlight w:val="none"/>
          <w:u w:val="dotted"/>
        </w:rPr>
      </w:pPr>
      <w:r>
        <w:rPr>
          <w:rFonts w:hint="eastAsia" w:ascii="宋体" w:hAnsi="宋体" w:cs="宋体"/>
          <w:sz w:val="24"/>
          <w:highlight w:val="none"/>
        </w:rPr>
        <w:t>质疑事项1：</w:t>
      </w:r>
      <w:r>
        <w:rPr>
          <w:rFonts w:hint="eastAsia" w:ascii="宋体" w:hAnsi="宋体" w:cs="宋体"/>
          <w:sz w:val="24"/>
          <w:highlight w:val="none"/>
          <w:u w:val="dotted"/>
        </w:rPr>
        <w:t xml:space="preserve">                                         </w:t>
      </w:r>
    </w:p>
    <w:p w14:paraId="33A8C9E8">
      <w:pPr>
        <w:snapToGrid w:val="0"/>
        <w:spacing w:line="360" w:lineRule="auto"/>
        <w:rPr>
          <w:rFonts w:ascii="宋体" w:hAnsi="宋体" w:cs="宋体"/>
          <w:sz w:val="24"/>
          <w:highlight w:val="none"/>
          <w:u w:val="dotted"/>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6D56AB96">
      <w:pPr>
        <w:snapToGrid w:val="0"/>
        <w:spacing w:line="360" w:lineRule="auto"/>
        <w:rPr>
          <w:rFonts w:ascii="宋体" w:hAnsi="宋体" w:cs="宋体"/>
          <w:sz w:val="24"/>
          <w:highlight w:val="none"/>
        </w:rPr>
      </w:pPr>
      <w:r>
        <w:rPr>
          <w:rFonts w:hint="eastAsia" w:ascii="宋体" w:hAnsi="宋体" w:cs="宋体"/>
          <w:sz w:val="24"/>
          <w:highlight w:val="none"/>
          <w:u w:val="dotted"/>
        </w:rPr>
        <w:t xml:space="preserve">                                                       </w:t>
      </w:r>
    </w:p>
    <w:p w14:paraId="31017F52">
      <w:pPr>
        <w:snapToGrid w:val="0"/>
        <w:spacing w:line="360" w:lineRule="auto"/>
        <w:rPr>
          <w:rFonts w:ascii="宋体" w:hAnsi="宋体" w:cs="宋体"/>
          <w:sz w:val="24"/>
          <w:highlight w:val="none"/>
          <w:u w:val="dotted"/>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217E40F0">
      <w:pPr>
        <w:snapToGrid w:val="0"/>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038DE9FE">
      <w:pPr>
        <w:snapToGrid w:val="0"/>
        <w:spacing w:line="360" w:lineRule="auto"/>
        <w:rPr>
          <w:rFonts w:ascii="宋体" w:hAnsi="宋体" w:cs="宋体"/>
          <w:sz w:val="24"/>
          <w:highlight w:val="none"/>
          <w:u w:val="dotted"/>
        </w:rPr>
      </w:pPr>
      <w:r>
        <w:rPr>
          <w:rFonts w:hint="eastAsia" w:ascii="宋体" w:hAnsi="宋体" w:cs="宋体"/>
          <w:sz w:val="24"/>
          <w:highlight w:val="none"/>
        </w:rPr>
        <w:t>质疑事项2</w:t>
      </w:r>
    </w:p>
    <w:p w14:paraId="76566E97">
      <w:pPr>
        <w:snapToGrid w:val="0"/>
        <w:spacing w:line="360" w:lineRule="auto"/>
        <w:rPr>
          <w:rFonts w:ascii="宋体" w:hAnsi="宋体" w:cs="宋体"/>
          <w:sz w:val="24"/>
          <w:highlight w:val="none"/>
        </w:rPr>
      </w:pPr>
      <w:r>
        <w:rPr>
          <w:rFonts w:hint="eastAsia" w:ascii="宋体" w:hAnsi="宋体" w:cs="宋体"/>
          <w:sz w:val="24"/>
          <w:highlight w:val="none"/>
        </w:rPr>
        <w:t>……</w:t>
      </w:r>
    </w:p>
    <w:p w14:paraId="6CDD9555">
      <w:pPr>
        <w:snapToGrid w:val="0"/>
        <w:spacing w:line="360" w:lineRule="auto"/>
        <w:rPr>
          <w:rFonts w:ascii="宋体" w:hAnsi="宋体" w:cs="宋体"/>
          <w:bCs/>
          <w:sz w:val="24"/>
          <w:highlight w:val="none"/>
        </w:rPr>
      </w:pPr>
      <w:r>
        <w:rPr>
          <w:rFonts w:hint="eastAsia" w:ascii="宋体" w:hAnsi="宋体" w:cs="宋体"/>
          <w:bCs/>
          <w:sz w:val="24"/>
          <w:highlight w:val="none"/>
        </w:rPr>
        <w:t>四、与质疑事项相关的质疑请求</w:t>
      </w:r>
    </w:p>
    <w:p w14:paraId="0BB6CF19">
      <w:pPr>
        <w:snapToGrid w:val="0"/>
        <w:spacing w:line="360" w:lineRule="auto"/>
        <w:rPr>
          <w:rFonts w:ascii="宋体" w:hAnsi="宋体" w:cs="宋体"/>
          <w:sz w:val="24"/>
          <w:highlight w:val="none"/>
          <w:u w:val="dotted"/>
        </w:rPr>
      </w:pPr>
      <w:r>
        <w:rPr>
          <w:rFonts w:hint="eastAsia" w:ascii="宋体" w:hAnsi="宋体" w:cs="宋体"/>
          <w:sz w:val="24"/>
          <w:highlight w:val="none"/>
        </w:rPr>
        <w:t>请求：</w:t>
      </w:r>
      <w:r>
        <w:rPr>
          <w:rFonts w:hint="eastAsia" w:ascii="宋体" w:hAnsi="宋体" w:cs="宋体"/>
          <w:sz w:val="24"/>
          <w:highlight w:val="none"/>
          <w:u w:val="dotted"/>
        </w:rPr>
        <w:t xml:space="preserve">                                               </w:t>
      </w:r>
    </w:p>
    <w:p w14:paraId="7F33B73D">
      <w:pPr>
        <w:spacing w:line="360" w:lineRule="auto"/>
        <w:rPr>
          <w:rFonts w:ascii="宋体" w:hAnsi="宋体" w:cs="宋体"/>
          <w:sz w:val="24"/>
          <w:highlight w:val="none"/>
        </w:rPr>
      </w:pPr>
      <w:r>
        <w:rPr>
          <w:rFonts w:hint="eastAsia" w:ascii="宋体" w:hAnsi="宋体" w:cs="宋体"/>
          <w:sz w:val="24"/>
          <w:highlight w:val="none"/>
        </w:rPr>
        <w:t>签字</w:t>
      </w:r>
      <w:r>
        <w:rPr>
          <w:rFonts w:hint="eastAsia" w:ascii="宋体" w:hAnsi="宋体" w:cs="宋体"/>
          <w:sz w:val="24"/>
          <w:highlight w:val="none"/>
          <w:lang w:eastAsia="zh-CN"/>
        </w:rPr>
        <w:t>（</w:t>
      </w:r>
      <w:r>
        <w:rPr>
          <w:rFonts w:hint="eastAsia" w:ascii="宋体" w:hAnsi="宋体" w:cs="宋体"/>
          <w:sz w:val="24"/>
          <w:highlight w:val="none"/>
        </w:rPr>
        <w:t>签章</w:t>
      </w:r>
      <w:r>
        <w:rPr>
          <w:rFonts w:hint="eastAsia" w:ascii="宋体" w:hAnsi="宋体" w:cs="宋体"/>
          <w:sz w:val="24"/>
          <w:highlight w:val="none"/>
          <w:lang w:eastAsia="zh-CN"/>
        </w:rPr>
        <w:t>）</w:t>
      </w:r>
      <w:r>
        <w:rPr>
          <w:rFonts w:hint="eastAsia" w:ascii="宋体" w:hAnsi="宋体" w:cs="宋体"/>
          <w:sz w:val="24"/>
          <w:highlight w:val="none"/>
        </w:rPr>
        <w:t xml:space="preserve">：                   公章：                      </w:t>
      </w:r>
    </w:p>
    <w:p w14:paraId="7E099219">
      <w:pPr>
        <w:spacing w:line="360" w:lineRule="auto"/>
        <w:rPr>
          <w:rFonts w:ascii="宋体" w:hAnsi="宋体" w:cs="宋体"/>
          <w:sz w:val="24"/>
          <w:highlight w:val="none"/>
        </w:rPr>
      </w:pPr>
      <w:r>
        <w:rPr>
          <w:rFonts w:hint="eastAsia" w:ascii="宋体" w:hAnsi="宋体" w:cs="宋体"/>
          <w:sz w:val="24"/>
          <w:highlight w:val="none"/>
        </w:rPr>
        <w:t xml:space="preserve">日期：    </w:t>
      </w:r>
    </w:p>
    <w:p w14:paraId="5036BB59">
      <w:pPr>
        <w:spacing w:line="360" w:lineRule="auto"/>
        <w:jc w:val="center"/>
        <w:rPr>
          <w:rFonts w:ascii="宋体" w:hAnsi="宋体" w:cs="宋体"/>
          <w:b/>
          <w:bCs/>
          <w:sz w:val="24"/>
          <w:highlight w:val="none"/>
        </w:rPr>
      </w:pPr>
    </w:p>
    <w:p w14:paraId="5EBE1F52">
      <w:pPr>
        <w:spacing w:line="360" w:lineRule="auto"/>
        <w:rPr>
          <w:rFonts w:ascii="宋体" w:hAnsi="宋体" w:cs="宋体"/>
          <w:b/>
          <w:sz w:val="24"/>
          <w:highlight w:val="none"/>
        </w:rPr>
      </w:pPr>
    </w:p>
    <w:p w14:paraId="3EC46C66">
      <w:pPr>
        <w:spacing w:line="360" w:lineRule="auto"/>
        <w:rPr>
          <w:rFonts w:ascii="宋体" w:hAnsi="宋体" w:cs="宋体"/>
          <w:b/>
          <w:sz w:val="24"/>
          <w:highlight w:val="none"/>
        </w:rPr>
      </w:pPr>
    </w:p>
    <w:p w14:paraId="107F5635">
      <w:pPr>
        <w:spacing w:line="360" w:lineRule="auto"/>
        <w:rPr>
          <w:rFonts w:ascii="宋体" w:hAnsi="宋体" w:cs="宋体"/>
          <w:b/>
          <w:sz w:val="24"/>
          <w:highlight w:val="none"/>
        </w:rPr>
      </w:pPr>
    </w:p>
    <w:p w14:paraId="001AD7DF">
      <w:pPr>
        <w:spacing w:line="360" w:lineRule="auto"/>
        <w:rPr>
          <w:rFonts w:ascii="宋体" w:hAnsi="宋体" w:cs="宋体"/>
          <w:b/>
          <w:sz w:val="24"/>
          <w:highlight w:val="none"/>
        </w:rPr>
      </w:pPr>
      <w:r>
        <w:rPr>
          <w:rFonts w:hint="eastAsia" w:ascii="宋体" w:hAnsi="宋体" w:cs="宋体"/>
          <w:b/>
          <w:sz w:val="24"/>
          <w:highlight w:val="none"/>
        </w:rPr>
        <w:t>质疑函制作说明：</w:t>
      </w:r>
    </w:p>
    <w:p w14:paraId="20D8245C">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1.供应商提出质疑时，应提交质疑函和必要的证明材料。</w:t>
      </w:r>
    </w:p>
    <w:p w14:paraId="1EF7A68E">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2.质疑供应商若委托代理人进行质疑的，质疑函应按要求列明“授权代表”的有关内容，并在附件中提交由质疑</w:t>
      </w:r>
      <w:r>
        <w:rPr>
          <w:rFonts w:hint="eastAsia" w:ascii="宋体" w:hAnsi="宋体" w:cs="宋体"/>
          <w:kern w:val="0"/>
          <w:sz w:val="24"/>
          <w:highlight w:val="none"/>
        </w:rPr>
        <w:t>供应商签署的授权委托书。授权委托书应载明代理人的姓名或者名称、代理事项、具体权限、期限和相关事项。</w:t>
      </w:r>
    </w:p>
    <w:p w14:paraId="1DBD623D">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3.质疑供应商若对项目的某一分包进行质疑，质疑函中应列明具体分包号。</w:t>
      </w:r>
    </w:p>
    <w:p w14:paraId="056E9109">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4.质疑函的质疑事项应具体、明确，并有必要的事实依据和法律依据。</w:t>
      </w:r>
    </w:p>
    <w:p w14:paraId="7DBEB5B2">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5.质疑函的质疑请求应与质疑事项相关。</w:t>
      </w:r>
    </w:p>
    <w:p w14:paraId="184D6D0B">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6.质疑供应商为自然人的，质疑函应由本人签字；质疑供应商为法人或者其他组织的，质疑函应由法定代表人、主要负责人，或者其授权代表签字或者盖章，并加盖公章。</w:t>
      </w:r>
    </w:p>
    <w:p w14:paraId="6D5D10BE">
      <w:pPr>
        <w:widowControl/>
        <w:spacing w:line="360" w:lineRule="auto"/>
        <w:ind w:firstLine="600" w:firstLineChars="200"/>
        <w:jc w:val="left"/>
        <w:rPr>
          <w:rFonts w:ascii="宋体" w:hAnsi="宋体" w:cs="宋体"/>
          <w:sz w:val="30"/>
          <w:szCs w:val="30"/>
          <w:highlight w:val="none"/>
        </w:rPr>
      </w:pPr>
    </w:p>
    <w:p w14:paraId="26582962">
      <w:pPr>
        <w:spacing w:line="360" w:lineRule="auto"/>
        <w:jc w:val="center"/>
        <w:rPr>
          <w:rFonts w:ascii="宋体" w:hAnsi="宋体" w:cs="宋体"/>
          <w:b/>
          <w:spacing w:val="6"/>
          <w:sz w:val="32"/>
          <w:szCs w:val="32"/>
          <w:highlight w:val="none"/>
        </w:rPr>
      </w:pPr>
    </w:p>
    <w:p w14:paraId="1F385EB5">
      <w:pPr>
        <w:spacing w:line="360" w:lineRule="auto"/>
        <w:jc w:val="center"/>
        <w:rPr>
          <w:rFonts w:ascii="宋体" w:hAnsi="宋体" w:cs="宋体"/>
          <w:b/>
          <w:spacing w:val="6"/>
          <w:sz w:val="32"/>
          <w:szCs w:val="32"/>
          <w:highlight w:val="none"/>
        </w:rPr>
      </w:pPr>
    </w:p>
    <w:p w14:paraId="509611E1">
      <w:pPr>
        <w:spacing w:line="360" w:lineRule="auto"/>
        <w:jc w:val="center"/>
        <w:rPr>
          <w:rFonts w:ascii="宋体" w:hAnsi="宋体" w:cs="宋体"/>
          <w:b/>
          <w:spacing w:val="6"/>
          <w:sz w:val="32"/>
          <w:szCs w:val="32"/>
          <w:highlight w:val="none"/>
        </w:rPr>
      </w:pPr>
    </w:p>
    <w:p w14:paraId="2838D38F">
      <w:pPr>
        <w:spacing w:line="360" w:lineRule="auto"/>
        <w:jc w:val="center"/>
        <w:rPr>
          <w:rFonts w:ascii="宋体" w:hAnsi="宋体" w:cs="宋体"/>
          <w:b/>
          <w:spacing w:val="6"/>
          <w:sz w:val="32"/>
          <w:szCs w:val="32"/>
          <w:highlight w:val="none"/>
        </w:rPr>
      </w:pPr>
    </w:p>
    <w:p w14:paraId="2718E13A">
      <w:pPr>
        <w:spacing w:line="360" w:lineRule="auto"/>
        <w:jc w:val="center"/>
        <w:rPr>
          <w:rFonts w:ascii="宋体" w:hAnsi="宋体" w:cs="宋体"/>
          <w:b/>
          <w:spacing w:val="6"/>
          <w:sz w:val="32"/>
          <w:szCs w:val="32"/>
          <w:highlight w:val="none"/>
        </w:rPr>
      </w:pPr>
    </w:p>
    <w:p w14:paraId="00854478">
      <w:pPr>
        <w:spacing w:line="360" w:lineRule="auto"/>
        <w:jc w:val="center"/>
        <w:rPr>
          <w:rFonts w:ascii="宋体" w:hAnsi="宋体" w:cs="宋体"/>
          <w:b/>
          <w:spacing w:val="6"/>
          <w:sz w:val="32"/>
          <w:szCs w:val="32"/>
          <w:highlight w:val="none"/>
        </w:rPr>
      </w:pPr>
    </w:p>
    <w:p w14:paraId="13A04D45">
      <w:pPr>
        <w:spacing w:line="360" w:lineRule="auto"/>
        <w:jc w:val="center"/>
        <w:rPr>
          <w:rFonts w:ascii="宋体" w:hAnsi="宋体" w:cs="宋体"/>
          <w:b/>
          <w:spacing w:val="6"/>
          <w:sz w:val="32"/>
          <w:szCs w:val="32"/>
          <w:highlight w:val="none"/>
        </w:rPr>
      </w:pPr>
    </w:p>
    <w:p w14:paraId="07C100DA">
      <w:pPr>
        <w:spacing w:line="360" w:lineRule="auto"/>
        <w:jc w:val="center"/>
        <w:rPr>
          <w:rFonts w:ascii="宋体" w:hAnsi="宋体" w:cs="宋体"/>
          <w:b/>
          <w:spacing w:val="6"/>
          <w:sz w:val="32"/>
          <w:szCs w:val="32"/>
          <w:highlight w:val="none"/>
        </w:rPr>
      </w:pPr>
    </w:p>
    <w:p w14:paraId="124A4D54">
      <w:pPr>
        <w:spacing w:line="360" w:lineRule="auto"/>
        <w:jc w:val="center"/>
        <w:rPr>
          <w:rFonts w:ascii="宋体" w:hAnsi="宋体" w:cs="宋体"/>
          <w:b/>
          <w:spacing w:val="6"/>
          <w:sz w:val="32"/>
          <w:szCs w:val="32"/>
          <w:highlight w:val="none"/>
        </w:rPr>
      </w:pPr>
    </w:p>
    <w:p w14:paraId="47854C18">
      <w:pPr>
        <w:spacing w:line="360" w:lineRule="auto"/>
        <w:jc w:val="center"/>
        <w:rPr>
          <w:rFonts w:ascii="宋体" w:hAnsi="宋体" w:cs="宋体"/>
          <w:b/>
          <w:spacing w:val="6"/>
          <w:sz w:val="32"/>
          <w:szCs w:val="32"/>
          <w:highlight w:val="none"/>
        </w:rPr>
      </w:pPr>
    </w:p>
    <w:p w14:paraId="5FC51C3B">
      <w:pPr>
        <w:spacing w:line="360" w:lineRule="auto"/>
        <w:jc w:val="center"/>
        <w:rPr>
          <w:rFonts w:ascii="宋体" w:hAnsi="宋体" w:cs="宋体"/>
          <w:b/>
          <w:spacing w:val="6"/>
          <w:sz w:val="32"/>
          <w:szCs w:val="32"/>
          <w:highlight w:val="none"/>
        </w:rPr>
      </w:pPr>
    </w:p>
    <w:p w14:paraId="27D8EE0F">
      <w:pPr>
        <w:spacing w:line="360" w:lineRule="auto"/>
        <w:jc w:val="center"/>
        <w:rPr>
          <w:rFonts w:ascii="宋体" w:hAnsi="宋体" w:cs="宋体"/>
          <w:b/>
          <w:spacing w:val="6"/>
          <w:sz w:val="32"/>
          <w:szCs w:val="32"/>
          <w:highlight w:val="none"/>
        </w:rPr>
      </w:pPr>
    </w:p>
    <w:p w14:paraId="48317B22">
      <w:pPr>
        <w:spacing w:line="360" w:lineRule="auto"/>
        <w:jc w:val="left"/>
        <w:rPr>
          <w:rFonts w:ascii="宋体" w:hAnsi="宋体" w:cs="宋体"/>
          <w:b/>
          <w:spacing w:val="6"/>
          <w:sz w:val="32"/>
          <w:szCs w:val="32"/>
          <w:highlight w:val="none"/>
        </w:rPr>
      </w:pPr>
    </w:p>
    <w:p w14:paraId="2D4D9E58">
      <w:pPr>
        <w:spacing w:line="360" w:lineRule="auto"/>
        <w:jc w:val="left"/>
        <w:rPr>
          <w:rFonts w:ascii="宋体" w:hAnsi="宋体" w:cs="宋体"/>
          <w:b/>
          <w:spacing w:val="6"/>
          <w:sz w:val="32"/>
          <w:szCs w:val="32"/>
          <w:highlight w:val="none"/>
        </w:rPr>
      </w:pPr>
    </w:p>
    <w:p w14:paraId="15C06B64">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w:t>
      </w:r>
      <w:r>
        <w:rPr>
          <w:rFonts w:hint="eastAsia" w:ascii="宋体" w:hAnsi="宋体" w:cs="宋体"/>
          <w:b/>
          <w:spacing w:val="6"/>
          <w:sz w:val="32"/>
          <w:szCs w:val="32"/>
          <w:highlight w:val="none"/>
          <w:lang w:val="en-US" w:eastAsia="zh-CN"/>
        </w:rPr>
        <w:t>3</w:t>
      </w:r>
      <w:r>
        <w:rPr>
          <w:rFonts w:hint="eastAsia" w:ascii="宋体" w:hAnsi="宋体" w:cs="宋体"/>
          <w:b/>
          <w:spacing w:val="6"/>
          <w:sz w:val="32"/>
          <w:szCs w:val="32"/>
          <w:highlight w:val="none"/>
        </w:rPr>
        <w:t>：投诉书范本及制作说明</w:t>
      </w:r>
    </w:p>
    <w:p w14:paraId="11E49181">
      <w:pPr>
        <w:spacing w:line="360" w:lineRule="auto"/>
        <w:jc w:val="center"/>
        <w:rPr>
          <w:rFonts w:ascii="宋体" w:hAnsi="宋体" w:cs="宋体"/>
          <w:b/>
          <w:sz w:val="24"/>
          <w:highlight w:val="none"/>
        </w:rPr>
      </w:pPr>
    </w:p>
    <w:p w14:paraId="08AEC1DB">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投诉书范本</w:t>
      </w:r>
    </w:p>
    <w:p w14:paraId="334FA6AE">
      <w:pPr>
        <w:spacing w:line="360" w:lineRule="auto"/>
        <w:rPr>
          <w:rFonts w:ascii="宋体" w:hAnsi="宋体" w:cs="宋体"/>
          <w:sz w:val="24"/>
          <w:highlight w:val="none"/>
        </w:rPr>
      </w:pPr>
      <w:r>
        <w:rPr>
          <w:rFonts w:hint="eastAsia" w:ascii="宋体" w:hAnsi="宋体" w:cs="宋体"/>
          <w:sz w:val="24"/>
          <w:highlight w:val="none"/>
        </w:rPr>
        <w:t>一、投诉相关主体基本情况</w:t>
      </w:r>
    </w:p>
    <w:p w14:paraId="11BA3CED">
      <w:pPr>
        <w:spacing w:line="360" w:lineRule="auto"/>
        <w:rPr>
          <w:rFonts w:ascii="宋体" w:hAnsi="宋体" w:cs="宋体"/>
          <w:sz w:val="24"/>
          <w:highlight w:val="none"/>
          <w:u w:val="dotted"/>
        </w:rPr>
      </w:pPr>
      <w:r>
        <w:rPr>
          <w:rFonts w:hint="eastAsia" w:ascii="宋体" w:hAnsi="宋体" w:cs="宋体"/>
          <w:sz w:val="24"/>
          <w:highlight w:val="none"/>
        </w:rPr>
        <w:t>投诉人：</w:t>
      </w:r>
      <w:r>
        <w:rPr>
          <w:rFonts w:hint="eastAsia" w:ascii="宋体" w:hAnsi="宋体" w:cs="宋体"/>
          <w:sz w:val="24"/>
          <w:highlight w:val="none"/>
          <w:u w:val="dotted"/>
        </w:rPr>
        <w:t xml:space="preserve">                                               </w:t>
      </w:r>
    </w:p>
    <w:p w14:paraId="30C0102A">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5338DA59">
      <w:pPr>
        <w:tabs>
          <w:tab w:val="left" w:pos="6510"/>
        </w:tabs>
        <w:spacing w:line="360" w:lineRule="auto"/>
        <w:jc w:val="left"/>
        <w:rPr>
          <w:rFonts w:ascii="宋体" w:hAnsi="宋体" w:cs="宋体"/>
          <w:sz w:val="24"/>
          <w:highlight w:val="none"/>
        </w:rPr>
      </w:pPr>
      <w:r>
        <w:rPr>
          <w:rFonts w:hint="eastAsia" w:ascii="宋体" w:hAnsi="宋体" w:cs="宋体"/>
          <w:sz w:val="24"/>
          <w:highlight w:val="none"/>
        </w:rPr>
        <w:t>法定代表人/主要负责人：</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471D5FEC">
      <w:pPr>
        <w:tabs>
          <w:tab w:val="left" w:pos="6510"/>
        </w:tabs>
        <w:spacing w:line="360" w:lineRule="auto"/>
        <w:rPr>
          <w:rFonts w:ascii="宋体" w:hAnsi="宋体" w:cs="宋体"/>
          <w:sz w:val="24"/>
          <w:highlight w:val="none"/>
          <w:u w:val="dotted"/>
        </w:rPr>
      </w:pP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4CF5C789">
      <w:pPr>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0BF4B4B4">
      <w:pPr>
        <w:spacing w:line="360" w:lineRule="auto"/>
        <w:rPr>
          <w:rFonts w:ascii="宋体" w:hAnsi="宋体" w:cs="宋体"/>
          <w:sz w:val="24"/>
          <w:highlight w:val="none"/>
          <w:u w:val="dotted"/>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r>
        <w:rPr>
          <w:rFonts w:hint="eastAsia" w:ascii="宋体" w:hAnsi="宋体" w:cs="宋体"/>
          <w:sz w:val="24"/>
          <w:highlight w:val="none"/>
          <w:u w:val="dotted"/>
        </w:rPr>
        <w:t xml:space="preserve">                   </w:t>
      </w:r>
    </w:p>
    <w:p w14:paraId="45C52060">
      <w:pPr>
        <w:spacing w:line="360" w:lineRule="auto"/>
        <w:rPr>
          <w:rFonts w:ascii="宋体" w:hAnsi="宋体" w:cs="宋体"/>
          <w:sz w:val="24"/>
          <w:highlight w:val="none"/>
          <w:u w:val="single"/>
        </w:rPr>
      </w:pPr>
      <w:r>
        <w:rPr>
          <w:rFonts w:hint="eastAsia" w:ascii="宋体" w:hAnsi="宋体" w:cs="宋体"/>
          <w:sz w:val="24"/>
          <w:highlight w:val="none"/>
        </w:rPr>
        <w:t>被投诉人1：</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3677EB8D">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3194508C">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21E2D9E9">
      <w:pPr>
        <w:spacing w:line="360" w:lineRule="auto"/>
        <w:rPr>
          <w:rFonts w:ascii="宋体" w:hAnsi="宋体" w:cs="宋体"/>
          <w:sz w:val="24"/>
          <w:highlight w:val="none"/>
        </w:rPr>
      </w:pPr>
      <w:r>
        <w:rPr>
          <w:rFonts w:hint="eastAsia" w:ascii="宋体" w:hAnsi="宋体" w:cs="宋体"/>
          <w:sz w:val="24"/>
          <w:highlight w:val="none"/>
        </w:rPr>
        <w:t>被投诉人2</w:t>
      </w:r>
    </w:p>
    <w:p w14:paraId="16CE8B53">
      <w:pPr>
        <w:spacing w:line="360" w:lineRule="auto"/>
        <w:rPr>
          <w:rFonts w:ascii="宋体" w:hAnsi="宋体" w:cs="宋体"/>
          <w:sz w:val="24"/>
          <w:highlight w:val="none"/>
          <w:u w:val="dotted"/>
        </w:rPr>
      </w:pPr>
      <w:r>
        <w:rPr>
          <w:rFonts w:hint="eastAsia" w:ascii="宋体" w:hAnsi="宋体" w:cs="宋体"/>
          <w:sz w:val="24"/>
          <w:highlight w:val="none"/>
        </w:rPr>
        <w:t>……</w:t>
      </w:r>
    </w:p>
    <w:p w14:paraId="0CC3B42A">
      <w:pPr>
        <w:spacing w:line="360" w:lineRule="auto"/>
        <w:rPr>
          <w:rFonts w:ascii="宋体" w:hAnsi="宋体" w:cs="宋体"/>
          <w:sz w:val="24"/>
          <w:highlight w:val="none"/>
          <w:u w:val="single"/>
        </w:rPr>
      </w:pPr>
      <w:r>
        <w:rPr>
          <w:rFonts w:hint="eastAsia" w:ascii="宋体" w:hAnsi="宋体" w:cs="宋体"/>
          <w:sz w:val="24"/>
          <w:highlight w:val="none"/>
        </w:rPr>
        <w:t>相关供应商：</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4AE36DE6">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11FBE4B4">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07818032">
      <w:pPr>
        <w:spacing w:line="360" w:lineRule="auto"/>
        <w:rPr>
          <w:rFonts w:ascii="宋体" w:hAnsi="宋体" w:cs="宋体"/>
          <w:sz w:val="24"/>
          <w:highlight w:val="none"/>
        </w:rPr>
      </w:pPr>
      <w:r>
        <w:rPr>
          <w:rFonts w:hint="eastAsia" w:ascii="宋体" w:hAnsi="宋体" w:cs="宋体"/>
          <w:sz w:val="24"/>
          <w:highlight w:val="none"/>
        </w:rPr>
        <w:t>二、投诉项目基本情况</w:t>
      </w:r>
    </w:p>
    <w:p w14:paraId="0E1FB77D">
      <w:pPr>
        <w:spacing w:line="360" w:lineRule="auto"/>
        <w:rPr>
          <w:rFonts w:ascii="宋体" w:hAnsi="宋体" w:cs="宋体"/>
          <w:sz w:val="24"/>
          <w:highlight w:val="none"/>
          <w:u w:val="dotted"/>
        </w:rPr>
      </w:pPr>
      <w:r>
        <w:rPr>
          <w:rFonts w:hint="eastAsia" w:ascii="宋体" w:hAnsi="宋体" w:cs="宋体"/>
          <w:sz w:val="24"/>
          <w:highlight w:val="none"/>
        </w:rPr>
        <w:t>采购项目名称：</w:t>
      </w:r>
      <w:r>
        <w:rPr>
          <w:rFonts w:hint="eastAsia" w:ascii="宋体" w:hAnsi="宋体" w:cs="宋体"/>
          <w:sz w:val="24"/>
          <w:highlight w:val="none"/>
          <w:u w:val="dotted"/>
        </w:rPr>
        <w:t xml:space="preserve">                                        </w:t>
      </w:r>
    </w:p>
    <w:p w14:paraId="71CEE829">
      <w:pPr>
        <w:spacing w:line="360" w:lineRule="auto"/>
        <w:rPr>
          <w:rFonts w:ascii="宋体" w:hAnsi="宋体" w:cs="宋体"/>
          <w:sz w:val="24"/>
          <w:highlight w:val="none"/>
          <w:u w:val="single"/>
        </w:rPr>
      </w:pPr>
      <w:r>
        <w:rPr>
          <w:rFonts w:hint="eastAsia" w:ascii="宋体" w:hAnsi="宋体" w:cs="宋体"/>
          <w:sz w:val="24"/>
          <w:highlight w:val="none"/>
        </w:rPr>
        <w:t>采购项目编号：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29AD5E1D">
      <w:pPr>
        <w:spacing w:line="360" w:lineRule="auto"/>
        <w:rPr>
          <w:rFonts w:ascii="宋体" w:hAnsi="宋体" w:cs="宋体"/>
          <w:sz w:val="24"/>
          <w:highlight w:val="none"/>
        </w:rPr>
      </w:pPr>
      <w:r>
        <w:rPr>
          <w:rFonts w:hint="eastAsia" w:ascii="宋体" w:hAnsi="宋体" w:cs="宋体"/>
          <w:sz w:val="24"/>
          <w:highlight w:val="none"/>
        </w:rPr>
        <w:t>采购人名称：</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7B0043B1">
      <w:pPr>
        <w:spacing w:line="360" w:lineRule="auto"/>
        <w:rPr>
          <w:rFonts w:ascii="宋体" w:hAnsi="宋体" w:cs="宋体"/>
          <w:sz w:val="24"/>
          <w:highlight w:val="none"/>
          <w:u w:val="single"/>
        </w:rPr>
      </w:pPr>
      <w:r>
        <w:rPr>
          <w:rFonts w:hint="eastAsia" w:ascii="宋体" w:hAnsi="宋体" w:cs="宋体"/>
          <w:sz w:val="24"/>
          <w:highlight w:val="none"/>
        </w:rPr>
        <w:t>代理机构名称：</w:t>
      </w:r>
      <w:r>
        <w:rPr>
          <w:rFonts w:hint="eastAsia" w:ascii="宋体" w:hAnsi="宋体" w:cs="宋体"/>
          <w:sz w:val="24"/>
          <w:highlight w:val="none"/>
          <w:u w:val="dotted"/>
        </w:rPr>
        <w:t xml:space="preserve">                                         </w:t>
      </w:r>
    </w:p>
    <w:p w14:paraId="5431D03D">
      <w:pPr>
        <w:spacing w:line="360" w:lineRule="auto"/>
        <w:rPr>
          <w:rFonts w:ascii="宋体" w:hAnsi="宋体" w:cs="宋体"/>
          <w:sz w:val="24"/>
          <w:highlight w:val="none"/>
          <w:u w:val="dotted"/>
        </w:rPr>
      </w:pPr>
      <w:r>
        <w:rPr>
          <w:rFonts w:hint="eastAsia" w:ascii="宋体" w:hAnsi="宋体" w:cs="宋体"/>
          <w:sz w:val="24"/>
          <w:highlight w:val="none"/>
        </w:rPr>
        <w:t>采购文件公告</w:t>
      </w:r>
      <w:r>
        <w:rPr>
          <w:rFonts w:hint="eastAsia" w:ascii="宋体" w:hAnsi="宋体" w:cs="宋体"/>
          <w:sz w:val="24"/>
          <w:highlight w:val="none"/>
          <w:lang w:eastAsia="zh-CN"/>
        </w:rPr>
        <w:t>：</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160EA66E">
      <w:pPr>
        <w:spacing w:line="360" w:lineRule="auto"/>
        <w:rPr>
          <w:rFonts w:ascii="宋体" w:hAnsi="宋体" w:cs="宋体"/>
          <w:sz w:val="24"/>
          <w:highlight w:val="none"/>
          <w:u w:val="single"/>
        </w:rPr>
      </w:pPr>
      <w:r>
        <w:rPr>
          <w:rFonts w:hint="eastAsia" w:ascii="宋体" w:hAnsi="宋体" w:cs="宋体"/>
          <w:sz w:val="24"/>
          <w:highlight w:val="none"/>
        </w:rPr>
        <w:t>采购结果公告</w:t>
      </w:r>
      <w:r>
        <w:rPr>
          <w:rFonts w:hint="eastAsia" w:ascii="宋体" w:hAnsi="宋体" w:cs="宋体"/>
          <w:sz w:val="24"/>
          <w:highlight w:val="none"/>
          <w:lang w:eastAsia="zh-CN"/>
        </w:rPr>
        <w:t>：</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4B137D83">
      <w:pPr>
        <w:spacing w:line="360" w:lineRule="auto"/>
        <w:rPr>
          <w:rFonts w:ascii="宋体" w:hAnsi="宋体" w:cs="宋体"/>
          <w:sz w:val="24"/>
          <w:highlight w:val="none"/>
        </w:rPr>
      </w:pPr>
      <w:r>
        <w:rPr>
          <w:rFonts w:hint="eastAsia" w:ascii="宋体" w:hAnsi="宋体" w:cs="宋体"/>
          <w:sz w:val="24"/>
          <w:highlight w:val="none"/>
        </w:rPr>
        <w:t>三、质疑基本情况</w:t>
      </w:r>
    </w:p>
    <w:p w14:paraId="45C2E33B">
      <w:pPr>
        <w:spacing w:line="360" w:lineRule="auto"/>
        <w:ind w:firstLine="480" w:firstLineChars="200"/>
        <w:rPr>
          <w:rFonts w:ascii="宋体" w:hAnsi="宋体" w:cs="宋体"/>
          <w:sz w:val="24"/>
          <w:highlight w:val="none"/>
          <w:u w:val="dotted"/>
        </w:rPr>
      </w:pPr>
      <w:r>
        <w:rPr>
          <w:rFonts w:hint="eastAsia" w:ascii="宋体" w:hAnsi="宋体" w:cs="宋体"/>
          <w:sz w:val="24"/>
          <w:highlight w:val="none"/>
        </w:rPr>
        <w:t>投诉人于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日,向</w:t>
      </w:r>
      <w:r>
        <w:rPr>
          <w:rFonts w:hint="eastAsia" w:ascii="宋体" w:hAnsi="宋体" w:cs="宋体"/>
          <w:sz w:val="24"/>
          <w:highlight w:val="none"/>
          <w:u w:val="dotted"/>
        </w:rPr>
        <w:t xml:space="preserve">                   </w:t>
      </w:r>
      <w:r>
        <w:rPr>
          <w:rFonts w:hint="eastAsia" w:ascii="宋体" w:hAnsi="宋体" w:cs="宋体"/>
          <w:sz w:val="24"/>
          <w:highlight w:val="none"/>
        </w:rPr>
        <w:t>提出质疑，质疑事项为：</w:t>
      </w:r>
      <w:r>
        <w:rPr>
          <w:rFonts w:hint="eastAsia" w:ascii="宋体" w:hAnsi="宋体" w:cs="宋体"/>
          <w:sz w:val="24"/>
          <w:highlight w:val="none"/>
          <w:u w:val="dotted"/>
        </w:rPr>
        <w:t xml:space="preserve">                                </w:t>
      </w:r>
    </w:p>
    <w:p w14:paraId="609423B3">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2E2A7EFE">
      <w:pPr>
        <w:spacing w:line="360" w:lineRule="auto"/>
        <w:ind w:firstLine="360" w:firstLineChars="150"/>
        <w:rPr>
          <w:rFonts w:ascii="宋体" w:hAnsi="宋体" w:cs="宋体"/>
          <w:sz w:val="24"/>
          <w:highlight w:val="none"/>
        </w:rPr>
      </w:pPr>
      <w:r>
        <w:rPr>
          <w:rFonts w:hint="eastAsia" w:ascii="宋体" w:hAnsi="宋体" w:cs="宋体"/>
          <w:sz w:val="24"/>
          <w:highlight w:val="none"/>
          <w:u w:val="dotted"/>
        </w:rPr>
        <w:t>采购人/代理机构</w:t>
      </w:r>
      <w:r>
        <w:rPr>
          <w:rFonts w:hint="eastAsia" w:ascii="宋体" w:hAnsi="宋体" w:cs="宋体"/>
          <w:sz w:val="24"/>
          <w:highlight w:val="none"/>
        </w:rPr>
        <w:t>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w:t>
      </w:r>
      <w:r>
        <w:rPr>
          <w:rFonts w:hint="eastAsia" w:ascii="宋体" w:hAnsi="宋体" w:cs="宋体"/>
          <w:sz w:val="24"/>
          <w:highlight w:val="none"/>
          <w:lang w:eastAsia="zh-CN"/>
        </w:rPr>
        <w:t>，</w:t>
      </w:r>
      <w:r>
        <w:rPr>
          <w:rFonts w:hint="eastAsia" w:ascii="宋体" w:hAnsi="宋体" w:cs="宋体"/>
          <w:sz w:val="24"/>
          <w:highlight w:val="none"/>
        </w:rPr>
        <w:t>就质疑事项作出了答复/没有在法定期限内作出答复。</w:t>
      </w:r>
    </w:p>
    <w:p w14:paraId="2F569E81">
      <w:pPr>
        <w:spacing w:line="360" w:lineRule="auto"/>
        <w:rPr>
          <w:rFonts w:ascii="宋体" w:hAnsi="宋体" w:cs="宋体"/>
          <w:sz w:val="24"/>
          <w:highlight w:val="none"/>
        </w:rPr>
      </w:pPr>
      <w:r>
        <w:rPr>
          <w:rFonts w:hint="eastAsia" w:ascii="宋体" w:hAnsi="宋体" w:cs="宋体"/>
          <w:sz w:val="24"/>
          <w:highlight w:val="none"/>
        </w:rPr>
        <w:t>四、投诉事项具体内容</w:t>
      </w:r>
    </w:p>
    <w:p w14:paraId="290B989A">
      <w:pPr>
        <w:spacing w:line="360" w:lineRule="auto"/>
        <w:rPr>
          <w:rFonts w:ascii="宋体" w:hAnsi="宋体" w:cs="宋体"/>
          <w:sz w:val="24"/>
          <w:highlight w:val="none"/>
          <w:u w:val="single"/>
        </w:rPr>
      </w:pPr>
      <w:r>
        <w:rPr>
          <w:rFonts w:hint="eastAsia" w:ascii="宋体" w:hAnsi="宋体" w:cs="宋体"/>
          <w:sz w:val="24"/>
          <w:highlight w:val="none"/>
        </w:rPr>
        <w:t>投诉事项 1：</w:t>
      </w:r>
      <w:r>
        <w:rPr>
          <w:rFonts w:hint="eastAsia" w:ascii="宋体" w:hAnsi="宋体" w:cs="宋体"/>
          <w:sz w:val="24"/>
          <w:highlight w:val="none"/>
          <w:u w:val="dotted"/>
        </w:rPr>
        <w:t xml:space="preserve">                                       </w:t>
      </w:r>
    </w:p>
    <w:p w14:paraId="3CEA0857">
      <w:pPr>
        <w:spacing w:line="360" w:lineRule="auto"/>
        <w:rPr>
          <w:rFonts w:ascii="宋体" w:hAnsi="宋体" w:cs="宋体"/>
          <w:sz w:val="24"/>
          <w:highlight w:val="none"/>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794EB483">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5B700DA9">
      <w:pPr>
        <w:spacing w:line="360" w:lineRule="auto"/>
        <w:rPr>
          <w:rFonts w:ascii="宋体" w:hAnsi="宋体" w:cs="宋体"/>
          <w:sz w:val="24"/>
          <w:highlight w:val="none"/>
          <w:u w:val="single"/>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74C8E0D6">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596666C7">
      <w:pPr>
        <w:spacing w:line="360" w:lineRule="auto"/>
        <w:rPr>
          <w:rFonts w:ascii="宋体" w:hAnsi="宋体" w:cs="宋体"/>
          <w:sz w:val="24"/>
          <w:highlight w:val="none"/>
        </w:rPr>
      </w:pPr>
      <w:r>
        <w:rPr>
          <w:rFonts w:hint="eastAsia" w:ascii="宋体" w:hAnsi="宋体" w:cs="宋体"/>
          <w:sz w:val="24"/>
          <w:highlight w:val="none"/>
        </w:rPr>
        <w:t>投诉事项2</w:t>
      </w:r>
    </w:p>
    <w:p w14:paraId="4881D5DB">
      <w:pPr>
        <w:spacing w:line="360" w:lineRule="auto"/>
        <w:rPr>
          <w:rFonts w:ascii="宋体" w:hAnsi="宋体" w:cs="宋体"/>
          <w:sz w:val="24"/>
          <w:highlight w:val="none"/>
          <w:u w:val="dotted"/>
        </w:rPr>
      </w:pPr>
      <w:r>
        <w:rPr>
          <w:rFonts w:hint="eastAsia" w:ascii="宋体" w:hAnsi="宋体" w:cs="宋体"/>
          <w:sz w:val="24"/>
          <w:highlight w:val="none"/>
        </w:rPr>
        <w:t>……</w:t>
      </w:r>
    </w:p>
    <w:p w14:paraId="37F60C2C">
      <w:pPr>
        <w:spacing w:line="360" w:lineRule="auto"/>
        <w:rPr>
          <w:rFonts w:ascii="宋体" w:hAnsi="宋体" w:cs="宋体"/>
          <w:sz w:val="24"/>
          <w:highlight w:val="none"/>
        </w:rPr>
      </w:pPr>
      <w:r>
        <w:rPr>
          <w:rFonts w:hint="eastAsia" w:ascii="宋体" w:hAnsi="宋体" w:cs="宋体"/>
          <w:sz w:val="24"/>
          <w:highlight w:val="none"/>
        </w:rPr>
        <w:t>五、与投诉事项相关的投诉请求</w:t>
      </w:r>
    </w:p>
    <w:p w14:paraId="753DD71D">
      <w:pPr>
        <w:spacing w:line="360" w:lineRule="auto"/>
        <w:rPr>
          <w:rFonts w:ascii="宋体" w:hAnsi="宋体" w:cs="宋体"/>
          <w:sz w:val="24"/>
          <w:highlight w:val="none"/>
        </w:rPr>
      </w:pPr>
      <w:r>
        <w:rPr>
          <w:rFonts w:hint="eastAsia" w:ascii="宋体" w:hAnsi="宋体" w:cs="宋体"/>
          <w:sz w:val="24"/>
          <w:highlight w:val="none"/>
        </w:rPr>
        <w:t>请求：</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60725949">
      <w:pPr>
        <w:spacing w:line="360" w:lineRule="auto"/>
        <w:rPr>
          <w:rFonts w:ascii="宋体" w:hAnsi="宋体" w:cs="宋体"/>
          <w:sz w:val="24"/>
          <w:highlight w:val="none"/>
          <w:u w:val="single"/>
        </w:rPr>
      </w:pPr>
      <w:r>
        <w:rPr>
          <w:rFonts w:hint="eastAsia" w:ascii="宋体" w:hAnsi="宋体" w:cs="宋体"/>
          <w:sz w:val="24"/>
          <w:highlight w:val="none"/>
        </w:rPr>
        <w:t xml:space="preserve">                                                                                                    </w:t>
      </w:r>
    </w:p>
    <w:p w14:paraId="1DD838FD">
      <w:pPr>
        <w:spacing w:line="360" w:lineRule="auto"/>
        <w:rPr>
          <w:rFonts w:ascii="宋体" w:hAnsi="宋体" w:cs="宋体"/>
          <w:sz w:val="24"/>
          <w:highlight w:val="none"/>
        </w:rPr>
      </w:pPr>
      <w:r>
        <w:rPr>
          <w:rFonts w:hint="eastAsia" w:ascii="宋体" w:hAnsi="宋体" w:cs="宋体"/>
          <w:sz w:val="24"/>
          <w:highlight w:val="none"/>
        </w:rPr>
        <w:t>签字</w:t>
      </w:r>
      <w:r>
        <w:rPr>
          <w:rFonts w:hint="eastAsia" w:ascii="宋体" w:hAnsi="宋体" w:cs="宋体"/>
          <w:sz w:val="24"/>
          <w:highlight w:val="none"/>
          <w:lang w:eastAsia="zh-CN"/>
        </w:rPr>
        <w:t>（</w:t>
      </w:r>
      <w:r>
        <w:rPr>
          <w:rFonts w:hint="eastAsia" w:ascii="宋体" w:hAnsi="宋体" w:cs="宋体"/>
          <w:sz w:val="24"/>
          <w:highlight w:val="none"/>
        </w:rPr>
        <w:t>签章</w:t>
      </w:r>
      <w:r>
        <w:rPr>
          <w:rFonts w:hint="eastAsia" w:ascii="宋体" w:hAnsi="宋体" w:cs="宋体"/>
          <w:sz w:val="24"/>
          <w:highlight w:val="none"/>
          <w:lang w:eastAsia="zh-CN"/>
        </w:rPr>
        <w:t>）</w:t>
      </w:r>
      <w:r>
        <w:rPr>
          <w:rFonts w:hint="eastAsia" w:ascii="宋体" w:hAnsi="宋体" w:cs="宋体"/>
          <w:sz w:val="24"/>
          <w:highlight w:val="none"/>
        </w:rPr>
        <w:t xml:space="preserve">：                   公章：                      </w:t>
      </w:r>
    </w:p>
    <w:p w14:paraId="0B0EF1DE">
      <w:pPr>
        <w:spacing w:line="360" w:lineRule="auto"/>
        <w:rPr>
          <w:rFonts w:ascii="宋体" w:hAnsi="宋体" w:cs="宋体"/>
          <w:sz w:val="24"/>
          <w:highlight w:val="none"/>
        </w:rPr>
      </w:pPr>
      <w:r>
        <w:rPr>
          <w:rFonts w:hint="eastAsia" w:ascii="宋体" w:hAnsi="宋体" w:cs="宋体"/>
          <w:sz w:val="24"/>
          <w:highlight w:val="none"/>
        </w:rPr>
        <w:t xml:space="preserve">日期：    </w:t>
      </w:r>
    </w:p>
    <w:p w14:paraId="57618EB7">
      <w:pPr>
        <w:spacing w:line="360" w:lineRule="auto"/>
        <w:rPr>
          <w:rFonts w:ascii="宋体" w:hAnsi="宋体" w:cs="宋体"/>
          <w:b/>
          <w:sz w:val="24"/>
          <w:highlight w:val="none"/>
        </w:rPr>
      </w:pPr>
    </w:p>
    <w:p w14:paraId="54ACDDBE">
      <w:pPr>
        <w:spacing w:line="360" w:lineRule="auto"/>
        <w:rPr>
          <w:rFonts w:ascii="宋体" w:hAnsi="宋体" w:cs="宋体"/>
          <w:b/>
          <w:sz w:val="24"/>
          <w:highlight w:val="none"/>
        </w:rPr>
      </w:pPr>
    </w:p>
    <w:p w14:paraId="06C3A502">
      <w:pPr>
        <w:spacing w:line="360" w:lineRule="auto"/>
        <w:rPr>
          <w:rFonts w:ascii="宋体" w:hAnsi="宋体" w:cs="宋体"/>
          <w:b/>
          <w:sz w:val="24"/>
          <w:highlight w:val="none"/>
        </w:rPr>
      </w:pPr>
      <w:r>
        <w:rPr>
          <w:rFonts w:hint="eastAsia" w:ascii="宋体" w:hAnsi="宋体" w:cs="宋体"/>
          <w:b/>
          <w:sz w:val="24"/>
          <w:highlight w:val="none"/>
        </w:rPr>
        <w:t>投诉书制作说明：</w:t>
      </w:r>
    </w:p>
    <w:p w14:paraId="1A9DEF2F">
      <w:pPr>
        <w:widowControl/>
        <w:spacing w:line="360" w:lineRule="auto"/>
        <w:ind w:firstLine="480" w:firstLineChars="200"/>
        <w:rPr>
          <w:rFonts w:ascii="宋体" w:hAnsi="宋体" w:cs="宋体"/>
          <w:kern w:val="0"/>
          <w:sz w:val="24"/>
          <w:highlight w:val="none"/>
        </w:rPr>
      </w:pPr>
      <w:r>
        <w:rPr>
          <w:rFonts w:hint="eastAsia" w:ascii="宋体" w:hAnsi="宋体" w:cs="宋体"/>
          <w:sz w:val="24"/>
          <w:highlight w:val="none"/>
        </w:rPr>
        <w:t>1.投诉人提起投诉时，应当提交投诉书和必要的证明材料，并按照被投诉人和与投诉事项有关的供应商数量提供投诉书副本。</w:t>
      </w:r>
    </w:p>
    <w:p w14:paraId="37ED8D0E">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2.投诉人若委托代理人进行投诉的，投诉书应按照要求列明“授权代表”的有关内容，并在附件中提交由</w:t>
      </w:r>
      <w:r>
        <w:rPr>
          <w:rFonts w:hint="eastAsia" w:ascii="宋体" w:hAnsi="宋体" w:cs="宋体"/>
          <w:kern w:val="0"/>
          <w:sz w:val="24"/>
          <w:highlight w:val="none"/>
        </w:rPr>
        <w:t>投诉人签署的授权委托书。授权委托书应当载明代理人的姓名或者名称、代理事项、具体权限、期限和相关事项。</w:t>
      </w:r>
    </w:p>
    <w:p w14:paraId="2F4927A8">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3.投诉人若对项目的某一分包进行投诉，投诉书应列明具体分包号。</w:t>
      </w:r>
    </w:p>
    <w:p w14:paraId="24831C25">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4.投诉书应简要列明质疑事项，质疑函、质疑答复等作为附件材料提供。</w:t>
      </w:r>
    </w:p>
    <w:p w14:paraId="54DB6F30">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5.投诉书的投诉事项应具体、明确，并有必要的事实依据和法律依据。</w:t>
      </w:r>
    </w:p>
    <w:p w14:paraId="014563AD">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6.投诉书的投诉请求应与投诉事项相关。</w:t>
      </w:r>
    </w:p>
    <w:p w14:paraId="5E0D9227">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7.投诉人为自然人的，投诉书应当由本人签字；投诉人为法人或者其他组织的，投诉书应当由法定代表人、主要负责人，或者其授权代表签字或者盖章，并加盖公章。</w:t>
      </w:r>
    </w:p>
    <w:p w14:paraId="49ACC5C0">
      <w:pPr>
        <w:spacing w:line="360" w:lineRule="auto"/>
        <w:rPr>
          <w:rFonts w:ascii="宋体" w:hAnsi="宋体" w:cs="宋体"/>
          <w:b/>
          <w:sz w:val="24"/>
          <w:highlight w:val="none"/>
        </w:rPr>
      </w:pPr>
    </w:p>
    <w:p w14:paraId="042B250E">
      <w:pPr>
        <w:autoSpaceDE w:val="0"/>
        <w:autoSpaceDN w:val="0"/>
        <w:jc w:val="center"/>
        <w:rPr>
          <w:rFonts w:ascii="宋体" w:hAnsi="宋体" w:cs="宋体"/>
          <w:b/>
          <w:spacing w:val="6"/>
          <w:sz w:val="32"/>
          <w:szCs w:val="32"/>
          <w:highlight w:val="none"/>
        </w:rPr>
      </w:pPr>
    </w:p>
    <w:p w14:paraId="06393673">
      <w:pPr>
        <w:autoSpaceDE w:val="0"/>
        <w:autoSpaceDN w:val="0"/>
        <w:jc w:val="center"/>
        <w:rPr>
          <w:rFonts w:ascii="宋体" w:hAnsi="宋体" w:cs="宋体"/>
          <w:b/>
          <w:spacing w:val="6"/>
          <w:sz w:val="32"/>
          <w:szCs w:val="32"/>
          <w:highlight w:val="none"/>
        </w:rPr>
      </w:pPr>
    </w:p>
    <w:p w14:paraId="5BEA7B45">
      <w:pPr>
        <w:autoSpaceDE w:val="0"/>
        <w:autoSpaceDN w:val="0"/>
        <w:jc w:val="center"/>
        <w:rPr>
          <w:rFonts w:ascii="宋体" w:hAnsi="宋体" w:cs="宋体"/>
          <w:b/>
          <w:bCs/>
          <w:sz w:val="32"/>
          <w:szCs w:val="32"/>
          <w:highlight w:val="none"/>
        </w:rPr>
      </w:pPr>
      <w:r>
        <w:rPr>
          <w:rFonts w:hint="eastAsia" w:ascii="宋体" w:hAnsi="宋体" w:cs="宋体"/>
          <w:b/>
          <w:spacing w:val="6"/>
          <w:sz w:val="32"/>
          <w:szCs w:val="32"/>
          <w:highlight w:val="none"/>
        </w:rPr>
        <w:t>附件</w:t>
      </w:r>
      <w:r>
        <w:rPr>
          <w:rFonts w:hint="eastAsia" w:ascii="宋体" w:hAnsi="宋体" w:cs="宋体"/>
          <w:b/>
          <w:spacing w:val="6"/>
          <w:sz w:val="32"/>
          <w:szCs w:val="32"/>
          <w:highlight w:val="none"/>
          <w:lang w:val="en-US" w:eastAsia="zh-CN"/>
        </w:rPr>
        <w:t>4</w:t>
      </w:r>
      <w:r>
        <w:rPr>
          <w:rFonts w:hint="eastAsia" w:ascii="宋体" w:hAnsi="宋体" w:cs="宋体"/>
          <w:b/>
          <w:spacing w:val="6"/>
          <w:sz w:val="32"/>
          <w:szCs w:val="32"/>
          <w:highlight w:val="none"/>
        </w:rPr>
        <w:t>：</w:t>
      </w:r>
      <w:r>
        <w:rPr>
          <w:rFonts w:hint="eastAsia" w:ascii="宋体" w:hAnsi="宋体" w:cs="宋体"/>
          <w:b/>
          <w:bCs/>
          <w:sz w:val="32"/>
          <w:szCs w:val="32"/>
          <w:highlight w:val="none"/>
        </w:rPr>
        <w:t>业务专用章使用说明函</w:t>
      </w:r>
    </w:p>
    <w:p w14:paraId="4D87E753">
      <w:pPr>
        <w:spacing w:line="360" w:lineRule="auto"/>
        <w:rPr>
          <w:rFonts w:ascii="宋体" w:hAnsi="宋体" w:cs="宋体"/>
          <w:sz w:val="24"/>
          <w:highlight w:val="none"/>
          <w:u w:val="single"/>
        </w:rPr>
      </w:pPr>
    </w:p>
    <w:p w14:paraId="71C22C26">
      <w:pPr>
        <w:spacing w:line="360" w:lineRule="auto"/>
        <w:rPr>
          <w:rFonts w:ascii="宋体" w:hAnsi="宋体" w:cs="宋体"/>
          <w:sz w:val="24"/>
          <w:highlight w:val="none"/>
        </w:rPr>
      </w:pPr>
      <w:r>
        <w:rPr>
          <w:rFonts w:hint="eastAsia" w:ascii="宋体" w:hAnsi="宋体" w:cs="宋体"/>
          <w:sz w:val="24"/>
          <w:highlight w:val="none"/>
          <w:u w:val="single"/>
          <w:lang w:eastAsia="zh-CN"/>
        </w:rPr>
        <w:t>宁海县市场监督管理局</w:t>
      </w:r>
      <w:r>
        <w:rPr>
          <w:rFonts w:hint="eastAsia" w:ascii="宋体" w:hAnsi="宋体" w:cs="宋体"/>
          <w:sz w:val="24"/>
          <w:highlight w:val="none"/>
          <w:u w:val="single"/>
        </w:rPr>
        <w:t>、</w:t>
      </w:r>
      <w:r>
        <w:rPr>
          <w:rFonts w:hint="eastAsia" w:ascii="宋体" w:hAnsi="宋体" w:cs="宋体"/>
          <w:sz w:val="24"/>
          <w:highlight w:val="none"/>
          <w:u w:val="single"/>
          <w:lang w:eastAsia="zh-CN"/>
        </w:rPr>
        <w:t>浙江中基正采管理咨询有限公司</w:t>
      </w:r>
      <w:r>
        <w:rPr>
          <w:rFonts w:hint="eastAsia" w:ascii="宋体" w:hAnsi="宋体" w:cs="宋体"/>
          <w:sz w:val="24"/>
          <w:highlight w:val="none"/>
          <w:u w:val="single"/>
        </w:rPr>
        <w:t>：</w:t>
      </w:r>
    </w:p>
    <w:p w14:paraId="41249535">
      <w:pPr>
        <w:spacing w:line="360" w:lineRule="auto"/>
        <w:ind w:firstLine="480" w:firstLineChars="200"/>
        <w:rPr>
          <w:rFonts w:ascii="宋体" w:hAnsi="宋体" w:cs="宋体"/>
          <w:sz w:val="24"/>
          <w:highlight w:val="none"/>
        </w:rPr>
      </w:pPr>
      <w:r>
        <w:rPr>
          <w:rFonts w:hint="eastAsia" w:ascii="宋体" w:hAnsi="宋体" w:cs="宋体"/>
          <w:kern w:val="0"/>
          <w:sz w:val="24"/>
          <w:highlight w:val="none"/>
          <w:lang w:val="zh-CN"/>
        </w:rPr>
        <w:t>我方</w:t>
      </w:r>
      <w:r>
        <w:rPr>
          <w:rFonts w:hint="eastAsia" w:ascii="宋体" w:hAnsi="宋体" w:cs="宋体"/>
          <w:kern w:val="0"/>
          <w:sz w:val="24"/>
          <w:highlight w:val="none"/>
          <w:u w:val="single"/>
          <w:lang w:val="zh-CN"/>
        </w:rPr>
        <w:t xml:space="preserve">                         （</w:t>
      </w:r>
      <w:r>
        <w:rPr>
          <w:rFonts w:hint="eastAsia" w:ascii="宋体" w:hAnsi="宋体" w:cs="宋体"/>
          <w:sz w:val="24"/>
          <w:highlight w:val="none"/>
        </w:rPr>
        <w:t>投标人全称</w:t>
      </w:r>
      <w:r>
        <w:rPr>
          <w:rFonts w:hint="eastAsia" w:ascii="宋体" w:hAnsi="宋体" w:cs="宋体"/>
          <w:sz w:val="24"/>
          <w:highlight w:val="none"/>
          <w:lang w:eastAsia="zh-CN"/>
        </w:rPr>
        <w:t>）</w:t>
      </w:r>
      <w:r>
        <w:rPr>
          <w:rFonts w:hint="eastAsia" w:ascii="宋体" w:hAnsi="宋体" w:cs="宋体"/>
          <w:sz w:val="24"/>
          <w:highlight w:val="none"/>
        </w:rPr>
        <w:t>是中华人民共和国依法登记注册的合法企业，</w:t>
      </w:r>
      <w:r>
        <w:rPr>
          <w:rFonts w:hint="eastAsia" w:ascii="宋体" w:hAnsi="宋体" w:cs="宋体"/>
          <w:bCs/>
          <w:sz w:val="24"/>
          <w:highlight w:val="none"/>
        </w:rPr>
        <w:t>在参加</w:t>
      </w:r>
      <w:r>
        <w:rPr>
          <w:rFonts w:hint="eastAsia" w:ascii="宋体" w:hAnsi="宋体" w:cs="宋体"/>
          <w:sz w:val="24"/>
          <w:highlight w:val="none"/>
        </w:rPr>
        <w:t>你方组织的</w:t>
      </w:r>
      <w:r>
        <w:rPr>
          <w:rFonts w:hint="eastAsia" w:ascii="宋体" w:hAnsi="宋体" w:cs="宋体"/>
          <w:sz w:val="24"/>
          <w:highlight w:val="none"/>
          <w:lang w:eastAsia="zh-CN"/>
        </w:rPr>
        <w:t>菜篮子食品安全“你点我检”放心工程(生鲜食材快检)</w:t>
      </w:r>
      <w:r>
        <w:rPr>
          <w:rFonts w:hint="eastAsia" w:ascii="宋体" w:hAnsi="宋体" w:cs="宋体"/>
          <w:sz w:val="24"/>
          <w:highlight w:val="none"/>
        </w:rPr>
        <w:t>【招标编号：</w:t>
      </w:r>
      <w:r>
        <w:rPr>
          <w:rFonts w:hint="eastAsia" w:ascii="宋体" w:hAnsi="宋体" w:cs="宋体"/>
          <w:sz w:val="24"/>
          <w:highlight w:val="none"/>
          <w:lang w:eastAsia="zh-CN"/>
        </w:rPr>
        <w:t>CBZJ-20256033G</w:t>
      </w:r>
      <w:r>
        <w:rPr>
          <w:rFonts w:hint="eastAsia" w:ascii="宋体" w:hAnsi="宋体" w:cs="宋体"/>
          <w:sz w:val="24"/>
          <w:highlight w:val="none"/>
        </w:rPr>
        <w:t>】</w:t>
      </w:r>
      <w:r>
        <w:rPr>
          <w:rFonts w:hint="eastAsia" w:ascii="宋体" w:hAnsi="宋体" w:cs="宋体"/>
          <w:bCs/>
          <w:sz w:val="24"/>
          <w:highlight w:val="none"/>
        </w:rPr>
        <w:t>投标活动中作如下说明：</w:t>
      </w:r>
      <w:r>
        <w:rPr>
          <w:rFonts w:hint="eastAsia" w:ascii="宋体" w:hAnsi="宋体" w:cs="宋体"/>
          <w:sz w:val="24"/>
          <w:highlight w:val="none"/>
        </w:rPr>
        <w:t xml:space="preserve">我方所使用的“XX专用章”与法定名称章具有同等的法律效力，对使用“XX专用章”的行为予以完全承认，并愿意承担相应责任。   </w:t>
      </w:r>
    </w:p>
    <w:p w14:paraId="337CDF35">
      <w:pPr>
        <w:spacing w:line="360" w:lineRule="auto"/>
        <w:ind w:firstLine="480" w:firstLineChars="200"/>
        <w:rPr>
          <w:rFonts w:ascii="宋体" w:hAnsi="宋体" w:cs="宋体"/>
          <w:sz w:val="24"/>
          <w:highlight w:val="none"/>
        </w:rPr>
      </w:pPr>
      <w:r>
        <w:rPr>
          <w:rFonts w:hint="eastAsia" w:ascii="宋体" w:hAnsi="宋体" w:cs="宋体"/>
          <w:sz w:val="24"/>
          <w:highlight w:val="none"/>
        </w:rPr>
        <w:t>特此说明。</w:t>
      </w:r>
    </w:p>
    <w:p w14:paraId="588BBCA2">
      <w:pPr>
        <w:spacing w:line="360" w:lineRule="auto"/>
        <w:ind w:firstLine="494"/>
        <w:rPr>
          <w:rFonts w:ascii="宋体" w:hAnsi="宋体" w:cs="宋体"/>
          <w:sz w:val="24"/>
          <w:highlight w:val="none"/>
        </w:rPr>
      </w:pPr>
    </w:p>
    <w:p w14:paraId="03D07E87">
      <w:pPr>
        <w:spacing w:line="360" w:lineRule="auto"/>
        <w:ind w:firstLine="494"/>
        <w:rPr>
          <w:rFonts w:ascii="宋体" w:hAnsi="宋体" w:cs="宋体"/>
          <w:sz w:val="24"/>
          <w:highlight w:val="none"/>
        </w:rPr>
      </w:pPr>
    </w:p>
    <w:p w14:paraId="7092B531">
      <w:pPr>
        <w:spacing w:line="360" w:lineRule="auto"/>
        <w:ind w:firstLine="494"/>
        <w:rPr>
          <w:rFonts w:ascii="宋体" w:hAnsi="宋体" w:cs="宋体"/>
          <w:sz w:val="24"/>
          <w:highlight w:val="none"/>
        </w:rPr>
      </w:pPr>
    </w:p>
    <w:p w14:paraId="473E02D3">
      <w:pPr>
        <w:spacing w:line="360" w:lineRule="auto"/>
        <w:ind w:firstLine="494"/>
        <w:rPr>
          <w:rFonts w:ascii="宋体" w:hAnsi="宋体" w:cs="宋体"/>
          <w:sz w:val="24"/>
          <w:highlight w:val="none"/>
        </w:rPr>
      </w:pPr>
    </w:p>
    <w:p w14:paraId="30FF3364">
      <w:pPr>
        <w:spacing w:line="360" w:lineRule="auto"/>
        <w:ind w:right="480" w:firstLine="4080" w:firstLineChars="1700"/>
        <w:rPr>
          <w:rFonts w:ascii="宋体" w:hAnsi="宋体" w:cs="宋体"/>
          <w:sz w:val="24"/>
          <w:highlight w:val="none"/>
        </w:rPr>
      </w:pPr>
      <w:r>
        <w:rPr>
          <w:rFonts w:hint="eastAsia" w:ascii="宋体" w:hAnsi="宋体" w:cs="宋体"/>
          <w:sz w:val="24"/>
          <w:highlight w:val="none"/>
        </w:rPr>
        <w:t>投标单位（法定名称章）：</w:t>
      </w:r>
    </w:p>
    <w:p w14:paraId="49635BE5">
      <w:pPr>
        <w:ind w:right="1440" w:firstLine="494"/>
        <w:jc w:val="center"/>
        <w:rPr>
          <w:rFonts w:ascii="宋体" w:hAnsi="宋体" w:cs="宋体"/>
          <w:sz w:val="24"/>
          <w:highlight w:val="none"/>
        </w:rPr>
      </w:pPr>
      <w:r>
        <w:rPr>
          <w:rFonts w:hint="eastAsia" w:ascii="宋体" w:hAnsi="宋体" w:cs="宋体"/>
          <w:sz w:val="24"/>
          <w:highlight w:val="none"/>
        </w:rPr>
        <w:t xml:space="preserve">                              日期：       年     月     日</w:t>
      </w:r>
    </w:p>
    <w:p w14:paraId="03C92E7F">
      <w:pPr>
        <w:rPr>
          <w:rFonts w:ascii="宋体" w:hAnsi="宋体" w:cs="宋体"/>
          <w:sz w:val="24"/>
          <w:highlight w:val="none"/>
        </w:rPr>
      </w:pPr>
      <w:r>
        <w:rPr>
          <w:rFonts w:hint="eastAsia" w:ascii="宋体" w:hAnsi="宋体" w:cs="宋体"/>
          <w:b/>
          <w:bCs/>
          <w:sz w:val="24"/>
          <w:highlight w:val="none"/>
        </w:rPr>
        <w:t>附：</w:t>
      </w:r>
    </w:p>
    <w:p w14:paraId="58096A7E">
      <w:pPr>
        <w:spacing w:line="360" w:lineRule="auto"/>
        <w:rPr>
          <w:rFonts w:ascii="宋体" w:hAnsi="宋体" w:cs="宋体"/>
          <w:bCs/>
          <w:sz w:val="24"/>
          <w:highlight w:val="none"/>
        </w:rPr>
      </w:pPr>
      <w:r>
        <w:rPr>
          <w:rFonts w:hint="eastAsia" w:ascii="宋体" w:hAnsi="宋体" w:cs="宋体"/>
          <w:b/>
          <w:bCs/>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5CEFD80E">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5CEFD80E">
                      <w:pPr>
                        <w:jc w:val="center"/>
                      </w:pPr>
                    </w:p>
                  </w:txbxContent>
                </v:textbox>
              </v:rect>
            </w:pict>
          </mc:Fallback>
        </mc:AlternateContent>
      </w:r>
      <w:r>
        <w:rPr>
          <w:rFonts w:hint="eastAsia" w:ascii="宋体" w:hAnsi="宋体" w:cs="宋体"/>
          <w:b/>
          <w:bCs/>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5D947243">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5D947243">
                      <w:pPr>
                        <w:jc w:val="center"/>
                      </w:pPr>
                    </w:p>
                  </w:txbxContent>
                </v:textbox>
              </v:rect>
            </w:pict>
          </mc:Fallback>
        </mc:AlternateContent>
      </w:r>
      <w:r>
        <w:rPr>
          <w:rFonts w:hint="eastAsia" w:ascii="宋体" w:hAnsi="宋体" w:cs="宋体"/>
          <w:sz w:val="24"/>
          <w:highlight w:val="none"/>
        </w:rPr>
        <w:t>投标单位法定名称章（印模）                投标单位“XX专用章”（印模）</w:t>
      </w:r>
    </w:p>
    <w:p w14:paraId="7C4751FD">
      <w:pPr>
        <w:autoSpaceDE w:val="0"/>
        <w:autoSpaceDN w:val="0"/>
        <w:jc w:val="center"/>
        <w:rPr>
          <w:rFonts w:ascii="宋体" w:hAnsi="宋体" w:cs="宋体"/>
          <w:b/>
          <w:spacing w:val="6"/>
          <w:sz w:val="32"/>
          <w:szCs w:val="32"/>
          <w:highlight w:val="none"/>
        </w:rPr>
      </w:pPr>
    </w:p>
    <w:p w14:paraId="57215E87">
      <w:pPr>
        <w:autoSpaceDE w:val="0"/>
        <w:autoSpaceDN w:val="0"/>
        <w:jc w:val="center"/>
        <w:rPr>
          <w:rFonts w:ascii="宋体" w:hAnsi="宋体" w:cs="宋体"/>
          <w:b/>
          <w:spacing w:val="6"/>
          <w:sz w:val="32"/>
          <w:szCs w:val="32"/>
          <w:highlight w:val="none"/>
        </w:rPr>
      </w:pPr>
    </w:p>
    <w:p w14:paraId="36345868">
      <w:pPr>
        <w:autoSpaceDE w:val="0"/>
        <w:autoSpaceDN w:val="0"/>
        <w:jc w:val="center"/>
        <w:rPr>
          <w:rFonts w:ascii="宋体" w:hAnsi="宋体" w:cs="宋体"/>
          <w:b/>
          <w:spacing w:val="6"/>
          <w:sz w:val="32"/>
          <w:szCs w:val="32"/>
          <w:highlight w:val="none"/>
        </w:rPr>
      </w:pPr>
    </w:p>
    <w:p w14:paraId="11304ED2">
      <w:pPr>
        <w:autoSpaceDE w:val="0"/>
        <w:autoSpaceDN w:val="0"/>
        <w:jc w:val="center"/>
        <w:rPr>
          <w:rFonts w:ascii="宋体" w:hAnsi="宋体" w:cs="宋体"/>
          <w:b/>
          <w:spacing w:val="6"/>
          <w:sz w:val="32"/>
          <w:szCs w:val="32"/>
          <w:highlight w:val="none"/>
        </w:rPr>
      </w:pPr>
    </w:p>
    <w:p w14:paraId="054C9B3F">
      <w:pPr>
        <w:autoSpaceDE w:val="0"/>
        <w:autoSpaceDN w:val="0"/>
        <w:jc w:val="center"/>
        <w:rPr>
          <w:rFonts w:ascii="宋体" w:hAnsi="宋体" w:cs="宋体"/>
          <w:b/>
          <w:spacing w:val="6"/>
          <w:sz w:val="32"/>
          <w:szCs w:val="32"/>
          <w:highlight w:val="none"/>
        </w:rPr>
      </w:pPr>
    </w:p>
    <w:p w14:paraId="66EC61E7">
      <w:pPr>
        <w:autoSpaceDE w:val="0"/>
        <w:autoSpaceDN w:val="0"/>
        <w:jc w:val="center"/>
        <w:rPr>
          <w:rFonts w:ascii="宋体" w:hAnsi="宋体" w:cs="宋体"/>
          <w:b/>
          <w:spacing w:val="6"/>
          <w:sz w:val="32"/>
          <w:szCs w:val="32"/>
          <w:highlight w:val="none"/>
        </w:rPr>
      </w:pPr>
    </w:p>
    <w:p w14:paraId="1574C698">
      <w:pPr>
        <w:autoSpaceDE w:val="0"/>
        <w:autoSpaceDN w:val="0"/>
        <w:jc w:val="center"/>
        <w:rPr>
          <w:rFonts w:ascii="宋体" w:hAnsi="宋体" w:cs="宋体"/>
          <w:b/>
          <w:spacing w:val="6"/>
          <w:sz w:val="32"/>
          <w:szCs w:val="32"/>
          <w:highlight w:val="none"/>
        </w:rPr>
      </w:pPr>
    </w:p>
    <w:p w14:paraId="3BF3695F">
      <w:pPr>
        <w:autoSpaceDE w:val="0"/>
        <w:autoSpaceDN w:val="0"/>
        <w:jc w:val="center"/>
        <w:rPr>
          <w:rFonts w:ascii="宋体" w:hAnsi="宋体" w:cs="宋体"/>
          <w:b/>
          <w:spacing w:val="6"/>
          <w:sz w:val="32"/>
          <w:szCs w:val="32"/>
          <w:highlight w:val="none"/>
        </w:rPr>
      </w:pPr>
    </w:p>
    <w:p w14:paraId="041E252D">
      <w:pPr>
        <w:autoSpaceDE w:val="0"/>
        <w:autoSpaceDN w:val="0"/>
        <w:jc w:val="center"/>
        <w:rPr>
          <w:rFonts w:ascii="宋体" w:hAnsi="宋体" w:cs="宋体"/>
          <w:b/>
          <w:spacing w:val="6"/>
          <w:sz w:val="32"/>
          <w:szCs w:val="32"/>
          <w:highlight w:val="none"/>
        </w:rPr>
      </w:pPr>
    </w:p>
    <w:p w14:paraId="1384E3A7">
      <w:pPr>
        <w:autoSpaceDE w:val="0"/>
        <w:autoSpaceDN w:val="0"/>
        <w:jc w:val="center"/>
        <w:rPr>
          <w:rFonts w:ascii="宋体" w:hAnsi="宋体" w:cs="宋体"/>
          <w:b/>
          <w:spacing w:val="6"/>
          <w:sz w:val="32"/>
          <w:szCs w:val="32"/>
          <w:highlight w:val="none"/>
        </w:rPr>
      </w:pPr>
    </w:p>
    <w:p w14:paraId="6C1E28E6">
      <w:pPr>
        <w:autoSpaceDE w:val="0"/>
        <w:autoSpaceDN w:val="0"/>
        <w:jc w:val="center"/>
        <w:rPr>
          <w:rFonts w:ascii="宋体" w:hAnsi="宋体" w:cs="宋体"/>
          <w:b/>
          <w:spacing w:val="6"/>
          <w:sz w:val="32"/>
          <w:szCs w:val="32"/>
          <w:highlight w:val="none"/>
        </w:rPr>
      </w:pPr>
    </w:p>
    <w:p w14:paraId="5C13F856">
      <w:pPr>
        <w:autoSpaceDE w:val="0"/>
        <w:autoSpaceDN w:val="0"/>
        <w:jc w:val="center"/>
        <w:rPr>
          <w:rFonts w:ascii="宋体" w:hAnsi="宋体" w:cs="宋体"/>
          <w:b/>
          <w:spacing w:val="6"/>
          <w:sz w:val="32"/>
          <w:szCs w:val="32"/>
          <w:highlight w:val="none"/>
        </w:rPr>
      </w:pPr>
    </w:p>
    <w:p w14:paraId="052AF3F5">
      <w:pPr>
        <w:autoSpaceDE w:val="0"/>
        <w:autoSpaceDN w:val="0"/>
        <w:jc w:val="center"/>
        <w:rPr>
          <w:rFonts w:ascii="宋体" w:hAnsi="宋体" w:cs="宋体"/>
          <w:b/>
          <w:spacing w:val="6"/>
          <w:sz w:val="32"/>
          <w:szCs w:val="32"/>
          <w:highlight w:val="none"/>
        </w:rPr>
      </w:pPr>
    </w:p>
    <w:p w14:paraId="5BDDA304">
      <w:pPr>
        <w:autoSpaceDE w:val="0"/>
        <w:autoSpaceDN w:val="0"/>
        <w:jc w:val="center"/>
        <w:rPr>
          <w:rFonts w:ascii="宋体" w:hAnsi="宋体" w:cs="宋体"/>
          <w:b/>
          <w:spacing w:val="6"/>
          <w:sz w:val="32"/>
          <w:szCs w:val="32"/>
          <w:highlight w:val="none"/>
        </w:rPr>
      </w:pPr>
    </w:p>
    <w:p w14:paraId="60C3C650">
      <w:pPr>
        <w:autoSpaceDE w:val="0"/>
        <w:autoSpaceDN w:val="0"/>
        <w:jc w:val="center"/>
        <w:rPr>
          <w:rFonts w:ascii="宋体" w:hAnsi="宋体" w:cs="宋体"/>
          <w:b/>
          <w:spacing w:val="6"/>
          <w:sz w:val="32"/>
          <w:szCs w:val="32"/>
          <w:highlight w:val="none"/>
        </w:rPr>
      </w:pPr>
    </w:p>
    <w:p w14:paraId="519BE08D">
      <w:pPr>
        <w:autoSpaceDE w:val="0"/>
        <w:autoSpaceDN w:val="0"/>
        <w:jc w:val="center"/>
        <w:rPr>
          <w:rFonts w:ascii="宋体" w:hAnsi="宋体" w:cs="宋体"/>
          <w:b/>
          <w:spacing w:val="6"/>
          <w:sz w:val="32"/>
          <w:szCs w:val="32"/>
          <w:highlight w:val="none"/>
        </w:rPr>
      </w:pPr>
    </w:p>
    <w:p w14:paraId="640253DE">
      <w:pPr>
        <w:autoSpaceDE w:val="0"/>
        <w:autoSpaceDN w:val="0"/>
        <w:jc w:val="center"/>
        <w:rPr>
          <w:rFonts w:ascii="宋体" w:hAnsi="宋体" w:cs="宋体"/>
          <w:b/>
          <w:spacing w:val="6"/>
          <w:sz w:val="32"/>
          <w:szCs w:val="32"/>
          <w:highlight w:val="none"/>
        </w:rPr>
      </w:pPr>
    </w:p>
    <w:p w14:paraId="485852E6">
      <w:pPr>
        <w:autoSpaceDE w:val="0"/>
        <w:autoSpaceDN w:val="0"/>
        <w:jc w:val="center"/>
        <w:rPr>
          <w:rFonts w:ascii="宋体" w:hAnsi="宋体" w:cs="宋体"/>
          <w:b/>
          <w:kern w:val="0"/>
          <w:sz w:val="32"/>
          <w:szCs w:val="32"/>
          <w:highlight w:val="none"/>
          <w:lang w:val="zh-CN"/>
        </w:rPr>
      </w:pPr>
      <w:r>
        <w:rPr>
          <w:rFonts w:hint="eastAsia" w:ascii="宋体" w:hAnsi="宋体" w:cs="宋体"/>
          <w:b/>
          <w:spacing w:val="6"/>
          <w:sz w:val="32"/>
          <w:szCs w:val="32"/>
          <w:highlight w:val="none"/>
        </w:rPr>
        <w:t>附件</w:t>
      </w:r>
      <w:r>
        <w:rPr>
          <w:rFonts w:hint="eastAsia" w:ascii="宋体" w:hAnsi="宋体" w:cs="宋体"/>
          <w:b/>
          <w:spacing w:val="6"/>
          <w:sz w:val="32"/>
          <w:szCs w:val="32"/>
          <w:highlight w:val="none"/>
          <w:lang w:val="en-US" w:eastAsia="zh-CN"/>
        </w:rPr>
        <w:t>5</w:t>
      </w:r>
      <w:r>
        <w:rPr>
          <w:rFonts w:hint="eastAsia" w:ascii="宋体" w:hAnsi="宋体" w:cs="宋体"/>
          <w:b/>
          <w:spacing w:val="6"/>
          <w:sz w:val="32"/>
          <w:szCs w:val="32"/>
          <w:highlight w:val="none"/>
        </w:rPr>
        <w:t>：</w:t>
      </w:r>
      <w:r>
        <w:rPr>
          <w:rFonts w:hint="eastAsia" w:ascii="宋体" w:hAnsi="宋体" w:cs="宋体"/>
          <w:b/>
          <w:kern w:val="0"/>
          <w:sz w:val="32"/>
          <w:szCs w:val="32"/>
          <w:highlight w:val="none"/>
          <w:lang w:val="zh-CN"/>
        </w:rPr>
        <w:t>联合协议</w:t>
      </w:r>
    </w:p>
    <w:p w14:paraId="7F7126EE">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（以联合体形式投标的，提供联合协议；本项目不接受联合体投标或者投标人不以联合体形式投标的，则不需要提供）</w:t>
      </w:r>
    </w:p>
    <w:p w14:paraId="32EF6F73">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（联合体所有成员名称）</w:t>
      </w:r>
      <w:r>
        <w:rPr>
          <w:rFonts w:hint="eastAsia" w:ascii="宋体" w:hAnsi="宋体" w:cs="宋体"/>
          <w:kern w:val="0"/>
          <w:sz w:val="24"/>
          <w:highlight w:val="none"/>
        </w:rPr>
        <w:t>自愿</w:t>
      </w:r>
      <w:r>
        <w:rPr>
          <w:rFonts w:hint="eastAsia" w:ascii="宋体" w:hAnsi="宋体" w:cs="宋体"/>
          <w:kern w:val="0"/>
          <w:sz w:val="24"/>
          <w:highlight w:val="none"/>
          <w:lang w:val="zh-CN"/>
        </w:rPr>
        <w:t>组成一个联合体，以一个投标人的身份</w:t>
      </w:r>
      <w:r>
        <w:rPr>
          <w:rFonts w:hint="eastAsia" w:ascii="宋体" w:hAnsi="宋体" w:cs="宋体"/>
          <w:kern w:val="0"/>
          <w:sz w:val="24"/>
          <w:highlight w:val="none"/>
        </w:rPr>
        <w:t>参加</w:t>
      </w:r>
      <w:r>
        <w:rPr>
          <w:rFonts w:hint="eastAsia" w:ascii="宋体" w:hAnsi="宋体" w:cs="宋体"/>
          <w:sz w:val="24"/>
          <w:highlight w:val="none"/>
          <w:lang w:eastAsia="zh-CN"/>
        </w:rPr>
        <w:t>菜篮子食品安全“你点我检”放心工程(生鲜食材快检)</w:t>
      </w:r>
      <w:r>
        <w:rPr>
          <w:rFonts w:hint="eastAsia" w:ascii="宋体" w:hAnsi="宋体" w:cs="宋体"/>
          <w:sz w:val="24"/>
          <w:highlight w:val="none"/>
        </w:rPr>
        <w:t>【招标编号：</w:t>
      </w:r>
      <w:r>
        <w:rPr>
          <w:rFonts w:hint="eastAsia" w:ascii="宋体" w:hAnsi="宋体" w:cs="宋体"/>
          <w:sz w:val="24"/>
          <w:highlight w:val="none"/>
          <w:lang w:eastAsia="zh-CN"/>
        </w:rPr>
        <w:t>CBZJ-20256033G</w:t>
      </w:r>
      <w:r>
        <w:rPr>
          <w:rFonts w:hint="eastAsia" w:ascii="宋体" w:hAnsi="宋体" w:cs="宋体"/>
          <w:sz w:val="24"/>
          <w:highlight w:val="none"/>
        </w:rPr>
        <w:t>】</w:t>
      </w:r>
      <w:r>
        <w:rPr>
          <w:rFonts w:hint="eastAsia" w:ascii="宋体" w:hAnsi="宋体" w:cs="宋体"/>
          <w:kern w:val="0"/>
          <w:sz w:val="24"/>
          <w:highlight w:val="none"/>
          <w:lang w:val="zh-CN"/>
        </w:rPr>
        <w:t xml:space="preserve">投标。 </w:t>
      </w:r>
    </w:p>
    <w:p w14:paraId="26935357">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一、各方一致决定，</w:t>
      </w:r>
      <w:r>
        <w:rPr>
          <w:rFonts w:hint="eastAsia" w:ascii="宋体" w:hAnsi="宋体" w:cs="宋体"/>
          <w:kern w:val="0"/>
          <w:sz w:val="24"/>
          <w:highlight w:val="none"/>
          <w:u w:val="single"/>
        </w:rPr>
        <w:t>（某联合体成员名称）</w:t>
      </w:r>
      <w:r>
        <w:rPr>
          <w:rFonts w:hint="eastAsia" w:ascii="宋体" w:hAnsi="宋体" w:cs="宋体"/>
          <w:kern w:val="0"/>
          <w:sz w:val="24"/>
          <w:highlight w:val="none"/>
        </w:rPr>
        <w:t>为联合体</w:t>
      </w:r>
      <w:r>
        <w:rPr>
          <w:rFonts w:hint="eastAsia" w:ascii="宋体" w:hAnsi="宋体" w:cs="宋体"/>
          <w:kern w:val="0"/>
          <w:sz w:val="24"/>
          <w:highlight w:val="none"/>
          <w:lang w:val="zh-CN"/>
        </w:rPr>
        <w:t>牵头人</w:t>
      </w:r>
      <w:r>
        <w:rPr>
          <w:rFonts w:hint="eastAsia" w:ascii="宋体" w:hAnsi="宋体" w:cs="宋体"/>
          <w:sz w:val="24"/>
          <w:highlight w:val="none"/>
        </w:rPr>
        <w:t>，代表所有联合体成员负责投标和合同实施阶段的主办、协调工作</w:t>
      </w:r>
      <w:r>
        <w:rPr>
          <w:rFonts w:hint="eastAsia" w:ascii="宋体" w:hAnsi="宋体" w:cs="宋体"/>
          <w:kern w:val="0"/>
          <w:sz w:val="24"/>
          <w:highlight w:val="none"/>
          <w:lang w:val="zh-CN"/>
        </w:rPr>
        <w:t>。</w:t>
      </w:r>
    </w:p>
    <w:p w14:paraId="7CF0EBCC">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w:t>
      </w:r>
      <w:r>
        <w:rPr>
          <w:rFonts w:hint="eastAsia" w:ascii="宋体" w:hAnsi="宋体" w:cs="宋体"/>
          <w:sz w:val="24"/>
          <w:highlight w:val="none"/>
        </w:rPr>
        <w:t>所有联合体成员各方签署授权书，授权书载明的</w:t>
      </w:r>
      <w:r>
        <w:rPr>
          <w:rFonts w:hint="eastAsia" w:ascii="宋体" w:hAnsi="宋体" w:cs="宋体"/>
          <w:kern w:val="0"/>
          <w:sz w:val="24"/>
          <w:highlight w:val="none"/>
          <w:lang w:val="zh-CN"/>
        </w:rPr>
        <w:t>授权代表根据招标文件规定及投标内容而对采购人、采购代理机构所作的任何合法承诺，包括书面澄清及响应等均对联合投标各方产生约束力。</w:t>
      </w:r>
    </w:p>
    <w:p w14:paraId="4192DDFB">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三、本次联合投标中，分工如下：</w:t>
      </w:r>
    </w:p>
    <w:p w14:paraId="3A5ABD2D">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（联合体成员1）</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46183CC4">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（联合体成员2）</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2AE007BE">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w:t>
      </w:r>
    </w:p>
    <w:p w14:paraId="6F95C402">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四、联合体成员中小企业合同份额。</w:t>
      </w:r>
    </w:p>
    <w:p w14:paraId="5F8D8593">
      <w:pPr>
        <w:snapToGrid w:val="0"/>
        <w:spacing w:line="360" w:lineRule="auto"/>
        <w:ind w:firstLine="576"/>
        <w:rPr>
          <w:rFonts w:ascii="宋体" w:hAnsi="宋体" w:cs="宋体"/>
          <w:b/>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u w:val="single"/>
        </w:rPr>
        <w:t>（</w:t>
      </w:r>
      <w:bookmarkStart w:id="537" w:name="_Hlk101131882"/>
      <w:r>
        <w:rPr>
          <w:rFonts w:hint="eastAsia" w:ascii="宋体" w:hAnsi="宋体" w:cs="宋体"/>
          <w:kern w:val="0"/>
          <w:sz w:val="24"/>
          <w:highlight w:val="none"/>
          <w:u w:val="single"/>
        </w:rPr>
        <w:t>联合体成员X,……</w:t>
      </w:r>
      <w:bookmarkEnd w:id="537"/>
      <w:r>
        <w:rPr>
          <w:rFonts w:hint="eastAsia" w:ascii="宋体" w:hAnsi="宋体" w:cs="宋体"/>
          <w:kern w:val="0"/>
          <w:sz w:val="24"/>
          <w:highlight w:val="none"/>
          <w:u w:val="single"/>
        </w:rPr>
        <w:t>）</w:t>
      </w:r>
      <w:r>
        <w:rPr>
          <w:rFonts w:hint="eastAsia" w:ascii="宋体" w:hAnsi="宋体" w:cs="宋体"/>
          <w:kern w:val="0"/>
          <w:sz w:val="24"/>
          <w:highlight w:val="none"/>
        </w:rPr>
        <w:t>提供的服务由小微企业承接，其合同份额占到合同总金额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kern w:val="0"/>
          <w:sz w:val="24"/>
          <w:highlight w:val="none"/>
          <w:lang w:val="zh-CN"/>
        </w:rPr>
        <w:t>。</w:t>
      </w:r>
      <w:r>
        <w:rPr>
          <w:rFonts w:hint="eastAsia" w:ascii="宋体" w:hAnsi="宋体" w:cs="宋体"/>
          <w:b/>
          <w:kern w:val="0"/>
          <w:sz w:val="24"/>
          <w:highlight w:val="none"/>
          <w:lang w:val="zh-CN"/>
        </w:rPr>
        <w:t>（</w:t>
      </w:r>
      <w:bookmarkStart w:id="538" w:name="_Hlk101133598"/>
      <w:r>
        <w:rPr>
          <w:rFonts w:hint="eastAsia" w:ascii="宋体" w:hAnsi="宋体" w:cs="宋体"/>
          <w:b/>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highlight w:val="none"/>
        </w:rPr>
        <w:t>拟享受以上价格扣除政策的，填写有关内容。</w:t>
      </w:r>
      <w:bookmarkEnd w:id="538"/>
      <w:r>
        <w:rPr>
          <w:rFonts w:hint="eastAsia" w:ascii="宋体" w:hAnsi="宋体" w:cs="宋体"/>
          <w:b/>
          <w:kern w:val="0"/>
          <w:sz w:val="24"/>
          <w:highlight w:val="none"/>
          <w:lang w:val="zh-CN"/>
        </w:rPr>
        <w:t>）</w:t>
      </w:r>
    </w:p>
    <w:p w14:paraId="534A3430">
      <w:pPr>
        <w:spacing w:line="360" w:lineRule="auto"/>
        <w:ind w:firstLine="480" w:firstLineChars="200"/>
        <w:rPr>
          <w:rFonts w:ascii="宋体" w:hAnsi="宋体" w:cs="宋体"/>
          <w:b/>
          <w:bCs/>
          <w:kern w:val="0"/>
          <w:sz w:val="24"/>
          <w:highlight w:val="none"/>
          <w:lang w:val="zh-CN"/>
        </w:rPr>
      </w:pPr>
      <w:r>
        <w:rPr>
          <w:rFonts w:hint="eastAsia" w:ascii="宋体" w:hAnsi="宋体" w:cs="宋体"/>
          <w:sz w:val="24"/>
          <w:highlight w:val="none"/>
        </w:rPr>
        <w:t>2、</w:t>
      </w:r>
      <w:bookmarkStart w:id="539" w:name="_Hlk101133173"/>
      <w:r>
        <w:rPr>
          <w:rFonts w:hint="eastAsia" w:ascii="宋体" w:hAnsi="宋体" w:cs="宋体"/>
          <w:sz w:val="24"/>
          <w:highlight w:val="none"/>
        </w:rPr>
        <w:t>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highlight w:val="none"/>
          <w:lang w:val="zh-CN"/>
        </w:rPr>
        <w:t>）</w:t>
      </w:r>
      <w:bookmarkEnd w:id="539"/>
    </w:p>
    <w:p w14:paraId="60C102D5">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五、如果中标，</w:t>
      </w:r>
      <w:r>
        <w:rPr>
          <w:rFonts w:hint="eastAsia" w:ascii="宋体" w:hAnsi="宋体" w:cs="宋体"/>
          <w:sz w:val="24"/>
          <w:highlight w:val="none"/>
        </w:rPr>
        <w:t>联合体各成员方共同与采购人签订合同，并就采购合同约定的事项对采购人承担连带责任。</w:t>
      </w:r>
    </w:p>
    <w:p w14:paraId="679686B5">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六、有关本次联合投标的其他事宜：</w:t>
      </w:r>
    </w:p>
    <w:p w14:paraId="14BACC16">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1、联合体各方不再单独参加或者与其他供应商另外组成联合体参加同一合同项下的政府采购活动。</w:t>
      </w:r>
    </w:p>
    <w:p w14:paraId="5D3424E8">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2、联合体中有同类资质的各方按照联合体分工承担相同工作的，按照资质等级较低的供应商确定资质等级。</w:t>
      </w:r>
    </w:p>
    <w:p w14:paraId="3478CBF9">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3、本协议提交采购人、采购代理机构后，联合体各方不得以任何形式对上述内容进行修改或撤销。</w:t>
      </w:r>
    </w:p>
    <w:p w14:paraId="1935D452">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411EFE7E">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5D160429">
      <w:pPr>
        <w:snapToGrid w:val="0"/>
        <w:spacing w:line="360" w:lineRule="auto"/>
        <w:ind w:right="960"/>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30AA7150">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日期：  年  月   日</w:t>
      </w:r>
    </w:p>
    <w:p w14:paraId="15C9CA6E">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7967928F">
      <w:pPr>
        <w:autoSpaceDE w:val="0"/>
        <w:autoSpaceDN w:val="0"/>
        <w:jc w:val="center"/>
        <w:rPr>
          <w:rFonts w:ascii="宋体" w:hAnsi="宋体" w:cs="宋体"/>
          <w:b/>
          <w:spacing w:val="6"/>
          <w:sz w:val="32"/>
          <w:szCs w:val="32"/>
          <w:highlight w:val="none"/>
        </w:rPr>
      </w:pPr>
    </w:p>
    <w:p w14:paraId="156E656C">
      <w:pPr>
        <w:autoSpaceDE w:val="0"/>
        <w:autoSpaceDN w:val="0"/>
        <w:jc w:val="center"/>
        <w:rPr>
          <w:rFonts w:ascii="宋体" w:hAnsi="宋体" w:cs="宋体"/>
          <w:b/>
          <w:spacing w:val="6"/>
          <w:sz w:val="32"/>
          <w:szCs w:val="32"/>
          <w:highlight w:val="none"/>
        </w:rPr>
      </w:pPr>
    </w:p>
    <w:p w14:paraId="4735A23F">
      <w:pPr>
        <w:autoSpaceDE w:val="0"/>
        <w:autoSpaceDN w:val="0"/>
        <w:jc w:val="center"/>
        <w:rPr>
          <w:rFonts w:ascii="宋体" w:hAnsi="宋体" w:cs="宋体"/>
          <w:b/>
          <w:spacing w:val="6"/>
          <w:sz w:val="32"/>
          <w:szCs w:val="32"/>
          <w:highlight w:val="none"/>
        </w:rPr>
      </w:pPr>
    </w:p>
    <w:p w14:paraId="6F9E25B2">
      <w:pPr>
        <w:autoSpaceDE w:val="0"/>
        <w:autoSpaceDN w:val="0"/>
        <w:jc w:val="center"/>
        <w:rPr>
          <w:rFonts w:ascii="宋体" w:hAnsi="宋体" w:cs="宋体"/>
          <w:b/>
          <w:spacing w:val="6"/>
          <w:sz w:val="32"/>
          <w:szCs w:val="32"/>
          <w:highlight w:val="none"/>
        </w:rPr>
      </w:pPr>
    </w:p>
    <w:p w14:paraId="392635BE">
      <w:pPr>
        <w:autoSpaceDE w:val="0"/>
        <w:autoSpaceDN w:val="0"/>
        <w:jc w:val="center"/>
        <w:rPr>
          <w:rFonts w:ascii="宋体" w:hAnsi="宋体" w:cs="宋体"/>
          <w:b/>
          <w:spacing w:val="6"/>
          <w:sz w:val="32"/>
          <w:szCs w:val="32"/>
          <w:highlight w:val="none"/>
        </w:rPr>
      </w:pPr>
    </w:p>
    <w:p w14:paraId="09E87A3E">
      <w:pPr>
        <w:autoSpaceDE w:val="0"/>
        <w:autoSpaceDN w:val="0"/>
        <w:jc w:val="center"/>
        <w:rPr>
          <w:rFonts w:ascii="宋体" w:hAnsi="宋体" w:cs="宋体"/>
          <w:b/>
          <w:spacing w:val="6"/>
          <w:sz w:val="32"/>
          <w:szCs w:val="32"/>
          <w:highlight w:val="none"/>
        </w:rPr>
      </w:pPr>
    </w:p>
    <w:p w14:paraId="36A64330">
      <w:pPr>
        <w:autoSpaceDE w:val="0"/>
        <w:autoSpaceDN w:val="0"/>
        <w:jc w:val="center"/>
        <w:rPr>
          <w:rFonts w:ascii="宋体" w:hAnsi="宋体" w:cs="宋体"/>
          <w:b/>
          <w:spacing w:val="6"/>
          <w:sz w:val="32"/>
          <w:szCs w:val="32"/>
          <w:highlight w:val="none"/>
        </w:rPr>
      </w:pPr>
    </w:p>
    <w:p w14:paraId="236C57CA">
      <w:pPr>
        <w:autoSpaceDE w:val="0"/>
        <w:autoSpaceDN w:val="0"/>
        <w:jc w:val="center"/>
        <w:rPr>
          <w:rFonts w:ascii="宋体" w:hAnsi="宋体" w:cs="宋体"/>
          <w:b/>
          <w:spacing w:val="6"/>
          <w:sz w:val="32"/>
          <w:szCs w:val="32"/>
          <w:highlight w:val="none"/>
        </w:rPr>
      </w:pPr>
    </w:p>
    <w:p w14:paraId="0E70A193">
      <w:pPr>
        <w:autoSpaceDE w:val="0"/>
        <w:autoSpaceDN w:val="0"/>
        <w:jc w:val="center"/>
        <w:rPr>
          <w:rFonts w:ascii="宋体" w:hAnsi="宋体" w:cs="宋体"/>
          <w:b/>
          <w:spacing w:val="6"/>
          <w:sz w:val="32"/>
          <w:szCs w:val="32"/>
          <w:highlight w:val="none"/>
        </w:rPr>
      </w:pPr>
    </w:p>
    <w:p w14:paraId="11F338EE">
      <w:pPr>
        <w:autoSpaceDE w:val="0"/>
        <w:autoSpaceDN w:val="0"/>
        <w:jc w:val="center"/>
        <w:rPr>
          <w:rFonts w:ascii="宋体" w:hAnsi="宋体" w:cs="宋体"/>
          <w:b/>
          <w:spacing w:val="6"/>
          <w:sz w:val="32"/>
          <w:szCs w:val="32"/>
          <w:highlight w:val="none"/>
        </w:rPr>
      </w:pPr>
    </w:p>
    <w:p w14:paraId="3ADBC29A">
      <w:pPr>
        <w:autoSpaceDE w:val="0"/>
        <w:autoSpaceDN w:val="0"/>
        <w:jc w:val="center"/>
        <w:rPr>
          <w:rFonts w:ascii="宋体" w:hAnsi="宋体" w:cs="宋体"/>
          <w:b/>
          <w:spacing w:val="6"/>
          <w:sz w:val="32"/>
          <w:szCs w:val="32"/>
          <w:highlight w:val="none"/>
        </w:rPr>
      </w:pPr>
    </w:p>
    <w:p w14:paraId="1BC55401">
      <w:pPr>
        <w:autoSpaceDE w:val="0"/>
        <w:autoSpaceDN w:val="0"/>
        <w:jc w:val="center"/>
        <w:rPr>
          <w:rFonts w:ascii="宋体" w:hAnsi="宋体" w:cs="宋体"/>
          <w:b/>
          <w:spacing w:val="6"/>
          <w:sz w:val="32"/>
          <w:szCs w:val="32"/>
          <w:highlight w:val="none"/>
        </w:rPr>
      </w:pPr>
    </w:p>
    <w:p w14:paraId="7C347DD4">
      <w:pPr>
        <w:autoSpaceDE w:val="0"/>
        <w:autoSpaceDN w:val="0"/>
        <w:jc w:val="center"/>
        <w:rPr>
          <w:rFonts w:ascii="宋体" w:hAnsi="宋体" w:cs="宋体"/>
          <w:b/>
          <w:spacing w:val="6"/>
          <w:sz w:val="32"/>
          <w:szCs w:val="32"/>
          <w:highlight w:val="none"/>
        </w:rPr>
      </w:pPr>
    </w:p>
    <w:p w14:paraId="04CC3B8F">
      <w:pPr>
        <w:autoSpaceDE w:val="0"/>
        <w:autoSpaceDN w:val="0"/>
        <w:jc w:val="center"/>
        <w:rPr>
          <w:rFonts w:ascii="宋体" w:hAnsi="宋体" w:cs="宋体"/>
          <w:b/>
          <w:spacing w:val="6"/>
          <w:sz w:val="32"/>
          <w:szCs w:val="32"/>
          <w:highlight w:val="none"/>
        </w:rPr>
      </w:pPr>
    </w:p>
    <w:p w14:paraId="2A159512">
      <w:pPr>
        <w:autoSpaceDE w:val="0"/>
        <w:autoSpaceDN w:val="0"/>
        <w:jc w:val="center"/>
        <w:rPr>
          <w:rFonts w:ascii="宋体" w:hAnsi="宋体" w:cs="宋体"/>
          <w:b/>
          <w:spacing w:val="6"/>
          <w:sz w:val="32"/>
          <w:szCs w:val="32"/>
          <w:highlight w:val="none"/>
        </w:rPr>
      </w:pPr>
    </w:p>
    <w:p w14:paraId="1904AF41">
      <w:pPr>
        <w:autoSpaceDE w:val="0"/>
        <w:autoSpaceDN w:val="0"/>
        <w:jc w:val="center"/>
        <w:rPr>
          <w:rFonts w:ascii="宋体" w:hAnsi="宋体" w:cs="宋体"/>
          <w:b/>
          <w:spacing w:val="6"/>
          <w:sz w:val="32"/>
          <w:szCs w:val="32"/>
          <w:highlight w:val="none"/>
        </w:rPr>
      </w:pPr>
    </w:p>
    <w:p w14:paraId="63C410AD">
      <w:pPr>
        <w:autoSpaceDE w:val="0"/>
        <w:autoSpaceDN w:val="0"/>
        <w:jc w:val="center"/>
        <w:rPr>
          <w:rFonts w:ascii="宋体" w:hAnsi="宋体" w:cs="宋体"/>
          <w:b/>
          <w:spacing w:val="6"/>
          <w:sz w:val="32"/>
          <w:szCs w:val="32"/>
          <w:highlight w:val="none"/>
        </w:rPr>
      </w:pPr>
    </w:p>
    <w:p w14:paraId="73C0A24C">
      <w:pPr>
        <w:autoSpaceDE w:val="0"/>
        <w:autoSpaceDN w:val="0"/>
        <w:jc w:val="center"/>
        <w:rPr>
          <w:rFonts w:ascii="宋体" w:hAnsi="宋体" w:cs="宋体"/>
          <w:b/>
          <w:spacing w:val="6"/>
          <w:sz w:val="32"/>
          <w:szCs w:val="32"/>
          <w:highlight w:val="none"/>
        </w:rPr>
      </w:pPr>
    </w:p>
    <w:p w14:paraId="401F3B90">
      <w:pPr>
        <w:autoSpaceDE w:val="0"/>
        <w:autoSpaceDN w:val="0"/>
        <w:jc w:val="center"/>
        <w:rPr>
          <w:rFonts w:ascii="宋体" w:hAnsi="宋体" w:cs="宋体"/>
          <w:b/>
          <w:spacing w:val="6"/>
          <w:sz w:val="32"/>
          <w:szCs w:val="32"/>
          <w:highlight w:val="none"/>
        </w:rPr>
      </w:pPr>
    </w:p>
    <w:p w14:paraId="093CEA31">
      <w:pPr>
        <w:autoSpaceDE w:val="0"/>
        <w:autoSpaceDN w:val="0"/>
        <w:jc w:val="center"/>
        <w:rPr>
          <w:rFonts w:ascii="宋体" w:hAnsi="宋体" w:cs="宋体"/>
          <w:b/>
          <w:spacing w:val="6"/>
          <w:sz w:val="32"/>
          <w:szCs w:val="32"/>
          <w:highlight w:val="none"/>
        </w:rPr>
      </w:pPr>
    </w:p>
    <w:p w14:paraId="00F11C57">
      <w:pPr>
        <w:autoSpaceDE w:val="0"/>
        <w:autoSpaceDN w:val="0"/>
        <w:jc w:val="center"/>
        <w:rPr>
          <w:rFonts w:ascii="宋体" w:hAnsi="宋体" w:cs="宋体"/>
          <w:b/>
          <w:spacing w:val="6"/>
          <w:sz w:val="32"/>
          <w:szCs w:val="32"/>
          <w:highlight w:val="none"/>
        </w:rPr>
      </w:pPr>
    </w:p>
    <w:p w14:paraId="3CD8F479">
      <w:pPr>
        <w:snapToGrid w:val="0"/>
        <w:spacing w:line="360" w:lineRule="auto"/>
        <w:ind w:firstLine="3666" w:firstLineChars="1100"/>
        <w:rPr>
          <w:rFonts w:ascii="宋体" w:hAnsi="宋体" w:cs="宋体"/>
          <w:b/>
          <w:spacing w:val="6"/>
          <w:sz w:val="32"/>
          <w:szCs w:val="32"/>
          <w:highlight w:val="none"/>
        </w:rPr>
      </w:pPr>
    </w:p>
    <w:p w14:paraId="6A2788A4">
      <w:pPr>
        <w:widowControl/>
        <w:adjustRightInd/>
        <w:jc w:val="left"/>
        <w:rPr>
          <w:rFonts w:ascii="宋体" w:hAnsi="宋体" w:cs="宋体"/>
          <w:b/>
          <w:spacing w:val="6"/>
          <w:sz w:val="32"/>
          <w:szCs w:val="32"/>
          <w:highlight w:val="none"/>
        </w:rPr>
      </w:pPr>
      <w:r>
        <w:rPr>
          <w:rFonts w:hint="eastAsia" w:ascii="宋体" w:hAnsi="宋体" w:cs="宋体"/>
          <w:b/>
          <w:spacing w:val="6"/>
          <w:sz w:val="32"/>
          <w:szCs w:val="32"/>
          <w:highlight w:val="none"/>
        </w:rPr>
        <w:br w:type="page"/>
      </w:r>
    </w:p>
    <w:p w14:paraId="6FEA1ECC">
      <w:pPr>
        <w:snapToGrid w:val="0"/>
        <w:spacing w:line="360" w:lineRule="auto"/>
        <w:ind w:firstLine="3666" w:firstLineChars="1100"/>
        <w:rPr>
          <w:rFonts w:ascii="宋体" w:hAnsi="宋体" w:cs="宋体"/>
          <w:b/>
          <w:color w:val="auto"/>
          <w:kern w:val="0"/>
          <w:sz w:val="32"/>
          <w:szCs w:val="32"/>
          <w:highlight w:val="none"/>
        </w:rPr>
      </w:pPr>
      <w:bookmarkStart w:id="540" w:name="_Toc24808"/>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4CADFD9E">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3792914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sz w:val="24"/>
          <w:highlight w:val="none"/>
        </w:rPr>
        <w:t>项目【招标编号：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0083187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7F3570C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7487D04B">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350F2171">
      <w:pPr>
        <w:rPr>
          <w:color w:val="auto"/>
          <w:highlight w:val="none"/>
        </w:rPr>
      </w:pPr>
      <w:r>
        <w:rPr>
          <w:rFonts w:hint="eastAsia"/>
          <w:color w:val="auto"/>
          <w:highlight w:val="none"/>
          <w:lang w:val="zh-CN"/>
        </w:rPr>
        <w:t xml:space="preserve"> </w:t>
      </w:r>
    </w:p>
    <w:p w14:paraId="4C80991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2BA8F612">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282ECD16">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4FD2D0F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37EC2AF0">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0C8CAF1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17A87BF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09B08B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0CB09480">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6969CF7">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82C9DA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3DED3E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A36079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E998D2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73E12D00">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投标人名称（电子签名）：</w:t>
      </w:r>
    </w:p>
    <w:p w14:paraId="49812695">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378BDFF2">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EF87F59">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31328D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FA62627">
      <w:pPr>
        <w:rPr>
          <w:rFonts w:hint="eastAsia" w:ascii="宋体" w:hAnsi="宋体" w:cs="宋体"/>
          <w:b/>
          <w:sz w:val="32"/>
          <w:szCs w:val="18"/>
          <w:highlight w:val="none"/>
        </w:rPr>
      </w:pPr>
      <w:r>
        <w:rPr>
          <w:rFonts w:hint="eastAsia" w:ascii="宋体" w:hAnsi="宋体" w:cs="宋体"/>
          <w:b/>
          <w:sz w:val="32"/>
          <w:szCs w:val="18"/>
          <w:highlight w:val="none"/>
        </w:rPr>
        <w:br w:type="page"/>
      </w:r>
    </w:p>
    <w:p w14:paraId="09B1FA36">
      <w:pPr>
        <w:spacing w:line="360" w:lineRule="auto"/>
        <w:jc w:val="left"/>
        <w:outlineLvl w:val="0"/>
        <w:rPr>
          <w:rFonts w:ascii="宋体" w:hAnsi="宋体" w:cs="宋体"/>
          <w:b/>
          <w:sz w:val="32"/>
          <w:szCs w:val="18"/>
          <w:highlight w:val="none"/>
        </w:rPr>
      </w:pPr>
      <w:r>
        <w:rPr>
          <w:rFonts w:hint="eastAsia" w:ascii="宋体" w:hAnsi="宋体" w:cs="宋体"/>
          <w:b/>
          <w:sz w:val="32"/>
          <w:szCs w:val="18"/>
          <w:highlight w:val="none"/>
        </w:rPr>
        <w:t>附件7：中小企业声明函</w:t>
      </w:r>
      <w:bookmarkEnd w:id="540"/>
    </w:p>
    <w:p w14:paraId="0BD89C0C">
      <w:pPr>
        <w:spacing w:line="360" w:lineRule="auto"/>
        <w:jc w:val="center"/>
        <w:rPr>
          <w:rFonts w:ascii="宋体" w:hAnsi="宋体" w:cs="宋体"/>
          <w:sz w:val="24"/>
          <w:highlight w:val="none"/>
          <w:u w:val="single"/>
        </w:rPr>
      </w:pPr>
    </w:p>
    <w:p w14:paraId="0FE73534">
      <w:pPr>
        <w:spacing w:line="360" w:lineRule="auto"/>
        <w:jc w:val="center"/>
        <w:outlineLvl w:val="0"/>
        <w:rPr>
          <w:rFonts w:ascii="宋体" w:hAnsi="宋体" w:cs="宋体"/>
          <w:b/>
          <w:sz w:val="32"/>
          <w:szCs w:val="32"/>
          <w:highlight w:val="none"/>
        </w:rPr>
      </w:pPr>
      <w:bookmarkStart w:id="541" w:name="_Toc28889"/>
      <w:r>
        <w:rPr>
          <w:rFonts w:hint="eastAsia" w:ascii="宋体" w:hAnsi="宋体" w:cs="宋体"/>
          <w:b/>
          <w:sz w:val="32"/>
          <w:szCs w:val="32"/>
          <w:highlight w:val="none"/>
        </w:rPr>
        <w:t>中小企业声明函（服务）</w:t>
      </w:r>
      <w:bookmarkEnd w:id="541"/>
    </w:p>
    <w:p w14:paraId="33F0D240">
      <w:pPr>
        <w:spacing w:line="360" w:lineRule="auto"/>
        <w:ind w:firstLine="360" w:firstLineChars="150"/>
        <w:jc w:val="left"/>
        <w:rPr>
          <w:rFonts w:ascii="宋体" w:hAnsi="宋体" w:cs="宋体"/>
          <w:sz w:val="24"/>
          <w:highlight w:val="none"/>
        </w:rPr>
      </w:pPr>
      <w:r>
        <w:rPr>
          <w:rFonts w:hint="eastAsia" w:ascii="宋体" w:hAnsi="宋体" w:cs="宋体"/>
          <w:sz w:val="24"/>
          <w:highlight w:val="none"/>
        </w:rPr>
        <w:t xml:space="preserve">本公司（联合体）郑重声明，根据《政府采购促进中小企业发展管理办法》（财库﹝2020﹞46 号）的规定，本公司（联合体）参加 </w:t>
      </w:r>
      <w:r>
        <w:rPr>
          <w:rFonts w:hint="eastAsia" w:ascii="宋体" w:hAnsi="宋体" w:cs="宋体"/>
          <w:sz w:val="24"/>
          <w:highlight w:val="none"/>
          <w:u w:val="single"/>
          <w:lang w:eastAsia="zh-CN"/>
        </w:rPr>
        <w:t>宁海县市场监督管理局</w:t>
      </w:r>
      <w:r>
        <w:rPr>
          <w:rFonts w:hint="eastAsia" w:ascii="宋体" w:hAnsi="宋体" w:cs="宋体"/>
          <w:sz w:val="24"/>
          <w:highlight w:val="none"/>
          <w:u w:val="single"/>
        </w:rPr>
        <w:t xml:space="preserve"> </w:t>
      </w:r>
      <w:r>
        <w:rPr>
          <w:rFonts w:hint="eastAsia" w:ascii="宋体" w:hAnsi="宋体" w:cs="宋体"/>
          <w:sz w:val="24"/>
          <w:highlight w:val="none"/>
        </w:rPr>
        <w:t>的</w:t>
      </w:r>
      <w:r>
        <w:rPr>
          <w:rFonts w:hint="eastAsia" w:ascii="宋体" w:hAnsi="宋体" w:cs="宋体"/>
          <w:sz w:val="24"/>
          <w:highlight w:val="none"/>
          <w:u w:val="single"/>
        </w:rPr>
        <w:t xml:space="preserve"> </w:t>
      </w:r>
      <w:r>
        <w:rPr>
          <w:rFonts w:hint="eastAsia" w:ascii="宋体" w:hAnsi="宋体" w:cs="宋体"/>
          <w:sz w:val="24"/>
          <w:highlight w:val="none"/>
          <w:u w:val="single"/>
          <w:lang w:eastAsia="zh-CN"/>
        </w:rPr>
        <w:t>菜篮子食品安全“你点我检”放心工程(生鲜食材快检)</w:t>
      </w:r>
      <w:r>
        <w:rPr>
          <w:rFonts w:hint="eastAsia" w:ascii="宋体" w:hAnsi="宋体" w:cs="宋体"/>
          <w:sz w:val="24"/>
          <w:highlight w:val="none"/>
          <w:u w:val="single"/>
        </w:rPr>
        <w:t xml:space="preserve"> </w:t>
      </w:r>
      <w:r>
        <w:rPr>
          <w:rFonts w:hint="eastAsia" w:ascii="宋体" w:hAnsi="宋体" w:cs="宋体"/>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8BEAA3B">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w:t>
      </w:r>
      <w:r>
        <w:rPr>
          <w:rFonts w:hint="eastAsia" w:ascii="宋体" w:hAnsi="宋体" w:cs="宋体"/>
          <w:highlight w:val="none"/>
        </w:rPr>
        <w:t xml:space="preserve"> </w:t>
      </w:r>
      <w:r>
        <w:rPr>
          <w:rFonts w:hint="eastAsia" w:ascii="宋体" w:hAnsi="宋体" w:cs="宋体"/>
          <w:sz w:val="24"/>
          <w:highlight w:val="none"/>
          <w:u w:val="single"/>
        </w:rPr>
        <w:t>（</w:t>
      </w:r>
      <w:r>
        <w:rPr>
          <w:rFonts w:hint="eastAsia" w:ascii="宋体" w:hAnsi="宋体" w:cs="宋体"/>
          <w:sz w:val="24"/>
          <w:highlight w:val="none"/>
          <w:u w:val="single"/>
          <w:lang w:eastAsia="zh-CN"/>
        </w:rPr>
        <w:t>菜篮子食品安全“你点我检”放心工程(生鲜食材快检)</w:t>
      </w:r>
      <w:r>
        <w:rPr>
          <w:rFonts w:hint="eastAsia" w:ascii="宋体" w:hAnsi="宋体" w:cs="宋体"/>
          <w:sz w:val="24"/>
          <w:highlight w:val="none"/>
          <w:u w:val="single"/>
        </w:rPr>
        <w:t>）</w:t>
      </w:r>
      <w:r>
        <w:rPr>
          <w:rFonts w:hint="eastAsia" w:ascii="宋体" w:hAnsi="宋体" w:cs="宋体"/>
          <w:sz w:val="24"/>
          <w:highlight w:val="none"/>
        </w:rPr>
        <w:t>，属于</w:t>
      </w:r>
      <w:r>
        <w:rPr>
          <w:rFonts w:hint="eastAsia" w:ascii="宋体" w:hAnsi="宋体" w:cs="宋体"/>
          <w:sz w:val="24"/>
          <w:highlight w:val="none"/>
          <w:u w:val="single"/>
        </w:rPr>
        <w:t xml:space="preserve"> （其他未列明行业）</w:t>
      </w:r>
      <w:r>
        <w:rPr>
          <w:rFonts w:hint="eastAsia" w:ascii="宋体" w:hAnsi="宋体" w:cs="宋体"/>
          <w:sz w:val="24"/>
          <w:highlight w:val="none"/>
        </w:rPr>
        <w:t xml:space="preserve"> ；承建（承接）企业为 </w:t>
      </w:r>
      <w:r>
        <w:rPr>
          <w:rFonts w:hint="eastAsia" w:ascii="宋体" w:hAnsi="宋体" w:cs="宋体"/>
          <w:sz w:val="24"/>
          <w:highlight w:val="none"/>
          <w:u w:val="single"/>
        </w:rPr>
        <w:t>（企业名称）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 </w:t>
      </w:r>
      <w:r>
        <w:rPr>
          <w:rFonts w:hint="eastAsia" w:ascii="宋体" w:hAnsi="宋体" w:cs="宋体"/>
          <w:sz w:val="24"/>
          <w:highlight w:val="none"/>
        </w:rPr>
        <w:t>；</w:t>
      </w:r>
    </w:p>
    <w:p w14:paraId="05957021">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u w:val="single"/>
        </w:rPr>
        <w:t xml:space="preserve"> （标的名称），</w:t>
      </w:r>
      <w:r>
        <w:rPr>
          <w:rFonts w:hint="eastAsia" w:ascii="宋体" w:hAnsi="宋体" w:cs="宋体"/>
          <w:sz w:val="24"/>
          <w:highlight w:val="none"/>
        </w:rPr>
        <w:t xml:space="preserve">属于 </w:t>
      </w:r>
      <w:r>
        <w:rPr>
          <w:rFonts w:hint="eastAsia" w:ascii="宋体" w:hAnsi="宋体" w:cs="宋体"/>
          <w:sz w:val="24"/>
          <w:highlight w:val="none"/>
          <w:u w:val="single"/>
        </w:rPr>
        <w:t xml:space="preserve">（其他未列明行业） </w:t>
      </w:r>
      <w:r>
        <w:rPr>
          <w:rFonts w:hint="eastAsia" w:ascii="宋体" w:hAnsi="宋体" w:cs="宋体"/>
          <w:sz w:val="24"/>
          <w:highlight w:val="none"/>
        </w:rPr>
        <w:t xml:space="preserve">；承建（承接）企业为 </w:t>
      </w:r>
      <w:r>
        <w:rPr>
          <w:rFonts w:hint="eastAsia" w:ascii="宋体" w:hAnsi="宋体" w:cs="宋体"/>
          <w:sz w:val="24"/>
          <w:highlight w:val="none"/>
          <w:u w:val="single"/>
        </w:rPr>
        <w:t>（企业名称）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 </w:t>
      </w:r>
      <w:r>
        <w:rPr>
          <w:rFonts w:hint="eastAsia" w:ascii="宋体" w:hAnsi="宋体" w:cs="宋体"/>
          <w:sz w:val="24"/>
          <w:highlight w:val="none"/>
        </w:rPr>
        <w:t>；</w:t>
      </w:r>
    </w:p>
    <w:p w14:paraId="50FB5B88">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w:t>
      </w:r>
    </w:p>
    <w:p w14:paraId="55F35D6D">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14:paraId="74540373">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14:paraId="56153F59">
      <w:pPr>
        <w:spacing w:line="360" w:lineRule="auto"/>
        <w:ind w:right="1760"/>
        <w:jc w:val="right"/>
        <w:rPr>
          <w:rFonts w:ascii="宋体" w:hAnsi="宋体" w:cs="宋体"/>
          <w:sz w:val="24"/>
          <w:highlight w:val="none"/>
        </w:rPr>
      </w:pPr>
      <w:r>
        <w:rPr>
          <w:rFonts w:hint="eastAsia" w:ascii="宋体" w:hAnsi="宋体" w:cs="宋体"/>
          <w:sz w:val="24"/>
          <w:highlight w:val="none"/>
        </w:rPr>
        <w:t>投标人名称（电子签名）：</w:t>
      </w:r>
    </w:p>
    <w:p w14:paraId="082C1AD1">
      <w:pPr>
        <w:spacing w:line="360" w:lineRule="auto"/>
        <w:ind w:right="1120" w:firstLine="4680" w:firstLineChars="1950"/>
        <w:rPr>
          <w:rFonts w:ascii="宋体" w:hAnsi="宋体" w:cs="宋体"/>
          <w:sz w:val="24"/>
          <w:highlight w:val="none"/>
        </w:rPr>
      </w:pPr>
      <w:r>
        <w:rPr>
          <w:rFonts w:hint="eastAsia" w:ascii="宋体" w:hAnsi="宋体" w:cs="宋体"/>
          <w:sz w:val="24"/>
          <w:highlight w:val="none"/>
        </w:rPr>
        <w:t>日 期：</w:t>
      </w:r>
    </w:p>
    <w:p w14:paraId="1F0D8378">
      <w:pPr>
        <w:spacing w:line="360" w:lineRule="auto"/>
        <w:ind w:firstLine="310" w:firstLineChars="147"/>
        <w:jc w:val="left"/>
        <w:rPr>
          <w:rFonts w:ascii="宋体" w:hAnsi="宋体" w:cs="宋体"/>
          <w:b/>
          <w:szCs w:val="21"/>
          <w:highlight w:val="none"/>
        </w:rPr>
      </w:pPr>
      <w:r>
        <w:rPr>
          <w:rFonts w:hint="eastAsia" w:ascii="宋体" w:hAnsi="宋体" w:cs="宋体"/>
          <w:b/>
          <w:szCs w:val="21"/>
          <w:highlight w:val="none"/>
        </w:rPr>
        <w:t>从业人员、营业收入、资产总额填报上一年度数据，无上一年度数据的新成立企业可不填报。</w:t>
      </w:r>
    </w:p>
    <w:p w14:paraId="64794744">
      <w:pPr>
        <w:spacing w:line="360" w:lineRule="auto"/>
        <w:ind w:right="420"/>
        <w:rPr>
          <w:rFonts w:ascii="宋体" w:hAnsi="宋体" w:cs="宋体"/>
          <w:sz w:val="24"/>
          <w:highlight w:val="none"/>
        </w:rPr>
      </w:pPr>
    </w:p>
    <w:p w14:paraId="1BAFF025">
      <w:pPr>
        <w:spacing w:line="360" w:lineRule="auto"/>
        <w:ind w:right="420"/>
        <w:rPr>
          <w:rFonts w:ascii="宋体" w:hAnsi="宋体" w:cs="宋体"/>
          <w:sz w:val="24"/>
          <w:highlight w:val="none"/>
        </w:rPr>
      </w:pPr>
      <w:r>
        <w:rPr>
          <w:rFonts w:hint="eastAsia" w:ascii="宋体" w:hAnsi="宋体" w:cs="宋体"/>
          <w:sz w:val="24"/>
          <w:highlight w:val="none"/>
        </w:rPr>
        <w:t xml:space="preserve">   注：</w:t>
      </w:r>
    </w:p>
    <w:p w14:paraId="479C7942">
      <w:pPr>
        <w:spacing w:line="360" w:lineRule="auto"/>
        <w:ind w:right="420" w:firstLine="480" w:firstLineChars="200"/>
        <w:rPr>
          <w:rFonts w:ascii="宋体" w:hAnsi="宋体" w:cs="宋体"/>
          <w:sz w:val="24"/>
          <w:highlight w:val="none"/>
        </w:rPr>
      </w:pPr>
      <w:r>
        <w:rPr>
          <w:rFonts w:hint="eastAsia" w:ascii="宋体" w:hAnsi="宋体" w:cs="宋体"/>
          <w:sz w:val="24"/>
          <w:highlight w:val="none"/>
        </w:rPr>
        <w:t>1、填写要求：①“标的名称</w:t>
      </w:r>
      <w:r>
        <w:rPr>
          <w:rFonts w:hint="eastAsia" w:ascii="宋体" w:hAnsi="宋体" w:cs="宋体"/>
          <w:sz w:val="24"/>
          <w:highlight w:val="none"/>
          <w:lang w:eastAsia="zh-CN"/>
        </w:rPr>
        <w:t>”“</w:t>
      </w:r>
      <w:r>
        <w:rPr>
          <w:rFonts w:hint="eastAsia" w:ascii="宋体" w:hAnsi="宋体" w:cs="宋体"/>
          <w:sz w:val="24"/>
          <w:highlight w:val="none"/>
        </w:rPr>
        <w:t>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8E4AD32">
      <w:pPr>
        <w:spacing w:line="360" w:lineRule="auto"/>
        <w:ind w:right="420" w:firstLine="720" w:firstLineChars="300"/>
        <w:rPr>
          <w:rFonts w:ascii="宋体" w:hAnsi="宋体" w:cs="宋体"/>
          <w:sz w:val="24"/>
          <w:highlight w:val="none"/>
        </w:rPr>
      </w:pPr>
      <w:r>
        <w:rPr>
          <w:rFonts w:hint="eastAsia" w:ascii="宋体" w:hAnsi="宋体" w:cs="宋体"/>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7D5374C">
      <w:pPr>
        <w:spacing w:line="360" w:lineRule="auto"/>
        <w:ind w:right="420" w:firstLine="723" w:firstLineChars="300"/>
        <w:rPr>
          <w:rFonts w:ascii="宋体" w:hAnsi="宋体" w:cs="宋体"/>
          <w:b/>
          <w:bCs/>
          <w:sz w:val="24"/>
          <w:highlight w:val="none"/>
        </w:rPr>
      </w:pPr>
      <w:r>
        <w:rPr>
          <w:rFonts w:hint="eastAsia" w:ascii="宋体" w:hAnsi="宋体" w:cs="宋体"/>
          <w:b/>
          <w:bCs/>
          <w:sz w:val="24"/>
          <w:highlight w:val="none"/>
        </w:rPr>
        <w:t>3、本采购文件中明确的所属行业为其他未列明行业：从业人员300人以下的为中小微型企业。其中，从业人员100人及以上的为中型企业；从业人员10人及以上的为小型企业；从业人员10人以下的为微型企业。</w:t>
      </w:r>
    </w:p>
    <w:p w14:paraId="29B73A2C">
      <w:pPr>
        <w:pStyle w:val="23"/>
        <w:rPr>
          <w:rFonts w:hAnsi="宋体" w:cs="宋体"/>
          <w:highlight w:val="none"/>
        </w:rPr>
      </w:pPr>
    </w:p>
    <w:p w14:paraId="753F8279">
      <w:pPr>
        <w:pStyle w:val="3"/>
        <w:outlineLvl w:val="9"/>
        <w:rPr>
          <w:rFonts w:ascii="宋体" w:hAnsi="宋体" w:eastAsia="宋体" w:cs="宋体"/>
          <w:highlight w:val="none"/>
          <w:lang w:val="en-US"/>
        </w:rPr>
      </w:pPr>
    </w:p>
    <w:p w14:paraId="207D49A8">
      <w:pPr>
        <w:spacing w:line="360" w:lineRule="auto"/>
        <w:ind w:right="420"/>
        <w:rPr>
          <w:rFonts w:ascii="宋体" w:hAnsi="宋体" w:cs="宋体"/>
          <w:highlight w:val="none"/>
        </w:rPr>
      </w:pPr>
    </w:p>
    <w:p w14:paraId="5E176AA7">
      <w:pPr>
        <w:spacing w:line="360" w:lineRule="auto"/>
        <w:rPr>
          <w:rFonts w:ascii="宋体" w:hAnsi="宋体" w:cs="宋体"/>
          <w:bCs/>
          <w:sz w:val="24"/>
          <w:highlight w:val="none"/>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20B0602020204020303"/>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604020202020204"/>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20B0604020202020204"/>
    <w:charset w:val="00"/>
    <w:family w:val="roman"/>
    <w:pitch w:val="default"/>
    <w:sig w:usb0="00000000" w:usb1="00000000" w:usb2="00000000" w:usb3="00000000" w:csb0="00000000"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20B0604020202020204"/>
    <w:charset w:val="86"/>
    <w:family w:val="swiss"/>
    <w:pitch w:val="default"/>
    <w:sig w:usb0="00000000" w:usb1="00000000" w:usb2="00000010" w:usb3="00000000" w:csb0="00040000" w:csb1="00000000"/>
  </w:font>
  <w:font w:name="Arial (W1)">
    <w:altName w:val="Arial"/>
    <w:panose1 w:val="020B0604020202020204"/>
    <w:charset w:val="00"/>
    <w:family w:val="swiss"/>
    <w:pitch w:val="default"/>
    <w:sig w:usb0="00000000" w:usb1="00000000" w:usb2="00000008" w:usb3="00000000" w:csb0="000001FF" w:csb1="00000000"/>
  </w:font>
  <w:font w:name="Arial Unicode MS">
    <w:panose1 w:val="020B0604020202020204"/>
    <w:charset w:val="80"/>
    <w:family w:val="swiss"/>
    <w:pitch w:val="default"/>
    <w:sig w:usb0="FFFFFFFF" w:usb1="E9FFFFFF" w:usb2="0000003F" w:usb3="00000000" w:csb0="603F01FF" w:csb1="FFFF0000"/>
  </w:font>
  <w:font w:name="Helvetica">
    <w:altName w:val="Arial"/>
    <w:panose1 w:val="020B0604020202020204"/>
    <w:charset w:val="00"/>
    <w:family w:val="auto"/>
    <w:pitch w:val="default"/>
    <w:sig w:usb0="00000000" w:usb1="00000000" w:usb2="00000000" w:usb3="00000000" w:csb0="00000000" w:csb1="00000000"/>
  </w:font>
  <w:font w:name="Cumberland">
    <w:altName w:val="微软雅黑"/>
    <w:panose1 w:val="020B0604020202020204"/>
    <w:charset w:val="00"/>
    <w:family w:val="modern"/>
    <w:pitch w:val="default"/>
    <w:sig w:usb0="00000000" w:usb1="00000000" w:usb2="00000000" w:usb3="00000000" w:csb0="00040001" w:csb1="00000000"/>
  </w:font>
  <w:font w:name="方正宋体">
    <w:altName w:val="宋体"/>
    <w:panose1 w:val="020B0604020202020204"/>
    <w:charset w:val="00"/>
    <w:family w:val="auto"/>
    <w:pitch w:val="default"/>
    <w:sig w:usb0="00000000" w:usb1="00000000" w:usb2="00000000" w:usb3="00000000" w:csb0="00040001" w:csb1="00000000"/>
  </w:font>
  <w:font w:name="Futura Hv">
    <w:altName w:val="Segoe Print"/>
    <w:panose1 w:val="020B0602020204020303"/>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20B0604020202020204"/>
    <w:charset w:val="00"/>
    <w:family w:val="roman"/>
    <w:pitch w:val="default"/>
    <w:sig w:usb0="00000000" w:usb1="00000000" w:usb2="00000000" w:usb3="00000000" w:csb0="00000011" w:csb1="00000000"/>
  </w:font>
  <w:font w:name=".PingFang SC">
    <w:altName w:val="微软雅黑"/>
    <w:panose1 w:val="020B0604020202020204"/>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B131F">
    <w:pPr>
      <w:pStyle w:val="40"/>
      <w:framePr w:wrap="around" w:vAnchor="text" w:hAnchor="margin" w:xAlign="right" w:y="1"/>
      <w:rPr>
        <w:rStyle w:val="72"/>
      </w:rPr>
    </w:pPr>
    <w:r>
      <w:fldChar w:fldCharType="begin"/>
    </w:r>
    <w:r>
      <w:rPr>
        <w:rStyle w:val="72"/>
      </w:rPr>
      <w:instrText xml:space="preserve">PAGE  </w:instrText>
    </w:r>
    <w:r>
      <w:fldChar w:fldCharType="end"/>
    </w:r>
  </w:p>
  <w:p w14:paraId="57D968DF">
    <w:pPr>
      <w:pStyle w:val="4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D16A1">
    <w:pPr>
      <w:pStyle w:val="40"/>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536794">
                          <w:pPr>
                            <w:pStyle w:val="40"/>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NLTQM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BJJopVPz04/vp&#10;58Pp1zeCMwjUWj9D3L1FZOjemQ5tM5x7HEbeXeVU/IIRgR9Yx4u8oguEx0vTyXSaw8XhGzbAzx6v&#10;W+fDe2EUiUZBHeqXZGWHjQ996BASs2mzbqRMNZSatAW9ev02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0tNAywCAABXBAAADgAAAAAAAAABACAAAAAfAQAAZHJzL2Uyb0RvYy54bWxQSwUGAAAAAAYA&#10;BgBZAQAAvQUAAAAA&#10;">
              <v:fill on="f" focussize="0,0"/>
              <v:stroke on="f" weight="0.5pt"/>
              <v:imagedata o:title=""/>
              <o:lock v:ext="edit" aspectratio="f"/>
              <v:textbox inset="0mm,0mm,0mm,0mm" style="mso-fit-shape-to-text:t;">
                <w:txbxContent>
                  <w:p w14:paraId="4C536794">
                    <w:pPr>
                      <w:pStyle w:val="40"/>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p w14:paraId="2E69FB07">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7C99B">
    <w:pPr>
      <w:pStyle w:val="40"/>
      <w:jc w:val="center"/>
      <w:rPr>
        <w:rFonts w:ascii="仿宋_GB2312" w:eastAsia="仿宋_GB2312"/>
        <w:szCs w:val="24"/>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ACDF30">
                          <w:pPr>
                            <w:pStyle w:val="40"/>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GHkMsAgAAVwQAAA4AAABkcnMvZTJvRG9jLnhtbK1UzY7TMBC+I/EO&#10;lu80aYFV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wYeQywCAABXBAAADgAAAAAAAAABACAAAAAfAQAAZHJzL2Uyb0RvYy54bWxQSwUGAAAAAAYA&#10;BgBZAQAAvQUAAAAA&#10;">
              <v:fill on="f" focussize="0,0"/>
              <v:stroke on="f" weight="0.5pt"/>
              <v:imagedata o:title=""/>
              <o:lock v:ext="edit" aspectratio="f"/>
              <v:textbox inset="0mm,0mm,0mm,0mm" style="mso-fit-shape-to-text:t;">
                <w:txbxContent>
                  <w:p w14:paraId="3CACDF30">
                    <w:pPr>
                      <w:pStyle w:val="40"/>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02090">
    <w:pPr>
      <w:pStyle w:val="40"/>
      <w:framePr w:wrap="around" w:vAnchor="text" w:hAnchor="margin" w:xAlign="right" w:y="1"/>
      <w:rPr>
        <w:rStyle w:val="72"/>
      </w:rPr>
    </w:pPr>
    <w:r>
      <w:fldChar w:fldCharType="begin"/>
    </w:r>
    <w:r>
      <w:rPr>
        <w:rStyle w:val="72"/>
      </w:rPr>
      <w:instrText xml:space="preserve">PAGE  </w:instrText>
    </w:r>
    <w:r>
      <w:fldChar w:fldCharType="end"/>
    </w:r>
  </w:p>
  <w:p w14:paraId="734DF366">
    <w:pPr>
      <w:pStyle w:val="40"/>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8DA27">
    <w:pPr>
      <w:pStyle w:val="40"/>
      <w:jc w:val="center"/>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B27FA6">
                          <w:pPr>
                            <w:pStyle w:val="40"/>
                          </w:pPr>
                          <w:r>
                            <w:t xml:space="preserve">第 </w:t>
                          </w:r>
                          <w:r>
                            <w:fldChar w:fldCharType="begin"/>
                          </w:r>
                          <w:r>
                            <w:instrText xml:space="preserve"> PAGE  \* MERGEFORMAT </w:instrText>
                          </w:r>
                          <w:r>
                            <w:fldChar w:fldCharType="separate"/>
                          </w:r>
                          <w:r>
                            <w:t>40</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PQ64M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Z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PQ64MtAgAAVwQAAA4AAAAAAAAAAQAgAAAAHwEAAGRycy9lMm9Eb2MueG1sUEsFBgAAAAAG&#10;AAYAWQEAAL4FAAAAAA==&#10;">
              <v:fill on="f" focussize="0,0"/>
              <v:stroke on="f" weight="0.5pt"/>
              <v:imagedata o:title=""/>
              <o:lock v:ext="edit" aspectratio="f"/>
              <v:textbox inset="0mm,0mm,0mm,0mm" style="mso-fit-shape-to-text:t;">
                <w:txbxContent>
                  <w:p w14:paraId="7BB27FA6">
                    <w:pPr>
                      <w:pStyle w:val="40"/>
                    </w:pPr>
                    <w:r>
                      <w:t xml:space="preserve">第 </w:t>
                    </w:r>
                    <w:r>
                      <w:fldChar w:fldCharType="begin"/>
                    </w:r>
                    <w:r>
                      <w:instrText xml:space="preserve"> PAGE  \* MERGEFORMAT </w:instrText>
                    </w:r>
                    <w:r>
                      <w:fldChar w:fldCharType="separate"/>
                    </w:r>
                    <w:r>
                      <w:t>40</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6AAE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9E18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1F8AA">
    <w:pPr>
      <w:spacing w:line="172" w:lineRule="auto"/>
      <w:ind w:left="7178"/>
      <w:rPr>
        <w:rFonts w:ascii="宋体" w:hAnsi="宋体" w:cs="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44EE32">
                          <w:pPr>
                            <w:pStyle w:val="40"/>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QaAL0tAgAAVw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pkQzhYqfvn87&#10;/fh1+vmV4AwCtdbPEPdgERm6t6ZD2wznHoeRd1c5Fb9gROCHvMeLvKILhMdL08l0msPF4Rs2wM8e&#10;r1vnwzthFIlGQR3ql2Rlh40PfegQErNps26kTDWUmrQFvb56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QaAL0tAgAAVwQAAA4AAAAAAAAAAQAgAAAAHwEAAGRycy9lMm9Eb2MueG1sUEsFBgAAAAAG&#10;AAYAWQEAAL4FAAAAAA==&#10;">
              <v:fill on="f" focussize="0,0"/>
              <v:stroke on="f" weight="0.5pt"/>
              <v:imagedata o:title=""/>
              <o:lock v:ext="edit" aspectratio="f"/>
              <v:textbox inset="0mm,0mm,0mm,0mm" style="mso-fit-shape-to-text:t;">
                <w:txbxContent>
                  <w:p w14:paraId="4644EE32">
                    <w:pPr>
                      <w:pStyle w:val="40"/>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3A9A5">
    <w:pPr>
      <w:pStyle w:val="40"/>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B39D0C">
                          <w:pPr>
                            <w:pStyle w:val="40"/>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XU/0tAgAAVw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xXU/0tAgAAVwQAAA4AAAAAAAAAAQAgAAAAHwEAAGRycy9lMm9Eb2MueG1sUEsFBgAAAAAG&#10;AAYAWQEAAL4FAAAAAA==&#10;">
              <v:fill on="f" focussize="0,0"/>
              <v:stroke on="f" weight="0.5pt"/>
              <v:imagedata o:title=""/>
              <o:lock v:ext="edit" aspectratio="f"/>
              <v:textbox inset="0mm,0mm,0mm,0mm" style="mso-fit-shape-to-text:t;">
                <w:txbxContent>
                  <w:p w14:paraId="64B39D0C">
                    <w:pPr>
                      <w:pStyle w:val="40"/>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p w14:paraId="65AFD350">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D78F1">
    <w:pPr>
      <w:pStyle w:val="40"/>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A3960E">
                          <w:pPr>
                            <w:pStyle w:val="40"/>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SBpj0tAgAAV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SBpj0tAgAAVwQAAA4AAAAAAAAAAQAgAAAAHwEAAGRycy9lMm9Eb2MueG1sUEsFBgAAAAAG&#10;AAYAWQEAAL4FAAAAAA==&#10;">
              <v:fill on="f" focussize="0,0"/>
              <v:stroke on="f" weight="0.5pt"/>
              <v:imagedata o:title=""/>
              <o:lock v:ext="edit" aspectratio="f"/>
              <v:textbox inset="0mm,0mm,0mm,0mm" style="mso-fit-shape-to-text:t;">
                <w:txbxContent>
                  <w:p w14:paraId="17A3960E">
                    <w:pPr>
                      <w:pStyle w:val="40"/>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p w14:paraId="4F85868C">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44DA0">
    <w:pPr>
      <w:pStyle w:val="40"/>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A18154">
                          <w:pPr>
                            <w:pStyle w:val="40"/>
                          </w:pPr>
                          <w:r>
                            <w:t xml:space="preserve">第 </w:t>
                          </w:r>
                          <w:r>
                            <w:fldChar w:fldCharType="begin"/>
                          </w:r>
                          <w:r>
                            <w:instrText xml:space="preserve"> PAGE  \* MERGEFORMAT </w:instrText>
                          </w:r>
                          <w:r>
                            <w:fldChar w:fldCharType="separate"/>
                          </w:r>
                          <w:r>
                            <w:t>35</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zM9X0tAgAAVwQAAA4AAABkcnMvZTJvRG9jLnhtbK1UzY7TMBC+I/EO&#10;lu80aVcs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LzM9X0tAgAAVwQAAA4AAAAAAAAAAQAgAAAAHwEAAGRycy9lMm9Eb2MueG1sUEsFBgAAAAAG&#10;AAYAWQEAAL4FAAAAAA==&#10;">
              <v:fill on="f" focussize="0,0"/>
              <v:stroke on="f" weight="0.5pt"/>
              <v:imagedata o:title=""/>
              <o:lock v:ext="edit" aspectratio="f"/>
              <v:textbox inset="0mm,0mm,0mm,0mm" style="mso-fit-shape-to-text:t;">
                <w:txbxContent>
                  <w:p w14:paraId="6DA18154">
                    <w:pPr>
                      <w:pStyle w:val="40"/>
                    </w:pPr>
                    <w:r>
                      <w:t xml:space="preserve">第 </w:t>
                    </w:r>
                    <w:r>
                      <w:fldChar w:fldCharType="begin"/>
                    </w:r>
                    <w:r>
                      <w:instrText xml:space="preserve"> PAGE  \* MERGEFORMAT </w:instrText>
                    </w:r>
                    <w:r>
                      <w:fldChar w:fldCharType="separate"/>
                    </w:r>
                    <w:r>
                      <w:t>35</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p w14:paraId="67C2B6C8">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C0020">
    <w:pPr>
      <w:pStyle w:val="40"/>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D733BB">
                          <w:pPr>
                            <w:pStyle w:val="40"/>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ZNNQg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n31dpwuXDwAlxo5IonusdEK7a7tme1M&#10;cQIxZ7re8JZvaiTfMh/umUMz4MEYl3CHpZQGSUxvUVIZ9/Vf5zEeNYKXkgbNlVONWaJEftCoHQDD&#10;YLjB2A2GPqhbg26dYAwtTyYuuCAHs3RGfcEMrWIOuJjmyJTTMJi3oWtwzCAXq1UKQrdZFrb6wfII&#10;HcXzdnUIEDDpGkXplOi1Qr+lyvSzERv6z32KevofLB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ZNNQgtAgAAVwQAAA4AAAAAAAAAAQAgAAAAHwEAAGRycy9lMm9Eb2MueG1sUEsFBgAAAAAG&#10;AAYAWQEAAL4FAAAAAA==&#10;">
              <v:fill on="f" focussize="0,0"/>
              <v:stroke on="f" weight="0.5pt"/>
              <v:imagedata o:title=""/>
              <o:lock v:ext="edit" aspectratio="f"/>
              <v:textbox inset="0mm,0mm,0mm,0mm" style="mso-fit-shape-to-text:t;">
                <w:txbxContent>
                  <w:p w14:paraId="6CD733BB">
                    <w:pPr>
                      <w:pStyle w:val="40"/>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p w14:paraId="4BDDBD5E">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75223">
    <w:pPr>
      <w:pStyle w:val="40"/>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264233">
                          <w:pPr>
                            <w:pStyle w:val="40"/>
                          </w:pPr>
                          <w:r>
                            <w:t xml:space="preserve">第 </w:t>
                          </w:r>
                          <w:r>
                            <w:fldChar w:fldCharType="begin"/>
                          </w:r>
                          <w:r>
                            <w:instrText xml:space="preserve"> PAGE  \* MERGEFORMAT </w:instrText>
                          </w:r>
                          <w:r>
                            <w:fldChar w:fldCharType="separate"/>
                          </w:r>
                          <w:r>
                            <w:t>39</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4AZkgtAgAAVwQAAA4AAABkcnMvZTJvRG9jLnhtbK1UzY7TMBC+I/EO&#10;lu80aVes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4AZkgtAgAAVwQAAA4AAAAAAAAAAQAgAAAAHwEAAGRycy9lMm9Eb2MueG1sUEsFBgAAAAAG&#10;AAYAWQEAAL4FAAAAAA==&#10;">
              <v:fill on="f" focussize="0,0"/>
              <v:stroke on="f" weight="0.5pt"/>
              <v:imagedata o:title=""/>
              <o:lock v:ext="edit" aspectratio="f"/>
              <v:textbox inset="0mm,0mm,0mm,0mm" style="mso-fit-shape-to-text:t;">
                <w:txbxContent>
                  <w:p w14:paraId="05264233">
                    <w:pPr>
                      <w:pStyle w:val="40"/>
                    </w:pPr>
                    <w:r>
                      <w:t xml:space="preserve">第 </w:t>
                    </w:r>
                    <w:r>
                      <w:fldChar w:fldCharType="begin"/>
                    </w:r>
                    <w:r>
                      <w:instrText xml:space="preserve"> PAGE  \* MERGEFORMAT </w:instrText>
                    </w:r>
                    <w:r>
                      <w:fldChar w:fldCharType="separate"/>
                    </w:r>
                    <w:r>
                      <w:t>39</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p w14:paraId="4C36F3A3">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7507D">
    <w:pPr>
      <w:pStyle w:val="41"/>
      <w:pBdr>
        <w:bottom w:val="single" w:color="auto" w:sz="6" w:space="4"/>
      </w:pBdr>
      <w:jc w:val="right"/>
    </w:pPr>
    <w:r>
      <w:t></w:t>
    </w:r>
    <w:r>
      <w:rPr>
        <w:rFonts w:hint="eastAsia"/>
      </w:rPr>
      <w:t xml:space="preserve">             </w:t>
    </w:r>
    <w:r>
      <w:t>政府采购公开招标文件</w:t>
    </w:r>
  </w:p>
  <w:p w14:paraId="54C7A074">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9A0B2">
    <w:pPr>
      <w:pStyle w:val="41"/>
    </w:pPr>
    <w:r>
      <w:t></w:t>
    </w:r>
    <w:r>
      <w:rPr>
        <w:rFonts w:hint="eastAsia"/>
      </w:rPr>
      <w:t xml:space="preserve">                                            </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440A8">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976E3">
    <w:pPr>
      <w:pStyle w:val="41"/>
      <w:rPr>
        <w:rFonts w:ascii="仿宋_GB2312" w:eastAsia="仿宋_GB2312"/>
        <w:b/>
        <w:i/>
        <w:u w:val="single"/>
      </w:rPr>
    </w:pPr>
    <w:r>
      <w:t></w:t>
    </w:r>
    <w:r>
      <w:rPr>
        <w:rFonts w:hint="eastAsia"/>
      </w:rPr>
      <w:t xml:space="preserve">                                                  </w:t>
    </w:r>
    <w:r>
      <w:t xml:space="preserve">             </w:t>
    </w:r>
    <w:r>
      <w:rPr>
        <w:rFonts w:hint="eastAsia"/>
      </w:rPr>
      <w:t xml:space="preserve">   </w:t>
    </w:r>
    <w:r>
      <w:t>政府采购公开招标文件</w:t>
    </w:r>
  </w:p>
  <w:p w14:paraId="4F4290C5">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BB893">
    <w:pPr>
      <w:pStyle w:val="41"/>
    </w:pPr>
    <w:r>
      <w:t></w:t>
    </w:r>
    <w:r>
      <w:rPr>
        <w:rFonts w:hint="eastAsia"/>
      </w:rPr>
      <w:t xml:space="preserve">         </w:t>
    </w:r>
  </w:p>
  <w:p w14:paraId="48C4B21F">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6274A">
    <w:pPr>
      <w:pStyle w:val="41"/>
      <w:rPr>
        <w:rFonts w:ascii="仿宋_GB2312" w:eastAsia="仿宋_GB2312"/>
        <w:b/>
        <w:i/>
        <w:u w:val="single"/>
      </w:rPr>
    </w:pPr>
    <w:r>
      <w:t></w:t>
    </w:r>
    <w:r>
      <w:rPr>
        <w:rFonts w:hint="eastAsia"/>
      </w:rPr>
      <w:t xml:space="preserve">                                                   </w:t>
    </w:r>
    <w:r>
      <w:t>政府采购公开招标文件</w:t>
    </w:r>
  </w:p>
  <w:p w14:paraId="160E30A1">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8662B">
    <w:pPr>
      <w:pStyle w:val="41"/>
      <w:jc w:val="right"/>
    </w:pPr>
    <w:r>
      <w:t></w:t>
    </w:r>
    <w:r>
      <w:rPr>
        <w:rFonts w:hint="eastAsia"/>
      </w:rPr>
      <w:t xml:space="preserve">                 </w:t>
    </w:r>
    <w:r>
      <w:t xml:space="preserve">                                </w:t>
    </w:r>
    <w:r>
      <w:rPr>
        <w:rFonts w:hint="eastAsia"/>
      </w:rPr>
      <w:t xml:space="preserve">         </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B456E">
    <w:pPr>
      <w:pStyle w:val="41"/>
      <w:jc w:val="right"/>
    </w:pPr>
    <w:r>
      <w:rPr>
        <w:rFonts w:hint="eastAsia"/>
      </w:rPr>
      <w:t xml:space="preserve">                                  </w:t>
    </w:r>
  </w:p>
  <w:p w14:paraId="0BF35F9C">
    <w:pPr>
      <w:pStyle w:val="41"/>
      <w:jc w:val="right"/>
      <w:rPr>
        <w:rFonts w:ascii="仿宋_GB2312" w:eastAsia="仿宋_GB2312"/>
        <w:b/>
        <w:i/>
        <w:u w:val="single"/>
      </w:rPr>
    </w:pPr>
    <w:r>
      <w:t>政府采购公开招标文件</w:t>
    </w:r>
  </w:p>
  <w:p w14:paraId="12A7A490">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79370">
    <w:pPr>
      <w:pStyle w:val="41"/>
      <w:jc w:val="right"/>
    </w:pPr>
    <w:r>
      <w:rPr>
        <w:rFonts w:hint="eastAsia"/>
      </w:rPr>
      <w:t xml:space="preserve">                                                                                                        政</w:t>
    </w:r>
    <w:r>
      <w:t>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16EE3">
    <w:pPr>
      <w:pStyle w:val="41"/>
      <w:jc w:val="right"/>
      <w:rPr>
        <w:rFonts w:ascii="仿宋_GB2312" w:eastAsia="仿宋_GB2312"/>
        <w:b/>
        <w:i/>
        <w:iCs/>
        <w:u w:val="single"/>
      </w:rPr>
    </w:pPr>
    <w:r>
      <w:t>政府采购公开招标文件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iNmEyNTcyYTg1NzExZGI5NGRmMzVlMWY0MjJmNjQifQ=="/>
    <w:docVar w:name="KSO_WPS_MARK_KEY" w:val="5039789f-acc4-42b1-b64e-d6d92dbee501"/>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1B86"/>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090"/>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5D55"/>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2BA"/>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4C"/>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8AA"/>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56E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0EC3"/>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B3B"/>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22D"/>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7F8"/>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30BA"/>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1EB4"/>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0B6D"/>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2E08"/>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96C"/>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3C0F"/>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9D"/>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7A2"/>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613"/>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6B0C"/>
    <w:rsid w:val="00E47DB1"/>
    <w:rsid w:val="00E50BDD"/>
    <w:rsid w:val="00E510CF"/>
    <w:rsid w:val="00E513D7"/>
    <w:rsid w:val="00E519FE"/>
    <w:rsid w:val="00E5206C"/>
    <w:rsid w:val="00E52AAB"/>
    <w:rsid w:val="00E53C6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B7BA4"/>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05330"/>
    <w:rsid w:val="010651D9"/>
    <w:rsid w:val="011F6449"/>
    <w:rsid w:val="01236AFB"/>
    <w:rsid w:val="018E0D0D"/>
    <w:rsid w:val="019F7441"/>
    <w:rsid w:val="01B37585"/>
    <w:rsid w:val="01BD3BBD"/>
    <w:rsid w:val="01D55165"/>
    <w:rsid w:val="01DF6BF8"/>
    <w:rsid w:val="01EC2C57"/>
    <w:rsid w:val="025F0711"/>
    <w:rsid w:val="026B2E25"/>
    <w:rsid w:val="02824D4D"/>
    <w:rsid w:val="029C67C0"/>
    <w:rsid w:val="02B31EBA"/>
    <w:rsid w:val="02BC0DD7"/>
    <w:rsid w:val="02DC4B10"/>
    <w:rsid w:val="02DD76CE"/>
    <w:rsid w:val="02F36323"/>
    <w:rsid w:val="02F5619C"/>
    <w:rsid w:val="02FD2E8D"/>
    <w:rsid w:val="0326446A"/>
    <w:rsid w:val="032D5555"/>
    <w:rsid w:val="036634D2"/>
    <w:rsid w:val="03DD35E4"/>
    <w:rsid w:val="03F71BE7"/>
    <w:rsid w:val="04076900"/>
    <w:rsid w:val="041A5A3B"/>
    <w:rsid w:val="042311BA"/>
    <w:rsid w:val="042B157A"/>
    <w:rsid w:val="046D67FB"/>
    <w:rsid w:val="048F763B"/>
    <w:rsid w:val="049F330E"/>
    <w:rsid w:val="04AA775C"/>
    <w:rsid w:val="04AF1889"/>
    <w:rsid w:val="04F66F48"/>
    <w:rsid w:val="05251E14"/>
    <w:rsid w:val="05A16594"/>
    <w:rsid w:val="05A7762D"/>
    <w:rsid w:val="05F06268"/>
    <w:rsid w:val="060E5941"/>
    <w:rsid w:val="06110FAF"/>
    <w:rsid w:val="061C01D9"/>
    <w:rsid w:val="06493CA7"/>
    <w:rsid w:val="065A6178"/>
    <w:rsid w:val="066F1CF3"/>
    <w:rsid w:val="06930BB8"/>
    <w:rsid w:val="07245D42"/>
    <w:rsid w:val="07264C62"/>
    <w:rsid w:val="0779354C"/>
    <w:rsid w:val="078400DD"/>
    <w:rsid w:val="07C34B8B"/>
    <w:rsid w:val="08061376"/>
    <w:rsid w:val="0823202C"/>
    <w:rsid w:val="08452D77"/>
    <w:rsid w:val="086401F8"/>
    <w:rsid w:val="08751CAA"/>
    <w:rsid w:val="087E4C40"/>
    <w:rsid w:val="08952CA3"/>
    <w:rsid w:val="08A871D0"/>
    <w:rsid w:val="08C95DA1"/>
    <w:rsid w:val="08D66AD6"/>
    <w:rsid w:val="08DA33A3"/>
    <w:rsid w:val="08E80F13"/>
    <w:rsid w:val="08EE6740"/>
    <w:rsid w:val="09335624"/>
    <w:rsid w:val="0944690F"/>
    <w:rsid w:val="09535675"/>
    <w:rsid w:val="095624FF"/>
    <w:rsid w:val="095F057D"/>
    <w:rsid w:val="09642282"/>
    <w:rsid w:val="09733572"/>
    <w:rsid w:val="09772C16"/>
    <w:rsid w:val="098353B5"/>
    <w:rsid w:val="09A92330"/>
    <w:rsid w:val="09B06B87"/>
    <w:rsid w:val="09C13146"/>
    <w:rsid w:val="09E04166"/>
    <w:rsid w:val="0A1C0718"/>
    <w:rsid w:val="0A3E7710"/>
    <w:rsid w:val="0A5B7E63"/>
    <w:rsid w:val="0AA374A5"/>
    <w:rsid w:val="0AA56AB0"/>
    <w:rsid w:val="0AAB7649"/>
    <w:rsid w:val="0ABC5606"/>
    <w:rsid w:val="0B30404E"/>
    <w:rsid w:val="0B3D575C"/>
    <w:rsid w:val="0B4C6C14"/>
    <w:rsid w:val="0B547599"/>
    <w:rsid w:val="0B631A88"/>
    <w:rsid w:val="0B683D45"/>
    <w:rsid w:val="0B7F3F11"/>
    <w:rsid w:val="0B884417"/>
    <w:rsid w:val="0BEB5FCA"/>
    <w:rsid w:val="0BF6188C"/>
    <w:rsid w:val="0BF73C91"/>
    <w:rsid w:val="0C170175"/>
    <w:rsid w:val="0C571A41"/>
    <w:rsid w:val="0C5C1171"/>
    <w:rsid w:val="0C5E1CBC"/>
    <w:rsid w:val="0C615B50"/>
    <w:rsid w:val="0C6809B4"/>
    <w:rsid w:val="0C8445DA"/>
    <w:rsid w:val="0C87121B"/>
    <w:rsid w:val="0CAF1157"/>
    <w:rsid w:val="0CC007F7"/>
    <w:rsid w:val="0CC617AC"/>
    <w:rsid w:val="0CD914B5"/>
    <w:rsid w:val="0CE618DF"/>
    <w:rsid w:val="0CFE707A"/>
    <w:rsid w:val="0D063BDA"/>
    <w:rsid w:val="0D08375F"/>
    <w:rsid w:val="0D184CFB"/>
    <w:rsid w:val="0D3715BC"/>
    <w:rsid w:val="0D3D1FEF"/>
    <w:rsid w:val="0D4A7419"/>
    <w:rsid w:val="0D827401"/>
    <w:rsid w:val="0D84094E"/>
    <w:rsid w:val="0D8A00E9"/>
    <w:rsid w:val="0D8D589E"/>
    <w:rsid w:val="0DA01C73"/>
    <w:rsid w:val="0DD63300"/>
    <w:rsid w:val="0DF50604"/>
    <w:rsid w:val="0DF702FE"/>
    <w:rsid w:val="0E060E51"/>
    <w:rsid w:val="0E407B63"/>
    <w:rsid w:val="0E5604B2"/>
    <w:rsid w:val="0E602003"/>
    <w:rsid w:val="0E6D5D79"/>
    <w:rsid w:val="0E9D0089"/>
    <w:rsid w:val="0EB803EE"/>
    <w:rsid w:val="0EE15942"/>
    <w:rsid w:val="0EF94D4B"/>
    <w:rsid w:val="0F4958DC"/>
    <w:rsid w:val="0F515DF7"/>
    <w:rsid w:val="0F596BA8"/>
    <w:rsid w:val="0F6248D2"/>
    <w:rsid w:val="0F693536"/>
    <w:rsid w:val="0F7B0511"/>
    <w:rsid w:val="0F7B76D9"/>
    <w:rsid w:val="0F816ACD"/>
    <w:rsid w:val="0F9832DB"/>
    <w:rsid w:val="0FB40FDB"/>
    <w:rsid w:val="0FBF3FD2"/>
    <w:rsid w:val="0FBF7FF3"/>
    <w:rsid w:val="0FFC6856"/>
    <w:rsid w:val="10646583"/>
    <w:rsid w:val="107D4B15"/>
    <w:rsid w:val="108A3C80"/>
    <w:rsid w:val="10931D1A"/>
    <w:rsid w:val="10B244F7"/>
    <w:rsid w:val="10C26171"/>
    <w:rsid w:val="10F33360"/>
    <w:rsid w:val="10FC16EA"/>
    <w:rsid w:val="110F1D40"/>
    <w:rsid w:val="11266F33"/>
    <w:rsid w:val="118963A1"/>
    <w:rsid w:val="11C6522A"/>
    <w:rsid w:val="11E104CC"/>
    <w:rsid w:val="11E20309"/>
    <w:rsid w:val="12255233"/>
    <w:rsid w:val="12530213"/>
    <w:rsid w:val="12651FD3"/>
    <w:rsid w:val="127723A9"/>
    <w:rsid w:val="12805309"/>
    <w:rsid w:val="12862074"/>
    <w:rsid w:val="12883966"/>
    <w:rsid w:val="129E45B4"/>
    <w:rsid w:val="12B141CD"/>
    <w:rsid w:val="12D81596"/>
    <w:rsid w:val="13072A44"/>
    <w:rsid w:val="131A7767"/>
    <w:rsid w:val="135F4BE2"/>
    <w:rsid w:val="139B1A0A"/>
    <w:rsid w:val="139D25C7"/>
    <w:rsid w:val="139F3AD3"/>
    <w:rsid w:val="13BF3CE4"/>
    <w:rsid w:val="13C06CB9"/>
    <w:rsid w:val="13C72E82"/>
    <w:rsid w:val="141008D8"/>
    <w:rsid w:val="14125FE6"/>
    <w:rsid w:val="143E57C7"/>
    <w:rsid w:val="146D271E"/>
    <w:rsid w:val="14982588"/>
    <w:rsid w:val="149A5AD9"/>
    <w:rsid w:val="14A7619D"/>
    <w:rsid w:val="150536C3"/>
    <w:rsid w:val="150C1963"/>
    <w:rsid w:val="151447A0"/>
    <w:rsid w:val="154A6454"/>
    <w:rsid w:val="15762120"/>
    <w:rsid w:val="15B2306C"/>
    <w:rsid w:val="15F61834"/>
    <w:rsid w:val="163724F8"/>
    <w:rsid w:val="16A8729C"/>
    <w:rsid w:val="16B33777"/>
    <w:rsid w:val="16BC70A7"/>
    <w:rsid w:val="16C6339E"/>
    <w:rsid w:val="16E32627"/>
    <w:rsid w:val="17260F0E"/>
    <w:rsid w:val="172F2D79"/>
    <w:rsid w:val="17557BEF"/>
    <w:rsid w:val="17D349C1"/>
    <w:rsid w:val="181F7BEB"/>
    <w:rsid w:val="1830729E"/>
    <w:rsid w:val="1864152A"/>
    <w:rsid w:val="1870062C"/>
    <w:rsid w:val="18817102"/>
    <w:rsid w:val="18830A15"/>
    <w:rsid w:val="18852B28"/>
    <w:rsid w:val="188B5321"/>
    <w:rsid w:val="194667FA"/>
    <w:rsid w:val="19932372"/>
    <w:rsid w:val="19A20DD5"/>
    <w:rsid w:val="19AE03F1"/>
    <w:rsid w:val="1A071A03"/>
    <w:rsid w:val="1A1F16AE"/>
    <w:rsid w:val="1A3B5C77"/>
    <w:rsid w:val="1A8342DE"/>
    <w:rsid w:val="1A9570FB"/>
    <w:rsid w:val="1A984BAD"/>
    <w:rsid w:val="1AB8220E"/>
    <w:rsid w:val="1ACB068F"/>
    <w:rsid w:val="1AE4166C"/>
    <w:rsid w:val="1AF06CFB"/>
    <w:rsid w:val="1AF11B8D"/>
    <w:rsid w:val="1B067919"/>
    <w:rsid w:val="1B11359C"/>
    <w:rsid w:val="1B2A271F"/>
    <w:rsid w:val="1B530544"/>
    <w:rsid w:val="1B713184"/>
    <w:rsid w:val="1BA209CF"/>
    <w:rsid w:val="1BB4777D"/>
    <w:rsid w:val="1BD75AB8"/>
    <w:rsid w:val="1C0459C2"/>
    <w:rsid w:val="1C1B3B4A"/>
    <w:rsid w:val="1C790A9E"/>
    <w:rsid w:val="1C88086E"/>
    <w:rsid w:val="1CAB1088"/>
    <w:rsid w:val="1D266CE1"/>
    <w:rsid w:val="1D3963AF"/>
    <w:rsid w:val="1D6A673C"/>
    <w:rsid w:val="1D9247AE"/>
    <w:rsid w:val="1DB567EC"/>
    <w:rsid w:val="1DF51A98"/>
    <w:rsid w:val="1E2A1362"/>
    <w:rsid w:val="1E361291"/>
    <w:rsid w:val="1E3D060F"/>
    <w:rsid w:val="1E3F7D2E"/>
    <w:rsid w:val="1E4134E4"/>
    <w:rsid w:val="1E5062B3"/>
    <w:rsid w:val="1E523514"/>
    <w:rsid w:val="1E714A66"/>
    <w:rsid w:val="1E802593"/>
    <w:rsid w:val="1E8B6156"/>
    <w:rsid w:val="1EA402FF"/>
    <w:rsid w:val="1EA703CC"/>
    <w:rsid w:val="1EB7330C"/>
    <w:rsid w:val="1F0A0FF3"/>
    <w:rsid w:val="1F5771FF"/>
    <w:rsid w:val="1F9C026B"/>
    <w:rsid w:val="1FC1466E"/>
    <w:rsid w:val="1FD52DD5"/>
    <w:rsid w:val="1FE868A9"/>
    <w:rsid w:val="20034907"/>
    <w:rsid w:val="20173E4B"/>
    <w:rsid w:val="204E48BC"/>
    <w:rsid w:val="208921B3"/>
    <w:rsid w:val="20973DEB"/>
    <w:rsid w:val="20B02785"/>
    <w:rsid w:val="20B26522"/>
    <w:rsid w:val="20B44310"/>
    <w:rsid w:val="20C25505"/>
    <w:rsid w:val="211116EB"/>
    <w:rsid w:val="216133FC"/>
    <w:rsid w:val="21D56769"/>
    <w:rsid w:val="21E52EF3"/>
    <w:rsid w:val="21F279AA"/>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4F60E9"/>
    <w:rsid w:val="245375B0"/>
    <w:rsid w:val="24642C0A"/>
    <w:rsid w:val="24B22173"/>
    <w:rsid w:val="24B95AD9"/>
    <w:rsid w:val="24BE24DA"/>
    <w:rsid w:val="24BE28B4"/>
    <w:rsid w:val="24CF5825"/>
    <w:rsid w:val="24D663E6"/>
    <w:rsid w:val="24D77F2B"/>
    <w:rsid w:val="251C3F78"/>
    <w:rsid w:val="258B00E2"/>
    <w:rsid w:val="25A917A6"/>
    <w:rsid w:val="25BE27CC"/>
    <w:rsid w:val="25F74A5C"/>
    <w:rsid w:val="2628662C"/>
    <w:rsid w:val="262D45DE"/>
    <w:rsid w:val="2650413E"/>
    <w:rsid w:val="26871DC8"/>
    <w:rsid w:val="26A53EF9"/>
    <w:rsid w:val="26A94201"/>
    <w:rsid w:val="26AC274F"/>
    <w:rsid w:val="27044A29"/>
    <w:rsid w:val="271D34C8"/>
    <w:rsid w:val="27427F2B"/>
    <w:rsid w:val="27543CD1"/>
    <w:rsid w:val="275C5AF1"/>
    <w:rsid w:val="276142BF"/>
    <w:rsid w:val="27783712"/>
    <w:rsid w:val="27907362"/>
    <w:rsid w:val="27A623E4"/>
    <w:rsid w:val="28333E1D"/>
    <w:rsid w:val="28454BD6"/>
    <w:rsid w:val="28455253"/>
    <w:rsid w:val="28551971"/>
    <w:rsid w:val="285B1C53"/>
    <w:rsid w:val="289F7086"/>
    <w:rsid w:val="28B94DA8"/>
    <w:rsid w:val="28C32028"/>
    <w:rsid w:val="28CC490F"/>
    <w:rsid w:val="28DE40AA"/>
    <w:rsid w:val="29345E77"/>
    <w:rsid w:val="294C65AD"/>
    <w:rsid w:val="29806583"/>
    <w:rsid w:val="298B24C1"/>
    <w:rsid w:val="298B3C4C"/>
    <w:rsid w:val="29F23E8A"/>
    <w:rsid w:val="29F26D24"/>
    <w:rsid w:val="2A15033F"/>
    <w:rsid w:val="2A1662C1"/>
    <w:rsid w:val="2A1C7367"/>
    <w:rsid w:val="2A2815FA"/>
    <w:rsid w:val="2A6D6092"/>
    <w:rsid w:val="2A7D76B4"/>
    <w:rsid w:val="2B021058"/>
    <w:rsid w:val="2B437463"/>
    <w:rsid w:val="2B7807EE"/>
    <w:rsid w:val="2BA50BF7"/>
    <w:rsid w:val="2BBF00EC"/>
    <w:rsid w:val="2BC31D71"/>
    <w:rsid w:val="2BC37CFD"/>
    <w:rsid w:val="2BD5237F"/>
    <w:rsid w:val="2BE21CDC"/>
    <w:rsid w:val="2BE536CE"/>
    <w:rsid w:val="2BE758D9"/>
    <w:rsid w:val="2C09049E"/>
    <w:rsid w:val="2C0A653C"/>
    <w:rsid w:val="2C191F85"/>
    <w:rsid w:val="2CE82D6F"/>
    <w:rsid w:val="2D343236"/>
    <w:rsid w:val="2D5C23F2"/>
    <w:rsid w:val="2DD15014"/>
    <w:rsid w:val="2DF72DE4"/>
    <w:rsid w:val="2E0220AF"/>
    <w:rsid w:val="2E4B082A"/>
    <w:rsid w:val="2E5D4E86"/>
    <w:rsid w:val="2E5D790B"/>
    <w:rsid w:val="2E9A3C18"/>
    <w:rsid w:val="2EBB0FEE"/>
    <w:rsid w:val="2EC63002"/>
    <w:rsid w:val="2F0A6B38"/>
    <w:rsid w:val="2F740E9D"/>
    <w:rsid w:val="2F946CCB"/>
    <w:rsid w:val="2FD25781"/>
    <w:rsid w:val="2FDC745C"/>
    <w:rsid w:val="2FFD7934"/>
    <w:rsid w:val="30252E9E"/>
    <w:rsid w:val="30733ACD"/>
    <w:rsid w:val="308C3862"/>
    <w:rsid w:val="309379D8"/>
    <w:rsid w:val="30A270F7"/>
    <w:rsid w:val="30DF1478"/>
    <w:rsid w:val="30EC586F"/>
    <w:rsid w:val="314550B7"/>
    <w:rsid w:val="319C6071"/>
    <w:rsid w:val="31AC537E"/>
    <w:rsid w:val="31D24182"/>
    <w:rsid w:val="31E3679B"/>
    <w:rsid w:val="31E732FD"/>
    <w:rsid w:val="32517576"/>
    <w:rsid w:val="32BE5C2C"/>
    <w:rsid w:val="32FB6478"/>
    <w:rsid w:val="33263B3F"/>
    <w:rsid w:val="336963EB"/>
    <w:rsid w:val="33816EEB"/>
    <w:rsid w:val="339F31A2"/>
    <w:rsid w:val="33E347C2"/>
    <w:rsid w:val="33EB55CD"/>
    <w:rsid w:val="33EC4C02"/>
    <w:rsid w:val="340D2360"/>
    <w:rsid w:val="3410665D"/>
    <w:rsid w:val="34211214"/>
    <w:rsid w:val="342C5A0F"/>
    <w:rsid w:val="342E63AB"/>
    <w:rsid w:val="34576205"/>
    <w:rsid w:val="34950E68"/>
    <w:rsid w:val="34986E94"/>
    <w:rsid w:val="34AF62C9"/>
    <w:rsid w:val="34CB4388"/>
    <w:rsid w:val="34FA6E12"/>
    <w:rsid w:val="354D7158"/>
    <w:rsid w:val="358D5588"/>
    <w:rsid w:val="363A3B40"/>
    <w:rsid w:val="365302AE"/>
    <w:rsid w:val="36607A0A"/>
    <w:rsid w:val="366E227C"/>
    <w:rsid w:val="366F2E0D"/>
    <w:rsid w:val="367B6A5C"/>
    <w:rsid w:val="36924A5D"/>
    <w:rsid w:val="36A74ADA"/>
    <w:rsid w:val="36AD60D5"/>
    <w:rsid w:val="36B224F9"/>
    <w:rsid w:val="36EC0CC9"/>
    <w:rsid w:val="373F410B"/>
    <w:rsid w:val="37CF0CE0"/>
    <w:rsid w:val="37EE7094"/>
    <w:rsid w:val="380F52D6"/>
    <w:rsid w:val="38296C89"/>
    <w:rsid w:val="383002EB"/>
    <w:rsid w:val="38586797"/>
    <w:rsid w:val="38BC0149"/>
    <w:rsid w:val="38D87D1C"/>
    <w:rsid w:val="38EE74F9"/>
    <w:rsid w:val="39636459"/>
    <w:rsid w:val="396B7F6C"/>
    <w:rsid w:val="39B417A9"/>
    <w:rsid w:val="39FC5695"/>
    <w:rsid w:val="3A006D8E"/>
    <w:rsid w:val="3A3651E5"/>
    <w:rsid w:val="3A744481"/>
    <w:rsid w:val="3A8C7BEF"/>
    <w:rsid w:val="3A906246"/>
    <w:rsid w:val="3B2349B7"/>
    <w:rsid w:val="3B616CFF"/>
    <w:rsid w:val="3B6259F6"/>
    <w:rsid w:val="3B6835EB"/>
    <w:rsid w:val="3B976654"/>
    <w:rsid w:val="3BC01EFC"/>
    <w:rsid w:val="3BCA786A"/>
    <w:rsid w:val="3BD31E2F"/>
    <w:rsid w:val="3BF15831"/>
    <w:rsid w:val="3C105946"/>
    <w:rsid w:val="3C471448"/>
    <w:rsid w:val="3C5F759A"/>
    <w:rsid w:val="3C6C525A"/>
    <w:rsid w:val="3CA01318"/>
    <w:rsid w:val="3CA1195A"/>
    <w:rsid w:val="3CB21257"/>
    <w:rsid w:val="3CCE23CB"/>
    <w:rsid w:val="3CD17D17"/>
    <w:rsid w:val="3D3A5258"/>
    <w:rsid w:val="3D3C7F39"/>
    <w:rsid w:val="3D440F09"/>
    <w:rsid w:val="3D4504A0"/>
    <w:rsid w:val="3D8734BB"/>
    <w:rsid w:val="3D9A11D4"/>
    <w:rsid w:val="3DA02CE4"/>
    <w:rsid w:val="3DA16D89"/>
    <w:rsid w:val="3DA364BE"/>
    <w:rsid w:val="3DE041CB"/>
    <w:rsid w:val="3E0D48F6"/>
    <w:rsid w:val="3E1868B4"/>
    <w:rsid w:val="3E377251"/>
    <w:rsid w:val="3E42664B"/>
    <w:rsid w:val="3E5A7334"/>
    <w:rsid w:val="3E7B5D6B"/>
    <w:rsid w:val="3E843E66"/>
    <w:rsid w:val="3E8F2C5F"/>
    <w:rsid w:val="3E8F51FE"/>
    <w:rsid w:val="3E926F87"/>
    <w:rsid w:val="3E9A59DE"/>
    <w:rsid w:val="3EAF4836"/>
    <w:rsid w:val="3EC33DFA"/>
    <w:rsid w:val="3F060E16"/>
    <w:rsid w:val="3F197770"/>
    <w:rsid w:val="3F1D1096"/>
    <w:rsid w:val="3F2F0234"/>
    <w:rsid w:val="3F6363FE"/>
    <w:rsid w:val="3F756B8F"/>
    <w:rsid w:val="3F95482B"/>
    <w:rsid w:val="4019356B"/>
    <w:rsid w:val="40592157"/>
    <w:rsid w:val="406E1CAE"/>
    <w:rsid w:val="409D77EB"/>
    <w:rsid w:val="40A0133A"/>
    <w:rsid w:val="40C31A53"/>
    <w:rsid w:val="40FF545D"/>
    <w:rsid w:val="410067C8"/>
    <w:rsid w:val="410D4CAE"/>
    <w:rsid w:val="418F0D2A"/>
    <w:rsid w:val="41D01505"/>
    <w:rsid w:val="41EC0D67"/>
    <w:rsid w:val="42075E9B"/>
    <w:rsid w:val="42474939"/>
    <w:rsid w:val="424C3C57"/>
    <w:rsid w:val="424D2F17"/>
    <w:rsid w:val="42613FF3"/>
    <w:rsid w:val="42660D96"/>
    <w:rsid w:val="428667D2"/>
    <w:rsid w:val="42B114A6"/>
    <w:rsid w:val="42CD1CE0"/>
    <w:rsid w:val="42E1381E"/>
    <w:rsid w:val="42ED6459"/>
    <w:rsid w:val="42FE58DD"/>
    <w:rsid w:val="43174B3D"/>
    <w:rsid w:val="432E6337"/>
    <w:rsid w:val="434B790E"/>
    <w:rsid w:val="4360274F"/>
    <w:rsid w:val="43977AB6"/>
    <w:rsid w:val="43A3342B"/>
    <w:rsid w:val="43C77C27"/>
    <w:rsid w:val="43CB28F0"/>
    <w:rsid w:val="43DE09EE"/>
    <w:rsid w:val="44002FAD"/>
    <w:rsid w:val="449101DD"/>
    <w:rsid w:val="44941FAF"/>
    <w:rsid w:val="44DE1391"/>
    <w:rsid w:val="44EB409B"/>
    <w:rsid w:val="44F71EFD"/>
    <w:rsid w:val="451B225C"/>
    <w:rsid w:val="452410C9"/>
    <w:rsid w:val="45317DFB"/>
    <w:rsid w:val="456D3CE4"/>
    <w:rsid w:val="4579042C"/>
    <w:rsid w:val="457F0571"/>
    <w:rsid w:val="45851176"/>
    <w:rsid w:val="45C63B94"/>
    <w:rsid w:val="460E7DA5"/>
    <w:rsid w:val="462B0339"/>
    <w:rsid w:val="46422483"/>
    <w:rsid w:val="4659254A"/>
    <w:rsid w:val="465B0637"/>
    <w:rsid w:val="465E3F0D"/>
    <w:rsid w:val="466A16E6"/>
    <w:rsid w:val="46893F2B"/>
    <w:rsid w:val="46C4686E"/>
    <w:rsid w:val="47117DEE"/>
    <w:rsid w:val="47186A28"/>
    <w:rsid w:val="477B778F"/>
    <w:rsid w:val="478203EC"/>
    <w:rsid w:val="47B025FA"/>
    <w:rsid w:val="47FF254F"/>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9FA1BB1"/>
    <w:rsid w:val="4A0347A8"/>
    <w:rsid w:val="4A064FA0"/>
    <w:rsid w:val="4A16615C"/>
    <w:rsid w:val="4A4424D7"/>
    <w:rsid w:val="4A8C5FE1"/>
    <w:rsid w:val="4AB82D0F"/>
    <w:rsid w:val="4ABB7913"/>
    <w:rsid w:val="4AEB7664"/>
    <w:rsid w:val="4AFD7C19"/>
    <w:rsid w:val="4B0567D1"/>
    <w:rsid w:val="4B236AAE"/>
    <w:rsid w:val="4B707271"/>
    <w:rsid w:val="4B9739F7"/>
    <w:rsid w:val="4BAD4CA0"/>
    <w:rsid w:val="4BC07BD6"/>
    <w:rsid w:val="4BEE2503"/>
    <w:rsid w:val="4C245A30"/>
    <w:rsid w:val="4C924C55"/>
    <w:rsid w:val="4CB6685F"/>
    <w:rsid w:val="4CC367FE"/>
    <w:rsid w:val="4CC8426B"/>
    <w:rsid w:val="4D077F3C"/>
    <w:rsid w:val="4D123355"/>
    <w:rsid w:val="4D2A3B31"/>
    <w:rsid w:val="4D2C3E6A"/>
    <w:rsid w:val="4D312C52"/>
    <w:rsid w:val="4D4E12EF"/>
    <w:rsid w:val="4D7A4C4B"/>
    <w:rsid w:val="4D905305"/>
    <w:rsid w:val="4D964A72"/>
    <w:rsid w:val="4D9C1254"/>
    <w:rsid w:val="4E793892"/>
    <w:rsid w:val="4E800872"/>
    <w:rsid w:val="4E867065"/>
    <w:rsid w:val="4E8B1072"/>
    <w:rsid w:val="4EC569ED"/>
    <w:rsid w:val="4ED50EA1"/>
    <w:rsid w:val="4EEC050C"/>
    <w:rsid w:val="4F104EC3"/>
    <w:rsid w:val="4F47354A"/>
    <w:rsid w:val="4F911C54"/>
    <w:rsid w:val="4FE625E0"/>
    <w:rsid w:val="5021480F"/>
    <w:rsid w:val="50481639"/>
    <w:rsid w:val="50962ECB"/>
    <w:rsid w:val="50A42E38"/>
    <w:rsid w:val="50A4577F"/>
    <w:rsid w:val="50B17876"/>
    <w:rsid w:val="50B73D1F"/>
    <w:rsid w:val="50BD5BC9"/>
    <w:rsid w:val="50C11EEE"/>
    <w:rsid w:val="50E97CFC"/>
    <w:rsid w:val="50FA4028"/>
    <w:rsid w:val="510D65B7"/>
    <w:rsid w:val="511157AB"/>
    <w:rsid w:val="5142540C"/>
    <w:rsid w:val="518832C8"/>
    <w:rsid w:val="519D3C50"/>
    <w:rsid w:val="519E59BF"/>
    <w:rsid w:val="51A0432A"/>
    <w:rsid w:val="51A86090"/>
    <w:rsid w:val="51B7396D"/>
    <w:rsid w:val="51BF308A"/>
    <w:rsid w:val="52067F7E"/>
    <w:rsid w:val="522E4CC3"/>
    <w:rsid w:val="5244713B"/>
    <w:rsid w:val="52615633"/>
    <w:rsid w:val="526F4DE4"/>
    <w:rsid w:val="52977FD4"/>
    <w:rsid w:val="52A25790"/>
    <w:rsid w:val="52A96B6F"/>
    <w:rsid w:val="52AF3E17"/>
    <w:rsid w:val="52B45975"/>
    <w:rsid w:val="52D94AA4"/>
    <w:rsid w:val="52EA3A62"/>
    <w:rsid w:val="52F50BB8"/>
    <w:rsid w:val="53097272"/>
    <w:rsid w:val="53307EE8"/>
    <w:rsid w:val="53544462"/>
    <w:rsid w:val="5397158E"/>
    <w:rsid w:val="54013861"/>
    <w:rsid w:val="542E6D86"/>
    <w:rsid w:val="54487265"/>
    <w:rsid w:val="544D6070"/>
    <w:rsid w:val="54605E1E"/>
    <w:rsid w:val="54B3506A"/>
    <w:rsid w:val="54CA0D16"/>
    <w:rsid w:val="54DD4057"/>
    <w:rsid w:val="54E26277"/>
    <w:rsid w:val="54E7490F"/>
    <w:rsid w:val="550764A4"/>
    <w:rsid w:val="550B2BF6"/>
    <w:rsid w:val="55214EB5"/>
    <w:rsid w:val="55364EFD"/>
    <w:rsid w:val="555D4828"/>
    <w:rsid w:val="55602A34"/>
    <w:rsid w:val="557A4C8B"/>
    <w:rsid w:val="558931E1"/>
    <w:rsid w:val="55923347"/>
    <w:rsid w:val="55925180"/>
    <w:rsid w:val="55983B1B"/>
    <w:rsid w:val="55A8376B"/>
    <w:rsid w:val="55BC7D0E"/>
    <w:rsid w:val="55DC29B6"/>
    <w:rsid w:val="55DD4241"/>
    <w:rsid w:val="55E72401"/>
    <w:rsid w:val="563E4BAE"/>
    <w:rsid w:val="566B6D1E"/>
    <w:rsid w:val="57032A2C"/>
    <w:rsid w:val="570F5219"/>
    <w:rsid w:val="57211B88"/>
    <w:rsid w:val="575D12B5"/>
    <w:rsid w:val="57610A87"/>
    <w:rsid w:val="577B1140"/>
    <w:rsid w:val="577B7F21"/>
    <w:rsid w:val="577D5C4B"/>
    <w:rsid w:val="577F181B"/>
    <w:rsid w:val="57921984"/>
    <w:rsid w:val="579737F0"/>
    <w:rsid w:val="579C5F1D"/>
    <w:rsid w:val="57AB7B30"/>
    <w:rsid w:val="57AF5251"/>
    <w:rsid w:val="57B26373"/>
    <w:rsid w:val="57B63F04"/>
    <w:rsid w:val="57CD20C2"/>
    <w:rsid w:val="57D675AB"/>
    <w:rsid w:val="57D95FDD"/>
    <w:rsid w:val="58917D2F"/>
    <w:rsid w:val="5894085C"/>
    <w:rsid w:val="58AE4F0C"/>
    <w:rsid w:val="58B85899"/>
    <w:rsid w:val="58BB257A"/>
    <w:rsid w:val="58E363A9"/>
    <w:rsid w:val="595E1678"/>
    <w:rsid w:val="596D5BD4"/>
    <w:rsid w:val="597E3DD8"/>
    <w:rsid w:val="59F50429"/>
    <w:rsid w:val="59F80043"/>
    <w:rsid w:val="5A09252F"/>
    <w:rsid w:val="5A0B2778"/>
    <w:rsid w:val="5A2A7C7B"/>
    <w:rsid w:val="5A3E2560"/>
    <w:rsid w:val="5A5D3B6E"/>
    <w:rsid w:val="5A637A76"/>
    <w:rsid w:val="5A6D33BA"/>
    <w:rsid w:val="5A792B1F"/>
    <w:rsid w:val="5A874767"/>
    <w:rsid w:val="5A9579CD"/>
    <w:rsid w:val="5AA85BE2"/>
    <w:rsid w:val="5AAD6F28"/>
    <w:rsid w:val="5AB71225"/>
    <w:rsid w:val="5AD63A24"/>
    <w:rsid w:val="5B09532D"/>
    <w:rsid w:val="5B2E1A1D"/>
    <w:rsid w:val="5B843A1C"/>
    <w:rsid w:val="5B873E3F"/>
    <w:rsid w:val="5C02690E"/>
    <w:rsid w:val="5C191E40"/>
    <w:rsid w:val="5C196DA7"/>
    <w:rsid w:val="5C2A048C"/>
    <w:rsid w:val="5C80234E"/>
    <w:rsid w:val="5C8A680C"/>
    <w:rsid w:val="5CA41FDA"/>
    <w:rsid w:val="5D0C4701"/>
    <w:rsid w:val="5D0F0395"/>
    <w:rsid w:val="5D221076"/>
    <w:rsid w:val="5D397964"/>
    <w:rsid w:val="5D5A391C"/>
    <w:rsid w:val="5D5F10C0"/>
    <w:rsid w:val="5D891B7B"/>
    <w:rsid w:val="5DAD38EE"/>
    <w:rsid w:val="5E006862"/>
    <w:rsid w:val="5E0207B9"/>
    <w:rsid w:val="5E0E40DE"/>
    <w:rsid w:val="5E1834A1"/>
    <w:rsid w:val="5E261785"/>
    <w:rsid w:val="5E2B6EBE"/>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E5846"/>
    <w:rsid w:val="609F2AC4"/>
    <w:rsid w:val="60FA2EE8"/>
    <w:rsid w:val="61054A27"/>
    <w:rsid w:val="610A52BC"/>
    <w:rsid w:val="611D2366"/>
    <w:rsid w:val="61421856"/>
    <w:rsid w:val="615227C4"/>
    <w:rsid w:val="616404C2"/>
    <w:rsid w:val="61654E3F"/>
    <w:rsid w:val="6182292A"/>
    <w:rsid w:val="619F7F92"/>
    <w:rsid w:val="61F94C26"/>
    <w:rsid w:val="62000E56"/>
    <w:rsid w:val="624F3E49"/>
    <w:rsid w:val="62632286"/>
    <w:rsid w:val="62885958"/>
    <w:rsid w:val="62F40B65"/>
    <w:rsid w:val="62FC2CFE"/>
    <w:rsid w:val="63024505"/>
    <w:rsid w:val="63471762"/>
    <w:rsid w:val="634E4770"/>
    <w:rsid w:val="635600A5"/>
    <w:rsid w:val="635B1DB5"/>
    <w:rsid w:val="63711FED"/>
    <w:rsid w:val="63880DDC"/>
    <w:rsid w:val="638D750D"/>
    <w:rsid w:val="63910123"/>
    <w:rsid w:val="63AC6CC0"/>
    <w:rsid w:val="64025D23"/>
    <w:rsid w:val="64055776"/>
    <w:rsid w:val="64240056"/>
    <w:rsid w:val="643B41CE"/>
    <w:rsid w:val="643E143A"/>
    <w:rsid w:val="64491666"/>
    <w:rsid w:val="648915B9"/>
    <w:rsid w:val="648B6EEF"/>
    <w:rsid w:val="64C158BF"/>
    <w:rsid w:val="64CE2EAA"/>
    <w:rsid w:val="653C3090"/>
    <w:rsid w:val="65854376"/>
    <w:rsid w:val="658767BE"/>
    <w:rsid w:val="65892531"/>
    <w:rsid w:val="66195831"/>
    <w:rsid w:val="66291390"/>
    <w:rsid w:val="662E75B1"/>
    <w:rsid w:val="66342C2E"/>
    <w:rsid w:val="663E784C"/>
    <w:rsid w:val="668B6A45"/>
    <w:rsid w:val="67011F07"/>
    <w:rsid w:val="672F3F24"/>
    <w:rsid w:val="673E055F"/>
    <w:rsid w:val="674F74D7"/>
    <w:rsid w:val="67551CE3"/>
    <w:rsid w:val="67A22552"/>
    <w:rsid w:val="67B22DCC"/>
    <w:rsid w:val="67BE71AA"/>
    <w:rsid w:val="67D90273"/>
    <w:rsid w:val="67DE5875"/>
    <w:rsid w:val="67E55852"/>
    <w:rsid w:val="67E713EE"/>
    <w:rsid w:val="67EB1AB4"/>
    <w:rsid w:val="67FA1285"/>
    <w:rsid w:val="681625CB"/>
    <w:rsid w:val="68551F4F"/>
    <w:rsid w:val="687C10C9"/>
    <w:rsid w:val="68840C16"/>
    <w:rsid w:val="68872541"/>
    <w:rsid w:val="68876EFB"/>
    <w:rsid w:val="68884654"/>
    <w:rsid w:val="689F444F"/>
    <w:rsid w:val="68B8248C"/>
    <w:rsid w:val="68B96DBB"/>
    <w:rsid w:val="68CA2805"/>
    <w:rsid w:val="68D53108"/>
    <w:rsid w:val="68DD6BF5"/>
    <w:rsid w:val="68E937A3"/>
    <w:rsid w:val="691664E5"/>
    <w:rsid w:val="693E15D3"/>
    <w:rsid w:val="69627681"/>
    <w:rsid w:val="6977531D"/>
    <w:rsid w:val="69AF7350"/>
    <w:rsid w:val="69B47710"/>
    <w:rsid w:val="69CC2BFF"/>
    <w:rsid w:val="69FD55B8"/>
    <w:rsid w:val="6A04125B"/>
    <w:rsid w:val="6A0B1C62"/>
    <w:rsid w:val="6A2406C8"/>
    <w:rsid w:val="6A362E04"/>
    <w:rsid w:val="6A544296"/>
    <w:rsid w:val="6ADE0BD1"/>
    <w:rsid w:val="6ADF362F"/>
    <w:rsid w:val="6AE96859"/>
    <w:rsid w:val="6B147746"/>
    <w:rsid w:val="6B24787C"/>
    <w:rsid w:val="6B4F325E"/>
    <w:rsid w:val="6B573233"/>
    <w:rsid w:val="6B5B6274"/>
    <w:rsid w:val="6B935D53"/>
    <w:rsid w:val="6C196F71"/>
    <w:rsid w:val="6C226FCB"/>
    <w:rsid w:val="6C31226F"/>
    <w:rsid w:val="6C552F0B"/>
    <w:rsid w:val="6C8C67B7"/>
    <w:rsid w:val="6C9B0980"/>
    <w:rsid w:val="6C9D744C"/>
    <w:rsid w:val="6D167928"/>
    <w:rsid w:val="6D26299B"/>
    <w:rsid w:val="6D4772EC"/>
    <w:rsid w:val="6D9078AF"/>
    <w:rsid w:val="6DA028F1"/>
    <w:rsid w:val="6DAA3FEF"/>
    <w:rsid w:val="6DC0172B"/>
    <w:rsid w:val="6DCB690C"/>
    <w:rsid w:val="6DD41A5B"/>
    <w:rsid w:val="6DF43C2E"/>
    <w:rsid w:val="6DF51CA3"/>
    <w:rsid w:val="6E8335BD"/>
    <w:rsid w:val="6E8E12EF"/>
    <w:rsid w:val="6E972936"/>
    <w:rsid w:val="6ED446C5"/>
    <w:rsid w:val="6EF214E2"/>
    <w:rsid w:val="6F1928EC"/>
    <w:rsid w:val="6F2A7D94"/>
    <w:rsid w:val="6F700D66"/>
    <w:rsid w:val="6F8331F1"/>
    <w:rsid w:val="6FAE1A09"/>
    <w:rsid w:val="6FD75BF8"/>
    <w:rsid w:val="707723D0"/>
    <w:rsid w:val="7087670B"/>
    <w:rsid w:val="70F5661B"/>
    <w:rsid w:val="71360107"/>
    <w:rsid w:val="713B688E"/>
    <w:rsid w:val="71D43752"/>
    <w:rsid w:val="71F1796A"/>
    <w:rsid w:val="72154626"/>
    <w:rsid w:val="72262B5D"/>
    <w:rsid w:val="72283FF7"/>
    <w:rsid w:val="722E7212"/>
    <w:rsid w:val="723A0474"/>
    <w:rsid w:val="725923E4"/>
    <w:rsid w:val="72864BF7"/>
    <w:rsid w:val="729023FC"/>
    <w:rsid w:val="73420532"/>
    <w:rsid w:val="73913779"/>
    <w:rsid w:val="73C0646E"/>
    <w:rsid w:val="73C82B32"/>
    <w:rsid w:val="74212243"/>
    <w:rsid w:val="742222F5"/>
    <w:rsid w:val="74476126"/>
    <w:rsid w:val="74706664"/>
    <w:rsid w:val="747F3682"/>
    <w:rsid w:val="749C4185"/>
    <w:rsid w:val="75067759"/>
    <w:rsid w:val="75282B83"/>
    <w:rsid w:val="752E6DCD"/>
    <w:rsid w:val="7551380D"/>
    <w:rsid w:val="75600BE5"/>
    <w:rsid w:val="7564475C"/>
    <w:rsid w:val="7583797F"/>
    <w:rsid w:val="75D20F1D"/>
    <w:rsid w:val="75DA2C18"/>
    <w:rsid w:val="75F54412"/>
    <w:rsid w:val="76003BF8"/>
    <w:rsid w:val="761D08E0"/>
    <w:rsid w:val="765D347C"/>
    <w:rsid w:val="766F54E7"/>
    <w:rsid w:val="76826699"/>
    <w:rsid w:val="768A6013"/>
    <w:rsid w:val="76C87133"/>
    <w:rsid w:val="76CD08D5"/>
    <w:rsid w:val="76DB4B92"/>
    <w:rsid w:val="76FA0980"/>
    <w:rsid w:val="76FD013A"/>
    <w:rsid w:val="77052AA4"/>
    <w:rsid w:val="77136511"/>
    <w:rsid w:val="77340A39"/>
    <w:rsid w:val="77351FD0"/>
    <w:rsid w:val="77472422"/>
    <w:rsid w:val="777F31F2"/>
    <w:rsid w:val="77D1700D"/>
    <w:rsid w:val="77EC04CC"/>
    <w:rsid w:val="78617D97"/>
    <w:rsid w:val="78680440"/>
    <w:rsid w:val="78775729"/>
    <w:rsid w:val="787F7779"/>
    <w:rsid w:val="78A42DB0"/>
    <w:rsid w:val="78A656AB"/>
    <w:rsid w:val="78B2245C"/>
    <w:rsid w:val="78CF66CA"/>
    <w:rsid w:val="78E172CC"/>
    <w:rsid w:val="78EA1D1F"/>
    <w:rsid w:val="790311CB"/>
    <w:rsid w:val="7904172F"/>
    <w:rsid w:val="790F7E27"/>
    <w:rsid w:val="792A231A"/>
    <w:rsid w:val="79316829"/>
    <w:rsid w:val="7934592E"/>
    <w:rsid w:val="793C3FD9"/>
    <w:rsid w:val="7940316B"/>
    <w:rsid w:val="797E66A9"/>
    <w:rsid w:val="798518A4"/>
    <w:rsid w:val="79A97383"/>
    <w:rsid w:val="79B75945"/>
    <w:rsid w:val="79E27E8B"/>
    <w:rsid w:val="79F850CE"/>
    <w:rsid w:val="79FD443C"/>
    <w:rsid w:val="7A0B1EBF"/>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13689"/>
    <w:rsid w:val="7B667AF9"/>
    <w:rsid w:val="7B7468F8"/>
    <w:rsid w:val="7BEE0103"/>
    <w:rsid w:val="7C0A0FE4"/>
    <w:rsid w:val="7C254906"/>
    <w:rsid w:val="7C590818"/>
    <w:rsid w:val="7C6D071B"/>
    <w:rsid w:val="7C7C10F6"/>
    <w:rsid w:val="7C8430A7"/>
    <w:rsid w:val="7C853BEA"/>
    <w:rsid w:val="7C881368"/>
    <w:rsid w:val="7CE27788"/>
    <w:rsid w:val="7D0C32F1"/>
    <w:rsid w:val="7D0F408D"/>
    <w:rsid w:val="7D491C6C"/>
    <w:rsid w:val="7D5429C0"/>
    <w:rsid w:val="7D6E6D43"/>
    <w:rsid w:val="7D796894"/>
    <w:rsid w:val="7DB57A34"/>
    <w:rsid w:val="7DE60973"/>
    <w:rsid w:val="7DEA63CB"/>
    <w:rsid w:val="7DEF0916"/>
    <w:rsid w:val="7DF24663"/>
    <w:rsid w:val="7E1E5218"/>
    <w:rsid w:val="7E4954D5"/>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0"/>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4"/>
    <w:qFormat/>
    <w:uiPriority w:val="0"/>
    <w:pPr>
      <w:shd w:val="clear" w:color="auto" w:fill="000080"/>
    </w:pPr>
  </w:style>
  <w:style w:type="paragraph" w:styleId="19">
    <w:name w:val="annotation text"/>
    <w:basedOn w:val="1"/>
    <w:link w:val="347"/>
    <w:qFormat/>
    <w:uiPriority w:val="99"/>
    <w:pPr>
      <w:jc w:val="left"/>
    </w:pPr>
  </w:style>
  <w:style w:type="paragraph" w:styleId="20">
    <w:name w:val="Salutation"/>
    <w:basedOn w:val="1"/>
    <w:next w:val="1"/>
    <w:link w:val="301"/>
    <w:qFormat/>
    <w:uiPriority w:val="0"/>
    <w:rPr>
      <w:rFonts w:ascii="仿宋_GB2312" w:eastAsia="仿宋_GB2312"/>
      <w:sz w:val="28"/>
      <w:szCs w:val="20"/>
    </w:rPr>
  </w:style>
  <w:style w:type="paragraph" w:styleId="21">
    <w:name w:val="Body Text 3"/>
    <w:basedOn w:val="1"/>
    <w:link w:val="333"/>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3"/>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2"/>
    <w:basedOn w:val="25"/>
    <w:next w:val="1"/>
    <w:link w:val="123"/>
    <w:qFormat/>
    <w:uiPriority w:val="0"/>
    <w:pPr>
      <w:adjustRightInd/>
      <w:spacing w:after="120" w:line="240" w:lineRule="auto"/>
      <w:ind w:left="420" w:leftChars="200" w:firstLine="210"/>
    </w:pPr>
    <w:rPr>
      <w:sz w:val="21"/>
    </w:rPr>
  </w:style>
  <w:style w:type="paragraph" w:styleId="25">
    <w:name w:val="Body Text Indent"/>
    <w:basedOn w:val="1"/>
    <w:next w:val="1"/>
    <w:link w:val="268"/>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7"/>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3"/>
    <w:qFormat/>
    <w:uiPriority w:val="0"/>
    <w:pPr>
      <w:ind w:left="100" w:leftChars="2500"/>
    </w:pPr>
    <w:rPr>
      <w:rFonts w:ascii="宋体"/>
      <w:sz w:val="24"/>
      <w:szCs w:val="21"/>
      <w:lang w:val="zh-CN"/>
    </w:rPr>
  </w:style>
  <w:style w:type="paragraph" w:styleId="37">
    <w:name w:val="Body Text Indent 2"/>
    <w:basedOn w:val="1"/>
    <w:link w:val="311"/>
    <w:qFormat/>
    <w:uiPriority w:val="0"/>
    <w:pPr>
      <w:spacing w:line="360" w:lineRule="auto"/>
      <w:ind w:firstLine="601"/>
      <w:textAlignment w:val="baseline"/>
    </w:pPr>
    <w:rPr>
      <w:rFonts w:ascii="宋体"/>
      <w:kern w:val="0"/>
      <w:sz w:val="28"/>
      <w:szCs w:val="20"/>
    </w:rPr>
  </w:style>
  <w:style w:type="paragraph" w:styleId="38">
    <w:name w:val="endnote text"/>
    <w:basedOn w:val="1"/>
    <w:link w:val="935"/>
    <w:qFormat/>
    <w:uiPriority w:val="0"/>
    <w:rPr>
      <w:lang w:val="zh-CN"/>
    </w:rPr>
  </w:style>
  <w:style w:type="paragraph" w:styleId="39">
    <w:name w:val="Balloon Text"/>
    <w:basedOn w:val="1"/>
    <w:link w:val="190"/>
    <w:qFormat/>
    <w:uiPriority w:val="0"/>
    <w:rPr>
      <w:sz w:val="18"/>
      <w:szCs w:val="18"/>
    </w:rPr>
  </w:style>
  <w:style w:type="paragraph" w:styleId="40">
    <w:name w:val="footer"/>
    <w:basedOn w:val="1"/>
    <w:link w:val="386"/>
    <w:qFormat/>
    <w:uiPriority w:val="99"/>
    <w:pPr>
      <w:tabs>
        <w:tab w:val="center" w:pos="4153"/>
        <w:tab w:val="right" w:pos="8306"/>
      </w:tabs>
      <w:snapToGrid w:val="0"/>
      <w:jc w:val="left"/>
    </w:pPr>
    <w:rPr>
      <w:sz w:val="18"/>
      <w:szCs w:val="18"/>
    </w:rPr>
  </w:style>
  <w:style w:type="paragraph" w:styleId="41">
    <w:name w:val="header"/>
    <w:basedOn w:val="1"/>
    <w:link w:val="395"/>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8"/>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13"/>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8"/>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5"/>
    <w:qFormat/>
    <w:uiPriority w:val="0"/>
    <w:pPr>
      <w:spacing w:after="120" w:line="480" w:lineRule="auto"/>
    </w:pPr>
  </w:style>
  <w:style w:type="paragraph" w:styleId="57">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9"/>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8"/>
    <w:qFormat/>
    <w:uiPriority w:val="0"/>
    <w:rPr>
      <w:b/>
      <w:bCs/>
    </w:rPr>
  </w:style>
  <w:style w:type="paragraph" w:styleId="61">
    <w:name w:val="Body Text First Indent"/>
    <w:basedOn w:val="23"/>
    <w:link w:val="324"/>
    <w:qFormat/>
    <w:uiPriority w:val="0"/>
    <w:pPr>
      <w:ind w:firstLine="420"/>
    </w:pPr>
    <w:rPr>
      <w:rFonts w:hAnsi="Calibri" w:cs="Times New Roman"/>
      <w:snapToGrid/>
      <w:szCs w:val="20"/>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Body Text First Indent 21"/>
    <w:basedOn w:val="80"/>
    <w:qFormat/>
    <w:uiPriority w:val="0"/>
    <w:pPr>
      <w:ind w:firstLine="420"/>
    </w:pPr>
  </w:style>
  <w:style w:type="paragraph" w:customStyle="1" w:styleId="80">
    <w:name w:val="Body Text Indent1"/>
    <w:basedOn w:val="1"/>
    <w:qFormat/>
    <w:uiPriority w:val="0"/>
    <w:pPr>
      <w:spacing w:after="120"/>
      <w:ind w:left="420" w:leftChars="200"/>
    </w:pPr>
  </w:style>
  <w:style w:type="paragraph" w:customStyle="1" w:styleId="81">
    <w:name w:val="正文1"/>
    <w:basedOn w:val="1"/>
    <w:autoRedefine/>
    <w:qFormat/>
    <w:uiPriority w:val="0"/>
    <w:pPr>
      <w:spacing w:line="318" w:lineRule="atLeast"/>
      <w:ind w:left="369" w:firstLine="369"/>
      <w:textAlignment w:val="baseline"/>
    </w:pPr>
    <w:rPr>
      <w:rFonts w:ascii="宋体"/>
      <w:szCs w:val="20"/>
    </w:rPr>
  </w:style>
  <w:style w:type="paragraph" w:customStyle="1" w:styleId="82">
    <w:name w:val="正文111"/>
    <w:basedOn w:val="1"/>
    <w:qFormat/>
    <w:uiPriority w:val="0"/>
    <w:pPr>
      <w:spacing w:line="318" w:lineRule="atLeast"/>
      <w:ind w:left="369" w:firstLine="369"/>
      <w:textAlignment w:val="baseline"/>
    </w:pPr>
    <w:rPr>
      <w:rFonts w:ascii="宋体"/>
      <w:szCs w:val="20"/>
    </w:rPr>
  </w:style>
  <w:style w:type="paragraph" w:customStyle="1" w:styleId="83">
    <w:name w:val="自动更正"/>
    <w:unhideWhenUsed/>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字符"/>
    <w:link w:val="60"/>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文本首行缩进 2 字符"/>
    <w:link w:val="24"/>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69"/>
    <w:qFormat/>
    <w:uiPriority w:val="0"/>
    <w:rPr>
      <w:rFonts w:ascii="Arial" w:hAnsi="Arial" w:eastAsia="黑体" w:cs="Arial"/>
      <w:snapToGrid w:val="0"/>
      <w:kern w:val="0"/>
      <w:szCs w:val="21"/>
    </w:rPr>
  </w:style>
  <w:style w:type="character" w:customStyle="1" w:styleId="127">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字符"/>
    <w:link w:val="47"/>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字符"/>
    <w:link w:val="8"/>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3"/>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字符"/>
    <w:link w:val="36"/>
    <w:qFormat/>
    <w:uiPriority w:val="0"/>
    <w:rPr>
      <w:rFonts w:ascii="宋体"/>
      <w:kern w:val="2"/>
      <w:sz w:val="24"/>
      <w:szCs w:val="21"/>
      <w:lang w:val="zh-CN"/>
    </w:rPr>
  </w:style>
  <w:style w:type="character" w:customStyle="1" w:styleId="184">
    <w:name w:val="标题 9 字符"/>
    <w:link w:val="11"/>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99"/>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字符1"/>
    <w:link w:val="39"/>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字符2"/>
    <w:link w:val="5"/>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字符"/>
    <w:link w:val="18"/>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69"/>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字符"/>
    <w:link w:val="30"/>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6"/>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字符"/>
    <w:link w:val="16"/>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237"/>
    <w:qFormat/>
    <w:uiPriority w:val="0"/>
    <w:rPr>
      <w:rFonts w:ascii="仿宋_GB2312" w:eastAsia="仿宋_GB2312" w:cs="仿宋_GB2312"/>
      <w:color w:val="000000"/>
      <w:sz w:val="24"/>
      <w:szCs w:val="24"/>
      <w:lang w:val="en-US" w:eastAsia="zh-CN" w:bidi="ar-SA"/>
    </w:rPr>
  </w:style>
  <w:style w:type="paragraph" w:customStyle="1" w:styleId="237">
    <w:name w:val="Default"/>
    <w:next w:val="238"/>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39">
    <w:name w:val="style91"/>
    <w:qFormat/>
    <w:uiPriority w:val="0"/>
    <w:rPr>
      <w:color w:val="333333"/>
    </w:rPr>
  </w:style>
  <w:style w:type="character" w:customStyle="1" w:styleId="240">
    <w:name w:val="列出段落 Char2"/>
    <w:qFormat/>
    <w:uiPriority w:val="34"/>
    <w:rPr>
      <w:rFonts w:ascii="Calibri" w:hAnsi="Calibri"/>
      <w:kern w:val="2"/>
      <w:sz w:val="28"/>
    </w:rPr>
  </w:style>
  <w:style w:type="character" w:customStyle="1" w:styleId="241">
    <w:name w:val="mdeck"/>
    <w:qFormat/>
    <w:uiPriority w:val="0"/>
    <w:rPr>
      <w:rFonts w:ascii="仿宋_GB2312" w:eastAsia="微软雅黑"/>
      <w:b/>
      <w:kern w:val="2"/>
      <w:sz w:val="32"/>
      <w:szCs w:val="32"/>
      <w:lang w:val="en-US" w:eastAsia="zh-CN" w:bidi="ar-SA"/>
    </w:rPr>
  </w:style>
  <w:style w:type="character" w:customStyle="1" w:styleId="242">
    <w:name w:val="unnamed11"/>
    <w:qFormat/>
    <w:uiPriority w:val="0"/>
    <w:rPr>
      <w:sz w:val="20"/>
      <w:szCs w:val="20"/>
    </w:rPr>
  </w:style>
  <w:style w:type="character" w:customStyle="1" w:styleId="243">
    <w:name w:val="正文文本 Char2"/>
    <w:semiHidden/>
    <w:qFormat/>
    <w:uiPriority w:val="99"/>
    <w:rPr>
      <w:rFonts w:ascii="Times New Roman" w:hAnsi="Times New Roman" w:eastAsia="宋体" w:cs="Times New Roman"/>
      <w:snapToGrid w:val="0"/>
      <w:kern w:val="0"/>
      <w:szCs w:val="24"/>
    </w:rPr>
  </w:style>
  <w:style w:type="character" w:customStyle="1" w:styleId="244">
    <w:name w:val="标书正文格式 Char"/>
    <w:qFormat/>
    <w:uiPriority w:val="0"/>
    <w:rPr>
      <w:rFonts w:eastAsia="楷体_GB2312"/>
      <w:kern w:val="2"/>
      <w:sz w:val="24"/>
      <w:szCs w:val="24"/>
      <w:lang w:bidi="ar-SA"/>
    </w:rPr>
  </w:style>
  <w:style w:type="character" w:customStyle="1" w:styleId="245">
    <w:name w:val="Char Char11"/>
    <w:qFormat/>
    <w:locked/>
    <w:uiPriority w:val="0"/>
    <w:rPr>
      <w:rFonts w:ascii="宋体" w:hAnsi="宋体" w:eastAsia="宋体"/>
      <w:b/>
      <w:kern w:val="2"/>
      <w:sz w:val="24"/>
      <w:szCs w:val="24"/>
      <w:lang w:val="en-US" w:eastAsia="zh-CN" w:bidi="ar-SA"/>
    </w:rPr>
  </w:style>
  <w:style w:type="character" w:customStyle="1" w:styleId="246">
    <w:name w:val="ca-131"/>
    <w:qFormat/>
    <w:uiPriority w:val="0"/>
    <w:rPr>
      <w:rFonts w:hint="eastAsia" w:ascii="仿宋_GB2312" w:eastAsia="仿宋_GB2312"/>
      <w:b/>
      <w:bCs/>
      <w:color w:val="000000"/>
      <w:spacing w:val="-20"/>
      <w:sz w:val="24"/>
      <w:szCs w:val="24"/>
    </w:rPr>
  </w:style>
  <w:style w:type="character" w:customStyle="1" w:styleId="247">
    <w:name w:val="tw4winMark"/>
    <w:qFormat/>
    <w:uiPriority w:val="0"/>
    <w:rPr>
      <w:rFonts w:ascii="Courier New" w:hAnsi="Courier New" w:cs="Courier New"/>
      <w:vanish/>
      <w:color w:val="800080"/>
      <w:sz w:val="24"/>
      <w:szCs w:val="24"/>
      <w:vertAlign w:val="subscript"/>
    </w:rPr>
  </w:style>
  <w:style w:type="character" w:customStyle="1" w:styleId="248">
    <w:name w:val="正文样式 Char"/>
    <w:link w:val="249"/>
    <w:qFormat/>
    <w:uiPriority w:val="0"/>
    <w:rPr>
      <w:rFonts w:ascii="Calibri" w:hAnsi="Calibri"/>
      <w:sz w:val="24"/>
      <w:szCs w:val="24"/>
    </w:rPr>
  </w:style>
  <w:style w:type="paragraph" w:customStyle="1" w:styleId="249">
    <w:name w:val="正文样式"/>
    <w:basedOn w:val="1"/>
    <w:link w:val="248"/>
    <w:qFormat/>
    <w:uiPriority w:val="0"/>
    <w:pPr>
      <w:adjustRightInd/>
      <w:spacing w:line="360" w:lineRule="auto"/>
      <w:ind w:firstLine="480" w:firstLineChars="200"/>
    </w:pPr>
    <w:rPr>
      <w:kern w:val="0"/>
      <w:sz w:val="24"/>
    </w:rPr>
  </w:style>
  <w:style w:type="character" w:customStyle="1" w:styleId="250">
    <w:name w:val="表正文 Char3"/>
    <w:qFormat/>
    <w:uiPriority w:val="0"/>
    <w:rPr>
      <w:rFonts w:eastAsia="宋体"/>
    </w:rPr>
  </w:style>
  <w:style w:type="character" w:customStyle="1" w:styleId="251">
    <w:name w:val="H5 Char"/>
    <w:qFormat/>
    <w:uiPriority w:val="0"/>
    <w:rPr>
      <w:b/>
      <w:bCs/>
      <w:kern w:val="2"/>
      <w:sz w:val="28"/>
      <w:szCs w:val="28"/>
    </w:rPr>
  </w:style>
  <w:style w:type="character" w:customStyle="1" w:styleId="252">
    <w:name w:val="Char Char3"/>
    <w:qFormat/>
    <w:uiPriority w:val="0"/>
    <w:rPr>
      <w:rFonts w:eastAsia="宋体"/>
      <w:kern w:val="2"/>
      <w:sz w:val="21"/>
      <w:szCs w:val="24"/>
      <w:lang w:val="en-US" w:eastAsia="zh-CN" w:bidi="ar-SA"/>
    </w:rPr>
  </w:style>
  <w:style w:type="character" w:customStyle="1" w:styleId="253">
    <w:name w:val="正文 编号 Char"/>
    <w:qFormat/>
    <w:uiPriority w:val="0"/>
    <w:rPr>
      <w:rFonts w:ascii="仿宋_GB2312" w:hAnsi="仿宋_GB2312" w:eastAsia="仿宋_GB2312"/>
      <w:kern w:val="2"/>
      <w:sz w:val="24"/>
      <w:lang w:bidi="ar-SA"/>
    </w:rPr>
  </w:style>
  <w:style w:type="character" w:customStyle="1" w:styleId="254">
    <w:name w:val="question-title2"/>
    <w:qFormat/>
    <w:uiPriority w:val="6"/>
    <w:rPr>
      <w:rFonts w:ascii="Arial" w:hAnsi="Arial" w:eastAsia="黑体" w:cs="Arial"/>
      <w:snapToGrid w:val="0"/>
      <w:kern w:val="0"/>
      <w:szCs w:val="21"/>
    </w:rPr>
  </w:style>
  <w:style w:type="character" w:customStyle="1" w:styleId="255">
    <w:name w:val="gf正文1 Char Char"/>
    <w:link w:val="256"/>
    <w:qFormat/>
    <w:uiPriority w:val="0"/>
    <w:rPr>
      <w:rFonts w:ascii="宋体" w:hAnsi="宋体" w:cs="宋体"/>
      <w:kern w:val="2"/>
      <w:sz w:val="24"/>
      <w:szCs w:val="24"/>
    </w:rPr>
  </w:style>
  <w:style w:type="paragraph" w:customStyle="1" w:styleId="256">
    <w:name w:val="gf正文1"/>
    <w:basedOn w:val="1"/>
    <w:link w:val="25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qFormat/>
    <w:uiPriority w:val="6"/>
    <w:rPr>
      <w:rFonts w:ascii="宋体" w:hAnsi="宋体"/>
      <w:kern w:val="1"/>
      <w:sz w:val="21"/>
    </w:rPr>
  </w:style>
  <w:style w:type="character" w:customStyle="1" w:styleId="258">
    <w:name w:val="正文缩进 Char3"/>
    <w:qFormat/>
    <w:uiPriority w:val="0"/>
    <w:rPr>
      <w:rFonts w:ascii="宋体" w:eastAsia="宋体"/>
      <w:snapToGrid w:val="0"/>
      <w:color w:val="000000"/>
      <w:kern w:val="28"/>
      <w:sz w:val="28"/>
      <w:lang w:val="en-US" w:eastAsia="zh-CN" w:bidi="ar-SA"/>
    </w:rPr>
  </w:style>
  <w:style w:type="character" w:customStyle="1" w:styleId="259">
    <w:name w:val="列出段落 Char1"/>
    <w:link w:val="260"/>
    <w:qFormat/>
    <w:uiPriority w:val="0"/>
    <w:rPr>
      <w:rFonts w:ascii="Calibri" w:hAnsi="Calibri"/>
      <w:sz w:val="24"/>
      <w:lang w:eastAsia="en-US"/>
    </w:rPr>
  </w:style>
  <w:style w:type="paragraph" w:customStyle="1" w:styleId="260">
    <w:name w:val="列表1"/>
    <w:basedOn w:val="1"/>
    <w:next w:val="261"/>
    <w:link w:val="259"/>
    <w:qFormat/>
    <w:uiPriority w:val="0"/>
    <w:pPr>
      <w:widowControl/>
      <w:adjustRightInd/>
      <w:spacing w:after="200" w:line="360" w:lineRule="auto"/>
      <w:ind w:left="720" w:firstLine="200" w:firstLineChars="200"/>
      <w:jc w:val="left"/>
    </w:pPr>
    <w:rPr>
      <w:kern w:val="0"/>
      <w:sz w:val="24"/>
      <w:szCs w:val="20"/>
      <w:lang w:eastAsia="en-US"/>
    </w:rPr>
  </w:style>
  <w:style w:type="paragraph" w:styleId="261">
    <w:name w:val="List Paragraph"/>
    <w:basedOn w:val="1"/>
    <w:qFormat/>
    <w:uiPriority w:val="34"/>
    <w:pPr>
      <w:spacing w:line="360" w:lineRule="auto"/>
      <w:ind w:firstLine="200" w:firstLineChars="200"/>
    </w:pPr>
    <w:rPr>
      <w:rFonts w:eastAsia="楷体_GB2312" w:cs="Lucida Sans"/>
      <w:sz w:val="24"/>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99"/>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仿宋_GB2312" w:eastAsia="仿宋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字符1"/>
    <w:link w:val="25"/>
    <w:qFormat/>
    <w:uiPriority w:val="0"/>
    <w:rPr>
      <w:rFonts w:ascii="宋体" w:hAnsi="宋体"/>
      <w:kern w:val="2"/>
      <w:sz w:val="24"/>
      <w:szCs w:val="24"/>
    </w:rPr>
  </w:style>
  <w:style w:type="character" w:customStyle="1" w:styleId="269">
    <w:name w:val="font01"/>
    <w:qFormat/>
    <w:uiPriority w:val="0"/>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0"/>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0"/>
    <w:rPr>
      <w:rFonts w:ascii="Arial" w:hAnsi="Arial" w:eastAsia="黑体" w:cs="Arial"/>
      <w:snapToGrid w:val="0"/>
      <w:kern w:val="0"/>
      <w:sz w:val="18"/>
      <w:szCs w:val="18"/>
    </w:rPr>
  </w:style>
  <w:style w:type="character" w:customStyle="1" w:styleId="279">
    <w:name w:val="纯文本 Char2"/>
    <w:semiHidden/>
    <w:qFormat/>
    <w:uiPriority w:val="99"/>
    <w:rPr>
      <w:rFonts w:ascii="宋体" w:hAnsi="Courier New" w:eastAsia="宋体" w:cs="Courier New"/>
    </w:rPr>
  </w:style>
  <w:style w:type="character" w:customStyle="1" w:styleId="280">
    <w:name w:val="Char Char25"/>
    <w:qFormat/>
    <w:uiPriority w:val="6"/>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
    <w:qFormat/>
    <w:locked/>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spacing w:line="360" w:lineRule="auto"/>
      <w:ind w:firstLine="200" w:firstLineChars="200"/>
    </w:pPr>
    <w:rPr>
      <w:sz w:val="24"/>
    </w:r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标题 1 字符1"/>
    <w:link w:val="2"/>
    <w:qFormat/>
    <w:uiPriority w:val="9"/>
    <w:rPr>
      <w:b/>
      <w:bCs/>
      <w:kern w:val="44"/>
      <w:sz w:val="44"/>
      <w:szCs w:val="44"/>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字符"/>
    <w:link w:val="59"/>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字符"/>
    <w:link w:val="7"/>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字符"/>
    <w:link w:val="20"/>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正文缩进 字符"/>
    <w:qFormat/>
    <w:uiPriority w:val="0"/>
    <w:rPr>
      <w:rFonts w:ascii="宋体" w:eastAsia="宋体"/>
      <w:snapToGrid w:val="0"/>
      <w:color w:val="000000"/>
      <w:kern w:val="28"/>
      <w:sz w:val="28"/>
      <w:lang w:val="en-US" w:eastAsia="zh-CN" w:bidi="ar-SA"/>
    </w:rPr>
  </w:style>
  <w:style w:type="character" w:customStyle="1" w:styleId="304">
    <w:name w:val="HTML 预设格式 字符"/>
    <w:link w:val="57"/>
    <w:qFormat/>
    <w:uiPriority w:val="0"/>
    <w:rPr>
      <w:rFonts w:ascii="黑体" w:hAnsi="Courier New" w:eastAsia="黑体"/>
    </w:rPr>
  </w:style>
  <w:style w:type="character" w:customStyle="1" w:styleId="305">
    <w:name w:val="正文文本 2 字符1"/>
    <w:link w:val="56"/>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6"/>
    <w:link w:val="4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字符"/>
    <w:link w:val="9"/>
    <w:qFormat/>
    <w:uiPriority w:val="0"/>
    <w:rPr>
      <w:b/>
      <w:bCs/>
      <w:kern w:val="2"/>
      <w:sz w:val="24"/>
      <w:szCs w:val="24"/>
    </w:rPr>
  </w:style>
  <w:style w:type="character" w:customStyle="1" w:styleId="311">
    <w:name w:val="正文文本缩进 2 字符"/>
    <w:link w:val="37"/>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字符"/>
    <w:link w:val="50"/>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1"/>
    <w:link w:val="322"/>
    <w:qFormat/>
    <w:uiPriority w:val="0"/>
    <w:pPr>
      <w:adjustRightInd/>
    </w:pPr>
    <w:rPr>
      <w:rFonts w:ascii="宋体" w:hAnsi="Courier New"/>
      <w:kern w:val="0"/>
      <w:sz w:val="20"/>
      <w:szCs w:val="20"/>
    </w:rPr>
  </w:style>
  <w:style w:type="character" w:customStyle="1" w:styleId="324">
    <w:name w:val="正文文本首行缩进 字符"/>
    <w:link w:val="61"/>
    <w:qFormat/>
    <w:uiPriority w:val="0"/>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字符1"/>
    <w:link w:val="6"/>
    <w:qFormat/>
    <w:uiPriority w:val="9"/>
    <w:rPr>
      <w:rFonts w:ascii="Arial" w:hAnsi="Arial" w:eastAsia="黑体"/>
      <w:b/>
      <w:bCs/>
      <w:kern w:val="2"/>
      <w:sz w:val="28"/>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字符"/>
    <w:link w:val="21"/>
    <w:qFormat/>
    <w:uiPriority w:val="0"/>
    <w:rPr>
      <w:kern w:val="2"/>
      <w:sz w:val="21"/>
    </w:rPr>
  </w:style>
  <w:style w:type="character" w:customStyle="1" w:styleId="334">
    <w:name w:val="font31"/>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spacing w:line="360" w:lineRule="auto"/>
    </w:pPr>
    <w:rPr>
      <w:kern w:val="0"/>
      <w:sz w:val="24"/>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sz w:val="24"/>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字符1"/>
    <w:link w:val="19"/>
    <w:qFormat/>
    <w:uiPriority w:val="99"/>
    <w:rPr>
      <w:kern w:val="2"/>
      <w:sz w:val="21"/>
      <w:szCs w:val="24"/>
    </w:rPr>
  </w:style>
  <w:style w:type="character" w:customStyle="1" w:styleId="348">
    <w:name w:val="签名 字符"/>
    <w:link w:val="42"/>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标题 4 字符"/>
    <w:qFormat/>
    <w:uiPriority w:val="9"/>
    <w:rPr>
      <w:rFonts w:ascii="等线 Light" w:hAnsi="等线 Light" w:eastAsia="等线 Light" w:cs="Times New Roman"/>
      <w:b/>
      <w:bCs/>
      <w:snapToGrid w:val="0"/>
      <w:kern w:val="0"/>
      <w:sz w:val="28"/>
      <w:szCs w:val="28"/>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semiHidden/>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字符"/>
    <w:link w:val="10"/>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0"/>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字符"/>
    <w:link w:val="53"/>
    <w:qFormat/>
    <w:uiPriority w:val="0"/>
    <w:rPr>
      <w:kern w:val="2"/>
      <w:sz w:val="24"/>
    </w:rPr>
  </w:style>
  <w:style w:type="character" w:customStyle="1" w:styleId="379">
    <w:name w:val="日期 Char1"/>
    <w:semiHidden/>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字符2"/>
    <w:link w:val="40"/>
    <w:qFormat/>
    <w:locked/>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字符2"/>
    <w:link w:val="41"/>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napToGrid w:val="0"/>
      <w:spacing w:after="156" w:afterLines="50"/>
      <w:ind w:firstLine="200" w:firstLineChars="200"/>
    </w:pPr>
    <w:rPr>
      <w:kern w:val="0"/>
      <w:sz w:val="24"/>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标题 1 字符"/>
    <w:qFormat/>
    <w:uiPriority w:val="9"/>
    <w:rPr>
      <w:rFonts w:ascii="Arial" w:hAnsi="Arial" w:eastAsia="黑体" w:cs="Arial"/>
      <w:b/>
      <w:bCs/>
      <w:snapToGrid w:val="0"/>
      <w:kern w:val="44"/>
      <w:sz w:val="44"/>
      <w:szCs w:val="44"/>
    </w:rPr>
  </w:style>
  <w:style w:type="character" w:customStyle="1" w:styleId="424">
    <w:name w:val="style36"/>
    <w:basedOn w:val="69"/>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5"/>
    <w:link w:val="431"/>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4">
    <w:name w:val="gray6"/>
    <w:basedOn w:val="69"/>
    <w:qFormat/>
    <w:uiPriority w:val="0"/>
    <w:rPr>
      <w:rFonts w:ascii="Arial" w:hAnsi="Arial" w:eastAsia="黑体" w:cs="Arial"/>
      <w:snapToGrid w:val="0"/>
      <w:kern w:val="0"/>
      <w:szCs w:val="21"/>
    </w:rPr>
  </w:style>
  <w:style w:type="character" w:customStyle="1" w:styleId="435">
    <w:name w:val="hui"/>
    <w:basedOn w:val="69"/>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6"/>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 w:val="24"/>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qFormat/>
    <w:uiPriority w:val="0"/>
    <w:pPr>
      <w:tabs>
        <w:tab w:val="left" w:pos="2790"/>
        <w:tab w:val="left" w:pos="4230"/>
      </w:tabs>
      <w:spacing w:before="312" w:beforeLines="100"/>
      <w:jc w:val="left"/>
    </w:pPr>
  </w:style>
  <w:style w:type="paragraph" w:customStyle="1" w:styleId="46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qFormat/>
    <w:uiPriority w:val="0"/>
    <w:pPr>
      <w:tabs>
        <w:tab w:val="left" w:pos="840"/>
      </w:tabs>
      <w:ind w:left="840" w:hanging="420"/>
    </w:pPr>
    <w:rPr>
      <w:rFonts w:ascii="Tahoma" w:hAnsi="Tahoma"/>
      <w:sz w:val="24"/>
    </w:rPr>
  </w:style>
  <w:style w:type="paragraph" w:customStyle="1" w:styleId="46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qFormat/>
    <w:uiPriority w:val="0"/>
    <w:pPr>
      <w:adjustRightInd/>
      <w:spacing w:before="156" w:line="360" w:lineRule="auto"/>
      <w:ind w:firstLine="510" w:firstLineChars="200"/>
    </w:pPr>
    <w:rPr>
      <w:sz w:val="24"/>
      <w:szCs w:val="20"/>
    </w:rPr>
  </w:style>
  <w:style w:type="paragraph" w:customStyle="1" w:styleId="469">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qFormat/>
    <w:uiPriority w:val="0"/>
    <w:rPr>
      <w:rFonts w:ascii="仿宋_GB2312" w:eastAsia="仿宋_GB2312"/>
      <w:b/>
      <w:sz w:val="32"/>
      <w:szCs w:val="32"/>
    </w:rPr>
  </w:style>
  <w:style w:type="paragraph" w:customStyle="1" w:styleId="47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qFormat/>
    <w:uiPriority w:val="0"/>
    <w:pPr>
      <w:keepNext/>
      <w:tabs>
        <w:tab w:val="left" w:pos="360"/>
      </w:tabs>
      <w:spacing w:before="0" w:after="0"/>
      <w:outlineLvl w:val="5"/>
    </w:pPr>
  </w:style>
  <w:style w:type="paragraph" w:customStyle="1" w:styleId="477">
    <w:name w:val="5级标题"/>
    <w:basedOn w:val="478"/>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8">
    <w:name w:val="4级标题"/>
    <w:basedOn w:val="26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qFormat/>
    <w:uiPriority w:val="0"/>
    <w:pPr>
      <w:adjustRightInd/>
      <w:ind w:left="420" w:leftChars="200"/>
      <w:jc w:val="left"/>
    </w:pPr>
    <w:rPr>
      <w:sz w:val="28"/>
      <w:szCs w:val="20"/>
      <w:lang w:eastAsia="zh-TW"/>
    </w:rPr>
  </w:style>
  <w:style w:type="paragraph" w:customStyle="1" w:styleId="480">
    <w:name w:val="Char2 Char Char"/>
    <w:basedOn w:val="1"/>
    <w:qFormat/>
    <w:uiPriority w:val="0"/>
    <w:pPr>
      <w:adjustRightInd/>
    </w:pPr>
    <w:rPr>
      <w:rFonts w:ascii="Tahoma" w:hAnsi="Tahoma"/>
      <w:sz w:val="24"/>
      <w:szCs w:val="20"/>
    </w:rPr>
  </w:style>
  <w:style w:type="paragraph" w:customStyle="1" w:styleId="481">
    <w:name w:val="_Style 11"/>
    <w:basedOn w:val="1"/>
    <w:qFormat/>
    <w:uiPriority w:val="34"/>
    <w:pPr>
      <w:adjustRightInd/>
      <w:ind w:firstLine="420" w:firstLineChars="200"/>
    </w:pPr>
    <w:rPr>
      <w:rFonts w:eastAsia="仿宋_GB2312"/>
      <w:sz w:val="28"/>
    </w:rPr>
  </w:style>
  <w:style w:type="paragraph" w:customStyle="1" w:styleId="48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qFormat/>
    <w:uiPriority w:val="0"/>
    <w:rPr>
      <w:rFonts w:ascii="Tahoma" w:hAnsi="Tahoma"/>
      <w:sz w:val="24"/>
      <w:szCs w:val="20"/>
    </w:rPr>
  </w:style>
  <w:style w:type="paragraph" w:customStyle="1" w:styleId="484">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6"/>
    <w:qFormat/>
    <w:uiPriority w:val="99"/>
    <w:rPr>
      <w:szCs w:val="22"/>
    </w:rPr>
  </w:style>
  <w:style w:type="paragraph" w:customStyle="1" w:styleId="48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qFormat/>
    <w:uiPriority w:val="6"/>
    <w:rPr>
      <w:rFonts w:ascii="Tahoma" w:hAnsi="Tahoma" w:cs="仿宋_GB2312"/>
      <w:sz w:val="24"/>
      <w:szCs w:val="20"/>
    </w:rPr>
  </w:style>
  <w:style w:type="paragraph" w:customStyle="1" w:styleId="48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3"/>
    <w:qFormat/>
    <w:uiPriority w:val="0"/>
    <w:pPr>
      <w:tabs>
        <w:tab w:val="left" w:pos="1260"/>
      </w:tabs>
      <w:ind w:left="1260" w:hanging="420"/>
    </w:pPr>
    <w:rPr>
      <w:rFonts w:ascii="Arial" w:hAnsi="Arial" w:eastAsia="黑体"/>
      <w:lang w:val="en-US"/>
    </w:rPr>
  </w:style>
  <w:style w:type="paragraph" w:customStyle="1" w:styleId="493">
    <w:name w:val="五级无标题条"/>
    <w:basedOn w:val="1"/>
    <w:qFormat/>
    <w:uiPriority w:val="0"/>
    <w:pPr>
      <w:adjustRightInd/>
    </w:pPr>
  </w:style>
  <w:style w:type="paragraph" w:customStyle="1" w:styleId="494">
    <w:name w:val="Char5"/>
    <w:basedOn w:val="1"/>
    <w:qFormat/>
    <w:uiPriority w:val="0"/>
    <w:rPr>
      <w:rFonts w:ascii="仿宋_GB2312" w:eastAsia="仿宋_GB2312"/>
      <w:b/>
      <w:sz w:val="32"/>
      <w:szCs w:val="32"/>
    </w:rPr>
  </w:style>
  <w:style w:type="paragraph" w:customStyle="1" w:styleId="495">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qFormat/>
    <w:uiPriority w:val="0"/>
    <w:rPr>
      <w:rFonts w:ascii="仿宋_GB2312" w:eastAsia="仿宋_GB2312"/>
      <w:b/>
      <w:sz w:val="32"/>
      <w:szCs w:val="32"/>
    </w:rPr>
  </w:style>
  <w:style w:type="paragraph" w:customStyle="1" w:styleId="499">
    <w:name w:val="数字标题3"/>
    <w:basedOn w:val="4"/>
    <w:next w:val="1"/>
    <w:qFormat/>
    <w:uiPriority w:val="0"/>
    <w:pPr>
      <w:spacing w:line="240" w:lineRule="auto"/>
    </w:pPr>
    <w:rPr>
      <w:sz w:val="28"/>
      <w:szCs w:val="28"/>
    </w:rPr>
  </w:style>
  <w:style w:type="paragraph" w:customStyle="1" w:styleId="500">
    <w:name w:val="FA正文"/>
    <w:basedOn w:val="1"/>
    <w:qFormat/>
    <w:uiPriority w:val="0"/>
    <w:pPr>
      <w:spacing w:line="360" w:lineRule="auto"/>
      <w:ind w:firstLine="480" w:firstLineChars="200"/>
    </w:pPr>
    <w:rPr>
      <w:rFonts w:hAnsi="宋体"/>
      <w:sz w:val="24"/>
      <w:szCs w:val="20"/>
    </w:rPr>
  </w:style>
  <w:style w:type="paragraph" w:customStyle="1" w:styleId="501">
    <w:name w:val="MM Topic 5"/>
    <w:basedOn w:val="7"/>
    <w:qFormat/>
    <w:uiPriority w:val="0"/>
    <w:pPr>
      <w:tabs>
        <w:tab w:val="left" w:pos="2520"/>
      </w:tabs>
      <w:adjustRightInd/>
      <w:ind w:left="2520" w:hanging="420"/>
    </w:pPr>
  </w:style>
  <w:style w:type="paragraph" w:customStyle="1" w:styleId="502">
    <w:name w:val="Char Char Char Char Char Char Char Char Char Char1"/>
    <w:basedOn w:val="1"/>
    <w:qFormat/>
    <w:uiPriority w:val="0"/>
    <w:rPr>
      <w:rFonts w:ascii="仿宋_GB2312" w:eastAsia="仿宋_GB2312"/>
      <w:b/>
      <w:sz w:val="32"/>
      <w:szCs w:val="32"/>
    </w:rPr>
  </w:style>
  <w:style w:type="paragraph" w:customStyle="1" w:styleId="50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qFormat/>
    <w:uiPriority w:val="0"/>
    <w:rPr>
      <w:rFonts w:ascii="仿宋_GB2312" w:eastAsia="仿宋_GB2312"/>
      <w:b/>
      <w:sz w:val="32"/>
      <w:szCs w:val="32"/>
    </w:rPr>
  </w:style>
  <w:style w:type="paragraph" w:customStyle="1" w:styleId="506">
    <w:name w:val="Char2 Char Char Char1"/>
    <w:basedOn w:val="1"/>
    <w:qFormat/>
    <w:uiPriority w:val="6"/>
    <w:rPr>
      <w:rFonts w:ascii="仿宋_GB2312" w:eastAsia="仿宋_GB2312"/>
      <w:b/>
      <w:sz w:val="32"/>
      <w:szCs w:val="32"/>
    </w:rPr>
  </w:style>
  <w:style w:type="paragraph" w:customStyle="1" w:styleId="507">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qFormat/>
    <w:uiPriority w:val="0"/>
    <w:pPr>
      <w:snapToGrid w:val="0"/>
      <w:spacing w:line="0" w:lineRule="atLeast"/>
      <w:ind w:firstLine="200" w:firstLineChars="200"/>
      <w:jc w:val="center"/>
    </w:pPr>
    <w:rPr>
      <w:sz w:val="24"/>
      <w:szCs w:val="20"/>
    </w:rPr>
  </w:style>
  <w:style w:type="paragraph" w:customStyle="1" w:styleId="5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4"/>
    <w:qFormat/>
    <w:uiPriority w:val="0"/>
    <w:pPr>
      <w:tabs>
        <w:tab w:val="left" w:pos="1680"/>
      </w:tabs>
      <w:adjustRightInd/>
      <w:ind w:left="1680" w:hanging="420"/>
    </w:pPr>
  </w:style>
  <w:style w:type="paragraph" w:customStyle="1" w:styleId="511">
    <w:name w:val="标准小四"/>
    <w:basedOn w:val="1"/>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qFormat/>
    <w:uiPriority w:val="0"/>
    <w:pPr>
      <w:adjustRightInd/>
      <w:snapToGrid w:val="0"/>
      <w:spacing w:line="300" w:lineRule="auto"/>
    </w:pPr>
    <w:rPr>
      <w:rFonts w:eastAsia="仿宋"/>
      <w:szCs w:val="21"/>
    </w:rPr>
  </w:style>
  <w:style w:type="paragraph" w:customStyle="1" w:styleId="5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qFormat/>
    <w:uiPriority w:val="6"/>
    <w:pPr>
      <w:adjustRightInd/>
    </w:pPr>
    <w:rPr>
      <w:rFonts w:ascii="Tahoma" w:hAnsi="Tahoma"/>
      <w:sz w:val="24"/>
      <w:szCs w:val="20"/>
    </w:rPr>
  </w:style>
  <w:style w:type="paragraph" w:customStyle="1" w:styleId="516">
    <w:name w:val="列出段落5"/>
    <w:basedOn w:val="1"/>
    <w:qFormat/>
    <w:uiPriority w:val="0"/>
    <w:pPr>
      <w:spacing w:line="360" w:lineRule="auto"/>
      <w:ind w:firstLine="200" w:firstLineChars="200"/>
    </w:pPr>
    <w:rPr>
      <w:rFonts w:eastAsia="楷体_GB2312" w:cs="Lucida Sans"/>
      <w:sz w:val="24"/>
    </w:rPr>
  </w:style>
  <w:style w:type="paragraph" w:customStyle="1" w:styleId="51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qFormat/>
    <w:uiPriority w:val="0"/>
    <w:pPr>
      <w:adjustRightInd/>
      <w:ind w:firstLine="420" w:firstLineChars="200"/>
    </w:pPr>
    <w:rPr>
      <w:rFonts w:eastAsia="仿宋_GB2312"/>
      <w:sz w:val="28"/>
    </w:rPr>
  </w:style>
  <w:style w:type="paragraph" w:customStyle="1" w:styleId="52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qFormat/>
    <w:uiPriority w:val="0"/>
    <w:pPr>
      <w:adjustRightInd/>
      <w:ind w:firstLine="200" w:firstLineChars="200"/>
      <w:jc w:val="right"/>
    </w:pPr>
  </w:style>
  <w:style w:type="paragraph" w:customStyle="1" w:styleId="528">
    <w:name w:val="Char Char11 Char Char Char Char Char Char Char Char Char"/>
    <w:basedOn w:val="1"/>
    <w:qFormat/>
    <w:uiPriority w:val="0"/>
    <w:pPr>
      <w:spacing w:line="360" w:lineRule="auto"/>
    </w:pPr>
    <w:rPr>
      <w:szCs w:val="20"/>
    </w:rPr>
  </w:style>
  <w:style w:type="paragraph" w:customStyle="1" w:styleId="529">
    <w:name w:val="正文1.25"/>
    <w:basedOn w:val="1"/>
    <w:qFormat/>
    <w:uiPriority w:val="0"/>
    <w:pPr>
      <w:adjustRightInd/>
      <w:spacing w:line="300" w:lineRule="auto"/>
      <w:ind w:firstLine="480" w:firstLineChars="200"/>
    </w:pPr>
    <w:rPr>
      <w:sz w:val="24"/>
      <w:szCs w:val="20"/>
    </w:rPr>
  </w:style>
  <w:style w:type="paragraph" w:customStyle="1" w:styleId="53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qFormat/>
    <w:uiPriority w:val="6"/>
    <w:rPr>
      <w:rFonts w:ascii="仿宋_GB2312" w:eastAsia="仿宋_GB2312"/>
      <w:b/>
      <w:sz w:val="32"/>
      <w:szCs w:val="20"/>
    </w:rPr>
  </w:style>
  <w:style w:type="paragraph" w:customStyle="1" w:styleId="534">
    <w:name w:val="列出段落2"/>
    <w:basedOn w:val="1"/>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qFormat/>
    <w:uiPriority w:val="0"/>
    <w:rPr>
      <w:rFonts w:eastAsia="仿宋_GB2312"/>
      <w:sz w:val="28"/>
      <w:szCs w:val="20"/>
    </w:rPr>
  </w:style>
  <w:style w:type="paragraph" w:customStyle="1" w:styleId="53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6"/>
    <w:qFormat/>
    <w:uiPriority w:val="0"/>
    <w:pPr>
      <w:widowControl/>
      <w:jc w:val="left"/>
    </w:pPr>
    <w:rPr>
      <w:rFonts w:cs="宋体"/>
      <w:sz w:val="24"/>
      <w:szCs w:val="20"/>
    </w:rPr>
  </w:style>
  <w:style w:type="paragraph" w:customStyle="1" w:styleId="538">
    <w:name w:val="彩色列表 - 强调文字颜色 11"/>
    <w:basedOn w:val="1"/>
    <w:qFormat/>
    <w:uiPriority w:val="0"/>
    <w:pPr>
      <w:adjustRightInd/>
      <w:ind w:firstLine="420" w:firstLineChars="200"/>
    </w:pPr>
    <w:rPr>
      <w:rFonts w:ascii="Calibri" w:hAnsi="Calibri"/>
      <w:szCs w:val="22"/>
    </w:rPr>
  </w:style>
  <w:style w:type="paragraph" w:customStyle="1" w:styleId="53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qFormat/>
    <w:uiPriority w:val="6"/>
    <w:rPr>
      <w:szCs w:val="20"/>
    </w:rPr>
  </w:style>
  <w:style w:type="paragraph" w:customStyle="1" w:styleId="54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237"/>
    <w:next w:val="237"/>
    <w:qFormat/>
    <w:uiPriority w:val="0"/>
    <w:pPr>
      <w:spacing w:after="68"/>
    </w:pPr>
    <w:rPr>
      <w:rFonts w:ascii="FHLHE E+ Futura Bk" w:eastAsia="FHLHE E+ Futura Bk" w:cs="Times New Roman"/>
      <w:color w:val="auto"/>
    </w:rPr>
  </w:style>
  <w:style w:type="paragraph" w:customStyle="1" w:styleId="54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237"/>
    <w:next w:val="237"/>
    <w:qFormat/>
    <w:uiPriority w:val="0"/>
    <w:rPr>
      <w:rFonts w:ascii="宋体" w:eastAsia="宋体" w:cs="Times New Roman"/>
      <w:color w:val="auto"/>
    </w:rPr>
  </w:style>
  <w:style w:type="paragraph" w:customStyle="1" w:styleId="55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qFormat/>
    <w:uiPriority w:val="0"/>
    <w:rPr>
      <w:rFonts w:ascii="仿宋_GB2312" w:eastAsia="仿宋_GB2312"/>
      <w:b/>
      <w:sz w:val="32"/>
      <w:szCs w:val="32"/>
    </w:rPr>
  </w:style>
  <w:style w:type="paragraph" w:customStyle="1" w:styleId="55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qFormat/>
    <w:uiPriority w:val="0"/>
    <w:pPr>
      <w:spacing w:line="360" w:lineRule="auto"/>
    </w:pPr>
    <w:rPr>
      <w:szCs w:val="20"/>
    </w:rPr>
  </w:style>
  <w:style w:type="paragraph" w:customStyle="1" w:styleId="558">
    <w:name w:val="Char"/>
    <w:basedOn w:val="1"/>
    <w:qFormat/>
    <w:uiPriority w:val="0"/>
    <w:rPr>
      <w:rFonts w:ascii="仿宋_GB2312" w:eastAsia="仿宋_GB2312"/>
      <w:b/>
      <w:sz w:val="32"/>
      <w:szCs w:val="32"/>
    </w:rPr>
  </w:style>
  <w:style w:type="paragraph" w:customStyle="1" w:styleId="5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qFormat/>
    <w:uiPriority w:val="0"/>
    <w:rPr>
      <w:szCs w:val="20"/>
    </w:rPr>
  </w:style>
  <w:style w:type="paragraph" w:customStyle="1" w:styleId="562">
    <w:name w:val="正文标准"/>
    <w:basedOn w:val="1"/>
    <w:qFormat/>
    <w:uiPriority w:val="0"/>
    <w:pPr>
      <w:adjustRightInd/>
      <w:spacing w:line="360" w:lineRule="auto"/>
      <w:ind w:firstLine="200" w:firstLineChars="200"/>
    </w:pPr>
    <w:rPr>
      <w:rFonts w:ascii="宋体" w:hAnsi="Calibri"/>
      <w:sz w:val="24"/>
    </w:rPr>
  </w:style>
  <w:style w:type="paragraph" w:customStyle="1" w:styleId="56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7">
    <w:name w:val="_正文段落"/>
    <w:basedOn w:val="1"/>
    <w:qFormat/>
    <w:uiPriority w:val="0"/>
    <w:pPr>
      <w:adjustRightInd/>
      <w:ind w:firstLine="560"/>
    </w:pPr>
    <w:rPr>
      <w:rFonts w:ascii="仿宋_GB2312" w:hAnsi="仿宋" w:eastAsia="仿宋_GB2312"/>
      <w:kern w:val="0"/>
      <w:sz w:val="28"/>
      <w:szCs w:val="28"/>
    </w:rPr>
  </w:style>
  <w:style w:type="paragraph" w:customStyle="1" w:styleId="57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qFormat/>
    <w:uiPriority w:val="0"/>
    <w:rPr>
      <w:szCs w:val="20"/>
    </w:rPr>
  </w:style>
  <w:style w:type="paragraph" w:customStyle="1" w:styleId="58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qFormat/>
    <w:uiPriority w:val="0"/>
    <w:rPr>
      <w:rFonts w:ascii="Tahoma" w:hAnsi="Tahoma"/>
      <w:sz w:val="24"/>
      <w:szCs w:val="20"/>
    </w:rPr>
  </w:style>
  <w:style w:type="paragraph" w:customStyle="1" w:styleId="587">
    <w:name w:val="标题五"/>
    <w:basedOn w:val="1"/>
    <w:qFormat/>
    <w:uiPriority w:val="0"/>
    <w:pPr>
      <w:adjustRightInd/>
      <w:spacing w:before="156" w:beforeLines="50" w:line="360" w:lineRule="auto"/>
    </w:pPr>
    <w:rPr>
      <w:b/>
      <w:sz w:val="24"/>
    </w:rPr>
  </w:style>
  <w:style w:type="paragraph" w:customStyle="1" w:styleId="588">
    <w:name w:val="Char Char1101"/>
    <w:basedOn w:val="1"/>
    <w:qFormat/>
    <w:uiPriority w:val="0"/>
    <w:pPr>
      <w:spacing w:line="360" w:lineRule="auto"/>
    </w:pPr>
    <w:rPr>
      <w:rFonts w:ascii="Tahoma" w:hAnsi="Tahoma"/>
      <w:sz w:val="24"/>
      <w:szCs w:val="20"/>
    </w:rPr>
  </w:style>
  <w:style w:type="paragraph" w:customStyle="1" w:styleId="589">
    <w:name w:val="Char Char Char Char Char Char Char Char1"/>
    <w:basedOn w:val="1"/>
    <w:qFormat/>
    <w:uiPriority w:val="0"/>
    <w:pPr>
      <w:tabs>
        <w:tab w:val="left" w:pos="360"/>
      </w:tabs>
    </w:pPr>
    <w:rPr>
      <w:sz w:val="24"/>
      <w:szCs w:val="20"/>
    </w:rPr>
  </w:style>
  <w:style w:type="paragraph" w:customStyle="1" w:styleId="590">
    <w:name w:val="Char Char Char 字元 字元"/>
    <w:basedOn w:val="1"/>
    <w:qFormat/>
    <w:uiPriority w:val="0"/>
    <w:pPr>
      <w:adjustRightInd/>
      <w:spacing w:line="360" w:lineRule="auto"/>
      <w:ind w:firstLine="200" w:firstLineChars="200"/>
    </w:pPr>
    <w:rPr>
      <w:szCs w:val="20"/>
    </w:rPr>
  </w:style>
  <w:style w:type="paragraph" w:customStyle="1" w:styleId="59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qFormat/>
    <w:uiPriority w:val="0"/>
    <w:rPr>
      <w:rFonts w:ascii="仿宋_GB2312" w:eastAsia="仿宋_GB2312"/>
      <w:b/>
      <w:sz w:val="32"/>
      <w:szCs w:val="32"/>
    </w:rPr>
  </w:style>
  <w:style w:type="paragraph" w:customStyle="1" w:styleId="59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qFormat/>
    <w:uiPriority w:val="0"/>
    <w:pPr>
      <w:adjustRightInd/>
    </w:pPr>
    <w:rPr>
      <w:sz w:val="18"/>
      <w:szCs w:val="20"/>
    </w:rPr>
  </w:style>
  <w:style w:type="paragraph" w:customStyle="1" w:styleId="59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qFormat/>
    <w:uiPriority w:val="99"/>
    <w:pPr>
      <w:adjustRightInd/>
      <w:spacing w:line="360" w:lineRule="auto"/>
    </w:pPr>
    <w:rPr>
      <w:rFonts w:ascii="仿宋_GB2312" w:eastAsia="仿宋_GB2312"/>
      <w:sz w:val="24"/>
      <w:szCs w:val="20"/>
    </w:rPr>
  </w:style>
  <w:style w:type="paragraph" w:customStyle="1" w:styleId="60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6"/>
    <w:qFormat/>
    <w:uiPriority w:val="0"/>
    <w:pPr>
      <w:snapToGrid w:val="0"/>
      <w:spacing w:line="360" w:lineRule="auto"/>
    </w:pPr>
    <w:rPr>
      <w:rFonts w:ascii="宋体"/>
      <w:b/>
      <w:sz w:val="24"/>
      <w:szCs w:val="20"/>
    </w:rPr>
  </w:style>
  <w:style w:type="paragraph" w:customStyle="1" w:styleId="608">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9">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qFormat/>
    <w:uiPriority w:val="7"/>
    <w:pPr>
      <w:adjustRightInd/>
    </w:pPr>
    <w:rPr>
      <w:rFonts w:ascii="宋体" w:hAnsi="Courier New"/>
    </w:rPr>
  </w:style>
  <w:style w:type="paragraph" w:customStyle="1" w:styleId="611">
    <w:name w:val="Char3"/>
    <w:basedOn w:val="1"/>
    <w:qFormat/>
    <w:uiPriority w:val="0"/>
    <w:pPr>
      <w:adjustRightInd/>
    </w:pPr>
    <w:rPr>
      <w:rFonts w:ascii="仿宋_GB2312" w:eastAsia="仿宋_GB2312"/>
      <w:b/>
      <w:sz w:val="32"/>
      <w:szCs w:val="32"/>
    </w:rPr>
  </w:style>
  <w:style w:type="paragraph" w:customStyle="1" w:styleId="61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qFormat/>
    <w:uiPriority w:val="0"/>
    <w:pPr>
      <w:widowControl/>
      <w:adjustRightInd/>
      <w:spacing w:after="160" w:line="240" w:lineRule="exact"/>
      <w:jc w:val="left"/>
    </w:pPr>
    <w:rPr>
      <w:szCs w:val="20"/>
    </w:rPr>
  </w:style>
  <w:style w:type="paragraph" w:customStyle="1" w:styleId="620">
    <w:name w:val="表格标题2"/>
    <w:basedOn w:val="621"/>
    <w:qFormat/>
    <w:uiPriority w:val="0"/>
    <w:rPr>
      <w:b/>
    </w:rPr>
  </w:style>
  <w:style w:type="paragraph" w:customStyle="1" w:styleId="621">
    <w:name w:val="表格内文"/>
    <w:basedOn w:val="1"/>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qFormat/>
    <w:uiPriority w:val="0"/>
    <w:rPr>
      <w:rFonts w:ascii="仿宋_GB2312" w:eastAsia="仿宋_GB2312"/>
      <w:b/>
      <w:sz w:val="32"/>
      <w:szCs w:val="32"/>
    </w:rPr>
  </w:style>
  <w:style w:type="paragraph" w:customStyle="1" w:styleId="62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qFormat/>
    <w:uiPriority w:val="0"/>
    <w:pPr>
      <w:spacing w:line="360" w:lineRule="auto"/>
    </w:pPr>
    <w:rPr>
      <w:szCs w:val="20"/>
    </w:rPr>
  </w:style>
  <w:style w:type="paragraph" w:customStyle="1" w:styleId="62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8">
    <w:name w:val="MM Topic 1"/>
    <w:basedOn w:val="2"/>
    <w:qFormat/>
    <w:uiPriority w:val="0"/>
    <w:pPr>
      <w:tabs>
        <w:tab w:val="left" w:pos="840"/>
      </w:tabs>
      <w:adjustRightInd/>
      <w:ind w:left="840" w:hanging="420"/>
    </w:pPr>
  </w:style>
  <w:style w:type="paragraph" w:customStyle="1" w:styleId="629">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qFormat/>
    <w:uiPriority w:val="0"/>
    <w:pPr>
      <w:spacing w:line="360" w:lineRule="auto"/>
      <w:ind w:firstLine="200" w:firstLineChars="200"/>
    </w:pPr>
    <w:rPr>
      <w:kern w:val="0"/>
      <w:sz w:val="24"/>
      <w:szCs w:val="20"/>
    </w:rPr>
  </w:style>
  <w:style w:type="paragraph" w:customStyle="1" w:styleId="631">
    <w:name w:val="表格"/>
    <w:basedOn w:val="1"/>
    <w:qFormat/>
    <w:uiPriority w:val="0"/>
    <w:pPr>
      <w:snapToGrid w:val="0"/>
      <w:ind w:firstLine="42" w:firstLineChars="21"/>
    </w:pPr>
    <w:rPr>
      <w:rFonts w:ascii="宋体" w:hAnsi="宋体"/>
      <w:kern w:val="0"/>
      <w:sz w:val="20"/>
      <w:szCs w:val="20"/>
    </w:rPr>
  </w:style>
  <w:style w:type="paragraph" w:customStyle="1" w:styleId="632">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qFormat/>
    <w:uiPriority w:val="0"/>
    <w:pPr>
      <w:adjustRightInd/>
      <w:spacing w:line="300" w:lineRule="auto"/>
      <w:jc w:val="center"/>
    </w:pPr>
  </w:style>
  <w:style w:type="paragraph" w:customStyle="1" w:styleId="637">
    <w:name w:val="_Style 6"/>
    <w:basedOn w:val="1"/>
    <w:qFormat/>
    <w:uiPriority w:val="34"/>
    <w:pPr>
      <w:adjustRightInd/>
      <w:ind w:firstLine="420" w:firstLineChars="200"/>
    </w:pPr>
    <w:rPr>
      <w:rFonts w:eastAsia="仿宋_GB2312"/>
      <w:sz w:val="28"/>
    </w:rPr>
  </w:style>
  <w:style w:type="paragraph" w:customStyle="1" w:styleId="63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5">
    <w:name w:val="trademark"/>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qFormat/>
    <w:uiPriority w:val="0"/>
    <w:rPr>
      <w:rFonts w:ascii="仿宋_GB2312" w:eastAsia="仿宋_GB2312"/>
      <w:b/>
      <w:sz w:val="32"/>
      <w:szCs w:val="20"/>
    </w:rPr>
  </w:style>
  <w:style w:type="paragraph" w:customStyle="1" w:styleId="64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qFormat/>
    <w:uiPriority w:val="0"/>
    <w:pPr>
      <w:adjustRightInd/>
      <w:ind w:firstLine="200" w:firstLineChars="200"/>
    </w:pPr>
    <w:rPr>
      <w:rFonts w:ascii="Tahoma" w:hAnsi="Tahoma"/>
      <w:sz w:val="24"/>
      <w:szCs w:val="20"/>
    </w:rPr>
  </w:style>
  <w:style w:type="paragraph" w:customStyle="1" w:styleId="650">
    <w:name w:val="a1"/>
    <w:basedOn w:val="1"/>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qFormat/>
    <w:uiPriority w:val="0"/>
    <w:pPr>
      <w:spacing w:after="156" w:afterLines="50"/>
      <w:jc w:val="left"/>
      <w:outlineLvl w:val="3"/>
    </w:pPr>
    <w:rPr>
      <w:sz w:val="24"/>
      <w:szCs w:val="24"/>
    </w:rPr>
  </w:style>
  <w:style w:type="paragraph" w:customStyle="1" w:styleId="65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qFormat/>
    <w:uiPriority w:val="0"/>
    <w:pPr>
      <w:adjustRightInd/>
    </w:pPr>
    <w:rPr>
      <w:rFonts w:ascii="Tahoma" w:hAnsi="Tahoma"/>
      <w:sz w:val="24"/>
      <w:szCs w:val="20"/>
    </w:rPr>
  </w:style>
  <w:style w:type="paragraph" w:customStyle="1" w:styleId="65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qFormat/>
    <w:uiPriority w:val="0"/>
    <w:pPr>
      <w:tabs>
        <w:tab w:val="left" w:pos="1260"/>
        <w:tab w:val="left" w:pos="1680"/>
        <w:tab w:val="left" w:pos="2100"/>
      </w:tabs>
      <w:ind w:left="0"/>
      <w:outlineLvl w:val="3"/>
    </w:pPr>
  </w:style>
  <w:style w:type="paragraph" w:customStyle="1" w:styleId="660">
    <w:name w:val="一级条标题"/>
    <w:basedOn w:val="661"/>
    <w:next w:val="643"/>
    <w:qFormat/>
    <w:uiPriority w:val="0"/>
    <w:pPr>
      <w:tabs>
        <w:tab w:val="left" w:pos="1260"/>
        <w:tab w:val="left" w:pos="1680"/>
      </w:tabs>
      <w:spacing w:before="0" w:beforeLines="0" w:after="0" w:afterLines="0"/>
      <w:ind w:left="1680"/>
      <w:outlineLvl w:val="2"/>
    </w:pPr>
  </w:style>
  <w:style w:type="paragraph" w:customStyle="1" w:styleId="661">
    <w:name w:val="章标题"/>
    <w:next w:val="64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qFormat/>
    <w:uiPriority w:val="0"/>
    <w:pPr>
      <w:tabs>
        <w:tab w:val="left" w:pos="840"/>
      </w:tabs>
      <w:spacing w:after="0"/>
      <w:ind w:left="900"/>
    </w:pPr>
  </w:style>
  <w:style w:type="paragraph" w:customStyle="1" w:styleId="66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qFormat/>
    <w:uiPriority w:val="6"/>
    <w:pPr>
      <w:widowControl/>
      <w:adjustRightInd/>
      <w:ind w:left="720" w:hanging="720"/>
    </w:pPr>
    <w:rPr>
      <w:color w:val="000000"/>
      <w:kern w:val="0"/>
      <w:sz w:val="24"/>
      <w:szCs w:val="20"/>
      <w:lang w:val="en-GB"/>
    </w:rPr>
  </w:style>
  <w:style w:type="paragraph" w:customStyle="1" w:styleId="671">
    <w:name w:val="表1"/>
    <w:basedOn w:val="1"/>
    <w:qFormat/>
    <w:uiPriority w:val="0"/>
    <w:pPr>
      <w:tabs>
        <w:tab w:val="left" w:pos="703"/>
      </w:tabs>
      <w:adjustRightInd/>
      <w:spacing w:line="360" w:lineRule="auto"/>
      <w:ind w:left="703"/>
      <w:jc w:val="center"/>
    </w:pPr>
  </w:style>
  <w:style w:type="paragraph" w:customStyle="1" w:styleId="67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5">
    <w:name w:val="2级标题"/>
    <w:basedOn w:val="676"/>
    <w:qFormat/>
    <w:uiPriority w:val="0"/>
    <w:pPr>
      <w:jc w:val="left"/>
      <w:outlineLvl w:val="1"/>
    </w:pPr>
    <w:rPr>
      <w:rFonts w:ascii="Times New Roman" w:hAnsi="Times New Roman" w:eastAsia="仿宋"/>
      <w:sz w:val="30"/>
    </w:rPr>
  </w:style>
  <w:style w:type="paragraph" w:customStyle="1" w:styleId="676">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qFormat/>
    <w:uiPriority w:val="0"/>
    <w:pPr>
      <w:tabs>
        <w:tab w:val="left" w:pos="840"/>
      </w:tabs>
      <w:adjustRightInd/>
      <w:ind w:left="840" w:hanging="420"/>
    </w:pPr>
  </w:style>
  <w:style w:type="paragraph" w:customStyle="1" w:styleId="68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6"/>
    <w:qFormat/>
    <w:uiPriority w:val="0"/>
    <w:pPr>
      <w:tabs>
        <w:tab w:val="left" w:pos="2100"/>
      </w:tabs>
      <w:adjustRightInd/>
      <w:ind w:left="2100" w:hanging="420"/>
    </w:pPr>
    <w:rPr>
      <w:lang w:val="en-US"/>
    </w:rPr>
  </w:style>
  <w:style w:type="paragraph" w:customStyle="1" w:styleId="69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qFormat/>
    <w:uiPriority w:val="6"/>
    <w:pPr>
      <w:spacing w:line="360" w:lineRule="auto"/>
    </w:pPr>
    <w:rPr>
      <w:szCs w:val="20"/>
    </w:rPr>
  </w:style>
  <w:style w:type="paragraph" w:customStyle="1" w:styleId="69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qFormat/>
    <w:uiPriority w:val="0"/>
    <w:pPr>
      <w:adjustRightInd/>
      <w:spacing w:line="360" w:lineRule="auto"/>
      <w:jc w:val="center"/>
    </w:pPr>
    <w:rPr>
      <w:sz w:val="24"/>
    </w:rPr>
  </w:style>
  <w:style w:type="paragraph" w:customStyle="1" w:styleId="70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qFormat/>
    <w:uiPriority w:val="6"/>
    <w:rPr>
      <w:rFonts w:ascii="仿宋_GB2312" w:eastAsia="仿宋_GB2312"/>
      <w:b/>
      <w:sz w:val="32"/>
      <w:szCs w:val="32"/>
    </w:rPr>
  </w:style>
  <w:style w:type="paragraph" w:customStyle="1" w:styleId="705">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qFormat/>
    <w:uiPriority w:val="0"/>
    <w:pPr>
      <w:widowControl/>
      <w:adjustRightInd/>
      <w:spacing w:after="160" w:line="240" w:lineRule="exact"/>
      <w:jc w:val="left"/>
    </w:pPr>
    <w:rPr>
      <w:szCs w:val="20"/>
    </w:rPr>
  </w:style>
  <w:style w:type="paragraph" w:customStyle="1" w:styleId="708">
    <w:name w:val="Char Char1121"/>
    <w:basedOn w:val="1"/>
    <w:qFormat/>
    <w:uiPriority w:val="0"/>
    <w:pPr>
      <w:spacing w:line="360" w:lineRule="auto"/>
    </w:pPr>
    <w:rPr>
      <w:szCs w:val="20"/>
    </w:rPr>
  </w:style>
  <w:style w:type="paragraph" w:customStyle="1" w:styleId="70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qFormat/>
    <w:uiPriority w:val="0"/>
    <w:rPr>
      <w:rFonts w:ascii="Times New Roman" w:hAnsi="Times New Roman" w:eastAsia="宋体" w:cs="Times New Roman"/>
      <w:lang w:val="en-US" w:eastAsia="en-US" w:bidi="ar-SA"/>
    </w:rPr>
  </w:style>
  <w:style w:type="paragraph" w:customStyle="1" w:styleId="712">
    <w:name w:val="带编号样式"/>
    <w:basedOn w:val="630"/>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qFormat/>
    <w:uiPriority w:val="0"/>
    <w:pPr>
      <w:spacing w:line="360" w:lineRule="atLeast"/>
      <w:jc w:val="right"/>
      <w:textAlignment w:val="baseline"/>
    </w:pPr>
    <w:rPr>
      <w:rFonts w:ascii="Symbol" w:hAnsi="Symbol"/>
      <w:kern w:val="0"/>
      <w:szCs w:val="20"/>
    </w:rPr>
  </w:style>
  <w:style w:type="paragraph" w:customStyle="1" w:styleId="71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qFormat/>
    <w:uiPriority w:val="0"/>
    <w:pPr>
      <w:spacing w:line="240" w:lineRule="atLeast"/>
      <w:ind w:left="420" w:firstLine="420"/>
    </w:pPr>
    <w:rPr>
      <w:sz w:val="24"/>
    </w:rPr>
  </w:style>
  <w:style w:type="paragraph" w:customStyle="1" w:styleId="719">
    <w:name w:val="WW-正文文字缩进 2"/>
    <w:basedOn w:val="1"/>
    <w:qFormat/>
    <w:uiPriority w:val="0"/>
    <w:pPr>
      <w:suppressAutoHyphens/>
      <w:adjustRightInd/>
      <w:ind w:firstLine="420"/>
    </w:pPr>
    <w:rPr>
      <w:kern w:val="1"/>
      <w:szCs w:val="20"/>
    </w:rPr>
  </w:style>
  <w:style w:type="paragraph" w:customStyle="1" w:styleId="72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2">
    <w:name w:val="有符号正文"/>
    <w:basedOn w:val="1"/>
    <w:qFormat/>
    <w:uiPriority w:val="0"/>
    <w:pPr>
      <w:adjustRightInd/>
      <w:spacing w:line="400" w:lineRule="exact"/>
      <w:ind w:firstLine="200" w:firstLineChars="200"/>
    </w:pPr>
    <w:rPr>
      <w:rFonts w:ascii="Arial" w:hAnsi="Arial"/>
    </w:rPr>
  </w:style>
  <w:style w:type="paragraph" w:customStyle="1" w:styleId="72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5">
    <w:name w:val="4"/>
    <w:basedOn w:val="1"/>
    <w:next w:val="37"/>
    <w:qFormat/>
    <w:uiPriority w:val="0"/>
    <w:pPr>
      <w:spacing w:after="120" w:line="480" w:lineRule="auto"/>
      <w:ind w:left="420" w:leftChars="200"/>
    </w:pPr>
    <w:rPr>
      <w:sz w:val="24"/>
      <w:szCs w:val="20"/>
    </w:rPr>
  </w:style>
  <w:style w:type="paragraph" w:customStyle="1" w:styleId="72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4"/>
    <w:qFormat/>
    <w:uiPriority w:val="0"/>
    <w:pPr>
      <w:keepLines w:val="0"/>
      <w:spacing w:before="0" w:after="0" w:line="240" w:lineRule="auto"/>
      <w:jc w:val="left"/>
    </w:pPr>
    <w:rPr>
      <w:rFonts w:cs="宋体"/>
      <w:sz w:val="21"/>
      <w:szCs w:val="20"/>
    </w:rPr>
  </w:style>
  <w:style w:type="paragraph" w:customStyle="1" w:styleId="72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qFormat/>
    <w:uiPriority w:val="0"/>
    <w:rPr>
      <w:rFonts w:ascii="仿宋_GB2312" w:eastAsia="仿宋_GB2312"/>
      <w:b/>
      <w:sz w:val="32"/>
      <w:szCs w:val="20"/>
    </w:rPr>
  </w:style>
  <w:style w:type="paragraph" w:customStyle="1" w:styleId="735">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qFormat/>
    <w:uiPriority w:val="0"/>
    <w:rPr>
      <w:rFonts w:ascii="仿宋_GB2312" w:eastAsia="仿宋_GB2312"/>
      <w:b/>
      <w:sz w:val="32"/>
      <w:szCs w:val="32"/>
    </w:rPr>
  </w:style>
  <w:style w:type="paragraph" w:customStyle="1" w:styleId="739">
    <w:name w:val="Char3 Char Char Char1"/>
    <w:basedOn w:val="1"/>
    <w:qFormat/>
    <w:uiPriority w:val="6"/>
    <w:pPr>
      <w:widowControl/>
      <w:adjustRightInd/>
      <w:spacing w:after="160" w:line="240" w:lineRule="exact"/>
      <w:jc w:val="left"/>
    </w:pPr>
    <w:rPr>
      <w:szCs w:val="20"/>
    </w:rPr>
  </w:style>
  <w:style w:type="paragraph" w:customStyle="1" w:styleId="740">
    <w:name w:val="Char1 Char Char Char21"/>
    <w:basedOn w:val="1"/>
    <w:qFormat/>
    <w:uiPriority w:val="0"/>
    <w:rPr>
      <w:rFonts w:ascii="Tahoma" w:hAnsi="Tahoma"/>
      <w:sz w:val="24"/>
      <w:szCs w:val="20"/>
    </w:rPr>
  </w:style>
  <w:style w:type="paragraph" w:customStyle="1" w:styleId="74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qFormat/>
    <w:uiPriority w:val="0"/>
    <w:pPr>
      <w:spacing w:line="360" w:lineRule="auto"/>
      <w:ind w:firstLine="200" w:firstLineChars="200"/>
    </w:pPr>
    <w:rPr>
      <w:sz w:val="24"/>
    </w:rPr>
  </w:style>
  <w:style w:type="paragraph" w:customStyle="1" w:styleId="74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qFormat/>
    <w:uiPriority w:val="0"/>
    <w:pPr>
      <w:adjustRightInd/>
      <w:ind w:firstLine="200" w:firstLineChars="200"/>
    </w:pPr>
    <w:rPr>
      <w:rFonts w:ascii="Tahoma" w:hAnsi="Tahoma"/>
      <w:sz w:val="24"/>
      <w:szCs w:val="20"/>
    </w:rPr>
  </w:style>
  <w:style w:type="paragraph" w:customStyle="1" w:styleId="749">
    <w:name w:val="_标题2"/>
    <w:basedOn w:val="716"/>
    <w:next w:val="716"/>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0">
    <w:name w:val="样式1 + (中宋体"/>
    <w:basedOn w:val="72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qFormat/>
    <w:uiPriority w:val="0"/>
    <w:pPr>
      <w:adjustRightInd/>
      <w:spacing w:line="360" w:lineRule="auto"/>
    </w:pPr>
    <w:rPr>
      <w:rFonts w:ascii="宋体" w:hAnsi="宋体"/>
      <w:szCs w:val="20"/>
    </w:rPr>
  </w:style>
  <w:style w:type="paragraph" w:customStyle="1" w:styleId="75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qFormat/>
    <w:uiPriority w:val="0"/>
    <w:pPr>
      <w:adjustRightInd/>
    </w:pPr>
    <w:rPr>
      <w:rFonts w:ascii="Tahoma" w:hAnsi="Tahoma"/>
      <w:sz w:val="24"/>
    </w:rPr>
  </w:style>
  <w:style w:type="paragraph" w:customStyle="1" w:styleId="757">
    <w:name w:val="Char Char Char Char11"/>
    <w:basedOn w:val="1"/>
    <w:qFormat/>
    <w:uiPriority w:val="0"/>
    <w:rPr>
      <w:rFonts w:ascii="Tahoma" w:hAnsi="Tahoma"/>
      <w:sz w:val="24"/>
      <w:szCs w:val="20"/>
    </w:rPr>
  </w:style>
  <w:style w:type="paragraph" w:customStyle="1" w:styleId="75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qFormat/>
    <w:uiPriority w:val="0"/>
    <w:rPr>
      <w:rFonts w:ascii="Tahoma" w:hAnsi="Tahoma"/>
      <w:sz w:val="24"/>
      <w:szCs w:val="20"/>
    </w:rPr>
  </w:style>
  <w:style w:type="paragraph" w:customStyle="1" w:styleId="76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qFormat/>
    <w:uiPriority w:val="0"/>
    <w:pPr>
      <w:adjustRightInd/>
    </w:pPr>
    <w:rPr>
      <w:szCs w:val="20"/>
    </w:rPr>
  </w:style>
  <w:style w:type="paragraph" w:customStyle="1" w:styleId="76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4">
    <w:name w:val="_Style 5"/>
    <w:basedOn w:val="1"/>
    <w:qFormat/>
    <w:uiPriority w:val="34"/>
    <w:pPr>
      <w:adjustRightInd/>
      <w:ind w:firstLine="420" w:firstLineChars="200"/>
    </w:pPr>
    <w:rPr>
      <w:rFonts w:eastAsia="仿宋_GB2312"/>
      <w:sz w:val="28"/>
    </w:rPr>
  </w:style>
  <w:style w:type="paragraph" w:customStyle="1" w:styleId="76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3">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qFormat/>
    <w:uiPriority w:val="0"/>
    <w:rPr>
      <w:rFonts w:ascii="宋体" w:hAnsi="Times New Roman" w:eastAsia="宋体" w:cs="Times New Roman"/>
      <w:kern w:val="2"/>
      <w:lang w:val="en-US" w:eastAsia="zh-CN" w:bidi="ar-SA"/>
    </w:rPr>
  </w:style>
  <w:style w:type="paragraph" w:customStyle="1" w:styleId="775">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qFormat/>
    <w:uiPriority w:val="0"/>
    <w:pPr>
      <w:tabs>
        <w:tab w:val="left" w:pos="360"/>
      </w:tabs>
    </w:pPr>
    <w:rPr>
      <w:sz w:val="24"/>
      <w:szCs w:val="20"/>
    </w:rPr>
  </w:style>
  <w:style w:type="paragraph" w:customStyle="1" w:styleId="77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7">
    <w:name w:val="p0"/>
    <w:basedOn w:val="1"/>
    <w:qFormat/>
    <w:uiPriority w:val="0"/>
    <w:pPr>
      <w:widowControl/>
      <w:adjustRightInd/>
    </w:pPr>
    <w:rPr>
      <w:kern w:val="0"/>
      <w:szCs w:val="21"/>
    </w:rPr>
  </w:style>
  <w:style w:type="paragraph" w:customStyle="1" w:styleId="788">
    <w:name w:val="Char6"/>
    <w:basedOn w:val="1"/>
    <w:qFormat/>
    <w:uiPriority w:val="0"/>
    <w:rPr>
      <w:rFonts w:ascii="仿宋_GB2312" w:eastAsia="仿宋_GB2312"/>
      <w:b/>
      <w:sz w:val="32"/>
      <w:szCs w:val="32"/>
    </w:rPr>
  </w:style>
  <w:style w:type="paragraph" w:customStyle="1" w:styleId="789">
    <w:name w:val="Char111"/>
    <w:basedOn w:val="1"/>
    <w:qFormat/>
    <w:uiPriority w:val="0"/>
    <w:rPr>
      <w:rFonts w:ascii="仿宋_GB2312" w:eastAsia="仿宋_GB2312"/>
      <w:b/>
      <w:sz w:val="32"/>
      <w:szCs w:val="32"/>
    </w:rPr>
  </w:style>
  <w:style w:type="paragraph" w:customStyle="1" w:styleId="790">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9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qFormat/>
    <w:uiPriority w:val="0"/>
    <w:pPr>
      <w:adjustRightInd/>
      <w:ind w:firstLine="200" w:firstLineChars="200"/>
    </w:pPr>
    <w:rPr>
      <w:rFonts w:ascii="Tahoma" w:hAnsi="Tahoma"/>
      <w:sz w:val="24"/>
      <w:szCs w:val="20"/>
    </w:rPr>
  </w:style>
  <w:style w:type="paragraph" w:customStyle="1" w:styleId="794">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5">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6">
    <w:name w:val="Char Char Char Char Char Char Char2"/>
    <w:basedOn w:val="1"/>
    <w:qFormat/>
    <w:uiPriority w:val="0"/>
    <w:rPr>
      <w:rFonts w:ascii="仿宋_GB2312" w:eastAsia="仿宋_GB2312"/>
      <w:b/>
      <w:sz w:val="32"/>
      <w:szCs w:val="32"/>
    </w:rPr>
  </w:style>
  <w:style w:type="paragraph" w:customStyle="1" w:styleId="797">
    <w:name w:val="五级条标题"/>
    <w:basedOn w:val="798"/>
    <w:next w:val="643"/>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58"/>
    <w:next w:val="643"/>
    <w:qFormat/>
    <w:uiPriority w:val="0"/>
    <w:pPr>
      <w:tabs>
        <w:tab w:val="left" w:pos="2940"/>
        <w:tab w:val="clear" w:pos="2520"/>
      </w:tabs>
      <w:ind w:left="2940"/>
      <w:outlineLvl w:val="5"/>
    </w:pPr>
  </w:style>
  <w:style w:type="paragraph" w:customStyle="1" w:styleId="79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0">
    <w:name w:val="Char23"/>
    <w:basedOn w:val="1"/>
    <w:qFormat/>
    <w:uiPriority w:val="0"/>
    <w:rPr>
      <w:rFonts w:ascii="仿宋_GB2312" w:eastAsia="仿宋_GB2312"/>
      <w:b/>
      <w:sz w:val="32"/>
      <w:szCs w:val="32"/>
    </w:rPr>
  </w:style>
  <w:style w:type="paragraph" w:customStyle="1" w:styleId="80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3">
    <w:name w:val="首行缩进"/>
    <w:basedOn w:val="1"/>
    <w:qFormat/>
    <w:uiPriority w:val="0"/>
    <w:pPr>
      <w:spacing w:line="360" w:lineRule="auto"/>
      <w:ind w:firstLine="480" w:firstLineChars="200"/>
    </w:pPr>
    <w:rPr>
      <w:rFonts w:ascii="宋体"/>
      <w:sz w:val="24"/>
      <w:szCs w:val="20"/>
    </w:rPr>
  </w:style>
  <w:style w:type="paragraph" w:customStyle="1" w:styleId="80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5">
    <w:name w:val="单元格左对齐"/>
    <w:basedOn w:val="1"/>
    <w:qFormat/>
    <w:uiPriority w:val="0"/>
    <w:pPr>
      <w:adjustRightInd/>
      <w:spacing w:line="360" w:lineRule="auto"/>
    </w:pPr>
    <w:rPr>
      <w:sz w:val="24"/>
    </w:rPr>
  </w:style>
  <w:style w:type="paragraph" w:customStyle="1" w:styleId="806">
    <w:name w:val="正文主体"/>
    <w:basedOn w:val="627"/>
    <w:qFormat/>
    <w:uiPriority w:val="0"/>
  </w:style>
  <w:style w:type="paragraph" w:customStyle="1" w:styleId="80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0">
    <w:name w:val="正文（首行缩进2字符）"/>
    <w:basedOn w:val="1"/>
    <w:qFormat/>
    <w:uiPriority w:val="0"/>
    <w:pPr>
      <w:adjustRightInd/>
      <w:spacing w:line="360" w:lineRule="auto"/>
      <w:ind w:firstLine="480" w:firstLineChars="200"/>
    </w:pPr>
    <w:rPr>
      <w:sz w:val="24"/>
      <w:szCs w:val="20"/>
    </w:rPr>
  </w:style>
  <w:style w:type="paragraph" w:customStyle="1" w:styleId="811">
    <w:name w:val="P1"/>
    <w:basedOn w:val="1"/>
    <w:qFormat/>
    <w:uiPriority w:val="0"/>
    <w:pPr>
      <w:adjustRightInd/>
      <w:spacing w:line="288" w:lineRule="auto"/>
      <w:ind w:firstLine="425" w:firstLineChars="200"/>
    </w:pPr>
  </w:style>
  <w:style w:type="paragraph" w:customStyle="1" w:styleId="812">
    <w:name w:val="列表内容"/>
    <w:basedOn w:val="1"/>
    <w:next w:val="1"/>
    <w:qFormat/>
    <w:uiPriority w:val="0"/>
    <w:pPr>
      <w:widowControl/>
      <w:tabs>
        <w:tab w:val="left" w:pos="840"/>
      </w:tabs>
      <w:ind w:left="840" w:hanging="420"/>
      <w:jc w:val="left"/>
    </w:pPr>
    <w:rPr>
      <w:kern w:val="0"/>
      <w:sz w:val="18"/>
    </w:rPr>
  </w:style>
  <w:style w:type="paragraph" w:customStyle="1" w:styleId="813">
    <w:name w:val="Char Char11 Char Char Char1"/>
    <w:basedOn w:val="1"/>
    <w:qFormat/>
    <w:uiPriority w:val="6"/>
    <w:pPr>
      <w:spacing w:line="360" w:lineRule="auto"/>
    </w:pPr>
    <w:rPr>
      <w:szCs w:val="20"/>
    </w:rPr>
  </w:style>
  <w:style w:type="paragraph" w:customStyle="1" w:styleId="81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5">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8">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9">
    <w:name w:val="默认段落字体 Para Char Char Char Char"/>
    <w:basedOn w:val="1"/>
    <w:qFormat/>
    <w:uiPriority w:val="0"/>
    <w:pPr>
      <w:spacing w:line="360" w:lineRule="auto"/>
    </w:pPr>
    <w:rPr>
      <w:szCs w:val="20"/>
    </w:rPr>
  </w:style>
  <w:style w:type="paragraph" w:customStyle="1" w:styleId="82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qFormat/>
    <w:uiPriority w:val="0"/>
    <w:rPr>
      <w:rFonts w:ascii="仿宋_GB2312" w:eastAsia="仿宋_GB2312"/>
      <w:b/>
      <w:sz w:val="32"/>
      <w:szCs w:val="32"/>
    </w:rPr>
  </w:style>
  <w:style w:type="paragraph" w:customStyle="1" w:styleId="82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5">
    <w:name w:val="正文 首行缩进:  2 字符 Char"/>
    <w:basedOn w:val="1"/>
    <w:qFormat/>
    <w:uiPriority w:val="0"/>
    <w:pPr>
      <w:adjustRightInd/>
      <w:spacing w:line="360" w:lineRule="auto"/>
      <w:ind w:firstLine="480"/>
    </w:pPr>
    <w:rPr>
      <w:rFonts w:cs="宋体"/>
      <w:sz w:val="24"/>
      <w:szCs w:val="20"/>
    </w:rPr>
  </w:style>
  <w:style w:type="paragraph" w:customStyle="1" w:styleId="826">
    <w:name w:val="Char Char4 Char Char"/>
    <w:basedOn w:val="1"/>
    <w:qFormat/>
    <w:uiPriority w:val="0"/>
    <w:pPr>
      <w:widowControl/>
      <w:adjustRightInd/>
      <w:spacing w:after="160" w:line="240" w:lineRule="exact"/>
      <w:jc w:val="left"/>
    </w:pPr>
  </w:style>
  <w:style w:type="paragraph" w:customStyle="1" w:styleId="82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8">
    <w:name w:val="Char Char11 Char Char Char2"/>
    <w:basedOn w:val="1"/>
    <w:qFormat/>
    <w:uiPriority w:val="0"/>
    <w:pPr>
      <w:spacing w:line="360" w:lineRule="auto"/>
    </w:pPr>
    <w:rPr>
      <w:szCs w:val="20"/>
    </w:rPr>
  </w:style>
  <w:style w:type="paragraph" w:customStyle="1" w:styleId="82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1">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5">
    <w:name w:val="Char311"/>
    <w:basedOn w:val="1"/>
    <w:qFormat/>
    <w:uiPriority w:val="0"/>
    <w:pPr>
      <w:adjustRightInd/>
      <w:ind w:firstLine="200" w:firstLineChars="200"/>
    </w:pPr>
    <w:rPr>
      <w:rFonts w:ascii="Tahoma" w:hAnsi="Tahoma"/>
      <w:sz w:val="24"/>
      <w:szCs w:val="20"/>
    </w:rPr>
  </w:style>
  <w:style w:type="paragraph" w:customStyle="1" w:styleId="836">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3"/>
    <w:qFormat/>
    <w:uiPriority w:val="0"/>
    <w:pPr>
      <w:tabs>
        <w:tab w:val="left" w:pos="0"/>
      </w:tabs>
      <w:ind w:left="900" w:firstLine="0" w:firstLineChars="0"/>
    </w:pPr>
  </w:style>
  <w:style w:type="paragraph" w:customStyle="1" w:styleId="839">
    <w:name w:val="Bulleted List"/>
    <w:basedOn w:val="1"/>
    <w:qFormat/>
    <w:uiPriority w:val="0"/>
    <w:pPr>
      <w:tabs>
        <w:tab w:val="left" w:pos="1260"/>
      </w:tabs>
      <w:adjustRightInd/>
      <w:ind w:left="1260" w:hanging="420"/>
    </w:pPr>
  </w:style>
  <w:style w:type="paragraph" w:customStyle="1" w:styleId="840">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41">
    <w:name w:val="样式 左侧:  0.85 厘米"/>
    <w:basedOn w:val="1"/>
    <w:qFormat/>
    <w:uiPriority w:val="2"/>
    <w:pPr>
      <w:adjustRightInd/>
      <w:spacing w:line="360" w:lineRule="auto"/>
    </w:pPr>
    <w:rPr>
      <w:rFonts w:cs="宋体"/>
      <w:sz w:val="24"/>
      <w:szCs w:val="20"/>
    </w:rPr>
  </w:style>
  <w:style w:type="paragraph" w:customStyle="1" w:styleId="842">
    <w:name w:val="Char Char Char Char Char Char Char Char Char Char Char Char1 Char"/>
    <w:basedOn w:val="1"/>
    <w:qFormat/>
    <w:uiPriority w:val="0"/>
    <w:rPr>
      <w:rFonts w:ascii="Tahoma" w:hAnsi="Tahoma" w:cs="仿宋_GB2312"/>
      <w:sz w:val="24"/>
      <w:szCs w:val="20"/>
    </w:rPr>
  </w:style>
  <w:style w:type="paragraph" w:customStyle="1" w:styleId="843">
    <w:name w:val="正文11"/>
    <w:basedOn w:val="32"/>
    <w:qFormat/>
    <w:uiPriority w:val="0"/>
    <w:pPr>
      <w:ind w:left="0" w:leftChars="0" w:firstLine="480" w:firstLineChars="200"/>
    </w:pPr>
    <w:rPr>
      <w:rFonts w:ascii="仿宋_GB2312" w:hAnsi="Courier New" w:eastAsia="仿宋_GB2312"/>
      <w:kern w:val="28"/>
      <w:sz w:val="24"/>
    </w:rPr>
  </w:style>
  <w:style w:type="paragraph" w:customStyle="1" w:styleId="84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qFormat/>
    <w:uiPriority w:val="0"/>
    <w:rPr>
      <w:rFonts w:ascii="仿宋_GB2312" w:eastAsia="仿宋_GB2312"/>
      <w:b/>
      <w:sz w:val="32"/>
      <w:szCs w:val="20"/>
    </w:rPr>
  </w:style>
  <w:style w:type="paragraph" w:customStyle="1" w:styleId="84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qFormat/>
    <w:uiPriority w:val="0"/>
    <w:rPr>
      <w:rFonts w:ascii="仿宋_GB2312" w:eastAsia="仿宋_GB2312"/>
      <w:b/>
      <w:sz w:val="32"/>
      <w:szCs w:val="20"/>
    </w:rPr>
  </w:style>
  <w:style w:type="paragraph" w:customStyle="1" w:styleId="85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qFormat/>
    <w:uiPriority w:val="0"/>
    <w:pPr>
      <w:widowControl/>
      <w:spacing w:after="160" w:line="240" w:lineRule="exact"/>
      <w:jc w:val="left"/>
    </w:pPr>
    <w:rPr>
      <w:rFonts w:eastAsia="仿宋_GB2312"/>
      <w:sz w:val="28"/>
    </w:rPr>
  </w:style>
  <w:style w:type="paragraph" w:customStyle="1" w:styleId="864">
    <w:name w:val="Char21"/>
    <w:basedOn w:val="1"/>
    <w:qFormat/>
    <w:uiPriority w:val="0"/>
    <w:pPr>
      <w:adjustRightInd/>
      <w:ind w:firstLine="200" w:firstLineChars="200"/>
    </w:pPr>
    <w:rPr>
      <w:rFonts w:ascii="仿宋_GB2312" w:eastAsia="仿宋_GB2312"/>
      <w:b/>
      <w:sz w:val="32"/>
      <w:szCs w:val="32"/>
    </w:rPr>
  </w:style>
  <w:style w:type="paragraph" w:customStyle="1" w:styleId="865">
    <w:name w:val="列表段落1"/>
    <w:basedOn w:val="1"/>
    <w:qFormat/>
    <w:uiPriority w:val="34"/>
    <w:pPr>
      <w:adjustRightInd/>
      <w:ind w:right="238" w:firstLine="420"/>
    </w:pPr>
    <w:rPr>
      <w:rFonts w:ascii="Calibri" w:hAnsi="Calibri"/>
      <w:sz w:val="24"/>
    </w:rPr>
  </w:style>
  <w:style w:type="paragraph" w:customStyle="1" w:styleId="866">
    <w:name w:val="Char Char110"/>
    <w:basedOn w:val="1"/>
    <w:qFormat/>
    <w:uiPriority w:val="6"/>
    <w:pPr>
      <w:spacing w:line="360" w:lineRule="auto"/>
    </w:pPr>
    <w:rPr>
      <w:rFonts w:ascii="Tahoma" w:hAnsi="Tahoma"/>
      <w:sz w:val="24"/>
      <w:szCs w:val="20"/>
    </w:rPr>
  </w:style>
  <w:style w:type="paragraph" w:customStyle="1" w:styleId="86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qFormat/>
    <w:uiPriority w:val="0"/>
    <w:rPr>
      <w:rFonts w:ascii="Tahoma" w:hAnsi="Tahoma" w:cs="仿宋_GB2312"/>
      <w:sz w:val="24"/>
      <w:szCs w:val="20"/>
    </w:rPr>
  </w:style>
  <w:style w:type="paragraph" w:customStyle="1" w:styleId="87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4">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6">
    <w:name w:val="_Style 12"/>
    <w:basedOn w:val="18"/>
    <w:qFormat/>
    <w:uiPriority w:val="0"/>
    <w:pPr>
      <w:snapToGrid w:val="0"/>
      <w:spacing w:line="360" w:lineRule="auto"/>
    </w:pPr>
  </w:style>
  <w:style w:type="paragraph" w:customStyle="1" w:styleId="87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261"/>
    <w:qFormat/>
    <w:uiPriority w:val="34"/>
    <w:pPr>
      <w:adjustRightInd/>
      <w:spacing w:line="360" w:lineRule="auto"/>
      <w:ind w:firstLine="200" w:firstLineChars="200"/>
    </w:pPr>
    <w:rPr>
      <w:rFonts w:ascii="Calibri" w:hAnsi="Calibri"/>
      <w:sz w:val="28"/>
      <w:szCs w:val="20"/>
    </w:rPr>
  </w:style>
  <w:style w:type="paragraph" w:customStyle="1" w:styleId="88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5"/>
    <w:qFormat/>
    <w:uiPriority w:val="0"/>
    <w:pPr>
      <w:outlineLvl w:val="2"/>
    </w:pPr>
  </w:style>
  <w:style w:type="paragraph" w:customStyle="1" w:styleId="88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qFormat/>
    <w:uiPriority w:val="0"/>
    <w:pPr>
      <w:adjustRightInd/>
      <w:ind w:firstLine="200" w:firstLineChars="200"/>
    </w:pPr>
    <w:rPr>
      <w:rFonts w:ascii="Tahoma" w:hAnsi="Tahoma"/>
      <w:sz w:val="24"/>
      <w:szCs w:val="20"/>
    </w:rPr>
  </w:style>
  <w:style w:type="paragraph" w:customStyle="1" w:styleId="88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7">
    <w:name w:val="MM Empty"/>
    <w:basedOn w:val="1"/>
    <w:qFormat/>
    <w:uiPriority w:val="0"/>
    <w:pPr>
      <w:adjustRightInd/>
    </w:pPr>
  </w:style>
  <w:style w:type="paragraph" w:customStyle="1" w:styleId="888">
    <w:name w:val="Char24"/>
    <w:basedOn w:val="1"/>
    <w:qFormat/>
    <w:uiPriority w:val="0"/>
    <w:rPr>
      <w:rFonts w:ascii="仿宋_GB2312" w:eastAsia="仿宋_GB2312"/>
      <w:b/>
      <w:sz w:val="32"/>
      <w:szCs w:val="32"/>
    </w:rPr>
  </w:style>
  <w:style w:type="paragraph" w:customStyle="1" w:styleId="889">
    <w:name w:val="正文箭头"/>
    <w:basedOn w:val="541"/>
    <w:qFormat/>
    <w:uiPriority w:val="0"/>
  </w:style>
  <w:style w:type="paragraph" w:customStyle="1" w:styleId="890">
    <w:name w:val="U_编号2"/>
    <w:basedOn w:val="1"/>
    <w:qFormat/>
    <w:uiPriority w:val="0"/>
    <w:pPr>
      <w:tabs>
        <w:tab w:val="left" w:pos="785"/>
      </w:tabs>
      <w:adjustRightInd/>
      <w:spacing w:beforeLines="10" w:afterLines="10" w:line="300" w:lineRule="auto"/>
    </w:pPr>
    <w:rPr>
      <w:sz w:val="24"/>
    </w:rPr>
  </w:style>
  <w:style w:type="paragraph" w:customStyle="1" w:styleId="89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qFormat/>
    <w:uiPriority w:val="34"/>
    <w:pPr>
      <w:adjustRightInd/>
      <w:ind w:firstLine="420" w:firstLineChars="200"/>
    </w:pPr>
    <w:rPr>
      <w:rFonts w:eastAsia="仿宋_GB2312"/>
      <w:sz w:val="28"/>
    </w:rPr>
  </w:style>
  <w:style w:type="paragraph" w:customStyle="1" w:styleId="896">
    <w:name w:val="表格 内容"/>
    <w:basedOn w:val="732"/>
    <w:qFormat/>
    <w:uiPriority w:val="0"/>
    <w:rPr>
      <w:b w:val="0"/>
      <w:sz w:val="20"/>
    </w:rPr>
  </w:style>
  <w:style w:type="paragraph" w:customStyle="1" w:styleId="897">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7"/>
    <w:next w:val="1"/>
    <w:qFormat/>
    <w:uiPriority w:val="0"/>
    <w:pPr>
      <w:tabs>
        <w:tab w:val="left" w:pos="1080"/>
      </w:tabs>
      <w:ind w:left="1080" w:hanging="1080"/>
    </w:pPr>
  </w:style>
  <w:style w:type="paragraph" w:customStyle="1" w:styleId="900">
    <w:name w:val="数字标题1"/>
    <w:basedOn w:val="2"/>
    <w:next w:val="1"/>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qFormat/>
    <w:uiPriority w:val="0"/>
    <w:pPr>
      <w:widowControl/>
    </w:pPr>
    <w:rPr>
      <w:kern w:val="0"/>
      <w:sz w:val="24"/>
      <w:szCs w:val="20"/>
    </w:rPr>
  </w:style>
  <w:style w:type="paragraph" w:customStyle="1" w:styleId="908">
    <w:name w:val="Char Char113"/>
    <w:basedOn w:val="1"/>
    <w:qFormat/>
    <w:uiPriority w:val="0"/>
    <w:pPr>
      <w:widowControl/>
      <w:spacing w:after="160" w:line="240" w:lineRule="exact"/>
      <w:jc w:val="left"/>
    </w:pPr>
    <w:rPr>
      <w:rFonts w:eastAsia="仿宋_GB2312"/>
      <w:sz w:val="28"/>
    </w:rPr>
  </w:style>
  <w:style w:type="paragraph" w:customStyle="1" w:styleId="90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qFormat/>
    <w:uiPriority w:val="34"/>
    <w:pPr>
      <w:adjustRightInd/>
      <w:ind w:firstLine="420" w:firstLineChars="200"/>
    </w:pPr>
    <w:rPr>
      <w:rFonts w:eastAsia="仿宋_GB2312"/>
      <w:sz w:val="28"/>
    </w:rPr>
  </w:style>
  <w:style w:type="paragraph" w:customStyle="1" w:styleId="91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qFormat/>
    <w:uiPriority w:val="6"/>
    <w:pPr>
      <w:widowControl/>
      <w:spacing w:after="160" w:line="240" w:lineRule="exact"/>
      <w:jc w:val="left"/>
    </w:pPr>
    <w:rPr>
      <w:rFonts w:eastAsia="仿宋_GB2312"/>
      <w:sz w:val="28"/>
    </w:rPr>
  </w:style>
  <w:style w:type="paragraph" w:customStyle="1" w:styleId="917">
    <w:name w:val="正文 图"/>
    <w:basedOn w:val="446"/>
    <w:qFormat/>
    <w:uiPriority w:val="0"/>
    <w:pPr>
      <w:adjustRightInd/>
      <w:spacing w:before="0"/>
      <w:ind w:firstLine="0"/>
      <w:jc w:val="center"/>
    </w:pPr>
    <w:rPr>
      <w:rFonts w:ascii="微软雅黑" w:hAnsi="微软雅黑"/>
    </w:rPr>
  </w:style>
  <w:style w:type="paragraph" w:customStyle="1" w:styleId="91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5"/>
    <w:qFormat/>
    <w:uiPriority w:val="0"/>
    <w:pPr>
      <w:ind w:left="0"/>
    </w:pPr>
  </w:style>
  <w:style w:type="paragraph" w:customStyle="1" w:styleId="92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qFormat/>
    <w:uiPriority w:val="0"/>
    <w:pPr>
      <w:adjustRightInd/>
      <w:spacing w:line="360" w:lineRule="auto"/>
      <w:ind w:firstLine="480"/>
    </w:pPr>
    <w:rPr>
      <w:sz w:val="24"/>
    </w:rPr>
  </w:style>
  <w:style w:type="table" w:customStyle="1" w:styleId="924">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0">
    <w:name w:val="列出段落111"/>
    <w:basedOn w:val="1"/>
    <w:qFormat/>
    <w:uiPriority w:val="34"/>
    <w:pPr>
      <w:ind w:firstLine="420" w:firstLineChars="200"/>
    </w:pPr>
  </w:style>
  <w:style w:type="character" w:customStyle="1" w:styleId="931">
    <w:name w:val="交叉引用"/>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qFormat/>
    <w:uiPriority w:val="0"/>
    <w:rPr>
      <w:rFonts w:ascii="宋体" w:eastAsia="宋体"/>
      <w:snapToGrid w:val="0"/>
      <w:color w:val="000000"/>
      <w:kern w:val="28"/>
      <w:sz w:val="28"/>
      <w:lang w:val="en-US" w:eastAsia="zh-CN" w:bidi="ar-SA"/>
    </w:rPr>
  </w:style>
  <w:style w:type="character" w:customStyle="1" w:styleId="933">
    <w:name w:val="页脚 字符1"/>
    <w:qFormat/>
    <w:locked/>
    <w:uiPriority w:val="99"/>
    <w:rPr>
      <w:kern w:val="2"/>
      <w:sz w:val="18"/>
      <w:szCs w:val="18"/>
    </w:rPr>
  </w:style>
  <w:style w:type="character" w:customStyle="1" w:styleId="934">
    <w:name w:val="页眉 字符1"/>
    <w:qFormat/>
    <w:uiPriority w:val="99"/>
    <w:rPr>
      <w:kern w:val="2"/>
      <w:sz w:val="18"/>
      <w:szCs w:val="18"/>
    </w:rPr>
  </w:style>
  <w:style w:type="character" w:customStyle="1" w:styleId="935">
    <w:name w:val="尾注文本 字符"/>
    <w:link w:val="38"/>
    <w:qFormat/>
    <w:uiPriority w:val="0"/>
    <w:rPr>
      <w:kern w:val="2"/>
      <w:sz w:val="21"/>
      <w:szCs w:val="24"/>
      <w:lang w:val="zh-CN"/>
    </w:rPr>
  </w:style>
  <w:style w:type="character" w:customStyle="1" w:styleId="936">
    <w:name w:val="无间隔 字符"/>
    <w:link w:val="486"/>
    <w:qFormat/>
    <w:uiPriority w:val="99"/>
    <w:rPr>
      <w:kern w:val="2"/>
      <w:sz w:val="21"/>
      <w:szCs w:val="22"/>
    </w:rPr>
  </w:style>
  <w:style w:type="character" w:customStyle="1" w:styleId="937">
    <w:name w:val="标准文本 Char Char"/>
    <w:link w:val="938"/>
    <w:qFormat/>
    <w:uiPriority w:val="0"/>
    <w:rPr>
      <w:rFonts w:cs="宋体"/>
      <w:kern w:val="2"/>
      <w:sz w:val="24"/>
    </w:rPr>
  </w:style>
  <w:style w:type="paragraph" w:customStyle="1" w:styleId="938">
    <w:name w:val="标准文本"/>
    <w:basedOn w:val="1"/>
    <w:link w:val="937"/>
    <w:qFormat/>
    <w:uiPriority w:val="0"/>
    <w:pPr>
      <w:adjustRightInd/>
      <w:spacing w:line="360" w:lineRule="auto"/>
      <w:ind w:firstLine="480" w:firstLineChars="200"/>
    </w:pPr>
    <w:rPr>
      <w:rFonts w:cs="宋体"/>
      <w:sz w:val="24"/>
      <w:szCs w:val="20"/>
    </w:rPr>
  </w:style>
  <w:style w:type="character" w:customStyle="1" w:styleId="939">
    <w:name w:val="Char Char213"/>
    <w:qFormat/>
    <w:uiPriority w:val="0"/>
    <w:rPr>
      <w:rFonts w:eastAsia="Century Gothic"/>
      <w:b/>
      <w:bCs/>
      <w:kern w:val="44"/>
      <w:sz w:val="32"/>
      <w:szCs w:val="44"/>
      <w:lang w:val="en-US" w:eastAsia="zh-CN" w:bidi="ar-SA"/>
    </w:rPr>
  </w:style>
  <w:style w:type="character" w:customStyle="1" w:styleId="940">
    <w:name w:val="apple-style-span"/>
    <w:qFormat/>
    <w:uiPriority w:val="0"/>
    <w:rPr>
      <w:rFonts w:ascii="Arial" w:hAnsi="Arial" w:eastAsia="黑体" w:cs="Arial"/>
      <w:snapToGrid w:val="0"/>
      <w:kern w:val="0"/>
      <w:szCs w:val="21"/>
    </w:rPr>
  </w:style>
  <w:style w:type="character" w:customStyle="1" w:styleId="941">
    <w:name w:val="15"/>
    <w:qFormat/>
    <w:uiPriority w:val="0"/>
    <w:rPr>
      <w:rFonts w:hint="default" w:ascii="Calibri" w:hAnsi="Calibri"/>
      <w:color w:val="0000FF"/>
      <w:u w:val="single"/>
    </w:rPr>
  </w:style>
  <w:style w:type="character" w:customStyle="1" w:styleId="942">
    <w:name w:val="16"/>
    <w:qFormat/>
    <w:uiPriority w:val="0"/>
    <w:rPr>
      <w:rFonts w:hint="eastAsia" w:ascii="宋体" w:hAnsi="宋体" w:eastAsia="宋体"/>
      <w:color w:val="000000"/>
      <w:sz w:val="20"/>
      <w:szCs w:val="20"/>
    </w:rPr>
  </w:style>
  <w:style w:type="character" w:customStyle="1" w:styleId="943">
    <w:name w:val="edui-unclickable"/>
    <w:qFormat/>
    <w:uiPriority w:val="0"/>
    <w:rPr>
      <w:color w:val="808080"/>
    </w:rPr>
  </w:style>
  <w:style w:type="character" w:customStyle="1" w:styleId="944">
    <w:name w:val="tpc_content1"/>
    <w:qFormat/>
    <w:uiPriority w:val="0"/>
    <w:rPr>
      <w:sz w:val="20"/>
      <w:szCs w:val="20"/>
    </w:rPr>
  </w:style>
  <w:style w:type="character" w:customStyle="1" w:styleId="945">
    <w:name w:val="正文文本缩进 字符"/>
    <w:qFormat/>
    <w:uiPriority w:val="0"/>
    <w:rPr>
      <w:rFonts w:ascii="Century Gothic" w:hAnsi="Century Gothic" w:eastAsia="Century Gothic"/>
      <w:kern w:val="2"/>
      <w:sz w:val="24"/>
      <w:lang w:val="en-US" w:eastAsia="zh-CN" w:bidi="ar-SA"/>
    </w:rPr>
  </w:style>
  <w:style w:type="character" w:customStyle="1" w:styleId="946">
    <w:name w:val="正文文本 2 字符"/>
    <w:qFormat/>
    <w:uiPriority w:val="0"/>
    <w:rPr>
      <w:rFonts w:ascii="Arial" w:hAnsi="Arial" w:eastAsia="宋体"/>
      <w:kern w:val="2"/>
      <w:sz w:val="24"/>
      <w:szCs w:val="24"/>
      <w:lang w:val="en-US" w:eastAsia="zh-CN" w:bidi="ar-SA"/>
    </w:rPr>
  </w:style>
  <w:style w:type="character" w:customStyle="1" w:styleId="947">
    <w:name w:val="edui-clickable2"/>
    <w:qFormat/>
    <w:uiPriority w:val="0"/>
    <w:rPr>
      <w:color w:val="0000FF"/>
      <w:u w:val="single"/>
    </w:rPr>
  </w:style>
  <w:style w:type="character" w:customStyle="1" w:styleId="948">
    <w:name w:val="style1"/>
    <w:qFormat/>
    <w:uiPriority w:val="0"/>
    <w:rPr>
      <w:rFonts w:ascii="Arial" w:hAnsi="Arial" w:eastAsia="黑体" w:cs="Arial"/>
      <w:snapToGrid w:val="0"/>
      <w:kern w:val="0"/>
      <w:szCs w:val="21"/>
    </w:rPr>
  </w:style>
  <w:style w:type="character" w:customStyle="1" w:styleId="949">
    <w:name w:val="zbggtop11 style5"/>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1">
    <w:name w:val="bulletintext1"/>
    <w:qFormat/>
    <w:uiPriority w:val="0"/>
    <w:rPr>
      <w:color w:val="000000"/>
      <w:sz w:val="18"/>
    </w:rPr>
  </w:style>
  <w:style w:type="paragraph" w:customStyle="1" w:styleId="952">
    <w:name w:val="_Style 947"/>
    <w:basedOn w:val="1"/>
    <w:next w:val="261"/>
    <w:qFormat/>
    <w:uiPriority w:val="34"/>
    <w:pPr>
      <w:adjustRightInd/>
      <w:ind w:firstLine="420" w:firstLineChars="200"/>
    </w:pPr>
  </w:style>
  <w:style w:type="paragraph" w:customStyle="1" w:styleId="953">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qFormat/>
    <w:uiPriority w:val="0"/>
    <w:pPr>
      <w:adjustRightInd/>
      <w:snapToGrid w:val="0"/>
      <w:jc w:val="left"/>
    </w:pPr>
    <w:rPr>
      <w:rFonts w:ascii="Century Gothic" w:hAnsi="楷体_GB2312" w:eastAsia="Century Gothic"/>
      <w:szCs w:val="20"/>
    </w:rPr>
  </w:style>
  <w:style w:type="paragraph" w:customStyle="1" w:styleId="955">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8">
    <w:name w:val="Blockquote"/>
    <w:basedOn w:val="1"/>
    <w:qFormat/>
    <w:uiPriority w:val="0"/>
    <w:pPr>
      <w:autoSpaceDE w:val="0"/>
      <w:autoSpaceDN w:val="0"/>
      <w:spacing w:before="100" w:after="100"/>
      <w:ind w:left="360" w:right="360"/>
      <w:jc w:val="left"/>
    </w:pPr>
    <w:rPr>
      <w:kern w:val="0"/>
      <w:sz w:val="24"/>
      <w:szCs w:val="20"/>
    </w:rPr>
  </w:style>
  <w:style w:type="paragraph" w:customStyle="1" w:styleId="959">
    <w:name w:val="p1"/>
    <w:basedOn w:val="1"/>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qFormat/>
    <w:uiPriority w:val="0"/>
    <w:pPr>
      <w:adjustRightInd/>
      <w:jc w:val="left"/>
    </w:pPr>
    <w:rPr>
      <w:rFonts w:ascii="Calibri" w:hAnsi="Calibri"/>
      <w:kern w:val="0"/>
      <w:sz w:val="22"/>
      <w:szCs w:val="22"/>
      <w:lang w:eastAsia="en-US"/>
    </w:rPr>
  </w:style>
  <w:style w:type="paragraph" w:customStyle="1" w:styleId="96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69"/>
    <w:qFormat/>
    <w:uiPriority w:val="0"/>
    <w:rPr>
      <w:color w:val="000000"/>
      <w:shd w:val="clear" w:color="auto" w:fill="EFD200"/>
    </w:rPr>
  </w:style>
  <w:style w:type="character" w:customStyle="1" w:styleId="965">
    <w:name w:val="font71"/>
    <w:qFormat/>
    <w:uiPriority w:val="0"/>
    <w:rPr>
      <w:rFonts w:hint="eastAsia" w:ascii="宋体" w:hAnsi="宋体" w:eastAsia="宋体" w:cs="宋体"/>
      <w:color w:val="000000"/>
      <w:sz w:val="22"/>
      <w:szCs w:val="22"/>
      <w:u w:val="none"/>
    </w:rPr>
  </w:style>
  <w:style w:type="character" w:customStyle="1" w:styleId="966">
    <w:name w:val="font91"/>
    <w:qFormat/>
    <w:uiPriority w:val="0"/>
    <w:rPr>
      <w:rFonts w:hint="eastAsia" w:ascii="仿宋" w:hAnsi="仿宋" w:eastAsia="仿宋" w:cs="仿宋"/>
      <w:color w:val="000000"/>
      <w:sz w:val="22"/>
      <w:szCs w:val="22"/>
      <w:u w:val="none"/>
    </w:rPr>
  </w:style>
  <w:style w:type="paragraph" w:customStyle="1" w:styleId="967">
    <w:name w:val="修订4"/>
    <w:hidden/>
    <w:semiHidden/>
    <w:qFormat/>
    <w:uiPriority w:val="99"/>
    <w:rPr>
      <w:rFonts w:ascii="Times New Roman" w:hAnsi="Times New Roman" w:eastAsia="宋体" w:cs="Times New Roman"/>
      <w:kern w:val="2"/>
      <w:sz w:val="21"/>
      <w:szCs w:val="24"/>
      <w:lang w:val="en-US" w:eastAsia="zh-CN" w:bidi="ar-SA"/>
    </w:rPr>
  </w:style>
  <w:style w:type="table" w:customStyle="1" w:styleId="968">
    <w:name w:val="Table Normal"/>
    <w:semiHidden/>
    <w:unhideWhenUsed/>
    <w:qFormat/>
    <w:uiPriority w:val="0"/>
    <w:tblPr>
      <w:tblCellMar>
        <w:top w:w="0" w:type="dxa"/>
        <w:left w:w="0" w:type="dxa"/>
        <w:bottom w:w="0" w:type="dxa"/>
        <w:right w:w="0" w:type="dxa"/>
      </w:tblCellMar>
    </w:tblPr>
  </w:style>
  <w:style w:type="paragraph" w:customStyle="1" w:styleId="969">
    <w:name w:val="null3"/>
    <w:hidden/>
    <w:qFormat/>
    <w:uiPriority w:val="0"/>
    <w:rPr>
      <w:rFonts w:hint="eastAsia" w:asciiTheme="minorHAnsi" w:hAnsiTheme="minorHAnsi" w:eastAsiaTheme="minorEastAsia" w:cstheme="minorBidi"/>
      <w:lang w:val="en-US" w:eastAsia="zh-Hans" w:bidi="ar-SA"/>
    </w:rPr>
  </w:style>
  <w:style w:type="paragraph" w:customStyle="1" w:styleId="970">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E8FBAB-186B-6D47-8BC7-40CF62CD6637}">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98</Pages>
  <Words>3512</Words>
  <Characters>3958</Characters>
  <Lines>311</Lines>
  <Paragraphs>87</Paragraphs>
  <TotalTime>149</TotalTime>
  <ScaleCrop>false</ScaleCrop>
  <LinksUpToDate>false</LinksUpToDate>
  <CharactersWithSpaces>4176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ssessu</cp:lastModifiedBy>
  <cp:lastPrinted>2025-03-10T05:30:00Z</cp:lastPrinted>
  <dcterms:modified xsi:type="dcterms:W3CDTF">2025-03-11T04:40:58Z</dcterms:modified>
  <dc:title>杭州市市民卡扩大发卡工程</dc:title>
  <cp:revision>319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43A5593062DC442AB3152E1AC16F3CA2_13</vt:lpwstr>
  </property>
  <property fmtid="{D5CDD505-2E9C-101B-9397-08002B2CF9AE}" pid="5" name="KSOTemplateDocerSaveRecord">
    <vt:lpwstr>eyJoZGlkIjoiYmZmMTZlMjE2ZmExNzFhMTBiNDQ4MmNjYmEzMWUxZjQiLCJ1c2VySWQiOiIxMDMwNTc3NTcyIn0=</vt:lpwstr>
  </property>
</Properties>
</file>