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A5406">
      <w:pPr>
        <w:adjustRightInd/>
        <w:spacing w:line="360" w:lineRule="auto"/>
        <w:jc w:val="center"/>
        <w:rPr>
          <w:rFonts w:ascii="宋体" w:hAnsi="宋体" w:cs="宋体"/>
          <w:b/>
          <w:sz w:val="44"/>
          <w:szCs w:val="44"/>
        </w:rPr>
      </w:pPr>
    </w:p>
    <w:p w14:paraId="053D8D37">
      <w:pPr>
        <w:adjustRightInd/>
        <w:spacing w:line="360" w:lineRule="auto"/>
        <w:rPr>
          <w:rFonts w:ascii="宋体" w:hAnsi="宋体" w:cs="宋体"/>
          <w:sz w:val="48"/>
          <w:szCs w:val="48"/>
        </w:rPr>
      </w:pPr>
    </w:p>
    <w:p w14:paraId="643FAE6B">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 xml:space="preserve">宁海县环保预警平台信创改造升级项目 </w:t>
      </w:r>
    </w:p>
    <w:p w14:paraId="2CE066D3">
      <w:pPr>
        <w:adjustRightInd/>
        <w:spacing w:line="360" w:lineRule="auto"/>
        <w:jc w:val="center"/>
        <w:rPr>
          <w:rFonts w:ascii="宋体" w:hAnsi="宋体" w:cs="宋体"/>
          <w:sz w:val="48"/>
          <w:szCs w:val="48"/>
        </w:rPr>
      </w:pPr>
    </w:p>
    <w:p w14:paraId="0289BB38">
      <w:pPr>
        <w:adjustRightInd/>
        <w:spacing w:line="360" w:lineRule="auto"/>
        <w:jc w:val="center"/>
        <w:rPr>
          <w:rFonts w:ascii="宋体" w:hAnsi="宋体" w:cs="宋体"/>
          <w:sz w:val="48"/>
          <w:szCs w:val="48"/>
        </w:rPr>
      </w:pPr>
    </w:p>
    <w:p w14:paraId="7DE84465">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0E12BFE2">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366CE81E">
      <w:pPr>
        <w:snapToGrid w:val="0"/>
        <w:spacing w:line="360" w:lineRule="auto"/>
        <w:jc w:val="center"/>
        <w:rPr>
          <w:rFonts w:ascii="宋体" w:hAnsi="宋体" w:cs="宋体"/>
          <w:sz w:val="30"/>
          <w:szCs w:val="30"/>
        </w:rPr>
      </w:pPr>
    </w:p>
    <w:p w14:paraId="03020B0B">
      <w:pPr>
        <w:snapToGrid w:val="0"/>
        <w:spacing w:line="360" w:lineRule="auto"/>
        <w:jc w:val="center"/>
        <w:rPr>
          <w:rFonts w:ascii="宋体" w:hAnsi="宋体" w:cs="宋体"/>
          <w:sz w:val="30"/>
          <w:szCs w:val="30"/>
        </w:rPr>
      </w:pPr>
      <w:r>
        <w:rPr>
          <w:rFonts w:hint="eastAsia" w:ascii="宋体" w:hAnsi="宋体" w:cs="宋体"/>
          <w:sz w:val="30"/>
          <w:szCs w:val="30"/>
        </w:rPr>
        <w:t>编号：NH-TS2025-034</w:t>
      </w:r>
    </w:p>
    <w:p w14:paraId="57D5EB95">
      <w:pPr>
        <w:adjustRightInd/>
        <w:spacing w:line="360" w:lineRule="auto"/>
        <w:jc w:val="center"/>
        <w:rPr>
          <w:rFonts w:ascii="宋体" w:hAnsi="宋体" w:cs="宋体"/>
          <w:sz w:val="48"/>
          <w:szCs w:val="48"/>
        </w:rPr>
      </w:pPr>
    </w:p>
    <w:p w14:paraId="2F52238B">
      <w:pPr>
        <w:pStyle w:val="83"/>
      </w:pPr>
    </w:p>
    <w:p w14:paraId="639132B7">
      <w:pPr>
        <w:adjustRightInd/>
        <w:spacing w:line="360" w:lineRule="auto"/>
        <w:jc w:val="center"/>
        <w:rPr>
          <w:rFonts w:ascii="宋体" w:hAnsi="宋体" w:cs="宋体"/>
          <w:sz w:val="48"/>
          <w:szCs w:val="48"/>
        </w:rPr>
      </w:pPr>
    </w:p>
    <w:p w14:paraId="53960FBD">
      <w:pPr>
        <w:adjustRightInd/>
        <w:spacing w:line="360" w:lineRule="auto"/>
        <w:jc w:val="center"/>
        <w:rPr>
          <w:rFonts w:ascii="宋体" w:hAnsi="宋体" w:cs="宋体"/>
          <w:sz w:val="48"/>
          <w:szCs w:val="48"/>
        </w:rPr>
      </w:pPr>
    </w:p>
    <w:p w14:paraId="0DB35BD3">
      <w:pPr>
        <w:adjustRightInd/>
        <w:spacing w:line="360" w:lineRule="auto"/>
        <w:rPr>
          <w:rFonts w:ascii="宋体" w:hAnsi="宋体" w:cs="宋体"/>
          <w:sz w:val="48"/>
          <w:szCs w:val="48"/>
        </w:rPr>
      </w:pPr>
    </w:p>
    <w:p w14:paraId="2C29CB35">
      <w:pPr>
        <w:snapToGrid w:val="0"/>
        <w:spacing w:line="360" w:lineRule="auto"/>
        <w:jc w:val="center"/>
        <w:rPr>
          <w:rFonts w:ascii="宋体" w:hAnsi="宋体" w:cs="宋体"/>
          <w:sz w:val="32"/>
          <w:szCs w:val="32"/>
        </w:rPr>
      </w:pPr>
      <w:r>
        <w:rPr>
          <w:rFonts w:hint="eastAsia" w:ascii="宋体" w:hAnsi="宋体" w:cs="宋体"/>
          <w:sz w:val="32"/>
          <w:szCs w:val="32"/>
        </w:rPr>
        <w:t>采购人：宁波市生态环境局宁海分局</w:t>
      </w:r>
    </w:p>
    <w:p w14:paraId="45C1D4B7">
      <w:pPr>
        <w:snapToGrid w:val="0"/>
        <w:spacing w:line="360" w:lineRule="auto"/>
        <w:jc w:val="center"/>
        <w:rPr>
          <w:rFonts w:ascii="宋体" w:hAnsi="宋体" w:cs="宋体"/>
          <w:sz w:val="32"/>
          <w:szCs w:val="32"/>
        </w:rPr>
      </w:pPr>
      <w:r>
        <w:rPr>
          <w:rFonts w:hint="eastAsia" w:ascii="宋体" w:hAnsi="宋体" w:cs="宋体"/>
          <w:sz w:val="32"/>
          <w:szCs w:val="32"/>
        </w:rPr>
        <w:t>采购代理机构：宁海童氏工程管理咨询有限公司</w:t>
      </w:r>
    </w:p>
    <w:p w14:paraId="101E40A7">
      <w:pPr>
        <w:snapToGrid w:val="0"/>
        <w:spacing w:line="360" w:lineRule="auto"/>
        <w:jc w:val="center"/>
        <w:rPr>
          <w:rFonts w:ascii="宋体" w:hAnsi="宋体" w:cs="宋体"/>
          <w:bCs/>
          <w:sz w:val="32"/>
          <w:szCs w:val="32"/>
        </w:rPr>
      </w:pPr>
      <w:r>
        <w:rPr>
          <w:rFonts w:hint="eastAsia" w:ascii="宋体" w:hAnsi="宋体" w:cs="宋体"/>
          <w:bCs/>
          <w:sz w:val="32"/>
          <w:szCs w:val="32"/>
        </w:rPr>
        <w:t>二〇二五年五月</w:t>
      </w:r>
    </w:p>
    <w:p w14:paraId="2133B3DE">
      <w:pPr>
        <w:rPr>
          <w:rFonts w:ascii="宋体" w:hAnsi="宋体" w:cs="宋体"/>
          <w:sz w:val="24"/>
        </w:rPr>
      </w:pPr>
      <w:r>
        <w:rPr>
          <w:rFonts w:hint="eastAsia" w:ascii="宋体" w:hAnsi="宋体" w:cs="宋体"/>
          <w:sz w:val="24"/>
        </w:rPr>
        <w:br w:type="page"/>
      </w:r>
    </w:p>
    <w:p w14:paraId="7D8A43D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A4E9B2F">
      <w:pPr>
        <w:pStyle w:val="640"/>
        <w:outlineLvl w:val="9"/>
      </w:pPr>
    </w:p>
    <w:p w14:paraId="45CD1AF7">
      <w:pPr>
        <w:pStyle w:val="640"/>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3D7A151F">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36D685A5">
          <w:pPr>
            <w:pStyle w:val="44"/>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AEE2512">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t>5</w:t>
          </w:r>
          <w:r>
            <w:rPr>
              <w:rFonts w:hint="eastAsia" w:ascii="宋体" w:hAnsi="宋体" w:cs="宋体"/>
              <w:b/>
              <w:bCs/>
              <w:sz w:val="32"/>
              <w:szCs w:val="32"/>
            </w:rPr>
            <w:fldChar w:fldCharType="end"/>
          </w:r>
        </w:p>
        <w:p w14:paraId="5043BCAB">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t>8</w:t>
          </w:r>
        </w:p>
        <w:p w14:paraId="10BAC6BC">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t>8</w:t>
          </w:r>
        </w:p>
        <w:p w14:paraId="0DF1FBB9">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4</w:t>
          </w:r>
        </w:p>
        <w:p w14:paraId="62E1E518">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t>4</w:t>
          </w:r>
          <w:r>
            <w:rPr>
              <w:rFonts w:hint="eastAsia" w:ascii="宋体" w:hAnsi="宋体" w:cs="宋体"/>
              <w:b/>
              <w:bCs/>
              <w:sz w:val="32"/>
              <w:szCs w:val="32"/>
            </w:rPr>
            <w:fldChar w:fldCharType="end"/>
          </w:r>
          <w:r>
            <w:rPr>
              <w:rFonts w:hint="eastAsia" w:ascii="宋体" w:hAnsi="宋体" w:cs="宋体"/>
              <w:b/>
              <w:bCs/>
              <w:sz w:val="32"/>
              <w:szCs w:val="32"/>
            </w:rPr>
            <w:t>7</w:t>
          </w:r>
        </w:p>
        <w:p w14:paraId="5DD7614D">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B7E6B48">
      <w:pPr>
        <w:spacing w:line="360" w:lineRule="auto"/>
        <w:ind w:firstLine="549" w:firstLineChars="229"/>
        <w:rPr>
          <w:rFonts w:ascii="宋体" w:hAnsi="宋体" w:cs="宋体"/>
          <w:sz w:val="24"/>
        </w:rPr>
      </w:pPr>
    </w:p>
    <w:p w14:paraId="57591092">
      <w:pPr>
        <w:spacing w:line="360" w:lineRule="auto"/>
        <w:rPr>
          <w:rFonts w:ascii="宋体" w:hAnsi="宋体" w:cs="宋体"/>
          <w:sz w:val="24"/>
        </w:rPr>
      </w:pPr>
    </w:p>
    <w:p w14:paraId="114A9E6A">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32AE83CC">
      <w:pPr>
        <w:adjustRightInd/>
        <w:spacing w:line="360" w:lineRule="auto"/>
        <w:jc w:val="center"/>
        <w:outlineLvl w:val="0"/>
        <w:rPr>
          <w:rFonts w:ascii="宋体" w:hAnsi="宋体" w:cs="宋体"/>
          <w:b/>
          <w:sz w:val="36"/>
          <w:szCs w:val="20"/>
        </w:rPr>
      </w:pPr>
      <w:bookmarkStart w:id="4" w:name="_Hlt74649545"/>
      <w:bookmarkEnd w:id="4"/>
      <w:bookmarkStart w:id="5" w:name="_Hlt74729822"/>
      <w:bookmarkEnd w:id="5"/>
      <w:bookmarkStart w:id="6" w:name="_Hlt74728647"/>
      <w:bookmarkEnd w:id="6"/>
      <w:bookmarkStart w:id="7" w:name="_Hlt74707423"/>
      <w:bookmarkEnd w:id="7"/>
      <w:bookmarkStart w:id="8" w:name="_Toc24669"/>
      <w:bookmarkStart w:id="9" w:name="第二部分"/>
      <w:bookmarkStart w:id="10" w:name="_Toc91899870"/>
      <w:bookmarkStart w:id="11" w:name="_Toc91899871"/>
    </w:p>
    <w:p w14:paraId="0000DBCC">
      <w:pPr>
        <w:pStyle w:val="18"/>
        <w:rPr>
          <w:color w:val="auto"/>
        </w:rPr>
        <w:sectPr>
          <w:headerReference r:id="rId3" w:type="default"/>
          <w:footerReference r:id="rId4" w:type="even"/>
          <w:pgSz w:w="11906" w:h="16838"/>
          <w:pgMar w:top="680" w:right="1304" w:bottom="468" w:left="1304" w:header="851" w:footer="992" w:gutter="0"/>
          <w:cols w:space="720" w:num="1"/>
          <w:titlePg/>
          <w:docGrid w:linePitch="312" w:charSpace="0"/>
        </w:sectPr>
      </w:pPr>
    </w:p>
    <w:p w14:paraId="11680167">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455D93D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4E2D26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 xml:space="preserve">宁海县环保预警平台信创改造升级项目 </w:t>
      </w:r>
      <w:r>
        <w:rPr>
          <w:rFonts w:hint="eastAsia" w:ascii="宋体" w:hAnsi="宋体" w:cs="宋体"/>
          <w:szCs w:val="21"/>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7"/>
          <w:rFonts w:hint="eastAsia" w:ascii="宋体" w:hAnsi="宋体" w:eastAsia="宋体" w:cs="宋体"/>
          <w:snapToGrid/>
          <w:color w:val="auto"/>
          <w:kern w:val="2"/>
          <w:sz w:val="21"/>
          <w:szCs w:val="21"/>
        </w:rPr>
        <w:t>https://www.zcygov.cn/）获取（下载）招标文件，并于</w:t>
      </w:r>
      <w:r>
        <w:rPr>
          <w:rStyle w:val="77"/>
          <w:rFonts w:hint="eastAsia" w:ascii="宋体" w:hAnsi="宋体" w:cs="宋体"/>
          <w:snapToGrid/>
          <w:color w:val="auto"/>
          <w:kern w:val="2"/>
          <w:sz w:val="21"/>
          <w:szCs w:val="21"/>
        </w:rPr>
        <w:t>2025</w:t>
      </w:r>
      <w:r>
        <w:rPr>
          <w:rStyle w:val="77"/>
          <w:rFonts w:hint="eastAsia" w:ascii="宋体" w:hAnsi="宋体" w:eastAsia="宋体" w:cs="宋体"/>
          <w:snapToGrid/>
          <w:color w:val="auto"/>
          <w:kern w:val="2"/>
          <w:sz w:val="21"/>
          <w:szCs w:val="21"/>
        </w:rPr>
        <w:t>年</w:t>
      </w:r>
      <w:r>
        <w:rPr>
          <w:rStyle w:val="77"/>
          <w:rFonts w:hint="eastAsia" w:ascii="宋体" w:hAnsi="宋体" w:cs="宋体"/>
          <w:snapToGrid/>
          <w:color w:val="auto"/>
          <w:kern w:val="2"/>
          <w:sz w:val="21"/>
          <w:szCs w:val="21"/>
        </w:rPr>
        <w:t xml:space="preserve"> </w:t>
      </w:r>
      <w:r>
        <w:rPr>
          <w:rStyle w:val="77"/>
          <w:rFonts w:hint="eastAsia" w:ascii="宋体" w:hAnsi="宋体" w:eastAsia="宋体" w:cs="宋体"/>
          <w:snapToGrid/>
          <w:color w:val="auto"/>
          <w:kern w:val="2"/>
          <w:sz w:val="21"/>
          <w:szCs w:val="21"/>
        </w:rPr>
        <w:t>月</w:t>
      </w:r>
      <w:r>
        <w:rPr>
          <w:rStyle w:val="77"/>
          <w:rFonts w:hint="eastAsia" w:ascii="宋体" w:hAnsi="宋体" w:cs="宋体"/>
          <w:snapToGrid/>
          <w:color w:val="auto"/>
          <w:kern w:val="2"/>
          <w:sz w:val="21"/>
          <w:szCs w:val="21"/>
        </w:rPr>
        <w:t xml:space="preserve">  </w:t>
      </w:r>
      <w:r>
        <w:rPr>
          <w:rStyle w:val="77"/>
          <w:rFonts w:hint="eastAsia" w:ascii="宋体" w:hAnsi="宋体" w:eastAsia="宋体" w:cs="宋体"/>
          <w:snapToGrid/>
          <w:color w:val="auto"/>
          <w:kern w:val="2"/>
          <w:sz w:val="21"/>
          <w:szCs w:val="21"/>
        </w:rPr>
        <w:t>日</w:t>
      </w:r>
      <w:r>
        <w:rPr>
          <w:rStyle w:val="77"/>
          <w:rFonts w:hint="eastAsia" w:ascii="宋体" w:hAnsi="宋体" w:cs="宋体"/>
          <w:snapToGrid/>
          <w:color w:val="auto"/>
          <w:kern w:val="2"/>
          <w:sz w:val="21"/>
          <w:szCs w:val="21"/>
        </w:rPr>
        <w:t>13</w:t>
      </w:r>
      <w:r>
        <w:rPr>
          <w:rStyle w:val="77"/>
          <w:rFonts w:hint="eastAsia" w:ascii="宋体" w:hAnsi="宋体" w:eastAsia="宋体" w:cs="宋体"/>
          <w:snapToGrid/>
          <w:color w:val="auto"/>
          <w:kern w:val="2"/>
          <w:sz w:val="21"/>
          <w:szCs w:val="21"/>
        </w:rPr>
        <w:t>点</w:t>
      </w:r>
      <w:r>
        <w:rPr>
          <w:rStyle w:val="77"/>
          <w:rFonts w:hint="eastAsia" w:ascii="宋体" w:hAnsi="宋体" w:cs="宋体"/>
          <w:snapToGrid/>
          <w:color w:val="auto"/>
          <w:kern w:val="2"/>
          <w:sz w:val="21"/>
          <w:szCs w:val="21"/>
        </w:rPr>
        <w:t>30</w:t>
      </w:r>
      <w:r>
        <w:rPr>
          <w:rStyle w:val="77"/>
          <w:rFonts w:hint="eastAsia" w:ascii="宋体" w:hAnsi="宋体" w:eastAsia="宋体" w:cs="宋体"/>
          <w:snapToGrid/>
          <w:color w:val="auto"/>
          <w:kern w:val="2"/>
          <w:sz w:val="21"/>
          <w:szCs w:val="21"/>
        </w:rPr>
        <w:t>分</w:t>
      </w:r>
      <w:r>
        <w:rPr>
          <w:rStyle w:val="77"/>
          <w:rFonts w:hint="eastAsia" w:ascii="宋体" w:hAnsi="宋体" w:eastAsia="宋体" w:cs="宋体"/>
          <w:bCs/>
          <w:snapToGrid/>
          <w:color w:val="auto"/>
          <w:kern w:val="2"/>
          <w:sz w:val="21"/>
          <w:szCs w:val="21"/>
        </w:rPr>
        <w:t>00秒</w:t>
      </w:r>
      <w:r>
        <w:rPr>
          <w:rStyle w:val="77"/>
          <w:rFonts w:hint="eastAsia" w:ascii="宋体" w:hAnsi="宋体" w:eastAsia="宋体" w:cs="宋体"/>
          <w:bCs/>
          <w:snapToGrid/>
          <w:color w:val="auto"/>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14:paraId="5DA4E906">
      <w:pPr>
        <w:spacing w:line="360" w:lineRule="auto"/>
        <w:rPr>
          <w:rFonts w:ascii="宋体" w:hAnsi="宋体" w:cs="宋体"/>
          <w:b/>
          <w:szCs w:val="21"/>
        </w:rPr>
      </w:pPr>
      <w:r>
        <w:rPr>
          <w:rFonts w:hint="eastAsia" w:ascii="宋体" w:hAnsi="宋体" w:cs="宋体"/>
          <w:b/>
          <w:szCs w:val="21"/>
        </w:rPr>
        <w:t>一、项目基本情况</w:t>
      </w:r>
    </w:p>
    <w:p w14:paraId="1F26F051">
      <w:pPr>
        <w:spacing w:line="360" w:lineRule="auto"/>
        <w:ind w:firstLine="480"/>
        <w:rPr>
          <w:rFonts w:ascii="宋体" w:hAnsi="宋体" w:cs="宋体"/>
          <w:szCs w:val="21"/>
        </w:rPr>
      </w:pPr>
      <w:r>
        <w:rPr>
          <w:rFonts w:hint="eastAsia" w:ascii="宋体" w:hAnsi="宋体" w:cs="宋体"/>
          <w:b/>
          <w:szCs w:val="21"/>
        </w:rPr>
        <w:t>项目编号：</w:t>
      </w:r>
      <w:r>
        <w:rPr>
          <w:rFonts w:hint="eastAsia" w:ascii="宋体" w:hAnsi="宋体" w:cs="宋体"/>
          <w:szCs w:val="21"/>
        </w:rPr>
        <w:t>NH-TS2025-034</w:t>
      </w:r>
    </w:p>
    <w:p w14:paraId="7D8AA37F">
      <w:pPr>
        <w:spacing w:line="360" w:lineRule="auto"/>
        <w:ind w:firstLine="480"/>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 xml:space="preserve">宁海县环保预警平台信创改造升级项目 </w:t>
      </w:r>
    </w:p>
    <w:p w14:paraId="6D0BB5F9">
      <w:pPr>
        <w:spacing w:line="360" w:lineRule="auto"/>
        <w:ind w:firstLine="480"/>
        <w:rPr>
          <w:rFonts w:ascii="宋体" w:hAnsi="宋体" w:cs="宋体"/>
          <w:szCs w:val="21"/>
        </w:rPr>
      </w:pPr>
      <w:r>
        <w:rPr>
          <w:rFonts w:hint="eastAsia" w:ascii="宋体" w:hAnsi="宋体" w:cs="宋体"/>
          <w:b/>
          <w:szCs w:val="21"/>
        </w:rPr>
        <w:t>预算金额（元）：</w:t>
      </w:r>
      <w:r>
        <w:rPr>
          <w:rFonts w:hint="eastAsia" w:ascii="宋体" w:hAnsi="宋体" w:cs="宋体"/>
          <w:szCs w:val="21"/>
        </w:rPr>
        <w:t xml:space="preserve">1740000.00  </w:t>
      </w:r>
    </w:p>
    <w:p w14:paraId="3094452A">
      <w:pPr>
        <w:spacing w:line="360" w:lineRule="auto"/>
        <w:ind w:firstLine="480"/>
        <w:rPr>
          <w:rFonts w:ascii="宋体" w:hAnsi="宋体" w:cs="宋体"/>
          <w:szCs w:val="21"/>
        </w:rPr>
      </w:pPr>
      <w:r>
        <w:rPr>
          <w:rFonts w:hint="eastAsia" w:ascii="宋体" w:hAnsi="宋体" w:cs="宋体"/>
          <w:b/>
          <w:szCs w:val="21"/>
        </w:rPr>
        <w:t>最高限价（元）：</w:t>
      </w:r>
      <w:r>
        <w:rPr>
          <w:rFonts w:hint="eastAsia" w:ascii="宋体" w:hAnsi="宋体" w:cs="宋体"/>
          <w:szCs w:val="21"/>
        </w:rPr>
        <w:t xml:space="preserve">1740000.00  </w:t>
      </w:r>
    </w:p>
    <w:p w14:paraId="155138A7">
      <w:pPr>
        <w:pStyle w:val="18"/>
        <w:spacing w:line="360" w:lineRule="auto"/>
        <w:ind w:firstLine="480"/>
        <w:rPr>
          <w:rFonts w:hAnsi="宋体" w:cs="宋体"/>
          <w:b/>
          <w:color w:val="auto"/>
          <w:sz w:val="21"/>
          <w:szCs w:val="21"/>
        </w:rPr>
      </w:pPr>
      <w:r>
        <w:rPr>
          <w:rFonts w:hint="eastAsia" w:hAnsi="宋体" w:cs="宋体"/>
          <w:b/>
          <w:color w:val="auto"/>
          <w:sz w:val="21"/>
          <w:szCs w:val="21"/>
        </w:rPr>
        <w:t>采购需求：</w:t>
      </w:r>
    </w:p>
    <w:p w14:paraId="482CD3AD">
      <w:pPr>
        <w:pStyle w:val="18"/>
        <w:spacing w:line="360" w:lineRule="auto"/>
        <w:ind w:firstLine="480"/>
        <w:rPr>
          <w:rFonts w:hint="eastAsia" w:hAnsi="宋体" w:eastAsia="宋体" w:cs="宋体"/>
          <w:color w:val="auto"/>
          <w:sz w:val="21"/>
          <w:szCs w:val="21"/>
          <w:lang w:eastAsia="zh-CN"/>
        </w:rPr>
      </w:pPr>
      <w:r>
        <w:rPr>
          <w:rFonts w:hint="eastAsia" w:hAnsi="宋体" w:cs="宋体"/>
          <w:bCs/>
          <w:snapToGrid/>
          <w:color w:val="auto"/>
          <w:kern w:val="2"/>
          <w:sz w:val="21"/>
          <w:szCs w:val="21"/>
        </w:rPr>
        <w:t>标项名称：</w:t>
      </w:r>
      <w:r>
        <w:rPr>
          <w:rFonts w:hint="eastAsia" w:hAnsi="宋体" w:cs="宋体"/>
          <w:color w:val="auto"/>
          <w:sz w:val="21"/>
          <w:szCs w:val="21"/>
          <w:lang w:eastAsia="zh-CN"/>
        </w:rPr>
        <w:t xml:space="preserve">宁海县环保预警平台信创改造升级项目 </w:t>
      </w:r>
    </w:p>
    <w:p w14:paraId="7FF69968">
      <w:pPr>
        <w:pStyle w:val="18"/>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数量：1项</w:t>
      </w:r>
    </w:p>
    <w:p w14:paraId="0DF81F23">
      <w:pPr>
        <w:pStyle w:val="18"/>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预算金额（元）:</w:t>
      </w:r>
      <w:r>
        <w:rPr>
          <w:rFonts w:hint="eastAsia" w:hAnsi="宋体" w:cs="宋体"/>
          <w:color w:val="auto"/>
          <w:sz w:val="21"/>
          <w:szCs w:val="21"/>
        </w:rPr>
        <w:t xml:space="preserve">1740000.00  </w:t>
      </w:r>
    </w:p>
    <w:p w14:paraId="3D93BEF1">
      <w:pPr>
        <w:pStyle w:val="18"/>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简要规格描述或项目基本概况介绍、用途：具体以招标文件第三部分采购需求为准，供应商可点击本公告下方“浏览采购文件”查看采购需求。</w:t>
      </w:r>
    </w:p>
    <w:p w14:paraId="2D7A76F3">
      <w:pPr>
        <w:pStyle w:val="18"/>
        <w:spacing w:line="360" w:lineRule="auto"/>
        <w:ind w:firstLine="480"/>
        <w:rPr>
          <w:rFonts w:hAnsi="宋体" w:cs="宋体"/>
          <w:bCs/>
          <w:snapToGrid/>
          <w:color w:val="auto"/>
          <w:kern w:val="2"/>
          <w:sz w:val="21"/>
          <w:szCs w:val="21"/>
        </w:rPr>
      </w:pPr>
      <w:r>
        <w:rPr>
          <w:rFonts w:hint="eastAsia" w:hAnsi="宋体" w:cs="宋体"/>
          <w:bCs/>
          <w:snapToGrid/>
          <w:color w:val="auto"/>
          <w:kern w:val="2"/>
          <w:sz w:val="21"/>
          <w:szCs w:val="21"/>
        </w:rPr>
        <w:t>备注：/</w:t>
      </w:r>
    </w:p>
    <w:p w14:paraId="2F778750">
      <w:pPr>
        <w:pStyle w:val="18"/>
        <w:spacing w:line="360" w:lineRule="auto"/>
        <w:ind w:firstLine="480"/>
        <w:rPr>
          <w:rFonts w:hAnsi="宋体" w:cs="宋体"/>
          <w:bCs/>
          <w:snapToGrid/>
          <w:color w:val="auto"/>
          <w:kern w:val="2"/>
          <w:sz w:val="21"/>
          <w:szCs w:val="21"/>
        </w:rPr>
      </w:pPr>
      <w:r>
        <w:rPr>
          <w:rFonts w:hint="eastAsia" w:hAnsi="宋体" w:cs="宋体"/>
          <w:b/>
          <w:color w:val="auto"/>
          <w:kern w:val="2"/>
          <w:sz w:val="21"/>
          <w:szCs w:val="21"/>
        </w:rPr>
        <w:t>合同履约期限：</w:t>
      </w:r>
      <w:r>
        <w:rPr>
          <w:rFonts w:hint="eastAsia" w:hAnsi="宋体" w:cs="宋体"/>
          <w:bCs/>
          <w:snapToGrid/>
          <w:color w:val="auto"/>
          <w:kern w:val="2"/>
          <w:sz w:val="21"/>
          <w:szCs w:val="21"/>
        </w:rPr>
        <w:t>自合同签订之日起至2025年11月前完成，试运行三个月后完成项目验收。</w:t>
      </w:r>
    </w:p>
    <w:p w14:paraId="6A8BD53C">
      <w:pPr>
        <w:pStyle w:val="18"/>
        <w:spacing w:line="360" w:lineRule="auto"/>
        <w:ind w:firstLine="480"/>
        <w:rPr>
          <w:rFonts w:hAnsi="宋体" w:cs="宋体"/>
          <w:b/>
          <w:color w:val="auto"/>
          <w:sz w:val="21"/>
          <w:szCs w:val="21"/>
        </w:rPr>
      </w:pPr>
      <w:r>
        <w:rPr>
          <w:rFonts w:hint="eastAsia" w:hAnsi="宋体" w:cs="宋体"/>
          <w:b/>
          <w:color w:val="auto"/>
          <w:sz w:val="21"/>
          <w:szCs w:val="21"/>
        </w:rPr>
        <w:t>本项目接受联合体投标：</w:t>
      </w:r>
      <w:sdt>
        <w:sdtPr>
          <w:rPr>
            <w:rFonts w:hAnsi="宋体" w:cs="宋体"/>
            <w:color w:val="auto"/>
            <w:kern w:val="0"/>
            <w:sz w:val="21"/>
            <w:szCs w:val="21"/>
          </w:rPr>
          <w:id w:val="-1"/>
          <w14:checkbox>
            <w14:checked w14:val="0"/>
            <w14:checkedState w14:val="00FE" w14:font="Wingdings"/>
            <w14:uncheckedState w14:val="2610" w14:font="MS Gothic"/>
          </w14:checkbox>
        </w:sdtPr>
        <w:sdtEndPr>
          <w:rPr>
            <w:rFonts w:hAnsi="宋体" w:cs="宋体"/>
            <w:color w:val="auto"/>
            <w:kern w:val="0"/>
            <w:sz w:val="21"/>
            <w:szCs w:val="21"/>
          </w:rPr>
        </w:sdtEndPr>
        <w:sdtContent>
          <w:r>
            <w:rPr>
              <w:rFonts w:ascii="MS Gothic" w:hAnsi="MS Gothic" w:cs="宋体"/>
              <w:color w:val="auto"/>
              <w:kern w:val="0"/>
              <w:sz w:val="21"/>
              <w:szCs w:val="21"/>
            </w:rPr>
            <w:t>☐</w:t>
          </w:r>
        </w:sdtContent>
      </w:sdt>
      <w:r>
        <w:rPr>
          <w:rFonts w:hint="eastAsia" w:hAnsi="宋体" w:cs="宋体"/>
          <w:b/>
          <w:color w:val="auto"/>
          <w:sz w:val="21"/>
          <w:szCs w:val="21"/>
        </w:rPr>
        <w:t>是；</w:t>
      </w:r>
      <w:sdt>
        <w:sdtPr>
          <w:rPr>
            <w:rFonts w:hAnsi="宋体" w:cs="宋体"/>
            <w:color w:val="auto"/>
            <w:kern w:val="0"/>
            <w:sz w:val="21"/>
            <w:szCs w:val="21"/>
          </w:rPr>
          <w:id w:val="517215518"/>
          <w14:checkbox>
            <w14:checked w14:val="1"/>
            <w14:checkedState w14:val="00FE" w14:font="Wingdings"/>
            <w14:uncheckedState w14:val="2610" w14:font="MS Gothic"/>
          </w14:checkbox>
        </w:sdtPr>
        <w:sdtEndPr>
          <w:rPr>
            <w:rFonts w:hAnsi="宋体" w:cs="宋体"/>
            <w:color w:val="auto"/>
            <w:kern w:val="0"/>
            <w:sz w:val="21"/>
            <w:szCs w:val="21"/>
          </w:rPr>
        </w:sdtEndPr>
        <w:sdtContent>
          <w:r>
            <w:rPr>
              <w:rFonts w:ascii="Wingdings" w:hAnsi="Wingdings" w:cs="Segoe UI Symbol"/>
              <w:color w:val="auto"/>
              <w:kern w:val="0"/>
              <w:sz w:val="21"/>
              <w:szCs w:val="21"/>
            </w:rPr>
            <w:t></w:t>
          </w:r>
        </w:sdtContent>
      </w:sdt>
      <w:r>
        <w:rPr>
          <w:rFonts w:hint="eastAsia" w:hAnsi="宋体" w:cs="宋体"/>
          <w:b/>
          <w:color w:val="auto"/>
          <w:sz w:val="21"/>
          <w:szCs w:val="21"/>
        </w:rPr>
        <w:t>否</w:t>
      </w:r>
      <w:r>
        <w:rPr>
          <w:rFonts w:hint="eastAsia" w:hAnsi="宋体" w:cs="宋体"/>
          <w:color w:val="auto"/>
          <w:kern w:val="0"/>
          <w:sz w:val="21"/>
          <w:szCs w:val="21"/>
        </w:rPr>
        <w:t>。</w:t>
      </w:r>
    </w:p>
    <w:p w14:paraId="08025D84">
      <w:pPr>
        <w:spacing w:line="360" w:lineRule="auto"/>
        <w:rPr>
          <w:rFonts w:ascii="宋体" w:hAnsi="宋体" w:cs="宋体"/>
          <w:b/>
          <w:szCs w:val="21"/>
        </w:rPr>
      </w:pPr>
      <w:r>
        <w:rPr>
          <w:rFonts w:hint="eastAsia" w:ascii="宋体" w:hAnsi="宋体" w:cs="宋体"/>
          <w:b/>
          <w:szCs w:val="21"/>
        </w:rPr>
        <w:t>二、申请人的资格要求：</w:t>
      </w:r>
    </w:p>
    <w:p w14:paraId="59AC7AD8">
      <w:pPr>
        <w:spacing w:line="360" w:lineRule="auto"/>
        <w:ind w:firstLine="480"/>
        <w:rPr>
          <w:rFonts w:ascii="宋体" w:hAnsi="宋体" w:cs="宋体"/>
          <w:snapToGrid w:val="0"/>
          <w:kern w:val="28"/>
          <w:szCs w:val="21"/>
        </w:rPr>
      </w:pPr>
      <w:r>
        <w:rPr>
          <w:rFonts w:hint="eastAsia" w:ascii="宋体" w:hAnsi="宋体" w:cs="宋体"/>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5A1AF23">
      <w:pPr>
        <w:spacing w:line="360" w:lineRule="auto"/>
        <w:ind w:firstLine="480"/>
        <w:rPr>
          <w:rFonts w:ascii="宋体" w:hAnsi="宋体" w:cs="宋体"/>
          <w:snapToGrid w:val="0"/>
          <w:kern w:val="28"/>
          <w:szCs w:val="21"/>
        </w:rPr>
      </w:pPr>
      <w:r>
        <w:rPr>
          <w:rFonts w:ascii="宋体" w:hAnsi="宋体" w:cs="宋体"/>
          <w:snapToGrid w:val="0"/>
          <w:kern w:val="28"/>
          <w:szCs w:val="21"/>
        </w:rPr>
        <w:t>2</w:t>
      </w:r>
      <w:r>
        <w:rPr>
          <w:rFonts w:hint="eastAsia" w:ascii="宋体" w:hAnsi="宋体" w:cs="宋体"/>
          <w:snapToGrid w:val="0"/>
          <w:kern w:val="28"/>
          <w:szCs w:val="21"/>
        </w:rPr>
        <w:t>.以联合体形式投标的，提供联合协议；</w:t>
      </w:r>
    </w:p>
    <w:p w14:paraId="6BDC3B0D">
      <w:pPr>
        <w:spacing w:line="360" w:lineRule="auto"/>
        <w:ind w:firstLine="420" w:firstLineChars="200"/>
        <w:rPr>
          <w:rFonts w:ascii="宋体" w:hAnsi="宋体" w:cs="宋体"/>
          <w:snapToGrid w:val="0"/>
          <w:kern w:val="28"/>
          <w:szCs w:val="21"/>
        </w:rPr>
      </w:pPr>
      <w:r>
        <w:rPr>
          <w:rFonts w:ascii="宋体" w:hAnsi="宋体" w:cs="宋体"/>
          <w:snapToGrid w:val="0"/>
          <w:kern w:val="28"/>
          <w:szCs w:val="21"/>
        </w:rPr>
        <w:t>3</w:t>
      </w:r>
      <w:r>
        <w:rPr>
          <w:rFonts w:hint="eastAsia" w:ascii="宋体" w:hAnsi="宋体" w:cs="宋体"/>
          <w:snapToGrid w:val="0"/>
          <w:kern w:val="28"/>
          <w:szCs w:val="21"/>
        </w:rPr>
        <w:t>.落实政府采购政策需满足的资格要求：</w:t>
      </w:r>
    </w:p>
    <w:p w14:paraId="36ACB53F">
      <w:pPr>
        <w:spacing w:line="360" w:lineRule="auto"/>
        <w:ind w:firstLine="420" w:firstLineChars="200"/>
        <w:rPr>
          <w:rFonts w:ascii="宋体" w:hAnsi="宋体" w:cs="宋体"/>
          <w:szCs w:val="21"/>
        </w:rPr>
      </w:pPr>
      <w:sdt>
        <w:sdtPr>
          <w:rPr>
            <w:rFonts w:hint="eastAsia" w:ascii="宋体" w:hAnsi="宋体" w:cs="宋体"/>
            <w:kern w:val="0"/>
            <w:szCs w:val="21"/>
          </w:rPr>
          <w:id w:val="1928616923"/>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szCs w:val="21"/>
        </w:rPr>
        <w:t>无</w:t>
      </w:r>
    </w:p>
    <w:p w14:paraId="71101A5B">
      <w:pPr>
        <w:spacing w:line="360" w:lineRule="auto"/>
        <w:ind w:firstLine="420" w:firstLineChars="200"/>
        <w:rPr>
          <w:rFonts w:ascii="宋体" w:hAnsi="宋体" w:cs="宋体"/>
          <w:szCs w:val="21"/>
        </w:rPr>
      </w:pPr>
      <w:sdt>
        <w:sdtPr>
          <w:rPr>
            <w:rFonts w:hint="eastAsia" w:ascii="宋体" w:hAnsi="宋体" w:cs="宋体"/>
            <w:kern w:val="0"/>
            <w:szCs w:val="21"/>
          </w:rPr>
          <w:id w:val="62038654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专</w:t>
      </w:r>
      <w:r>
        <w:rPr>
          <w:rFonts w:hint="eastAsia" w:ascii="宋体" w:hAnsi="宋体" w:cs="宋体"/>
          <w:szCs w:val="21"/>
        </w:rPr>
        <w:t>门面向中小企业</w:t>
      </w:r>
    </w:p>
    <w:p w14:paraId="2155FA35">
      <w:pPr>
        <w:spacing w:line="360" w:lineRule="auto"/>
        <w:ind w:firstLine="785" w:firstLineChars="374"/>
        <w:rPr>
          <w:rFonts w:ascii="宋体" w:hAnsi="宋体" w:cs="宋体"/>
          <w:szCs w:val="21"/>
        </w:rPr>
      </w:pPr>
      <w:sdt>
        <w:sdtPr>
          <w:rPr>
            <w:rFonts w:hint="eastAsia" w:ascii="宋体" w:hAnsi="宋体" w:cs="宋体"/>
            <w:kern w:val="0"/>
            <w:szCs w:val="21"/>
          </w:rPr>
          <w:id w:val="80360605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szCs w:val="21"/>
        </w:rPr>
        <w:t>服务全部由符合政策要求的中小企业承接，提供中小企业声明函；</w:t>
      </w:r>
    </w:p>
    <w:p w14:paraId="3E9B7788">
      <w:pPr>
        <w:spacing w:line="360" w:lineRule="auto"/>
        <w:ind w:firstLine="785" w:firstLineChars="374"/>
        <w:rPr>
          <w:rFonts w:ascii="宋体" w:hAnsi="宋体" w:cs="宋体"/>
          <w:szCs w:val="21"/>
        </w:rPr>
      </w:pPr>
      <w:sdt>
        <w:sdtPr>
          <w:rPr>
            <w:rFonts w:hint="eastAsia" w:ascii="宋体" w:hAnsi="宋体" w:cs="宋体"/>
            <w:kern w:val="0"/>
            <w:szCs w:val="21"/>
          </w:rPr>
          <w:id w:val="68224317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服务全部由符合政策要求的小微企业承接，提供中小企业声明函；</w:t>
      </w:r>
    </w:p>
    <w:p w14:paraId="5EAF5D92">
      <w:pPr>
        <w:spacing w:line="360" w:lineRule="auto"/>
        <w:ind w:firstLine="420" w:firstLineChars="200"/>
        <w:rPr>
          <w:rFonts w:ascii="宋体" w:hAnsi="宋体" w:cs="宋体"/>
          <w:szCs w:val="21"/>
        </w:rPr>
      </w:pPr>
      <w:sdt>
        <w:sdtPr>
          <w:rPr>
            <w:rFonts w:hint="eastAsia" w:ascii="宋体" w:hAnsi="宋体" w:cs="宋体"/>
            <w:kern w:val="0"/>
            <w:szCs w:val="21"/>
          </w:rPr>
          <w:id w:val="4583408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cs="宋体"/>
              <w:kern w:val="0"/>
              <w:szCs w:val="21"/>
            </w:rPr>
            <w:t>☐</w:t>
          </w:r>
        </w:sdtContent>
      </w:sdt>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0D4F215">
      <w:pPr>
        <w:spacing w:line="360" w:lineRule="auto"/>
        <w:ind w:firstLine="420" w:firstLineChars="200"/>
        <w:rPr>
          <w:rFonts w:ascii="宋体" w:hAnsi="宋体" w:cs="宋体"/>
          <w:szCs w:val="21"/>
        </w:rPr>
      </w:pPr>
      <w:sdt>
        <w:sdtPr>
          <w:rPr>
            <w:rFonts w:hint="eastAsia" w:ascii="宋体" w:hAnsi="宋体" w:cs="宋体"/>
            <w:kern w:val="0"/>
            <w:szCs w:val="21"/>
          </w:rPr>
          <w:id w:val="3463064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6CDCC4F6">
      <w:pPr>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.本项目的特定资格要求：无</w:t>
      </w:r>
    </w:p>
    <w:p w14:paraId="6C388222">
      <w:pPr>
        <w:snapToGrid w:val="0"/>
        <w:spacing w:line="360" w:lineRule="auto"/>
        <w:ind w:firstLine="420" w:firstLineChars="200"/>
        <w:rPr>
          <w:rFonts w:ascii="宋体" w:hAnsi="宋体" w:cs="宋体"/>
          <w:szCs w:val="21"/>
        </w:rPr>
      </w:pPr>
      <w:r>
        <w:rPr>
          <w:rFonts w:hint="eastAsia" w:ascii="宋体" w:hAnsi="宋体" w:cs="宋体"/>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15628BA">
      <w:pPr>
        <w:snapToGrid w:val="0"/>
        <w:spacing w:line="360" w:lineRule="auto"/>
        <w:ind w:firstLine="420" w:firstLineChars="200"/>
        <w:rPr>
          <w:rFonts w:ascii="宋体" w:hAnsi="宋体" w:cs="宋体"/>
          <w:szCs w:val="21"/>
        </w:rPr>
      </w:pPr>
      <w:r>
        <w:rPr>
          <w:rFonts w:hint="eastAsia" w:ascii="宋体" w:hAnsi="宋体" w:cs="宋体"/>
          <w:szCs w:val="21"/>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25BAB04">
      <w:pPr>
        <w:spacing w:line="360" w:lineRule="auto"/>
        <w:rPr>
          <w:rFonts w:ascii="宋体" w:hAnsi="宋体" w:cs="宋体"/>
          <w:b/>
          <w:szCs w:val="21"/>
        </w:rPr>
      </w:pPr>
      <w:r>
        <w:rPr>
          <w:rFonts w:hint="eastAsia" w:ascii="宋体" w:hAnsi="宋体" w:cs="宋体"/>
          <w:b/>
          <w:szCs w:val="21"/>
        </w:rPr>
        <w:t>三、获取招标文件</w:t>
      </w:r>
    </w:p>
    <w:p w14:paraId="4E50F0CE">
      <w:pPr>
        <w:spacing w:line="360" w:lineRule="auto"/>
        <w:ind w:firstLine="422" w:firstLineChars="200"/>
        <w:rPr>
          <w:rFonts w:ascii="宋体" w:hAnsi="宋体" w:cs="宋体"/>
          <w:szCs w:val="21"/>
        </w:rPr>
      </w:pPr>
      <w:r>
        <w:rPr>
          <w:rFonts w:hint="eastAsia" w:ascii="宋体" w:hAnsi="宋体" w:cs="宋体"/>
          <w:b/>
          <w:szCs w:val="21"/>
        </w:rPr>
        <w:t>时间：</w:t>
      </w:r>
      <w:r>
        <w:rPr>
          <w:rFonts w:hint="eastAsia" w:ascii="宋体" w:hAnsi="宋体" w:cs="宋体"/>
          <w:szCs w:val="21"/>
        </w:rPr>
        <w:t>2025年  月  日至2025年 月  日，每天上午00:00至12:00 ，下午12:00至23:59（北京时间，线上获取法定节假日均可，线下获取文件法定节假日除外）</w:t>
      </w:r>
    </w:p>
    <w:p w14:paraId="27BB121A">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14:paraId="3791793D">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14:paraId="727D74B3">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p>
    <w:p w14:paraId="172F8C6C">
      <w:pPr>
        <w:spacing w:line="360" w:lineRule="auto"/>
        <w:rPr>
          <w:rFonts w:ascii="宋体" w:hAnsi="宋体" w:cs="宋体"/>
          <w:b/>
          <w:szCs w:val="21"/>
        </w:rPr>
      </w:pPr>
      <w:r>
        <w:rPr>
          <w:rFonts w:hint="eastAsia" w:ascii="宋体" w:hAnsi="宋体" w:cs="宋体"/>
          <w:b/>
          <w:szCs w:val="21"/>
        </w:rPr>
        <w:t>四、提交投标文件截止时间、开标时间和地点</w:t>
      </w:r>
    </w:p>
    <w:p w14:paraId="0900A669">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rPr>
        <w:t>2025年 月  日13点30分00秒</w:t>
      </w:r>
      <w:r>
        <w:rPr>
          <w:rFonts w:hint="eastAsia" w:ascii="宋体" w:hAnsi="宋体" w:cs="宋体"/>
          <w:szCs w:val="21"/>
        </w:rPr>
        <w:t>（北京时间）</w:t>
      </w:r>
    </w:p>
    <w:p w14:paraId="2118535D">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政采云平台（https://www.zcygov.cn/）</w:t>
      </w:r>
    </w:p>
    <w:p w14:paraId="4650FD67">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  月  日13点30分00秒</w:t>
      </w:r>
    </w:p>
    <w:p w14:paraId="6223B986">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14:paraId="776E9D94">
      <w:pPr>
        <w:spacing w:line="360" w:lineRule="auto"/>
        <w:rPr>
          <w:rFonts w:ascii="宋体" w:hAnsi="宋体" w:cs="宋体"/>
          <w:szCs w:val="21"/>
        </w:rPr>
      </w:pPr>
      <w:r>
        <w:rPr>
          <w:rFonts w:hint="eastAsia" w:ascii="宋体" w:hAnsi="宋体" w:cs="宋体"/>
          <w:b/>
          <w:szCs w:val="21"/>
        </w:rPr>
        <w:t xml:space="preserve">五、公告期限 </w:t>
      </w:r>
    </w:p>
    <w:p w14:paraId="1CA19404">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14:paraId="1126912C">
      <w:pPr>
        <w:spacing w:line="360" w:lineRule="auto"/>
        <w:rPr>
          <w:rFonts w:ascii="宋体" w:hAnsi="宋体" w:cs="宋体"/>
          <w:b/>
          <w:szCs w:val="21"/>
        </w:rPr>
      </w:pPr>
      <w:r>
        <w:rPr>
          <w:rFonts w:hint="eastAsia" w:ascii="宋体" w:hAnsi="宋体" w:cs="宋体"/>
          <w:b/>
          <w:szCs w:val="21"/>
        </w:rPr>
        <w:t>六、其他补充事宜</w:t>
      </w:r>
    </w:p>
    <w:p w14:paraId="3D62ADCD">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Cs w:val="21"/>
        </w:rPr>
        <w:t>。</w:t>
      </w:r>
    </w:p>
    <w:p w14:paraId="7E16BECC">
      <w:pPr>
        <w:spacing w:line="360" w:lineRule="auto"/>
        <w:ind w:firstLine="420" w:firstLineChars="200"/>
        <w:rPr>
          <w:rFonts w:ascii="宋体" w:hAnsi="宋体" w:cs="宋体"/>
          <w:szCs w:val="21"/>
        </w:rPr>
      </w:pPr>
      <w:r>
        <w:rPr>
          <w:rFonts w:hint="eastAsia" w:ascii="宋体" w:hAnsi="宋体" w:cs="宋体"/>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16C8AD">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1884694">
      <w:pPr>
        <w:spacing w:line="360" w:lineRule="auto"/>
        <w:ind w:firstLine="420" w:firstLineChars="200"/>
        <w:rPr>
          <w:rFonts w:ascii="宋体" w:hAnsi="宋体" w:cs="宋体"/>
          <w:szCs w:val="21"/>
        </w:rPr>
      </w:pPr>
      <w:r>
        <w:rPr>
          <w:rFonts w:hint="eastAsia" w:ascii="宋体" w:hAnsi="宋体" w:cs="宋体"/>
          <w:szCs w:val="21"/>
        </w:rPr>
        <w:t>4.其他事项：</w:t>
      </w:r>
    </w:p>
    <w:p w14:paraId="1777E008">
      <w:pPr>
        <w:spacing w:line="360" w:lineRule="auto"/>
        <w:ind w:firstLine="420" w:firstLineChars="200"/>
        <w:rPr>
          <w:rFonts w:ascii="宋体" w:hAnsi="宋体" w:cs="宋体"/>
          <w:szCs w:val="21"/>
        </w:rPr>
      </w:pPr>
      <w:r>
        <w:rPr>
          <w:rFonts w:hint="eastAsia" w:ascii="宋体" w:hAnsi="宋体" w:cs="宋体"/>
          <w:szCs w:val="21"/>
        </w:rPr>
        <w:t>（1）需要落实的政府采购政策：包括节约资源、保护环境、支持创新、促进中小企业发展等。详见招标文件的第二部分总则。</w:t>
      </w:r>
    </w:p>
    <w:p w14:paraId="52DB09F9">
      <w:pPr>
        <w:spacing w:line="360" w:lineRule="auto"/>
        <w:ind w:firstLine="420" w:firstLineChars="200"/>
        <w:rPr>
          <w:rFonts w:ascii="宋体" w:hAnsi="宋体" w:cs="宋体"/>
          <w:szCs w:val="21"/>
        </w:rPr>
      </w:pPr>
      <w:r>
        <w:rPr>
          <w:rFonts w:hint="eastAsia" w:ascii="宋体" w:hAnsi="宋体" w:cs="宋体"/>
          <w:szCs w:val="21"/>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EA30333">
      <w:pPr>
        <w:spacing w:line="360" w:lineRule="auto"/>
        <w:ind w:firstLine="420" w:firstLineChars="200"/>
        <w:rPr>
          <w:rFonts w:ascii="宋体" w:hAnsi="宋体" w:cs="宋体"/>
          <w:szCs w:val="21"/>
        </w:rPr>
      </w:pPr>
      <w:r>
        <w:rPr>
          <w:rFonts w:hint="eastAsia" w:ascii="宋体" w:hAnsi="宋体" w:cs="宋体"/>
          <w:szCs w:val="21"/>
        </w:rPr>
        <w:t>（3）招标文件公告期限与招标公告的公告期限一致。</w:t>
      </w:r>
    </w:p>
    <w:p w14:paraId="3B6F823D">
      <w:pPr>
        <w:spacing w:line="360" w:lineRule="auto"/>
        <w:ind w:firstLine="420" w:firstLineChars="200"/>
        <w:rPr>
          <w:rFonts w:ascii="宋体" w:hAnsi="宋体" w:cs="宋体"/>
          <w:szCs w:val="21"/>
        </w:rPr>
      </w:pPr>
      <w:r>
        <w:rPr>
          <w:rFonts w:hint="eastAsia" w:ascii="宋体" w:hAnsi="宋体" w:cs="宋体"/>
          <w:szCs w:val="21"/>
        </w:rPr>
        <w:t>（4）本招标公告中二、申请人的资格要求：第一条中的“重大税收违法案件当事人名单”即为“重大税收违法失信主体”。</w:t>
      </w:r>
    </w:p>
    <w:p w14:paraId="033DA3AC">
      <w:pPr>
        <w:spacing w:line="360" w:lineRule="auto"/>
        <w:rPr>
          <w:rFonts w:ascii="宋体" w:hAnsi="宋体" w:cs="宋体"/>
          <w:szCs w:val="21"/>
        </w:rPr>
      </w:pPr>
      <w:r>
        <w:rPr>
          <w:rFonts w:hint="eastAsia" w:ascii="宋体" w:hAnsi="宋体" w:cs="宋体"/>
          <w:b/>
          <w:szCs w:val="21"/>
        </w:rPr>
        <w:t>七、对本次采购提出询问、质疑、投诉，请按以下方式联系</w:t>
      </w:r>
    </w:p>
    <w:p w14:paraId="567AD8B6">
      <w:pPr>
        <w:spacing w:line="360" w:lineRule="auto"/>
        <w:rPr>
          <w:rFonts w:cs="宋体" w:asciiTheme="minorEastAsia" w:hAnsiTheme="minorEastAsia" w:eastAsiaTheme="minorEastAsia"/>
          <w:b/>
          <w:bCs/>
          <w:szCs w:val="21"/>
        </w:rPr>
      </w:pPr>
      <w:bookmarkStart w:id="12" w:name="_Toc28359019"/>
      <w:bookmarkStart w:id="13" w:name="_Toc35393806"/>
      <w:bookmarkStart w:id="14" w:name="_Toc35393637"/>
      <w:bookmarkStart w:id="15" w:name="_Toc28359096"/>
      <w:r>
        <w:rPr>
          <w:rFonts w:hint="eastAsia" w:cs="宋体" w:asciiTheme="minorEastAsia" w:hAnsiTheme="minorEastAsia" w:eastAsiaTheme="minorEastAsia"/>
          <w:b/>
          <w:bCs/>
          <w:szCs w:val="21"/>
        </w:rPr>
        <w:t>1.采购人信息</w:t>
      </w:r>
      <w:bookmarkEnd w:id="12"/>
      <w:bookmarkEnd w:id="13"/>
      <w:bookmarkEnd w:id="14"/>
      <w:bookmarkEnd w:id="15"/>
      <w:r>
        <w:rPr>
          <w:rFonts w:hint="eastAsia" w:cs="宋体" w:asciiTheme="minorEastAsia" w:hAnsiTheme="minorEastAsia" w:eastAsiaTheme="minorEastAsia"/>
          <w:b/>
          <w:bCs/>
          <w:szCs w:val="21"/>
        </w:rPr>
        <w:t>：</w:t>
      </w:r>
    </w:p>
    <w:p w14:paraId="26CA409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w:t>
      </w:r>
      <w:r>
        <w:rPr>
          <w:rFonts w:asciiTheme="minorEastAsia" w:hAnsiTheme="minorEastAsia" w:eastAsiaTheme="minorEastAsia"/>
          <w:szCs w:val="21"/>
        </w:rPr>
        <w:t xml:space="preserve">    </w:t>
      </w:r>
      <w:r>
        <w:rPr>
          <w:rFonts w:hint="eastAsia" w:asciiTheme="minorEastAsia" w:hAnsiTheme="minorEastAsia" w:eastAsiaTheme="minorEastAsia"/>
          <w:szCs w:val="21"/>
        </w:rPr>
        <w:t>称：宁波市生态环境局宁海分局</w:t>
      </w:r>
    </w:p>
    <w:p w14:paraId="390831FE">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    址：宁海县桃源大厦B</w:t>
      </w:r>
      <w:r>
        <w:rPr>
          <w:rFonts w:hint="eastAsia" w:asciiTheme="minorEastAsia" w:hAnsiTheme="minorEastAsia" w:eastAsiaTheme="minorEastAsia"/>
          <w:szCs w:val="21"/>
          <w:lang w:val="en-US" w:eastAsia="zh-CN"/>
        </w:rPr>
        <w:t>幢</w:t>
      </w:r>
      <w:bookmarkStart w:id="464" w:name="_GoBack"/>
      <w:bookmarkEnd w:id="464"/>
    </w:p>
    <w:p w14:paraId="19CB149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w:t>
      </w:r>
    </w:p>
    <w:p w14:paraId="31E158CF">
      <w:pPr>
        <w:snapToGrid w:val="0"/>
        <w:spacing w:line="360" w:lineRule="auto"/>
        <w:ind w:firstLine="420" w:firstLineChars="200"/>
        <w:rPr>
          <w:rFonts w:ascii="宋体" w:hAnsi="宋体" w:cs="宋体"/>
          <w:szCs w:val="21"/>
        </w:rPr>
      </w:pPr>
      <w:r>
        <w:rPr>
          <w:rFonts w:hint="eastAsia" w:asciiTheme="minorEastAsia" w:hAnsiTheme="minorEastAsia" w:eastAsiaTheme="minorEastAsia"/>
          <w:szCs w:val="21"/>
        </w:rPr>
        <w:t>项目联系人（询问）：</w:t>
      </w:r>
      <w:r>
        <w:rPr>
          <w:rFonts w:hint="eastAsia" w:ascii="宋体" w:hAnsi="宋体" w:cs="宋体"/>
          <w:szCs w:val="21"/>
        </w:rPr>
        <w:t>金老师</w:t>
      </w:r>
    </w:p>
    <w:p w14:paraId="497961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w:t>
      </w:r>
      <w:r>
        <w:rPr>
          <w:rFonts w:hint="eastAsia" w:ascii="宋体" w:hAnsi="宋体" w:cs="宋体"/>
          <w:szCs w:val="21"/>
        </w:rPr>
        <w:t>0574-59979730</w:t>
      </w:r>
    </w:p>
    <w:p w14:paraId="18262A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质疑联系人：李老师</w:t>
      </w:r>
    </w:p>
    <w:p w14:paraId="578B56E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质疑联系方式：0574-89285119</w:t>
      </w:r>
    </w:p>
    <w:p w14:paraId="13877637">
      <w:pPr>
        <w:spacing w:line="360" w:lineRule="auto"/>
        <w:rPr>
          <w:rFonts w:cs="宋体" w:asciiTheme="minorEastAsia" w:hAnsiTheme="minorEastAsia" w:eastAsiaTheme="minorEastAsia"/>
          <w:b/>
          <w:bCs/>
          <w:szCs w:val="21"/>
        </w:rPr>
      </w:pPr>
      <w:bookmarkStart w:id="16" w:name="_Toc35393807"/>
      <w:bookmarkStart w:id="17" w:name="_Toc28359097"/>
      <w:bookmarkStart w:id="18" w:name="_Toc28359020"/>
      <w:bookmarkStart w:id="19" w:name="_Toc35393638"/>
      <w:r>
        <w:rPr>
          <w:rFonts w:hint="eastAsia" w:cs="宋体" w:asciiTheme="minorEastAsia" w:hAnsiTheme="minorEastAsia" w:eastAsiaTheme="minorEastAsia"/>
          <w:b/>
          <w:bCs/>
          <w:szCs w:val="21"/>
        </w:rPr>
        <w:t>2.采购代理机构信息</w:t>
      </w:r>
      <w:bookmarkEnd w:id="16"/>
      <w:bookmarkEnd w:id="17"/>
      <w:bookmarkEnd w:id="18"/>
      <w:bookmarkEnd w:id="19"/>
      <w:r>
        <w:rPr>
          <w:rFonts w:hint="eastAsia" w:cs="宋体" w:asciiTheme="minorEastAsia" w:hAnsiTheme="minorEastAsia" w:eastAsiaTheme="minorEastAsia"/>
          <w:b/>
          <w:bCs/>
          <w:szCs w:val="21"/>
        </w:rPr>
        <w:t>：</w:t>
      </w:r>
    </w:p>
    <w:p w14:paraId="3AB7183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称：宁海童氏工程管理咨询有限公司</w:t>
      </w:r>
    </w:p>
    <w:p w14:paraId="059E2DA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址：宁海县时代大道178号（四楼）</w:t>
      </w:r>
    </w:p>
    <w:p w14:paraId="4C2FC79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真：0574-82533300</w:t>
      </w:r>
    </w:p>
    <w:p w14:paraId="29041C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项目联系人（询问）：胡云燕</w:t>
      </w:r>
    </w:p>
    <w:p w14:paraId="4850764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项目联系方式（询问）：0574-82533300</w:t>
      </w:r>
    </w:p>
    <w:p w14:paraId="553BDEB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质疑联系人：葛振球</w:t>
      </w:r>
    </w:p>
    <w:p w14:paraId="2B6F0D4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质疑联系方式：0574-82533300</w:t>
      </w:r>
    </w:p>
    <w:p w14:paraId="798D325C">
      <w:pPr>
        <w:spacing w:line="360" w:lineRule="auto"/>
        <w:rPr>
          <w:rFonts w:asciiTheme="minorEastAsia" w:hAnsiTheme="minorEastAsia" w:eastAsiaTheme="minorEastAsia"/>
          <w:b/>
          <w:szCs w:val="21"/>
        </w:rPr>
      </w:pPr>
      <w:bookmarkStart w:id="20" w:name="_Toc35393808"/>
      <w:bookmarkStart w:id="21" w:name="_Toc35393639"/>
      <w:bookmarkStart w:id="22" w:name="_Toc28359021"/>
      <w:bookmarkStart w:id="23" w:name="_Toc28359098"/>
      <w:r>
        <w:rPr>
          <w:rFonts w:hint="eastAsia" w:cs="宋体" w:asciiTheme="minorEastAsia" w:hAnsiTheme="minorEastAsia" w:eastAsiaTheme="minorEastAsia"/>
          <w:b/>
          <w:bCs/>
          <w:szCs w:val="21"/>
        </w:rPr>
        <w:t>3.</w:t>
      </w:r>
      <w:r>
        <w:rPr>
          <w:rFonts w:hint="eastAsia" w:asciiTheme="minorEastAsia" w:hAnsiTheme="minorEastAsia" w:eastAsiaTheme="minorEastAsia"/>
          <w:b/>
          <w:szCs w:val="21"/>
        </w:rPr>
        <w:t xml:space="preserve"> 同级政府采购监督管理部门：</w:t>
      </w:r>
    </w:p>
    <w:bookmarkEnd w:id="20"/>
    <w:bookmarkEnd w:id="21"/>
    <w:bookmarkEnd w:id="22"/>
    <w:bookmarkEnd w:id="23"/>
    <w:p w14:paraId="31AB04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6FD59F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地    址：宁海县跃龙街道桃源中路218号 </w:t>
      </w:r>
    </w:p>
    <w:p w14:paraId="6C8940D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传    真： 0574-65265612</w:t>
      </w:r>
    </w:p>
    <w:p w14:paraId="5F3E7DE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 ：王老师</w:t>
      </w:r>
    </w:p>
    <w:p w14:paraId="4ED1CA7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监督投诉电话：0574-65265668</w:t>
      </w:r>
    </w:p>
    <w:p w14:paraId="28AECD47">
      <w:pPr>
        <w:spacing w:line="360" w:lineRule="auto"/>
        <w:ind w:firstLine="420" w:firstLineChars="200"/>
        <w:rPr>
          <w:rFonts w:asciiTheme="minorEastAsia" w:hAnsiTheme="minorEastAsia" w:eastAsiaTheme="minorEastAsia"/>
          <w:szCs w:val="21"/>
        </w:rPr>
      </w:pPr>
    </w:p>
    <w:p w14:paraId="404E2B0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01CE941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7D8C41AC">
      <w:pPr>
        <w:widowControl/>
        <w:adjustRightInd/>
        <w:jc w:val="left"/>
        <w:rPr>
          <w:rFonts w:ascii="宋体" w:hAnsi="宋体" w:cs="宋体"/>
          <w:b/>
          <w:szCs w:val="21"/>
        </w:rPr>
      </w:pPr>
      <w:r>
        <w:rPr>
          <w:rFonts w:ascii="宋体" w:hAnsi="宋体" w:cs="宋体"/>
          <w:b/>
          <w:szCs w:val="21"/>
        </w:rPr>
        <w:br w:type="page"/>
      </w:r>
    </w:p>
    <w:p w14:paraId="33CD43C0">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10EFC8D7">
      <w:pPr>
        <w:adjustRightInd/>
        <w:spacing w:line="360" w:lineRule="auto"/>
        <w:jc w:val="center"/>
        <w:rPr>
          <w:rFonts w:ascii="宋体" w:hAnsi="宋体" w:cs="宋体"/>
          <w:b/>
          <w:szCs w:val="21"/>
        </w:rPr>
      </w:pPr>
      <w:r>
        <w:rPr>
          <w:rFonts w:hint="eastAsia" w:ascii="宋体" w:hAnsi="宋体" w:cs="宋体"/>
          <w:b/>
          <w:szCs w:val="21"/>
        </w:rPr>
        <w:t>前附表</w:t>
      </w:r>
    </w:p>
    <w:tbl>
      <w:tblPr>
        <w:tblStyle w:val="63"/>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2"/>
        <w:gridCol w:w="7134"/>
      </w:tblGrid>
      <w:tr w14:paraId="19AD2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97A9C18">
            <w:pPr>
              <w:spacing w:line="264" w:lineRule="auto"/>
              <w:jc w:val="center"/>
              <w:rPr>
                <w:rFonts w:ascii="宋体" w:hAnsi="宋体" w:cs="宋体"/>
                <w:b/>
                <w:szCs w:val="21"/>
              </w:rPr>
            </w:pPr>
            <w:r>
              <w:rPr>
                <w:rFonts w:hint="eastAsia" w:ascii="宋体" w:hAnsi="宋体" w:cs="宋体"/>
                <w:b/>
                <w:szCs w:val="21"/>
              </w:rPr>
              <w:t>序号</w:t>
            </w:r>
          </w:p>
        </w:tc>
        <w:tc>
          <w:tcPr>
            <w:tcW w:w="1842" w:type="dxa"/>
            <w:tcBorders>
              <w:top w:val="single" w:color="000000" w:sz="8" w:space="0"/>
              <w:left w:val="single" w:color="auto" w:sz="4" w:space="0"/>
              <w:bottom w:val="single" w:color="000000" w:sz="8" w:space="0"/>
              <w:right w:val="single" w:color="000000" w:sz="8" w:space="0"/>
            </w:tcBorders>
            <w:vAlign w:val="center"/>
          </w:tcPr>
          <w:p w14:paraId="765915C6">
            <w:pPr>
              <w:spacing w:line="264" w:lineRule="auto"/>
              <w:jc w:val="center"/>
              <w:rPr>
                <w:rFonts w:ascii="宋体" w:hAnsi="宋体" w:cs="宋体"/>
                <w:b/>
                <w:szCs w:val="21"/>
              </w:rPr>
            </w:pPr>
            <w:r>
              <w:rPr>
                <w:rFonts w:hint="eastAsia" w:ascii="宋体" w:hAnsi="宋体" w:cs="宋体"/>
                <w:b/>
                <w:szCs w:val="21"/>
              </w:rPr>
              <w:t>事项</w:t>
            </w:r>
          </w:p>
        </w:tc>
        <w:tc>
          <w:tcPr>
            <w:tcW w:w="7134" w:type="dxa"/>
            <w:tcBorders>
              <w:top w:val="single" w:color="000000" w:sz="8" w:space="0"/>
              <w:left w:val="single" w:color="000000" w:sz="2" w:space="0"/>
              <w:bottom w:val="single" w:color="000000" w:sz="8" w:space="0"/>
              <w:right w:val="single" w:color="000000" w:sz="8" w:space="0"/>
            </w:tcBorders>
            <w:vAlign w:val="center"/>
          </w:tcPr>
          <w:p w14:paraId="74FAA6AC">
            <w:pPr>
              <w:spacing w:line="264" w:lineRule="auto"/>
              <w:jc w:val="center"/>
              <w:rPr>
                <w:rFonts w:ascii="宋体" w:hAnsi="宋体" w:cs="宋体"/>
                <w:b/>
                <w:szCs w:val="21"/>
              </w:rPr>
            </w:pPr>
            <w:r>
              <w:rPr>
                <w:rFonts w:hint="eastAsia" w:ascii="宋体" w:hAnsi="宋体" w:cs="宋体"/>
                <w:b/>
                <w:szCs w:val="21"/>
              </w:rPr>
              <w:t>本项目的特别规定</w:t>
            </w:r>
          </w:p>
        </w:tc>
      </w:tr>
      <w:tr w14:paraId="5ED57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36AC76">
            <w:pPr>
              <w:spacing w:line="264" w:lineRule="auto"/>
              <w:jc w:val="center"/>
              <w:rPr>
                <w:rFonts w:ascii="宋体" w:hAnsi="宋体" w:cs="宋体"/>
                <w:szCs w:val="21"/>
              </w:rPr>
            </w:pPr>
            <w:r>
              <w:rPr>
                <w:rFonts w:hint="eastAsia" w:ascii="宋体" w:hAnsi="宋体" w:cs="宋体"/>
                <w:szCs w:val="21"/>
              </w:rPr>
              <w:t>1</w:t>
            </w:r>
          </w:p>
        </w:tc>
        <w:tc>
          <w:tcPr>
            <w:tcW w:w="1842" w:type="dxa"/>
            <w:tcBorders>
              <w:top w:val="single" w:color="000000" w:sz="8" w:space="0"/>
              <w:left w:val="single" w:color="auto" w:sz="4" w:space="0"/>
              <w:bottom w:val="single" w:color="000000" w:sz="8" w:space="0"/>
              <w:right w:val="single" w:color="000000" w:sz="8" w:space="0"/>
            </w:tcBorders>
            <w:vAlign w:val="center"/>
          </w:tcPr>
          <w:p w14:paraId="372E791C">
            <w:pPr>
              <w:spacing w:line="264" w:lineRule="auto"/>
              <w:jc w:val="center"/>
              <w:rPr>
                <w:rFonts w:ascii="宋体" w:hAnsi="宋体" w:cs="宋体"/>
                <w:b/>
                <w:szCs w:val="21"/>
              </w:rPr>
            </w:pPr>
            <w:r>
              <w:rPr>
                <w:rFonts w:hint="eastAsia" w:ascii="宋体" w:hAnsi="宋体" w:cs="宋体"/>
                <w:b/>
                <w:szCs w:val="21"/>
              </w:rPr>
              <w:t>项目属性</w:t>
            </w:r>
          </w:p>
        </w:tc>
        <w:tc>
          <w:tcPr>
            <w:tcW w:w="7134" w:type="dxa"/>
            <w:tcBorders>
              <w:top w:val="single" w:color="000000" w:sz="8" w:space="0"/>
              <w:left w:val="single" w:color="000000" w:sz="2" w:space="0"/>
              <w:bottom w:val="single" w:color="000000" w:sz="8" w:space="0"/>
              <w:right w:val="single" w:color="000000" w:sz="8" w:space="0"/>
            </w:tcBorders>
            <w:vAlign w:val="center"/>
          </w:tcPr>
          <w:p w14:paraId="11A0F955">
            <w:pPr>
              <w:spacing w:line="264" w:lineRule="auto"/>
              <w:rPr>
                <w:rFonts w:ascii="宋体" w:hAnsi="宋体" w:cs="宋体"/>
                <w:szCs w:val="21"/>
              </w:rPr>
            </w:pPr>
            <w:r>
              <w:rPr>
                <w:rFonts w:hint="eastAsia" w:ascii="宋体" w:hAnsi="宋体" w:cs="宋体"/>
                <w:szCs w:val="21"/>
              </w:rPr>
              <w:t>服务类。</w:t>
            </w:r>
          </w:p>
        </w:tc>
      </w:tr>
      <w:tr w14:paraId="2420D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4607B64">
            <w:pPr>
              <w:spacing w:line="264" w:lineRule="auto"/>
              <w:jc w:val="center"/>
              <w:rPr>
                <w:rFonts w:ascii="宋体" w:hAnsi="宋体" w:cs="宋体"/>
                <w:szCs w:val="21"/>
              </w:rPr>
            </w:pPr>
            <w:r>
              <w:rPr>
                <w:rFonts w:hint="eastAsia" w:ascii="宋体" w:hAnsi="宋体" w:cs="宋体"/>
                <w:szCs w:val="21"/>
              </w:rPr>
              <w:t>2</w:t>
            </w:r>
          </w:p>
        </w:tc>
        <w:tc>
          <w:tcPr>
            <w:tcW w:w="1842" w:type="dxa"/>
            <w:tcBorders>
              <w:top w:val="single" w:color="000000" w:sz="8" w:space="0"/>
              <w:left w:val="single" w:color="auto" w:sz="4" w:space="0"/>
              <w:bottom w:val="single" w:color="000000" w:sz="8" w:space="0"/>
              <w:right w:val="single" w:color="000000" w:sz="8" w:space="0"/>
            </w:tcBorders>
            <w:vAlign w:val="center"/>
          </w:tcPr>
          <w:p w14:paraId="7C43659F">
            <w:pPr>
              <w:spacing w:line="264" w:lineRule="auto"/>
              <w:jc w:val="center"/>
              <w:rPr>
                <w:rFonts w:ascii="宋体" w:hAnsi="宋体" w:cs="宋体"/>
                <w:b/>
                <w:szCs w:val="21"/>
              </w:rPr>
            </w:pPr>
            <w:r>
              <w:rPr>
                <w:rFonts w:hint="eastAsia" w:ascii="宋体" w:hAnsi="宋体" w:cs="宋体"/>
                <w:b/>
                <w:szCs w:val="21"/>
              </w:rPr>
              <w:t>采购标的及其对应的中小企业划分标准所属行业</w:t>
            </w:r>
          </w:p>
        </w:tc>
        <w:tc>
          <w:tcPr>
            <w:tcW w:w="7134" w:type="dxa"/>
            <w:tcBorders>
              <w:top w:val="single" w:color="000000" w:sz="8" w:space="0"/>
              <w:left w:val="single" w:color="000000" w:sz="2" w:space="0"/>
              <w:bottom w:val="single" w:color="000000" w:sz="8" w:space="0"/>
              <w:right w:val="single" w:color="000000" w:sz="8" w:space="0"/>
            </w:tcBorders>
            <w:vAlign w:val="center"/>
          </w:tcPr>
          <w:p w14:paraId="6F5B2F1B">
            <w:pPr>
              <w:spacing w:line="264" w:lineRule="auto"/>
              <w:rPr>
                <w:rFonts w:ascii="宋体" w:hAnsi="宋体" w:cs="宋体"/>
                <w:szCs w:val="21"/>
              </w:rPr>
            </w:pPr>
            <w:r>
              <w:rPr>
                <w:rFonts w:hint="eastAsia" w:ascii="宋体" w:hAnsi="宋体" w:cs="宋体"/>
                <w:kern w:val="0"/>
                <w:szCs w:val="21"/>
              </w:rPr>
              <w:t>（1）标的：</w:t>
            </w:r>
            <w:r>
              <w:rPr>
                <w:rFonts w:hint="eastAsia" w:ascii="宋体" w:hAnsi="宋体" w:cs="宋体"/>
                <w:kern w:val="0"/>
                <w:szCs w:val="21"/>
                <w:u w:val="single"/>
                <w:lang w:eastAsia="zh-CN"/>
              </w:rPr>
              <w:t xml:space="preserve">宁海县环保预警平台信创改造升级项目 </w:t>
            </w:r>
            <w:r>
              <w:rPr>
                <w:rFonts w:hint="eastAsia" w:ascii="宋体" w:hAnsi="宋体" w:cs="宋体"/>
                <w:kern w:val="0"/>
                <w:szCs w:val="21"/>
              </w:rPr>
              <w:t>，属于</w:t>
            </w:r>
            <w:r>
              <w:rPr>
                <w:rFonts w:hint="eastAsia" w:ascii="宋体" w:hAnsi="宋体" w:cs="宋体"/>
                <w:b/>
                <w:bCs/>
                <w:snapToGrid w:val="0"/>
                <w:color w:val="auto"/>
                <w:sz w:val="22"/>
                <w:szCs w:val="22"/>
                <w:u w:val="single"/>
              </w:rPr>
              <w:t>软件和信息技术服务</w:t>
            </w:r>
            <w:r>
              <w:rPr>
                <w:rFonts w:hint="eastAsia" w:ascii="宋体" w:hAnsi="宋体" w:cs="宋体"/>
                <w:kern w:val="0"/>
                <w:szCs w:val="21"/>
              </w:rPr>
              <w:t>行业；</w:t>
            </w:r>
          </w:p>
        </w:tc>
      </w:tr>
      <w:tr w14:paraId="6D82E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2CBEAB2">
            <w:pPr>
              <w:spacing w:line="264" w:lineRule="auto"/>
              <w:jc w:val="center"/>
              <w:rPr>
                <w:rFonts w:ascii="宋体" w:hAnsi="宋体" w:cs="宋体"/>
                <w:szCs w:val="21"/>
              </w:rPr>
            </w:pPr>
            <w:r>
              <w:rPr>
                <w:rFonts w:hint="eastAsia" w:ascii="宋体" w:hAnsi="宋体" w:cs="宋体"/>
                <w:szCs w:val="21"/>
              </w:rPr>
              <w:t>3</w:t>
            </w:r>
          </w:p>
        </w:tc>
        <w:tc>
          <w:tcPr>
            <w:tcW w:w="1842" w:type="dxa"/>
            <w:tcBorders>
              <w:top w:val="single" w:color="000000" w:sz="8" w:space="0"/>
              <w:left w:val="single" w:color="auto" w:sz="4" w:space="0"/>
              <w:bottom w:val="single" w:color="000000" w:sz="8" w:space="0"/>
              <w:right w:val="single" w:color="000000" w:sz="8" w:space="0"/>
            </w:tcBorders>
            <w:vAlign w:val="center"/>
          </w:tcPr>
          <w:p w14:paraId="738144D1">
            <w:pPr>
              <w:spacing w:line="264" w:lineRule="auto"/>
              <w:jc w:val="center"/>
              <w:rPr>
                <w:rFonts w:ascii="宋体" w:hAnsi="宋体" w:cs="宋体"/>
                <w:b/>
                <w:szCs w:val="21"/>
              </w:rPr>
            </w:pPr>
            <w:r>
              <w:rPr>
                <w:rFonts w:hint="eastAsia" w:ascii="宋体" w:hAnsi="宋体" w:cs="宋体"/>
                <w:b/>
                <w:szCs w:val="21"/>
              </w:rPr>
              <w:t>是否允许采购进口产品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5724527E">
            <w:pPr>
              <w:spacing w:line="264" w:lineRule="auto"/>
              <w:rPr>
                <w:rFonts w:ascii="宋体" w:hAnsi="宋体" w:cs="宋体"/>
                <w:kern w:val="0"/>
                <w:szCs w:val="21"/>
              </w:rPr>
            </w:pPr>
            <w:sdt>
              <w:sdtPr>
                <w:rPr>
                  <w:rFonts w:hint="eastAsia" w:ascii="宋体" w:hAnsi="宋体" w:cs="宋体"/>
                  <w:kern w:val="0"/>
                  <w:szCs w:val="21"/>
                </w:rPr>
                <w:id w:val="17981590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738BE731">
            <w:pPr>
              <w:spacing w:line="264" w:lineRule="auto"/>
              <w:rPr>
                <w:rFonts w:ascii="宋体" w:hAnsi="宋体" w:cs="宋体"/>
                <w:szCs w:val="21"/>
              </w:rPr>
            </w:pPr>
            <w:sdt>
              <w:sdtPr>
                <w:rPr>
                  <w:rFonts w:hint="eastAsia" w:ascii="宋体" w:hAnsi="宋体" w:cs="宋体"/>
                  <w:kern w:val="0"/>
                  <w:szCs w:val="21"/>
                </w:rPr>
                <w:id w:val="656339971"/>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749C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7D0AFFD">
            <w:pPr>
              <w:spacing w:line="264" w:lineRule="auto"/>
              <w:jc w:val="center"/>
              <w:rPr>
                <w:rFonts w:ascii="宋体" w:hAnsi="宋体" w:cs="宋体"/>
                <w:szCs w:val="21"/>
              </w:rPr>
            </w:pPr>
            <w:r>
              <w:rPr>
                <w:rFonts w:hint="eastAsia" w:ascii="宋体" w:hAnsi="宋体" w:cs="宋体"/>
                <w:szCs w:val="21"/>
              </w:rPr>
              <w:t>4</w:t>
            </w:r>
          </w:p>
        </w:tc>
        <w:tc>
          <w:tcPr>
            <w:tcW w:w="1842" w:type="dxa"/>
            <w:tcBorders>
              <w:top w:val="single" w:color="000000" w:sz="8" w:space="0"/>
              <w:left w:val="single" w:color="auto" w:sz="4" w:space="0"/>
              <w:bottom w:val="single" w:color="000000" w:sz="8" w:space="0"/>
              <w:right w:val="single" w:color="000000" w:sz="8" w:space="0"/>
            </w:tcBorders>
            <w:vAlign w:val="center"/>
          </w:tcPr>
          <w:p w14:paraId="092CD16D">
            <w:pPr>
              <w:spacing w:line="264" w:lineRule="auto"/>
              <w:ind w:firstLine="422" w:firstLineChars="200"/>
              <w:rPr>
                <w:rFonts w:ascii="宋体" w:hAnsi="宋体" w:cs="宋体"/>
                <w:b/>
                <w:szCs w:val="21"/>
              </w:rPr>
            </w:pPr>
            <w:r>
              <w:rPr>
                <w:rFonts w:hint="eastAsia" w:ascii="宋体" w:hAnsi="宋体" w:cs="宋体"/>
                <w:b/>
                <w:szCs w:val="21"/>
              </w:rPr>
              <w:t>分包</w:t>
            </w:r>
          </w:p>
        </w:tc>
        <w:tc>
          <w:tcPr>
            <w:tcW w:w="7134" w:type="dxa"/>
            <w:tcBorders>
              <w:top w:val="single" w:color="000000" w:sz="8" w:space="0"/>
              <w:left w:val="single" w:color="000000" w:sz="2" w:space="0"/>
              <w:bottom w:val="single" w:color="000000" w:sz="8" w:space="0"/>
              <w:right w:val="single" w:color="000000" w:sz="8" w:space="0"/>
            </w:tcBorders>
            <w:vAlign w:val="center"/>
          </w:tcPr>
          <w:p w14:paraId="3511B78A">
            <w:pPr>
              <w:spacing w:line="264" w:lineRule="auto"/>
              <w:rPr>
                <w:rFonts w:ascii="宋体" w:hAnsi="宋体" w:cs="宋体"/>
                <w:szCs w:val="21"/>
              </w:rPr>
            </w:pPr>
            <w:sdt>
              <w:sdtPr>
                <w:rPr>
                  <w:rFonts w:hint="eastAsia" w:ascii="宋体" w:hAnsi="宋体" w:cs="宋体"/>
                  <w:kern w:val="0"/>
                  <w:szCs w:val="21"/>
                </w:rPr>
                <w:id w:val="62988160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部分  </w:t>
            </w:r>
            <w:r>
              <w:rPr>
                <w:rFonts w:hint="eastAsia" w:ascii="宋体" w:hAnsi="宋体" w:cs="宋体"/>
                <w:szCs w:val="21"/>
              </w:rPr>
              <w:t>工作分包。</w:t>
            </w:r>
            <w:sdt>
              <w:sdtPr>
                <w:rPr>
                  <w:rFonts w:hint="eastAsia" w:ascii="宋体" w:hAnsi="宋体" w:cs="宋体"/>
                  <w:kern w:val="0"/>
                  <w:szCs w:val="21"/>
                </w:rPr>
                <w:id w:val="11873410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cs="宋体"/>
                    <w:kern w:val="0"/>
                    <w:szCs w:val="21"/>
                  </w:rPr>
                  <w:t>☐</w:t>
                </w:r>
              </w:sdtContent>
            </w:sdt>
            <w:r>
              <w:rPr>
                <w:rFonts w:hint="eastAsia" w:ascii="宋体" w:hAnsi="宋体" w:cs="宋体"/>
                <w:kern w:val="0"/>
                <w:szCs w:val="21"/>
              </w:rPr>
              <w:t xml:space="preserve"> B</w:t>
            </w:r>
            <w:r>
              <w:rPr>
                <w:rFonts w:hint="eastAsia" w:ascii="宋体" w:hAnsi="宋体" w:cs="宋体"/>
                <w:szCs w:val="21"/>
              </w:rPr>
              <w:t>不同意分包。</w:t>
            </w:r>
          </w:p>
        </w:tc>
      </w:tr>
      <w:tr w14:paraId="18A1A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C90BB8F">
            <w:pPr>
              <w:spacing w:line="264" w:lineRule="auto"/>
              <w:jc w:val="center"/>
              <w:rPr>
                <w:rFonts w:ascii="宋体" w:hAnsi="宋体" w:cs="宋体"/>
                <w:szCs w:val="21"/>
              </w:rPr>
            </w:pPr>
            <w:r>
              <w:rPr>
                <w:rFonts w:hint="eastAsia" w:ascii="宋体" w:hAnsi="宋体" w:cs="宋体"/>
                <w:szCs w:val="21"/>
              </w:rPr>
              <w:t>5</w:t>
            </w:r>
          </w:p>
        </w:tc>
        <w:tc>
          <w:tcPr>
            <w:tcW w:w="1842" w:type="dxa"/>
            <w:tcBorders>
              <w:top w:val="single" w:color="000000" w:sz="8" w:space="0"/>
              <w:left w:val="single" w:color="auto" w:sz="4" w:space="0"/>
              <w:bottom w:val="single" w:color="000000" w:sz="8" w:space="0"/>
              <w:right w:val="single" w:color="000000" w:sz="8" w:space="0"/>
            </w:tcBorders>
            <w:vAlign w:val="center"/>
          </w:tcPr>
          <w:p w14:paraId="0C9119D2">
            <w:pPr>
              <w:spacing w:line="264" w:lineRule="auto"/>
              <w:jc w:val="center"/>
              <w:rPr>
                <w:rFonts w:ascii="宋体" w:hAnsi="宋体" w:cs="宋体"/>
                <w:b/>
                <w:szCs w:val="21"/>
              </w:rPr>
            </w:pPr>
            <w:r>
              <w:rPr>
                <w:rFonts w:hint="eastAsia" w:ascii="宋体" w:hAnsi="宋体" w:cs="宋体"/>
                <w:b/>
                <w:szCs w:val="21"/>
              </w:rPr>
              <w:t>开标前答疑会或现场考察</w:t>
            </w:r>
          </w:p>
        </w:tc>
        <w:tc>
          <w:tcPr>
            <w:tcW w:w="7134" w:type="dxa"/>
            <w:tcBorders>
              <w:top w:val="single" w:color="000000" w:sz="8" w:space="0"/>
              <w:left w:val="single" w:color="000000" w:sz="2" w:space="0"/>
              <w:bottom w:val="single" w:color="000000" w:sz="8" w:space="0"/>
              <w:right w:val="single" w:color="000000" w:sz="8" w:space="0"/>
            </w:tcBorders>
            <w:vAlign w:val="center"/>
          </w:tcPr>
          <w:p w14:paraId="0B67588B">
            <w:pPr>
              <w:spacing w:line="264" w:lineRule="auto"/>
              <w:rPr>
                <w:rFonts w:ascii="宋体" w:hAnsi="宋体" w:cs="宋体"/>
                <w:szCs w:val="21"/>
              </w:rPr>
            </w:pPr>
            <w:sdt>
              <w:sdtPr>
                <w:rPr>
                  <w:rFonts w:hint="eastAsia" w:ascii="宋体" w:hAnsi="宋体" w:cs="宋体"/>
                  <w:kern w:val="0"/>
                  <w:szCs w:val="21"/>
                </w:rPr>
                <w:id w:val="551761058"/>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不组织。</w:t>
            </w:r>
          </w:p>
          <w:p w14:paraId="2C63148F">
            <w:pPr>
              <w:spacing w:line="264" w:lineRule="auto"/>
              <w:rPr>
                <w:rFonts w:ascii="宋体" w:hAnsi="宋体" w:cs="宋体"/>
                <w:szCs w:val="21"/>
              </w:rPr>
            </w:pPr>
            <w:sdt>
              <w:sdtPr>
                <w:rPr>
                  <w:rFonts w:hint="eastAsia" w:ascii="宋体" w:hAnsi="宋体" w:cs="宋体"/>
                  <w:kern w:val="0"/>
                  <w:szCs w:val="21"/>
                </w:rPr>
                <w:id w:val="613714060"/>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411D2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60C7FB9">
            <w:pPr>
              <w:spacing w:line="264" w:lineRule="auto"/>
              <w:jc w:val="center"/>
              <w:rPr>
                <w:rFonts w:ascii="宋体" w:hAnsi="宋体" w:cs="宋体"/>
                <w:szCs w:val="21"/>
              </w:rPr>
            </w:pPr>
            <w:r>
              <w:rPr>
                <w:rFonts w:hint="eastAsia" w:ascii="宋体" w:hAnsi="宋体" w:cs="宋体"/>
                <w:szCs w:val="21"/>
              </w:rPr>
              <w:t>6</w:t>
            </w:r>
          </w:p>
        </w:tc>
        <w:tc>
          <w:tcPr>
            <w:tcW w:w="1842" w:type="dxa"/>
            <w:tcBorders>
              <w:top w:val="single" w:color="000000" w:sz="8" w:space="0"/>
              <w:left w:val="single" w:color="auto" w:sz="4" w:space="0"/>
              <w:bottom w:val="single" w:color="000000" w:sz="8" w:space="0"/>
              <w:right w:val="single" w:color="000000" w:sz="8" w:space="0"/>
            </w:tcBorders>
            <w:vAlign w:val="center"/>
          </w:tcPr>
          <w:p w14:paraId="3870A558">
            <w:pPr>
              <w:spacing w:line="264" w:lineRule="auto"/>
              <w:jc w:val="center"/>
              <w:rPr>
                <w:rFonts w:ascii="宋体" w:hAnsi="宋体" w:cs="宋体"/>
                <w:b/>
                <w:szCs w:val="21"/>
              </w:rPr>
            </w:pPr>
            <w:r>
              <w:rPr>
                <w:rFonts w:hint="eastAsia" w:ascii="宋体" w:hAnsi="宋体" w:cs="宋体"/>
                <w:b/>
                <w:szCs w:val="21"/>
              </w:rPr>
              <w:t>样品提供</w:t>
            </w:r>
          </w:p>
        </w:tc>
        <w:tc>
          <w:tcPr>
            <w:tcW w:w="7134" w:type="dxa"/>
            <w:tcBorders>
              <w:top w:val="single" w:color="000000" w:sz="8" w:space="0"/>
              <w:left w:val="single" w:color="000000" w:sz="2" w:space="0"/>
              <w:bottom w:val="single" w:color="000000" w:sz="8" w:space="0"/>
              <w:right w:val="single" w:color="000000" w:sz="8" w:space="0"/>
            </w:tcBorders>
            <w:vAlign w:val="center"/>
          </w:tcPr>
          <w:p w14:paraId="0FE56C9F">
            <w:pPr>
              <w:spacing w:line="264" w:lineRule="auto"/>
              <w:rPr>
                <w:rFonts w:ascii="宋体" w:hAnsi="宋体" w:cs="宋体"/>
                <w:szCs w:val="21"/>
              </w:rPr>
            </w:pPr>
            <w:sdt>
              <w:sdtPr>
                <w:rPr>
                  <w:rFonts w:hint="eastAsia" w:ascii="宋体" w:hAnsi="宋体" w:cs="宋体"/>
                  <w:kern w:val="0"/>
                  <w:szCs w:val="21"/>
                </w:rPr>
                <w:id w:val="328249879"/>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Cs w:val="21"/>
                  </w:rPr>
                  <w:t></w:t>
                </w:r>
              </w:sdtContent>
            </w:sdt>
            <w:r>
              <w:rPr>
                <w:rFonts w:hint="eastAsia" w:ascii="宋体" w:hAnsi="宋体" w:cs="宋体"/>
                <w:kern w:val="0"/>
                <w:szCs w:val="21"/>
              </w:rPr>
              <w:t>A</w:t>
            </w:r>
            <w:r>
              <w:rPr>
                <w:rFonts w:hint="eastAsia" w:ascii="宋体" w:hAnsi="宋体" w:cs="宋体"/>
                <w:szCs w:val="21"/>
              </w:rPr>
              <w:t>不要求提供。</w:t>
            </w:r>
          </w:p>
          <w:p w14:paraId="671DD1B4">
            <w:pPr>
              <w:spacing w:line="264" w:lineRule="auto"/>
              <w:rPr>
                <w:rFonts w:ascii="宋体" w:hAnsi="宋体" w:cs="宋体"/>
                <w:kern w:val="0"/>
                <w:szCs w:val="21"/>
              </w:rPr>
            </w:pPr>
            <w:sdt>
              <w:sdtPr>
                <w:rPr>
                  <w:rFonts w:hint="eastAsia" w:ascii="宋体" w:hAnsi="宋体" w:cs="宋体"/>
                  <w:kern w:val="0"/>
                  <w:szCs w:val="21"/>
                </w:rPr>
                <w:id w:val="1026831988"/>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B要求提供，</w:t>
            </w:r>
          </w:p>
          <w:p w14:paraId="2FFC3D16">
            <w:pPr>
              <w:spacing w:line="264" w:lineRule="auto"/>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szCs w:val="21"/>
                <w:u w:val="single"/>
              </w:rPr>
              <w:t xml:space="preserve">    </w:t>
            </w:r>
            <w:r>
              <w:rPr>
                <w:rFonts w:hint="eastAsia" w:ascii="宋体" w:hAnsi="宋体" w:cs="宋体"/>
                <w:kern w:val="0"/>
                <w:szCs w:val="21"/>
              </w:rPr>
              <w:t>；</w:t>
            </w:r>
          </w:p>
          <w:p w14:paraId="636011E4">
            <w:pPr>
              <w:spacing w:line="264" w:lineRule="auto"/>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szCs w:val="21"/>
                <w:u w:val="single"/>
              </w:rPr>
              <w:t xml:space="preserve">    </w:t>
            </w:r>
            <w:r>
              <w:rPr>
                <w:rFonts w:hint="eastAsia" w:ascii="宋体" w:hAnsi="宋体" w:cs="宋体"/>
                <w:kern w:val="0"/>
                <w:szCs w:val="21"/>
              </w:rPr>
              <w:t>；</w:t>
            </w:r>
          </w:p>
          <w:p w14:paraId="12119E91">
            <w:pPr>
              <w:spacing w:line="264" w:lineRule="auto"/>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6C7F2A98">
            <w:pPr>
              <w:spacing w:line="264" w:lineRule="auto"/>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hint="eastAsia" w:ascii="宋体" w:hAnsi="宋体" w:cs="宋体"/>
                <w:kern w:val="0"/>
                <w:szCs w:val="21"/>
              </w:rPr>
              <w:t>否；</w:t>
            </w:r>
            <w:sdt>
              <w:sdtPr>
                <w:rPr>
                  <w:rFonts w:hint="eastAsia" w:ascii="宋体" w:hAnsi="宋体" w:cs="宋体"/>
                  <w:kern w:val="0"/>
                  <w:szCs w:val="21"/>
                </w:rPr>
                <w:id w:val="1621728433"/>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kern w:val="0"/>
                <w:szCs w:val="21"/>
              </w:rPr>
              <w:t>。</w:t>
            </w:r>
          </w:p>
          <w:p w14:paraId="613E6246">
            <w:pPr>
              <w:spacing w:line="264" w:lineRule="auto"/>
              <w:rPr>
                <w:rFonts w:ascii="宋体" w:hAnsi="宋体" w:cs="宋体"/>
                <w:szCs w:val="21"/>
              </w:rPr>
            </w:pPr>
            <w:r>
              <w:rPr>
                <w:rFonts w:hint="eastAsia" w:ascii="宋体" w:hAnsi="宋体" w:cs="宋体"/>
                <w:szCs w:val="21"/>
              </w:rPr>
              <w:t>（5）提供样品的时间：</w:t>
            </w:r>
            <w:r>
              <w:rPr>
                <w:rFonts w:hint="eastAsia" w:ascii="宋体" w:hAnsi="宋体" w:cs="宋体"/>
                <w:szCs w:val="21"/>
                <w:u w:val="single"/>
              </w:rPr>
              <w:t xml:space="preserve">    </w:t>
            </w:r>
            <w:r>
              <w:rPr>
                <w:rFonts w:hint="eastAsia" w:ascii="宋体" w:hAnsi="宋体" w:cs="宋体"/>
                <w:kern w:val="0"/>
                <w:szCs w:val="21"/>
              </w:rPr>
              <w:t>；地点：</w:t>
            </w:r>
            <w:r>
              <w:rPr>
                <w:rFonts w:hint="eastAsia" w:ascii="宋体" w:hAnsi="宋体" w:cs="宋体"/>
                <w:szCs w:val="21"/>
                <w:u w:val="single"/>
              </w:rPr>
              <w:t xml:space="preserve">    </w:t>
            </w:r>
            <w:r>
              <w:rPr>
                <w:rFonts w:hint="eastAsia" w:ascii="宋体" w:hAnsi="宋体" w:cs="宋体"/>
                <w:kern w:val="0"/>
                <w:szCs w:val="21"/>
              </w:rPr>
              <w:t>；联系人</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28"/>
                <w:szCs w:val="21"/>
              </w:rPr>
              <w:t>联系电话：</w:t>
            </w:r>
            <w:r>
              <w:rPr>
                <w:rFonts w:hint="eastAsia" w:ascii="宋体" w:hAnsi="宋体" w:cs="宋体"/>
                <w:szCs w:val="21"/>
                <w:u w:val="single"/>
              </w:rPr>
              <w:t xml:space="preserve">    </w:t>
            </w:r>
            <w:r>
              <w:rPr>
                <w:rFonts w:hint="eastAsia" w:ascii="宋体" w:hAnsi="宋体" w:cs="宋体"/>
                <w:szCs w:val="21"/>
              </w:rPr>
              <w:t>。请投标人在上述时间内提供样品并按规定位置安装完毕。超过截止时间的，采购人或采购代理机构将不予接收，并将清场并封闭样品现场。</w:t>
            </w:r>
          </w:p>
          <w:p w14:paraId="033E987E">
            <w:pPr>
              <w:spacing w:line="264" w:lineRule="auto"/>
              <w:rPr>
                <w:rFonts w:ascii="宋体" w:hAnsi="宋体" w:cs="宋体"/>
                <w:szCs w:val="21"/>
              </w:rPr>
            </w:pPr>
            <w:r>
              <w:rPr>
                <w:rFonts w:hint="eastAsia" w:ascii="宋体" w:hAnsi="宋体" w:cs="宋体"/>
                <w:szCs w:val="21"/>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CDA44C">
            <w:pPr>
              <w:spacing w:line="264" w:lineRule="auto"/>
              <w:rPr>
                <w:rFonts w:ascii="宋体" w:hAnsi="宋体" w:cs="宋体"/>
                <w:b/>
                <w:szCs w:val="21"/>
              </w:rPr>
            </w:pPr>
            <w:r>
              <w:rPr>
                <w:rFonts w:hint="eastAsia" w:ascii="宋体" w:hAnsi="宋体" w:cs="宋体"/>
                <w:szCs w:val="21"/>
              </w:rPr>
              <w:t>（7）制作、运输、安装和保管样品所发生的一切费用由投标人自理。</w:t>
            </w:r>
          </w:p>
        </w:tc>
      </w:tr>
      <w:tr w14:paraId="445E5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61A89D">
            <w:pPr>
              <w:spacing w:line="264" w:lineRule="auto"/>
              <w:jc w:val="center"/>
              <w:rPr>
                <w:rFonts w:ascii="宋体" w:hAnsi="宋体" w:cs="宋体"/>
                <w:szCs w:val="21"/>
              </w:rPr>
            </w:pPr>
            <w:r>
              <w:rPr>
                <w:rFonts w:hint="eastAsia" w:ascii="宋体" w:hAnsi="宋体" w:cs="宋体"/>
                <w:szCs w:val="21"/>
              </w:rPr>
              <w:t>7</w:t>
            </w:r>
          </w:p>
        </w:tc>
        <w:tc>
          <w:tcPr>
            <w:tcW w:w="1842" w:type="dxa"/>
            <w:tcBorders>
              <w:top w:val="single" w:color="000000" w:sz="8" w:space="0"/>
              <w:left w:val="single" w:color="auto" w:sz="4" w:space="0"/>
              <w:bottom w:val="single" w:color="000000" w:sz="8" w:space="0"/>
              <w:right w:val="single" w:color="000000" w:sz="8" w:space="0"/>
            </w:tcBorders>
            <w:vAlign w:val="center"/>
          </w:tcPr>
          <w:p w14:paraId="5C5460C0">
            <w:pPr>
              <w:spacing w:line="264" w:lineRule="auto"/>
              <w:jc w:val="center"/>
              <w:rPr>
                <w:rFonts w:ascii="宋体" w:hAnsi="宋体" w:cs="宋体"/>
                <w:bCs/>
                <w:szCs w:val="21"/>
              </w:rPr>
            </w:pPr>
            <w:r>
              <w:rPr>
                <w:rFonts w:hint="eastAsia" w:ascii="宋体" w:hAnsi="宋体" w:cs="宋体"/>
                <w:b/>
                <w:szCs w:val="21"/>
              </w:rPr>
              <w:t>方案讲解演示</w:t>
            </w:r>
          </w:p>
        </w:tc>
        <w:tc>
          <w:tcPr>
            <w:tcW w:w="7134" w:type="dxa"/>
            <w:tcBorders>
              <w:top w:val="single" w:color="000000" w:sz="8" w:space="0"/>
              <w:left w:val="single" w:color="000000" w:sz="2" w:space="0"/>
              <w:bottom w:val="single" w:color="000000" w:sz="8" w:space="0"/>
              <w:right w:val="single" w:color="000000" w:sz="8" w:space="0"/>
            </w:tcBorders>
            <w:vAlign w:val="center"/>
          </w:tcPr>
          <w:p w14:paraId="10361C49">
            <w:pPr>
              <w:spacing w:line="264" w:lineRule="auto"/>
              <w:rPr>
                <w:rFonts w:ascii="宋体" w:hAnsi="宋体" w:cs="宋体"/>
                <w:szCs w:val="21"/>
              </w:rPr>
            </w:pPr>
            <w:sdt>
              <w:sdtPr>
                <w:rPr>
                  <w:rFonts w:hint="eastAsia" w:ascii="宋体" w:hAnsi="宋体" w:cs="宋体"/>
                  <w:kern w:val="0"/>
                  <w:szCs w:val="21"/>
                </w:rPr>
                <w:id w:val="10227210"/>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eastAsia="MS Gothic" w:cs="宋体"/>
                    <w:kern w:val="0"/>
                    <w:sz w:val="21"/>
                    <w:szCs w:val="21"/>
                    <w:lang w:val="en-US" w:eastAsia="zh-CN" w:bidi="ar-SA"/>
                  </w:rPr>
                  <w:t>þ</w:t>
                </w:r>
              </w:sdtContent>
            </w:sdt>
            <w:r>
              <w:rPr>
                <w:rFonts w:hint="eastAsia" w:ascii="宋体" w:hAnsi="宋体" w:cs="宋体"/>
                <w:kern w:val="0"/>
                <w:szCs w:val="21"/>
              </w:rPr>
              <w:t>A</w:t>
            </w:r>
            <w:r>
              <w:rPr>
                <w:rFonts w:hint="eastAsia" w:ascii="宋体" w:hAnsi="宋体" w:cs="宋体"/>
                <w:szCs w:val="21"/>
              </w:rPr>
              <w:t>不组织。</w:t>
            </w:r>
          </w:p>
          <w:p w14:paraId="1E55783E">
            <w:pPr>
              <w:spacing w:line="264" w:lineRule="auto"/>
              <w:rPr>
                <w:rFonts w:ascii="宋体" w:hAnsi="宋体" w:cs="宋体"/>
                <w:kern w:val="0"/>
                <w:szCs w:val="21"/>
              </w:rPr>
            </w:pPr>
            <w:sdt>
              <w:sdtPr>
                <w:rPr>
                  <w:rFonts w:hint="eastAsia" w:ascii="宋体" w:hAnsi="宋体" w:cs="宋体"/>
                  <w:kern w:val="0"/>
                  <w:szCs w:val="21"/>
                </w:rPr>
                <w:id w:val="1174071719"/>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ascii="MS Gothic" w:hAnsi="MS Gothic" w:eastAsia="宋体" w:cs="宋体"/>
                    <w:kern w:val="0"/>
                    <w:sz w:val="21"/>
                    <w:szCs w:val="21"/>
                    <w:lang w:val="en-US" w:eastAsia="zh-CN" w:bidi="ar-SA"/>
                  </w:rPr>
                  <w:t>☐</w:t>
                </w:r>
              </w:sdtContent>
            </w:sdt>
            <w:r>
              <w:rPr>
                <w:rFonts w:hint="eastAsia" w:ascii="宋体" w:hAnsi="宋体" w:cs="宋体"/>
                <w:kern w:val="0"/>
                <w:szCs w:val="21"/>
              </w:rPr>
              <w:t>B组织。</w:t>
            </w:r>
          </w:p>
          <w:p w14:paraId="66C864C4">
            <w:pPr>
              <w:spacing w:line="264"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分钟，讲解次序以投标文件解密时间先后次序为准，讲解演示人员不超过</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w:t>
            </w:r>
            <w:r>
              <w:rPr>
                <w:rFonts w:hint="eastAsia" w:ascii="宋体" w:hAnsi="宋体" w:cs="宋体"/>
                <w:kern w:val="0"/>
                <w:szCs w:val="21"/>
                <w:u w:val="single"/>
              </w:rPr>
              <w:t xml:space="preserve"> </w:t>
            </w:r>
            <w:r>
              <w:rPr>
                <w:rFonts w:hint="eastAsia" w:ascii="宋体" w:hAnsi="宋体" w:cs="宋体"/>
                <w:kern w:val="0"/>
                <w:szCs w:val="21"/>
              </w:rPr>
              <w:t>人。讲解演示结束后按要求解答评标委员会提问。</w:t>
            </w:r>
          </w:p>
          <w:p w14:paraId="6999B4EC">
            <w:pPr>
              <w:spacing w:line="264" w:lineRule="auto"/>
              <w:rPr>
                <w:rFonts w:ascii="宋体" w:hAnsi="宋体" w:cs="宋体"/>
                <w:kern w:val="0"/>
                <w:szCs w:val="21"/>
              </w:rPr>
            </w:pPr>
            <w:r>
              <w:rPr>
                <w:rFonts w:hint="eastAsia" w:ascii="宋体" w:hAnsi="宋体" w:cs="宋体"/>
                <w:kern w:val="0"/>
                <w:szCs w:val="21"/>
              </w:rPr>
              <w:t>（2）方案讲解演示：交易中心现场讲解演示。现场讲解地点为</w:t>
            </w:r>
            <w:r>
              <w:rPr>
                <w:rFonts w:hint="eastAsia" w:ascii="宋体" w:hAnsi="宋体" w:cs="宋体"/>
                <w:kern w:val="0"/>
                <w:szCs w:val="21"/>
                <w:u w:val="single"/>
              </w:rPr>
              <w:t xml:space="preserve"> </w:t>
            </w:r>
            <w:r>
              <w:rPr>
                <w:rFonts w:hint="eastAsia" w:ascii="宋体" w:hAnsi="宋体" w:cs="宋体"/>
                <w:snapToGrid w:val="0"/>
                <w:kern w:val="28"/>
                <w:szCs w:val="21"/>
                <w:u w:val="single"/>
              </w:rPr>
              <w:t>宁海县政务服务中心七楼</w:t>
            </w:r>
            <w:r>
              <w:rPr>
                <w:rFonts w:hint="eastAsia" w:ascii="宋体" w:hAnsi="宋体" w:cs="宋体"/>
                <w:kern w:val="0"/>
                <w:szCs w:val="21"/>
                <w:u w:val="single"/>
              </w:rPr>
              <w:t xml:space="preserve"> </w:t>
            </w:r>
            <w:r>
              <w:rPr>
                <w:rFonts w:hint="eastAsia" w:ascii="宋体" w:hAnsi="宋体" w:cs="宋体"/>
                <w:kern w:val="0"/>
                <w:szCs w:val="21"/>
              </w:rPr>
              <w:t xml:space="preserve"> ，讲解演示所用电脑等设备、材料（如PPT、各类设计图等）由投标人自备。现场讲解演示人员在投标截止时间前进行签到确认，未按规定进行签到的不得讲解演示。</w:t>
            </w:r>
          </w:p>
          <w:p w14:paraId="4AC7D23D">
            <w:pPr>
              <w:spacing w:line="264"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w:t>
            </w:r>
          </w:p>
        </w:tc>
      </w:tr>
      <w:tr w14:paraId="12A5B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7200F7A">
            <w:pPr>
              <w:spacing w:line="264" w:lineRule="auto"/>
              <w:jc w:val="center"/>
              <w:rPr>
                <w:rFonts w:ascii="宋体" w:hAnsi="宋体" w:cs="宋体"/>
                <w:szCs w:val="21"/>
              </w:rPr>
            </w:pPr>
            <w:r>
              <w:rPr>
                <w:rFonts w:hint="eastAsia" w:ascii="宋体" w:hAnsi="宋体" w:cs="宋体"/>
                <w:szCs w:val="21"/>
              </w:rPr>
              <w:t>8</w:t>
            </w:r>
          </w:p>
        </w:tc>
        <w:tc>
          <w:tcPr>
            <w:tcW w:w="1842" w:type="dxa"/>
            <w:vMerge w:val="restart"/>
            <w:tcBorders>
              <w:top w:val="single" w:color="000000" w:sz="8" w:space="0"/>
              <w:left w:val="single" w:color="auto" w:sz="4" w:space="0"/>
              <w:right w:val="single" w:color="000000" w:sz="8" w:space="0"/>
            </w:tcBorders>
            <w:vAlign w:val="center"/>
          </w:tcPr>
          <w:p w14:paraId="6F92E272">
            <w:pPr>
              <w:spacing w:line="264" w:lineRule="auto"/>
              <w:jc w:val="center"/>
              <w:rPr>
                <w:rFonts w:ascii="宋体" w:hAnsi="宋体" w:cs="宋体"/>
                <w:b/>
                <w:szCs w:val="21"/>
              </w:rPr>
            </w:pPr>
            <w:r>
              <w:rPr>
                <w:rFonts w:hint="eastAsia" w:ascii="宋体" w:hAnsi="宋体" w:cs="宋体"/>
                <w:b/>
                <w:szCs w:val="21"/>
              </w:rPr>
              <w:t>投标人应当提供的资格、资信证明文件</w:t>
            </w:r>
          </w:p>
        </w:tc>
        <w:tc>
          <w:tcPr>
            <w:tcW w:w="7134" w:type="dxa"/>
            <w:tcBorders>
              <w:top w:val="single" w:color="000000" w:sz="8" w:space="0"/>
              <w:left w:val="single" w:color="000000" w:sz="2" w:space="0"/>
              <w:bottom w:val="single" w:color="auto" w:sz="4" w:space="0"/>
              <w:right w:val="single" w:color="000000" w:sz="8" w:space="0"/>
            </w:tcBorders>
            <w:vAlign w:val="center"/>
          </w:tcPr>
          <w:p w14:paraId="4AC99484">
            <w:pPr>
              <w:spacing w:line="264" w:lineRule="auto"/>
              <w:rPr>
                <w:rFonts w:ascii="宋体" w:hAnsi="宋体" w:cs="宋体"/>
                <w:szCs w:val="21"/>
              </w:rPr>
            </w:pPr>
            <w:r>
              <w:rPr>
                <w:rFonts w:hint="eastAsia" w:ascii="宋体" w:hAnsi="宋体" w:cs="宋体"/>
                <w:szCs w:val="21"/>
              </w:rPr>
              <w:t>（1）资格证明文件：见招标文件第二部分11.1。</w:t>
            </w:r>
          </w:p>
          <w:p w14:paraId="69E60B67">
            <w:pPr>
              <w:spacing w:line="264"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4973D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51ABACD6">
            <w:pPr>
              <w:spacing w:line="264" w:lineRule="auto"/>
              <w:jc w:val="center"/>
              <w:rPr>
                <w:rFonts w:ascii="宋体" w:hAnsi="宋体" w:cs="宋体"/>
                <w:szCs w:val="21"/>
              </w:rPr>
            </w:pPr>
          </w:p>
        </w:tc>
        <w:tc>
          <w:tcPr>
            <w:tcW w:w="1842" w:type="dxa"/>
            <w:vMerge w:val="continue"/>
            <w:tcBorders>
              <w:left w:val="single" w:color="auto" w:sz="4" w:space="0"/>
              <w:bottom w:val="single" w:color="000000" w:sz="8" w:space="0"/>
              <w:right w:val="single" w:color="000000" w:sz="8" w:space="0"/>
            </w:tcBorders>
            <w:vAlign w:val="center"/>
          </w:tcPr>
          <w:p w14:paraId="37DEC3AF">
            <w:pPr>
              <w:spacing w:line="264" w:lineRule="auto"/>
              <w:jc w:val="center"/>
              <w:rPr>
                <w:rFonts w:ascii="宋体" w:hAnsi="宋体" w:cs="宋体"/>
                <w:b/>
                <w:szCs w:val="21"/>
              </w:rPr>
            </w:pPr>
          </w:p>
        </w:tc>
        <w:tc>
          <w:tcPr>
            <w:tcW w:w="7134" w:type="dxa"/>
            <w:tcBorders>
              <w:top w:val="single" w:color="auto" w:sz="4" w:space="0"/>
              <w:left w:val="single" w:color="000000" w:sz="2" w:space="0"/>
              <w:bottom w:val="single" w:color="000000" w:sz="8" w:space="0"/>
              <w:right w:val="single" w:color="000000" w:sz="8" w:space="0"/>
            </w:tcBorders>
            <w:vAlign w:val="center"/>
          </w:tcPr>
          <w:p w14:paraId="0CEFC643">
            <w:pPr>
              <w:spacing w:line="264" w:lineRule="auto"/>
              <w:rPr>
                <w:rFonts w:ascii="宋体" w:hAnsi="宋体" w:cs="宋体"/>
                <w:szCs w:val="21"/>
              </w:rPr>
            </w:pPr>
            <w:r>
              <w:rPr>
                <w:rFonts w:hint="eastAsia" w:ascii="宋体" w:hAnsi="宋体" w:cs="宋体"/>
                <w:szCs w:val="21"/>
              </w:rPr>
              <w:t>（2）资信证明文件：根据招标文件第四部分评标标准提供。</w:t>
            </w:r>
          </w:p>
        </w:tc>
      </w:tr>
      <w:tr w14:paraId="35E01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DA863FD">
            <w:pPr>
              <w:spacing w:line="264" w:lineRule="auto"/>
              <w:jc w:val="center"/>
              <w:rPr>
                <w:rFonts w:ascii="宋体" w:hAnsi="宋体" w:cs="宋体"/>
                <w:szCs w:val="21"/>
              </w:rPr>
            </w:pPr>
            <w:r>
              <w:rPr>
                <w:rFonts w:hint="eastAsia" w:ascii="宋体" w:hAnsi="宋体" w:cs="宋体"/>
                <w:szCs w:val="21"/>
              </w:rPr>
              <w:t>9</w:t>
            </w:r>
          </w:p>
        </w:tc>
        <w:tc>
          <w:tcPr>
            <w:tcW w:w="1842" w:type="dxa"/>
            <w:tcBorders>
              <w:top w:val="single" w:color="000000" w:sz="8" w:space="0"/>
              <w:left w:val="single" w:color="000000" w:sz="2" w:space="0"/>
              <w:bottom w:val="single" w:color="000000" w:sz="8" w:space="0"/>
              <w:right w:val="single" w:color="000000" w:sz="8" w:space="0"/>
            </w:tcBorders>
            <w:vAlign w:val="center"/>
          </w:tcPr>
          <w:p w14:paraId="14CD0414">
            <w:pPr>
              <w:spacing w:line="264" w:lineRule="auto"/>
              <w:jc w:val="center"/>
              <w:rPr>
                <w:rFonts w:ascii="宋体" w:hAnsi="宋体" w:cs="宋体"/>
                <w:b/>
                <w:szCs w:val="21"/>
              </w:rPr>
            </w:pPr>
            <w:r>
              <w:rPr>
                <w:rFonts w:hint="eastAsia" w:ascii="宋体" w:hAnsi="宋体" w:cs="宋体"/>
                <w:b/>
                <w:szCs w:val="21"/>
              </w:rPr>
              <w:t>节能产品、环境标志产品</w:t>
            </w:r>
          </w:p>
        </w:tc>
        <w:tc>
          <w:tcPr>
            <w:tcW w:w="7134" w:type="dxa"/>
            <w:tcBorders>
              <w:top w:val="single" w:color="000000" w:sz="8" w:space="0"/>
              <w:left w:val="single" w:color="000000" w:sz="2" w:space="0"/>
              <w:bottom w:val="single" w:color="000000" w:sz="8" w:space="0"/>
              <w:right w:val="single" w:color="000000" w:sz="8" w:space="0"/>
            </w:tcBorders>
            <w:vAlign w:val="center"/>
          </w:tcPr>
          <w:p w14:paraId="0B149F0C">
            <w:pPr>
              <w:spacing w:line="264" w:lineRule="auto"/>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45FDF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B810DC">
            <w:pPr>
              <w:spacing w:line="264" w:lineRule="auto"/>
              <w:jc w:val="center"/>
              <w:rPr>
                <w:rFonts w:ascii="宋体" w:hAnsi="宋体" w:cs="宋体"/>
                <w:szCs w:val="21"/>
              </w:rPr>
            </w:pPr>
            <w:r>
              <w:rPr>
                <w:rFonts w:hint="eastAsia" w:ascii="宋体" w:hAnsi="宋体" w:cs="宋体"/>
                <w:szCs w:val="21"/>
              </w:rPr>
              <w:t>10</w:t>
            </w:r>
          </w:p>
        </w:tc>
        <w:tc>
          <w:tcPr>
            <w:tcW w:w="1842" w:type="dxa"/>
            <w:tcBorders>
              <w:top w:val="single" w:color="000000" w:sz="8" w:space="0"/>
              <w:left w:val="single" w:color="000000" w:sz="2" w:space="0"/>
              <w:bottom w:val="single" w:color="000000" w:sz="8" w:space="0"/>
              <w:right w:val="single" w:color="000000" w:sz="8" w:space="0"/>
            </w:tcBorders>
            <w:vAlign w:val="center"/>
          </w:tcPr>
          <w:p w14:paraId="6B59F4EA">
            <w:pPr>
              <w:spacing w:line="264" w:lineRule="auto"/>
              <w:jc w:val="center"/>
              <w:rPr>
                <w:rFonts w:ascii="宋体" w:hAnsi="宋体" w:cs="宋体"/>
                <w:b/>
                <w:szCs w:val="21"/>
              </w:rPr>
            </w:pPr>
            <w:r>
              <w:rPr>
                <w:rFonts w:hint="eastAsia" w:ascii="宋体" w:hAnsi="宋体" w:cs="宋体"/>
                <w:b/>
                <w:szCs w:val="21"/>
              </w:rPr>
              <w:t>报价要求</w:t>
            </w:r>
          </w:p>
        </w:tc>
        <w:tc>
          <w:tcPr>
            <w:tcW w:w="7134" w:type="dxa"/>
            <w:tcBorders>
              <w:top w:val="single" w:color="000000" w:sz="8" w:space="0"/>
              <w:left w:val="single" w:color="000000" w:sz="2" w:space="0"/>
              <w:bottom w:val="single" w:color="000000" w:sz="8" w:space="0"/>
              <w:right w:val="single" w:color="000000" w:sz="8" w:space="0"/>
            </w:tcBorders>
            <w:vAlign w:val="center"/>
          </w:tcPr>
          <w:p w14:paraId="26549BF2">
            <w:pPr>
              <w:spacing w:line="264" w:lineRule="auto"/>
              <w:jc w:val="left"/>
              <w:rPr>
                <w:rFonts w:ascii="宋体" w:hAnsi="宋体" w:cs="宋体"/>
                <w:b/>
                <w:bCs/>
                <w:szCs w:val="21"/>
              </w:rPr>
            </w:pPr>
            <w:r>
              <w:rPr>
                <w:rFonts w:hint="eastAsia" w:ascii="宋体" w:hAnsi="宋体" w:cs="宋体"/>
                <w:kern w:val="0"/>
                <w:szCs w:val="21"/>
                <w:lang w:val="zh-CN"/>
              </w:rPr>
              <w:t>有关本项目实施所需的所有费用（含税费）均计入报价。</w:t>
            </w:r>
            <w:r>
              <w:rPr>
                <w:rFonts w:hint="eastAsia" w:ascii="宋体" w:hAnsi="宋体" w:cs="宋体"/>
                <w:b/>
                <w:bCs/>
                <w:kern w:val="0"/>
                <w:szCs w:val="21"/>
                <w:lang w:val="zh-CN"/>
              </w:rPr>
              <w:t>投标文件</w:t>
            </w:r>
            <w:r>
              <w:rPr>
                <w:rFonts w:hint="eastAsia" w:ascii="宋体" w:hAnsi="宋体" w:cs="宋体"/>
                <w:b/>
                <w:bCs/>
                <w:szCs w:val="21"/>
              </w:rPr>
              <w:t>开标一览表（报价表）是报价的唯一载体，如投标人在政府采购云平台填写的投标报价与投标文件报价文件中开标一览表（报价表）不一致的，以报价文件中开标一览表（报价表）为准。</w:t>
            </w:r>
          </w:p>
          <w:p w14:paraId="54BEA6FA">
            <w:pPr>
              <w:spacing w:line="264" w:lineRule="auto"/>
              <w:jc w:val="left"/>
              <w:rPr>
                <w:rFonts w:ascii="宋体" w:hAnsi="宋体" w:cs="宋体"/>
                <w:kern w:val="0"/>
                <w:szCs w:val="21"/>
              </w:rPr>
            </w:pPr>
            <w:r>
              <w:rPr>
                <w:rFonts w:hint="eastAsia" w:ascii="宋体" w:hAnsi="宋体" w:cs="宋体"/>
                <w:kern w:val="0"/>
                <w:szCs w:val="21"/>
                <w:lang w:val="zh-CN"/>
              </w:rPr>
              <w:t>投标文件中价格全部采用人民币报价。招标文件未列明，而</w:t>
            </w:r>
            <w:r>
              <w:rPr>
                <w:rFonts w:hint="eastAsia" w:ascii="宋体" w:hAnsi="宋体" w:cs="宋体"/>
                <w:kern w:val="0"/>
                <w:szCs w:val="21"/>
              </w:rPr>
              <w:t>供应商</w:t>
            </w:r>
            <w:r>
              <w:rPr>
                <w:rFonts w:hint="eastAsia" w:ascii="宋体" w:hAnsi="宋体" w:cs="宋体"/>
                <w:kern w:val="0"/>
                <w:szCs w:val="21"/>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406E1C0F">
            <w:pPr>
              <w:spacing w:line="264"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45EEB3F3">
            <w:pPr>
              <w:spacing w:line="264"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2627D860">
            <w:pPr>
              <w:spacing w:line="264"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14:paraId="7328103C">
            <w:pPr>
              <w:spacing w:line="264"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3A0C4C57">
            <w:pPr>
              <w:spacing w:line="264"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35141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14F14FC7">
            <w:pPr>
              <w:spacing w:line="264" w:lineRule="auto"/>
              <w:jc w:val="center"/>
              <w:rPr>
                <w:rFonts w:ascii="宋体" w:hAnsi="宋体" w:cs="宋体"/>
                <w:szCs w:val="21"/>
              </w:rPr>
            </w:pPr>
            <w:r>
              <w:rPr>
                <w:rFonts w:hint="eastAsia" w:ascii="宋体" w:hAnsi="宋体" w:cs="宋体"/>
                <w:szCs w:val="21"/>
              </w:rPr>
              <w:t>11</w:t>
            </w:r>
          </w:p>
        </w:tc>
        <w:tc>
          <w:tcPr>
            <w:tcW w:w="1842" w:type="dxa"/>
            <w:tcBorders>
              <w:top w:val="single" w:color="000000" w:sz="8" w:space="0"/>
              <w:left w:val="single" w:color="000000" w:sz="2" w:space="0"/>
              <w:right w:val="single" w:color="000000" w:sz="8" w:space="0"/>
            </w:tcBorders>
            <w:vAlign w:val="center"/>
          </w:tcPr>
          <w:p w14:paraId="7E92C2EC">
            <w:pPr>
              <w:spacing w:line="264" w:lineRule="auto"/>
              <w:jc w:val="center"/>
              <w:rPr>
                <w:rFonts w:ascii="宋体" w:hAnsi="宋体" w:cs="宋体"/>
                <w:b/>
                <w:szCs w:val="21"/>
              </w:rPr>
            </w:pPr>
            <w:r>
              <w:rPr>
                <w:rFonts w:hint="eastAsia" w:ascii="宋体" w:hAnsi="宋体" w:cs="宋体"/>
                <w:b/>
                <w:szCs w:val="21"/>
              </w:rPr>
              <w:t>中小企业信用融资</w:t>
            </w:r>
          </w:p>
        </w:tc>
        <w:tc>
          <w:tcPr>
            <w:tcW w:w="7134" w:type="dxa"/>
            <w:tcBorders>
              <w:top w:val="single" w:color="000000" w:sz="8" w:space="0"/>
              <w:left w:val="single" w:color="000000" w:sz="2" w:space="0"/>
              <w:right w:val="single" w:color="000000" w:sz="8" w:space="0"/>
            </w:tcBorders>
            <w:vAlign w:val="center"/>
          </w:tcPr>
          <w:p w14:paraId="12AB93BE">
            <w:pPr>
              <w:spacing w:line="264" w:lineRule="auto"/>
              <w:rPr>
                <w:rFonts w:ascii="宋体" w:hAnsi="宋体" w:cs="宋体"/>
                <w:szCs w:val="21"/>
              </w:rPr>
            </w:pPr>
            <w:r>
              <w:rPr>
                <w:rFonts w:hint="eastAsia" w:ascii="宋体" w:hAnsi="宋体" w:cs="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0738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ECD7FB7">
            <w:pPr>
              <w:spacing w:line="264" w:lineRule="auto"/>
              <w:jc w:val="center"/>
              <w:rPr>
                <w:rFonts w:ascii="宋体" w:hAnsi="宋体" w:cs="宋体"/>
                <w:szCs w:val="21"/>
              </w:rPr>
            </w:pPr>
            <w:r>
              <w:rPr>
                <w:rFonts w:hint="eastAsia" w:ascii="宋体" w:hAnsi="宋体" w:cs="宋体"/>
                <w:szCs w:val="21"/>
              </w:rPr>
              <w:t>12</w:t>
            </w:r>
          </w:p>
        </w:tc>
        <w:tc>
          <w:tcPr>
            <w:tcW w:w="1842" w:type="dxa"/>
            <w:tcBorders>
              <w:top w:val="single" w:color="000000" w:sz="8" w:space="0"/>
              <w:left w:val="single" w:color="000000" w:sz="2" w:space="0"/>
              <w:bottom w:val="single" w:color="auto" w:sz="4" w:space="0"/>
              <w:right w:val="single" w:color="000000" w:sz="8" w:space="0"/>
            </w:tcBorders>
            <w:vAlign w:val="center"/>
          </w:tcPr>
          <w:p w14:paraId="09F1414A">
            <w:pPr>
              <w:spacing w:line="264" w:lineRule="auto"/>
              <w:jc w:val="center"/>
              <w:rPr>
                <w:rFonts w:ascii="宋体" w:hAnsi="宋体" w:cs="宋体"/>
                <w:b/>
                <w:szCs w:val="21"/>
              </w:rPr>
            </w:pPr>
            <w:r>
              <w:rPr>
                <w:rFonts w:hint="eastAsia" w:ascii="宋体" w:hAnsi="宋体" w:cs="宋体"/>
                <w:b/>
                <w:szCs w:val="21"/>
              </w:rPr>
              <w:t>备份投标文件送达时间、地点和签收人员</w:t>
            </w:r>
          </w:p>
        </w:tc>
        <w:tc>
          <w:tcPr>
            <w:tcW w:w="7134" w:type="dxa"/>
            <w:tcBorders>
              <w:top w:val="single" w:color="000000" w:sz="8" w:space="0"/>
              <w:left w:val="single" w:color="000000" w:sz="2" w:space="0"/>
              <w:bottom w:val="single" w:color="000000" w:sz="8" w:space="0"/>
              <w:right w:val="single" w:color="000000" w:sz="8" w:space="0"/>
            </w:tcBorders>
            <w:vAlign w:val="center"/>
          </w:tcPr>
          <w:p w14:paraId="1888F529">
            <w:pPr>
              <w:spacing w:line="264" w:lineRule="auto"/>
              <w:rPr>
                <w:rFonts w:ascii="宋体" w:hAnsi="宋体" w:cs="宋体"/>
                <w:snapToGrid w:val="0"/>
                <w:szCs w:val="21"/>
              </w:rPr>
            </w:pPr>
            <w:r>
              <w:rPr>
                <w:rFonts w:hint="eastAsia" w:ascii="宋体" w:hAnsi="宋体" w:cs="宋体"/>
                <w:snapToGrid w:val="0"/>
                <w:szCs w:val="21"/>
              </w:rPr>
              <w:t>（1）直接提交备份投标文件的：</w:t>
            </w:r>
          </w:p>
          <w:p w14:paraId="11DE9A9B">
            <w:pPr>
              <w:spacing w:line="264" w:lineRule="auto"/>
              <w:rPr>
                <w:rFonts w:ascii="宋体" w:hAnsi="宋体" w:cs="宋体"/>
                <w:snapToGrid w:val="0"/>
                <w:szCs w:val="21"/>
              </w:rPr>
            </w:pPr>
            <w:r>
              <w:rPr>
                <w:rFonts w:hint="eastAsia" w:ascii="宋体" w:hAnsi="宋体" w:cs="宋体"/>
                <w:snapToGrid w:val="0"/>
                <w:kern w:val="28"/>
                <w:szCs w:val="21"/>
              </w:rPr>
              <w:t>备份投标文件送达地点：</w:t>
            </w:r>
            <w:r>
              <w:rPr>
                <w:rFonts w:hint="eastAsia" w:ascii="宋体" w:hAnsi="宋体" w:cs="宋体"/>
                <w:snapToGrid w:val="0"/>
                <w:kern w:val="28"/>
                <w:szCs w:val="21"/>
                <w:u w:val="single"/>
              </w:rPr>
              <w:t>宁海县政务服务中心五楼【具体受理场所详见当日电子指示屏】。</w:t>
            </w:r>
          </w:p>
          <w:p w14:paraId="18E0ED1D">
            <w:pPr>
              <w:spacing w:line="264" w:lineRule="auto"/>
              <w:rPr>
                <w:rFonts w:ascii="宋体" w:hAnsi="宋体" w:cs="宋体"/>
                <w:snapToGrid w:val="0"/>
                <w:szCs w:val="21"/>
              </w:rPr>
            </w:pPr>
            <w:r>
              <w:rPr>
                <w:rFonts w:hint="eastAsia" w:ascii="宋体" w:hAnsi="宋体" w:cs="宋体"/>
                <w:snapToGrid w:val="0"/>
                <w:kern w:val="28"/>
                <w:szCs w:val="21"/>
              </w:rPr>
              <w:t>（2）</w:t>
            </w:r>
            <w:r>
              <w:rPr>
                <w:rFonts w:hint="eastAsia" w:ascii="宋体" w:hAnsi="宋体" w:cs="宋体"/>
                <w:snapToGrid w:val="0"/>
                <w:szCs w:val="21"/>
              </w:rPr>
              <w:t>以快递方式递交备份投标文件的：</w:t>
            </w:r>
          </w:p>
          <w:p w14:paraId="2FD935AD">
            <w:pPr>
              <w:spacing w:line="264" w:lineRule="auto"/>
              <w:rPr>
                <w:rFonts w:ascii="宋体" w:hAnsi="宋体" w:cs="宋体"/>
                <w:snapToGrid w:val="0"/>
                <w:kern w:val="28"/>
                <w:szCs w:val="21"/>
              </w:rPr>
            </w:pPr>
            <w:r>
              <w:rPr>
                <w:rFonts w:hint="eastAsia" w:ascii="宋体" w:hAnsi="宋体" w:cs="宋体"/>
                <w:szCs w:val="21"/>
              </w:rPr>
              <w:t>备份投标文件送达</w:t>
            </w:r>
            <w:r>
              <w:rPr>
                <w:rFonts w:hint="eastAsia" w:ascii="宋体" w:hAnsi="宋体" w:cs="宋体"/>
                <w:snapToGrid w:val="0"/>
                <w:szCs w:val="21"/>
              </w:rPr>
              <w:t>截止时间：</w:t>
            </w:r>
            <w:r>
              <w:rPr>
                <w:rFonts w:hint="eastAsia" w:ascii="宋体" w:hAnsi="宋体" w:cs="宋体"/>
                <w:snapToGrid w:val="0"/>
                <w:szCs w:val="21"/>
                <w:u w:val="single"/>
              </w:rPr>
              <w:t>开标时间前一个工作日的16:00止。</w:t>
            </w:r>
          </w:p>
          <w:p w14:paraId="287248F1">
            <w:pPr>
              <w:pStyle w:val="35"/>
              <w:spacing w:line="264" w:lineRule="auto"/>
              <w:rPr>
                <w:rFonts w:hAnsi="宋体" w:cs="宋体"/>
                <w:kern w:val="28"/>
              </w:rPr>
            </w:pPr>
            <w:r>
              <w:rPr>
                <w:rFonts w:hint="eastAsia" w:hAnsi="宋体" w:cs="宋体"/>
                <w:kern w:val="28"/>
              </w:rPr>
              <w:t>备份投标文件送达地点：</w:t>
            </w:r>
            <w:r>
              <w:rPr>
                <w:rFonts w:hint="eastAsia" w:hAnsi="宋体" w:cs="宋体"/>
                <w:u w:val="single"/>
              </w:rPr>
              <w:t xml:space="preserve"> 宁海县时代大道178号四楼</w:t>
            </w:r>
            <w:r>
              <w:rPr>
                <w:rFonts w:hint="eastAsia" w:hAnsi="宋体" w:cs="宋体"/>
                <w:kern w:val="28"/>
              </w:rPr>
              <w:t>；备份投标文件签收人员联系电话：胡云燕</w:t>
            </w:r>
            <w:r>
              <w:rPr>
                <w:rFonts w:hint="eastAsia" w:hAnsi="宋体" w:cs="宋体"/>
                <w:u w:val="single"/>
              </w:rPr>
              <w:t xml:space="preserve"> 0574-82533300</w:t>
            </w:r>
            <w:r>
              <w:rPr>
                <w:rFonts w:hint="eastAsia" w:hAnsi="宋体" w:cs="宋体"/>
              </w:rPr>
              <w:t>。</w:t>
            </w:r>
            <w:r>
              <w:rPr>
                <w:rFonts w:hint="eastAsia" w:hAnsi="宋体" w:cs="宋体"/>
                <w:b/>
              </w:rPr>
              <w:t>采购人、采购代理机构不强制或变相强制投标人提交备份投标文件。</w:t>
            </w:r>
          </w:p>
        </w:tc>
      </w:tr>
      <w:tr w14:paraId="6497B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0B851BA">
            <w:pPr>
              <w:spacing w:line="264" w:lineRule="auto"/>
              <w:jc w:val="center"/>
              <w:rPr>
                <w:rFonts w:ascii="宋体" w:hAnsi="宋体" w:cs="宋体"/>
                <w:szCs w:val="21"/>
              </w:rPr>
            </w:pPr>
            <w:r>
              <w:rPr>
                <w:rFonts w:hint="eastAsia" w:ascii="宋体" w:hAnsi="宋体" w:cs="宋体"/>
                <w:szCs w:val="21"/>
              </w:rPr>
              <w:t>13</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1E2435A1">
            <w:pPr>
              <w:spacing w:line="264" w:lineRule="auto"/>
              <w:jc w:val="center"/>
              <w:rPr>
                <w:rFonts w:ascii="宋体" w:hAnsi="宋体" w:cs="宋体"/>
                <w:b/>
                <w:szCs w:val="21"/>
              </w:rPr>
            </w:pPr>
            <w:r>
              <w:rPr>
                <w:rFonts w:hint="eastAsia" w:cs="仿宋_GB2312" w:asciiTheme="minorEastAsia" w:hAnsiTheme="minorEastAsia" w:eastAsiaTheme="minorEastAsia"/>
                <w:b/>
                <w:szCs w:val="21"/>
              </w:rPr>
              <w:t>特别说明</w:t>
            </w:r>
          </w:p>
        </w:tc>
        <w:tc>
          <w:tcPr>
            <w:tcW w:w="7134" w:type="dxa"/>
            <w:tcBorders>
              <w:top w:val="single" w:color="000000" w:sz="8" w:space="0"/>
              <w:left w:val="single" w:color="auto" w:sz="4" w:space="0"/>
              <w:bottom w:val="single" w:color="000000" w:sz="8" w:space="0"/>
              <w:right w:val="single" w:color="000000" w:sz="8" w:space="0"/>
            </w:tcBorders>
            <w:vAlign w:val="center"/>
          </w:tcPr>
          <w:p w14:paraId="68FDBA2A">
            <w:pPr>
              <w:spacing w:line="264" w:lineRule="auto"/>
              <w:rPr>
                <w:rFonts w:ascii="宋体" w:hAnsi="宋体" w:cs="宋体"/>
                <w:snapToGrid w:val="0"/>
                <w:kern w:val="28"/>
                <w:szCs w:val="21"/>
              </w:rPr>
            </w:pPr>
            <w:r>
              <w:rPr>
                <w:rFonts w:hint="eastAsia" w:ascii="宋体" w:hAnsi="宋体" w:cs="宋体"/>
                <w:snapToGrid w:val="0"/>
                <w:kern w:val="28"/>
                <w:szCs w:val="21"/>
              </w:rPr>
              <w:t>联合体投标的，联合体各方分别提供与联合体协议中规定的分工内容相应的业绩证明材料，业绩数量以提供材料较少的一方为准。</w:t>
            </w:r>
          </w:p>
        </w:tc>
      </w:tr>
      <w:tr w14:paraId="1632A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1"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1B81500">
            <w:pPr>
              <w:spacing w:line="264" w:lineRule="auto"/>
              <w:jc w:val="center"/>
              <w:rPr>
                <w:rFonts w:ascii="宋体" w:hAnsi="宋体" w:cs="宋体"/>
                <w:szCs w:val="21"/>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EFBE7CC">
            <w:pPr>
              <w:spacing w:line="264" w:lineRule="auto"/>
              <w:jc w:val="center"/>
              <w:rPr>
                <w:rFonts w:ascii="宋体" w:hAnsi="宋体" w:cs="宋体"/>
                <w:b/>
                <w:szCs w:val="21"/>
              </w:rPr>
            </w:pPr>
          </w:p>
        </w:tc>
        <w:tc>
          <w:tcPr>
            <w:tcW w:w="7134" w:type="dxa"/>
            <w:tcBorders>
              <w:top w:val="single" w:color="000000" w:sz="8" w:space="0"/>
              <w:left w:val="single" w:color="auto" w:sz="4" w:space="0"/>
              <w:bottom w:val="single" w:color="000000" w:sz="8" w:space="0"/>
              <w:right w:val="single" w:color="000000" w:sz="8" w:space="0"/>
            </w:tcBorders>
            <w:vAlign w:val="center"/>
          </w:tcPr>
          <w:p w14:paraId="0C2F16D6">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9002671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Mincho" w:hAnsi="MS Mincho" w:eastAsia="MS Mincho" w:cs="MS Mincho"/>
                    <w:kern w:val="0"/>
                    <w:szCs w:val="21"/>
                  </w:rPr>
                  <w:t>☐</w:t>
                </w:r>
              </w:sdtContent>
            </w:sdt>
            <w:r>
              <w:rPr>
                <w:rFonts w:hint="eastAsia" w:ascii="宋体" w:hAnsi="宋体" w:cs="宋体"/>
                <w:snapToGrid w:val="0"/>
                <w:kern w:val="28"/>
                <w:szCs w:val="21"/>
              </w:rPr>
              <w:t>联合体投标的，联合体各方均需按招标文件第四部分评标标准要求提供资信证明文件，否则视为不符合相关要求。</w:t>
            </w:r>
          </w:p>
          <w:p w14:paraId="4B753CCF">
            <w:pPr>
              <w:spacing w:line="264" w:lineRule="auto"/>
              <w:rPr>
                <w:rFonts w:ascii="宋体" w:hAnsi="宋体" w:cs="宋体"/>
                <w:snapToGrid w:val="0"/>
                <w:kern w:val="28"/>
                <w:szCs w:val="21"/>
              </w:rPr>
            </w:pPr>
            <w:sdt>
              <w:sdtPr>
                <w:rPr>
                  <w:rFonts w:hint="eastAsia" w:cs="Arial" w:asciiTheme="minorEastAsia" w:hAnsiTheme="minorEastAsia" w:eastAsiaTheme="minorEastAsia"/>
                  <w:kern w:val="0"/>
                  <w:szCs w:val="21"/>
                </w:rPr>
                <w:id w:val="25042748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Cs w:val="21"/>
                </w:rPr>
              </w:sdtEndPr>
              <w:sdtContent>
                <w:r>
                  <w:rPr>
                    <w:rFonts w:hint="eastAsia" w:ascii="MS Gothic" w:hAnsi="MS Gothic" w:cs="Arial" w:eastAsiaTheme="minorEastAsia"/>
                    <w:kern w:val="0"/>
                    <w:szCs w:val="21"/>
                  </w:rPr>
                  <w:t>☐</w:t>
                </w:r>
              </w:sdtContent>
            </w:sdt>
            <w:r>
              <w:rPr>
                <w:rFonts w:hint="eastAsia" w:ascii="宋体" w:hAnsi="宋体" w:cs="宋体"/>
                <w:snapToGrid w:val="0"/>
                <w:kern w:val="28"/>
                <w:szCs w:val="21"/>
              </w:rPr>
              <w:t>联合体投标的，联合体中有一方或者联合体成员根据分工按招标文件第四部分评标标准要求提供资信证明文件的，视为符合了相关要求。</w:t>
            </w:r>
          </w:p>
        </w:tc>
      </w:tr>
      <w:tr w14:paraId="7C82A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249E79">
            <w:pPr>
              <w:spacing w:line="264" w:lineRule="auto"/>
              <w:jc w:val="center"/>
              <w:rPr>
                <w:rFonts w:ascii="宋体" w:hAnsi="宋体" w:cs="宋体"/>
                <w:szCs w:val="21"/>
              </w:rPr>
            </w:pPr>
            <w:r>
              <w:rPr>
                <w:rFonts w:hint="eastAsia" w:ascii="宋体" w:hAnsi="宋体" w:cs="宋体"/>
                <w:szCs w:val="21"/>
              </w:rPr>
              <w:t>14</w:t>
            </w:r>
          </w:p>
        </w:tc>
        <w:tc>
          <w:tcPr>
            <w:tcW w:w="1842" w:type="dxa"/>
            <w:tcBorders>
              <w:top w:val="single" w:color="auto" w:sz="4" w:space="0"/>
              <w:left w:val="single" w:color="auto" w:sz="4" w:space="0"/>
              <w:bottom w:val="single" w:color="auto" w:sz="4" w:space="0"/>
              <w:right w:val="single" w:color="auto" w:sz="4" w:space="0"/>
            </w:tcBorders>
            <w:vAlign w:val="center"/>
          </w:tcPr>
          <w:p w14:paraId="52D3650C">
            <w:pPr>
              <w:spacing w:line="264" w:lineRule="auto"/>
              <w:jc w:val="center"/>
              <w:rPr>
                <w:rFonts w:ascii="宋体" w:hAnsi="宋体" w:cs="宋体"/>
                <w:b/>
                <w:szCs w:val="21"/>
              </w:rPr>
            </w:pPr>
            <w:r>
              <w:rPr>
                <w:rFonts w:hint="eastAsia" w:ascii="宋体" w:hAnsi="宋体" w:cs="宋体"/>
                <w:b/>
                <w:szCs w:val="21"/>
              </w:rPr>
              <w:t>中标服务费</w:t>
            </w:r>
          </w:p>
        </w:tc>
        <w:tc>
          <w:tcPr>
            <w:tcW w:w="7134" w:type="dxa"/>
            <w:tcBorders>
              <w:top w:val="single" w:color="000000" w:sz="8" w:space="0"/>
              <w:left w:val="single" w:color="auto" w:sz="4" w:space="0"/>
              <w:bottom w:val="single" w:color="000000" w:sz="8" w:space="0"/>
              <w:right w:val="single" w:color="000000" w:sz="8" w:space="0"/>
            </w:tcBorders>
            <w:vAlign w:val="center"/>
          </w:tcPr>
          <w:p w14:paraId="7CDAB636">
            <w:pPr>
              <w:pStyle w:val="24"/>
              <w:adjustRightInd/>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招标代理服务费的收取标准：代理机构按下表中货物招标的标准（按差额定率累进法计算），根据本项目的中标金额，向中标人收取招标代理服务费。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0986638D">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6CF87DAA">
                  <w:pPr>
                    <w:widowControl/>
                    <w:adjustRightInd/>
                    <w:spacing w:line="288" w:lineRule="auto"/>
                    <w:jc w:val="right"/>
                    <w:rPr>
                      <w:rFonts w:ascii="宋体" w:hAnsi="宋体" w:cs="宋体"/>
                      <w:szCs w:val="21"/>
                    </w:rPr>
                  </w:pPr>
                  <w:r>
                    <w:rPr>
                      <w:rFonts w:hint="eastAsia" w:ascii="宋体" w:hAnsi="宋体" w:cs="宋体"/>
                      <w:szCs w:val="21"/>
                    </w:rPr>
                    <w:t>服费类型</w:t>
                  </w:r>
                </w:p>
                <w:p w14:paraId="771C645C">
                  <w:pPr>
                    <w:widowControl/>
                    <w:adjustRightInd/>
                    <w:spacing w:line="288" w:lineRule="auto"/>
                    <w:jc w:val="left"/>
                    <w:rPr>
                      <w:rFonts w:ascii="宋体" w:hAnsi="宋体" w:cs="宋体"/>
                      <w:szCs w:val="21"/>
                    </w:rPr>
                  </w:pPr>
                  <w:r>
                    <w:rPr>
                      <w:rFonts w:hint="eastAsia" w:ascii="宋体" w:hAnsi="宋体" w:cs="宋体"/>
                      <w:szCs w:val="21"/>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7559E1">
                  <w:pPr>
                    <w:widowControl/>
                    <w:adjustRightInd/>
                    <w:spacing w:line="288" w:lineRule="auto"/>
                    <w:jc w:val="left"/>
                    <w:rPr>
                      <w:rFonts w:ascii="宋体" w:hAnsi="宋体" w:cs="宋体"/>
                      <w:szCs w:val="21"/>
                    </w:rPr>
                  </w:pPr>
                  <w:r>
                    <w:rPr>
                      <w:rFonts w:hint="eastAsia" w:ascii="宋体" w:hAnsi="宋体" w:cs="宋体"/>
                      <w:szCs w:val="21"/>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A2F97DE">
                  <w:pPr>
                    <w:widowControl/>
                    <w:adjustRightInd/>
                    <w:spacing w:line="288" w:lineRule="auto"/>
                    <w:jc w:val="left"/>
                    <w:rPr>
                      <w:rFonts w:ascii="宋体" w:hAnsi="宋体" w:cs="宋体"/>
                      <w:szCs w:val="21"/>
                    </w:rPr>
                  </w:pPr>
                  <w:r>
                    <w:rPr>
                      <w:rFonts w:hint="eastAsia" w:ascii="宋体" w:hAnsi="宋体" w:cs="宋体"/>
                      <w:szCs w:val="21"/>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CE897D">
                  <w:pPr>
                    <w:widowControl/>
                    <w:adjustRightInd/>
                    <w:spacing w:line="288" w:lineRule="auto"/>
                    <w:jc w:val="left"/>
                    <w:rPr>
                      <w:rFonts w:ascii="宋体" w:hAnsi="宋体" w:cs="宋体"/>
                      <w:szCs w:val="21"/>
                    </w:rPr>
                  </w:pPr>
                  <w:r>
                    <w:rPr>
                      <w:rFonts w:hint="eastAsia" w:ascii="宋体" w:hAnsi="宋体" w:cs="宋体"/>
                      <w:szCs w:val="21"/>
                    </w:rPr>
                    <w:t>工程招标</w:t>
                  </w:r>
                </w:p>
              </w:tc>
            </w:tr>
            <w:tr w14:paraId="3217D0E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DDC4EA">
                  <w:pPr>
                    <w:widowControl/>
                    <w:adjustRightInd/>
                    <w:spacing w:line="288" w:lineRule="auto"/>
                    <w:jc w:val="left"/>
                    <w:rPr>
                      <w:rFonts w:ascii="宋体" w:hAnsi="宋体" w:cs="宋体"/>
                      <w:szCs w:val="21"/>
                    </w:rPr>
                  </w:pPr>
                  <w:r>
                    <w:rPr>
                      <w:rFonts w:hint="eastAsia" w:ascii="宋体" w:hAnsi="宋体" w:cs="宋体"/>
                      <w:szCs w:val="21"/>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9406EB">
                  <w:pPr>
                    <w:widowControl/>
                    <w:adjustRightInd/>
                    <w:spacing w:line="288" w:lineRule="auto"/>
                    <w:jc w:val="left"/>
                    <w:rPr>
                      <w:rFonts w:ascii="宋体" w:hAnsi="宋体" w:cs="宋体"/>
                      <w:szCs w:val="21"/>
                    </w:rPr>
                  </w:pPr>
                  <w:r>
                    <w:rPr>
                      <w:rFonts w:hint="eastAsia" w:ascii="宋体" w:hAnsi="宋体" w:cs="宋体"/>
                      <w:szCs w:val="21"/>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BF97164">
                  <w:pPr>
                    <w:widowControl/>
                    <w:adjustRightInd/>
                    <w:spacing w:line="288" w:lineRule="auto"/>
                    <w:jc w:val="left"/>
                    <w:rPr>
                      <w:rFonts w:ascii="宋体" w:hAnsi="宋体" w:cs="宋体"/>
                      <w:szCs w:val="21"/>
                    </w:rPr>
                  </w:pPr>
                  <w:r>
                    <w:rPr>
                      <w:rFonts w:hint="eastAsia" w:ascii="宋体" w:hAnsi="宋体" w:cs="宋体"/>
                      <w:szCs w:val="21"/>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7DE9B0">
                  <w:pPr>
                    <w:widowControl/>
                    <w:adjustRightInd/>
                    <w:spacing w:line="288" w:lineRule="auto"/>
                    <w:jc w:val="left"/>
                    <w:rPr>
                      <w:rFonts w:ascii="宋体" w:hAnsi="宋体" w:cs="宋体"/>
                      <w:szCs w:val="21"/>
                    </w:rPr>
                  </w:pPr>
                  <w:r>
                    <w:rPr>
                      <w:rFonts w:hint="eastAsia" w:ascii="宋体" w:hAnsi="宋体" w:cs="宋体"/>
                      <w:szCs w:val="21"/>
                    </w:rPr>
                    <w:t>1.0%</w:t>
                  </w:r>
                </w:p>
              </w:tc>
            </w:tr>
            <w:tr w14:paraId="3B7E16F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E888BD">
                  <w:pPr>
                    <w:widowControl/>
                    <w:adjustRightInd/>
                    <w:spacing w:line="288" w:lineRule="auto"/>
                    <w:jc w:val="left"/>
                    <w:rPr>
                      <w:rFonts w:ascii="宋体" w:hAnsi="宋体" w:cs="宋体"/>
                      <w:szCs w:val="21"/>
                    </w:rPr>
                  </w:pPr>
                  <w:r>
                    <w:rPr>
                      <w:rFonts w:hint="eastAsia" w:ascii="宋体" w:hAnsi="宋体" w:cs="宋体"/>
                      <w:szCs w:val="21"/>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DDE67B1">
                  <w:pPr>
                    <w:widowControl/>
                    <w:adjustRightInd/>
                    <w:spacing w:line="288" w:lineRule="auto"/>
                    <w:jc w:val="left"/>
                    <w:rPr>
                      <w:rFonts w:ascii="宋体" w:hAnsi="宋体" w:cs="宋体"/>
                      <w:szCs w:val="21"/>
                    </w:rPr>
                  </w:pPr>
                  <w:r>
                    <w:rPr>
                      <w:rFonts w:hint="eastAsia" w:ascii="宋体" w:hAnsi="宋体" w:cs="宋体"/>
                      <w:szCs w:val="21"/>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0C51E0">
                  <w:pPr>
                    <w:widowControl/>
                    <w:adjustRightInd/>
                    <w:spacing w:line="288" w:lineRule="auto"/>
                    <w:jc w:val="left"/>
                    <w:rPr>
                      <w:rFonts w:ascii="宋体" w:hAnsi="宋体" w:cs="宋体"/>
                      <w:szCs w:val="21"/>
                    </w:rPr>
                  </w:pPr>
                  <w:r>
                    <w:rPr>
                      <w:rFonts w:hint="eastAsia" w:ascii="宋体" w:hAnsi="宋体" w:cs="宋体"/>
                      <w:szCs w:val="21"/>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B250786">
                  <w:pPr>
                    <w:widowControl/>
                    <w:adjustRightInd/>
                    <w:spacing w:line="288" w:lineRule="auto"/>
                    <w:jc w:val="left"/>
                    <w:rPr>
                      <w:rFonts w:ascii="宋体" w:hAnsi="宋体" w:cs="宋体"/>
                      <w:szCs w:val="21"/>
                    </w:rPr>
                  </w:pPr>
                  <w:r>
                    <w:rPr>
                      <w:rFonts w:hint="eastAsia" w:ascii="宋体" w:hAnsi="宋体" w:cs="宋体"/>
                      <w:szCs w:val="21"/>
                    </w:rPr>
                    <w:t>0.7%</w:t>
                  </w:r>
                </w:p>
              </w:tc>
            </w:tr>
            <w:tr w14:paraId="4EC2B2B4">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DD0A14">
                  <w:pPr>
                    <w:widowControl/>
                    <w:adjustRightInd/>
                    <w:spacing w:line="288" w:lineRule="auto"/>
                    <w:jc w:val="left"/>
                    <w:rPr>
                      <w:rFonts w:ascii="宋体" w:hAnsi="宋体" w:cs="宋体"/>
                      <w:szCs w:val="21"/>
                    </w:rPr>
                  </w:pPr>
                  <w:r>
                    <w:rPr>
                      <w:rFonts w:hint="eastAsia" w:ascii="宋体" w:hAnsi="宋体" w:cs="宋体"/>
                      <w:szCs w:val="21"/>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CDFBB4">
                  <w:pPr>
                    <w:widowControl/>
                    <w:adjustRightInd/>
                    <w:spacing w:line="288" w:lineRule="auto"/>
                    <w:jc w:val="left"/>
                    <w:rPr>
                      <w:rFonts w:ascii="宋体" w:hAnsi="宋体" w:cs="宋体"/>
                      <w:szCs w:val="21"/>
                    </w:rPr>
                  </w:pPr>
                  <w:r>
                    <w:rPr>
                      <w:rFonts w:hint="eastAsia" w:ascii="宋体" w:hAnsi="宋体" w:cs="宋体"/>
                      <w:szCs w:val="21"/>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2087586">
                  <w:pPr>
                    <w:widowControl/>
                    <w:adjustRightInd/>
                    <w:spacing w:line="288" w:lineRule="auto"/>
                    <w:jc w:val="left"/>
                    <w:rPr>
                      <w:rFonts w:ascii="宋体" w:hAnsi="宋体" w:cs="宋体"/>
                      <w:szCs w:val="21"/>
                    </w:rPr>
                  </w:pPr>
                  <w:r>
                    <w:rPr>
                      <w:rFonts w:hint="eastAsia" w:ascii="宋体" w:hAnsi="宋体" w:cs="宋体"/>
                      <w:szCs w:val="21"/>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AB9B80">
                  <w:pPr>
                    <w:widowControl/>
                    <w:adjustRightInd/>
                    <w:spacing w:line="288" w:lineRule="auto"/>
                    <w:jc w:val="left"/>
                    <w:rPr>
                      <w:rFonts w:ascii="宋体" w:hAnsi="宋体" w:cs="宋体"/>
                      <w:szCs w:val="21"/>
                    </w:rPr>
                  </w:pPr>
                  <w:r>
                    <w:rPr>
                      <w:rFonts w:hint="eastAsia" w:ascii="宋体" w:hAnsi="宋体" w:cs="宋体"/>
                      <w:szCs w:val="21"/>
                    </w:rPr>
                    <w:t>0.55%</w:t>
                  </w:r>
                </w:p>
              </w:tc>
            </w:tr>
            <w:tr w14:paraId="4E335F2A">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33C7C3">
                  <w:pPr>
                    <w:widowControl/>
                    <w:adjustRightInd/>
                    <w:spacing w:line="288" w:lineRule="auto"/>
                    <w:jc w:val="left"/>
                    <w:rPr>
                      <w:rFonts w:ascii="宋体" w:hAnsi="宋体" w:cs="宋体"/>
                      <w:szCs w:val="21"/>
                    </w:rPr>
                  </w:pPr>
                  <w:r>
                    <w:rPr>
                      <w:rFonts w:hint="eastAsia" w:ascii="宋体" w:hAnsi="宋体" w:cs="宋体"/>
                      <w:szCs w:val="21"/>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EB40DB">
                  <w:pPr>
                    <w:widowControl/>
                    <w:adjustRightInd/>
                    <w:spacing w:line="288" w:lineRule="auto"/>
                    <w:jc w:val="left"/>
                    <w:rPr>
                      <w:rFonts w:ascii="宋体" w:hAnsi="宋体" w:cs="宋体"/>
                      <w:szCs w:val="21"/>
                    </w:rPr>
                  </w:pPr>
                  <w:r>
                    <w:rPr>
                      <w:rFonts w:hint="eastAsia" w:ascii="宋体" w:hAnsi="宋体" w:cs="宋体"/>
                      <w:szCs w:val="21"/>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8175E93">
                  <w:pPr>
                    <w:widowControl/>
                    <w:adjustRightInd/>
                    <w:spacing w:line="288" w:lineRule="auto"/>
                    <w:jc w:val="left"/>
                    <w:rPr>
                      <w:rFonts w:ascii="宋体" w:hAnsi="宋体" w:cs="宋体"/>
                      <w:szCs w:val="21"/>
                    </w:rPr>
                  </w:pPr>
                  <w:r>
                    <w:rPr>
                      <w:rFonts w:hint="eastAsia" w:ascii="宋体" w:hAnsi="宋体" w:cs="宋体"/>
                      <w:szCs w:val="21"/>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96DB27">
                  <w:pPr>
                    <w:widowControl/>
                    <w:adjustRightInd/>
                    <w:spacing w:line="288" w:lineRule="auto"/>
                    <w:jc w:val="left"/>
                    <w:rPr>
                      <w:rFonts w:ascii="宋体" w:hAnsi="宋体" w:cs="宋体"/>
                      <w:szCs w:val="21"/>
                    </w:rPr>
                  </w:pPr>
                  <w:r>
                    <w:rPr>
                      <w:rFonts w:hint="eastAsia" w:ascii="宋体" w:hAnsi="宋体" w:cs="宋体"/>
                      <w:szCs w:val="21"/>
                    </w:rPr>
                    <w:t>0.35%</w:t>
                  </w:r>
                </w:p>
              </w:tc>
            </w:tr>
            <w:tr w14:paraId="2C0072B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2F06E1">
                  <w:pPr>
                    <w:widowControl/>
                    <w:adjustRightInd/>
                    <w:spacing w:line="288" w:lineRule="auto"/>
                    <w:jc w:val="left"/>
                    <w:rPr>
                      <w:rFonts w:ascii="宋体" w:hAnsi="宋体" w:cs="宋体"/>
                      <w:szCs w:val="21"/>
                    </w:rPr>
                  </w:pPr>
                  <w:r>
                    <w:rPr>
                      <w:rFonts w:hint="eastAsia" w:ascii="宋体" w:hAnsi="宋体" w:cs="宋体"/>
                      <w:szCs w:val="21"/>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56D8F8F">
                  <w:pPr>
                    <w:widowControl/>
                    <w:adjustRightInd/>
                    <w:spacing w:line="288" w:lineRule="auto"/>
                    <w:jc w:val="left"/>
                    <w:rPr>
                      <w:rFonts w:ascii="宋体" w:hAnsi="宋体" w:cs="宋体"/>
                      <w:szCs w:val="21"/>
                    </w:rPr>
                  </w:pPr>
                  <w:r>
                    <w:rPr>
                      <w:rFonts w:hint="eastAsia" w:ascii="宋体" w:hAnsi="宋体" w:cs="宋体"/>
                      <w:szCs w:val="21"/>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781652">
                  <w:pPr>
                    <w:widowControl/>
                    <w:adjustRightInd/>
                    <w:spacing w:line="288" w:lineRule="auto"/>
                    <w:jc w:val="left"/>
                    <w:rPr>
                      <w:rFonts w:ascii="宋体" w:hAnsi="宋体" w:cs="宋体"/>
                      <w:szCs w:val="21"/>
                    </w:rPr>
                  </w:pPr>
                  <w:r>
                    <w:rPr>
                      <w:rFonts w:hint="eastAsia" w:ascii="宋体" w:hAnsi="宋体" w:cs="宋体"/>
                      <w:szCs w:val="21"/>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240F1F">
                  <w:pPr>
                    <w:widowControl/>
                    <w:adjustRightInd/>
                    <w:spacing w:line="288" w:lineRule="auto"/>
                    <w:jc w:val="left"/>
                    <w:rPr>
                      <w:rFonts w:ascii="宋体" w:hAnsi="宋体" w:cs="宋体"/>
                      <w:szCs w:val="21"/>
                    </w:rPr>
                  </w:pPr>
                  <w:r>
                    <w:rPr>
                      <w:rFonts w:hint="eastAsia" w:ascii="宋体" w:hAnsi="宋体" w:cs="宋体"/>
                      <w:szCs w:val="21"/>
                    </w:rPr>
                    <w:t>0.2%</w:t>
                  </w:r>
                </w:p>
              </w:tc>
            </w:tr>
            <w:tr w14:paraId="2D48A7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3888F6">
                  <w:pPr>
                    <w:widowControl/>
                    <w:adjustRightInd/>
                    <w:spacing w:line="288" w:lineRule="auto"/>
                    <w:jc w:val="left"/>
                    <w:rPr>
                      <w:rFonts w:ascii="宋体" w:hAnsi="宋体" w:cs="宋体"/>
                      <w:szCs w:val="21"/>
                    </w:rPr>
                  </w:pPr>
                  <w:r>
                    <w:rPr>
                      <w:rFonts w:hint="eastAsia" w:ascii="宋体" w:hAnsi="宋体" w:cs="宋体"/>
                      <w:szCs w:val="21"/>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ABDC2D">
                  <w:pPr>
                    <w:widowControl/>
                    <w:adjustRightInd/>
                    <w:spacing w:line="288" w:lineRule="auto"/>
                    <w:jc w:val="left"/>
                    <w:rPr>
                      <w:rFonts w:ascii="宋体" w:hAnsi="宋体" w:cs="宋体"/>
                      <w:szCs w:val="21"/>
                    </w:rPr>
                  </w:pPr>
                  <w:r>
                    <w:rPr>
                      <w:rFonts w:hint="eastAsia" w:ascii="宋体" w:hAnsi="宋体" w:cs="宋体"/>
                      <w:szCs w:val="21"/>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C3088C2">
                  <w:pPr>
                    <w:widowControl/>
                    <w:adjustRightInd/>
                    <w:spacing w:line="288" w:lineRule="auto"/>
                    <w:jc w:val="left"/>
                    <w:rPr>
                      <w:rFonts w:ascii="宋体" w:hAnsi="宋体" w:cs="宋体"/>
                      <w:szCs w:val="21"/>
                    </w:rPr>
                  </w:pPr>
                  <w:r>
                    <w:rPr>
                      <w:rFonts w:hint="eastAsia" w:ascii="宋体" w:hAnsi="宋体" w:cs="宋体"/>
                      <w:szCs w:val="21"/>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3FF55">
                  <w:pPr>
                    <w:widowControl/>
                    <w:adjustRightInd/>
                    <w:spacing w:line="288" w:lineRule="auto"/>
                    <w:jc w:val="left"/>
                    <w:rPr>
                      <w:rFonts w:ascii="宋体" w:hAnsi="宋体" w:cs="宋体"/>
                      <w:szCs w:val="21"/>
                    </w:rPr>
                  </w:pPr>
                  <w:r>
                    <w:rPr>
                      <w:rFonts w:hint="eastAsia" w:ascii="宋体" w:hAnsi="宋体" w:cs="宋体"/>
                      <w:szCs w:val="21"/>
                    </w:rPr>
                    <w:t>0.05%</w:t>
                  </w:r>
                </w:p>
              </w:tc>
            </w:tr>
          </w:tbl>
          <w:p w14:paraId="7727047C">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关于本次采购的服务费汇入以下账户：</w:t>
            </w:r>
          </w:p>
          <w:p w14:paraId="30C73C8B">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开户银行：宁波银行宁海支行</w:t>
            </w:r>
          </w:p>
          <w:p w14:paraId="0EC4BE5A">
            <w:pPr>
              <w:spacing w:line="288"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账    号：60010122000570946</w:t>
            </w:r>
          </w:p>
          <w:p w14:paraId="2E836175">
            <w:pPr>
              <w:spacing w:line="264" w:lineRule="auto"/>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户    名：宁海童氏工程管理咨询有限公司</w:t>
            </w:r>
          </w:p>
          <w:p w14:paraId="02B2CE73">
            <w:pPr>
              <w:spacing w:line="264" w:lineRule="auto"/>
              <w:rPr>
                <w:rFonts w:ascii="宋体" w:hAnsi="宋体" w:cs="宋体"/>
                <w:snapToGrid w:val="0"/>
                <w:kern w:val="28"/>
                <w:szCs w:val="21"/>
              </w:rPr>
            </w:pPr>
            <w:r>
              <w:rPr>
                <w:rFonts w:hint="eastAsia" w:ascii="宋体" w:hAnsi="宋体" w:cs="宋体"/>
                <w:kern w:val="0"/>
                <w:szCs w:val="21"/>
              </w:rPr>
              <w:t>备注：招标代理服务费只收现金、银行票汇款、电汇款。</w:t>
            </w:r>
          </w:p>
        </w:tc>
      </w:tr>
      <w:tr w14:paraId="768E9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40A8DE6">
            <w:pPr>
              <w:snapToGrid w:val="0"/>
              <w:spacing w:line="288" w:lineRule="auto"/>
              <w:jc w:val="center"/>
              <w:rPr>
                <w:rFonts w:ascii="宋体" w:hAnsi="宋体" w:cs="宋体"/>
                <w:szCs w:val="21"/>
              </w:rPr>
            </w:pPr>
            <w:r>
              <w:rPr>
                <w:rFonts w:hint="eastAsia" w:ascii="宋体" w:hAnsi="宋体" w:cs="宋体"/>
                <w:szCs w:val="21"/>
              </w:rPr>
              <w:t>15</w:t>
            </w:r>
          </w:p>
        </w:tc>
        <w:tc>
          <w:tcPr>
            <w:tcW w:w="1842" w:type="dxa"/>
            <w:tcBorders>
              <w:top w:val="single" w:color="auto" w:sz="4" w:space="0"/>
              <w:left w:val="single" w:color="auto" w:sz="4" w:space="0"/>
              <w:bottom w:val="single" w:color="auto" w:sz="4" w:space="0"/>
              <w:right w:val="single" w:color="auto" w:sz="4" w:space="0"/>
            </w:tcBorders>
            <w:vAlign w:val="center"/>
          </w:tcPr>
          <w:p w14:paraId="3BC43A26">
            <w:pPr>
              <w:snapToGrid w:val="0"/>
              <w:spacing w:line="288" w:lineRule="auto"/>
              <w:jc w:val="center"/>
              <w:rPr>
                <w:rFonts w:ascii="宋体" w:hAnsi="宋体" w:cs="宋体"/>
                <w:b/>
                <w:szCs w:val="21"/>
              </w:rPr>
            </w:pPr>
            <w:r>
              <w:rPr>
                <w:rFonts w:hint="eastAsia" w:ascii="宋体" w:hAnsi="宋体" w:cs="宋体"/>
                <w:b/>
                <w:szCs w:val="21"/>
              </w:rPr>
              <w:t>关于分公司投标</w:t>
            </w:r>
          </w:p>
        </w:tc>
        <w:tc>
          <w:tcPr>
            <w:tcW w:w="7134" w:type="dxa"/>
            <w:tcBorders>
              <w:top w:val="single" w:color="000000" w:sz="8" w:space="0"/>
              <w:left w:val="single" w:color="auto" w:sz="4" w:space="0"/>
              <w:bottom w:val="single" w:color="000000" w:sz="8" w:space="0"/>
              <w:right w:val="single" w:color="000000" w:sz="8" w:space="0"/>
            </w:tcBorders>
            <w:vAlign w:val="center"/>
          </w:tcPr>
          <w:p w14:paraId="662F7B1B">
            <w:pPr>
              <w:spacing w:line="288" w:lineRule="auto"/>
              <w:rPr>
                <w:rFonts w:ascii="宋体" w:hAnsi="宋体" w:cs="宋体"/>
                <w:kern w:val="0"/>
                <w:szCs w:val="21"/>
              </w:rPr>
            </w:pPr>
            <w:r>
              <w:rPr>
                <w:rFonts w:hint="eastAsia" w:ascii="宋体" w:hAnsi="宋体" w:cs="宋体"/>
                <w:szCs w:val="21"/>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tc>
      </w:tr>
    </w:tbl>
    <w:p w14:paraId="0388D593">
      <w:pPr>
        <w:snapToGrid w:val="0"/>
        <w:spacing w:line="360" w:lineRule="auto"/>
        <w:jc w:val="center"/>
        <w:rPr>
          <w:rFonts w:ascii="宋体" w:hAnsi="宋体" w:cs="宋体"/>
          <w:b/>
          <w:szCs w:val="21"/>
        </w:rPr>
      </w:pPr>
    </w:p>
    <w:bookmarkEnd w:id="11"/>
    <w:p w14:paraId="56A85944">
      <w:pPr>
        <w:rPr>
          <w:rFonts w:ascii="宋体" w:hAnsi="宋体" w:cs="宋体"/>
          <w:b/>
          <w:szCs w:val="21"/>
        </w:rPr>
      </w:pPr>
      <w:bookmarkStart w:id="25" w:name="_Toc164416483"/>
      <w:bookmarkStart w:id="26" w:name="第三部分"/>
      <w:r>
        <w:rPr>
          <w:rFonts w:hint="eastAsia" w:ascii="宋体" w:hAnsi="宋体" w:cs="宋体"/>
          <w:b/>
          <w:szCs w:val="21"/>
        </w:rPr>
        <w:br w:type="page"/>
      </w:r>
    </w:p>
    <w:p w14:paraId="2207F646">
      <w:pPr>
        <w:adjustRightInd/>
        <w:spacing w:line="348" w:lineRule="auto"/>
        <w:ind w:firstLine="2524" w:firstLineChars="1197"/>
        <w:rPr>
          <w:rFonts w:ascii="宋体" w:hAnsi="宋体" w:cs="宋体"/>
          <w:b/>
          <w:szCs w:val="21"/>
        </w:rPr>
      </w:pPr>
      <w:r>
        <w:rPr>
          <w:rFonts w:hint="eastAsia" w:ascii="宋体" w:hAnsi="宋体" w:cs="宋体"/>
          <w:b/>
          <w:szCs w:val="21"/>
        </w:rPr>
        <w:t>一、总则</w:t>
      </w:r>
    </w:p>
    <w:p w14:paraId="0A038F73">
      <w:pPr>
        <w:snapToGrid w:val="0"/>
        <w:spacing w:line="348" w:lineRule="auto"/>
        <w:ind w:firstLine="316" w:firstLineChars="150"/>
        <w:jc w:val="left"/>
        <w:rPr>
          <w:rFonts w:ascii="宋体" w:hAnsi="宋体" w:cs="宋体"/>
          <w:b/>
          <w:szCs w:val="21"/>
        </w:rPr>
      </w:pPr>
      <w:r>
        <w:rPr>
          <w:rFonts w:hint="eastAsia" w:ascii="宋体" w:hAnsi="宋体" w:cs="宋体"/>
          <w:b/>
          <w:szCs w:val="21"/>
        </w:rPr>
        <w:t>1. 适用范围</w:t>
      </w:r>
    </w:p>
    <w:p w14:paraId="3F4DCFB0">
      <w:pPr>
        <w:snapToGrid w:val="0"/>
        <w:spacing w:line="348"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53438DA6">
      <w:pPr>
        <w:snapToGrid w:val="0"/>
        <w:spacing w:line="348" w:lineRule="auto"/>
        <w:ind w:firstLine="316" w:firstLineChars="150"/>
        <w:jc w:val="left"/>
        <w:rPr>
          <w:rFonts w:ascii="宋体" w:hAnsi="宋体" w:cs="宋体"/>
          <w:b/>
          <w:szCs w:val="21"/>
        </w:rPr>
      </w:pPr>
      <w:r>
        <w:rPr>
          <w:rFonts w:hint="eastAsia" w:ascii="宋体" w:hAnsi="宋体" w:cs="宋体"/>
          <w:b/>
          <w:szCs w:val="21"/>
        </w:rPr>
        <w:t>2.定义</w:t>
      </w:r>
    </w:p>
    <w:p w14:paraId="550754AD">
      <w:pPr>
        <w:spacing w:line="348"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14:paraId="46876931">
      <w:pPr>
        <w:spacing w:line="348" w:lineRule="auto"/>
        <w:ind w:firstLine="420" w:firstLineChars="200"/>
        <w:rPr>
          <w:rFonts w:ascii="宋体" w:hAnsi="宋体" w:cs="宋体"/>
          <w:szCs w:val="21"/>
        </w:rPr>
      </w:pPr>
      <w:r>
        <w:rPr>
          <w:rFonts w:hint="eastAsia" w:ascii="宋体" w:hAnsi="宋体" w:cs="宋体"/>
          <w:szCs w:val="21"/>
        </w:rPr>
        <w:t>2.2 “采购代理机构”系指招标公告中载明的本项目的采购代理机构。</w:t>
      </w:r>
    </w:p>
    <w:p w14:paraId="01A26039">
      <w:pPr>
        <w:spacing w:line="348"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14:paraId="6BDC7D5E">
      <w:pPr>
        <w:spacing w:line="348"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2F0CB8A1">
      <w:pPr>
        <w:spacing w:line="348"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8A853">
      <w:pPr>
        <w:spacing w:line="348"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77242B64">
      <w:pPr>
        <w:spacing w:line="348"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14:checkbox>
            <w14:checked w14:val="1"/>
            <w14:checkedState w14:val="00FE" w14:font="Wingdings"/>
            <w14:uncheckedState w14:val="2610" w14:font="MS Gothic"/>
          </w14:checkbox>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14:checkbox>
            <w14:checked w14:val="0"/>
            <w14:checkedState w14:val="00FE" w14:font="Wingdings"/>
            <w14:uncheckedState w14:val="2610" w14:font="MS Gothic"/>
          </w14:checkbox>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w:t>
      </w:r>
    </w:p>
    <w:p w14:paraId="090393D8">
      <w:pPr>
        <w:spacing w:line="348" w:lineRule="auto"/>
        <w:ind w:firstLine="211" w:firstLineChars="100"/>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44891058">
      <w:pPr>
        <w:spacing w:line="348" w:lineRule="auto"/>
        <w:ind w:firstLine="210" w:firstLineChars="1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1D787340">
      <w:pPr>
        <w:spacing w:line="348" w:lineRule="auto"/>
        <w:ind w:firstLine="210" w:firstLineChars="100"/>
        <w:rPr>
          <w:rFonts w:ascii="宋体" w:hAnsi="宋体" w:cs="宋体"/>
          <w:szCs w:val="21"/>
        </w:rPr>
      </w:pPr>
      <w:r>
        <w:rPr>
          <w:rFonts w:hint="eastAsia" w:ascii="宋体" w:hAnsi="宋体" w:cs="宋体"/>
          <w:szCs w:val="21"/>
        </w:rPr>
        <w:t>3.2 支持绿色发展</w:t>
      </w:r>
    </w:p>
    <w:p w14:paraId="3A6A5B81">
      <w:pPr>
        <w:spacing w:line="348"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Cs w:val="21"/>
        </w:rPr>
        <w:t>▲采购人拟采购的产品属于政府强制采购的节能产品品目清单范围的，投标人相应的投标产品未获得国家确定的认证机构出具的、处于有效期之内的节能产品认证证书的，投标无效。</w:t>
      </w:r>
    </w:p>
    <w:p w14:paraId="171AB2CB">
      <w:pPr>
        <w:spacing w:line="348" w:lineRule="auto"/>
        <w:ind w:firstLine="420" w:firstLineChars="200"/>
        <w:rPr>
          <w:rFonts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14:paraId="6C4B239D">
      <w:pPr>
        <w:spacing w:line="348"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F0A423">
      <w:pPr>
        <w:spacing w:line="348" w:lineRule="auto"/>
        <w:ind w:firstLine="420" w:firstLineChars="200"/>
        <w:rPr>
          <w:rFonts w:ascii="宋体" w:hAnsi="宋体" w:cs="宋体"/>
          <w:szCs w:val="21"/>
        </w:rPr>
      </w:pPr>
      <w:r>
        <w:rPr>
          <w:rFonts w:ascii="宋体" w:hAnsi="宋体" w:cs="宋体"/>
          <w:szCs w:val="21"/>
        </w:rPr>
        <w:t>3.2.4</w:t>
      </w:r>
      <w:r>
        <w:rPr>
          <w:rFonts w:hint="eastAsia" w:ascii="宋体" w:hAnsi="宋体" w:cs="宋体"/>
          <w:szCs w:val="21"/>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82519C">
      <w:pPr>
        <w:spacing w:line="348" w:lineRule="auto"/>
        <w:ind w:firstLine="210" w:firstLineChars="100"/>
        <w:rPr>
          <w:rFonts w:ascii="宋体" w:hAnsi="宋体" w:cs="宋体"/>
          <w:szCs w:val="21"/>
        </w:rPr>
      </w:pPr>
      <w:r>
        <w:rPr>
          <w:rFonts w:hint="eastAsia" w:ascii="宋体" w:hAnsi="宋体" w:cs="宋体"/>
          <w:szCs w:val="21"/>
        </w:rPr>
        <w:t>3.3支持中小企业发展</w:t>
      </w:r>
    </w:p>
    <w:p w14:paraId="79BACD7E">
      <w:pPr>
        <w:spacing w:line="348"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BF3E6F">
      <w:pPr>
        <w:spacing w:line="348"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7B96875D">
      <w:pPr>
        <w:widowControl/>
        <w:spacing w:line="348" w:lineRule="auto"/>
        <w:ind w:firstLine="420" w:firstLineChars="200"/>
        <w:jc w:val="left"/>
        <w:rPr>
          <w:rFonts w:ascii="宋体" w:hAnsi="宋体" w:cs="宋体"/>
          <w:kern w:val="0"/>
          <w:szCs w:val="21"/>
        </w:rPr>
      </w:pPr>
      <w:r>
        <w:rPr>
          <w:rFonts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A5BE8D2">
      <w:pPr>
        <w:widowControl/>
        <w:spacing w:line="348"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CEC0A3D">
      <w:pPr>
        <w:spacing w:line="348" w:lineRule="auto"/>
        <w:ind w:firstLine="420" w:firstLineChars="200"/>
        <w:rPr>
          <w:rFonts w:ascii="宋体" w:hAnsi="宋体" w:cs="宋体"/>
          <w:szCs w:val="21"/>
        </w:rPr>
      </w:pPr>
      <w:r>
        <w:rPr>
          <w:rFonts w:hint="eastAsia" w:ascii="宋体" w:hAnsi="宋体" w:cs="宋体"/>
          <w:szCs w:val="21"/>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FFE773E">
      <w:pPr>
        <w:spacing w:line="348"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DA95057">
      <w:pPr>
        <w:spacing w:line="348"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0857411">
      <w:pPr>
        <w:spacing w:line="348"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C2678B">
      <w:pPr>
        <w:spacing w:line="348"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31025ADB">
      <w:pPr>
        <w:spacing w:line="348" w:lineRule="auto"/>
        <w:ind w:firstLine="210" w:firstLineChars="1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59930102">
      <w:pPr>
        <w:spacing w:line="348" w:lineRule="auto"/>
        <w:ind w:firstLine="420" w:firstLineChars="200"/>
        <w:rPr>
          <w:rFonts w:ascii="宋体" w:hAnsi="宋体" w:cs="宋体"/>
          <w:szCs w:val="21"/>
        </w:rPr>
      </w:pPr>
      <w:r>
        <w:rPr>
          <w:rFonts w:hint="eastAsia" w:ascii="宋体" w:hAnsi="宋体" w:cs="宋体"/>
          <w:szCs w:val="21"/>
        </w:rPr>
        <w:t>3.4.1采购人优先采购被认定为首台套产品和“制造精品”的自主创新产品。</w:t>
      </w:r>
    </w:p>
    <w:p w14:paraId="76FBCA74">
      <w:pPr>
        <w:spacing w:line="348"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w:t>
      </w:r>
      <w:r>
        <w:rPr>
          <w:rFonts w:ascii="宋体" w:hAnsi="宋体" w:cs="宋体"/>
          <w:szCs w:val="21"/>
        </w:rPr>
        <w:t>3</w:t>
      </w:r>
      <w:r>
        <w:rPr>
          <w:rFonts w:hint="eastAsia" w:ascii="宋体" w:hAnsi="宋体" w:cs="宋体"/>
          <w:szCs w:val="21"/>
        </w:rPr>
        <w:t>年内，以及产品核心技术高于国内领先水平，并具有明晰自主知识产权的“制造精品”产品，自认定之日起2年内视同已具备相应销售业绩，参加政府采购活动时业绩分值为满分。</w:t>
      </w:r>
    </w:p>
    <w:p w14:paraId="3A26B528">
      <w:pPr>
        <w:spacing w:line="348"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2075F2BE">
      <w:pPr>
        <w:spacing w:line="348" w:lineRule="auto"/>
        <w:ind w:firstLine="210" w:firstLineChars="1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4A2BFEF1">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8034DC">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3096C5BD">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68BBC99">
      <w:pPr>
        <w:autoSpaceDE w:val="0"/>
        <w:autoSpaceDN w:val="0"/>
        <w:spacing w:line="348"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3807F641">
      <w:pPr>
        <w:pStyle w:val="35"/>
        <w:spacing w:line="348" w:lineRule="auto"/>
        <w:ind w:firstLine="420" w:firstLineChars="200"/>
        <w:rPr>
          <w:rFonts w:hAnsi="宋体" w:cs="宋体"/>
        </w:rPr>
      </w:pPr>
      <w:r>
        <w:rPr>
          <w:rFonts w:hint="eastAsia" w:hAnsi="宋体" w:cs="宋体"/>
          <w:kern w:val="0"/>
          <w:lang w:val="zh-CN"/>
        </w:rPr>
        <w:t>4.3</w:t>
      </w:r>
      <w:r>
        <w:rPr>
          <w:rFonts w:hint="eastAsia" w:hAnsi="宋体" w:cs="宋体"/>
        </w:rPr>
        <w:t>.1提出质疑的供应商应当是参与所质疑项目采购活动的供应商。潜在供应商已依法获取其可质疑的招标文件的，可以对该文件提出质疑。</w:t>
      </w:r>
    </w:p>
    <w:p w14:paraId="001DD1E2">
      <w:pPr>
        <w:pStyle w:val="35"/>
        <w:spacing w:line="348" w:lineRule="auto"/>
        <w:ind w:firstLine="420" w:firstLineChars="200"/>
        <w:rPr>
          <w:rFonts w:hAnsi="宋体" w:cs="宋体"/>
        </w:rPr>
      </w:pPr>
      <w:r>
        <w:rPr>
          <w:rFonts w:hint="eastAsia" w:hAnsi="宋体" w:cs="宋体"/>
          <w:kern w:val="0"/>
          <w:lang w:val="zh-CN"/>
        </w:rPr>
        <w:t>4.3</w:t>
      </w:r>
      <w:r>
        <w:rPr>
          <w:rFonts w:hint="eastAsia" w:hAnsi="宋体" w:cs="宋体"/>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D398EA2">
      <w:pPr>
        <w:pStyle w:val="18"/>
        <w:spacing w:line="348"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4.3.2.1对招标文件提出质疑的，质疑期限为供应商获得招标文件之日或者招标文件公告期限届满之日起计算。</w:t>
      </w:r>
    </w:p>
    <w:p w14:paraId="2B3C6D53">
      <w:pPr>
        <w:pStyle w:val="35"/>
        <w:spacing w:line="348" w:lineRule="auto"/>
        <w:ind w:left="479" w:leftChars="228"/>
        <w:rPr>
          <w:rFonts w:hAnsi="宋体" w:cs="宋体"/>
        </w:rPr>
      </w:pPr>
      <w:r>
        <w:rPr>
          <w:rFonts w:hint="eastAsia" w:hAnsi="宋体" w:cs="宋体"/>
        </w:rPr>
        <w:t>4.3.2.2对采购过程提出质疑的，质疑期限为各采购程序环节结束之日起计算。4.3.2.3对采购结果提出质疑的，质疑期限自采购结果公告期限届满之日起计算。</w:t>
      </w:r>
    </w:p>
    <w:p w14:paraId="13E41264">
      <w:pPr>
        <w:pStyle w:val="35"/>
        <w:spacing w:line="348" w:lineRule="auto"/>
        <w:ind w:firstLine="420" w:firstLineChars="200"/>
        <w:rPr>
          <w:rFonts w:hAnsi="宋体" w:cs="宋体"/>
          <w:kern w:val="0"/>
          <w:lang w:val="zh-CN"/>
        </w:rPr>
      </w:pPr>
      <w:r>
        <w:rPr>
          <w:rFonts w:hint="eastAsia" w:hAnsi="宋体" w:cs="宋体"/>
          <w:kern w:val="0"/>
          <w:lang w:val="zh-CN"/>
        </w:rPr>
        <w:t>4.3.3</w:t>
      </w:r>
      <w:r>
        <w:rPr>
          <w:rFonts w:hint="eastAsia" w:hAnsi="宋体" w:cs="宋体"/>
        </w:rPr>
        <w:t>供应商提出质疑应当提交质疑函和必要的证明材料。质疑函应当包括下列内容：</w:t>
      </w:r>
    </w:p>
    <w:p w14:paraId="0BD0761A">
      <w:pPr>
        <w:pStyle w:val="35"/>
        <w:spacing w:line="348" w:lineRule="auto"/>
        <w:ind w:firstLine="420" w:firstLineChars="200"/>
        <w:rPr>
          <w:rFonts w:hAnsi="宋体" w:cs="宋体"/>
          <w:kern w:val="0"/>
          <w:lang w:val="zh-CN"/>
        </w:rPr>
      </w:pPr>
      <w:r>
        <w:rPr>
          <w:rFonts w:hint="eastAsia" w:hAnsi="宋体" w:cs="宋体"/>
          <w:kern w:val="0"/>
          <w:lang w:val="zh-CN"/>
        </w:rPr>
        <w:t>　　4.3.3.1供应商的姓名或者名称、地址、邮编、联系人及联系电话；</w:t>
      </w:r>
    </w:p>
    <w:p w14:paraId="5BF08985">
      <w:pPr>
        <w:pStyle w:val="35"/>
        <w:spacing w:line="348" w:lineRule="auto"/>
        <w:ind w:firstLine="420" w:firstLineChars="200"/>
        <w:rPr>
          <w:rFonts w:hAnsi="宋体" w:cs="宋体"/>
          <w:kern w:val="0"/>
          <w:lang w:val="zh-CN"/>
        </w:rPr>
      </w:pPr>
      <w:r>
        <w:rPr>
          <w:rFonts w:hint="eastAsia" w:hAnsi="宋体" w:cs="宋体"/>
          <w:kern w:val="0"/>
          <w:lang w:val="zh-CN"/>
        </w:rPr>
        <w:t>　　4.3.3.2质疑项目的名称、编号；</w:t>
      </w:r>
    </w:p>
    <w:p w14:paraId="61CA4692">
      <w:pPr>
        <w:pStyle w:val="35"/>
        <w:spacing w:line="348" w:lineRule="auto"/>
        <w:ind w:firstLine="420" w:firstLineChars="200"/>
        <w:rPr>
          <w:rFonts w:hAnsi="宋体" w:cs="宋体"/>
          <w:kern w:val="0"/>
          <w:lang w:val="zh-CN"/>
        </w:rPr>
      </w:pPr>
      <w:r>
        <w:rPr>
          <w:rFonts w:hint="eastAsia" w:hAnsi="宋体" w:cs="宋体"/>
          <w:kern w:val="0"/>
          <w:lang w:val="zh-CN"/>
        </w:rPr>
        <w:t>　　4.3.3.3具体、明确的质疑事项和与质疑事项相关的请求；</w:t>
      </w:r>
    </w:p>
    <w:p w14:paraId="26370CDF">
      <w:pPr>
        <w:pStyle w:val="35"/>
        <w:spacing w:line="348" w:lineRule="auto"/>
        <w:ind w:firstLine="420" w:firstLineChars="200"/>
        <w:rPr>
          <w:rFonts w:hAnsi="宋体" w:cs="宋体"/>
          <w:kern w:val="0"/>
          <w:lang w:val="zh-CN"/>
        </w:rPr>
      </w:pPr>
      <w:r>
        <w:rPr>
          <w:rFonts w:hint="eastAsia" w:hAnsi="宋体" w:cs="宋体"/>
          <w:kern w:val="0"/>
          <w:lang w:val="zh-CN"/>
        </w:rPr>
        <w:t>　　4.3.3.4事实依据；</w:t>
      </w:r>
    </w:p>
    <w:p w14:paraId="3B53A019">
      <w:pPr>
        <w:pStyle w:val="35"/>
        <w:spacing w:line="348" w:lineRule="auto"/>
        <w:ind w:firstLine="420" w:firstLineChars="200"/>
        <w:rPr>
          <w:rFonts w:hAnsi="宋体" w:cs="宋体"/>
          <w:kern w:val="0"/>
          <w:lang w:val="zh-CN"/>
        </w:rPr>
      </w:pPr>
      <w:r>
        <w:rPr>
          <w:rFonts w:hint="eastAsia" w:hAnsi="宋体" w:cs="宋体"/>
          <w:kern w:val="0"/>
          <w:lang w:val="zh-CN"/>
        </w:rPr>
        <w:t>　　4.3.3.5必要的法律依据；</w:t>
      </w:r>
    </w:p>
    <w:p w14:paraId="374FE614">
      <w:pPr>
        <w:pStyle w:val="35"/>
        <w:spacing w:line="348" w:lineRule="auto"/>
        <w:ind w:firstLine="840" w:firstLineChars="400"/>
        <w:rPr>
          <w:rFonts w:hAnsi="宋体" w:cs="宋体"/>
          <w:kern w:val="0"/>
          <w:lang w:val="zh-CN"/>
        </w:rPr>
      </w:pPr>
      <w:r>
        <w:rPr>
          <w:rFonts w:hint="eastAsia" w:hAnsi="宋体" w:cs="宋体"/>
          <w:kern w:val="0"/>
          <w:lang w:val="zh-CN"/>
        </w:rPr>
        <w:t>4.3.3.6提出质疑的日期。</w:t>
      </w:r>
    </w:p>
    <w:p w14:paraId="5A892070">
      <w:pPr>
        <w:pStyle w:val="892"/>
        <w:spacing w:before="0" w:beforeAutospacing="0" w:after="0" w:afterAutospacing="0" w:line="348" w:lineRule="auto"/>
        <w:ind w:firstLine="403"/>
        <w:contextualSpacing/>
        <w:rPr>
          <w:sz w:val="21"/>
          <w:szCs w:val="21"/>
        </w:rPr>
      </w:pPr>
      <w:r>
        <w:rPr>
          <w:rFonts w:hint="eastAsia"/>
          <w:sz w:val="21"/>
          <w:szCs w:val="21"/>
          <w:lang w:val="zh-CN"/>
        </w:rPr>
        <w:t>供应商</w:t>
      </w:r>
      <w:r>
        <w:rPr>
          <w:rFonts w:hint="eastAsia"/>
          <w:sz w:val="21"/>
          <w:szCs w:val="21"/>
        </w:rPr>
        <w:t>提交的质疑函需一式三份。供应商为自然人的，应当由本人签字；供应商为法人或者其他组织的，应当由法定代表人、主要负责人，或者其授权代表签字或者盖章，并加盖公章。</w:t>
      </w:r>
    </w:p>
    <w:p w14:paraId="064C7580">
      <w:pPr>
        <w:pStyle w:val="892"/>
        <w:snapToGrid w:val="0"/>
        <w:spacing w:after="240" w:afterAutospacing="0" w:line="348" w:lineRule="auto"/>
        <w:ind w:firstLine="400"/>
        <w:contextualSpacing/>
        <w:rPr>
          <w:sz w:val="21"/>
          <w:szCs w:val="21"/>
        </w:rPr>
      </w:pPr>
      <w:r>
        <w:rPr>
          <w:rFonts w:hint="eastAsia"/>
          <w:sz w:val="21"/>
          <w:szCs w:val="21"/>
        </w:rPr>
        <w:t>质疑函范本及制作说明详见附件2。</w:t>
      </w:r>
    </w:p>
    <w:p w14:paraId="65816E82">
      <w:pPr>
        <w:pStyle w:val="892"/>
        <w:snapToGrid w:val="0"/>
        <w:spacing w:after="240" w:afterAutospacing="0" w:line="348" w:lineRule="auto"/>
        <w:ind w:firstLine="400"/>
        <w:contextualSpacing/>
        <w:rPr>
          <w:sz w:val="21"/>
          <w:szCs w:val="21"/>
        </w:rPr>
      </w:pPr>
      <w:r>
        <w:rPr>
          <w:rFonts w:hint="eastAsia"/>
          <w:sz w:val="21"/>
          <w:szCs w:val="21"/>
        </w:rPr>
        <w:t>4.3.4对同一采购程序环节的质疑，供应商须在法定质疑期内一次性提出。</w:t>
      </w:r>
    </w:p>
    <w:p w14:paraId="6A98C22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sz w:val="21"/>
          <w:szCs w:val="21"/>
        </w:rPr>
        <w:t>根据《浙江省财政厅关于进一步加强政府采购公平竞争打造最优营商环境的通知》（浙财采监〔</w:t>
      </w:r>
      <w:r>
        <w:rPr>
          <w:rFonts w:asciiTheme="minorEastAsia" w:hAnsiTheme="minorEastAsia" w:eastAsiaTheme="minorEastAsia"/>
          <w:sz w:val="21"/>
          <w:szCs w:val="21"/>
        </w:rPr>
        <w:t>2021〕</w:t>
      </w:r>
      <w:r>
        <w:rPr>
          <w:rFonts w:hint="eastAsia" w:asciiTheme="minorEastAsia" w:hAnsiTheme="minorEastAsia" w:eastAsiaTheme="minorEastAsia"/>
          <w:sz w:val="21"/>
          <w:szCs w:val="21"/>
        </w:rPr>
        <w:t>22</w:t>
      </w:r>
      <w:r>
        <w:rPr>
          <w:rFonts w:asciiTheme="minorEastAsia" w:hAnsiTheme="minorEastAsia" w:eastAsiaTheme="minorEastAsia"/>
          <w:sz w:val="21"/>
          <w:szCs w:val="21"/>
        </w:rPr>
        <w:t>号）</w:t>
      </w:r>
      <w:r>
        <w:rPr>
          <w:rFonts w:hint="eastAsia"/>
          <w:sz w:val="21"/>
          <w:szCs w:val="21"/>
        </w:rPr>
        <w:t>,采购人或者采购代理机构在质疑回复后5个工作日内，在浙江政府采购网的“其他公告”栏目公开质疑答复，答复内容应当完整。质疑函作为附件上传。</w:t>
      </w:r>
    </w:p>
    <w:p w14:paraId="3D8504B3">
      <w:pPr>
        <w:pStyle w:val="892"/>
        <w:snapToGrid w:val="0"/>
        <w:spacing w:after="240" w:afterAutospacing="0" w:line="348" w:lineRule="auto"/>
        <w:ind w:firstLine="4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B8C35B6">
      <w:pPr>
        <w:pStyle w:val="892"/>
        <w:snapToGrid w:val="0"/>
        <w:spacing w:after="240" w:afterAutospacing="0" w:line="348" w:lineRule="auto"/>
        <w:ind w:firstLine="420" w:firstLineChars="200"/>
        <w:contextualSpacing/>
        <w:rPr>
          <w:sz w:val="21"/>
          <w:szCs w:val="21"/>
          <w:lang w:val="zh-CN"/>
        </w:rPr>
      </w:pPr>
      <w:r>
        <w:rPr>
          <w:rFonts w:hint="eastAsia"/>
          <w:sz w:val="21"/>
          <w:szCs w:val="21"/>
          <w:lang w:val="zh-CN"/>
        </w:rPr>
        <w:t>4.4供应商投诉</w:t>
      </w:r>
    </w:p>
    <w:p w14:paraId="2730AEB5">
      <w:pPr>
        <w:pStyle w:val="892"/>
        <w:snapToGrid w:val="0"/>
        <w:spacing w:after="240" w:afterAutospacing="0" w:line="348" w:lineRule="auto"/>
        <w:ind w:firstLine="4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5B4846C">
      <w:pPr>
        <w:pStyle w:val="892"/>
        <w:snapToGrid w:val="0"/>
        <w:spacing w:after="240" w:afterAutospacing="0" w:line="348" w:lineRule="auto"/>
        <w:ind w:firstLine="4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02CD8A52">
      <w:pPr>
        <w:pStyle w:val="892"/>
        <w:snapToGrid w:val="0"/>
        <w:spacing w:after="240" w:afterAutospacing="0" w:line="348" w:lineRule="auto"/>
        <w:ind w:firstLine="400"/>
        <w:contextualSpacing/>
        <w:rPr>
          <w:sz w:val="21"/>
          <w:szCs w:val="21"/>
        </w:rPr>
      </w:pPr>
      <w:r>
        <w:rPr>
          <w:rFonts w:hint="eastAsia"/>
          <w:sz w:val="21"/>
          <w:szCs w:val="21"/>
        </w:rPr>
        <w:t>4.4.3供应商投诉应当有明确的请求和必要的证明材料。</w:t>
      </w:r>
    </w:p>
    <w:p w14:paraId="7A0321B4">
      <w:pPr>
        <w:pStyle w:val="892"/>
        <w:snapToGrid w:val="0"/>
        <w:spacing w:after="240" w:afterAutospacing="0" w:line="348" w:lineRule="auto"/>
        <w:ind w:firstLine="400"/>
        <w:contextualSpacing/>
        <w:rPr>
          <w:sz w:val="21"/>
          <w:szCs w:val="21"/>
        </w:rPr>
      </w:pPr>
      <w:r>
        <w:rPr>
          <w:rFonts w:hint="eastAsia"/>
          <w:sz w:val="21"/>
          <w:szCs w:val="21"/>
        </w:rPr>
        <w:t>4.4.4以联合体形式参加政府采购活动的，其投诉应当由组成联合体的所有供应商共同提出。</w:t>
      </w:r>
    </w:p>
    <w:p w14:paraId="033F5798">
      <w:pPr>
        <w:pStyle w:val="892"/>
        <w:snapToGrid w:val="0"/>
        <w:spacing w:after="240" w:afterAutospacing="0" w:line="348" w:lineRule="auto"/>
        <w:ind w:firstLine="400"/>
        <w:contextualSpacing/>
        <w:rPr>
          <w:sz w:val="21"/>
          <w:szCs w:val="21"/>
        </w:rPr>
      </w:pPr>
      <w:r>
        <w:rPr>
          <w:rFonts w:hint="eastAsia"/>
          <w:sz w:val="21"/>
          <w:szCs w:val="21"/>
        </w:rPr>
        <w:t>4.4.5投诉材料可寄送至：宁海县政府采购管理办公室，地址：宁海县跃龙街道桃源中路218号，收件人：应老师，电话：0574-65265668。</w:t>
      </w:r>
    </w:p>
    <w:p w14:paraId="646520A7">
      <w:pPr>
        <w:pStyle w:val="892"/>
        <w:snapToGrid w:val="0"/>
        <w:spacing w:after="240" w:afterAutospacing="0" w:line="348" w:lineRule="auto"/>
        <w:ind w:firstLine="400"/>
        <w:contextualSpacing/>
        <w:rPr>
          <w:sz w:val="21"/>
          <w:szCs w:val="21"/>
        </w:rPr>
      </w:pPr>
      <w:r>
        <w:rPr>
          <w:rFonts w:hint="eastAsia"/>
          <w:sz w:val="21"/>
          <w:szCs w:val="21"/>
        </w:rPr>
        <w:t>投诉书范本及制作说明详见附件3。</w:t>
      </w:r>
    </w:p>
    <w:p w14:paraId="21E205CC">
      <w:pPr>
        <w:pStyle w:val="139"/>
        <w:snapToGrid w:val="0"/>
        <w:spacing w:before="0" w:line="348" w:lineRule="auto"/>
        <w:ind w:firstLine="420"/>
        <w:rPr>
          <w:rFonts w:ascii="宋体" w:hAnsi="宋体" w:cs="宋体"/>
          <w:sz w:val="21"/>
          <w:szCs w:val="21"/>
        </w:rPr>
      </w:pPr>
    </w:p>
    <w:p w14:paraId="478B995E">
      <w:pPr>
        <w:adjustRightInd/>
        <w:spacing w:line="348" w:lineRule="auto"/>
        <w:jc w:val="center"/>
        <w:rPr>
          <w:rFonts w:ascii="宋体" w:hAnsi="宋体" w:cs="宋体"/>
          <w:b/>
          <w:szCs w:val="21"/>
        </w:rPr>
      </w:pPr>
      <w:r>
        <w:rPr>
          <w:rFonts w:hint="eastAsia" w:ascii="宋体" w:hAnsi="宋体" w:cs="宋体"/>
          <w:b/>
          <w:szCs w:val="21"/>
        </w:rPr>
        <w:t>二、招标文件的构成、澄清、修改</w:t>
      </w:r>
    </w:p>
    <w:p w14:paraId="7962254C">
      <w:pPr>
        <w:pStyle w:val="35"/>
        <w:spacing w:line="348" w:lineRule="auto"/>
        <w:rPr>
          <w:rFonts w:hAnsi="宋体" w:cs="宋体"/>
          <w:b/>
        </w:rPr>
      </w:pPr>
      <w:r>
        <w:rPr>
          <w:rFonts w:hint="eastAsia" w:hAnsi="宋体" w:cs="宋体"/>
          <w:b/>
        </w:rPr>
        <w:t>5．招标文件的构成</w:t>
      </w:r>
    </w:p>
    <w:p w14:paraId="76415C9E">
      <w:pPr>
        <w:pStyle w:val="35"/>
        <w:spacing w:line="348" w:lineRule="auto"/>
        <w:ind w:firstLine="420" w:firstLineChars="200"/>
        <w:rPr>
          <w:rFonts w:hAnsi="宋体" w:cs="宋体"/>
        </w:rPr>
      </w:pPr>
      <w:r>
        <w:rPr>
          <w:rFonts w:hint="eastAsia" w:hAnsi="宋体" w:cs="宋体"/>
        </w:rPr>
        <w:t>5.1 招标文件包括下列文件及附件：</w:t>
      </w:r>
    </w:p>
    <w:p w14:paraId="0A7055A8">
      <w:pPr>
        <w:pStyle w:val="35"/>
        <w:tabs>
          <w:tab w:val="left" w:pos="840"/>
        </w:tabs>
        <w:spacing w:line="348" w:lineRule="auto"/>
        <w:ind w:firstLine="840" w:firstLineChars="400"/>
        <w:rPr>
          <w:rFonts w:hAnsi="宋体" w:cs="宋体"/>
        </w:rPr>
      </w:pPr>
      <w:r>
        <w:rPr>
          <w:rFonts w:hint="eastAsia" w:hAnsi="宋体" w:cs="宋体"/>
        </w:rPr>
        <w:t>5.1.1招标公告；</w:t>
      </w:r>
    </w:p>
    <w:p w14:paraId="481E16BF">
      <w:pPr>
        <w:pStyle w:val="35"/>
        <w:tabs>
          <w:tab w:val="left" w:pos="840"/>
        </w:tabs>
        <w:spacing w:line="348" w:lineRule="auto"/>
        <w:ind w:firstLine="840" w:firstLineChars="400"/>
        <w:rPr>
          <w:rFonts w:hAnsi="宋体" w:cs="宋体"/>
        </w:rPr>
      </w:pPr>
      <w:r>
        <w:rPr>
          <w:rFonts w:hint="eastAsia" w:hAnsi="宋体" w:cs="宋体"/>
        </w:rPr>
        <w:t>5.1.2投标人须知；</w:t>
      </w:r>
    </w:p>
    <w:p w14:paraId="37F596BF">
      <w:pPr>
        <w:pStyle w:val="35"/>
        <w:tabs>
          <w:tab w:val="left" w:pos="840"/>
        </w:tabs>
        <w:spacing w:line="348" w:lineRule="auto"/>
        <w:ind w:firstLine="840" w:firstLineChars="400"/>
        <w:rPr>
          <w:rFonts w:hAnsi="宋体" w:cs="宋体"/>
        </w:rPr>
      </w:pPr>
      <w:r>
        <w:rPr>
          <w:rFonts w:hint="eastAsia" w:hAnsi="宋体" w:cs="宋体"/>
        </w:rPr>
        <w:t>5.1.3采购需求；</w:t>
      </w:r>
    </w:p>
    <w:p w14:paraId="2F81950E">
      <w:pPr>
        <w:pStyle w:val="35"/>
        <w:tabs>
          <w:tab w:val="left" w:pos="840"/>
        </w:tabs>
        <w:spacing w:line="348" w:lineRule="auto"/>
        <w:ind w:firstLine="840" w:firstLineChars="400"/>
        <w:rPr>
          <w:rFonts w:hAnsi="宋体" w:cs="宋体"/>
        </w:rPr>
      </w:pPr>
      <w:r>
        <w:rPr>
          <w:rFonts w:hint="eastAsia" w:hAnsi="宋体" w:cs="宋体"/>
        </w:rPr>
        <w:t>5.1.4评标办法；</w:t>
      </w:r>
    </w:p>
    <w:p w14:paraId="538F412A">
      <w:pPr>
        <w:pStyle w:val="35"/>
        <w:tabs>
          <w:tab w:val="left" w:pos="840"/>
        </w:tabs>
        <w:spacing w:line="348" w:lineRule="auto"/>
        <w:ind w:firstLine="840" w:firstLineChars="400"/>
        <w:rPr>
          <w:rFonts w:hAnsi="宋体" w:cs="宋体"/>
        </w:rPr>
      </w:pPr>
      <w:r>
        <w:rPr>
          <w:rFonts w:hint="eastAsia" w:hAnsi="宋体" w:cs="宋体"/>
        </w:rPr>
        <w:t>5.1.5拟签订的合同文本；</w:t>
      </w:r>
    </w:p>
    <w:p w14:paraId="3C7DD57D">
      <w:pPr>
        <w:pStyle w:val="35"/>
        <w:tabs>
          <w:tab w:val="left" w:pos="840"/>
        </w:tabs>
        <w:spacing w:line="348" w:lineRule="auto"/>
        <w:ind w:firstLine="840" w:firstLineChars="400"/>
        <w:rPr>
          <w:rFonts w:hAnsi="宋体" w:cs="宋体"/>
        </w:rPr>
      </w:pPr>
      <w:r>
        <w:rPr>
          <w:rFonts w:hint="eastAsia" w:hAnsi="宋体" w:cs="宋体"/>
        </w:rPr>
        <w:t>5.1.6应提交的有关格式范例。</w:t>
      </w:r>
    </w:p>
    <w:p w14:paraId="1BA5AC99">
      <w:pPr>
        <w:spacing w:line="348"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48CB9410">
      <w:pPr>
        <w:pStyle w:val="35"/>
        <w:spacing w:line="348" w:lineRule="auto"/>
        <w:rPr>
          <w:rFonts w:hAnsi="宋体" w:cs="宋体"/>
          <w:b/>
        </w:rPr>
      </w:pPr>
      <w:r>
        <w:rPr>
          <w:rFonts w:hint="eastAsia" w:hAnsi="宋体" w:cs="宋体"/>
          <w:b/>
        </w:rPr>
        <w:t>6.招标文件的澄清、修改</w:t>
      </w:r>
    </w:p>
    <w:p w14:paraId="7597CFA8">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6.1已获取招标文件的潜在投标人，若有问题需要澄清，应于投标截止时间前，以书面形式向采购代理机构提出。</w:t>
      </w:r>
    </w:p>
    <w:p w14:paraId="50C9CCD7">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2DCAD2">
      <w:pPr>
        <w:pStyle w:val="5"/>
        <w:spacing w:line="348" w:lineRule="auto"/>
        <w:rPr>
          <w:rFonts w:hAnsi="宋体" w:cs="宋体"/>
          <w:sz w:val="21"/>
          <w:lang w:val="en-US"/>
        </w:rPr>
      </w:pPr>
    </w:p>
    <w:p w14:paraId="71DBEEBA">
      <w:pPr>
        <w:adjustRightInd/>
        <w:spacing w:line="348" w:lineRule="auto"/>
        <w:jc w:val="center"/>
        <w:rPr>
          <w:rFonts w:ascii="宋体" w:hAnsi="宋体" w:cs="宋体"/>
          <w:b/>
          <w:szCs w:val="21"/>
        </w:rPr>
      </w:pPr>
      <w:r>
        <w:rPr>
          <w:rFonts w:hint="eastAsia" w:ascii="宋体" w:hAnsi="宋体" w:cs="宋体"/>
          <w:b/>
          <w:szCs w:val="21"/>
        </w:rPr>
        <w:t>三、投标</w:t>
      </w:r>
    </w:p>
    <w:p w14:paraId="32192C53">
      <w:pPr>
        <w:pStyle w:val="35"/>
        <w:spacing w:line="348" w:lineRule="auto"/>
        <w:rPr>
          <w:rFonts w:hAnsi="宋体" w:cs="宋体"/>
          <w:b/>
        </w:rPr>
      </w:pPr>
      <w:r>
        <w:rPr>
          <w:rFonts w:hint="eastAsia" w:hAnsi="宋体" w:cs="宋体"/>
          <w:b/>
        </w:rPr>
        <w:t>7.招标文件的获取</w:t>
      </w:r>
    </w:p>
    <w:p w14:paraId="1110CD1C">
      <w:pPr>
        <w:spacing w:line="348"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636CAE3A">
      <w:pPr>
        <w:pStyle w:val="35"/>
        <w:spacing w:line="348" w:lineRule="auto"/>
        <w:rPr>
          <w:rFonts w:hAnsi="宋体" w:cs="宋体"/>
          <w:b/>
        </w:rPr>
      </w:pPr>
      <w:r>
        <w:rPr>
          <w:rFonts w:hint="eastAsia" w:hAnsi="宋体" w:cs="宋体"/>
          <w:b/>
        </w:rPr>
        <w:t>8.开标前答疑会或现场考察</w:t>
      </w:r>
    </w:p>
    <w:p w14:paraId="393B6B12">
      <w:pPr>
        <w:pStyle w:val="35"/>
        <w:spacing w:line="348"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40C27C6C">
      <w:pPr>
        <w:pStyle w:val="35"/>
        <w:spacing w:line="348" w:lineRule="auto"/>
        <w:rPr>
          <w:rFonts w:hAnsi="宋体" w:cs="宋体"/>
          <w:b/>
        </w:rPr>
      </w:pPr>
      <w:r>
        <w:rPr>
          <w:rFonts w:hint="eastAsia" w:hAnsi="宋体" w:cs="宋体"/>
          <w:b/>
          <w:kern w:val="28"/>
        </w:rPr>
        <w:t>9.投标保证金</w:t>
      </w:r>
    </w:p>
    <w:p w14:paraId="0FA953C2">
      <w:pPr>
        <w:pStyle w:val="18"/>
        <w:spacing w:line="348"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14:paraId="77CCB072">
      <w:pPr>
        <w:pStyle w:val="35"/>
        <w:spacing w:line="348" w:lineRule="auto"/>
        <w:rPr>
          <w:rFonts w:hAnsi="宋体" w:cs="宋体"/>
          <w:b/>
        </w:rPr>
      </w:pPr>
      <w:r>
        <w:rPr>
          <w:rFonts w:hint="eastAsia" w:hAnsi="宋体" w:cs="宋体"/>
          <w:b/>
        </w:rPr>
        <w:t>10. 投标文件的语言</w:t>
      </w:r>
    </w:p>
    <w:p w14:paraId="03EDF945">
      <w:pPr>
        <w:autoSpaceDE w:val="0"/>
        <w:autoSpaceDN w:val="0"/>
        <w:spacing w:line="348"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0F4AF8D5">
      <w:pPr>
        <w:pStyle w:val="35"/>
        <w:spacing w:line="348" w:lineRule="auto"/>
        <w:rPr>
          <w:rFonts w:hAnsi="宋体" w:cs="宋体"/>
          <w:b/>
        </w:rPr>
      </w:pPr>
      <w:r>
        <w:rPr>
          <w:rFonts w:hint="eastAsia" w:hAnsi="宋体" w:cs="宋体"/>
          <w:b/>
        </w:rPr>
        <w:t>11. 投标文件的组成</w:t>
      </w:r>
    </w:p>
    <w:p w14:paraId="1D2AE0C1">
      <w:pPr>
        <w:snapToGrid w:val="0"/>
        <w:spacing w:line="348" w:lineRule="auto"/>
        <w:ind w:firstLine="422" w:firstLineChars="200"/>
        <w:rPr>
          <w:rFonts w:ascii="宋体" w:hAnsi="宋体" w:cs="宋体"/>
          <w:b/>
          <w:bCs/>
          <w:szCs w:val="21"/>
        </w:rPr>
      </w:pPr>
      <w:r>
        <w:rPr>
          <w:rFonts w:hint="eastAsia" w:ascii="宋体" w:hAnsi="宋体" w:cs="宋体"/>
          <w:b/>
          <w:bCs/>
          <w:szCs w:val="21"/>
        </w:rPr>
        <w:t>11.1资格文件：</w:t>
      </w:r>
    </w:p>
    <w:p w14:paraId="6E70213A">
      <w:pPr>
        <w:snapToGrid w:val="0"/>
        <w:spacing w:line="348"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0F57559C">
      <w:pPr>
        <w:snapToGrid w:val="0"/>
        <w:spacing w:line="348"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r>
        <w:rPr>
          <w:rFonts w:hint="eastAsia" w:ascii="宋体" w:hAnsi="宋体" w:cs="宋体"/>
          <w:snapToGrid w:val="0"/>
          <w:kern w:val="28"/>
          <w:szCs w:val="21"/>
        </w:rPr>
        <w:t>联合协议（如果有)；</w:t>
      </w:r>
    </w:p>
    <w:p w14:paraId="5662160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331C818">
      <w:pPr>
        <w:snapToGrid w:val="0"/>
        <w:spacing w:line="348"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05484FDC">
      <w:pPr>
        <w:snapToGrid w:val="0"/>
        <w:spacing w:line="348" w:lineRule="auto"/>
        <w:ind w:firstLine="422" w:firstLineChars="200"/>
        <w:rPr>
          <w:rFonts w:ascii="宋体" w:hAnsi="宋体" w:cs="宋体"/>
          <w:b/>
          <w:bCs/>
          <w:szCs w:val="21"/>
          <w:lang w:val="zh-CN"/>
        </w:rPr>
      </w:pPr>
      <w:r>
        <w:rPr>
          <w:rFonts w:hint="eastAsia" w:ascii="宋体" w:hAnsi="宋体" w:cs="宋体"/>
          <w:b/>
          <w:bCs/>
          <w:szCs w:val="21"/>
          <w:lang w:val="zh-CN"/>
        </w:rPr>
        <w:t>11.</w:t>
      </w:r>
      <w:r>
        <w:rPr>
          <w:rFonts w:hint="eastAsia" w:ascii="宋体" w:hAnsi="宋体" w:cs="宋体"/>
          <w:b/>
          <w:bCs/>
          <w:szCs w:val="21"/>
        </w:rPr>
        <w:t>2商务技术</w:t>
      </w:r>
      <w:r>
        <w:rPr>
          <w:rFonts w:hint="eastAsia" w:ascii="宋体" w:hAnsi="宋体" w:cs="宋体"/>
          <w:b/>
          <w:bCs/>
          <w:szCs w:val="21"/>
          <w:lang w:val="zh-CN"/>
        </w:rPr>
        <w:t>文件：</w:t>
      </w:r>
    </w:p>
    <w:p w14:paraId="52D8D3CA">
      <w:pPr>
        <w:snapToGrid w:val="0"/>
        <w:spacing w:line="348" w:lineRule="auto"/>
        <w:ind w:firstLine="840" w:firstLineChars="400"/>
        <w:rPr>
          <w:rFonts w:ascii="宋体" w:hAnsi="宋体" w:cs="宋体"/>
          <w:szCs w:val="21"/>
        </w:rPr>
      </w:pPr>
      <w:r>
        <w:rPr>
          <w:rFonts w:hint="eastAsia" w:ascii="宋体" w:hAnsi="宋体" w:cs="宋体"/>
          <w:szCs w:val="21"/>
        </w:rPr>
        <w:t>11.2.1投标函；</w:t>
      </w:r>
      <w:r>
        <w:rPr>
          <w:rFonts w:hint="eastAsia" w:ascii="宋体" w:hAnsi="宋体" w:cs="宋体"/>
          <w:szCs w:val="21"/>
          <w:lang w:val="zh-CN"/>
        </w:rPr>
        <w:t xml:space="preserve"> </w:t>
      </w:r>
    </w:p>
    <w:p w14:paraId="3F08DCF1">
      <w:pPr>
        <w:snapToGrid w:val="0"/>
        <w:spacing w:line="348"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1D1442B3">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3</w:t>
      </w:r>
      <w:r>
        <w:rPr>
          <w:rFonts w:hint="eastAsia" w:ascii="宋体" w:hAnsi="宋体" w:cs="宋体"/>
          <w:szCs w:val="21"/>
        </w:rPr>
        <w:t>分包意向协议</w:t>
      </w:r>
      <w:r>
        <w:rPr>
          <w:rFonts w:hint="eastAsia" w:ascii="宋体" w:hAnsi="宋体" w:cs="宋体"/>
          <w:snapToGrid w:val="0"/>
          <w:kern w:val="28"/>
          <w:szCs w:val="21"/>
        </w:rPr>
        <w:t>（如果有)</w:t>
      </w:r>
      <w:r>
        <w:rPr>
          <w:rFonts w:hint="eastAsia" w:ascii="宋体" w:hAnsi="宋体" w:cs="宋体"/>
          <w:szCs w:val="21"/>
        </w:rPr>
        <w:t>；</w:t>
      </w:r>
    </w:p>
    <w:p w14:paraId="73B6F0AF">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4</w:t>
      </w:r>
      <w:r>
        <w:rPr>
          <w:rFonts w:hint="eastAsia" w:ascii="宋体" w:hAnsi="宋体" w:cs="宋体"/>
          <w:szCs w:val="21"/>
        </w:rPr>
        <w:t>符合性审查资料；</w:t>
      </w:r>
    </w:p>
    <w:p w14:paraId="12B30F6D">
      <w:pPr>
        <w:snapToGrid w:val="0"/>
        <w:spacing w:line="348" w:lineRule="auto"/>
        <w:ind w:firstLine="840" w:firstLineChars="400"/>
        <w:rPr>
          <w:rFonts w:ascii="宋体" w:hAnsi="宋体" w:cs="宋体"/>
          <w:szCs w:val="21"/>
        </w:rPr>
      </w:pPr>
      <w:r>
        <w:rPr>
          <w:rFonts w:hint="eastAsia" w:ascii="宋体" w:hAnsi="宋体" w:cs="宋体"/>
          <w:szCs w:val="21"/>
        </w:rPr>
        <w:t>11.2.</w:t>
      </w:r>
      <w:r>
        <w:rPr>
          <w:rFonts w:ascii="宋体" w:hAnsi="宋体" w:cs="宋体"/>
          <w:szCs w:val="21"/>
        </w:rPr>
        <w:t>5</w:t>
      </w:r>
      <w:r>
        <w:rPr>
          <w:rFonts w:hint="eastAsia" w:ascii="宋体" w:hAnsi="宋体" w:cs="宋体"/>
          <w:szCs w:val="21"/>
        </w:rPr>
        <w:t>评标标准相应的商务技术资料；</w:t>
      </w:r>
    </w:p>
    <w:p w14:paraId="64429BBC">
      <w:pPr>
        <w:snapToGrid w:val="0"/>
        <w:spacing w:line="348" w:lineRule="auto"/>
        <w:ind w:firstLine="840" w:firstLineChars="400"/>
        <w:rPr>
          <w:rFonts w:ascii="宋体" w:hAnsi="宋体" w:cs="宋体"/>
          <w:szCs w:val="21"/>
        </w:rPr>
      </w:pPr>
      <w:r>
        <w:rPr>
          <w:rFonts w:hint="eastAsia" w:ascii="宋体" w:hAnsi="宋体" w:cs="宋体"/>
          <w:szCs w:val="21"/>
        </w:rPr>
        <w:t>11.2.6商务技术偏离表；</w:t>
      </w:r>
    </w:p>
    <w:p w14:paraId="46BE301F">
      <w:pPr>
        <w:snapToGrid w:val="0"/>
        <w:spacing w:line="348"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51B3AA2B">
      <w:pPr>
        <w:snapToGrid w:val="0"/>
        <w:spacing w:line="348" w:lineRule="auto"/>
        <w:ind w:firstLine="422" w:firstLineChars="200"/>
        <w:rPr>
          <w:rFonts w:ascii="宋体" w:hAnsi="宋体" w:cs="宋体"/>
          <w:b/>
          <w:bCs/>
          <w:szCs w:val="21"/>
          <w:u w:val="single"/>
          <w:lang w:val="zh-CN"/>
        </w:rPr>
      </w:pPr>
      <w:r>
        <w:rPr>
          <w:rFonts w:hint="eastAsia" w:ascii="宋体" w:hAnsi="宋体" w:cs="宋体"/>
          <w:b/>
          <w:bCs/>
          <w:kern w:val="0"/>
          <w:szCs w:val="21"/>
          <w:lang w:val="zh-CN"/>
        </w:rPr>
        <w:t>11.</w:t>
      </w:r>
      <w:r>
        <w:rPr>
          <w:rFonts w:hint="eastAsia" w:ascii="宋体" w:hAnsi="宋体" w:cs="宋体"/>
          <w:b/>
          <w:bCs/>
          <w:kern w:val="0"/>
          <w:szCs w:val="21"/>
        </w:rPr>
        <w:t>3</w:t>
      </w:r>
      <w:r>
        <w:rPr>
          <w:rFonts w:hint="eastAsia" w:ascii="宋体" w:hAnsi="宋体" w:cs="宋体"/>
          <w:b/>
          <w:bCs/>
          <w:szCs w:val="21"/>
        </w:rPr>
        <w:t>报价文件：</w:t>
      </w:r>
    </w:p>
    <w:p w14:paraId="22E7C83D">
      <w:pPr>
        <w:snapToGrid w:val="0"/>
        <w:spacing w:line="348" w:lineRule="auto"/>
        <w:ind w:firstLine="840" w:firstLineChars="400"/>
        <w:rPr>
          <w:rFonts w:ascii="宋体" w:hAnsi="宋体" w:cs="宋体"/>
          <w:szCs w:val="21"/>
        </w:rPr>
      </w:pPr>
      <w:r>
        <w:rPr>
          <w:rFonts w:hint="eastAsia" w:ascii="宋体" w:hAnsi="宋体" w:cs="宋体"/>
          <w:szCs w:val="21"/>
        </w:rPr>
        <w:t>11.3.1开标一览表（报价表）；</w:t>
      </w:r>
    </w:p>
    <w:p w14:paraId="34AD6106">
      <w:pPr>
        <w:snapToGrid w:val="0"/>
        <w:spacing w:line="348" w:lineRule="auto"/>
        <w:ind w:firstLine="840" w:firstLineChars="400"/>
        <w:rPr>
          <w:rFonts w:ascii="宋体" w:hAnsi="宋体" w:cs="宋体"/>
          <w:szCs w:val="21"/>
        </w:rPr>
      </w:pPr>
      <w:r>
        <w:rPr>
          <w:rFonts w:hint="eastAsia" w:ascii="宋体" w:hAnsi="宋体" w:cs="宋体"/>
          <w:szCs w:val="21"/>
        </w:rPr>
        <w:t>11.3.2中小企业声明函；</w:t>
      </w:r>
    </w:p>
    <w:p w14:paraId="3A30BF8F">
      <w:pPr>
        <w:snapToGrid w:val="0"/>
        <w:spacing w:line="348" w:lineRule="auto"/>
        <w:ind w:firstLine="840" w:firstLineChars="400"/>
        <w:rPr>
          <w:rFonts w:ascii="宋体" w:hAnsi="宋体" w:cs="宋体"/>
          <w:szCs w:val="21"/>
        </w:rPr>
      </w:pPr>
      <w:r>
        <w:rPr>
          <w:rFonts w:hint="eastAsia" w:ascii="宋体" w:hAnsi="宋体" w:cs="宋体"/>
          <w:szCs w:val="21"/>
        </w:rPr>
        <w:t>11.3.3投标报价明细表。</w:t>
      </w:r>
    </w:p>
    <w:p w14:paraId="75C1F459">
      <w:pPr>
        <w:spacing w:line="348"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14:paraId="44AFC283">
      <w:pPr>
        <w:spacing w:line="348" w:lineRule="auto"/>
        <w:ind w:firstLine="632" w:firstLineChars="300"/>
        <w:rPr>
          <w:rFonts w:ascii="宋体" w:hAnsi="宋体" w:cs="宋体"/>
          <w:b/>
          <w:szCs w:val="21"/>
        </w:rPr>
      </w:pPr>
      <w:r>
        <w:rPr>
          <w:rFonts w:hint="eastAsia" w:ascii="宋体" w:hAnsi="宋体" w:cs="宋体"/>
          <w:b/>
          <w:szCs w:val="21"/>
        </w:rPr>
        <w:t>投标人提供虚假材料投标的，投标无效。</w:t>
      </w:r>
    </w:p>
    <w:p w14:paraId="10EB2520">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投标文件的编制</w:t>
      </w:r>
    </w:p>
    <w:p w14:paraId="33F4F6AA">
      <w:pPr>
        <w:spacing w:line="348"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4F1C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31FAD5">
      <w:pPr>
        <w:spacing w:line="348"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7285E12A">
      <w:pPr>
        <w:snapToGrid w:val="0"/>
        <w:spacing w:line="348" w:lineRule="auto"/>
        <w:rPr>
          <w:rFonts w:ascii="宋体" w:hAnsi="宋体" w:cs="宋体"/>
          <w:b/>
          <w:szCs w:val="21"/>
        </w:rPr>
      </w:pPr>
      <w:r>
        <w:rPr>
          <w:rFonts w:hint="eastAsia" w:ascii="宋体" w:hAnsi="宋体" w:cs="宋体"/>
          <w:b/>
          <w:szCs w:val="21"/>
        </w:rPr>
        <w:t>13.投标文件的签署、盖章</w:t>
      </w:r>
    </w:p>
    <w:p w14:paraId="0DE939AE">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14:paraId="7EAF893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58E8C061">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14:paraId="3B768416">
      <w:pPr>
        <w:snapToGrid w:val="0"/>
        <w:spacing w:line="348" w:lineRule="auto"/>
        <w:rPr>
          <w:rFonts w:ascii="宋体" w:hAnsi="宋体" w:cs="宋体"/>
          <w:b/>
          <w:szCs w:val="21"/>
        </w:rPr>
      </w:pPr>
      <w:r>
        <w:rPr>
          <w:rFonts w:hint="eastAsia" w:ascii="宋体" w:hAnsi="宋体" w:cs="宋体"/>
          <w:b/>
          <w:szCs w:val="21"/>
        </w:rPr>
        <w:t>14. 投标文件的提交、补充、修改、撤回</w:t>
      </w:r>
    </w:p>
    <w:p w14:paraId="44693C0C">
      <w:pPr>
        <w:pStyle w:val="139"/>
        <w:spacing w:before="0" w:line="348" w:lineRule="auto"/>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583AE8">
      <w:pPr>
        <w:pStyle w:val="139"/>
        <w:spacing w:before="0" w:line="348" w:lineRule="auto"/>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F75418F">
      <w:pPr>
        <w:pStyle w:val="139"/>
        <w:spacing w:before="0" w:line="348" w:lineRule="auto"/>
        <w:ind w:firstLine="420"/>
        <w:rPr>
          <w:rFonts w:ascii="宋体" w:hAnsi="宋体" w:cs="宋体"/>
          <w:sz w:val="21"/>
          <w:szCs w:val="21"/>
        </w:rPr>
      </w:pPr>
      <w:r>
        <w:rPr>
          <w:rFonts w:hint="eastAsia" w:ascii="宋体" w:hAnsi="宋体" w:cs="宋体"/>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77CDA336">
      <w:pPr>
        <w:pStyle w:val="35"/>
        <w:spacing w:line="348" w:lineRule="auto"/>
        <w:rPr>
          <w:rFonts w:hAnsi="宋体" w:cs="宋体"/>
          <w:b/>
        </w:rPr>
      </w:pPr>
      <w:r>
        <w:rPr>
          <w:rFonts w:hint="eastAsia" w:hAnsi="宋体" w:cs="宋体"/>
          <w:b/>
        </w:rPr>
        <w:t>15.备份投标文件（文件后缀为：bfbs）</w:t>
      </w:r>
    </w:p>
    <w:p w14:paraId="52BEA221">
      <w:pPr>
        <w:pStyle w:val="35"/>
        <w:spacing w:line="348" w:lineRule="auto"/>
        <w:ind w:firstLine="315" w:firstLineChars="15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但采购人、采购代理机构不强制或变相强制投标人提交备份投标文件。</w:t>
      </w:r>
    </w:p>
    <w:p w14:paraId="43417F59">
      <w:pPr>
        <w:spacing w:line="348" w:lineRule="auto"/>
        <w:ind w:firstLine="420" w:firstLineChars="200"/>
        <w:rPr>
          <w:rFonts w:ascii="宋体" w:hAnsi="宋体" w:cs="宋体"/>
          <w:b/>
          <w:snapToGrid w:val="0"/>
          <w:szCs w:val="21"/>
        </w:rPr>
      </w:pPr>
      <w:r>
        <w:rPr>
          <w:rFonts w:hint="eastAsia" w:ascii="宋体" w:hAnsi="宋体" w:cs="宋体"/>
          <w:snapToGrid w:val="0"/>
          <w:szCs w:val="21"/>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Cs w:val="21"/>
        </w:rPr>
        <w:t>不符合上述制作、存储、密封规定的备份投标文件将被视为无效或者被拒绝接收。</w:t>
      </w:r>
    </w:p>
    <w:p w14:paraId="0661593E">
      <w:pPr>
        <w:spacing w:line="348" w:lineRule="auto"/>
        <w:ind w:firstLine="420" w:firstLineChars="200"/>
        <w:rPr>
          <w:rFonts w:ascii="宋体" w:hAnsi="宋体" w:cs="宋体"/>
          <w:snapToGrid w:val="0"/>
          <w:szCs w:val="21"/>
        </w:rPr>
      </w:pPr>
      <w:r>
        <w:rPr>
          <w:rFonts w:hint="eastAsia" w:ascii="宋体" w:hAnsi="宋体" w:cs="宋体"/>
          <w:snapToGrid w:val="0"/>
          <w:szCs w:val="21"/>
        </w:rPr>
        <w:t>15.3直接提交备份投标文件的，投标人应于投标截止时间前在</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将备份投标文件提交给采购代理机构，采购代理机构将拒绝接受逾期送达的备份投标文件。</w:t>
      </w:r>
    </w:p>
    <w:p w14:paraId="5D6A3CB0">
      <w:pPr>
        <w:spacing w:line="348" w:lineRule="auto"/>
        <w:ind w:firstLine="420" w:firstLineChars="200"/>
        <w:rPr>
          <w:rFonts w:ascii="宋体" w:hAnsi="宋体" w:cs="宋体"/>
          <w:snapToGrid w:val="0"/>
          <w:szCs w:val="21"/>
        </w:rPr>
      </w:pPr>
      <w:r>
        <w:rPr>
          <w:rFonts w:hint="eastAsia" w:ascii="宋体" w:hAnsi="宋体" w:cs="宋体"/>
          <w:snapToGrid w:val="0"/>
          <w:szCs w:val="21"/>
        </w:rPr>
        <w:t>15.4以邮政快递方式递交备份投标文件的，投标人应先将备份投标文件按要求密封和标记，再进行邮政快递包装后邮寄。备份投标文件须在</w:t>
      </w:r>
      <w:r>
        <w:rPr>
          <w:rFonts w:hint="eastAsia" w:ascii="宋体" w:hAnsi="宋体" w:cs="宋体"/>
          <w:szCs w:val="21"/>
        </w:rPr>
        <w:t>第二部分投标人须知前附表规定的备份投标文件送达</w:t>
      </w:r>
      <w:r>
        <w:rPr>
          <w:rFonts w:hint="eastAsia" w:ascii="宋体" w:hAnsi="宋体" w:cs="宋体"/>
          <w:snapToGrid w:val="0"/>
          <w:szCs w:val="21"/>
        </w:rPr>
        <w:t>截止时间之前送达</w:t>
      </w:r>
      <w:r>
        <w:rPr>
          <w:rFonts w:hint="eastAsia" w:ascii="宋体" w:hAnsi="宋体" w:cs="宋体"/>
          <w:szCs w:val="21"/>
        </w:rPr>
        <w:t>招标文件第二部分投标人须知前附表规定的备份投标文件送达地点；</w:t>
      </w:r>
      <w:r>
        <w:rPr>
          <w:rFonts w:hint="eastAsia" w:ascii="宋体" w:hAnsi="宋体" w:cs="宋体"/>
          <w:snapToGrid w:val="0"/>
          <w:szCs w:val="21"/>
        </w:rPr>
        <w:t>送达时间以签收人签收时间为准。采购代理机构将拒绝接受逾期送达的备份投标文件。邮寄过程中，电子备份投标文件发生泄露、遗失、损坏或延期送达等情况的，由投标人自行负责。</w:t>
      </w:r>
    </w:p>
    <w:p w14:paraId="1F209036">
      <w:pPr>
        <w:pStyle w:val="35"/>
        <w:spacing w:line="348" w:lineRule="auto"/>
        <w:ind w:firstLine="420" w:firstLineChars="199"/>
        <w:rPr>
          <w:rFonts w:hAnsi="宋体" w:cs="宋体"/>
          <w:b/>
        </w:rPr>
      </w:pPr>
      <w:r>
        <w:rPr>
          <w:rFonts w:hint="eastAsia" w:hAnsi="宋体" w:cs="宋体"/>
          <w:b/>
        </w:rPr>
        <w:t>▲15.5投标人仅提交备份投标文件，未在电子交易平台传输递交投标文件的，投标无效。</w:t>
      </w:r>
    </w:p>
    <w:p w14:paraId="39B1C525">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16.投标文件的无效处理</w:t>
      </w:r>
    </w:p>
    <w:p w14:paraId="210455CA">
      <w:pPr>
        <w:pStyle w:val="19"/>
        <w:spacing w:line="348" w:lineRule="auto"/>
        <w:ind w:firstLine="315" w:firstLineChars="150"/>
        <w:rPr>
          <w:rFonts w:cs="宋体"/>
          <w:sz w:val="21"/>
          <w:szCs w:val="21"/>
        </w:rPr>
      </w:pPr>
      <w:r>
        <w:rPr>
          <w:rFonts w:hint="eastAsia" w:cs="宋体"/>
          <w:sz w:val="21"/>
          <w:szCs w:val="21"/>
        </w:rPr>
        <w:t>有招标文件第四部分</w:t>
      </w:r>
      <w:r>
        <w:rPr>
          <w:rFonts w:cs="宋体"/>
          <w:sz w:val="21"/>
          <w:szCs w:val="21"/>
        </w:rPr>
        <w:t>4.2规定</w:t>
      </w:r>
      <w:r>
        <w:rPr>
          <w:rFonts w:hint="eastAsia" w:cs="宋体"/>
          <w:sz w:val="21"/>
          <w:szCs w:val="21"/>
        </w:rPr>
        <w:t>的情形之一的，投标无效：</w:t>
      </w:r>
    </w:p>
    <w:p w14:paraId="37F1F6A0">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17.投标有效期</w:t>
      </w:r>
    </w:p>
    <w:p w14:paraId="420012BF">
      <w:pPr>
        <w:spacing w:line="348"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14:paraId="4E5E1E5B">
      <w:pPr>
        <w:pStyle w:val="139"/>
        <w:spacing w:before="0" w:line="348" w:lineRule="auto"/>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2251FD2A">
      <w:pPr>
        <w:pStyle w:val="139"/>
        <w:spacing w:before="0" w:line="348" w:lineRule="auto"/>
        <w:ind w:firstLine="420"/>
        <w:rPr>
          <w:rFonts w:ascii="宋体" w:hAnsi="宋体" w:cs="宋体"/>
          <w:sz w:val="21"/>
          <w:szCs w:val="21"/>
        </w:rPr>
      </w:pPr>
      <w:r>
        <w:rPr>
          <w:rFonts w:hint="eastAsia" w:ascii="宋体" w:hAnsi="宋体" w:cs="宋体"/>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2E3AE37A">
      <w:pPr>
        <w:pStyle w:val="139"/>
        <w:spacing w:before="0" w:line="348" w:lineRule="auto"/>
        <w:ind w:firstLine="422"/>
        <w:rPr>
          <w:rFonts w:ascii="宋体" w:hAnsi="宋体" w:cs="宋体"/>
          <w:b/>
          <w:sz w:val="21"/>
          <w:szCs w:val="21"/>
        </w:rPr>
      </w:pPr>
    </w:p>
    <w:p w14:paraId="6EDF479E">
      <w:pPr>
        <w:pStyle w:val="139"/>
        <w:spacing w:before="0" w:line="348" w:lineRule="auto"/>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14:paraId="5019561B">
      <w:pPr>
        <w:pStyle w:val="560"/>
        <w:spacing w:before="0" w:line="348" w:lineRule="auto"/>
        <w:ind w:left="0" w:firstLine="211" w:firstLineChars="100"/>
        <w:contextualSpacing/>
        <w:rPr>
          <w:rFonts w:ascii="宋体" w:hAnsi="宋体" w:cs="宋体"/>
          <w:sz w:val="21"/>
          <w:szCs w:val="21"/>
        </w:rPr>
      </w:pPr>
      <w:r>
        <w:rPr>
          <w:rFonts w:hint="eastAsia" w:ascii="宋体" w:hAnsi="宋体" w:cs="宋体"/>
          <w:b/>
          <w:sz w:val="21"/>
          <w:szCs w:val="21"/>
        </w:rPr>
        <w:t>18.开标</w:t>
      </w:r>
      <w:r>
        <w:rPr>
          <w:rFonts w:hint="eastAsia" w:ascii="宋体" w:hAnsi="宋体" w:cs="宋体"/>
          <w:sz w:val="21"/>
          <w:szCs w:val="21"/>
        </w:rPr>
        <w:t xml:space="preserve"> </w:t>
      </w:r>
    </w:p>
    <w:p w14:paraId="228EBEB6">
      <w:pPr>
        <w:pStyle w:val="560"/>
        <w:spacing w:before="0" w:line="348"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18.1采购代理机构按照招标文件规定的时间通过电子交易平台组织开标，所有投标人均应当准时在线参加。投标人不足3家的，不得开标。</w:t>
      </w:r>
    </w:p>
    <w:p w14:paraId="417D223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18.2开标时，电子交易平台按开标时间自动提取所有投标文件。采购代理机构依托电子交易平台发起开始解密指令，投标人按照平台提示和招标文件的规定在半小时内完成在线解密。</w:t>
      </w:r>
    </w:p>
    <w:p w14:paraId="6D90B954">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18.2.1具体开标程序：</w:t>
      </w:r>
    </w:p>
    <w:p w14:paraId="30D55791">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第一阶段：</w:t>
      </w:r>
    </w:p>
    <w:p w14:paraId="27E53820">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投标截止时间后，供应商登录政府采购云平台，用“项目采购-开标评标”功能对电子投标文件进行在线解密，在线解密电子投标文件时间为开标时间后30分钟内。</w:t>
      </w:r>
    </w:p>
    <w:p w14:paraId="1EFDBFBA">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在政府采购云平台开启已解密供应商的“资格文件、商务技术文件”，并做开标记录；</w:t>
      </w:r>
    </w:p>
    <w:p w14:paraId="75907E3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第二阶段：</w:t>
      </w:r>
    </w:p>
    <w:p w14:paraId="6351035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（1）在政府采购云平台宣告第一阶段评审无效供应商名单及理由；</w:t>
      </w:r>
    </w:p>
    <w:p w14:paraId="5CECC17E">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（2）公布经第一阶段评审符合招标文件要求的供应商的商务技术得分情况；</w:t>
      </w:r>
    </w:p>
    <w:p w14:paraId="793DB0B8">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（3）在政府采购云平台开启除第一阶段无效标外的供应商的“报价文件”，并做开标记录；</w:t>
      </w:r>
    </w:p>
    <w:p w14:paraId="4AAA2BBD">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（4）在政府采购云平台公布评审结果。</w:t>
      </w:r>
    </w:p>
    <w:p w14:paraId="5BAE5A86">
      <w:pPr>
        <w:pStyle w:val="560"/>
        <w:spacing w:before="0" w:line="348" w:lineRule="auto"/>
        <w:ind w:left="0" w:firstLine="210" w:firstLineChars="100"/>
        <w:contextualSpacing/>
        <w:rPr>
          <w:rFonts w:ascii="宋体" w:hAnsi="宋体" w:cs="宋体"/>
          <w:sz w:val="21"/>
          <w:szCs w:val="21"/>
        </w:rPr>
      </w:pPr>
      <w:r>
        <w:rPr>
          <w:rFonts w:hint="eastAsia" w:ascii="宋体" w:hAnsi="宋体" w:cs="宋体"/>
          <w:sz w:val="21"/>
          <w:szCs w:val="21"/>
        </w:rPr>
        <w:t>　（5）开标会议结束。</w:t>
      </w:r>
    </w:p>
    <w:p w14:paraId="18036FDD">
      <w:pPr>
        <w:pStyle w:val="560"/>
        <w:spacing w:before="0" w:line="348"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3FD204A6">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19、资格审查</w:t>
      </w:r>
    </w:p>
    <w:p w14:paraId="73A89596">
      <w:pPr>
        <w:snapToGrid w:val="0"/>
        <w:spacing w:line="348"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采购人或采购代理机构依据法律法规和招标文件的规定，对投标人的资格进行审查。</w:t>
      </w:r>
    </w:p>
    <w:p w14:paraId="45CCF209">
      <w:pPr>
        <w:pStyle w:val="139"/>
        <w:spacing w:before="0" w:line="348" w:lineRule="auto"/>
        <w:ind w:firstLine="420"/>
        <w:rPr>
          <w:rFonts w:ascii="宋体" w:hAnsi="宋体" w:cs="宋体"/>
          <w:sz w:val="21"/>
          <w:szCs w:val="21"/>
        </w:rPr>
      </w:pPr>
      <w:r>
        <w:rPr>
          <w:rFonts w:hint="eastAsia" w:ascii="宋体" w:hAnsi="宋体" w:cs="宋体"/>
          <w:kern w:val="0"/>
          <w:sz w:val="21"/>
          <w:szCs w:val="21"/>
        </w:rPr>
        <w:t>19.2投标人未按照招标文件要求提供与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2ECECCE8">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3对未通过资格审查的投标人，采购人或采购代理机构告知其未通过的原因。</w:t>
      </w:r>
    </w:p>
    <w:p w14:paraId="4908D42F">
      <w:pPr>
        <w:pStyle w:val="139"/>
        <w:spacing w:before="0" w:line="348" w:lineRule="auto"/>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4合格投标人不足3家的，不再评标。</w:t>
      </w:r>
    </w:p>
    <w:p w14:paraId="3E404D64">
      <w:pPr>
        <w:pStyle w:val="139"/>
        <w:spacing w:before="0" w:line="348" w:lineRule="auto"/>
        <w:ind w:firstLine="0" w:firstLineChars="0"/>
        <w:rPr>
          <w:rFonts w:ascii="宋体" w:hAnsi="宋体" w:cs="宋体"/>
          <w:b/>
          <w:sz w:val="21"/>
          <w:szCs w:val="21"/>
        </w:rPr>
      </w:pPr>
      <w:r>
        <w:rPr>
          <w:rFonts w:hint="eastAsia" w:ascii="宋体" w:hAnsi="宋体" w:cs="宋体"/>
          <w:b/>
          <w:sz w:val="21"/>
          <w:szCs w:val="21"/>
        </w:rPr>
        <w:t>20、信用信息查询</w:t>
      </w:r>
    </w:p>
    <w:p w14:paraId="19A0A573">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20.1信用信息查询渠道及截止时间：采购代理机构将在资格审查时通过“信用中国”网站(www.creditchina.gov.cn)、中国政府采购网(www.ccgp.gov.cn)渠道查询投标人接受资格时的信用记录。</w:t>
      </w:r>
    </w:p>
    <w:p w14:paraId="4D6FC012">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5B483D16">
      <w:pPr>
        <w:pStyle w:val="139"/>
        <w:spacing w:before="0" w:line="348" w:lineRule="auto"/>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20.3信用信息的使用规则：经查询列入失信被执行人名单、重大税收违法案件当事人名单（重大税收违法失信主体）、政府采购严重违法失信行为记录名单的投标人将被拒绝参与政府采购活动。</w:t>
      </w:r>
    </w:p>
    <w:p w14:paraId="465F1729">
      <w:pPr>
        <w:pStyle w:val="139"/>
        <w:spacing w:before="0" w:line="348" w:lineRule="auto"/>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507B659">
      <w:pPr>
        <w:snapToGrid w:val="0"/>
        <w:spacing w:line="348" w:lineRule="auto"/>
        <w:jc w:val="center"/>
        <w:rPr>
          <w:rFonts w:ascii="宋体" w:hAnsi="宋体" w:cs="宋体"/>
          <w:b/>
          <w:szCs w:val="21"/>
        </w:rPr>
      </w:pPr>
    </w:p>
    <w:p w14:paraId="0520C87B">
      <w:pPr>
        <w:snapToGrid w:val="0"/>
        <w:spacing w:line="348" w:lineRule="auto"/>
        <w:jc w:val="center"/>
        <w:rPr>
          <w:rFonts w:ascii="宋体" w:hAnsi="宋体" w:cs="宋体"/>
          <w:b/>
          <w:szCs w:val="21"/>
        </w:rPr>
      </w:pPr>
      <w:r>
        <w:rPr>
          <w:rFonts w:hint="eastAsia" w:ascii="宋体" w:hAnsi="宋体" w:cs="宋体"/>
          <w:b/>
          <w:szCs w:val="21"/>
        </w:rPr>
        <w:t>五、评标</w:t>
      </w:r>
    </w:p>
    <w:p w14:paraId="153C9214">
      <w:pPr>
        <w:spacing w:line="348" w:lineRule="auto"/>
        <w:rPr>
          <w:rFonts w:ascii="宋体" w:hAnsi="宋体" w:cs="宋体"/>
          <w:b/>
          <w:szCs w:val="21"/>
        </w:rPr>
      </w:pPr>
      <w:bookmarkStart w:id="27" w:name="_Toc91899903"/>
      <w:r>
        <w:rPr>
          <w:rFonts w:hint="eastAsia" w:ascii="宋体" w:hAnsi="宋体" w:cs="宋体"/>
          <w:b/>
          <w:szCs w:val="21"/>
        </w:rPr>
        <w:t>21.</w:t>
      </w:r>
      <w:r>
        <w:rPr>
          <w:rFonts w:hint="eastAsia" w:ascii="宋体" w:hAnsi="宋体" w:cs="宋体"/>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14:paraId="604955EF">
      <w:pPr>
        <w:spacing w:line="348" w:lineRule="auto"/>
        <w:rPr>
          <w:rFonts w:ascii="宋体" w:hAnsi="宋体" w:cs="宋体"/>
          <w:b/>
          <w:szCs w:val="21"/>
        </w:rPr>
      </w:pPr>
    </w:p>
    <w:p w14:paraId="5A1CF8D8">
      <w:pPr>
        <w:snapToGrid w:val="0"/>
        <w:spacing w:line="348" w:lineRule="auto"/>
        <w:jc w:val="center"/>
        <w:rPr>
          <w:rFonts w:ascii="宋体" w:hAnsi="宋体" w:cs="宋体"/>
          <w:b/>
          <w:szCs w:val="21"/>
        </w:rPr>
      </w:pPr>
      <w:r>
        <w:rPr>
          <w:rFonts w:hint="eastAsia" w:ascii="宋体" w:hAnsi="宋体" w:cs="宋体"/>
          <w:b/>
          <w:szCs w:val="21"/>
        </w:rPr>
        <w:t>六、定 标</w:t>
      </w:r>
    </w:p>
    <w:p w14:paraId="2ADA45AF">
      <w:pPr>
        <w:pStyle w:val="19"/>
        <w:spacing w:line="348" w:lineRule="auto"/>
        <w:ind w:left="420" w:hanging="420" w:hangingChars="199"/>
        <w:rPr>
          <w:rFonts w:cs="宋体"/>
          <w:b/>
          <w:sz w:val="21"/>
          <w:szCs w:val="21"/>
        </w:rPr>
      </w:pPr>
      <w:r>
        <w:rPr>
          <w:rFonts w:hint="eastAsia" w:cs="宋体"/>
          <w:b/>
          <w:sz w:val="21"/>
          <w:szCs w:val="21"/>
        </w:rPr>
        <w:t>22. 确定中标人</w:t>
      </w:r>
    </w:p>
    <w:p w14:paraId="2A4D86F6">
      <w:pPr>
        <w:pStyle w:val="139"/>
        <w:snapToGrid w:val="0"/>
        <w:spacing w:before="0" w:line="348" w:lineRule="auto"/>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695168A2">
      <w:pPr>
        <w:pStyle w:val="139"/>
        <w:snapToGrid w:val="0"/>
        <w:spacing w:before="0" w:line="348" w:lineRule="auto"/>
        <w:ind w:firstLine="0" w:firstLineChars="0"/>
        <w:rPr>
          <w:rFonts w:ascii="宋体" w:hAnsi="宋体" w:cs="宋体"/>
          <w:b/>
          <w:sz w:val="21"/>
          <w:szCs w:val="21"/>
        </w:rPr>
      </w:pPr>
      <w:r>
        <w:rPr>
          <w:rFonts w:hint="eastAsia" w:ascii="宋体" w:hAnsi="宋体" w:cs="宋体"/>
          <w:b/>
          <w:sz w:val="21"/>
          <w:szCs w:val="21"/>
        </w:rPr>
        <w:t>23. 中标通知与中标结果公告</w:t>
      </w:r>
    </w:p>
    <w:p w14:paraId="44A46BC0">
      <w:pPr>
        <w:widowControl/>
        <w:spacing w:line="348" w:lineRule="auto"/>
        <w:ind w:firstLine="480"/>
        <w:jc w:val="left"/>
        <w:rPr>
          <w:rFonts w:ascii="宋体" w:hAnsi="宋体" w:cs="宋体"/>
          <w:szCs w:val="21"/>
        </w:rPr>
      </w:pPr>
      <w:r>
        <w:rPr>
          <w:rFonts w:hint="eastAsia" w:ascii="宋体" w:hAnsi="宋体" w:cs="宋体"/>
          <w:szCs w:val="21"/>
        </w:rPr>
        <w:t>23.1自中标人确定之日起2个工作日内，采购代理机构通过电子交易平台向中标人发出中标通知书，同时编制发布采购结果公告。</w:t>
      </w:r>
    </w:p>
    <w:p w14:paraId="2A9C84B4">
      <w:pPr>
        <w:widowControl/>
        <w:spacing w:line="348" w:lineRule="auto"/>
        <w:ind w:firstLine="480"/>
        <w:jc w:val="left"/>
        <w:rPr>
          <w:rFonts w:ascii="宋体" w:hAnsi="宋体" w:cs="宋体"/>
          <w:szCs w:val="21"/>
        </w:rPr>
      </w:pPr>
      <w:r>
        <w:rPr>
          <w:rFonts w:hint="eastAsia" w:ascii="宋体" w:hAnsi="宋体" w:cs="宋体"/>
          <w:szCs w:val="21"/>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Cs w:val="21"/>
        </w:rPr>
        <w:t>资格审查情况、评审专家抽取规则、符合性审查情况、</w:t>
      </w:r>
      <w:bookmarkEnd w:id="28"/>
      <w:r>
        <w:rPr>
          <w:rFonts w:hint="eastAsia" w:ascii="宋体" w:hAnsi="宋体" w:cs="宋体"/>
          <w:szCs w:val="21"/>
        </w:rPr>
        <w:t>未中标情况说明、中标公告期限以及评审专家名单、评分汇总及明细。</w:t>
      </w:r>
    </w:p>
    <w:p w14:paraId="78E7E856">
      <w:pPr>
        <w:widowControl/>
        <w:spacing w:line="348" w:lineRule="auto"/>
        <w:ind w:firstLine="480"/>
        <w:jc w:val="left"/>
        <w:rPr>
          <w:rFonts w:ascii="宋体" w:hAnsi="宋体" w:cs="宋体"/>
          <w:szCs w:val="21"/>
        </w:rPr>
      </w:pPr>
      <w:r>
        <w:rPr>
          <w:rFonts w:hint="eastAsia" w:ascii="宋体" w:hAnsi="宋体" w:cs="宋体"/>
          <w:szCs w:val="21"/>
        </w:rPr>
        <w:t>23.3公告期限为1个工作日。</w:t>
      </w:r>
    </w:p>
    <w:p w14:paraId="19681FCC">
      <w:pPr>
        <w:snapToGrid w:val="0"/>
        <w:spacing w:line="348" w:lineRule="auto"/>
        <w:ind w:left="120" w:leftChars="57" w:firstLine="316" w:firstLineChars="150"/>
        <w:jc w:val="center"/>
        <w:rPr>
          <w:rFonts w:ascii="宋体" w:hAnsi="宋体" w:cs="宋体"/>
          <w:b/>
          <w:szCs w:val="21"/>
        </w:rPr>
      </w:pPr>
    </w:p>
    <w:p w14:paraId="6DA4D5CA">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七、合同授予</w:t>
      </w:r>
    </w:p>
    <w:p w14:paraId="6E1D41DF">
      <w:pPr>
        <w:pStyle w:val="19"/>
        <w:spacing w:line="348"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43930952">
      <w:pPr>
        <w:pStyle w:val="19"/>
        <w:spacing w:line="348" w:lineRule="auto"/>
        <w:ind w:left="420" w:hanging="420" w:hangingChars="199"/>
        <w:rPr>
          <w:rFonts w:cs="宋体"/>
          <w:b/>
          <w:sz w:val="21"/>
          <w:szCs w:val="21"/>
        </w:rPr>
      </w:pPr>
      <w:r>
        <w:rPr>
          <w:rFonts w:hint="eastAsia" w:cs="宋体"/>
          <w:b/>
          <w:sz w:val="21"/>
          <w:szCs w:val="21"/>
        </w:rPr>
        <w:t>25. 合同的签订</w:t>
      </w:r>
    </w:p>
    <w:p w14:paraId="0544E9C7">
      <w:pPr>
        <w:widowControl/>
        <w:spacing w:line="348"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45A7C04">
      <w:pPr>
        <w:pStyle w:val="139"/>
        <w:snapToGrid w:val="0"/>
        <w:spacing w:before="0" w:line="348" w:lineRule="auto"/>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03ADA9B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8AAAD7C">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25.4中标人拒绝与采购人签订合同的，采购人可以按照评审报告推荐的中标或者成交候选人名单排序，确定下一候选人为中标人，也可以重新开展政府采购活动。</w:t>
      </w:r>
    </w:p>
    <w:p w14:paraId="2B75243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25.5采购合同由采购人与中标人根据招标文件、投标文件等内容通过政府采购电子交易平台在线签订，自动备案。（由采购人自行选择线上签订或线下签订）</w:t>
      </w:r>
    </w:p>
    <w:p w14:paraId="795D9FDE">
      <w:pPr>
        <w:pStyle w:val="19"/>
        <w:spacing w:line="348" w:lineRule="auto"/>
        <w:ind w:left="420" w:hanging="420" w:hangingChars="199"/>
        <w:rPr>
          <w:rFonts w:cs="宋体"/>
          <w:b/>
          <w:sz w:val="21"/>
          <w:szCs w:val="21"/>
        </w:rPr>
      </w:pPr>
      <w:r>
        <w:rPr>
          <w:rFonts w:hint="eastAsia" w:cs="宋体"/>
          <w:b/>
          <w:sz w:val="21"/>
          <w:szCs w:val="21"/>
        </w:rPr>
        <w:t>26. 履约保证金</w:t>
      </w:r>
    </w:p>
    <w:p w14:paraId="1EC6EFD2">
      <w:pPr>
        <w:tabs>
          <w:tab w:val="left" w:pos="0"/>
        </w:tabs>
        <w:spacing w:line="348" w:lineRule="auto"/>
        <w:ind w:firstLine="482"/>
        <w:rPr>
          <w:rFonts w:ascii="宋体" w:hAnsi="宋体" w:cs="宋体"/>
          <w:szCs w:val="21"/>
        </w:rPr>
      </w:pPr>
      <w:r>
        <w:rPr>
          <w:rFonts w:hint="eastAsia" w:ascii="宋体" w:hAnsi="宋体" w:cs="宋体"/>
          <w:kern w:val="0"/>
          <w:szCs w:val="21"/>
        </w:rPr>
        <w:t>拟签订的合同文本要求中标人提交履约保证金的，供应商应当以支票、汇票、本票或者金融机构、担保机构出具的保函等非现金形式提交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w:t>
      </w:r>
      <w:r>
        <w:rPr>
          <w:rFonts w:ascii="宋体" w:hAnsi="宋体" w:cs="宋体"/>
          <w:szCs w:val="21"/>
        </w:rPr>
        <w:t>1</w:t>
      </w:r>
      <w:r>
        <w:rPr>
          <w:rFonts w:hint="eastAsia" w:ascii="宋体" w:hAnsi="宋体" w:cs="宋体"/>
          <w:szCs w:val="21"/>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757B7FFE">
      <w:pPr>
        <w:tabs>
          <w:tab w:val="left" w:pos="0"/>
        </w:tabs>
        <w:spacing w:line="348" w:lineRule="auto"/>
        <w:ind w:firstLine="482"/>
        <w:rPr>
          <w:rFonts w:ascii="宋体" w:hAnsi="宋体" w:cs="宋体"/>
          <w:snapToGrid w:val="0"/>
          <w:kern w:val="28"/>
          <w:szCs w:val="21"/>
        </w:rPr>
      </w:pPr>
      <w:r>
        <w:rPr>
          <w:rFonts w:hint="eastAsia" w:ascii="宋体" w:hAnsi="宋体" w:cs="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565922">
      <w:pPr>
        <w:pStyle w:val="19"/>
        <w:spacing w:line="348" w:lineRule="auto"/>
        <w:ind w:left="420" w:hanging="420" w:hangingChars="199"/>
        <w:rPr>
          <w:rFonts w:cs="宋体"/>
          <w:b/>
          <w:sz w:val="21"/>
          <w:szCs w:val="21"/>
        </w:rPr>
      </w:pPr>
      <w:r>
        <w:rPr>
          <w:rFonts w:cs="宋体"/>
          <w:b/>
          <w:sz w:val="21"/>
          <w:szCs w:val="21"/>
        </w:rPr>
        <w:t>27.预付款</w:t>
      </w:r>
    </w:p>
    <w:p w14:paraId="390E970B">
      <w:pPr>
        <w:adjustRightInd/>
        <w:spacing w:line="348"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7个工作日内</w:t>
      </w:r>
      <w:r>
        <w:rPr>
          <w:rFonts w:ascii="宋体" w:hAnsi="宋体"/>
          <w:szCs w:val="21"/>
        </w:rPr>
        <w:t>支付。</w:t>
      </w:r>
      <w:r>
        <w:rPr>
          <w:rFonts w:hint="eastAsia" w:ascii="宋体" w:hAnsi="宋体"/>
          <w:szCs w:val="21"/>
        </w:rPr>
        <w:t>政府采购工程以及与工程建设有关的货物、服务，采用招标方式采购的，预付款从其相关规定。供应商可登录政采云前台大厅选择金融服务</w:t>
      </w:r>
      <w:r>
        <w:rPr>
          <w:rFonts w:ascii="宋体" w:hAnsi="宋体"/>
          <w:szCs w:val="21"/>
        </w:rPr>
        <w:t xml:space="preserve"> - </w:t>
      </w:r>
      <w:r>
        <w:rPr>
          <w:rFonts w:hint="eastAsia" w:ascii="宋体" w:hAnsi="宋体"/>
          <w:szCs w:val="21"/>
        </w:rPr>
        <w:t>【保函保险服务】出具预付款保函，具体步骤：选择产品—填写供应商信息—选择中标项目—确认信息—等待保险</w:t>
      </w:r>
      <w:r>
        <w:rPr>
          <w:rFonts w:ascii="宋体" w:hAnsi="宋体"/>
          <w:szCs w:val="21"/>
        </w:rPr>
        <w:t>/保函受理—确认保单—支付保费—成功出单。政</w:t>
      </w:r>
      <w:r>
        <w:rPr>
          <w:rFonts w:hint="eastAsia" w:ascii="宋体" w:hAnsi="宋体"/>
          <w:szCs w:val="21"/>
        </w:rPr>
        <w:t>采云金融专线</w:t>
      </w:r>
      <w:r>
        <w:rPr>
          <w:rFonts w:ascii="宋体" w:hAnsi="宋体"/>
          <w:szCs w:val="21"/>
        </w:rPr>
        <w:t>400-903-9583。</w:t>
      </w:r>
    </w:p>
    <w:p w14:paraId="6B75E8E0">
      <w:pPr>
        <w:snapToGrid w:val="0"/>
        <w:spacing w:line="348" w:lineRule="auto"/>
        <w:ind w:firstLine="2203" w:firstLineChars="1045"/>
        <w:rPr>
          <w:rFonts w:ascii="宋体" w:hAnsi="宋体" w:cs="宋体"/>
          <w:b/>
          <w:szCs w:val="21"/>
        </w:rPr>
      </w:pPr>
    </w:p>
    <w:p w14:paraId="33D1B320">
      <w:pPr>
        <w:snapToGrid w:val="0"/>
        <w:spacing w:line="348" w:lineRule="auto"/>
        <w:ind w:firstLine="2203" w:firstLineChars="1045"/>
        <w:rPr>
          <w:rFonts w:ascii="宋体" w:hAnsi="宋体" w:cs="宋体"/>
          <w:b/>
          <w:szCs w:val="21"/>
        </w:rPr>
      </w:pPr>
      <w:r>
        <w:rPr>
          <w:rFonts w:hint="eastAsia" w:ascii="宋体" w:hAnsi="宋体" w:cs="宋体"/>
          <w:b/>
          <w:szCs w:val="21"/>
        </w:rPr>
        <w:t>八、电子交易活动的中止</w:t>
      </w:r>
    </w:p>
    <w:p w14:paraId="261A5361">
      <w:pPr>
        <w:pStyle w:val="139"/>
        <w:snapToGrid w:val="0"/>
        <w:spacing w:before="0" w:line="348" w:lineRule="auto"/>
        <w:ind w:firstLine="0" w:firstLineChars="0"/>
        <w:rPr>
          <w:rFonts w:ascii="宋体" w:hAnsi="宋体" w:cs="宋体"/>
          <w:sz w:val="21"/>
          <w:szCs w:val="21"/>
        </w:rPr>
      </w:pPr>
      <w:r>
        <w:rPr>
          <w:rFonts w:ascii="宋体" w:hAnsi="宋体" w:cs="宋体"/>
          <w:b/>
          <w:bCs/>
          <w:sz w:val="21"/>
          <w:szCs w:val="21"/>
        </w:rPr>
        <w:t>28</w:t>
      </w:r>
      <w:r>
        <w:rPr>
          <w:rFonts w:hint="eastAsia" w:ascii="宋体" w:hAnsi="宋体" w:cs="宋体"/>
          <w:b/>
          <w:sz w:val="21"/>
          <w:szCs w:val="21"/>
        </w:rPr>
        <w:t>. 电子交易活动的中止。</w:t>
      </w: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753537A4">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484B1C0A">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150DF605">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7CA9725E">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3F40B92">
      <w:pPr>
        <w:pStyle w:val="139"/>
        <w:snapToGrid w:val="0"/>
        <w:spacing w:before="0" w:line="348" w:lineRule="auto"/>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754C0FFA">
      <w:pPr>
        <w:pStyle w:val="139"/>
        <w:snapToGrid w:val="0"/>
        <w:spacing w:before="0" w:line="348" w:lineRule="auto"/>
        <w:ind w:firstLine="0" w:firstLineChars="0"/>
        <w:rPr>
          <w:rFonts w:ascii="宋体" w:hAnsi="宋体" w:cs="宋体"/>
          <w:sz w:val="21"/>
          <w:szCs w:val="21"/>
        </w:rPr>
      </w:pPr>
      <w:r>
        <w:rPr>
          <w:rFonts w:hint="eastAsia" w:ascii="宋体" w:hAnsi="宋体" w:cs="宋体"/>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EB85487">
      <w:pPr>
        <w:tabs>
          <w:tab w:val="left" w:pos="0"/>
        </w:tabs>
        <w:spacing w:line="348" w:lineRule="auto"/>
        <w:ind w:firstLine="480"/>
        <w:rPr>
          <w:rFonts w:ascii="宋体" w:hAnsi="宋体" w:cs="宋体"/>
          <w:szCs w:val="21"/>
        </w:rPr>
      </w:pPr>
    </w:p>
    <w:p w14:paraId="3EBFDFA8">
      <w:pPr>
        <w:snapToGrid w:val="0"/>
        <w:spacing w:line="348" w:lineRule="auto"/>
        <w:ind w:left="120" w:leftChars="57" w:firstLine="316" w:firstLineChars="150"/>
        <w:jc w:val="center"/>
        <w:rPr>
          <w:rFonts w:ascii="宋体" w:hAnsi="宋体" w:cs="宋体"/>
          <w:b/>
          <w:szCs w:val="21"/>
        </w:rPr>
      </w:pPr>
      <w:r>
        <w:rPr>
          <w:rFonts w:hint="eastAsia" w:ascii="宋体" w:hAnsi="宋体" w:cs="宋体"/>
          <w:b/>
          <w:szCs w:val="21"/>
        </w:rPr>
        <w:t>九、验收</w:t>
      </w:r>
    </w:p>
    <w:p w14:paraId="14194AC0">
      <w:pPr>
        <w:pStyle w:val="19"/>
        <w:spacing w:line="348" w:lineRule="auto"/>
        <w:ind w:firstLine="0" w:firstLineChars="0"/>
        <w:rPr>
          <w:rFonts w:cs="宋体"/>
          <w:b/>
          <w:sz w:val="21"/>
          <w:szCs w:val="21"/>
        </w:rPr>
      </w:pPr>
      <w:r>
        <w:rPr>
          <w:rFonts w:hint="eastAsia" w:cs="宋体"/>
          <w:b/>
          <w:sz w:val="21"/>
          <w:szCs w:val="21"/>
        </w:rPr>
        <w:t>30.验收</w:t>
      </w:r>
    </w:p>
    <w:p w14:paraId="199EDB50">
      <w:pPr>
        <w:tabs>
          <w:tab w:val="left" w:pos="0"/>
        </w:tabs>
        <w:spacing w:line="348"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9027111">
      <w:pPr>
        <w:tabs>
          <w:tab w:val="left" w:pos="0"/>
        </w:tabs>
        <w:spacing w:line="348"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149FB76B">
      <w:pPr>
        <w:tabs>
          <w:tab w:val="left" w:pos="0"/>
        </w:tabs>
        <w:spacing w:line="348"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B440BB">
      <w:pPr>
        <w:tabs>
          <w:tab w:val="left" w:pos="0"/>
        </w:tabs>
        <w:spacing w:line="348" w:lineRule="auto"/>
        <w:ind w:firstLine="48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0F75C395">
      <w:pPr>
        <w:pStyle w:val="88"/>
        <w:spacing w:before="240"/>
        <w:rPr>
          <w:rFonts w:hAnsi="宋体" w:cs="宋体"/>
          <w:kern w:val="0"/>
        </w:rPr>
      </w:pPr>
      <w:bookmarkStart w:id="29" w:name="_Hlt68403820"/>
      <w:bookmarkEnd w:id="29"/>
      <w:bookmarkStart w:id="30" w:name="_Hlt74729768"/>
      <w:bookmarkEnd w:id="30"/>
      <w:bookmarkStart w:id="31" w:name="_Hlt75236011"/>
      <w:bookmarkEnd w:id="31"/>
      <w:bookmarkStart w:id="32" w:name="_Hlt68073093"/>
      <w:bookmarkEnd w:id="32"/>
      <w:bookmarkStart w:id="33" w:name="_Hlt68057669"/>
      <w:bookmarkEnd w:id="33"/>
      <w:bookmarkStart w:id="34" w:name="_Hlt75236101"/>
      <w:bookmarkEnd w:id="34"/>
      <w:bookmarkStart w:id="35" w:name="_Hlt74714665"/>
      <w:bookmarkEnd w:id="35"/>
      <w:bookmarkStart w:id="36" w:name="_Hlt68072990"/>
      <w:bookmarkEnd w:id="36"/>
      <w:bookmarkStart w:id="37" w:name="_Hlt74730295"/>
      <w:bookmarkEnd w:id="37"/>
      <w:bookmarkStart w:id="38" w:name="_Hlt74707468"/>
      <w:bookmarkEnd w:id="38"/>
      <w:bookmarkStart w:id="39" w:name="_Hlt68072998"/>
      <w:bookmarkEnd w:id="39"/>
      <w:bookmarkStart w:id="40" w:name="_Hlt75236290"/>
      <w:bookmarkEnd w:id="40"/>
    </w:p>
    <w:p w14:paraId="7CF820E5">
      <w:pPr>
        <w:pStyle w:val="88"/>
        <w:spacing w:before="240"/>
        <w:sectPr>
          <w:footerReference r:id="rId6" w:type="first"/>
          <w:footerReference r:id="rId5" w:type="default"/>
          <w:pgSz w:w="11906" w:h="16838"/>
          <w:pgMar w:top="680" w:right="1304" w:bottom="468" w:left="1304" w:header="851" w:footer="992" w:gutter="0"/>
          <w:pgNumType w:start="1"/>
          <w:cols w:space="720" w:num="1"/>
          <w:titlePg/>
          <w:docGrid w:linePitch="312" w:charSpace="0"/>
        </w:sectPr>
      </w:pPr>
    </w:p>
    <w:bookmarkEnd w:id="25"/>
    <w:bookmarkEnd w:id="26"/>
    <w:p w14:paraId="6635DF34">
      <w:pPr>
        <w:numPr>
          <w:ilvl w:val="0"/>
          <w:numId w:val="2"/>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4CC411B6">
      <w:pPr>
        <w:adjustRightInd/>
        <w:spacing w:line="360" w:lineRule="auto"/>
        <w:jc w:val="left"/>
        <w:rPr>
          <w:rFonts w:asciiTheme="minorEastAsia" w:hAnsiTheme="minorEastAsia" w:eastAsiaTheme="minorEastAsia"/>
          <w:szCs w:val="21"/>
          <w:u w:val="single"/>
        </w:rPr>
      </w:pPr>
    </w:p>
    <w:p w14:paraId="6158C34B">
      <w:pPr>
        <w:adjustRightInd/>
        <w:spacing w:line="360" w:lineRule="auto"/>
        <w:jc w:val="left"/>
        <w:rPr>
          <w:rFonts w:cs="仿宋_GB2312" w:asciiTheme="minorEastAsia" w:hAnsiTheme="minorEastAsia" w:eastAsiaTheme="minorEastAsia"/>
          <w:b/>
          <w:szCs w:val="21"/>
          <w:u w:val="single"/>
        </w:rPr>
      </w:pPr>
      <w:r>
        <w:rPr>
          <w:rFonts w:hint="eastAsia" w:asciiTheme="minorEastAsia" w:hAnsiTheme="minorEastAsia" w:eastAsiaTheme="minorEastAsia"/>
          <w:szCs w:val="21"/>
          <w:u w:val="single"/>
        </w:rPr>
        <w:t>注：“▲” 系指实质性要求条款， “</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”系指招标过程中可能实质性变动的内容。</w:t>
      </w:r>
    </w:p>
    <w:p w14:paraId="69B482B7">
      <w:pPr>
        <w:adjustRightInd/>
        <w:spacing w:line="360" w:lineRule="auto"/>
        <w:rPr>
          <w:rFonts w:ascii="宋体" w:hAnsi="宋体" w:cs="宋体"/>
          <w:b/>
          <w:szCs w:val="21"/>
        </w:rPr>
      </w:pPr>
      <w:r>
        <w:rPr>
          <w:rFonts w:hint="eastAsia" w:ascii="宋体" w:hAnsi="宋体" w:cs="宋体"/>
          <w:szCs w:val="21"/>
        </w:rPr>
        <w:t>▲</w:t>
      </w:r>
      <w:r>
        <w:rPr>
          <w:rFonts w:hint="eastAsia" w:ascii="宋体" w:hAnsi="宋体" w:cs="宋体"/>
          <w:b/>
          <w:szCs w:val="21"/>
        </w:rPr>
        <w:t>一、重要商务条款一览表</w:t>
      </w:r>
    </w:p>
    <w:tbl>
      <w:tblPr>
        <w:tblStyle w:val="63"/>
        <w:tblW w:w="93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7402"/>
      </w:tblGrid>
      <w:tr w14:paraId="7CFA9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8BBC0FF">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项目</w:t>
            </w:r>
          </w:p>
        </w:tc>
        <w:tc>
          <w:tcPr>
            <w:tcW w:w="7402" w:type="dxa"/>
            <w:tcBorders>
              <w:top w:val="single" w:color="auto" w:sz="4" w:space="0"/>
              <w:left w:val="single" w:color="auto" w:sz="4" w:space="0"/>
              <w:bottom w:val="single" w:color="auto" w:sz="4" w:space="0"/>
              <w:right w:val="single" w:color="auto" w:sz="4" w:space="0"/>
            </w:tcBorders>
            <w:vAlign w:val="center"/>
          </w:tcPr>
          <w:p w14:paraId="0C4052A4">
            <w:pPr>
              <w:widowControl/>
              <w:adjustRightInd/>
              <w:spacing w:line="360" w:lineRule="auto"/>
              <w:jc w:val="center"/>
              <w:rPr>
                <w:rFonts w:ascii="宋体" w:hAnsi="宋体" w:cs="宋体"/>
                <w:b/>
                <w:bCs/>
                <w:kern w:val="0"/>
                <w:szCs w:val="21"/>
              </w:rPr>
            </w:pPr>
            <w:r>
              <w:rPr>
                <w:rFonts w:hint="eastAsia" w:ascii="宋体" w:hAnsi="宋体" w:cs="宋体"/>
                <w:b/>
                <w:bCs/>
                <w:kern w:val="0"/>
                <w:szCs w:val="21"/>
              </w:rPr>
              <w:t>要 求</w:t>
            </w:r>
          </w:p>
        </w:tc>
      </w:tr>
      <w:tr w14:paraId="29AB5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vAlign w:val="center"/>
          </w:tcPr>
          <w:p w14:paraId="51C20F4B">
            <w:pPr>
              <w:spacing w:line="360" w:lineRule="auto"/>
              <w:rPr>
                <w:rFonts w:hint="eastAsia" w:ascii="宋体" w:hAnsi="宋体" w:cs="宋体"/>
                <w:kern w:val="0"/>
                <w:szCs w:val="21"/>
              </w:rPr>
            </w:pPr>
            <w:r>
              <w:rPr>
                <w:rFonts w:hint="eastAsia" w:ascii="宋体" w:hAnsi="宋体" w:cs="宋体"/>
                <w:kern w:val="0"/>
                <w:szCs w:val="21"/>
              </w:rPr>
              <w:t>1、合同履约期限</w:t>
            </w:r>
          </w:p>
        </w:tc>
        <w:tc>
          <w:tcPr>
            <w:tcW w:w="7402" w:type="dxa"/>
            <w:tcBorders>
              <w:top w:val="single" w:color="auto" w:sz="4" w:space="0"/>
              <w:left w:val="single" w:color="auto" w:sz="4" w:space="0"/>
              <w:bottom w:val="single" w:color="auto" w:sz="4" w:space="0"/>
              <w:right w:val="single" w:color="auto" w:sz="4" w:space="0"/>
            </w:tcBorders>
            <w:vAlign w:val="center"/>
          </w:tcPr>
          <w:p w14:paraId="2C36711D">
            <w:pPr>
              <w:spacing w:line="360" w:lineRule="auto"/>
              <w:rPr>
                <w:rFonts w:hint="eastAsia" w:ascii="宋体" w:hAnsi="宋体" w:cs="宋体"/>
                <w:kern w:val="0"/>
                <w:szCs w:val="21"/>
              </w:rPr>
            </w:pPr>
            <w:r>
              <w:rPr>
                <w:rFonts w:hint="eastAsia" w:ascii="宋体" w:hAnsi="宋体" w:cs="宋体"/>
                <w:kern w:val="0"/>
                <w:szCs w:val="21"/>
              </w:rPr>
              <w:t>自合同签订之日起至三个月内，完成系统部署测试，系统上线试运行、培训等工作；2025年11月底完成项目验收（包括试运行三个月）。</w:t>
            </w:r>
          </w:p>
        </w:tc>
      </w:tr>
      <w:tr w14:paraId="24CE4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vAlign w:val="center"/>
          </w:tcPr>
          <w:p w14:paraId="67517C88">
            <w:pPr>
              <w:widowControl/>
              <w:adjustRightInd/>
              <w:spacing w:line="360" w:lineRule="auto"/>
              <w:rPr>
                <w:rFonts w:ascii="宋体" w:hAnsi="宋体" w:cs="宋体"/>
                <w:kern w:val="0"/>
                <w:szCs w:val="21"/>
              </w:rPr>
            </w:pPr>
            <w:r>
              <w:rPr>
                <w:rFonts w:hint="eastAsia" w:ascii="宋体" w:hAnsi="宋体" w:cs="宋体"/>
                <w:kern w:val="0"/>
                <w:szCs w:val="21"/>
              </w:rPr>
              <w:t>2、服务地点</w:t>
            </w:r>
          </w:p>
        </w:tc>
        <w:tc>
          <w:tcPr>
            <w:tcW w:w="7402" w:type="dxa"/>
            <w:tcBorders>
              <w:top w:val="single" w:color="auto" w:sz="4" w:space="0"/>
              <w:left w:val="single" w:color="auto" w:sz="4" w:space="0"/>
              <w:bottom w:val="single" w:color="auto" w:sz="4" w:space="0"/>
              <w:right w:val="single" w:color="auto" w:sz="4" w:space="0"/>
            </w:tcBorders>
            <w:vAlign w:val="center"/>
          </w:tcPr>
          <w:p w14:paraId="6033E079">
            <w:pPr>
              <w:adjustRightInd/>
              <w:spacing w:line="360" w:lineRule="auto"/>
              <w:textAlignment w:val="baseline"/>
              <w:rPr>
                <w:rFonts w:ascii="宋体" w:hAnsi="宋体" w:cs="宋体"/>
                <w:kern w:val="0"/>
                <w:szCs w:val="21"/>
              </w:rPr>
            </w:pPr>
            <w:r>
              <w:rPr>
                <w:rFonts w:hint="eastAsia" w:ascii="宋体" w:hAnsi="宋体" w:cs="宋体"/>
                <w:kern w:val="0"/>
                <w:szCs w:val="21"/>
              </w:rPr>
              <w:t>采购人指定地点（宁海县）</w:t>
            </w:r>
          </w:p>
        </w:tc>
      </w:tr>
      <w:tr w14:paraId="65F7B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1931" w:type="dxa"/>
            <w:tcBorders>
              <w:top w:val="single" w:color="auto" w:sz="4" w:space="0"/>
              <w:left w:val="single" w:color="auto" w:sz="4" w:space="0"/>
              <w:bottom w:val="single" w:color="auto" w:sz="4" w:space="0"/>
              <w:right w:val="single" w:color="auto" w:sz="4" w:space="0"/>
            </w:tcBorders>
            <w:vAlign w:val="center"/>
          </w:tcPr>
          <w:p w14:paraId="1938191E">
            <w:pPr>
              <w:widowControl/>
              <w:adjustRightInd/>
              <w:spacing w:line="360" w:lineRule="auto"/>
              <w:rPr>
                <w:rFonts w:ascii="宋体" w:hAnsi="宋体" w:cs="宋体"/>
                <w:kern w:val="0"/>
                <w:szCs w:val="21"/>
              </w:rPr>
            </w:pPr>
            <w:r>
              <w:rPr>
                <w:rFonts w:hint="eastAsia" w:ascii="宋体" w:hAnsi="宋体" w:cs="宋体"/>
                <w:kern w:val="0"/>
                <w:szCs w:val="21"/>
              </w:rPr>
              <w:t>3、付款方式</w:t>
            </w:r>
          </w:p>
        </w:tc>
        <w:tc>
          <w:tcPr>
            <w:tcW w:w="7402" w:type="dxa"/>
            <w:tcBorders>
              <w:top w:val="single" w:color="auto" w:sz="4" w:space="0"/>
              <w:left w:val="single" w:color="auto" w:sz="4" w:space="0"/>
              <w:bottom w:val="single" w:color="auto" w:sz="4" w:space="0"/>
              <w:right w:val="single" w:color="auto" w:sz="4" w:space="0"/>
            </w:tcBorders>
            <w:vAlign w:val="center"/>
          </w:tcPr>
          <w:p w14:paraId="5B7DC032">
            <w:pPr>
              <w:spacing w:line="360" w:lineRule="auto"/>
              <w:rPr>
                <w:rFonts w:ascii="宋体" w:hAnsi="宋体" w:cs="宋体"/>
                <w:kern w:val="0"/>
                <w:szCs w:val="21"/>
              </w:rPr>
            </w:pPr>
            <w:r>
              <w:rPr>
                <w:rFonts w:hint="eastAsia" w:ascii="宋体" w:hAnsi="宋体"/>
                <w:szCs w:val="21"/>
              </w:rPr>
              <w:t>（</w:t>
            </w:r>
            <w:r>
              <w:rPr>
                <w:rFonts w:hint="eastAsia" w:ascii="宋体" w:hAnsi="宋体" w:cs="宋体"/>
                <w:kern w:val="0"/>
                <w:szCs w:val="21"/>
              </w:rPr>
              <w:t>1）合同生效以及具备实施条件后7个工作日内支付合同价款的40%；</w:t>
            </w:r>
          </w:p>
          <w:p w14:paraId="3C5FAF01">
            <w:pPr>
              <w:spacing w:line="360" w:lineRule="auto"/>
              <w:rPr>
                <w:rFonts w:ascii="宋体" w:hAnsi="宋体" w:cs="宋体"/>
                <w:kern w:val="0"/>
                <w:szCs w:val="21"/>
              </w:rPr>
            </w:pPr>
            <w:r>
              <w:rPr>
                <w:rFonts w:hint="eastAsia" w:ascii="宋体" w:hAnsi="宋体" w:cs="宋体"/>
                <w:kern w:val="0"/>
                <w:szCs w:val="21"/>
              </w:rPr>
              <w:t>（2）安装调试完成并通过初验后支付合同总额的50%。</w:t>
            </w:r>
          </w:p>
          <w:p w14:paraId="57C1F20C">
            <w:pPr>
              <w:spacing w:line="360" w:lineRule="auto"/>
              <w:rPr>
                <w:szCs w:val="21"/>
              </w:rPr>
            </w:pPr>
            <w:r>
              <w:rPr>
                <w:rFonts w:hint="eastAsia" w:ascii="宋体" w:hAnsi="宋体" w:cs="宋体"/>
                <w:kern w:val="0"/>
                <w:szCs w:val="21"/>
              </w:rPr>
              <w:t>（3）项目全部完成验收评定合格后一次性支付剩余10%款项。</w:t>
            </w:r>
          </w:p>
        </w:tc>
      </w:tr>
      <w:tr w14:paraId="32FC8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31" w:type="dxa"/>
            <w:tcBorders>
              <w:top w:val="single" w:color="auto" w:sz="4" w:space="0"/>
              <w:left w:val="single" w:color="auto" w:sz="4" w:space="0"/>
              <w:bottom w:val="single" w:color="auto" w:sz="4" w:space="0"/>
              <w:right w:val="single" w:color="auto" w:sz="4" w:space="0"/>
            </w:tcBorders>
            <w:vAlign w:val="center"/>
          </w:tcPr>
          <w:p w14:paraId="0FAFC4DE">
            <w:pPr>
              <w:spacing w:line="360" w:lineRule="auto"/>
              <w:rPr>
                <w:rFonts w:ascii="宋体" w:hAnsi="宋体" w:cs="宋体"/>
                <w:kern w:val="0"/>
                <w:szCs w:val="21"/>
              </w:rPr>
            </w:pPr>
            <w:r>
              <w:rPr>
                <w:rFonts w:hint="eastAsia" w:ascii="宋体" w:hAnsi="宋体" w:cs="宋体"/>
                <w:kern w:val="0"/>
                <w:szCs w:val="21"/>
              </w:rPr>
              <w:t>4、质保期</w:t>
            </w:r>
          </w:p>
        </w:tc>
        <w:tc>
          <w:tcPr>
            <w:tcW w:w="7402" w:type="dxa"/>
            <w:tcBorders>
              <w:top w:val="single" w:color="auto" w:sz="4" w:space="0"/>
              <w:left w:val="single" w:color="auto" w:sz="4" w:space="0"/>
              <w:bottom w:val="single" w:color="auto" w:sz="4" w:space="0"/>
              <w:right w:val="single" w:color="auto" w:sz="4" w:space="0"/>
            </w:tcBorders>
            <w:vAlign w:val="center"/>
          </w:tcPr>
          <w:p w14:paraId="44A69C60">
            <w:pPr>
              <w:spacing w:line="360" w:lineRule="auto"/>
              <w:rPr>
                <w:rFonts w:ascii="宋体" w:hAnsi="宋体" w:cs="宋体"/>
                <w:kern w:val="0"/>
                <w:szCs w:val="21"/>
              </w:rPr>
            </w:pPr>
            <w:r>
              <w:rPr>
                <w:rFonts w:hint="eastAsia" w:ascii="宋体" w:hAnsi="宋体" w:cs="宋体"/>
                <w:kern w:val="0"/>
                <w:szCs w:val="21"/>
              </w:rPr>
              <w:t>验收合格后三年。</w:t>
            </w:r>
          </w:p>
        </w:tc>
      </w:tr>
      <w:tr w14:paraId="56B62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931" w:type="dxa"/>
            <w:tcBorders>
              <w:top w:val="single" w:color="auto" w:sz="4" w:space="0"/>
              <w:left w:val="single" w:color="auto" w:sz="4" w:space="0"/>
              <w:bottom w:val="single" w:color="auto" w:sz="4" w:space="0"/>
              <w:right w:val="single" w:color="auto" w:sz="4" w:space="0"/>
            </w:tcBorders>
            <w:vAlign w:val="center"/>
          </w:tcPr>
          <w:p w14:paraId="1CBE5C55">
            <w:pPr>
              <w:widowControl/>
              <w:adjustRightInd/>
              <w:spacing w:line="360" w:lineRule="auto"/>
              <w:rPr>
                <w:rFonts w:ascii="宋体" w:hAnsi="宋体" w:cs="宋体"/>
                <w:kern w:val="0"/>
                <w:szCs w:val="21"/>
              </w:rPr>
            </w:pPr>
            <w:r>
              <w:rPr>
                <w:rFonts w:hint="eastAsia" w:ascii="宋体" w:hAnsi="宋体" w:cs="宋体"/>
                <w:kern w:val="0"/>
                <w:szCs w:val="21"/>
              </w:rPr>
              <w:t>5、履约保证金</w:t>
            </w:r>
          </w:p>
        </w:tc>
        <w:tc>
          <w:tcPr>
            <w:tcW w:w="7402" w:type="dxa"/>
            <w:tcBorders>
              <w:top w:val="single" w:color="auto" w:sz="4" w:space="0"/>
              <w:left w:val="single" w:color="auto" w:sz="4" w:space="0"/>
              <w:bottom w:val="single" w:color="auto" w:sz="4" w:space="0"/>
              <w:right w:val="single" w:color="auto" w:sz="4" w:space="0"/>
            </w:tcBorders>
            <w:vAlign w:val="center"/>
          </w:tcPr>
          <w:p w14:paraId="62B302EE">
            <w:pPr>
              <w:widowControl/>
              <w:adjustRightInd/>
              <w:spacing w:line="360" w:lineRule="auto"/>
              <w:rPr>
                <w:rFonts w:ascii="宋体" w:hAnsi="宋体" w:cs="宋体"/>
                <w:kern w:val="0"/>
                <w:szCs w:val="21"/>
              </w:rPr>
            </w:pPr>
            <w:r>
              <w:rPr>
                <w:rFonts w:hint="eastAsia" w:ascii="宋体" w:hAnsi="宋体" w:cs="宋体"/>
                <w:kern w:val="0"/>
                <w:szCs w:val="21"/>
              </w:rPr>
              <w:t>1、履约保证金额度：在签订合同之前支付，中标合同价的1%；</w:t>
            </w:r>
          </w:p>
          <w:p w14:paraId="6ED8A816">
            <w:pPr>
              <w:widowControl/>
              <w:adjustRightInd/>
              <w:spacing w:line="360" w:lineRule="auto"/>
              <w:rPr>
                <w:rFonts w:ascii="宋体" w:hAnsi="宋体" w:cs="宋体"/>
                <w:kern w:val="0"/>
                <w:szCs w:val="21"/>
              </w:rPr>
            </w:pPr>
            <w:r>
              <w:rPr>
                <w:rFonts w:hint="eastAsia" w:ascii="宋体" w:hAnsi="宋体" w:cs="宋体"/>
                <w:kern w:val="0"/>
                <w:szCs w:val="21"/>
              </w:rPr>
              <w:t>2、履约保证金形式：银行汇票（电汇）或支票（仅限于使用宁波大市区范围内的银行开具的支票）；</w:t>
            </w:r>
          </w:p>
          <w:p w14:paraId="4EE91896">
            <w:pPr>
              <w:widowControl/>
              <w:adjustRightInd/>
              <w:spacing w:line="360" w:lineRule="auto"/>
              <w:rPr>
                <w:rFonts w:ascii="宋体" w:hAnsi="宋体" w:cs="宋体"/>
                <w:kern w:val="0"/>
                <w:szCs w:val="21"/>
              </w:rPr>
            </w:pPr>
            <w:r>
              <w:rPr>
                <w:rFonts w:hint="eastAsia" w:ascii="宋体" w:hAnsi="宋体" w:cs="宋体"/>
                <w:kern w:val="0"/>
                <w:szCs w:val="21"/>
              </w:rPr>
              <w:t>3、履约保证金的退回：质保期满后并经业主单位确认无遗留问题后一个月内无息退还（但如中标人未能履行合同规定的任何义务，采购人有权从履约保证金中得到补偿）。</w:t>
            </w:r>
          </w:p>
        </w:tc>
      </w:tr>
      <w:tr w14:paraId="6B989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931" w:type="dxa"/>
            <w:tcBorders>
              <w:top w:val="single" w:color="auto" w:sz="4" w:space="0"/>
              <w:left w:val="single" w:color="auto" w:sz="4" w:space="0"/>
              <w:bottom w:val="single" w:color="auto" w:sz="4" w:space="0"/>
              <w:right w:val="single" w:color="auto" w:sz="4" w:space="0"/>
            </w:tcBorders>
            <w:vAlign w:val="center"/>
          </w:tcPr>
          <w:p w14:paraId="1B48905A">
            <w:pPr>
              <w:adjustRightInd/>
              <w:spacing w:line="360" w:lineRule="auto"/>
              <w:textAlignment w:val="baseline"/>
              <w:rPr>
                <w:rFonts w:ascii="宋体" w:hAnsi="宋体" w:cs="宋体"/>
                <w:szCs w:val="21"/>
              </w:rPr>
            </w:pPr>
            <w:r>
              <w:rPr>
                <w:rFonts w:hint="eastAsia" w:ascii="宋体" w:hAnsi="宋体" w:cs="宋体"/>
                <w:szCs w:val="21"/>
              </w:rPr>
              <w:t>6、其他说明</w:t>
            </w:r>
          </w:p>
        </w:tc>
        <w:tc>
          <w:tcPr>
            <w:tcW w:w="7402" w:type="dxa"/>
            <w:tcBorders>
              <w:top w:val="single" w:color="auto" w:sz="4" w:space="0"/>
              <w:left w:val="single" w:color="auto" w:sz="4" w:space="0"/>
              <w:bottom w:val="single" w:color="auto" w:sz="4" w:space="0"/>
              <w:right w:val="single" w:color="auto" w:sz="4" w:space="0"/>
            </w:tcBorders>
            <w:vAlign w:val="center"/>
          </w:tcPr>
          <w:p w14:paraId="4D8E2887">
            <w:pPr>
              <w:adjustRightInd/>
              <w:spacing w:line="360" w:lineRule="auto"/>
              <w:textAlignment w:val="baseline"/>
              <w:rPr>
                <w:rFonts w:hint="eastAsia" w:ascii="宋体" w:hAnsi="宋体" w:eastAsia="宋体" w:cs="宋体"/>
                <w:szCs w:val="21"/>
              </w:rPr>
            </w:pPr>
            <w:r>
              <w:rPr>
                <w:rFonts w:hint="eastAsia" w:ascii="宋体" w:hAnsi="宋体" w:eastAsia="宋体" w:cs="宋体"/>
                <w:szCs w:val="21"/>
              </w:rPr>
              <w:t>1、本招标所提的要求仅为主要要求，不应作为完整的详细的要求；</w:t>
            </w:r>
          </w:p>
          <w:p w14:paraId="5910E429">
            <w:pPr>
              <w:adjustRightInd/>
              <w:spacing w:line="360" w:lineRule="auto"/>
              <w:textAlignment w:val="baseline"/>
              <w:rPr>
                <w:rFonts w:hint="eastAsia" w:ascii="宋体" w:hAnsi="宋体" w:eastAsia="宋体" w:cs="宋体"/>
                <w:szCs w:val="21"/>
              </w:rPr>
            </w:pPr>
            <w:r>
              <w:rPr>
                <w:rFonts w:hint="eastAsia" w:ascii="宋体" w:hAnsi="宋体" w:eastAsia="宋体" w:cs="宋体"/>
                <w:szCs w:val="21"/>
              </w:rPr>
              <w:t>2、供应商应对投标材料的一切专利承担责任，并负责保护采购人的利益不受损害；一切由于文字、商标和技术专利侵权引起的法律裁决、诉讼及其费用均与采购人无关。</w:t>
            </w:r>
          </w:p>
          <w:p w14:paraId="4A603435">
            <w:pPr>
              <w:adjustRightInd/>
              <w:spacing w:line="360" w:lineRule="auto"/>
              <w:textAlignment w:val="baseline"/>
              <w:rPr>
                <w:rFonts w:hint="eastAsia" w:ascii="宋体" w:hAnsi="宋体" w:eastAsia="宋体" w:cs="宋体"/>
                <w:szCs w:val="21"/>
              </w:rPr>
            </w:pPr>
            <w:r>
              <w:rPr>
                <w:rFonts w:hint="eastAsia" w:ascii="宋体" w:hAnsi="宋体" w:eastAsia="宋体" w:cs="宋体"/>
                <w:szCs w:val="21"/>
              </w:rPr>
              <w:t>3、中标单位必须无条件服从招标人提出合理要求。</w:t>
            </w:r>
          </w:p>
        </w:tc>
      </w:tr>
      <w:tr w14:paraId="7E2ED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69550F20">
            <w:pPr>
              <w:widowControl/>
              <w:adjustRightInd/>
              <w:spacing w:line="360" w:lineRule="auto"/>
              <w:rPr>
                <w:rFonts w:ascii="宋体" w:hAnsi="宋体" w:cs="宋体"/>
                <w:kern w:val="0"/>
                <w:szCs w:val="21"/>
              </w:rPr>
            </w:pPr>
            <w:r>
              <w:rPr>
                <w:rFonts w:hint="eastAsia" w:ascii="宋体" w:hAnsi="宋体" w:cs="宋体"/>
                <w:kern w:val="0"/>
                <w:szCs w:val="21"/>
              </w:rPr>
              <w:t>7、合同终止</w:t>
            </w:r>
          </w:p>
        </w:tc>
        <w:tc>
          <w:tcPr>
            <w:tcW w:w="7402" w:type="dxa"/>
            <w:tcBorders>
              <w:top w:val="single" w:color="auto" w:sz="4" w:space="0"/>
              <w:left w:val="single" w:color="auto" w:sz="4" w:space="0"/>
              <w:bottom w:val="single" w:color="auto" w:sz="4" w:space="0"/>
              <w:right w:val="single" w:color="auto" w:sz="4" w:space="0"/>
            </w:tcBorders>
            <w:vAlign w:val="center"/>
          </w:tcPr>
          <w:p w14:paraId="4D2AE6DC">
            <w:pPr>
              <w:adjustRightInd/>
              <w:spacing w:line="360" w:lineRule="auto"/>
              <w:textAlignment w:val="baseline"/>
              <w:rPr>
                <w:rFonts w:ascii="宋体" w:hAnsi="宋体" w:cs="宋体"/>
                <w:kern w:val="0"/>
                <w:szCs w:val="21"/>
              </w:rPr>
            </w:pPr>
            <w:r>
              <w:rPr>
                <w:rFonts w:hint="eastAsia" w:ascii="宋体" w:hAnsi="宋体" w:cs="宋体"/>
                <w:kern w:val="0"/>
                <w:szCs w:val="21"/>
              </w:rPr>
              <w:t>成交人在合同有效期内，不得无理由终止合同，确有特殊情况的，须提前1个月向采购人提出书面申请，经采购人同意后，方可终止合同。因成交人不能保证工作质量，或发生重大差错事故的，采购人可有权终止协议，成交人承担全部责任。</w:t>
            </w:r>
          </w:p>
        </w:tc>
      </w:tr>
      <w:tr w14:paraId="722AF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31" w:type="dxa"/>
            <w:tcBorders>
              <w:top w:val="single" w:color="auto" w:sz="4" w:space="0"/>
              <w:left w:val="single" w:color="auto" w:sz="4" w:space="0"/>
              <w:bottom w:val="single" w:color="auto" w:sz="4" w:space="0"/>
              <w:right w:val="single" w:color="auto" w:sz="4" w:space="0"/>
            </w:tcBorders>
            <w:vAlign w:val="center"/>
          </w:tcPr>
          <w:p w14:paraId="75E8D892">
            <w:pPr>
              <w:widowControl/>
              <w:adjustRightInd/>
              <w:spacing w:line="360" w:lineRule="auto"/>
              <w:rPr>
                <w:rFonts w:ascii="宋体" w:hAnsi="宋体" w:cs="宋体"/>
                <w:kern w:val="0"/>
                <w:szCs w:val="21"/>
              </w:rPr>
            </w:pPr>
            <w:r>
              <w:rPr>
                <w:rFonts w:hint="eastAsia" w:ascii="宋体" w:hAnsi="宋体"/>
                <w:szCs w:val="21"/>
              </w:rPr>
              <w:t>8、服务响应</w:t>
            </w:r>
          </w:p>
        </w:tc>
        <w:tc>
          <w:tcPr>
            <w:tcW w:w="7402" w:type="dxa"/>
            <w:tcBorders>
              <w:top w:val="single" w:color="auto" w:sz="4" w:space="0"/>
              <w:left w:val="single" w:color="auto" w:sz="4" w:space="0"/>
              <w:bottom w:val="single" w:color="auto" w:sz="4" w:space="0"/>
              <w:right w:val="single" w:color="auto" w:sz="4" w:space="0"/>
            </w:tcBorders>
            <w:vAlign w:val="center"/>
          </w:tcPr>
          <w:p w14:paraId="5D52F9FF">
            <w:pPr>
              <w:adjustRightInd/>
              <w:spacing w:line="360" w:lineRule="auto"/>
              <w:textAlignment w:val="baseline"/>
              <w:rPr>
                <w:rFonts w:ascii="宋体" w:hAnsi="宋体"/>
                <w:szCs w:val="21"/>
              </w:rPr>
            </w:pPr>
            <w:r>
              <w:rPr>
                <w:rFonts w:hint="eastAsia" w:ascii="宋体" w:hAnsi="宋体"/>
                <w:szCs w:val="21"/>
              </w:rPr>
              <w:t>服务响应：</w:t>
            </w:r>
          </w:p>
          <w:p w14:paraId="5C502353">
            <w:pPr>
              <w:adjustRightInd/>
              <w:spacing w:line="360" w:lineRule="auto"/>
              <w:textAlignment w:val="baseline"/>
            </w:pPr>
            <w:r>
              <w:rPr>
                <w:rFonts w:hint="eastAsia" w:ascii="宋体" w:hAnsi="宋体"/>
                <w:szCs w:val="21"/>
              </w:rPr>
              <w:t>1、提供7×24小时技术服务与支持电话，在接到服务故障通知后，中标人应在20分钟内响应。对于严重故障，中标人工程师及其它相关技术人员必须在2小时内赶到现场，查找原因，提出解决方案，并工作直至故障修复完毕，完全恢复正常服务为止，一般要求保证故障在24小时之内修复。</w:t>
            </w:r>
          </w:p>
          <w:p w14:paraId="75CCB68F">
            <w:pPr>
              <w:pStyle w:val="83"/>
              <w:ind w:left="0" w:firstLine="0"/>
            </w:pPr>
            <w:r>
              <w:rPr>
                <w:rFonts w:hint="eastAsia" w:ascii="宋体" w:hAnsi="宋体" w:eastAsia="宋体" w:cs="宋体"/>
                <w:kern w:val="0"/>
                <w:sz w:val="21"/>
                <w:szCs w:val="21"/>
                <w:lang w:val="en-US" w:eastAsia="zh-CN" w:bidi="ar-SA"/>
              </w:rPr>
              <w:t>2、派驻一名及以上专业人员驻点进行信息维护管理。</w:t>
            </w:r>
          </w:p>
        </w:tc>
      </w:tr>
    </w:tbl>
    <w:p w14:paraId="4360AF52">
      <w:pPr>
        <w:rPr>
          <w:szCs w:val="21"/>
        </w:rPr>
      </w:pPr>
    </w:p>
    <w:p w14:paraId="527F0EAD">
      <w:pPr>
        <w:pStyle w:val="6"/>
        <w:numPr>
          <w:ilvl w:val="0"/>
          <w:numId w:val="3"/>
        </w:numPr>
        <w:spacing w:before="326" w:after="326"/>
        <w:ind w:left="852"/>
        <w:rPr>
          <w:rFonts w:ascii="宋体" w:hAnsi="宋体" w:eastAsia="宋体" w:cs="宋体"/>
          <w:bCs w:val="0"/>
          <w:sz w:val="21"/>
          <w:szCs w:val="21"/>
          <w:lang w:val="en-US"/>
        </w:rPr>
      </w:pPr>
      <w:bookmarkStart w:id="43" w:name="_Toc9600"/>
      <w:bookmarkStart w:id="44" w:name="_Toc6873"/>
      <w:bookmarkStart w:id="45" w:name="_Toc20574"/>
      <w:r>
        <w:rPr>
          <w:rFonts w:hint="eastAsia" w:ascii="宋体" w:hAnsi="宋体" w:eastAsia="宋体" w:cs="宋体"/>
          <w:bCs w:val="0"/>
          <w:sz w:val="21"/>
          <w:szCs w:val="21"/>
          <w:lang w:val="en-US"/>
        </w:rPr>
        <w:t>建设目标</w:t>
      </w:r>
      <w:bookmarkEnd w:id="43"/>
      <w:bookmarkEnd w:id="44"/>
    </w:p>
    <w:p w14:paraId="06A4DEA8">
      <w:pPr>
        <w:spacing w:line="360" w:lineRule="auto"/>
        <w:ind w:firstLine="211" w:firstLineChars="100"/>
        <w:outlineLvl w:val="2"/>
        <w:rPr>
          <w:rFonts w:ascii="宋体" w:hAnsi="宋体" w:cs="宋体"/>
          <w:b/>
          <w:bCs/>
          <w:szCs w:val="21"/>
        </w:rPr>
      </w:pPr>
      <w:r>
        <w:rPr>
          <w:rFonts w:hint="eastAsia" w:ascii="宋体" w:hAnsi="宋体" w:cs="宋体"/>
          <w:b/>
          <w:bCs/>
          <w:szCs w:val="21"/>
        </w:rPr>
        <w:t>2.1 项目背景</w:t>
      </w:r>
    </w:p>
    <w:p w14:paraId="06048DE1">
      <w:pPr>
        <w:spacing w:line="360" w:lineRule="auto"/>
        <w:ind w:firstLine="420" w:firstLineChars="200"/>
        <w:rPr>
          <w:rFonts w:ascii="宋体" w:hAnsi="宋体" w:cs="宋体"/>
          <w:szCs w:val="21"/>
        </w:rPr>
      </w:pPr>
      <w:r>
        <w:rPr>
          <w:rFonts w:hint="eastAsia" w:ascii="宋体" w:hAnsi="宋体" w:cs="宋体"/>
          <w:szCs w:val="21"/>
          <w:lang w:eastAsia="zh-CN"/>
        </w:rPr>
        <w:t>国产化</w:t>
      </w:r>
      <w:r>
        <w:rPr>
          <w:rFonts w:hint="eastAsia" w:ascii="宋体" w:hAnsi="宋体" w:cs="宋体"/>
          <w:szCs w:val="21"/>
        </w:rPr>
        <w:t>产业发展是国家经济数字化转型、提升产业链发展的关键，是科技创新发展的核心基座，在我国发展“数字经济”中占据了重要的地位，是推进我国经济社会数字化转型、实现高水平科技自立自强的所趋之势。</w:t>
      </w:r>
    </w:p>
    <w:p w14:paraId="342140F8">
      <w:pPr>
        <w:spacing w:line="360" w:lineRule="auto"/>
        <w:ind w:firstLine="420" w:firstLineChars="200"/>
        <w:rPr>
          <w:rFonts w:ascii="宋体" w:hAnsi="宋体" w:cs="宋体"/>
          <w:szCs w:val="21"/>
        </w:rPr>
      </w:pPr>
      <w:r>
        <w:rPr>
          <w:rFonts w:hint="eastAsia" w:ascii="宋体" w:hAnsi="宋体" w:cs="宋体"/>
          <w:szCs w:val="21"/>
        </w:rPr>
        <w:t>随着</w:t>
      </w:r>
      <w:r>
        <w:rPr>
          <w:rFonts w:hint="eastAsia" w:ascii="宋体" w:hAnsi="宋体" w:cs="宋体"/>
          <w:szCs w:val="21"/>
          <w:lang w:eastAsia="zh-CN"/>
        </w:rPr>
        <w:t>国产化</w:t>
      </w:r>
      <w:r>
        <w:rPr>
          <w:rFonts w:hint="eastAsia" w:ascii="宋体" w:hAnsi="宋体" w:cs="宋体"/>
          <w:szCs w:val="21"/>
        </w:rPr>
        <w:t>产业不断发展，</w:t>
      </w:r>
      <w:r>
        <w:rPr>
          <w:rFonts w:hint="eastAsia" w:ascii="宋体" w:hAnsi="宋体" w:cs="宋体"/>
          <w:szCs w:val="21"/>
          <w:lang w:eastAsia="zh-CN"/>
        </w:rPr>
        <w:t>国产化</w:t>
      </w:r>
      <w:r>
        <w:rPr>
          <w:rFonts w:hint="eastAsia" w:ascii="宋体" w:hAnsi="宋体" w:cs="宋体"/>
          <w:szCs w:val="21"/>
        </w:rPr>
        <w:t>建设已经从“关键环节、非核心业务、部分市场的局部试点”阶段走向“多环节、核心业务、多行业的全面覆盖”阶段。在相关政策的推动下，</w:t>
      </w:r>
      <w:r>
        <w:rPr>
          <w:rFonts w:hint="eastAsia" w:ascii="宋体" w:hAnsi="宋体" w:cs="宋体"/>
          <w:szCs w:val="21"/>
          <w:lang w:eastAsia="zh-CN"/>
        </w:rPr>
        <w:t>国产化</w:t>
      </w:r>
      <w:r>
        <w:rPr>
          <w:rFonts w:hint="eastAsia" w:ascii="宋体" w:hAnsi="宋体" w:cs="宋体"/>
          <w:szCs w:val="21"/>
        </w:rPr>
        <w:t>已经成为全社会共识；</w:t>
      </w:r>
    </w:p>
    <w:p w14:paraId="01324F31">
      <w:pPr>
        <w:spacing w:line="360" w:lineRule="auto"/>
        <w:ind w:firstLine="420" w:firstLineChars="200"/>
        <w:rPr>
          <w:rFonts w:ascii="宋体" w:hAnsi="宋体" w:cs="宋体"/>
          <w:szCs w:val="21"/>
        </w:rPr>
      </w:pPr>
      <w:r>
        <w:rPr>
          <w:rFonts w:hint="eastAsia" w:ascii="宋体" w:hAnsi="宋体" w:cs="宋体"/>
          <w:szCs w:val="21"/>
        </w:rPr>
        <w:t>同时，在无废城市建设过程中面临着诸多挑战。一是收运分类模糊。生活垃圾与一般工业固废混收混运，数量约1.5万吨。生活垃圾处置财政支出高。二是前端数据不足。产废-收运企业端的数据信息方面存在明显空白，导致无法全面、准确地掌握固废产生和运输的实际情况。三是体系规范缺失。收运市场分散，各企业作业标准不一，数据记录各异，无法形成统一高效的管理机制，不仅增加管理难度，也不利于资源的优化整合和高效利用。四是决策支撑薄弱。监管工作缺乏针对性和有效性，难以对产废和收运环节进行精确把控。当前现状严重影响固废管理工作的质量和效率，对环境造成潜在威胁。</w:t>
      </w:r>
    </w:p>
    <w:p w14:paraId="745661F0">
      <w:pPr>
        <w:spacing w:line="360" w:lineRule="auto"/>
        <w:ind w:firstLine="420" w:firstLineChars="200"/>
        <w:rPr>
          <w:rFonts w:ascii="宋体" w:hAnsi="宋体" w:cs="宋体"/>
          <w:szCs w:val="21"/>
        </w:rPr>
      </w:pPr>
      <w:r>
        <w:rPr>
          <w:rFonts w:hint="eastAsia" w:ascii="宋体" w:hAnsi="宋体" w:cs="宋体"/>
          <w:szCs w:val="21"/>
        </w:rPr>
        <w:t>在整体推进信息技术应用创新产业大背景下，宁波市生态环境局宁海分局按照改造工作相关文件要求安排，经过前期的深入调研和整体规划，拟开展宁海县环保预警平台改造升级项目建设。</w:t>
      </w:r>
    </w:p>
    <w:p w14:paraId="65F09E43">
      <w:pPr>
        <w:spacing w:line="360" w:lineRule="auto"/>
        <w:outlineLvl w:val="2"/>
        <w:rPr>
          <w:rFonts w:ascii="宋体" w:hAnsi="宋体" w:cs="宋体"/>
          <w:b/>
          <w:bCs/>
          <w:szCs w:val="21"/>
        </w:rPr>
      </w:pPr>
      <w:bookmarkStart w:id="46" w:name="_Toc21747"/>
      <w:bookmarkStart w:id="47" w:name="_Toc4245"/>
      <w:bookmarkStart w:id="48" w:name="_Toc5272"/>
      <w:bookmarkStart w:id="49" w:name="_Toc8537"/>
      <w:r>
        <w:rPr>
          <w:rFonts w:hint="eastAsia" w:ascii="宋体" w:hAnsi="宋体" w:cs="宋体"/>
          <w:b/>
          <w:bCs/>
          <w:szCs w:val="21"/>
        </w:rPr>
        <w:t>2.2 项目历史情况</w:t>
      </w:r>
      <w:bookmarkEnd w:id="46"/>
      <w:bookmarkEnd w:id="47"/>
      <w:bookmarkEnd w:id="48"/>
      <w:bookmarkEnd w:id="49"/>
    </w:p>
    <w:p w14:paraId="425CB51A">
      <w:pPr>
        <w:spacing w:line="360" w:lineRule="auto"/>
        <w:ind w:firstLine="420" w:firstLineChars="200"/>
        <w:rPr>
          <w:rFonts w:ascii="宋体" w:hAnsi="宋体" w:cs="宋体"/>
          <w:b/>
          <w:bCs/>
          <w:szCs w:val="21"/>
        </w:rPr>
      </w:pPr>
      <w:r>
        <w:rPr>
          <w:rFonts w:hint="eastAsia" w:ascii="宋体" w:hAnsi="宋体" w:cs="宋体"/>
          <w:szCs w:val="21"/>
        </w:rPr>
        <w:t>宁海县环保预警平台于2018年启动，2020年10月完成验收，建设内容主要为“一数据仓、一系统、一张图 、一个导航舱”,具体内容如下：</w:t>
      </w:r>
    </w:p>
    <w:p w14:paraId="59027B02">
      <w:pPr>
        <w:spacing w:line="360" w:lineRule="auto"/>
        <w:ind w:firstLine="420" w:firstLineChars="200"/>
        <w:rPr>
          <w:rFonts w:ascii="宋体" w:hAnsi="宋体" w:cs="宋体"/>
          <w:szCs w:val="21"/>
        </w:rPr>
      </w:pPr>
      <w:r>
        <w:rPr>
          <w:rFonts w:hint="eastAsia" w:ascii="宋体" w:hAnsi="宋体" w:cs="宋体"/>
          <w:szCs w:val="21"/>
        </w:rPr>
        <w:t>一数据仓：是指环境数据采集分析模块建设。生态环境数据仓整合各类生态环境数据，为业务协同、监管和领导决策做好数据支撑。</w:t>
      </w:r>
    </w:p>
    <w:p w14:paraId="44180E51">
      <w:pPr>
        <w:spacing w:line="360" w:lineRule="auto"/>
        <w:ind w:firstLine="420" w:firstLineChars="200"/>
        <w:rPr>
          <w:rFonts w:ascii="宋体" w:hAnsi="宋体" w:cs="宋体"/>
          <w:szCs w:val="21"/>
        </w:rPr>
      </w:pPr>
      <w:r>
        <w:rPr>
          <w:rFonts w:hint="eastAsia" w:ascii="宋体" w:hAnsi="宋体" w:cs="宋体"/>
          <w:szCs w:val="21"/>
        </w:rPr>
        <w:t>一系统：一个全方位监管系统，通过环境质量预警模块、污染源360模块、远程指挥模块网络的互联互通，构建全方位、多层次、立体式的环境应急监管系统，建立更全面、更直观的智能化系统。</w:t>
      </w:r>
    </w:p>
    <w:p w14:paraId="6B0B1324">
      <w:pPr>
        <w:spacing w:line="360" w:lineRule="auto"/>
        <w:ind w:firstLine="420" w:firstLineChars="200"/>
        <w:rPr>
          <w:rFonts w:ascii="宋体" w:hAnsi="宋体" w:cs="宋体"/>
          <w:szCs w:val="21"/>
        </w:rPr>
      </w:pPr>
      <w:r>
        <w:rPr>
          <w:rFonts w:hint="eastAsia" w:ascii="宋体" w:hAnsi="宋体" w:cs="宋体"/>
          <w:szCs w:val="21"/>
        </w:rPr>
        <w:t>一张图：通过GPS定位、云计算和智能分析，形成“环保地理信息”电子图，以全县生态环境功能区块为基础，立体展示工业污染源分布及排污情况，动态显示水环境、大气等重点环境信息，实现环境污染“可视化”管理，为全县生态环境建设决策和污染源治理管控提供信息依据，实现监测实时化、监管科技化、管理数字化、教育大众化的目标。</w:t>
      </w:r>
    </w:p>
    <w:p w14:paraId="185777CC">
      <w:pPr>
        <w:spacing w:line="360" w:lineRule="auto"/>
        <w:ind w:firstLine="420" w:firstLineChars="200"/>
        <w:rPr>
          <w:rFonts w:ascii="宋体" w:hAnsi="宋体" w:cs="宋体"/>
          <w:szCs w:val="21"/>
        </w:rPr>
      </w:pPr>
      <w:r>
        <w:rPr>
          <w:rFonts w:hint="eastAsia" w:ascii="宋体" w:hAnsi="宋体" w:cs="宋体"/>
          <w:szCs w:val="21"/>
        </w:rPr>
        <w:t>一个导航舱：在环境数据采集分析模块和系统建设基础上，通过对数据进行提炼，有机结合中心工作，把各方关心的结果直接展示，需要详细信息，再可以点进去查看。方便日常工作，提高管理效率。</w:t>
      </w:r>
    </w:p>
    <w:p w14:paraId="705C12C1">
      <w:pPr>
        <w:pStyle w:val="4"/>
        <w:ind w:left="420" w:firstLine="0"/>
        <w:rPr>
          <w:rFonts w:hAnsi="宋体" w:cs="宋体"/>
          <w:b/>
          <w:sz w:val="21"/>
          <w:szCs w:val="21"/>
          <w:lang w:val="en-US"/>
        </w:rPr>
      </w:pPr>
    </w:p>
    <w:p w14:paraId="2F28DEFD">
      <w:pPr>
        <w:pStyle w:val="4"/>
        <w:ind w:left="420" w:firstLine="0"/>
        <w:rPr>
          <w:rFonts w:hAnsi="宋体" w:cs="宋体"/>
          <w:b/>
          <w:sz w:val="21"/>
          <w:szCs w:val="21"/>
          <w:lang w:val="en-US"/>
        </w:rPr>
      </w:pPr>
      <w:r>
        <w:rPr>
          <w:rFonts w:hint="eastAsia" w:hAnsi="宋体" w:cs="宋体"/>
          <w:b/>
          <w:sz w:val="21"/>
          <w:szCs w:val="21"/>
          <w:lang w:val="en-US"/>
        </w:rPr>
        <w:t>三、应用建设项目设备如下：</w:t>
      </w:r>
    </w:p>
    <w:p w14:paraId="76900C59">
      <w:pPr>
        <w:pStyle w:val="3"/>
        <w:tabs>
          <w:tab w:val="left" w:pos="425"/>
          <w:tab w:val="clear" w:pos="432"/>
        </w:tabs>
        <w:rPr>
          <w:rFonts w:ascii="宋体" w:hAnsi="宋体" w:cs="宋体"/>
          <w:sz w:val="21"/>
          <w:szCs w:val="21"/>
        </w:rPr>
      </w:pPr>
      <w:r>
        <w:rPr>
          <w:rFonts w:hint="eastAsia" w:ascii="宋体" w:hAnsi="宋体" w:cs="宋体"/>
          <w:sz w:val="21"/>
          <w:szCs w:val="21"/>
        </w:rPr>
        <w:t>3.1采购清单</w:t>
      </w:r>
    </w:p>
    <w:tbl>
      <w:tblPr>
        <w:tblStyle w:val="63"/>
        <w:tblW w:w="4919" w:type="pct"/>
        <w:tblInd w:w="0" w:type="dxa"/>
        <w:tblLayout w:type="autofit"/>
        <w:tblCellMar>
          <w:top w:w="0" w:type="dxa"/>
          <w:left w:w="108" w:type="dxa"/>
          <w:bottom w:w="0" w:type="dxa"/>
          <w:right w:w="108" w:type="dxa"/>
        </w:tblCellMar>
      </w:tblPr>
      <w:tblGrid>
        <w:gridCol w:w="1833"/>
        <w:gridCol w:w="6747"/>
      </w:tblGrid>
      <w:tr w14:paraId="4FB3AEDC">
        <w:tblPrEx>
          <w:tblCellMar>
            <w:top w:w="0" w:type="dxa"/>
            <w:left w:w="108" w:type="dxa"/>
            <w:bottom w:w="0" w:type="dxa"/>
            <w:right w:w="108" w:type="dxa"/>
          </w:tblCellMar>
        </w:tblPrEx>
        <w:trPr>
          <w:trHeight w:val="300" w:hRule="atLeast"/>
        </w:trPr>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23F85903">
            <w:pPr>
              <w:spacing w:line="360" w:lineRule="auto"/>
              <w:jc w:val="center"/>
              <w:rPr>
                <w:rFonts w:ascii="宋体" w:hAnsi="宋体" w:cs="宋体"/>
                <w:b/>
                <w:bCs/>
                <w:color w:val="000000"/>
              </w:rPr>
            </w:pPr>
            <w:r>
              <w:rPr>
                <w:rFonts w:hint="eastAsia" w:ascii="宋体" w:hAnsi="宋体" w:cs="宋体"/>
                <w:b/>
                <w:bCs/>
                <w:color w:val="000000"/>
              </w:rPr>
              <w:t>序号</w:t>
            </w:r>
          </w:p>
        </w:tc>
        <w:tc>
          <w:tcPr>
            <w:tcW w:w="3931" w:type="pct"/>
            <w:tcBorders>
              <w:top w:val="single" w:color="auto" w:sz="4" w:space="0"/>
              <w:left w:val="nil"/>
              <w:bottom w:val="single" w:color="auto" w:sz="4" w:space="0"/>
              <w:right w:val="single" w:color="auto" w:sz="4" w:space="0"/>
            </w:tcBorders>
            <w:shd w:val="clear" w:color="auto" w:fill="auto"/>
            <w:vAlign w:val="center"/>
          </w:tcPr>
          <w:p w14:paraId="51FBD199">
            <w:pPr>
              <w:spacing w:line="360" w:lineRule="auto"/>
              <w:jc w:val="center"/>
              <w:rPr>
                <w:rFonts w:ascii="宋体" w:hAnsi="宋体" w:cs="宋体"/>
                <w:b/>
                <w:bCs/>
                <w:color w:val="000000"/>
              </w:rPr>
            </w:pPr>
            <w:r>
              <w:rPr>
                <w:rFonts w:hint="eastAsia" w:ascii="宋体" w:hAnsi="宋体" w:cs="宋体"/>
                <w:b/>
                <w:bCs/>
                <w:color w:val="000000"/>
              </w:rPr>
              <w:t>项目名称</w:t>
            </w:r>
          </w:p>
        </w:tc>
      </w:tr>
      <w:tr w14:paraId="1592ACFD">
        <w:tblPrEx>
          <w:tblCellMar>
            <w:top w:w="0" w:type="dxa"/>
            <w:left w:w="108" w:type="dxa"/>
            <w:bottom w:w="0" w:type="dxa"/>
            <w:right w:w="108" w:type="dxa"/>
          </w:tblCellMar>
        </w:tblPrEx>
        <w:trPr>
          <w:trHeight w:val="300" w:hRule="atLeast"/>
        </w:trPr>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3E1435BE">
            <w:pPr>
              <w:spacing w:line="360" w:lineRule="auto"/>
              <w:jc w:val="center"/>
              <w:rPr>
                <w:rFonts w:ascii="宋体" w:hAnsi="宋体" w:cs="宋体"/>
                <w:b/>
                <w:bCs/>
                <w:color w:val="000000"/>
              </w:rPr>
            </w:pPr>
            <w:r>
              <w:rPr>
                <w:rFonts w:hint="eastAsia" w:ascii="宋体" w:hAnsi="宋体" w:cs="宋体"/>
                <w:color w:val="000000"/>
              </w:rPr>
              <w:t>（一）</w:t>
            </w:r>
          </w:p>
        </w:tc>
        <w:tc>
          <w:tcPr>
            <w:tcW w:w="3931" w:type="pct"/>
            <w:tcBorders>
              <w:top w:val="single" w:color="auto" w:sz="4" w:space="0"/>
              <w:left w:val="nil"/>
              <w:bottom w:val="single" w:color="auto" w:sz="4" w:space="0"/>
              <w:right w:val="single" w:color="auto" w:sz="4" w:space="0"/>
            </w:tcBorders>
            <w:shd w:val="clear" w:color="auto" w:fill="auto"/>
            <w:vAlign w:val="center"/>
          </w:tcPr>
          <w:p w14:paraId="7FF90837">
            <w:pPr>
              <w:spacing w:line="360" w:lineRule="auto"/>
              <w:jc w:val="center"/>
              <w:rPr>
                <w:rFonts w:ascii="宋体" w:hAnsi="宋体" w:cs="宋体"/>
                <w:b/>
                <w:bCs/>
                <w:color w:val="000000"/>
              </w:rPr>
            </w:pPr>
            <w:r>
              <w:rPr>
                <w:rFonts w:hint="eastAsia" w:ascii="宋体" w:hAnsi="宋体" w:cs="宋体"/>
                <w:color w:val="000000"/>
              </w:rPr>
              <w:t>业务应用</w:t>
            </w:r>
          </w:p>
        </w:tc>
      </w:tr>
      <w:tr w14:paraId="34C4EEFD">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48921600">
            <w:pPr>
              <w:spacing w:line="360" w:lineRule="auto"/>
              <w:jc w:val="center"/>
              <w:rPr>
                <w:rFonts w:ascii="宋体" w:hAnsi="宋体" w:cs="宋体"/>
                <w:color w:val="000000"/>
              </w:rPr>
            </w:pPr>
            <w:r>
              <w:rPr>
                <w:rFonts w:hint="eastAsia" w:ascii="宋体" w:hAnsi="宋体" w:cs="宋体"/>
                <w:color w:val="000000"/>
              </w:rPr>
              <w:t>1</w:t>
            </w:r>
          </w:p>
        </w:tc>
        <w:tc>
          <w:tcPr>
            <w:tcW w:w="3931" w:type="pct"/>
            <w:tcBorders>
              <w:top w:val="nil"/>
              <w:left w:val="nil"/>
              <w:bottom w:val="single" w:color="auto" w:sz="4" w:space="0"/>
              <w:right w:val="single" w:color="auto" w:sz="4" w:space="0"/>
            </w:tcBorders>
            <w:shd w:val="clear" w:color="auto" w:fill="auto"/>
            <w:vAlign w:val="center"/>
          </w:tcPr>
          <w:p w14:paraId="68D2E9BD">
            <w:pPr>
              <w:spacing w:line="360" w:lineRule="auto"/>
              <w:jc w:val="center"/>
              <w:rPr>
                <w:rFonts w:ascii="宋体" w:hAnsi="宋体" w:cs="宋体"/>
                <w:color w:val="000000"/>
              </w:rPr>
            </w:pPr>
            <w:r>
              <w:rPr>
                <w:rFonts w:ascii="宋体" w:hAnsi="宋体" w:cs="宋体"/>
                <w:color w:val="000000"/>
              </w:rPr>
              <w:t>污染源360监察模块（适配及升级）</w:t>
            </w:r>
          </w:p>
        </w:tc>
      </w:tr>
      <w:tr w14:paraId="217B0136">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5031705F">
            <w:pPr>
              <w:spacing w:line="360" w:lineRule="auto"/>
              <w:jc w:val="center"/>
              <w:rPr>
                <w:rFonts w:ascii="宋体" w:hAnsi="宋体" w:cs="宋体"/>
                <w:color w:val="000000"/>
              </w:rPr>
            </w:pPr>
            <w:r>
              <w:rPr>
                <w:rFonts w:hint="eastAsia" w:ascii="宋体" w:hAnsi="宋体" w:cs="宋体"/>
                <w:color w:val="000000"/>
              </w:rPr>
              <w:t>2</w:t>
            </w:r>
          </w:p>
        </w:tc>
        <w:tc>
          <w:tcPr>
            <w:tcW w:w="3931" w:type="pct"/>
            <w:tcBorders>
              <w:top w:val="nil"/>
              <w:left w:val="nil"/>
              <w:bottom w:val="single" w:color="auto" w:sz="4" w:space="0"/>
              <w:right w:val="single" w:color="auto" w:sz="4" w:space="0"/>
            </w:tcBorders>
            <w:shd w:val="clear" w:color="auto" w:fill="auto"/>
            <w:vAlign w:val="center"/>
          </w:tcPr>
          <w:p w14:paraId="75143418">
            <w:pPr>
              <w:spacing w:line="360" w:lineRule="auto"/>
              <w:jc w:val="center"/>
              <w:rPr>
                <w:rFonts w:ascii="宋体" w:hAnsi="宋体" w:cs="宋体"/>
                <w:color w:val="000000"/>
              </w:rPr>
            </w:pPr>
            <w:r>
              <w:rPr>
                <w:rFonts w:hint="eastAsia" w:ascii="宋体" w:hAnsi="宋体" w:cs="宋体"/>
                <w:color w:val="000000"/>
              </w:rPr>
              <w:t>GIS展示模块（适配）</w:t>
            </w:r>
          </w:p>
        </w:tc>
      </w:tr>
      <w:tr w14:paraId="087C2457">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62EB5D06">
            <w:pPr>
              <w:spacing w:line="360" w:lineRule="auto"/>
              <w:jc w:val="center"/>
              <w:rPr>
                <w:rFonts w:ascii="宋体" w:hAnsi="宋体" w:cs="宋体"/>
                <w:color w:val="000000"/>
              </w:rPr>
            </w:pPr>
            <w:r>
              <w:rPr>
                <w:rFonts w:hint="eastAsia" w:ascii="宋体" w:hAnsi="宋体" w:cs="宋体"/>
                <w:color w:val="000000"/>
              </w:rPr>
              <w:t>3</w:t>
            </w:r>
          </w:p>
        </w:tc>
        <w:tc>
          <w:tcPr>
            <w:tcW w:w="3931" w:type="pct"/>
            <w:tcBorders>
              <w:top w:val="nil"/>
              <w:left w:val="nil"/>
              <w:bottom w:val="single" w:color="auto" w:sz="4" w:space="0"/>
              <w:right w:val="single" w:color="auto" w:sz="4" w:space="0"/>
            </w:tcBorders>
            <w:shd w:val="clear" w:color="auto" w:fill="auto"/>
            <w:vAlign w:val="center"/>
          </w:tcPr>
          <w:p w14:paraId="4251315E">
            <w:pPr>
              <w:spacing w:line="360" w:lineRule="auto"/>
              <w:jc w:val="center"/>
              <w:rPr>
                <w:rFonts w:ascii="宋体" w:hAnsi="宋体" w:cs="宋体"/>
                <w:color w:val="000000"/>
              </w:rPr>
            </w:pPr>
            <w:r>
              <w:rPr>
                <w:rFonts w:hint="eastAsia" w:ascii="宋体" w:hAnsi="宋体" w:cs="宋体"/>
                <w:color w:val="000000"/>
              </w:rPr>
              <w:t>导航仓（适配及升级）</w:t>
            </w:r>
          </w:p>
        </w:tc>
      </w:tr>
      <w:tr w14:paraId="31100405">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571C076D">
            <w:pPr>
              <w:spacing w:line="360" w:lineRule="auto"/>
              <w:jc w:val="center"/>
              <w:rPr>
                <w:rFonts w:ascii="宋体" w:hAnsi="宋体" w:cs="宋体"/>
                <w:color w:val="000000"/>
              </w:rPr>
            </w:pPr>
            <w:r>
              <w:rPr>
                <w:rFonts w:hint="eastAsia" w:ascii="宋体" w:hAnsi="宋体" w:cs="宋体"/>
                <w:color w:val="000000"/>
              </w:rPr>
              <w:t>4</w:t>
            </w:r>
          </w:p>
        </w:tc>
        <w:tc>
          <w:tcPr>
            <w:tcW w:w="3931" w:type="pct"/>
            <w:tcBorders>
              <w:top w:val="nil"/>
              <w:left w:val="nil"/>
              <w:bottom w:val="single" w:color="auto" w:sz="4" w:space="0"/>
              <w:right w:val="single" w:color="auto" w:sz="4" w:space="0"/>
            </w:tcBorders>
            <w:shd w:val="clear" w:color="auto" w:fill="auto"/>
            <w:vAlign w:val="center"/>
          </w:tcPr>
          <w:p w14:paraId="28EA442B">
            <w:pPr>
              <w:spacing w:line="360" w:lineRule="auto"/>
              <w:jc w:val="center"/>
              <w:rPr>
                <w:rFonts w:ascii="宋体" w:hAnsi="宋体" w:cs="宋体"/>
                <w:color w:val="000000"/>
              </w:rPr>
            </w:pPr>
            <w:r>
              <w:rPr>
                <w:rFonts w:hint="eastAsia" w:ascii="宋体" w:hAnsi="宋体" w:cs="宋体"/>
                <w:color w:val="000000"/>
              </w:rPr>
              <w:t>VOCs三位一体监控预警模块（功能简化，适配）</w:t>
            </w:r>
          </w:p>
        </w:tc>
      </w:tr>
      <w:tr w14:paraId="56BCF7AC">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0E54CA12">
            <w:pPr>
              <w:spacing w:line="360" w:lineRule="auto"/>
              <w:jc w:val="center"/>
              <w:rPr>
                <w:rFonts w:ascii="宋体" w:hAnsi="宋体" w:cs="宋体"/>
                <w:color w:val="000000"/>
              </w:rPr>
            </w:pPr>
            <w:r>
              <w:rPr>
                <w:rFonts w:hint="eastAsia" w:ascii="宋体" w:hAnsi="宋体" w:cs="宋体"/>
                <w:color w:val="000000"/>
              </w:rPr>
              <w:t>5</w:t>
            </w:r>
          </w:p>
        </w:tc>
        <w:tc>
          <w:tcPr>
            <w:tcW w:w="3931" w:type="pct"/>
            <w:tcBorders>
              <w:top w:val="nil"/>
              <w:left w:val="nil"/>
              <w:bottom w:val="single" w:color="auto" w:sz="4" w:space="0"/>
              <w:right w:val="single" w:color="auto" w:sz="4" w:space="0"/>
            </w:tcBorders>
            <w:shd w:val="clear" w:color="auto" w:fill="auto"/>
            <w:vAlign w:val="center"/>
          </w:tcPr>
          <w:p w14:paraId="578CE4B1">
            <w:pPr>
              <w:spacing w:line="360" w:lineRule="auto"/>
              <w:jc w:val="center"/>
              <w:rPr>
                <w:rFonts w:ascii="宋体" w:hAnsi="宋体" w:cs="宋体"/>
                <w:color w:val="000000"/>
              </w:rPr>
            </w:pPr>
            <w:r>
              <w:rPr>
                <w:rFonts w:hint="eastAsia" w:ascii="宋体" w:hAnsi="宋体" w:cs="宋体"/>
                <w:color w:val="000000"/>
              </w:rPr>
              <w:t>深化污染源360监察平台（适配）</w:t>
            </w:r>
          </w:p>
        </w:tc>
      </w:tr>
      <w:tr w14:paraId="4672E58C">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7C3FFD85">
            <w:pPr>
              <w:spacing w:line="360" w:lineRule="auto"/>
              <w:jc w:val="center"/>
              <w:rPr>
                <w:rFonts w:ascii="宋体" w:hAnsi="宋体" w:cs="宋体"/>
                <w:color w:val="000000"/>
              </w:rPr>
            </w:pPr>
            <w:r>
              <w:rPr>
                <w:rFonts w:hint="eastAsia" w:ascii="宋体" w:hAnsi="宋体" w:cs="宋体"/>
                <w:color w:val="000000"/>
              </w:rPr>
              <w:t>6</w:t>
            </w:r>
          </w:p>
        </w:tc>
        <w:tc>
          <w:tcPr>
            <w:tcW w:w="3931" w:type="pct"/>
            <w:tcBorders>
              <w:top w:val="nil"/>
              <w:left w:val="nil"/>
              <w:bottom w:val="single" w:color="auto" w:sz="4" w:space="0"/>
              <w:right w:val="single" w:color="auto" w:sz="4" w:space="0"/>
            </w:tcBorders>
            <w:shd w:val="clear" w:color="auto" w:fill="auto"/>
            <w:vAlign w:val="center"/>
          </w:tcPr>
          <w:p w14:paraId="2C1BB3E2">
            <w:pPr>
              <w:spacing w:line="360" w:lineRule="auto"/>
              <w:jc w:val="center"/>
              <w:rPr>
                <w:rFonts w:ascii="宋体" w:hAnsi="宋体" w:cs="宋体"/>
                <w:color w:val="000000"/>
              </w:rPr>
            </w:pPr>
            <w:r>
              <w:rPr>
                <w:rFonts w:hint="eastAsia" w:ascii="宋体" w:hAnsi="宋体" w:cs="宋体"/>
                <w:color w:val="000000"/>
              </w:rPr>
              <w:t>一张环保地图（适配及升级、部分废弃）</w:t>
            </w:r>
          </w:p>
        </w:tc>
      </w:tr>
      <w:tr w14:paraId="2F4FAE45">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7585710B">
            <w:pPr>
              <w:spacing w:line="360" w:lineRule="auto"/>
              <w:jc w:val="center"/>
              <w:rPr>
                <w:rFonts w:ascii="宋体" w:hAnsi="宋体" w:cs="宋体"/>
                <w:color w:val="000000"/>
              </w:rPr>
            </w:pPr>
            <w:r>
              <w:rPr>
                <w:rFonts w:hint="eastAsia" w:ascii="宋体" w:hAnsi="宋体" w:cs="宋体"/>
                <w:color w:val="000000"/>
              </w:rPr>
              <w:t>7</w:t>
            </w:r>
          </w:p>
        </w:tc>
        <w:tc>
          <w:tcPr>
            <w:tcW w:w="3931" w:type="pct"/>
            <w:tcBorders>
              <w:top w:val="nil"/>
              <w:left w:val="nil"/>
              <w:bottom w:val="single" w:color="auto" w:sz="4" w:space="0"/>
              <w:right w:val="single" w:color="auto" w:sz="4" w:space="0"/>
            </w:tcBorders>
            <w:shd w:val="clear" w:color="auto" w:fill="auto"/>
            <w:vAlign w:val="center"/>
          </w:tcPr>
          <w:p w14:paraId="07A5D3B7">
            <w:pPr>
              <w:spacing w:line="360" w:lineRule="auto"/>
              <w:jc w:val="center"/>
              <w:rPr>
                <w:rFonts w:ascii="宋体" w:hAnsi="宋体" w:cs="宋体"/>
                <w:color w:val="000000"/>
              </w:rPr>
            </w:pPr>
            <w:r>
              <w:rPr>
                <w:rFonts w:hint="eastAsia" w:ascii="宋体" w:hAnsi="宋体" w:cs="宋体"/>
                <w:color w:val="000000"/>
              </w:rPr>
              <w:t>环境数据采集分析模块（适配）</w:t>
            </w:r>
          </w:p>
        </w:tc>
      </w:tr>
      <w:tr w14:paraId="3A75F0F2">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4946DA7B">
            <w:pPr>
              <w:spacing w:line="360" w:lineRule="auto"/>
              <w:jc w:val="center"/>
              <w:rPr>
                <w:rFonts w:ascii="宋体" w:hAnsi="宋体" w:cs="宋体"/>
                <w:color w:val="000000"/>
              </w:rPr>
            </w:pPr>
            <w:r>
              <w:rPr>
                <w:rFonts w:hint="eastAsia" w:ascii="宋体" w:hAnsi="宋体" w:cs="宋体"/>
                <w:color w:val="000000"/>
              </w:rPr>
              <w:t>8</w:t>
            </w:r>
          </w:p>
        </w:tc>
        <w:tc>
          <w:tcPr>
            <w:tcW w:w="3931" w:type="pct"/>
            <w:tcBorders>
              <w:top w:val="nil"/>
              <w:left w:val="nil"/>
              <w:bottom w:val="single" w:color="auto" w:sz="4" w:space="0"/>
              <w:right w:val="single" w:color="auto" w:sz="4" w:space="0"/>
            </w:tcBorders>
            <w:shd w:val="clear" w:color="auto" w:fill="auto"/>
            <w:vAlign w:val="center"/>
          </w:tcPr>
          <w:p w14:paraId="1C72C294">
            <w:pPr>
              <w:spacing w:line="360" w:lineRule="auto"/>
              <w:jc w:val="center"/>
              <w:rPr>
                <w:rFonts w:ascii="宋体" w:hAnsi="宋体" w:cs="宋体"/>
                <w:color w:val="000000"/>
              </w:rPr>
            </w:pPr>
            <w:r>
              <w:rPr>
                <w:rFonts w:hint="eastAsia" w:ascii="宋体" w:hAnsi="宋体" w:cs="宋体"/>
                <w:color w:val="000000"/>
              </w:rPr>
              <w:t>常规六因子大气环境质量模块（适配及升级）</w:t>
            </w:r>
          </w:p>
        </w:tc>
      </w:tr>
      <w:tr w14:paraId="69D659FA">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39F68F2F">
            <w:pPr>
              <w:spacing w:line="360" w:lineRule="auto"/>
              <w:jc w:val="center"/>
              <w:rPr>
                <w:rFonts w:ascii="宋体" w:hAnsi="宋体" w:cs="宋体"/>
                <w:color w:val="000000"/>
              </w:rPr>
            </w:pPr>
            <w:r>
              <w:rPr>
                <w:rFonts w:hint="eastAsia" w:ascii="宋体" w:hAnsi="宋体" w:cs="宋体"/>
                <w:color w:val="000000"/>
              </w:rPr>
              <w:t>9</w:t>
            </w:r>
          </w:p>
        </w:tc>
        <w:tc>
          <w:tcPr>
            <w:tcW w:w="3931" w:type="pct"/>
            <w:tcBorders>
              <w:top w:val="nil"/>
              <w:left w:val="nil"/>
              <w:bottom w:val="single" w:color="auto" w:sz="4" w:space="0"/>
              <w:right w:val="single" w:color="auto" w:sz="4" w:space="0"/>
            </w:tcBorders>
            <w:shd w:val="clear" w:color="auto" w:fill="auto"/>
            <w:vAlign w:val="center"/>
          </w:tcPr>
          <w:p w14:paraId="626CBB25">
            <w:pPr>
              <w:spacing w:line="360" w:lineRule="auto"/>
              <w:jc w:val="center"/>
              <w:rPr>
                <w:rFonts w:ascii="宋体" w:hAnsi="宋体" w:cs="宋体"/>
                <w:color w:val="000000"/>
              </w:rPr>
            </w:pPr>
            <w:r>
              <w:rPr>
                <w:rFonts w:hint="eastAsia" w:ascii="宋体" w:hAnsi="宋体" w:cs="宋体"/>
                <w:color w:val="000000"/>
              </w:rPr>
              <w:t>水环境质量监控预警模块（适配）</w:t>
            </w:r>
          </w:p>
        </w:tc>
      </w:tr>
      <w:tr w14:paraId="4D25A882">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7CECEAB2">
            <w:pPr>
              <w:spacing w:line="360" w:lineRule="auto"/>
              <w:jc w:val="center"/>
              <w:rPr>
                <w:rFonts w:ascii="宋体" w:hAnsi="宋体" w:cs="宋体"/>
                <w:color w:val="000000"/>
              </w:rPr>
            </w:pPr>
            <w:r>
              <w:rPr>
                <w:rFonts w:hint="eastAsia" w:ascii="宋体" w:hAnsi="宋体" w:cs="宋体"/>
                <w:color w:val="000000"/>
              </w:rPr>
              <w:t>10</w:t>
            </w:r>
          </w:p>
        </w:tc>
        <w:tc>
          <w:tcPr>
            <w:tcW w:w="3931" w:type="pct"/>
            <w:tcBorders>
              <w:top w:val="nil"/>
              <w:left w:val="nil"/>
              <w:bottom w:val="single" w:color="auto" w:sz="4" w:space="0"/>
              <w:right w:val="single" w:color="auto" w:sz="4" w:space="0"/>
            </w:tcBorders>
            <w:shd w:val="clear" w:color="auto" w:fill="auto"/>
            <w:vAlign w:val="center"/>
          </w:tcPr>
          <w:p w14:paraId="2BF91A8C">
            <w:pPr>
              <w:spacing w:line="360" w:lineRule="auto"/>
              <w:jc w:val="center"/>
              <w:rPr>
                <w:rFonts w:ascii="宋体" w:hAnsi="宋体" w:cs="宋体"/>
                <w:color w:val="000000"/>
              </w:rPr>
            </w:pPr>
            <w:r>
              <w:rPr>
                <w:rFonts w:hint="eastAsia" w:ascii="宋体" w:hAnsi="宋体" w:cs="宋体"/>
                <w:color w:val="000000"/>
              </w:rPr>
              <w:t>噪声环境模块（适配）</w:t>
            </w:r>
          </w:p>
        </w:tc>
      </w:tr>
      <w:tr w14:paraId="109A1EE5">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38BD1442">
            <w:pPr>
              <w:spacing w:line="360" w:lineRule="auto"/>
              <w:jc w:val="center"/>
              <w:rPr>
                <w:rFonts w:ascii="宋体" w:hAnsi="宋体" w:cs="宋体"/>
                <w:color w:val="000000"/>
              </w:rPr>
            </w:pPr>
            <w:r>
              <w:rPr>
                <w:rFonts w:hint="eastAsia" w:ascii="宋体" w:hAnsi="宋体" w:cs="宋体"/>
                <w:color w:val="000000"/>
              </w:rPr>
              <w:t>11</w:t>
            </w:r>
          </w:p>
        </w:tc>
        <w:tc>
          <w:tcPr>
            <w:tcW w:w="3931" w:type="pct"/>
            <w:tcBorders>
              <w:top w:val="nil"/>
              <w:left w:val="nil"/>
              <w:bottom w:val="single" w:color="auto" w:sz="4" w:space="0"/>
              <w:right w:val="single" w:color="auto" w:sz="4" w:space="0"/>
            </w:tcBorders>
            <w:shd w:val="clear" w:color="auto" w:fill="auto"/>
            <w:vAlign w:val="center"/>
          </w:tcPr>
          <w:p w14:paraId="2730C950">
            <w:pPr>
              <w:spacing w:line="360" w:lineRule="auto"/>
              <w:jc w:val="center"/>
              <w:rPr>
                <w:rFonts w:ascii="宋体" w:hAnsi="宋体" w:cs="宋体"/>
                <w:color w:val="000000"/>
              </w:rPr>
            </w:pPr>
            <w:r>
              <w:rPr>
                <w:rFonts w:hint="eastAsia" w:ascii="宋体" w:hAnsi="宋体" w:cs="宋体"/>
                <w:color w:val="000000"/>
              </w:rPr>
              <w:t>远程指挥调度决策模块（适配及升级）</w:t>
            </w:r>
          </w:p>
        </w:tc>
      </w:tr>
      <w:tr w14:paraId="73394F80">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58BC030A">
            <w:pPr>
              <w:spacing w:line="360" w:lineRule="auto"/>
              <w:jc w:val="center"/>
              <w:rPr>
                <w:rFonts w:ascii="宋体" w:hAnsi="宋体" w:cs="宋体"/>
                <w:color w:val="000000"/>
              </w:rPr>
            </w:pPr>
            <w:r>
              <w:rPr>
                <w:rFonts w:hint="eastAsia" w:ascii="宋体" w:hAnsi="宋体" w:cs="宋体"/>
                <w:color w:val="000000"/>
              </w:rPr>
              <w:t>12</w:t>
            </w:r>
          </w:p>
        </w:tc>
        <w:tc>
          <w:tcPr>
            <w:tcW w:w="3931" w:type="pct"/>
            <w:tcBorders>
              <w:top w:val="nil"/>
              <w:left w:val="nil"/>
              <w:bottom w:val="single" w:color="auto" w:sz="4" w:space="0"/>
              <w:right w:val="single" w:color="auto" w:sz="4" w:space="0"/>
            </w:tcBorders>
            <w:shd w:val="clear" w:color="auto" w:fill="auto"/>
            <w:vAlign w:val="center"/>
          </w:tcPr>
          <w:p w14:paraId="49A8551B">
            <w:pPr>
              <w:spacing w:line="360" w:lineRule="auto"/>
              <w:jc w:val="center"/>
              <w:rPr>
                <w:rFonts w:ascii="宋体" w:hAnsi="宋体" w:cs="宋体"/>
                <w:color w:val="000000"/>
              </w:rPr>
            </w:pPr>
            <w:r>
              <w:rPr>
                <w:rFonts w:hint="eastAsia" w:ascii="宋体" w:hAnsi="宋体" w:cs="宋体"/>
                <w:color w:val="000000"/>
              </w:rPr>
              <w:t>移动执法系统整合对接（数据保留，迁移）</w:t>
            </w:r>
          </w:p>
        </w:tc>
      </w:tr>
      <w:tr w14:paraId="032F24F9">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33B5135A">
            <w:pPr>
              <w:spacing w:line="360" w:lineRule="auto"/>
              <w:jc w:val="center"/>
              <w:rPr>
                <w:rFonts w:ascii="宋体" w:hAnsi="宋体" w:cs="宋体"/>
                <w:color w:val="000000"/>
              </w:rPr>
            </w:pPr>
            <w:r>
              <w:rPr>
                <w:rFonts w:hint="eastAsia" w:ascii="宋体" w:hAnsi="宋体" w:cs="宋体"/>
                <w:color w:val="000000"/>
              </w:rPr>
              <w:t>13</w:t>
            </w:r>
          </w:p>
        </w:tc>
        <w:tc>
          <w:tcPr>
            <w:tcW w:w="3931" w:type="pct"/>
            <w:tcBorders>
              <w:top w:val="nil"/>
              <w:left w:val="nil"/>
              <w:bottom w:val="single" w:color="auto" w:sz="4" w:space="0"/>
              <w:right w:val="single" w:color="auto" w:sz="4" w:space="0"/>
            </w:tcBorders>
            <w:shd w:val="clear" w:color="auto" w:fill="auto"/>
            <w:vAlign w:val="center"/>
          </w:tcPr>
          <w:p w14:paraId="0C51712E">
            <w:pPr>
              <w:spacing w:line="360" w:lineRule="auto"/>
              <w:jc w:val="center"/>
              <w:rPr>
                <w:rFonts w:ascii="宋体" w:hAnsi="宋体" w:cs="宋体"/>
                <w:color w:val="000000"/>
              </w:rPr>
            </w:pPr>
            <w:r>
              <w:rPr>
                <w:rFonts w:hint="eastAsia" w:ascii="宋体" w:hAnsi="宋体" w:cs="宋体"/>
                <w:color w:val="000000"/>
              </w:rPr>
              <w:t>核与辐射环境模块（适配）</w:t>
            </w:r>
          </w:p>
        </w:tc>
      </w:tr>
      <w:tr w14:paraId="381465DF">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79B72022">
            <w:pPr>
              <w:spacing w:line="360" w:lineRule="auto"/>
              <w:jc w:val="center"/>
              <w:rPr>
                <w:rFonts w:ascii="宋体" w:hAnsi="宋体" w:cs="宋体"/>
                <w:color w:val="000000"/>
              </w:rPr>
            </w:pPr>
            <w:r>
              <w:rPr>
                <w:rFonts w:hint="eastAsia" w:ascii="宋体" w:hAnsi="宋体" w:cs="宋体"/>
                <w:color w:val="000000"/>
              </w:rPr>
              <w:t>14</w:t>
            </w:r>
          </w:p>
        </w:tc>
        <w:tc>
          <w:tcPr>
            <w:tcW w:w="3931" w:type="pct"/>
            <w:tcBorders>
              <w:top w:val="nil"/>
              <w:left w:val="nil"/>
              <w:bottom w:val="single" w:color="auto" w:sz="4" w:space="0"/>
              <w:right w:val="single" w:color="auto" w:sz="4" w:space="0"/>
            </w:tcBorders>
            <w:shd w:val="clear" w:color="auto" w:fill="auto"/>
            <w:vAlign w:val="center"/>
          </w:tcPr>
          <w:p w14:paraId="0CE7E1D0">
            <w:pPr>
              <w:spacing w:line="360" w:lineRule="auto"/>
              <w:jc w:val="center"/>
              <w:rPr>
                <w:rFonts w:ascii="宋体" w:hAnsi="宋体" w:cs="宋体"/>
                <w:color w:val="000000"/>
              </w:rPr>
            </w:pPr>
            <w:r>
              <w:rPr>
                <w:rFonts w:hint="eastAsia" w:ascii="宋体" w:hAnsi="宋体" w:cs="宋体"/>
                <w:color w:val="000000"/>
              </w:rPr>
              <w:t>固废收运监管系统</w:t>
            </w:r>
          </w:p>
        </w:tc>
      </w:tr>
      <w:tr w14:paraId="0B5E2302">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09A74A64">
            <w:pPr>
              <w:spacing w:line="360" w:lineRule="auto"/>
              <w:jc w:val="center"/>
              <w:rPr>
                <w:rFonts w:ascii="宋体" w:hAnsi="宋体" w:cs="宋体"/>
                <w:color w:val="000000"/>
              </w:rPr>
            </w:pPr>
            <w:r>
              <w:rPr>
                <w:rFonts w:hint="eastAsia" w:ascii="宋体" w:hAnsi="宋体" w:cs="宋体"/>
                <w:color w:val="000000"/>
              </w:rPr>
              <w:t>15</w:t>
            </w:r>
          </w:p>
        </w:tc>
        <w:tc>
          <w:tcPr>
            <w:tcW w:w="3931" w:type="pct"/>
            <w:tcBorders>
              <w:top w:val="nil"/>
              <w:left w:val="nil"/>
              <w:bottom w:val="single" w:color="auto" w:sz="4" w:space="0"/>
              <w:right w:val="single" w:color="auto" w:sz="4" w:space="0"/>
            </w:tcBorders>
            <w:shd w:val="clear" w:color="auto" w:fill="auto"/>
            <w:vAlign w:val="center"/>
          </w:tcPr>
          <w:p w14:paraId="11F04495">
            <w:pPr>
              <w:spacing w:line="360" w:lineRule="auto"/>
              <w:jc w:val="center"/>
              <w:rPr>
                <w:rFonts w:ascii="宋体" w:hAnsi="宋体" w:cs="宋体"/>
                <w:color w:val="000000"/>
              </w:rPr>
            </w:pPr>
            <w:r>
              <w:rPr>
                <w:rFonts w:hint="eastAsia" w:ascii="宋体" w:hAnsi="宋体" w:cs="宋体"/>
                <w:color w:val="000000"/>
              </w:rPr>
              <w:t>固废收运服务系统</w:t>
            </w:r>
          </w:p>
        </w:tc>
      </w:tr>
      <w:tr w14:paraId="6BE66563">
        <w:tblPrEx>
          <w:tblCellMar>
            <w:top w:w="0" w:type="dxa"/>
            <w:left w:w="108" w:type="dxa"/>
            <w:bottom w:w="0" w:type="dxa"/>
            <w:right w:w="108" w:type="dxa"/>
          </w:tblCellMar>
        </w:tblPrEx>
        <w:trPr>
          <w:trHeight w:val="310" w:hRule="atLeast"/>
        </w:trPr>
        <w:tc>
          <w:tcPr>
            <w:tcW w:w="1068" w:type="pct"/>
            <w:tcBorders>
              <w:top w:val="nil"/>
              <w:left w:val="single" w:color="auto" w:sz="4" w:space="0"/>
              <w:bottom w:val="single" w:color="auto" w:sz="4" w:space="0"/>
              <w:right w:val="single" w:color="auto" w:sz="4" w:space="0"/>
            </w:tcBorders>
            <w:shd w:val="clear" w:color="auto" w:fill="auto"/>
            <w:vAlign w:val="center"/>
          </w:tcPr>
          <w:p w14:paraId="31DBD822">
            <w:pPr>
              <w:spacing w:line="360" w:lineRule="auto"/>
              <w:jc w:val="center"/>
              <w:rPr>
                <w:rFonts w:ascii="宋体" w:hAnsi="宋体" w:cs="宋体"/>
                <w:color w:val="000000"/>
              </w:rPr>
            </w:pPr>
            <w:r>
              <w:rPr>
                <w:rFonts w:hint="eastAsia" w:ascii="宋体" w:hAnsi="宋体" w:cs="宋体"/>
                <w:color w:val="000000"/>
              </w:rPr>
              <w:t>（二）</w:t>
            </w:r>
          </w:p>
        </w:tc>
        <w:tc>
          <w:tcPr>
            <w:tcW w:w="3931" w:type="pct"/>
            <w:tcBorders>
              <w:top w:val="nil"/>
              <w:left w:val="nil"/>
              <w:bottom w:val="single" w:color="auto" w:sz="4" w:space="0"/>
              <w:right w:val="single" w:color="auto" w:sz="4" w:space="0"/>
            </w:tcBorders>
            <w:shd w:val="clear" w:color="auto" w:fill="auto"/>
            <w:noWrap/>
            <w:vAlign w:val="center"/>
          </w:tcPr>
          <w:p w14:paraId="42375B43">
            <w:pPr>
              <w:spacing w:line="360" w:lineRule="auto"/>
              <w:jc w:val="center"/>
              <w:rPr>
                <w:rFonts w:ascii="宋体" w:hAnsi="宋体" w:cs="宋体"/>
                <w:color w:val="000000"/>
              </w:rPr>
            </w:pPr>
            <w:r>
              <w:rPr>
                <w:rFonts w:hint="eastAsia" w:ascii="宋体" w:hAnsi="宋体" w:cs="宋体"/>
                <w:color w:val="000000"/>
              </w:rPr>
              <w:t>基础设施层设计</w:t>
            </w:r>
          </w:p>
        </w:tc>
      </w:tr>
      <w:tr w14:paraId="029E1989">
        <w:tblPrEx>
          <w:tblCellMar>
            <w:top w:w="0" w:type="dxa"/>
            <w:left w:w="108" w:type="dxa"/>
            <w:bottom w:w="0" w:type="dxa"/>
            <w:right w:w="108" w:type="dxa"/>
          </w:tblCellMar>
        </w:tblPrEx>
        <w:trPr>
          <w:trHeight w:val="310" w:hRule="atLeast"/>
        </w:trPr>
        <w:tc>
          <w:tcPr>
            <w:tcW w:w="1068" w:type="pct"/>
            <w:tcBorders>
              <w:top w:val="single" w:color="auto" w:sz="4" w:space="0"/>
              <w:left w:val="single" w:color="auto" w:sz="4" w:space="0"/>
              <w:bottom w:val="single" w:color="auto" w:sz="4" w:space="0"/>
              <w:right w:val="nil"/>
            </w:tcBorders>
            <w:shd w:val="clear" w:color="auto" w:fill="auto"/>
            <w:vAlign w:val="center"/>
          </w:tcPr>
          <w:p w14:paraId="6776AE69">
            <w:pPr>
              <w:spacing w:line="360" w:lineRule="auto"/>
              <w:jc w:val="center"/>
              <w:rPr>
                <w:rFonts w:ascii="宋体" w:hAnsi="宋体" w:cs="宋体"/>
                <w:color w:val="000000"/>
              </w:rPr>
            </w:pPr>
            <w:r>
              <w:rPr>
                <w:rFonts w:hint="eastAsia" w:ascii="宋体" w:hAnsi="宋体" w:cs="宋体"/>
                <w:color w:val="000000"/>
              </w:rPr>
              <w:t>1</w:t>
            </w:r>
          </w:p>
        </w:tc>
        <w:tc>
          <w:tcPr>
            <w:tcW w:w="3931" w:type="pct"/>
            <w:tcBorders>
              <w:top w:val="single" w:color="auto" w:sz="4" w:space="0"/>
              <w:left w:val="nil"/>
              <w:bottom w:val="single" w:color="auto" w:sz="4" w:space="0"/>
              <w:right w:val="single" w:color="auto" w:sz="4" w:space="0"/>
            </w:tcBorders>
            <w:shd w:val="clear" w:color="auto" w:fill="auto"/>
            <w:noWrap/>
            <w:vAlign w:val="center"/>
          </w:tcPr>
          <w:p w14:paraId="7CCFDB86">
            <w:pPr>
              <w:spacing w:line="360" w:lineRule="auto"/>
              <w:jc w:val="center"/>
              <w:rPr>
                <w:rFonts w:ascii="宋体" w:hAnsi="宋体" w:cs="宋体"/>
                <w:color w:val="000000"/>
              </w:rPr>
            </w:pPr>
            <w:r>
              <w:rPr>
                <w:rFonts w:hint="eastAsia" w:ascii="宋体" w:hAnsi="宋体" w:cs="宋体"/>
                <w:color w:val="000000"/>
              </w:rPr>
              <w:t>国产操作系统</w:t>
            </w:r>
          </w:p>
        </w:tc>
      </w:tr>
      <w:tr w14:paraId="1BBA57AB">
        <w:tblPrEx>
          <w:tblCellMar>
            <w:top w:w="0" w:type="dxa"/>
            <w:left w:w="108" w:type="dxa"/>
            <w:bottom w:w="0" w:type="dxa"/>
            <w:right w:w="108" w:type="dxa"/>
          </w:tblCellMar>
        </w:tblPrEx>
        <w:trPr>
          <w:trHeight w:val="310" w:hRule="atLeast"/>
        </w:trPr>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7B3494C1">
            <w:pPr>
              <w:spacing w:line="360" w:lineRule="auto"/>
              <w:jc w:val="center"/>
              <w:rPr>
                <w:rFonts w:ascii="宋体" w:hAnsi="宋体" w:cs="宋体"/>
                <w:color w:val="000000"/>
              </w:rPr>
            </w:pPr>
            <w:r>
              <w:rPr>
                <w:rFonts w:hint="eastAsia" w:ascii="宋体" w:hAnsi="宋体" w:cs="宋体"/>
                <w:color w:val="000000"/>
              </w:rPr>
              <w:t>2</w:t>
            </w:r>
          </w:p>
        </w:tc>
        <w:tc>
          <w:tcPr>
            <w:tcW w:w="3931" w:type="pct"/>
            <w:tcBorders>
              <w:top w:val="single" w:color="auto" w:sz="4" w:space="0"/>
              <w:left w:val="nil"/>
              <w:bottom w:val="single" w:color="auto" w:sz="4" w:space="0"/>
              <w:right w:val="single" w:color="auto" w:sz="4" w:space="0"/>
            </w:tcBorders>
            <w:shd w:val="clear" w:color="auto" w:fill="auto"/>
            <w:noWrap/>
            <w:vAlign w:val="center"/>
          </w:tcPr>
          <w:p w14:paraId="410C2908">
            <w:pPr>
              <w:spacing w:line="360" w:lineRule="auto"/>
              <w:jc w:val="center"/>
              <w:rPr>
                <w:rFonts w:ascii="宋体" w:hAnsi="宋体" w:cs="宋体"/>
                <w:color w:val="000000"/>
              </w:rPr>
            </w:pPr>
            <w:r>
              <w:rPr>
                <w:rFonts w:hint="eastAsia" w:ascii="宋体" w:hAnsi="宋体" w:cs="宋体"/>
                <w:color w:val="000000"/>
              </w:rPr>
              <w:t>国产数据库</w:t>
            </w:r>
          </w:p>
        </w:tc>
      </w:tr>
      <w:tr w14:paraId="2A2A1A05">
        <w:tblPrEx>
          <w:tblCellMar>
            <w:top w:w="0" w:type="dxa"/>
            <w:left w:w="108" w:type="dxa"/>
            <w:bottom w:w="0" w:type="dxa"/>
            <w:right w:w="108" w:type="dxa"/>
          </w:tblCellMar>
        </w:tblPrEx>
        <w:trPr>
          <w:trHeight w:val="333" w:hRule="atLeast"/>
        </w:trPr>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4FAFC245">
            <w:pPr>
              <w:spacing w:line="360" w:lineRule="auto"/>
              <w:jc w:val="center"/>
              <w:rPr>
                <w:rFonts w:ascii="宋体" w:hAnsi="宋体" w:cs="宋体"/>
                <w:color w:val="000000"/>
              </w:rPr>
            </w:pPr>
            <w:r>
              <w:rPr>
                <w:rFonts w:hint="eastAsia" w:ascii="宋体" w:hAnsi="宋体" w:cs="宋体"/>
                <w:color w:val="000000"/>
              </w:rPr>
              <w:t>(三)</w:t>
            </w:r>
          </w:p>
        </w:tc>
        <w:tc>
          <w:tcPr>
            <w:tcW w:w="3931" w:type="pct"/>
            <w:tcBorders>
              <w:top w:val="single" w:color="auto" w:sz="4" w:space="0"/>
              <w:left w:val="nil"/>
              <w:bottom w:val="single" w:color="auto" w:sz="4" w:space="0"/>
              <w:right w:val="single" w:color="auto" w:sz="4" w:space="0"/>
            </w:tcBorders>
            <w:shd w:val="clear" w:color="auto" w:fill="auto"/>
            <w:noWrap/>
            <w:vAlign w:val="center"/>
          </w:tcPr>
          <w:p w14:paraId="1D6E8840">
            <w:pPr>
              <w:spacing w:line="360" w:lineRule="auto"/>
              <w:jc w:val="center"/>
              <w:rPr>
                <w:rFonts w:ascii="宋体" w:hAnsi="宋体" w:cs="宋体"/>
                <w:color w:val="000000"/>
              </w:rPr>
            </w:pPr>
            <w:r>
              <w:rPr>
                <w:rFonts w:hint="eastAsia" w:ascii="宋体" w:hAnsi="宋体" w:cs="宋体"/>
                <w:color w:val="000000"/>
              </w:rPr>
              <w:t>接口费建设</w:t>
            </w:r>
          </w:p>
        </w:tc>
      </w:tr>
      <w:tr w14:paraId="13D5D7FA">
        <w:tblPrEx>
          <w:tblCellMar>
            <w:top w:w="0" w:type="dxa"/>
            <w:left w:w="108" w:type="dxa"/>
            <w:bottom w:w="0" w:type="dxa"/>
            <w:right w:w="108" w:type="dxa"/>
          </w:tblCellMar>
        </w:tblPrEx>
        <w:trPr>
          <w:trHeight w:val="333" w:hRule="atLeast"/>
        </w:trPr>
        <w:tc>
          <w:tcPr>
            <w:tcW w:w="1068" w:type="pct"/>
            <w:tcBorders>
              <w:top w:val="single" w:color="auto" w:sz="4" w:space="0"/>
              <w:left w:val="single" w:color="auto" w:sz="4" w:space="0"/>
              <w:bottom w:val="single" w:color="auto" w:sz="4" w:space="0"/>
              <w:right w:val="single" w:color="auto" w:sz="4" w:space="0"/>
            </w:tcBorders>
            <w:shd w:val="clear" w:color="auto" w:fill="auto"/>
            <w:vAlign w:val="center"/>
          </w:tcPr>
          <w:p w14:paraId="607A1A66">
            <w:pPr>
              <w:spacing w:line="360" w:lineRule="auto"/>
              <w:jc w:val="center"/>
              <w:rPr>
                <w:rFonts w:ascii="宋体" w:hAnsi="宋体" w:cs="宋体"/>
                <w:color w:val="000000"/>
              </w:rPr>
            </w:pPr>
            <w:r>
              <w:rPr>
                <w:rFonts w:hint="eastAsia" w:ascii="宋体" w:hAnsi="宋体" w:cs="宋体"/>
                <w:color w:val="000000"/>
              </w:rPr>
              <w:t>1</w:t>
            </w:r>
          </w:p>
        </w:tc>
        <w:tc>
          <w:tcPr>
            <w:tcW w:w="3931" w:type="pct"/>
            <w:tcBorders>
              <w:top w:val="single" w:color="auto" w:sz="4" w:space="0"/>
              <w:left w:val="nil"/>
              <w:bottom w:val="single" w:color="auto" w:sz="4" w:space="0"/>
              <w:right w:val="single" w:color="auto" w:sz="4" w:space="0"/>
            </w:tcBorders>
            <w:shd w:val="clear" w:color="auto" w:fill="auto"/>
            <w:noWrap/>
            <w:vAlign w:val="center"/>
          </w:tcPr>
          <w:p w14:paraId="5625E2A8">
            <w:pPr>
              <w:spacing w:line="360" w:lineRule="auto"/>
              <w:jc w:val="center"/>
              <w:rPr>
                <w:rFonts w:ascii="宋体" w:hAnsi="宋体" w:cs="宋体"/>
                <w:color w:val="000000"/>
              </w:rPr>
            </w:pPr>
            <w:r>
              <w:rPr>
                <w:rFonts w:hint="eastAsia" w:ascii="宋体" w:hAnsi="宋体" w:cs="宋体"/>
                <w:color w:val="000000"/>
                <w:kern w:val="0"/>
                <w:szCs w:val="21"/>
                <w:lang w:bidi="ar"/>
              </w:rPr>
              <w:t>阿凡达红葫芦</w:t>
            </w:r>
          </w:p>
        </w:tc>
      </w:tr>
    </w:tbl>
    <w:p w14:paraId="3DB00584">
      <w:pPr>
        <w:pStyle w:val="4"/>
        <w:ind w:firstLine="0"/>
        <w:rPr>
          <w:sz w:val="21"/>
          <w:szCs w:val="21"/>
        </w:rPr>
      </w:pPr>
    </w:p>
    <w:p w14:paraId="32F11283">
      <w:pPr>
        <w:spacing w:line="360" w:lineRule="auto"/>
        <w:outlineLvl w:val="2"/>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四、功能需求</w:t>
      </w:r>
    </w:p>
    <w:p w14:paraId="5BD1C3FA">
      <w:pPr>
        <w:spacing w:line="360" w:lineRule="auto"/>
        <w:outlineLvl w:val="3"/>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 业务应用层设计需求</w:t>
      </w:r>
    </w:p>
    <w:p w14:paraId="3E13B122">
      <w:pPr>
        <w:widowControl/>
        <w:spacing w:line="360" w:lineRule="auto"/>
        <w:ind w:firstLine="420" w:firstLineChars="200"/>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rPr>
        <w:t>本次项目将宁海县环保预警平台对各应用的业务流程和功能模块等进行改造。在执法过程中，系统可以直接调用大模型进行智能问答，大模型支持法律法规、行业标准、技术指南等文件的学习训练，执法人员可以通过问答的形式了解法律法规等问题。为了规范执法行为，系统支持设置现场勘察笔录、调查询问笔录文书的模板，执法人员现场制作文书时可调取模板快速完成笔录制作等。</w:t>
      </w:r>
    </w:p>
    <w:p w14:paraId="15A2E8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具体内容如下表所示：</w:t>
      </w:r>
    </w:p>
    <w:tbl>
      <w:tblPr>
        <w:tblStyle w:val="925"/>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988"/>
        <w:gridCol w:w="1094"/>
        <w:gridCol w:w="4741"/>
        <w:gridCol w:w="1104"/>
      </w:tblGrid>
      <w:tr w14:paraId="4D79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 w:type="pct"/>
            <w:vAlign w:val="center"/>
          </w:tcPr>
          <w:p w14:paraId="5774D9F9">
            <w:pPr>
              <w:jc w:val="center"/>
              <w:rPr>
                <w:rFonts w:asciiTheme="minorEastAsia" w:hAnsiTheme="minorEastAsia" w:eastAsiaTheme="minorEastAsia" w:cstheme="minorEastAsia"/>
                <w:b/>
                <w:bCs/>
                <w:kern w:val="0"/>
                <w:szCs w:val="21"/>
                <w14:ligatures w14:val="standardContextual"/>
              </w:rPr>
            </w:pPr>
            <w:r>
              <w:rPr>
                <w:rFonts w:hint="eastAsia" w:asciiTheme="minorEastAsia" w:hAnsiTheme="minorEastAsia" w:eastAsiaTheme="minorEastAsia" w:cstheme="minorEastAsia"/>
                <w:b/>
                <w:bCs/>
                <w:kern w:val="0"/>
                <w:szCs w:val="21"/>
                <w14:ligatures w14:val="standardContextual"/>
              </w:rPr>
              <w:t>序号</w:t>
            </w:r>
          </w:p>
        </w:tc>
        <w:tc>
          <w:tcPr>
            <w:tcW w:w="1046" w:type="pct"/>
            <w:vAlign w:val="center"/>
          </w:tcPr>
          <w:p w14:paraId="0588D3FC">
            <w:pPr>
              <w:jc w:val="center"/>
              <w:rPr>
                <w:rFonts w:asciiTheme="minorEastAsia" w:hAnsiTheme="minorEastAsia" w:eastAsiaTheme="minorEastAsia" w:cstheme="minorEastAsia"/>
                <w:b/>
                <w:bCs/>
                <w:kern w:val="0"/>
                <w:szCs w:val="21"/>
                <w14:ligatures w14:val="standardContextual"/>
              </w:rPr>
            </w:pPr>
            <w:r>
              <w:rPr>
                <w:rFonts w:hint="eastAsia" w:asciiTheme="minorEastAsia" w:hAnsiTheme="minorEastAsia" w:eastAsiaTheme="minorEastAsia" w:cstheme="minorEastAsia"/>
                <w:b/>
                <w:bCs/>
                <w:kern w:val="0"/>
                <w:szCs w:val="21"/>
                <w14:ligatures w14:val="standardContextual"/>
              </w:rPr>
              <w:t>模块</w:t>
            </w:r>
          </w:p>
        </w:tc>
        <w:tc>
          <w:tcPr>
            <w:tcW w:w="577" w:type="pct"/>
            <w:vAlign w:val="center"/>
          </w:tcPr>
          <w:p w14:paraId="2A32571F">
            <w:pPr>
              <w:jc w:val="center"/>
              <w:rPr>
                <w:rFonts w:asciiTheme="minorEastAsia" w:hAnsiTheme="minorEastAsia" w:eastAsiaTheme="minorEastAsia" w:cstheme="minorEastAsia"/>
                <w:b/>
                <w:bCs/>
                <w:kern w:val="0"/>
                <w:szCs w:val="21"/>
                <w14:ligatures w14:val="standardContextual"/>
              </w:rPr>
            </w:pPr>
            <w:r>
              <w:rPr>
                <w:rFonts w:hint="eastAsia" w:asciiTheme="minorEastAsia" w:hAnsiTheme="minorEastAsia" w:eastAsiaTheme="minorEastAsia" w:cstheme="minorEastAsia"/>
                <w:b/>
                <w:bCs/>
                <w:kern w:val="0"/>
                <w:szCs w:val="21"/>
                <w14:ligatures w14:val="standardContextual"/>
              </w:rPr>
              <w:t>建设性质</w:t>
            </w:r>
          </w:p>
        </w:tc>
        <w:tc>
          <w:tcPr>
            <w:tcW w:w="2498" w:type="pct"/>
            <w:shd w:val="clear" w:color="auto" w:fill="auto"/>
            <w:vAlign w:val="center"/>
          </w:tcPr>
          <w:p w14:paraId="6A755090">
            <w:pPr>
              <w:jc w:val="center"/>
              <w:rPr>
                <w:rFonts w:asciiTheme="minorEastAsia" w:hAnsiTheme="minorEastAsia" w:eastAsiaTheme="minorEastAsia" w:cstheme="minorEastAsia"/>
                <w:b/>
                <w:bCs/>
                <w:kern w:val="0"/>
                <w:szCs w:val="21"/>
                <w14:ligatures w14:val="standardContextual"/>
              </w:rPr>
            </w:pPr>
            <w:r>
              <w:rPr>
                <w:rFonts w:hint="eastAsia" w:asciiTheme="minorEastAsia" w:hAnsiTheme="minorEastAsia" w:eastAsiaTheme="minorEastAsia" w:cstheme="minorEastAsia"/>
                <w:b/>
                <w:bCs/>
                <w:kern w:val="0"/>
                <w:szCs w:val="21"/>
                <w14:ligatures w14:val="standardContextual"/>
              </w:rPr>
              <w:t>备注</w:t>
            </w:r>
          </w:p>
        </w:tc>
        <w:tc>
          <w:tcPr>
            <w:tcW w:w="582" w:type="pct"/>
            <w:shd w:val="clear" w:color="auto" w:fill="auto"/>
            <w:vAlign w:val="center"/>
          </w:tcPr>
          <w:p w14:paraId="4C7F627E">
            <w:pPr>
              <w:jc w:val="center"/>
              <w:rPr>
                <w:rFonts w:asciiTheme="minorEastAsia" w:hAnsiTheme="minorEastAsia" w:eastAsiaTheme="minorEastAsia" w:cstheme="minorEastAsia"/>
                <w:b/>
                <w:bCs/>
                <w:kern w:val="0"/>
                <w:szCs w:val="21"/>
                <w14:ligatures w14:val="standardContextual"/>
              </w:rPr>
            </w:pPr>
          </w:p>
        </w:tc>
      </w:tr>
      <w:tr w14:paraId="05A0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94" w:type="pct"/>
            <w:vAlign w:val="center"/>
          </w:tcPr>
          <w:p w14:paraId="60417B6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w:t>
            </w:r>
          </w:p>
        </w:tc>
        <w:tc>
          <w:tcPr>
            <w:tcW w:w="1046" w:type="pct"/>
            <w:shd w:val="clear" w:color="auto" w:fill="auto"/>
            <w:vAlign w:val="center"/>
          </w:tcPr>
          <w:p w14:paraId="57260924">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污染源360监察模块</w:t>
            </w:r>
          </w:p>
        </w:tc>
        <w:tc>
          <w:tcPr>
            <w:tcW w:w="577" w:type="pct"/>
            <w:shd w:val="clear" w:color="auto" w:fill="auto"/>
            <w:vAlign w:val="center"/>
          </w:tcPr>
          <w:p w14:paraId="7E9615F1">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适配及升级</w:t>
            </w:r>
          </w:p>
        </w:tc>
        <w:tc>
          <w:tcPr>
            <w:tcW w:w="2498" w:type="pct"/>
            <w:vAlign w:val="center"/>
          </w:tcPr>
          <w:p w14:paraId="0BEF6CB0">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升级防欺诈预警（异常数据预警）与企业标签化功能模块，进一步提高企业上报数据中异常波动和潜在风险数据，有效监督企业在污染处理环节中可能存在的不实行为或违规操作等问题，有力保障分局生态环境的监督管理职能得到充分发挥。</w:t>
            </w:r>
          </w:p>
        </w:tc>
        <w:tc>
          <w:tcPr>
            <w:tcW w:w="582" w:type="pct"/>
            <w:vAlign w:val="center"/>
          </w:tcPr>
          <w:p w14:paraId="7178601E">
            <w:pPr>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详见表1</w:t>
            </w:r>
          </w:p>
        </w:tc>
      </w:tr>
      <w:tr w14:paraId="5CC6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94" w:type="pct"/>
            <w:vAlign w:val="center"/>
          </w:tcPr>
          <w:p w14:paraId="30F0540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2</w:t>
            </w:r>
          </w:p>
        </w:tc>
        <w:tc>
          <w:tcPr>
            <w:tcW w:w="1046" w:type="pct"/>
            <w:shd w:val="clear" w:color="auto" w:fill="auto"/>
            <w:vAlign w:val="center"/>
          </w:tcPr>
          <w:p w14:paraId="5010C9B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GIS展示模块</w:t>
            </w:r>
          </w:p>
        </w:tc>
        <w:tc>
          <w:tcPr>
            <w:tcW w:w="577" w:type="pct"/>
            <w:shd w:val="clear" w:color="auto" w:fill="auto"/>
            <w:vAlign w:val="center"/>
          </w:tcPr>
          <w:p w14:paraId="73EB235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61A69A16">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1F76F358">
            <w:pPr>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详见表2、3、4</w:t>
            </w:r>
          </w:p>
        </w:tc>
      </w:tr>
      <w:tr w14:paraId="489C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294" w:type="pct"/>
            <w:vAlign w:val="center"/>
          </w:tcPr>
          <w:p w14:paraId="35D21D1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3</w:t>
            </w:r>
          </w:p>
        </w:tc>
        <w:tc>
          <w:tcPr>
            <w:tcW w:w="1046" w:type="pct"/>
            <w:shd w:val="clear" w:color="auto" w:fill="auto"/>
            <w:vAlign w:val="center"/>
          </w:tcPr>
          <w:p w14:paraId="28AAC948">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导航仓</w:t>
            </w:r>
          </w:p>
        </w:tc>
        <w:tc>
          <w:tcPr>
            <w:tcW w:w="577" w:type="pct"/>
            <w:shd w:val="clear" w:color="auto" w:fill="auto"/>
            <w:vAlign w:val="center"/>
          </w:tcPr>
          <w:p w14:paraId="0B1E9317">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适配及升级</w:t>
            </w:r>
          </w:p>
        </w:tc>
        <w:tc>
          <w:tcPr>
            <w:tcW w:w="2498" w:type="pct"/>
            <w:vAlign w:val="center"/>
          </w:tcPr>
          <w:p w14:paraId="4B4B2B0D">
            <w:pPr>
              <w:jc w:val="left"/>
              <w:rPr>
                <w:rFonts w:asciiTheme="minorEastAsia" w:hAnsiTheme="minorEastAsia" w:eastAsiaTheme="minorEastAsia" w:cstheme="minorEastAsia"/>
                <w:kern w:val="0"/>
                <w:sz w:val="11"/>
                <w:szCs w:val="11"/>
                <w14:ligatures w14:val="standardContextual"/>
              </w:rPr>
            </w:pPr>
            <w:r>
              <w:rPr>
                <w:rFonts w:hint="eastAsia" w:asciiTheme="minorEastAsia" w:hAnsiTheme="minorEastAsia" w:eastAsiaTheme="minorEastAsia" w:cstheme="minorEastAsia"/>
                <w:kern w:val="0"/>
                <w:szCs w:val="21"/>
                <w14:ligatures w14:val="standardContextual"/>
              </w:rPr>
              <w:t>围绕环境污染防治的关键工作要点，聚焦环境空气、水、污染源等核心领域，对导航仓专题划分及对应界面展示内容进行优化调整与升级。通过更为科学合理地界定专题板块，梳理与整合各类环境数据资源，并以直观清晰、简洁明了的可视化界面呈现形式，为局领导及各科室管理人员能够直观展示环境的整体态势，全面、深入地监控各项环境指标的动态变化，从而为科学决策、精准施策提供强有力的数据支撑与直观依据。</w:t>
            </w:r>
          </w:p>
        </w:tc>
        <w:tc>
          <w:tcPr>
            <w:tcW w:w="582" w:type="pct"/>
            <w:vAlign w:val="center"/>
          </w:tcPr>
          <w:p w14:paraId="4F3AB195">
            <w:pPr>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详见表5</w:t>
            </w:r>
          </w:p>
        </w:tc>
      </w:tr>
      <w:tr w14:paraId="5BEC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4" w:type="pct"/>
            <w:vAlign w:val="center"/>
          </w:tcPr>
          <w:p w14:paraId="251DF2D4">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4</w:t>
            </w:r>
          </w:p>
        </w:tc>
        <w:tc>
          <w:tcPr>
            <w:tcW w:w="1046" w:type="pct"/>
            <w:shd w:val="clear" w:color="auto" w:fill="auto"/>
            <w:vAlign w:val="center"/>
          </w:tcPr>
          <w:p w14:paraId="0AEC5F6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VOCs三位一体监控预警模块</w:t>
            </w:r>
          </w:p>
        </w:tc>
        <w:tc>
          <w:tcPr>
            <w:tcW w:w="577" w:type="pct"/>
            <w:shd w:val="clear" w:color="auto" w:fill="auto"/>
            <w:vAlign w:val="center"/>
          </w:tcPr>
          <w:p w14:paraId="0270A5D7">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功能简化，适配</w:t>
            </w:r>
          </w:p>
        </w:tc>
        <w:tc>
          <w:tcPr>
            <w:tcW w:w="2498" w:type="pct"/>
            <w:vAlign w:val="center"/>
          </w:tcPr>
          <w:p w14:paraId="1302D535">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721F8A92">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详见表6</w:t>
            </w:r>
          </w:p>
        </w:tc>
      </w:tr>
      <w:tr w14:paraId="7426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4" w:type="pct"/>
            <w:vAlign w:val="center"/>
          </w:tcPr>
          <w:p w14:paraId="19F5770B">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5</w:t>
            </w:r>
          </w:p>
        </w:tc>
        <w:tc>
          <w:tcPr>
            <w:tcW w:w="1046" w:type="pct"/>
            <w:shd w:val="clear" w:color="auto" w:fill="auto"/>
            <w:vAlign w:val="center"/>
          </w:tcPr>
          <w:p w14:paraId="34AEB5E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深化污染源360监察平台（污染源监管闭环管理）</w:t>
            </w:r>
          </w:p>
        </w:tc>
        <w:tc>
          <w:tcPr>
            <w:tcW w:w="577" w:type="pct"/>
            <w:shd w:val="clear" w:color="auto" w:fill="auto"/>
            <w:vAlign w:val="center"/>
          </w:tcPr>
          <w:p w14:paraId="16AE8A68">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7F130412">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30E8B057">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详见表7</w:t>
            </w:r>
          </w:p>
        </w:tc>
      </w:tr>
      <w:tr w14:paraId="7707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94" w:type="pct"/>
            <w:vAlign w:val="center"/>
          </w:tcPr>
          <w:p w14:paraId="5BAC05A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6</w:t>
            </w:r>
          </w:p>
        </w:tc>
        <w:tc>
          <w:tcPr>
            <w:tcW w:w="1046" w:type="pct"/>
            <w:shd w:val="clear" w:color="auto" w:fill="auto"/>
            <w:vAlign w:val="center"/>
          </w:tcPr>
          <w:p w14:paraId="15722B66">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一张环保地图（环境质量分布图、污染源排放热力图、排放量分布图、生态环境分布图）</w:t>
            </w:r>
          </w:p>
        </w:tc>
        <w:tc>
          <w:tcPr>
            <w:tcW w:w="577" w:type="pct"/>
            <w:shd w:val="clear" w:color="auto" w:fill="auto"/>
            <w:vAlign w:val="center"/>
          </w:tcPr>
          <w:p w14:paraId="3385E8B2">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适配及升级，部分废弃</w:t>
            </w:r>
          </w:p>
        </w:tc>
        <w:tc>
          <w:tcPr>
            <w:tcW w:w="2498" w:type="pct"/>
            <w:vAlign w:val="center"/>
          </w:tcPr>
          <w:p w14:paraId="6A993ED9">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基于对噪声管理污染防治工作的实际需求与目标导向，进一步提升一张环保地图功能模块噪声管理方面的效能与精准度，增设噪声热力图，通过可视化，清晰地城乡县域噪声分布状况，为噪声污染精准检测与防治提供有力的技术支撑。并对其中低频、涉密功能及数据进行下架淘汰处理。</w:t>
            </w:r>
          </w:p>
        </w:tc>
        <w:tc>
          <w:tcPr>
            <w:tcW w:w="582" w:type="pct"/>
            <w:vAlign w:val="center"/>
          </w:tcPr>
          <w:p w14:paraId="176FAA84">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详见表8</w:t>
            </w:r>
          </w:p>
        </w:tc>
      </w:tr>
      <w:tr w14:paraId="2CBC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4" w:type="pct"/>
            <w:vAlign w:val="center"/>
          </w:tcPr>
          <w:p w14:paraId="290F948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7</w:t>
            </w:r>
          </w:p>
        </w:tc>
        <w:tc>
          <w:tcPr>
            <w:tcW w:w="1046" w:type="pct"/>
            <w:shd w:val="clear" w:color="auto" w:fill="auto"/>
            <w:vAlign w:val="center"/>
          </w:tcPr>
          <w:p w14:paraId="54C14462">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环境数据采集分析模块（环保数据仓）</w:t>
            </w:r>
          </w:p>
        </w:tc>
        <w:tc>
          <w:tcPr>
            <w:tcW w:w="577" w:type="pct"/>
            <w:shd w:val="clear" w:color="auto" w:fill="auto"/>
            <w:vAlign w:val="center"/>
          </w:tcPr>
          <w:p w14:paraId="0BC2C44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75059DF4">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59FEC2B7">
            <w:pPr>
              <w:widowControl/>
              <w:jc w:val="left"/>
              <w:rPr>
                <w:rFonts w:ascii="宋体" w:hAnsi="宋体" w:eastAsia="等线" w:cs="宋体"/>
                <w:color w:val="000000"/>
                <w:kern w:val="0"/>
                <w:szCs w:val="21"/>
              </w:rPr>
            </w:pPr>
            <w:r>
              <w:rPr>
                <w:rFonts w:hint="eastAsia" w:ascii="宋体" w:hAnsi="宋体" w:eastAsia="等线" w:cs="宋体"/>
                <w:color w:val="000000"/>
                <w:kern w:val="0"/>
                <w:szCs w:val="21"/>
              </w:rPr>
              <w:t>详见表9</w:t>
            </w:r>
          </w:p>
          <w:p w14:paraId="10D2E209">
            <w:pPr>
              <w:jc w:val="left"/>
              <w:rPr>
                <w:rFonts w:asciiTheme="minorEastAsia" w:hAnsiTheme="minorEastAsia" w:eastAsiaTheme="minorEastAsia" w:cstheme="minorEastAsia"/>
                <w:kern w:val="0"/>
                <w:szCs w:val="21"/>
                <w14:ligatures w14:val="standardContextual"/>
              </w:rPr>
            </w:pPr>
          </w:p>
        </w:tc>
      </w:tr>
      <w:tr w14:paraId="7FAD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94" w:type="pct"/>
            <w:vAlign w:val="center"/>
          </w:tcPr>
          <w:p w14:paraId="32AAB4F1">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8</w:t>
            </w:r>
          </w:p>
        </w:tc>
        <w:tc>
          <w:tcPr>
            <w:tcW w:w="1046" w:type="pct"/>
            <w:shd w:val="clear" w:color="auto" w:fill="auto"/>
            <w:vAlign w:val="center"/>
          </w:tcPr>
          <w:p w14:paraId="63926B59">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常规六因子大气环境质量模块</w:t>
            </w:r>
          </w:p>
        </w:tc>
        <w:tc>
          <w:tcPr>
            <w:tcW w:w="577" w:type="pct"/>
            <w:shd w:val="clear" w:color="auto" w:fill="auto"/>
            <w:vAlign w:val="center"/>
          </w:tcPr>
          <w:p w14:paraId="6D0D9AA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适配及升级</w:t>
            </w:r>
          </w:p>
        </w:tc>
        <w:tc>
          <w:tcPr>
            <w:tcW w:w="2498" w:type="pct"/>
            <w:vAlign w:val="center"/>
          </w:tcPr>
          <w:p w14:paraId="30967E6E">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通过对接气象部门数据，将系统已有数据与部门数据的深度融合，提高模块数据的展示的多样性与完整性，进一步实施县域大气监测与污染防治工作。</w:t>
            </w:r>
          </w:p>
        </w:tc>
        <w:tc>
          <w:tcPr>
            <w:tcW w:w="582" w:type="pct"/>
            <w:vAlign w:val="center"/>
          </w:tcPr>
          <w:p w14:paraId="3E7106E3">
            <w:pPr>
              <w:widowControl/>
              <w:jc w:val="left"/>
              <w:rPr>
                <w:rFonts w:ascii="宋体" w:hAnsi="宋体" w:eastAsia="等线" w:cs="宋体"/>
                <w:color w:val="000000"/>
                <w:kern w:val="0"/>
                <w:szCs w:val="21"/>
              </w:rPr>
            </w:pPr>
            <w:r>
              <w:rPr>
                <w:rFonts w:hint="eastAsia" w:ascii="宋体" w:hAnsi="宋体" w:eastAsia="等线" w:cs="宋体"/>
                <w:color w:val="000000"/>
                <w:kern w:val="0"/>
                <w:szCs w:val="21"/>
              </w:rPr>
              <w:t>详见表10</w:t>
            </w:r>
          </w:p>
          <w:p w14:paraId="561E0EB4">
            <w:pPr>
              <w:jc w:val="left"/>
              <w:rPr>
                <w:rFonts w:asciiTheme="minorEastAsia" w:hAnsiTheme="minorEastAsia" w:eastAsiaTheme="minorEastAsia" w:cstheme="minorEastAsia"/>
                <w:kern w:val="0"/>
                <w:szCs w:val="21"/>
                <w14:ligatures w14:val="standardContextual"/>
              </w:rPr>
            </w:pPr>
          </w:p>
        </w:tc>
      </w:tr>
      <w:tr w14:paraId="0EA9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 w:type="pct"/>
            <w:vAlign w:val="center"/>
          </w:tcPr>
          <w:p w14:paraId="1D64F00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9</w:t>
            </w:r>
          </w:p>
        </w:tc>
        <w:tc>
          <w:tcPr>
            <w:tcW w:w="1046" w:type="pct"/>
            <w:shd w:val="clear" w:color="auto" w:fill="auto"/>
            <w:vAlign w:val="center"/>
          </w:tcPr>
          <w:p w14:paraId="74ABA937">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水环境质量监控预警模块</w:t>
            </w:r>
          </w:p>
        </w:tc>
        <w:tc>
          <w:tcPr>
            <w:tcW w:w="577" w:type="pct"/>
            <w:shd w:val="clear" w:color="auto" w:fill="auto"/>
            <w:vAlign w:val="center"/>
          </w:tcPr>
          <w:p w14:paraId="78EFAC03">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5811DA68">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42E6DA04">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详见表11</w:t>
            </w:r>
          </w:p>
        </w:tc>
      </w:tr>
      <w:tr w14:paraId="6D12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4" w:type="pct"/>
            <w:vAlign w:val="center"/>
          </w:tcPr>
          <w:p w14:paraId="3CC291D4">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10</w:t>
            </w:r>
          </w:p>
        </w:tc>
        <w:tc>
          <w:tcPr>
            <w:tcW w:w="1046" w:type="pct"/>
            <w:shd w:val="clear" w:color="auto" w:fill="auto"/>
            <w:vAlign w:val="center"/>
          </w:tcPr>
          <w:p w14:paraId="5E2C5BC0">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噪声环境模块</w:t>
            </w:r>
          </w:p>
        </w:tc>
        <w:tc>
          <w:tcPr>
            <w:tcW w:w="577" w:type="pct"/>
            <w:shd w:val="clear" w:color="auto" w:fill="auto"/>
            <w:vAlign w:val="center"/>
          </w:tcPr>
          <w:p w14:paraId="3682C1D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058CB0DC">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41DF452F">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详见表12</w:t>
            </w:r>
          </w:p>
        </w:tc>
      </w:tr>
      <w:tr w14:paraId="343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94" w:type="pct"/>
            <w:vAlign w:val="center"/>
          </w:tcPr>
          <w:p w14:paraId="6EAB1E72">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11</w:t>
            </w:r>
          </w:p>
        </w:tc>
        <w:tc>
          <w:tcPr>
            <w:tcW w:w="1046" w:type="pct"/>
            <w:shd w:val="clear" w:color="auto" w:fill="auto"/>
            <w:vAlign w:val="center"/>
          </w:tcPr>
          <w:p w14:paraId="6A0C1F46">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远程指挥调度决策模块</w:t>
            </w:r>
          </w:p>
        </w:tc>
        <w:tc>
          <w:tcPr>
            <w:tcW w:w="577" w:type="pct"/>
            <w:shd w:val="clear" w:color="auto" w:fill="auto"/>
            <w:vAlign w:val="center"/>
          </w:tcPr>
          <w:p w14:paraId="4F582378">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适配及升级</w:t>
            </w:r>
          </w:p>
        </w:tc>
        <w:tc>
          <w:tcPr>
            <w:tcW w:w="2498" w:type="pct"/>
            <w:vAlign w:val="center"/>
          </w:tcPr>
          <w:p w14:paraId="5E0652FD">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考虑到管理侧项目系统及使用人群也具备特定的属性和需求，为进一步提高职能工作的落实，提升信息的流转效率，故对该模块原有移动端口进行补充，将应用系统进行浙政钉的上架部署，方便相关人员能够及时查看县域内监测数据信息，提高数据的获取的及时性的同时提高工作开展的协同性</w:t>
            </w:r>
          </w:p>
        </w:tc>
        <w:tc>
          <w:tcPr>
            <w:tcW w:w="582" w:type="pct"/>
            <w:vAlign w:val="center"/>
          </w:tcPr>
          <w:p w14:paraId="58AB6F82">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详见表13</w:t>
            </w:r>
          </w:p>
        </w:tc>
      </w:tr>
      <w:tr w14:paraId="3376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 w:type="pct"/>
            <w:vAlign w:val="center"/>
          </w:tcPr>
          <w:p w14:paraId="72AD8492">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12</w:t>
            </w:r>
          </w:p>
        </w:tc>
        <w:tc>
          <w:tcPr>
            <w:tcW w:w="1046" w:type="pct"/>
            <w:shd w:val="clear" w:color="auto" w:fill="auto"/>
            <w:vAlign w:val="center"/>
          </w:tcPr>
          <w:p w14:paraId="70398868">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移动执法系统（整合对接）</w:t>
            </w:r>
          </w:p>
        </w:tc>
        <w:tc>
          <w:tcPr>
            <w:tcW w:w="577" w:type="pct"/>
            <w:shd w:val="clear" w:color="auto" w:fill="auto"/>
            <w:vAlign w:val="center"/>
          </w:tcPr>
          <w:p w14:paraId="25E7F5EF">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数据保留，迁移</w:t>
            </w:r>
          </w:p>
        </w:tc>
        <w:tc>
          <w:tcPr>
            <w:tcW w:w="2498" w:type="pct"/>
            <w:vAlign w:val="center"/>
          </w:tcPr>
          <w:p w14:paraId="3457E1BA">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介于省市层面对该模块已暂停使用，为保障数据的完整性与可追溯性，利于后续查询以及执法过程中的信息溯源，现决定对原有模块的对接数据进行迁移并留存。</w:t>
            </w:r>
          </w:p>
        </w:tc>
        <w:tc>
          <w:tcPr>
            <w:tcW w:w="582" w:type="pct"/>
            <w:vAlign w:val="center"/>
          </w:tcPr>
          <w:p w14:paraId="130D8F61">
            <w:pPr>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详见4.13</w:t>
            </w:r>
          </w:p>
        </w:tc>
      </w:tr>
      <w:tr w14:paraId="5A79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 w:type="pct"/>
            <w:vAlign w:val="center"/>
          </w:tcPr>
          <w:p w14:paraId="7560039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13</w:t>
            </w:r>
          </w:p>
        </w:tc>
        <w:tc>
          <w:tcPr>
            <w:tcW w:w="1046" w:type="pct"/>
            <w:shd w:val="clear" w:color="auto" w:fill="auto"/>
            <w:vAlign w:val="center"/>
          </w:tcPr>
          <w:p w14:paraId="2518AEE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核与辐射环境模块</w:t>
            </w:r>
          </w:p>
        </w:tc>
        <w:tc>
          <w:tcPr>
            <w:tcW w:w="577" w:type="pct"/>
            <w:shd w:val="clear" w:color="auto" w:fill="auto"/>
            <w:vAlign w:val="center"/>
          </w:tcPr>
          <w:p w14:paraId="4FE5FF51">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适配</w:t>
            </w:r>
          </w:p>
        </w:tc>
        <w:tc>
          <w:tcPr>
            <w:tcW w:w="2498" w:type="pct"/>
            <w:vAlign w:val="center"/>
          </w:tcPr>
          <w:p w14:paraId="1C8095E4">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66E6C837">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详见表14</w:t>
            </w:r>
          </w:p>
        </w:tc>
      </w:tr>
      <w:tr w14:paraId="6F28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 w:type="pct"/>
            <w:vAlign w:val="center"/>
          </w:tcPr>
          <w:p w14:paraId="5BBF2312">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14</w:t>
            </w:r>
          </w:p>
        </w:tc>
        <w:tc>
          <w:tcPr>
            <w:tcW w:w="1046" w:type="pct"/>
            <w:shd w:val="clear" w:color="auto" w:fill="auto"/>
            <w:vAlign w:val="center"/>
          </w:tcPr>
          <w:p w14:paraId="13C863FF">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szCs w:val="21"/>
              </w:rPr>
              <w:t>固废收运监管系统</w:t>
            </w:r>
          </w:p>
        </w:tc>
        <w:tc>
          <w:tcPr>
            <w:tcW w:w="577" w:type="pct"/>
            <w:shd w:val="clear" w:color="auto" w:fill="auto"/>
            <w:vAlign w:val="center"/>
          </w:tcPr>
          <w:p w14:paraId="0B54F39A">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新增</w:t>
            </w:r>
          </w:p>
        </w:tc>
        <w:tc>
          <w:tcPr>
            <w:tcW w:w="2498" w:type="pct"/>
            <w:vAlign w:val="center"/>
          </w:tcPr>
          <w:p w14:paraId="462217AB">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44879010">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详见4.15</w:t>
            </w:r>
          </w:p>
        </w:tc>
      </w:tr>
      <w:tr w14:paraId="684D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94" w:type="pct"/>
            <w:vAlign w:val="center"/>
          </w:tcPr>
          <w:p w14:paraId="0F11DBC7">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15</w:t>
            </w:r>
          </w:p>
        </w:tc>
        <w:tc>
          <w:tcPr>
            <w:tcW w:w="1046" w:type="pct"/>
            <w:shd w:val="clear" w:color="auto" w:fill="auto"/>
            <w:vAlign w:val="center"/>
          </w:tcPr>
          <w:p w14:paraId="0CE71DEC">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szCs w:val="21"/>
              </w:rPr>
              <w:t>固废收运服务系统</w:t>
            </w:r>
          </w:p>
        </w:tc>
        <w:tc>
          <w:tcPr>
            <w:tcW w:w="577" w:type="pct"/>
            <w:shd w:val="clear" w:color="auto" w:fill="auto"/>
            <w:vAlign w:val="center"/>
          </w:tcPr>
          <w:p w14:paraId="5D9613A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新增</w:t>
            </w:r>
          </w:p>
        </w:tc>
        <w:tc>
          <w:tcPr>
            <w:tcW w:w="2498" w:type="pct"/>
            <w:vAlign w:val="center"/>
          </w:tcPr>
          <w:p w14:paraId="166228DD">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40742185">
            <w:pPr>
              <w:widowControl/>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详见4.16</w:t>
            </w:r>
          </w:p>
        </w:tc>
      </w:tr>
      <w:tr w14:paraId="4235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94" w:type="pct"/>
            <w:vAlign w:val="center"/>
          </w:tcPr>
          <w:p w14:paraId="59397270">
            <w:pPr>
              <w:jc w:val="center"/>
              <w:rPr>
                <w:rFonts w:asciiTheme="minorEastAsia" w:hAnsiTheme="minorEastAsia" w:eastAsiaTheme="minorEastAsia" w:cstheme="minorEastAsia"/>
                <w:kern w:val="0"/>
                <w:szCs w:val="21"/>
                <w14:ligatures w14:val="standardContextual"/>
              </w:rPr>
            </w:pPr>
            <w:bookmarkStart w:id="50" w:name="_Toc29482"/>
            <w:r>
              <w:rPr>
                <w:rFonts w:hint="eastAsia" w:asciiTheme="minorEastAsia" w:hAnsiTheme="minorEastAsia" w:eastAsiaTheme="minorEastAsia" w:cstheme="minorEastAsia"/>
                <w:kern w:val="0"/>
                <w:szCs w:val="21"/>
                <w14:ligatures w14:val="standardContextual"/>
              </w:rPr>
              <w:t>16</w:t>
            </w:r>
          </w:p>
        </w:tc>
        <w:tc>
          <w:tcPr>
            <w:tcW w:w="1046" w:type="pct"/>
            <w:shd w:val="clear" w:color="auto" w:fill="auto"/>
            <w:vAlign w:val="center"/>
          </w:tcPr>
          <w:p w14:paraId="0DC548F9">
            <w:pPr>
              <w:spacing w:line="360" w:lineRule="auto"/>
              <w:jc w:val="center"/>
              <w:rPr>
                <w:rFonts w:asciiTheme="minorEastAsia" w:hAnsiTheme="minorEastAsia" w:eastAsiaTheme="minorEastAsia" w:cstheme="minorEastAsia"/>
                <w:szCs w:val="21"/>
              </w:rPr>
            </w:pPr>
            <w:r>
              <w:rPr>
                <w:rFonts w:hint="eastAsia" w:ascii="宋体" w:hAnsi="宋体" w:eastAsia="等线" w:cs="宋体"/>
                <w:color w:val="000000"/>
              </w:rPr>
              <w:t>国产操作系统</w:t>
            </w:r>
          </w:p>
        </w:tc>
        <w:tc>
          <w:tcPr>
            <w:tcW w:w="577" w:type="pct"/>
            <w:shd w:val="clear" w:color="auto" w:fill="auto"/>
            <w:vAlign w:val="center"/>
          </w:tcPr>
          <w:p w14:paraId="53D6269E">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新增</w:t>
            </w:r>
          </w:p>
        </w:tc>
        <w:tc>
          <w:tcPr>
            <w:tcW w:w="2498" w:type="pct"/>
            <w:vAlign w:val="center"/>
          </w:tcPr>
          <w:p w14:paraId="1AB1EA6C">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47041DFC">
            <w:pPr>
              <w:widowControl/>
              <w:jc w:val="left"/>
              <w:rPr>
                <w:rFonts w:ascii="宋体" w:hAnsi="宋体" w:eastAsia="等线" w:cs="宋体"/>
                <w:color w:val="000000"/>
                <w:kern w:val="0"/>
                <w:szCs w:val="21"/>
              </w:rPr>
            </w:pPr>
            <w:r>
              <w:rPr>
                <w:rFonts w:hint="eastAsia" w:ascii="宋体" w:hAnsi="宋体" w:eastAsia="等线" w:cs="宋体"/>
                <w:color w:val="000000"/>
                <w:kern w:val="0"/>
                <w:szCs w:val="21"/>
              </w:rPr>
              <w:t>详见4.18</w:t>
            </w:r>
          </w:p>
        </w:tc>
      </w:tr>
      <w:tr w14:paraId="2243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94" w:type="pct"/>
            <w:vAlign w:val="center"/>
          </w:tcPr>
          <w:p w14:paraId="60E3BF06">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17</w:t>
            </w:r>
          </w:p>
        </w:tc>
        <w:tc>
          <w:tcPr>
            <w:tcW w:w="1046" w:type="pct"/>
            <w:shd w:val="clear" w:color="auto" w:fill="auto"/>
            <w:vAlign w:val="center"/>
          </w:tcPr>
          <w:p w14:paraId="7926DE9F">
            <w:pPr>
              <w:spacing w:line="360" w:lineRule="auto"/>
              <w:jc w:val="center"/>
              <w:rPr>
                <w:rFonts w:asciiTheme="minorEastAsia" w:hAnsiTheme="minorEastAsia" w:eastAsiaTheme="minorEastAsia" w:cstheme="minorEastAsia"/>
                <w:szCs w:val="21"/>
              </w:rPr>
            </w:pPr>
            <w:r>
              <w:rPr>
                <w:rFonts w:hint="eastAsia" w:ascii="宋体" w:hAnsi="宋体" w:eastAsia="等线" w:cs="宋体"/>
                <w:color w:val="000000"/>
              </w:rPr>
              <w:t>国产数据库</w:t>
            </w:r>
          </w:p>
        </w:tc>
        <w:tc>
          <w:tcPr>
            <w:tcW w:w="577" w:type="pct"/>
            <w:shd w:val="clear" w:color="auto" w:fill="auto"/>
            <w:vAlign w:val="center"/>
          </w:tcPr>
          <w:p w14:paraId="0AE5C74B">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新增</w:t>
            </w:r>
          </w:p>
        </w:tc>
        <w:tc>
          <w:tcPr>
            <w:tcW w:w="2498" w:type="pct"/>
            <w:vAlign w:val="center"/>
          </w:tcPr>
          <w:p w14:paraId="040ABDE2">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2E2BC936">
            <w:pPr>
              <w:widowControl/>
              <w:jc w:val="left"/>
              <w:rPr>
                <w:rFonts w:ascii="宋体" w:hAnsi="宋体" w:eastAsia="等线" w:cs="宋体"/>
                <w:color w:val="000000"/>
                <w:kern w:val="0"/>
                <w:szCs w:val="21"/>
              </w:rPr>
            </w:pPr>
            <w:r>
              <w:rPr>
                <w:rFonts w:hint="eastAsia" w:ascii="宋体" w:hAnsi="宋体" w:eastAsia="等线" w:cs="宋体"/>
                <w:color w:val="000000"/>
                <w:kern w:val="0"/>
                <w:szCs w:val="21"/>
              </w:rPr>
              <w:t>详见4.18</w:t>
            </w:r>
          </w:p>
        </w:tc>
      </w:tr>
      <w:tr w14:paraId="2ECA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94" w:type="pct"/>
            <w:vAlign w:val="center"/>
          </w:tcPr>
          <w:p w14:paraId="4AC37CC7">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18</w:t>
            </w:r>
          </w:p>
        </w:tc>
        <w:tc>
          <w:tcPr>
            <w:tcW w:w="1046" w:type="pct"/>
            <w:shd w:val="clear" w:color="auto" w:fill="auto"/>
            <w:vAlign w:val="center"/>
          </w:tcPr>
          <w:p w14:paraId="7FE79F75">
            <w:pPr>
              <w:jc w:val="center"/>
              <w:rPr>
                <w:rFonts w:asciiTheme="minorEastAsia" w:hAnsiTheme="minorEastAsia" w:eastAsiaTheme="minorEastAsia" w:cstheme="minorEastAsia"/>
                <w:szCs w:val="21"/>
              </w:rPr>
            </w:pPr>
            <w:r>
              <w:rPr>
                <w:rFonts w:hint="eastAsia" w:ascii="宋体" w:hAnsi="宋体" w:eastAsia="等线" w:cs="宋体"/>
                <w:color w:val="000000"/>
              </w:rPr>
              <w:t>接口费建设</w:t>
            </w:r>
          </w:p>
        </w:tc>
        <w:tc>
          <w:tcPr>
            <w:tcW w:w="577" w:type="pct"/>
            <w:shd w:val="clear" w:color="auto" w:fill="auto"/>
            <w:vAlign w:val="center"/>
          </w:tcPr>
          <w:p w14:paraId="597442CD">
            <w:pPr>
              <w:jc w:val="center"/>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新增</w:t>
            </w:r>
          </w:p>
        </w:tc>
        <w:tc>
          <w:tcPr>
            <w:tcW w:w="2498" w:type="pct"/>
            <w:vAlign w:val="center"/>
          </w:tcPr>
          <w:p w14:paraId="034C0226">
            <w:pPr>
              <w:jc w:val="left"/>
              <w:rPr>
                <w:rFonts w:asciiTheme="minorEastAsia" w:hAnsiTheme="minorEastAsia" w:eastAsiaTheme="minorEastAsia" w:cstheme="minorEastAsia"/>
                <w:kern w:val="0"/>
                <w:szCs w:val="21"/>
                <w14:ligatures w14:val="standardContextual"/>
              </w:rPr>
            </w:pPr>
            <w:r>
              <w:rPr>
                <w:rFonts w:hint="eastAsia" w:asciiTheme="minorEastAsia" w:hAnsiTheme="minorEastAsia" w:eastAsiaTheme="minorEastAsia" w:cstheme="minorEastAsia"/>
                <w:kern w:val="0"/>
                <w:szCs w:val="21"/>
                <w14:ligatures w14:val="standardContextual"/>
              </w:rPr>
              <w:t>/</w:t>
            </w:r>
          </w:p>
        </w:tc>
        <w:tc>
          <w:tcPr>
            <w:tcW w:w="582" w:type="pct"/>
            <w:vAlign w:val="center"/>
          </w:tcPr>
          <w:p w14:paraId="146E54B9">
            <w:pPr>
              <w:jc w:val="left"/>
              <w:rPr>
                <w:rFonts w:asciiTheme="minorEastAsia" w:hAnsiTheme="minorEastAsia" w:eastAsiaTheme="minorEastAsia" w:cstheme="minorEastAsia"/>
                <w:kern w:val="0"/>
                <w:szCs w:val="21"/>
                <w14:ligatures w14:val="standardContextual"/>
              </w:rPr>
            </w:pPr>
            <w:r>
              <w:rPr>
                <w:rFonts w:hint="eastAsia" w:ascii="宋体" w:hAnsi="宋体" w:eastAsia="等线" w:cs="宋体"/>
                <w:color w:val="000000"/>
                <w:kern w:val="0"/>
                <w:szCs w:val="21"/>
              </w:rPr>
              <w:t>详见4.19</w:t>
            </w:r>
          </w:p>
        </w:tc>
      </w:tr>
    </w:tbl>
    <w:p w14:paraId="0793293D">
      <w:pPr>
        <w:spacing w:line="360" w:lineRule="auto"/>
        <w:outlineLvl w:val="4"/>
        <w:rPr>
          <w:rFonts w:asciiTheme="minorEastAsia" w:hAnsiTheme="minorEastAsia" w:eastAsiaTheme="minorEastAsia" w:cstheme="minorEastAsia"/>
          <w:b/>
          <w:bCs/>
          <w:szCs w:val="21"/>
        </w:rPr>
      </w:pPr>
    </w:p>
    <w:p w14:paraId="042EFD4C">
      <w:pPr>
        <w:pStyle w:val="83"/>
      </w:pPr>
      <w:r>
        <w:rPr>
          <w:rFonts w:hint="eastAsia" w:asciiTheme="minorEastAsia" w:hAnsiTheme="minorEastAsia" w:eastAsiaTheme="minorEastAsia" w:cstheme="minorEastAsia"/>
          <w:b/>
          <w:bCs/>
          <w:szCs w:val="21"/>
        </w:rPr>
        <w:t>.</w:t>
      </w:r>
    </w:p>
    <w:p w14:paraId="22A003E9">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4.2 污染源360监察模块（适配及升级）</w:t>
      </w:r>
      <w:bookmarkEnd w:id="50"/>
    </w:p>
    <w:p w14:paraId="587ACF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360环境监察模块以污染源核心，以GIS为基础，通过对现有各业务子系统的相关信息进行整合集成及统计分析并展示，建成面向环境管理、面向公众服务，对环境管理提供智能决策分析支撑的、技术先进可靠包容性强的、智慧型的环境信息管理系统，真正实现通过污染源管理来改善环境质量的目标。主要实现以下几方面功能，详见功能模块表：</w:t>
      </w:r>
    </w:p>
    <w:p w14:paraId="3B1E2F3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污染源360监察模块功能需求表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727"/>
      </w:tblGrid>
      <w:tr w14:paraId="1A7E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trPr>
        <w:tc>
          <w:tcPr>
            <w:tcW w:w="1967" w:type="dxa"/>
            <w:tcBorders>
              <w:bottom w:val="single" w:color="auto" w:sz="4" w:space="0"/>
            </w:tcBorders>
            <w:shd w:val="clear" w:color="auto" w:fill="C0C0C0"/>
            <w:vAlign w:val="center"/>
          </w:tcPr>
          <w:p w14:paraId="1AD274A8">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646" w:type="dxa"/>
            <w:tcBorders>
              <w:bottom w:val="single" w:color="auto" w:sz="4" w:space="0"/>
            </w:tcBorders>
            <w:shd w:val="clear" w:color="auto" w:fill="C0C0C0"/>
            <w:vAlign w:val="center"/>
          </w:tcPr>
          <w:p w14:paraId="7CB9082D">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20C5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67" w:type="dxa"/>
            <w:shd w:val="clear" w:color="auto" w:fill="FFFFFF"/>
            <w:vAlign w:val="center"/>
          </w:tcPr>
          <w:p w14:paraId="797B713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实时数据监测功能（适配）</w:t>
            </w:r>
          </w:p>
        </w:tc>
        <w:tc>
          <w:tcPr>
            <w:tcW w:w="6646" w:type="dxa"/>
            <w:shd w:val="clear" w:color="auto" w:fill="FFFFFF"/>
            <w:vAlign w:val="center"/>
          </w:tcPr>
          <w:p w14:paraId="6225B01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对废气、废水等监测站点通过输入或勾选污染因子，展现实时监测数据及历史变化趋势。</w:t>
            </w:r>
          </w:p>
          <w:p w14:paraId="056E0BD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1.对超标、异常等数据，根据业务需求设定限制，能实时报警，报警信息能同步传送给环保管理人员和企业环保负责人。</w:t>
            </w:r>
          </w:p>
          <w:p w14:paraId="32A59F82">
            <w:pPr>
              <w:pStyle w:val="83"/>
              <w:ind w:left="0" w:firstLine="0"/>
              <w:rPr>
                <w:rFonts w:eastAsiaTheme="minorEastAsia"/>
              </w:rPr>
            </w:pPr>
            <w:r>
              <w:rPr>
                <w:rFonts w:hint="eastAsia" w:asciiTheme="minorEastAsia" w:hAnsiTheme="minorEastAsia" w:eastAsiaTheme="minorEastAsia" w:cstheme="minorEastAsia"/>
                <w:szCs w:val="21"/>
              </w:rPr>
              <w:t>2.对视频、图像实现画面异常抓拍，辅助后台管理人员精准查找原因。</w:t>
            </w:r>
          </w:p>
        </w:tc>
      </w:tr>
      <w:tr w14:paraId="0074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67" w:type="dxa"/>
            <w:shd w:val="clear" w:color="auto" w:fill="FFFFFF"/>
            <w:vAlign w:val="center"/>
          </w:tcPr>
          <w:p w14:paraId="66FBC55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历史数据查询功能（适配）</w:t>
            </w:r>
          </w:p>
        </w:tc>
        <w:tc>
          <w:tcPr>
            <w:tcW w:w="6646" w:type="dxa"/>
            <w:shd w:val="clear" w:color="auto" w:fill="FFFFFF"/>
            <w:vAlign w:val="center"/>
          </w:tcPr>
          <w:p w14:paraId="68422C0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企业历史数据查询功能，可查询显示选定企业的历史记录，历史数据可以报表、曲线、柱状图等方式进行表现。可通过输入时间进行查询，查询对象可以是小时数据、日数据、月数据等。</w:t>
            </w:r>
          </w:p>
        </w:tc>
      </w:tr>
      <w:tr w14:paraId="7896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67" w:type="dxa"/>
            <w:vMerge w:val="restart"/>
            <w:shd w:val="clear" w:color="auto" w:fill="FFFFFF"/>
            <w:vAlign w:val="center"/>
          </w:tcPr>
          <w:p w14:paraId="6B9F3A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实时展示功能（适配）</w:t>
            </w:r>
          </w:p>
        </w:tc>
        <w:tc>
          <w:tcPr>
            <w:tcW w:w="6646" w:type="dxa"/>
            <w:shd w:val="clear" w:color="auto" w:fill="FFFFFF"/>
            <w:vAlign w:val="center"/>
          </w:tcPr>
          <w:p w14:paraId="76C7644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形成污染源展示图层和统计分析图层：以GIS地图为载体，污染源分布与统计分析图层相结合，展示各污染源的分析统计信息。</w:t>
            </w:r>
          </w:p>
        </w:tc>
      </w:tr>
      <w:tr w14:paraId="07A9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67" w:type="dxa"/>
            <w:vMerge w:val="continue"/>
            <w:vAlign w:val="center"/>
          </w:tcPr>
          <w:p w14:paraId="53EC9848">
            <w:pPr>
              <w:jc w:val="center"/>
              <w:rPr>
                <w:rFonts w:asciiTheme="minorEastAsia" w:hAnsiTheme="minorEastAsia" w:eastAsiaTheme="minorEastAsia" w:cstheme="minorEastAsia"/>
                <w:szCs w:val="21"/>
              </w:rPr>
            </w:pPr>
          </w:p>
        </w:tc>
        <w:tc>
          <w:tcPr>
            <w:tcW w:w="6646" w:type="dxa"/>
            <w:vAlign w:val="center"/>
          </w:tcPr>
          <w:p w14:paraId="253A79D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污染源监控点位信息查询和展示功能：可以在GIS地图上，根据需要直接查询监控点位的信息。</w:t>
            </w:r>
          </w:p>
        </w:tc>
      </w:tr>
      <w:tr w14:paraId="4FB0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67" w:type="dxa"/>
            <w:vMerge w:val="continue"/>
            <w:vAlign w:val="center"/>
          </w:tcPr>
          <w:p w14:paraId="41D8B019">
            <w:pPr>
              <w:jc w:val="center"/>
              <w:rPr>
                <w:rFonts w:asciiTheme="minorEastAsia" w:hAnsiTheme="minorEastAsia" w:eastAsiaTheme="minorEastAsia" w:cstheme="minorEastAsia"/>
                <w:szCs w:val="21"/>
              </w:rPr>
            </w:pPr>
          </w:p>
        </w:tc>
        <w:tc>
          <w:tcPr>
            <w:tcW w:w="6646" w:type="dxa"/>
            <w:vAlign w:val="center"/>
          </w:tcPr>
          <w:p w14:paraId="6B2B07E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企业执法、审批、排污许可证、信访投诉等进行统计查询功能。</w:t>
            </w:r>
          </w:p>
        </w:tc>
      </w:tr>
      <w:tr w14:paraId="43F4B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67" w:type="dxa"/>
            <w:vAlign w:val="center"/>
          </w:tcPr>
          <w:p w14:paraId="0958BB5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数据统计功能（适配）</w:t>
            </w:r>
          </w:p>
        </w:tc>
        <w:tc>
          <w:tcPr>
            <w:tcW w:w="6646" w:type="dxa"/>
            <w:vAlign w:val="center"/>
          </w:tcPr>
          <w:p w14:paraId="32FD533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统计功能，可显示所有企业的滚动列表，可显示选定企业的统计数据，对统计数据可以报表、曲线、柱状图等多种方式进行表现。可通过输入起止时间进行统计，可选择分别统计小时数据、日数据、月数据等。还可按照所有企业名称、所属区域进行显示。以各企业的污染源数据为核心，能提供灵活多样的统计方式。</w:t>
            </w:r>
          </w:p>
        </w:tc>
      </w:tr>
      <w:tr w14:paraId="4FA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67" w:type="dxa"/>
            <w:vMerge w:val="restart"/>
            <w:vAlign w:val="center"/>
          </w:tcPr>
          <w:p w14:paraId="3EE6440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数据分析功能（适配）</w:t>
            </w:r>
          </w:p>
        </w:tc>
        <w:tc>
          <w:tcPr>
            <w:tcW w:w="6646" w:type="dxa"/>
            <w:vAlign w:val="center"/>
          </w:tcPr>
          <w:p w14:paraId="5414811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任何时间段单元监测项目的历史变化趋势，最大值、最小值统计分析功能并能实时展示</w:t>
            </w:r>
          </w:p>
        </w:tc>
      </w:tr>
      <w:tr w14:paraId="3F62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67" w:type="dxa"/>
            <w:vMerge w:val="continue"/>
            <w:vAlign w:val="center"/>
          </w:tcPr>
          <w:p w14:paraId="583B433C">
            <w:pPr>
              <w:jc w:val="center"/>
              <w:rPr>
                <w:rFonts w:asciiTheme="minorEastAsia" w:hAnsiTheme="minorEastAsia" w:eastAsiaTheme="minorEastAsia" w:cstheme="minorEastAsia"/>
                <w:szCs w:val="21"/>
              </w:rPr>
            </w:pPr>
          </w:p>
        </w:tc>
        <w:tc>
          <w:tcPr>
            <w:tcW w:w="6646" w:type="dxa"/>
            <w:vAlign w:val="center"/>
          </w:tcPr>
          <w:p w14:paraId="48C3933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宁海属地项目审批、处罚情况等汇总、统计、分析结果的展示。</w:t>
            </w:r>
          </w:p>
        </w:tc>
      </w:tr>
      <w:tr w14:paraId="3AF0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67" w:type="dxa"/>
            <w:vMerge w:val="continue"/>
            <w:vAlign w:val="center"/>
          </w:tcPr>
          <w:p w14:paraId="5CC4AC56">
            <w:pPr>
              <w:jc w:val="center"/>
              <w:rPr>
                <w:rFonts w:asciiTheme="minorEastAsia" w:hAnsiTheme="minorEastAsia" w:eastAsiaTheme="minorEastAsia" w:cstheme="minorEastAsia"/>
                <w:szCs w:val="21"/>
              </w:rPr>
            </w:pPr>
          </w:p>
        </w:tc>
        <w:tc>
          <w:tcPr>
            <w:tcW w:w="6646" w:type="dxa"/>
            <w:vAlign w:val="center"/>
          </w:tcPr>
          <w:p w14:paraId="72E03A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任何时段企业污染物之间相同的监测因子浓度可进行比较和展示。</w:t>
            </w:r>
          </w:p>
        </w:tc>
      </w:tr>
      <w:tr w14:paraId="7AC9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67" w:type="dxa"/>
            <w:vAlign w:val="center"/>
          </w:tcPr>
          <w:p w14:paraId="076C150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报警功能（适配）</w:t>
            </w:r>
          </w:p>
        </w:tc>
        <w:tc>
          <w:tcPr>
            <w:tcW w:w="6646" w:type="dxa"/>
            <w:vAlign w:val="center"/>
          </w:tcPr>
          <w:p w14:paraId="311D548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报警功能：一旦报警，能在GIS地图上显示报警提醒，将信息推送到相关人员手机端。</w:t>
            </w:r>
          </w:p>
        </w:tc>
      </w:tr>
      <w:tr w14:paraId="00E4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67" w:type="dxa"/>
            <w:vAlign w:val="center"/>
          </w:tcPr>
          <w:p w14:paraId="7BCF4FD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防欺诈预警（异常数据预警）（升级）</w:t>
            </w:r>
          </w:p>
        </w:tc>
        <w:tc>
          <w:tcPr>
            <w:tcW w:w="6646" w:type="dxa"/>
            <w:vAlign w:val="center"/>
          </w:tcPr>
          <w:p w14:paraId="1FF2E5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在时间范围内，可通过大数据 AI模型对监测数据异常，进行预警报警提醒。预警类型包括数据出现分钟值突变、数据小时值出现突变、数据较长时间处于稳定低值、数据较长时间处于恒值、数据经常出现极小值、废气自动监控设施烟温不正常、氧量异常等，报警页面展示内容包括预警时间、企业名称、排放口、检测项目、存在嫌疑、异常值及标准值、属地等信息。</w:t>
            </w:r>
          </w:p>
        </w:tc>
      </w:tr>
      <w:tr w14:paraId="5C01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967" w:type="dxa"/>
            <w:vAlign w:val="center"/>
          </w:tcPr>
          <w:p w14:paraId="7551A90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企业标签化（升级）</w:t>
            </w:r>
          </w:p>
        </w:tc>
        <w:tc>
          <w:tcPr>
            <w:tcW w:w="6646" w:type="dxa"/>
            <w:vAlign w:val="center"/>
          </w:tcPr>
          <w:p w14:paraId="4F4793C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可对企业进行标签化管理，根据企业的属性，标记各类标签，方便对企业进行分类管理和查询。标签类别包括排污许可管理类别、控制级别、排放特征因子(如重金属、恶臭、常规因子等)、行动专项等。</w:t>
            </w:r>
          </w:p>
        </w:tc>
      </w:tr>
    </w:tbl>
    <w:p w14:paraId="3EDE07F6">
      <w:pPr>
        <w:spacing w:line="360" w:lineRule="auto"/>
        <w:outlineLvl w:val="4"/>
        <w:rPr>
          <w:rFonts w:asciiTheme="minorEastAsia" w:hAnsiTheme="minorEastAsia" w:eastAsiaTheme="minorEastAsia" w:cstheme="minorEastAsia"/>
          <w:b/>
          <w:bCs/>
          <w:szCs w:val="21"/>
        </w:rPr>
      </w:pPr>
      <w:bookmarkStart w:id="51" w:name="_Toc2178"/>
    </w:p>
    <w:p w14:paraId="13454A4A">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4.3 GIS展示模块（适配）</w:t>
      </w:r>
      <w:bookmarkEnd w:id="51"/>
    </w:p>
    <w:p w14:paraId="2C76CBD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GIS展示系统具备的具体功能包括：</w:t>
      </w:r>
    </w:p>
    <w:p w14:paraId="6C29150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2</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环境空气质量的GIS展示功能需求表</w:t>
      </w:r>
    </w:p>
    <w:tbl>
      <w:tblPr>
        <w:tblStyle w:val="63"/>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4"/>
        <w:gridCol w:w="1592"/>
        <w:gridCol w:w="6335"/>
      </w:tblGrid>
      <w:tr w14:paraId="4D6F8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6" w:hRule="atLeast"/>
          <w:tblHeader/>
        </w:trPr>
        <w:tc>
          <w:tcPr>
            <w:tcW w:w="775" w:type="dxa"/>
            <w:shd w:val="clear" w:color="auto" w:fill="A6A6A6"/>
            <w:vAlign w:val="center"/>
          </w:tcPr>
          <w:p w14:paraId="62AA6653">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555" w:type="dxa"/>
            <w:shd w:val="clear" w:color="auto" w:fill="A6A6A6"/>
            <w:vAlign w:val="center"/>
          </w:tcPr>
          <w:p w14:paraId="71100DE1">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192" w:type="dxa"/>
            <w:shd w:val="clear" w:color="auto" w:fill="A6A6A6"/>
            <w:vAlign w:val="center"/>
          </w:tcPr>
          <w:p w14:paraId="15D030A3">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290EB9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 w:hRule="atLeast"/>
        </w:trPr>
        <w:tc>
          <w:tcPr>
            <w:tcW w:w="775" w:type="dxa"/>
            <w:vAlign w:val="center"/>
          </w:tcPr>
          <w:p w14:paraId="3738F5F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55" w:type="dxa"/>
            <w:vAlign w:val="center"/>
          </w:tcPr>
          <w:p w14:paraId="3003FA9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基础数据查询</w:t>
            </w:r>
          </w:p>
        </w:tc>
        <w:tc>
          <w:tcPr>
            <w:tcW w:w="6192" w:type="dxa"/>
            <w:vAlign w:val="center"/>
          </w:tcPr>
          <w:p w14:paraId="6769878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GIS地图上直接点开查询功能：包括实时数据、监测因子、评价结果等。</w:t>
            </w:r>
          </w:p>
        </w:tc>
      </w:tr>
      <w:tr w14:paraId="6BDA2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75" w:type="dxa"/>
            <w:vMerge w:val="restart"/>
            <w:vAlign w:val="center"/>
          </w:tcPr>
          <w:p w14:paraId="30A31F7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55" w:type="dxa"/>
            <w:vMerge w:val="restart"/>
            <w:vAlign w:val="center"/>
          </w:tcPr>
          <w:p w14:paraId="758B42A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w:t>
            </w:r>
          </w:p>
        </w:tc>
        <w:tc>
          <w:tcPr>
            <w:tcW w:w="6192" w:type="dxa"/>
            <w:tcBorders>
              <w:bottom w:val="single" w:color="auto" w:sz="4" w:space="0"/>
            </w:tcBorders>
            <w:vAlign w:val="center"/>
          </w:tcPr>
          <w:p w14:paraId="67B96C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GIS地图为基础，AQI实时动态全区域分布展示图，以渲染图形式展示。</w:t>
            </w:r>
          </w:p>
        </w:tc>
      </w:tr>
      <w:tr w14:paraId="430B3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trPr>
        <w:tc>
          <w:tcPr>
            <w:tcW w:w="775" w:type="dxa"/>
            <w:vMerge w:val="continue"/>
            <w:vAlign w:val="center"/>
          </w:tcPr>
          <w:p w14:paraId="614E7DE6">
            <w:pPr>
              <w:jc w:val="center"/>
              <w:rPr>
                <w:rFonts w:asciiTheme="minorEastAsia" w:hAnsiTheme="minorEastAsia" w:eastAsiaTheme="minorEastAsia" w:cstheme="minorEastAsia"/>
                <w:szCs w:val="21"/>
              </w:rPr>
            </w:pPr>
          </w:p>
        </w:tc>
        <w:tc>
          <w:tcPr>
            <w:tcW w:w="1555" w:type="dxa"/>
            <w:vMerge w:val="continue"/>
            <w:vAlign w:val="center"/>
          </w:tcPr>
          <w:p w14:paraId="69F0A0C3">
            <w:pPr>
              <w:jc w:val="center"/>
              <w:rPr>
                <w:rFonts w:asciiTheme="minorEastAsia" w:hAnsiTheme="minorEastAsia" w:eastAsiaTheme="minorEastAsia" w:cstheme="minorEastAsia"/>
                <w:szCs w:val="21"/>
              </w:rPr>
            </w:pPr>
          </w:p>
        </w:tc>
        <w:tc>
          <w:tcPr>
            <w:tcW w:w="6192" w:type="dxa"/>
            <w:tcBorders>
              <w:top w:val="single" w:color="auto" w:sz="4" w:space="0"/>
            </w:tcBorders>
            <w:vAlign w:val="center"/>
          </w:tcPr>
          <w:p w14:paraId="0B229E9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GIS地图污染物变化走势分析功能：可以选择任意时段、任意周期统计并显示污染物变化走势图，并显示污染物评价标准。</w:t>
            </w:r>
          </w:p>
        </w:tc>
      </w:tr>
      <w:tr w14:paraId="4341A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2" w:hRule="atLeast"/>
        </w:trPr>
        <w:tc>
          <w:tcPr>
            <w:tcW w:w="775" w:type="dxa"/>
            <w:vMerge w:val="continue"/>
            <w:vAlign w:val="center"/>
          </w:tcPr>
          <w:p w14:paraId="6B55F4CE">
            <w:pPr>
              <w:jc w:val="center"/>
              <w:rPr>
                <w:rFonts w:asciiTheme="minorEastAsia" w:hAnsiTheme="minorEastAsia" w:eastAsiaTheme="minorEastAsia" w:cstheme="minorEastAsia"/>
                <w:szCs w:val="21"/>
              </w:rPr>
            </w:pPr>
          </w:p>
        </w:tc>
        <w:tc>
          <w:tcPr>
            <w:tcW w:w="1555" w:type="dxa"/>
            <w:vMerge w:val="continue"/>
            <w:vAlign w:val="center"/>
          </w:tcPr>
          <w:p w14:paraId="369EC81B">
            <w:pPr>
              <w:jc w:val="center"/>
              <w:rPr>
                <w:rFonts w:asciiTheme="minorEastAsia" w:hAnsiTheme="minorEastAsia" w:eastAsiaTheme="minorEastAsia" w:cstheme="minorEastAsia"/>
                <w:szCs w:val="21"/>
              </w:rPr>
            </w:pPr>
          </w:p>
        </w:tc>
        <w:tc>
          <w:tcPr>
            <w:tcW w:w="6192" w:type="dxa"/>
            <w:vAlign w:val="center"/>
          </w:tcPr>
          <w:p w14:paraId="056FB9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环境空气质量变化走势分析功能：可以选择任意时段、任意周期统计并显示AQI变化走势图，以及显示AQI对应的空气质量指数级别、空气质量指数类别（优、良、轻度污染等）及对应的颜色；对健康影响状况。</w:t>
            </w:r>
          </w:p>
        </w:tc>
      </w:tr>
      <w:tr w14:paraId="2CCB6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 w:hRule="atLeast"/>
        </w:trPr>
        <w:tc>
          <w:tcPr>
            <w:tcW w:w="775" w:type="dxa"/>
            <w:vMerge w:val="continue"/>
            <w:vAlign w:val="center"/>
          </w:tcPr>
          <w:p w14:paraId="3563813D">
            <w:pPr>
              <w:jc w:val="center"/>
              <w:rPr>
                <w:rFonts w:asciiTheme="minorEastAsia" w:hAnsiTheme="minorEastAsia" w:eastAsiaTheme="minorEastAsia" w:cstheme="minorEastAsia"/>
                <w:szCs w:val="21"/>
              </w:rPr>
            </w:pPr>
          </w:p>
        </w:tc>
        <w:tc>
          <w:tcPr>
            <w:tcW w:w="1555" w:type="dxa"/>
            <w:vMerge w:val="continue"/>
            <w:vAlign w:val="center"/>
          </w:tcPr>
          <w:p w14:paraId="17005C9E">
            <w:pPr>
              <w:jc w:val="center"/>
              <w:rPr>
                <w:rFonts w:asciiTheme="minorEastAsia" w:hAnsiTheme="minorEastAsia" w:eastAsiaTheme="minorEastAsia" w:cstheme="minorEastAsia"/>
                <w:szCs w:val="21"/>
              </w:rPr>
            </w:pPr>
          </w:p>
        </w:tc>
        <w:tc>
          <w:tcPr>
            <w:tcW w:w="6192" w:type="dxa"/>
            <w:vAlign w:val="center"/>
          </w:tcPr>
          <w:p w14:paraId="2AF623E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GIS地图展示城市空气监测因子、质量分指数分析功能：可勾选一个或几个污染物，展现对应的IAQI值。</w:t>
            </w:r>
          </w:p>
        </w:tc>
      </w:tr>
      <w:tr w14:paraId="7B3CB9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 w:hRule="atLeast"/>
        </w:trPr>
        <w:tc>
          <w:tcPr>
            <w:tcW w:w="775" w:type="dxa"/>
            <w:vMerge w:val="continue"/>
            <w:vAlign w:val="center"/>
          </w:tcPr>
          <w:p w14:paraId="721362A2">
            <w:pPr>
              <w:jc w:val="center"/>
              <w:rPr>
                <w:rFonts w:asciiTheme="minorEastAsia" w:hAnsiTheme="minorEastAsia" w:eastAsiaTheme="minorEastAsia" w:cstheme="minorEastAsia"/>
                <w:szCs w:val="21"/>
              </w:rPr>
            </w:pPr>
          </w:p>
        </w:tc>
        <w:tc>
          <w:tcPr>
            <w:tcW w:w="1555" w:type="dxa"/>
            <w:vMerge w:val="continue"/>
            <w:vAlign w:val="center"/>
          </w:tcPr>
          <w:p w14:paraId="4FBEDB5B">
            <w:pPr>
              <w:jc w:val="center"/>
              <w:rPr>
                <w:rFonts w:asciiTheme="minorEastAsia" w:hAnsiTheme="minorEastAsia" w:eastAsiaTheme="minorEastAsia" w:cstheme="minorEastAsia"/>
                <w:szCs w:val="21"/>
              </w:rPr>
            </w:pPr>
          </w:p>
        </w:tc>
        <w:tc>
          <w:tcPr>
            <w:tcW w:w="6192" w:type="dxa"/>
            <w:vAlign w:val="center"/>
          </w:tcPr>
          <w:p w14:paraId="556D50B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GIS地图展示首要污染物统计功能：根据监测点数据计算筛选后进行对首要污染物分析统计并展示。</w:t>
            </w:r>
          </w:p>
        </w:tc>
      </w:tr>
      <w:tr w14:paraId="2CCB0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 w:hRule="atLeast"/>
        </w:trPr>
        <w:tc>
          <w:tcPr>
            <w:tcW w:w="775" w:type="dxa"/>
            <w:vMerge w:val="continue"/>
            <w:vAlign w:val="center"/>
          </w:tcPr>
          <w:p w14:paraId="04E12E0E">
            <w:pPr>
              <w:jc w:val="center"/>
              <w:rPr>
                <w:rFonts w:asciiTheme="minorEastAsia" w:hAnsiTheme="minorEastAsia" w:eastAsiaTheme="minorEastAsia" w:cstheme="minorEastAsia"/>
                <w:szCs w:val="21"/>
              </w:rPr>
            </w:pPr>
          </w:p>
        </w:tc>
        <w:tc>
          <w:tcPr>
            <w:tcW w:w="1555" w:type="dxa"/>
            <w:vMerge w:val="continue"/>
            <w:vAlign w:val="center"/>
          </w:tcPr>
          <w:p w14:paraId="239FB341">
            <w:pPr>
              <w:jc w:val="center"/>
              <w:rPr>
                <w:rFonts w:asciiTheme="minorEastAsia" w:hAnsiTheme="minorEastAsia" w:eastAsiaTheme="minorEastAsia" w:cstheme="minorEastAsia"/>
                <w:szCs w:val="21"/>
              </w:rPr>
            </w:pPr>
          </w:p>
        </w:tc>
        <w:tc>
          <w:tcPr>
            <w:tcW w:w="6192" w:type="dxa"/>
            <w:vAlign w:val="center"/>
          </w:tcPr>
          <w:p w14:paraId="3A875E6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GIS地图展示空气质量变化功能：对比分析同一地点不同时间段所展示的空气质量变化情况。</w:t>
            </w:r>
          </w:p>
        </w:tc>
      </w:tr>
      <w:tr w14:paraId="74941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775" w:type="dxa"/>
            <w:vMerge w:val="continue"/>
            <w:vAlign w:val="center"/>
          </w:tcPr>
          <w:p w14:paraId="2F5BB7A3">
            <w:pPr>
              <w:jc w:val="center"/>
              <w:rPr>
                <w:rFonts w:asciiTheme="minorEastAsia" w:hAnsiTheme="minorEastAsia" w:eastAsiaTheme="minorEastAsia" w:cstheme="minorEastAsia"/>
                <w:szCs w:val="21"/>
              </w:rPr>
            </w:pPr>
          </w:p>
        </w:tc>
        <w:tc>
          <w:tcPr>
            <w:tcW w:w="1555" w:type="dxa"/>
            <w:vMerge w:val="continue"/>
            <w:vAlign w:val="center"/>
          </w:tcPr>
          <w:p w14:paraId="72C716CE">
            <w:pPr>
              <w:jc w:val="center"/>
              <w:rPr>
                <w:rFonts w:asciiTheme="minorEastAsia" w:hAnsiTheme="minorEastAsia" w:eastAsiaTheme="minorEastAsia" w:cstheme="minorEastAsia"/>
                <w:szCs w:val="21"/>
              </w:rPr>
            </w:pPr>
          </w:p>
        </w:tc>
        <w:tc>
          <w:tcPr>
            <w:tcW w:w="6192" w:type="dxa"/>
            <w:tcBorders>
              <w:bottom w:val="single" w:color="auto" w:sz="4" w:space="0"/>
            </w:tcBorders>
            <w:vAlign w:val="center"/>
          </w:tcPr>
          <w:p w14:paraId="3CF092C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GIS地图展示同比功能：选择性分析统计空气质量测点各项目浓度同期数据比对。</w:t>
            </w:r>
          </w:p>
        </w:tc>
      </w:tr>
      <w:tr w14:paraId="722B52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 w:hRule="atLeast"/>
        </w:trPr>
        <w:tc>
          <w:tcPr>
            <w:tcW w:w="775" w:type="dxa"/>
            <w:vMerge w:val="continue"/>
            <w:vAlign w:val="center"/>
          </w:tcPr>
          <w:p w14:paraId="24301AB5">
            <w:pPr>
              <w:jc w:val="center"/>
              <w:rPr>
                <w:rFonts w:asciiTheme="minorEastAsia" w:hAnsiTheme="minorEastAsia" w:eastAsiaTheme="minorEastAsia" w:cstheme="minorEastAsia"/>
                <w:szCs w:val="21"/>
              </w:rPr>
            </w:pPr>
          </w:p>
        </w:tc>
        <w:tc>
          <w:tcPr>
            <w:tcW w:w="1555" w:type="dxa"/>
            <w:vMerge w:val="continue"/>
            <w:vAlign w:val="center"/>
          </w:tcPr>
          <w:p w14:paraId="2D32C18E">
            <w:pPr>
              <w:jc w:val="center"/>
              <w:rPr>
                <w:rFonts w:asciiTheme="minorEastAsia" w:hAnsiTheme="minorEastAsia" w:eastAsiaTheme="minorEastAsia" w:cstheme="minorEastAsia"/>
                <w:szCs w:val="21"/>
              </w:rPr>
            </w:pPr>
          </w:p>
        </w:tc>
        <w:tc>
          <w:tcPr>
            <w:tcW w:w="6192" w:type="dxa"/>
            <w:tcBorders>
              <w:top w:val="single" w:color="auto" w:sz="4" w:space="0"/>
            </w:tcBorders>
            <w:vAlign w:val="center"/>
          </w:tcPr>
          <w:p w14:paraId="77130E3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GIS地图溯源功能：在GIS地图上可以直接查询周边污染源的分布及污染源所有相关信息，并结合小尺度气象条件对污染进行溯源分析。</w:t>
            </w:r>
          </w:p>
        </w:tc>
      </w:tr>
    </w:tbl>
    <w:p w14:paraId="50A0EBA4">
      <w:pPr>
        <w:jc w:val="center"/>
        <w:rPr>
          <w:rFonts w:asciiTheme="minorEastAsia" w:hAnsiTheme="minorEastAsia" w:eastAsiaTheme="minorEastAsia" w:cstheme="minorEastAsia"/>
          <w:b/>
          <w:szCs w:val="21"/>
        </w:rPr>
      </w:pPr>
    </w:p>
    <w:p w14:paraId="7D0298D1">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3</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水环境质量的GIS展示功能需求表</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8"/>
        <w:gridCol w:w="1619"/>
        <w:gridCol w:w="6284"/>
      </w:tblGrid>
      <w:tr w14:paraId="5EB05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blHeader/>
          <w:jc w:val="center"/>
        </w:trPr>
        <w:tc>
          <w:tcPr>
            <w:tcW w:w="848" w:type="dxa"/>
            <w:shd w:val="clear" w:color="auto" w:fill="A6A6A6"/>
            <w:vAlign w:val="center"/>
          </w:tcPr>
          <w:p w14:paraId="58103000">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701" w:type="dxa"/>
            <w:shd w:val="clear" w:color="auto" w:fill="A6A6A6"/>
            <w:vAlign w:val="center"/>
          </w:tcPr>
          <w:p w14:paraId="508E04A9">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662" w:type="dxa"/>
            <w:shd w:val="clear" w:color="auto" w:fill="A6A6A6"/>
            <w:vAlign w:val="center"/>
          </w:tcPr>
          <w:p w14:paraId="6052BD90">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24844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jc w:val="center"/>
        </w:trPr>
        <w:tc>
          <w:tcPr>
            <w:tcW w:w="848" w:type="dxa"/>
            <w:shd w:val="clear" w:color="auto" w:fill="FFFFFF"/>
            <w:vAlign w:val="center"/>
          </w:tcPr>
          <w:p w14:paraId="5685FD7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01" w:type="dxa"/>
            <w:shd w:val="clear" w:color="auto" w:fill="FFFFFF"/>
            <w:vAlign w:val="center"/>
          </w:tcPr>
          <w:p w14:paraId="7AD02A6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基础数据查询</w:t>
            </w:r>
          </w:p>
        </w:tc>
        <w:tc>
          <w:tcPr>
            <w:tcW w:w="6662" w:type="dxa"/>
            <w:shd w:val="clear" w:color="auto" w:fill="FFFFFF"/>
            <w:vAlign w:val="center"/>
          </w:tcPr>
          <w:p w14:paraId="101EE79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在GIS地图上直接点开查询功能：包括实时数据、监测因子、评价结果等。</w:t>
            </w:r>
          </w:p>
        </w:tc>
      </w:tr>
      <w:tr w14:paraId="577EAE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restart"/>
            <w:vAlign w:val="center"/>
          </w:tcPr>
          <w:p w14:paraId="481374A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701" w:type="dxa"/>
            <w:vMerge w:val="restart"/>
            <w:vAlign w:val="center"/>
          </w:tcPr>
          <w:p w14:paraId="0735FD9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统计分析功能</w:t>
            </w:r>
          </w:p>
        </w:tc>
        <w:tc>
          <w:tcPr>
            <w:tcW w:w="6662" w:type="dxa"/>
            <w:vAlign w:val="center"/>
          </w:tcPr>
          <w:p w14:paraId="653C221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GIS地图展示水质类别判定分析功能：对河流、饮用水源等监测点类别判定分析。</w:t>
            </w:r>
          </w:p>
        </w:tc>
      </w:tr>
      <w:tr w14:paraId="03FBC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continue"/>
            <w:vAlign w:val="center"/>
          </w:tcPr>
          <w:p w14:paraId="375438AC">
            <w:pPr>
              <w:jc w:val="center"/>
              <w:rPr>
                <w:rFonts w:asciiTheme="minorEastAsia" w:hAnsiTheme="minorEastAsia" w:eastAsiaTheme="minorEastAsia" w:cstheme="minorEastAsia"/>
                <w:szCs w:val="21"/>
              </w:rPr>
            </w:pPr>
          </w:p>
        </w:tc>
        <w:tc>
          <w:tcPr>
            <w:tcW w:w="1701" w:type="dxa"/>
            <w:vMerge w:val="continue"/>
            <w:vAlign w:val="center"/>
          </w:tcPr>
          <w:p w14:paraId="389A50AA">
            <w:pPr>
              <w:jc w:val="center"/>
              <w:rPr>
                <w:rFonts w:asciiTheme="minorEastAsia" w:hAnsiTheme="minorEastAsia" w:eastAsiaTheme="minorEastAsia" w:cstheme="minorEastAsia"/>
                <w:szCs w:val="21"/>
              </w:rPr>
            </w:pPr>
          </w:p>
        </w:tc>
        <w:tc>
          <w:tcPr>
            <w:tcW w:w="6662" w:type="dxa"/>
            <w:vAlign w:val="center"/>
          </w:tcPr>
          <w:p w14:paraId="3DC3195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GIS地图展示水质主要污染物分析功能：对河流、饮用水源等监测点主要污染物分析功能</w:t>
            </w:r>
          </w:p>
        </w:tc>
      </w:tr>
      <w:tr w14:paraId="0CE78A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 w:hRule="atLeast"/>
          <w:jc w:val="center"/>
        </w:trPr>
        <w:tc>
          <w:tcPr>
            <w:tcW w:w="848" w:type="dxa"/>
            <w:vMerge w:val="continue"/>
            <w:vAlign w:val="center"/>
          </w:tcPr>
          <w:p w14:paraId="1387EE0C">
            <w:pPr>
              <w:jc w:val="center"/>
              <w:rPr>
                <w:rFonts w:asciiTheme="minorEastAsia" w:hAnsiTheme="minorEastAsia" w:eastAsiaTheme="minorEastAsia" w:cstheme="minorEastAsia"/>
                <w:szCs w:val="21"/>
              </w:rPr>
            </w:pPr>
          </w:p>
        </w:tc>
        <w:tc>
          <w:tcPr>
            <w:tcW w:w="1701" w:type="dxa"/>
            <w:vMerge w:val="continue"/>
            <w:vAlign w:val="center"/>
          </w:tcPr>
          <w:p w14:paraId="36CD4602">
            <w:pPr>
              <w:jc w:val="center"/>
              <w:rPr>
                <w:rFonts w:asciiTheme="minorEastAsia" w:hAnsiTheme="minorEastAsia" w:eastAsiaTheme="minorEastAsia" w:cstheme="minorEastAsia"/>
                <w:szCs w:val="21"/>
              </w:rPr>
            </w:pPr>
          </w:p>
        </w:tc>
        <w:tc>
          <w:tcPr>
            <w:tcW w:w="6662" w:type="dxa"/>
            <w:vAlign w:val="center"/>
          </w:tcPr>
          <w:p w14:paraId="6054128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GIS地图展示水质达标情况分析功能：对河流、饮用水源等监测点水质达标情况分析。</w:t>
            </w:r>
          </w:p>
        </w:tc>
      </w:tr>
      <w:tr w14:paraId="3CFDA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4" w:hRule="atLeast"/>
          <w:jc w:val="center"/>
        </w:trPr>
        <w:tc>
          <w:tcPr>
            <w:tcW w:w="848" w:type="dxa"/>
            <w:vMerge w:val="continue"/>
            <w:vAlign w:val="center"/>
          </w:tcPr>
          <w:p w14:paraId="65C303C8">
            <w:pPr>
              <w:jc w:val="center"/>
              <w:rPr>
                <w:rFonts w:asciiTheme="minorEastAsia" w:hAnsiTheme="minorEastAsia" w:eastAsiaTheme="minorEastAsia" w:cstheme="minorEastAsia"/>
                <w:szCs w:val="21"/>
              </w:rPr>
            </w:pPr>
          </w:p>
        </w:tc>
        <w:tc>
          <w:tcPr>
            <w:tcW w:w="1701" w:type="dxa"/>
            <w:vMerge w:val="continue"/>
            <w:vAlign w:val="center"/>
          </w:tcPr>
          <w:p w14:paraId="62A75E18">
            <w:pPr>
              <w:jc w:val="center"/>
              <w:rPr>
                <w:rFonts w:asciiTheme="minorEastAsia" w:hAnsiTheme="minorEastAsia" w:eastAsiaTheme="minorEastAsia" w:cstheme="minorEastAsia"/>
                <w:szCs w:val="21"/>
              </w:rPr>
            </w:pPr>
          </w:p>
        </w:tc>
        <w:tc>
          <w:tcPr>
            <w:tcW w:w="6662" w:type="dxa"/>
            <w:vAlign w:val="center"/>
          </w:tcPr>
          <w:p w14:paraId="31C502E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GIS地图展示趋势分析功能：对河流、饮用水源等污染物因子走势进行分析。</w:t>
            </w:r>
          </w:p>
        </w:tc>
      </w:tr>
      <w:tr w14:paraId="1ED61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 w:hRule="atLeast"/>
          <w:jc w:val="center"/>
        </w:trPr>
        <w:tc>
          <w:tcPr>
            <w:tcW w:w="848" w:type="dxa"/>
            <w:vMerge w:val="continue"/>
            <w:vAlign w:val="center"/>
          </w:tcPr>
          <w:p w14:paraId="5668406B">
            <w:pPr>
              <w:jc w:val="center"/>
              <w:rPr>
                <w:rFonts w:asciiTheme="minorEastAsia" w:hAnsiTheme="minorEastAsia" w:eastAsiaTheme="minorEastAsia" w:cstheme="minorEastAsia"/>
                <w:szCs w:val="21"/>
              </w:rPr>
            </w:pPr>
          </w:p>
        </w:tc>
        <w:tc>
          <w:tcPr>
            <w:tcW w:w="1701" w:type="dxa"/>
            <w:vMerge w:val="continue"/>
            <w:vAlign w:val="center"/>
          </w:tcPr>
          <w:p w14:paraId="74F3BCB9">
            <w:pPr>
              <w:jc w:val="center"/>
              <w:rPr>
                <w:rFonts w:asciiTheme="minorEastAsia" w:hAnsiTheme="minorEastAsia" w:eastAsiaTheme="minorEastAsia" w:cstheme="minorEastAsia"/>
                <w:szCs w:val="21"/>
              </w:rPr>
            </w:pPr>
          </w:p>
        </w:tc>
        <w:tc>
          <w:tcPr>
            <w:tcW w:w="6662" w:type="dxa"/>
            <w:tcBorders>
              <w:bottom w:val="single" w:color="auto" w:sz="4" w:space="0"/>
            </w:tcBorders>
            <w:vAlign w:val="center"/>
          </w:tcPr>
          <w:p w14:paraId="37F4A8C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GIS地图展示实时数据查询与比较分析功能。</w:t>
            </w:r>
          </w:p>
        </w:tc>
      </w:tr>
      <w:tr w14:paraId="5D3AD2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5" w:hRule="atLeast"/>
          <w:jc w:val="center"/>
        </w:trPr>
        <w:tc>
          <w:tcPr>
            <w:tcW w:w="848" w:type="dxa"/>
            <w:vMerge w:val="continue"/>
            <w:vAlign w:val="center"/>
          </w:tcPr>
          <w:p w14:paraId="47338DC5">
            <w:pPr>
              <w:jc w:val="center"/>
              <w:rPr>
                <w:rFonts w:asciiTheme="minorEastAsia" w:hAnsiTheme="minorEastAsia" w:eastAsiaTheme="minorEastAsia" w:cstheme="minorEastAsia"/>
                <w:szCs w:val="21"/>
              </w:rPr>
            </w:pPr>
          </w:p>
        </w:tc>
        <w:tc>
          <w:tcPr>
            <w:tcW w:w="1701" w:type="dxa"/>
            <w:vMerge w:val="continue"/>
            <w:vAlign w:val="center"/>
          </w:tcPr>
          <w:p w14:paraId="24EE9AFA">
            <w:pPr>
              <w:jc w:val="center"/>
              <w:rPr>
                <w:rFonts w:asciiTheme="minorEastAsia" w:hAnsiTheme="minorEastAsia" w:eastAsiaTheme="minorEastAsia" w:cstheme="minorEastAsia"/>
                <w:szCs w:val="21"/>
              </w:rPr>
            </w:pPr>
          </w:p>
        </w:tc>
        <w:tc>
          <w:tcPr>
            <w:tcW w:w="6662" w:type="dxa"/>
            <w:tcBorders>
              <w:top w:val="single" w:color="auto" w:sz="4" w:space="0"/>
            </w:tcBorders>
            <w:vAlign w:val="center"/>
          </w:tcPr>
          <w:p w14:paraId="41C705B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GIS地图溯源功能：在GIS地图上可以直接查询周边污染源的分布及污染源所有相关信息，并结合水文信息对污染进行溯源分析。</w:t>
            </w:r>
          </w:p>
        </w:tc>
      </w:tr>
    </w:tbl>
    <w:p w14:paraId="25E6DF31">
      <w:pPr>
        <w:jc w:val="center"/>
        <w:rPr>
          <w:rFonts w:asciiTheme="minorEastAsia" w:hAnsiTheme="minorEastAsia" w:eastAsiaTheme="minorEastAsia" w:cstheme="minorEastAsia"/>
          <w:b/>
          <w:szCs w:val="21"/>
        </w:rPr>
      </w:pPr>
    </w:p>
    <w:p w14:paraId="6DDD5C34">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4</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污染源360监察的GIS展示功能需求表</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8"/>
        <w:gridCol w:w="1620"/>
        <w:gridCol w:w="6283"/>
      </w:tblGrid>
      <w:tr w14:paraId="64E40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blHeader/>
          <w:jc w:val="center"/>
        </w:trPr>
        <w:tc>
          <w:tcPr>
            <w:tcW w:w="848" w:type="dxa"/>
            <w:shd w:val="clear" w:color="auto" w:fill="A6A6A6"/>
            <w:vAlign w:val="center"/>
          </w:tcPr>
          <w:p w14:paraId="6943BE65">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701" w:type="dxa"/>
            <w:shd w:val="clear" w:color="auto" w:fill="A6A6A6"/>
            <w:vAlign w:val="center"/>
          </w:tcPr>
          <w:p w14:paraId="7AEB2201">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660" w:type="dxa"/>
            <w:shd w:val="clear" w:color="auto" w:fill="A6A6A6"/>
            <w:vAlign w:val="center"/>
          </w:tcPr>
          <w:p w14:paraId="513A3612">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35096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restart"/>
            <w:shd w:val="clear" w:color="auto" w:fill="FFFFFF"/>
            <w:vAlign w:val="center"/>
          </w:tcPr>
          <w:p w14:paraId="6BA3489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701" w:type="dxa"/>
            <w:vMerge w:val="restart"/>
            <w:shd w:val="clear" w:color="auto" w:fill="FFFFFF"/>
            <w:vAlign w:val="center"/>
          </w:tcPr>
          <w:p w14:paraId="6349970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实时展示功能</w:t>
            </w:r>
          </w:p>
        </w:tc>
        <w:tc>
          <w:tcPr>
            <w:tcW w:w="6660" w:type="dxa"/>
            <w:shd w:val="clear" w:color="auto" w:fill="FFFFFF"/>
            <w:vAlign w:val="center"/>
          </w:tcPr>
          <w:p w14:paraId="526447A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形成污染源展示图层和统计分析图层：以GIS地图为载体，污染源分布与统计分析图层相结合，展示各污染源的分析统计信息。</w:t>
            </w:r>
          </w:p>
        </w:tc>
      </w:tr>
      <w:tr w14:paraId="0C16C8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continue"/>
            <w:vAlign w:val="center"/>
          </w:tcPr>
          <w:p w14:paraId="16890419">
            <w:pPr>
              <w:jc w:val="center"/>
              <w:rPr>
                <w:rFonts w:asciiTheme="minorEastAsia" w:hAnsiTheme="minorEastAsia" w:eastAsiaTheme="minorEastAsia" w:cstheme="minorEastAsia"/>
                <w:szCs w:val="21"/>
              </w:rPr>
            </w:pPr>
          </w:p>
        </w:tc>
        <w:tc>
          <w:tcPr>
            <w:tcW w:w="1701" w:type="dxa"/>
            <w:vMerge w:val="continue"/>
            <w:vAlign w:val="center"/>
          </w:tcPr>
          <w:p w14:paraId="546AA176">
            <w:pPr>
              <w:jc w:val="center"/>
              <w:rPr>
                <w:rFonts w:asciiTheme="minorEastAsia" w:hAnsiTheme="minorEastAsia" w:eastAsiaTheme="minorEastAsia" w:cstheme="minorEastAsia"/>
                <w:szCs w:val="21"/>
              </w:rPr>
            </w:pPr>
          </w:p>
        </w:tc>
        <w:tc>
          <w:tcPr>
            <w:tcW w:w="6660" w:type="dxa"/>
            <w:vAlign w:val="center"/>
          </w:tcPr>
          <w:p w14:paraId="15CB69E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污染源监控基本展示功能：可以在GIS地图上，直接查看污染源控制级别，查看企业的基本信息（一企一档）。</w:t>
            </w:r>
          </w:p>
        </w:tc>
      </w:tr>
      <w:tr w14:paraId="4C53B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continue"/>
            <w:vAlign w:val="center"/>
          </w:tcPr>
          <w:p w14:paraId="7DBA460C">
            <w:pPr>
              <w:jc w:val="center"/>
              <w:rPr>
                <w:rFonts w:asciiTheme="minorEastAsia" w:hAnsiTheme="minorEastAsia" w:eastAsiaTheme="minorEastAsia" w:cstheme="minorEastAsia"/>
                <w:szCs w:val="21"/>
              </w:rPr>
            </w:pPr>
          </w:p>
        </w:tc>
        <w:tc>
          <w:tcPr>
            <w:tcW w:w="1701" w:type="dxa"/>
            <w:vMerge w:val="continue"/>
            <w:vAlign w:val="center"/>
          </w:tcPr>
          <w:p w14:paraId="7F21F171">
            <w:pPr>
              <w:jc w:val="center"/>
              <w:rPr>
                <w:rFonts w:asciiTheme="minorEastAsia" w:hAnsiTheme="minorEastAsia" w:eastAsiaTheme="minorEastAsia" w:cstheme="minorEastAsia"/>
                <w:szCs w:val="21"/>
              </w:rPr>
            </w:pPr>
          </w:p>
        </w:tc>
        <w:tc>
          <w:tcPr>
            <w:tcW w:w="6660" w:type="dxa"/>
            <w:vAlign w:val="center"/>
          </w:tcPr>
          <w:p w14:paraId="0A88642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污染源在线监控展示：查看企业各排放口的在线监控数据、历史数据走势图、及数据的有效率、超标率等。</w:t>
            </w:r>
          </w:p>
        </w:tc>
      </w:tr>
      <w:tr w14:paraId="1D5A0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0" w:hRule="atLeast"/>
          <w:jc w:val="center"/>
        </w:trPr>
        <w:tc>
          <w:tcPr>
            <w:tcW w:w="848" w:type="dxa"/>
            <w:vAlign w:val="center"/>
          </w:tcPr>
          <w:p w14:paraId="06CF185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701" w:type="dxa"/>
            <w:vAlign w:val="center"/>
          </w:tcPr>
          <w:p w14:paraId="63005BF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企业监管功能</w:t>
            </w:r>
          </w:p>
        </w:tc>
        <w:tc>
          <w:tcPr>
            <w:tcW w:w="6660" w:type="dxa"/>
            <w:vAlign w:val="center"/>
          </w:tcPr>
          <w:p w14:paraId="17D6E9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查询功能：企业行政处罚、审批、排污许可证、信访等信息查询。</w:t>
            </w:r>
          </w:p>
        </w:tc>
      </w:tr>
      <w:tr w14:paraId="07A79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restart"/>
            <w:vAlign w:val="center"/>
          </w:tcPr>
          <w:p w14:paraId="1AF648A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701" w:type="dxa"/>
            <w:vMerge w:val="restart"/>
            <w:vAlign w:val="center"/>
          </w:tcPr>
          <w:p w14:paraId="5D75BE2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统计分析功能</w:t>
            </w:r>
          </w:p>
        </w:tc>
        <w:tc>
          <w:tcPr>
            <w:tcW w:w="6660" w:type="dxa"/>
            <w:vAlign w:val="center"/>
          </w:tcPr>
          <w:p w14:paraId="6E0CC12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GIS地图上展示污染源历史变化趋势。</w:t>
            </w:r>
          </w:p>
        </w:tc>
      </w:tr>
      <w:tr w14:paraId="5A4BE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48" w:type="dxa"/>
            <w:vMerge w:val="continue"/>
            <w:vAlign w:val="center"/>
          </w:tcPr>
          <w:p w14:paraId="5A532CF6">
            <w:pPr>
              <w:jc w:val="center"/>
              <w:rPr>
                <w:rFonts w:asciiTheme="minorEastAsia" w:hAnsiTheme="minorEastAsia" w:eastAsiaTheme="minorEastAsia" w:cstheme="minorEastAsia"/>
                <w:szCs w:val="21"/>
              </w:rPr>
            </w:pPr>
          </w:p>
        </w:tc>
        <w:tc>
          <w:tcPr>
            <w:tcW w:w="1701" w:type="dxa"/>
            <w:vMerge w:val="continue"/>
            <w:vAlign w:val="center"/>
          </w:tcPr>
          <w:p w14:paraId="3D48A629">
            <w:pPr>
              <w:jc w:val="center"/>
              <w:rPr>
                <w:rFonts w:asciiTheme="minorEastAsia" w:hAnsiTheme="minorEastAsia" w:eastAsiaTheme="minorEastAsia" w:cstheme="minorEastAsia"/>
                <w:szCs w:val="21"/>
              </w:rPr>
            </w:pPr>
          </w:p>
        </w:tc>
        <w:tc>
          <w:tcPr>
            <w:tcW w:w="6660" w:type="dxa"/>
            <w:vAlign w:val="center"/>
          </w:tcPr>
          <w:p w14:paraId="235B0F6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在GIS地图上展示行政处罚、信访、项目建设等同期数据比对。</w:t>
            </w:r>
          </w:p>
        </w:tc>
      </w:tr>
      <w:tr w14:paraId="68517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848" w:type="dxa"/>
            <w:vAlign w:val="center"/>
          </w:tcPr>
          <w:p w14:paraId="466AEA3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701" w:type="dxa"/>
            <w:vAlign w:val="center"/>
          </w:tcPr>
          <w:p w14:paraId="30AB3BF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报警提醒功能</w:t>
            </w:r>
          </w:p>
        </w:tc>
        <w:tc>
          <w:tcPr>
            <w:tcW w:w="6660" w:type="dxa"/>
            <w:vAlign w:val="center"/>
          </w:tcPr>
          <w:p w14:paraId="375EFBD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在线监控报警功能：一旦报警，能在地图上显示提醒报警，将信息推送到相关人员手机端。</w:t>
            </w:r>
          </w:p>
        </w:tc>
      </w:tr>
    </w:tbl>
    <w:p w14:paraId="754B67DD">
      <w:pPr>
        <w:spacing w:line="360" w:lineRule="auto"/>
        <w:outlineLvl w:val="4"/>
        <w:rPr>
          <w:rFonts w:asciiTheme="minorEastAsia" w:hAnsiTheme="minorEastAsia" w:eastAsiaTheme="minorEastAsia" w:cstheme="minorEastAsia"/>
          <w:b/>
          <w:bCs/>
          <w:szCs w:val="21"/>
        </w:rPr>
      </w:pPr>
      <w:bookmarkStart w:id="52" w:name="_Toc248"/>
    </w:p>
    <w:p w14:paraId="47FC1C79">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4.4 导航仓（适配及升级）</w:t>
      </w:r>
      <w:bookmarkEnd w:id="52"/>
    </w:p>
    <w:p w14:paraId="713A6C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对导航仓界面设计进行升级，使之更符合业务需求，同时提升UI设计，更具有可看性，具体功能包括：</w:t>
      </w:r>
    </w:p>
    <w:p w14:paraId="5E547FD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5</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导航仓功能需求表</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3"/>
        <w:gridCol w:w="1003"/>
        <w:gridCol w:w="979"/>
        <w:gridCol w:w="5946"/>
      </w:tblGrid>
      <w:tr w14:paraId="2E8926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7" w:hRule="atLeast"/>
          <w:tblHeader/>
          <w:jc w:val="center"/>
        </w:trPr>
        <w:tc>
          <w:tcPr>
            <w:tcW w:w="789" w:type="dxa"/>
            <w:tcBorders>
              <w:top w:val="single" w:color="auto" w:sz="4" w:space="0"/>
              <w:left w:val="single" w:color="auto" w:sz="4" w:space="0"/>
              <w:bottom w:val="single" w:color="auto" w:sz="4" w:space="0"/>
              <w:right w:val="single" w:color="auto" w:sz="4" w:space="0"/>
            </w:tcBorders>
            <w:shd w:val="clear" w:color="auto" w:fill="A6A6A6"/>
            <w:vAlign w:val="center"/>
          </w:tcPr>
          <w:p w14:paraId="7D5D86A8">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974" w:type="dxa"/>
            <w:gridSpan w:val="2"/>
            <w:tcBorders>
              <w:top w:val="single" w:color="auto" w:sz="4" w:space="0"/>
              <w:left w:val="single" w:color="auto" w:sz="4" w:space="0"/>
              <w:bottom w:val="single" w:color="auto" w:sz="4" w:space="0"/>
              <w:right w:val="single" w:color="auto" w:sz="4" w:space="0"/>
            </w:tcBorders>
            <w:shd w:val="clear" w:color="auto" w:fill="A6A6A6"/>
            <w:vAlign w:val="center"/>
          </w:tcPr>
          <w:p w14:paraId="7055D653">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5958" w:type="dxa"/>
            <w:tcBorders>
              <w:top w:val="single" w:color="auto" w:sz="4" w:space="0"/>
              <w:left w:val="single" w:color="auto" w:sz="4" w:space="0"/>
              <w:bottom w:val="single" w:color="auto" w:sz="4" w:space="0"/>
              <w:right w:val="single" w:color="auto" w:sz="4" w:space="0"/>
            </w:tcBorders>
            <w:shd w:val="clear" w:color="auto" w:fill="A6A6A6"/>
            <w:vAlign w:val="center"/>
          </w:tcPr>
          <w:p w14:paraId="7CA35861">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功能描述</w:t>
            </w:r>
          </w:p>
        </w:tc>
      </w:tr>
      <w:tr w14:paraId="154BE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789" w:type="dxa"/>
            <w:vMerge w:val="restart"/>
            <w:tcBorders>
              <w:top w:val="single" w:color="auto" w:sz="4" w:space="0"/>
            </w:tcBorders>
            <w:vAlign w:val="center"/>
          </w:tcPr>
          <w:p w14:paraId="7231A05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99" w:type="dxa"/>
            <w:vMerge w:val="restart"/>
            <w:tcBorders>
              <w:top w:val="single" w:color="auto" w:sz="4" w:space="0"/>
            </w:tcBorders>
            <w:vAlign w:val="center"/>
          </w:tcPr>
          <w:p w14:paraId="4898B55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总导航舱（适配）</w:t>
            </w:r>
          </w:p>
        </w:tc>
        <w:tc>
          <w:tcPr>
            <w:tcW w:w="975" w:type="dxa"/>
            <w:tcBorders>
              <w:top w:val="single" w:color="auto" w:sz="4" w:space="0"/>
            </w:tcBorders>
            <w:vAlign w:val="center"/>
          </w:tcPr>
          <w:p w14:paraId="7BC09B4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环境质量</w:t>
            </w:r>
          </w:p>
        </w:tc>
        <w:tc>
          <w:tcPr>
            <w:tcW w:w="5958" w:type="dxa"/>
            <w:tcBorders>
              <w:top w:val="single" w:color="auto" w:sz="4" w:space="0"/>
            </w:tcBorders>
            <w:vAlign w:val="center"/>
          </w:tcPr>
          <w:p w14:paraId="23D875C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最新各类环境质量数据统计分析结果的展示。包含实时水质情况（最近监测周期的达标率及超标状况），实时空气质量（首要污染物，日、月历天数分析）。</w:t>
            </w:r>
          </w:p>
        </w:tc>
      </w:tr>
      <w:tr w14:paraId="3E185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789" w:type="dxa"/>
            <w:vMerge w:val="continue"/>
            <w:vAlign w:val="center"/>
          </w:tcPr>
          <w:p w14:paraId="4073D98E">
            <w:pPr>
              <w:jc w:val="center"/>
              <w:rPr>
                <w:rFonts w:asciiTheme="minorEastAsia" w:hAnsiTheme="minorEastAsia" w:eastAsiaTheme="minorEastAsia" w:cstheme="minorEastAsia"/>
                <w:szCs w:val="21"/>
              </w:rPr>
            </w:pPr>
          </w:p>
        </w:tc>
        <w:tc>
          <w:tcPr>
            <w:tcW w:w="999" w:type="dxa"/>
            <w:vMerge w:val="continue"/>
            <w:vAlign w:val="center"/>
          </w:tcPr>
          <w:p w14:paraId="26C0C55C">
            <w:pPr>
              <w:jc w:val="center"/>
              <w:rPr>
                <w:rFonts w:asciiTheme="minorEastAsia" w:hAnsiTheme="minorEastAsia" w:eastAsiaTheme="minorEastAsia" w:cstheme="minorEastAsia"/>
                <w:szCs w:val="21"/>
              </w:rPr>
            </w:pPr>
          </w:p>
        </w:tc>
        <w:tc>
          <w:tcPr>
            <w:tcW w:w="975" w:type="dxa"/>
            <w:tcBorders>
              <w:top w:val="single" w:color="auto" w:sz="4" w:space="0"/>
            </w:tcBorders>
            <w:vAlign w:val="center"/>
          </w:tcPr>
          <w:p w14:paraId="1F79C98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w:t>
            </w:r>
          </w:p>
        </w:tc>
        <w:tc>
          <w:tcPr>
            <w:tcW w:w="5958" w:type="dxa"/>
            <w:tcBorders>
              <w:top w:val="single" w:color="auto" w:sz="4" w:space="0"/>
            </w:tcBorders>
            <w:vAlign w:val="center"/>
          </w:tcPr>
          <w:p w14:paraId="5789F06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主要污染源统计：全县企业分布数量情况。</w:t>
            </w:r>
          </w:p>
          <w:p w14:paraId="4B7A157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业务数据的统计：包含信访数据、项目审批数据、行政处罚等。污染源在线监控超标数据等。</w:t>
            </w:r>
          </w:p>
        </w:tc>
      </w:tr>
      <w:tr w14:paraId="0BC1CF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789" w:type="dxa"/>
            <w:tcBorders>
              <w:top w:val="single" w:color="auto" w:sz="4" w:space="0"/>
            </w:tcBorders>
            <w:vAlign w:val="center"/>
          </w:tcPr>
          <w:p w14:paraId="4CB921C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74" w:type="dxa"/>
            <w:gridSpan w:val="2"/>
            <w:tcBorders>
              <w:top w:val="single" w:color="auto" w:sz="4" w:space="0"/>
            </w:tcBorders>
            <w:vAlign w:val="center"/>
          </w:tcPr>
          <w:p w14:paraId="0211FBF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环境空气专题导航舱（升级）</w:t>
            </w:r>
          </w:p>
        </w:tc>
        <w:tc>
          <w:tcPr>
            <w:tcW w:w="5958" w:type="dxa"/>
            <w:tcBorders>
              <w:top w:val="single" w:color="auto" w:sz="4" w:space="0"/>
            </w:tcBorders>
            <w:vAlign w:val="center"/>
          </w:tcPr>
          <w:p w14:paraId="50773BC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1）对照各项考核指标，结合全县空气质量数据，显示目前相应的分析数据，进行数据对比和分析。</w:t>
            </w:r>
          </w:p>
          <w:p w14:paraId="2B1CBCB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2）实时显示全县环境空气质量排名等。</w:t>
            </w:r>
          </w:p>
          <w:p w14:paraId="462DF51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3）可根据AQI或监测因子进行分析宁海在宁波市的排名情况。</w:t>
            </w:r>
          </w:p>
          <w:p w14:paraId="0EA41C1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4）展示具有代表性监测站点AQI或常规六项因子日变化趋势。</w:t>
            </w:r>
          </w:p>
        </w:tc>
      </w:tr>
      <w:tr w14:paraId="5CC0A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789" w:type="dxa"/>
            <w:tcBorders>
              <w:top w:val="single" w:color="auto" w:sz="4" w:space="0"/>
              <w:bottom w:val="single" w:color="auto" w:sz="4" w:space="0"/>
            </w:tcBorders>
            <w:vAlign w:val="center"/>
          </w:tcPr>
          <w:p w14:paraId="77E9AFD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74" w:type="dxa"/>
            <w:gridSpan w:val="2"/>
            <w:tcBorders>
              <w:top w:val="single" w:color="auto" w:sz="4" w:space="0"/>
              <w:bottom w:val="single" w:color="auto" w:sz="4" w:space="0"/>
            </w:tcBorders>
            <w:vAlign w:val="center"/>
          </w:tcPr>
          <w:p w14:paraId="4E01F93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水环境专题导航舱（升级）</w:t>
            </w:r>
          </w:p>
        </w:tc>
        <w:tc>
          <w:tcPr>
            <w:tcW w:w="5958" w:type="dxa"/>
            <w:tcBorders>
              <w:top w:val="single" w:color="auto" w:sz="4" w:space="0"/>
              <w:bottom w:val="single" w:color="auto" w:sz="4" w:space="0"/>
            </w:tcBorders>
            <w:vAlign w:val="center"/>
          </w:tcPr>
          <w:p w14:paraId="249462C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1）目标考核</w:t>
            </w:r>
          </w:p>
          <w:p w14:paraId="3BBA1FA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对照各项考核指标，结合全县所有水质考核断面数据进行对比和分析。</w:t>
            </w:r>
          </w:p>
          <w:p w14:paraId="2A8858F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展示全县水质考核断面数量、Ⅳ类水以上所占比例以及目标值；展示劣Ⅴ类断面数量及目标值。</w:t>
            </w:r>
          </w:p>
          <w:p w14:paraId="49CABD0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展示不同控制级别断面的常规水质监测因子同比环比趋势。</w:t>
            </w:r>
          </w:p>
          <w:p w14:paraId="10E987F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2）饮用水达标分析</w:t>
            </w:r>
          </w:p>
          <w:p w14:paraId="67DD512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展示饮用水达标率，以图形形式展示饮用水达标率（达标情况同比数据对比情况）。</w:t>
            </w:r>
          </w:p>
          <w:p w14:paraId="6AB6106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3）水质类别分析</w:t>
            </w:r>
          </w:p>
          <w:p w14:paraId="49047A7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展示分析统计不同控制级别（省控、市控、县（市）控等）各断面水质监测级别分布情况。</w:t>
            </w:r>
          </w:p>
          <w:p w14:paraId="7CA75A5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4）自动站分析</w:t>
            </w:r>
          </w:p>
          <w:p w14:paraId="3E388C7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自动站实时监测数据以列表形式展示。对不达标情况进行分析。</w:t>
            </w:r>
          </w:p>
        </w:tc>
      </w:tr>
      <w:tr w14:paraId="21639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789" w:type="dxa"/>
            <w:tcBorders>
              <w:top w:val="single" w:color="auto" w:sz="4" w:space="0"/>
            </w:tcBorders>
            <w:vAlign w:val="center"/>
          </w:tcPr>
          <w:p w14:paraId="111E38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74" w:type="dxa"/>
            <w:gridSpan w:val="2"/>
            <w:tcBorders>
              <w:top w:val="single" w:color="auto" w:sz="4" w:space="0"/>
            </w:tcBorders>
            <w:vAlign w:val="center"/>
          </w:tcPr>
          <w:p w14:paraId="05E3FB4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污染源专题导航舱（升级）</w:t>
            </w:r>
          </w:p>
        </w:tc>
        <w:tc>
          <w:tcPr>
            <w:tcW w:w="5958" w:type="dxa"/>
            <w:tcBorders>
              <w:top w:val="single" w:color="auto" w:sz="4" w:space="0"/>
            </w:tcBorders>
            <w:vAlign w:val="center"/>
          </w:tcPr>
          <w:p w14:paraId="63BFEE23">
            <w:pPr>
              <w:numPr>
                <w:ilvl w:val="0"/>
                <w:numId w:val="4"/>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更新污染源在线监控企业信息</w:t>
            </w:r>
          </w:p>
          <w:p w14:paraId="621A35FA">
            <w:pPr>
              <w:numPr>
                <w:ilvl w:val="0"/>
                <w:numId w:val="5"/>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展示企业地理信息。</w:t>
            </w:r>
          </w:p>
          <w:p w14:paraId="0E8FBC74">
            <w:pPr>
              <w:numPr>
                <w:ilvl w:val="0"/>
                <w:numId w:val="5"/>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废水、污水、废气排口统计</w:t>
            </w:r>
          </w:p>
          <w:p w14:paraId="41A954E6">
            <w:pPr>
              <w:numPr>
                <w:ilvl w:val="0"/>
                <w:numId w:val="5"/>
              </w:num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污水、废气达标情况。</w:t>
            </w:r>
          </w:p>
        </w:tc>
      </w:tr>
    </w:tbl>
    <w:p w14:paraId="2AF1FD8C">
      <w:pPr>
        <w:spacing w:line="360" w:lineRule="auto"/>
        <w:ind w:firstLine="211" w:firstLineChars="100"/>
        <w:outlineLvl w:val="4"/>
        <w:rPr>
          <w:rFonts w:asciiTheme="minorEastAsia" w:hAnsiTheme="minorEastAsia" w:eastAsiaTheme="minorEastAsia" w:cstheme="minorEastAsia"/>
          <w:b/>
          <w:bCs/>
          <w:szCs w:val="21"/>
        </w:rPr>
      </w:pPr>
      <w:bookmarkStart w:id="53" w:name="_Toc4745"/>
    </w:p>
    <w:p w14:paraId="70EDE793">
      <w:pPr>
        <w:spacing w:line="360" w:lineRule="auto"/>
        <w:ind w:firstLine="211" w:firstLineChars="100"/>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4.5  VOCs三位一体监控预警模块（功能简化，适配）</w:t>
      </w:r>
      <w:bookmarkEnd w:id="53"/>
    </w:p>
    <w:p w14:paraId="6C2CE2E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对原VOCs三位一体监控预警模块进行功能简化，保留的功能进行</w:t>
      </w:r>
      <w:r>
        <w:rPr>
          <w:rFonts w:hint="eastAsia" w:asciiTheme="minorEastAsia" w:hAnsiTheme="minorEastAsia" w:eastAsiaTheme="minorEastAsia" w:cstheme="minorEastAsia"/>
          <w:szCs w:val="21"/>
          <w:lang w:eastAsia="zh-CN"/>
        </w:rPr>
        <w:t>国产化</w:t>
      </w:r>
      <w:r>
        <w:rPr>
          <w:rFonts w:hint="eastAsia" w:asciiTheme="minorEastAsia" w:hAnsiTheme="minorEastAsia" w:eastAsiaTheme="minorEastAsia" w:cstheme="minorEastAsia"/>
          <w:szCs w:val="21"/>
        </w:rPr>
        <w:t>适配。</w:t>
      </w:r>
    </w:p>
    <w:p w14:paraId="496086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对接排口、厂界、环境VOCs数据，并进行数据查询、统计分析及展示。</w:t>
      </w:r>
    </w:p>
    <w:p w14:paraId="494562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具体功能需求见下表：</w:t>
      </w:r>
    </w:p>
    <w:p w14:paraId="3E595655">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VOCs三位一体监控预警功能需求表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6989"/>
      </w:tblGrid>
      <w:tr w14:paraId="0E60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1911" w:type="dxa"/>
            <w:shd w:val="clear" w:color="auto" w:fill="BEBEBE"/>
            <w:vAlign w:val="center"/>
          </w:tcPr>
          <w:p w14:paraId="33E28234">
            <w:pPr>
              <w:jc w:val="center"/>
              <w:rPr>
                <w:rFonts w:asciiTheme="minorEastAsia" w:hAnsiTheme="minorEastAsia" w:eastAsiaTheme="minorEastAsia" w:cstheme="minorEastAsia"/>
                <w:b/>
                <w:bCs/>
                <w:szCs w:val="21"/>
              </w:rPr>
            </w:pPr>
            <w:bookmarkStart w:id="54" w:name="_Hlk182337253"/>
            <w:r>
              <w:rPr>
                <w:rFonts w:hint="eastAsia" w:asciiTheme="minorEastAsia" w:hAnsiTheme="minorEastAsia" w:eastAsiaTheme="minorEastAsia" w:cstheme="minorEastAsia"/>
                <w:b/>
                <w:bCs/>
                <w:szCs w:val="21"/>
              </w:rPr>
              <w:t>功能类别</w:t>
            </w:r>
          </w:p>
        </w:tc>
        <w:tc>
          <w:tcPr>
            <w:tcW w:w="7825" w:type="dxa"/>
            <w:shd w:val="clear" w:color="auto" w:fill="BEBEBE"/>
            <w:vAlign w:val="center"/>
          </w:tcPr>
          <w:p w14:paraId="63DDF11B">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41B7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911" w:type="dxa"/>
            <w:vAlign w:val="center"/>
          </w:tcPr>
          <w:p w14:paraId="1478A4F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空间信息</w:t>
            </w:r>
          </w:p>
          <w:p w14:paraId="1853CB8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定位管理</w:t>
            </w:r>
          </w:p>
        </w:tc>
        <w:tc>
          <w:tcPr>
            <w:tcW w:w="7825" w:type="dxa"/>
            <w:vAlign w:val="center"/>
          </w:tcPr>
          <w:p w14:paraId="35A2C69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空间信息定位管理：基于网络地图可对排口、厂界、环境质量的污染排放监控环境监测空间要素进行定位管理和图形显示，可以对各类要素实现图层化展示。</w:t>
            </w:r>
          </w:p>
        </w:tc>
      </w:tr>
      <w:tr w14:paraId="364A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11" w:type="dxa"/>
            <w:vAlign w:val="center"/>
          </w:tcPr>
          <w:p w14:paraId="4704E18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w:t>
            </w:r>
          </w:p>
        </w:tc>
        <w:tc>
          <w:tcPr>
            <w:tcW w:w="7825" w:type="dxa"/>
            <w:vAlign w:val="center"/>
          </w:tcPr>
          <w:p w14:paraId="5E35085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支持按数据类型、时间段查询特征污染物历史排放数据，包括小时数据、日数据等，可配置要显示的监测因子，可通过曲线展示单个站点多个因子的历史变化趋势，查询结果可导出为Excel文件。</w:t>
            </w:r>
          </w:p>
        </w:tc>
      </w:tr>
      <w:tr w14:paraId="2AAA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11" w:type="dxa"/>
            <w:vMerge w:val="restart"/>
            <w:vAlign w:val="center"/>
          </w:tcPr>
          <w:p w14:paraId="6A859E5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报警管理</w:t>
            </w:r>
          </w:p>
        </w:tc>
        <w:tc>
          <w:tcPr>
            <w:tcW w:w="7825" w:type="dxa"/>
            <w:vAlign w:val="center"/>
          </w:tcPr>
          <w:p w14:paraId="1FF4E52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排放口、厂界出现数据超标状况时，及时在GIS图上提醒报警，并推送消息通知环境监察部门相关人员。</w:t>
            </w:r>
          </w:p>
        </w:tc>
      </w:tr>
      <w:tr w14:paraId="1182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continue"/>
            <w:vAlign w:val="center"/>
          </w:tcPr>
          <w:p w14:paraId="07028816">
            <w:pPr>
              <w:jc w:val="center"/>
              <w:rPr>
                <w:rFonts w:asciiTheme="minorEastAsia" w:hAnsiTheme="minorEastAsia" w:eastAsiaTheme="minorEastAsia" w:cstheme="minorEastAsia"/>
                <w:szCs w:val="21"/>
              </w:rPr>
            </w:pPr>
          </w:p>
        </w:tc>
        <w:tc>
          <w:tcPr>
            <w:tcW w:w="7825" w:type="dxa"/>
            <w:vAlign w:val="center"/>
          </w:tcPr>
          <w:p w14:paraId="6D5F988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根据选择的企业类别和时间范围以及报警类型等条件，显示各个企业的报警次数，点击进去可查看报警时间、报警原因。</w:t>
            </w:r>
          </w:p>
        </w:tc>
      </w:tr>
      <w:tr w14:paraId="53CA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restart"/>
            <w:vAlign w:val="center"/>
          </w:tcPr>
          <w:p w14:paraId="35F9690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w:t>
            </w:r>
          </w:p>
        </w:tc>
        <w:tc>
          <w:tcPr>
            <w:tcW w:w="7825" w:type="dxa"/>
            <w:vAlign w:val="center"/>
          </w:tcPr>
          <w:p w14:paraId="2F7E41F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污染物变化走势分析功能：可以选择任意时段、任意周期统计并显示污染物变化走势图。</w:t>
            </w:r>
          </w:p>
        </w:tc>
      </w:tr>
      <w:tr w14:paraId="6F32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continue"/>
            <w:vAlign w:val="center"/>
          </w:tcPr>
          <w:p w14:paraId="32C4C503">
            <w:pPr>
              <w:jc w:val="center"/>
              <w:rPr>
                <w:rFonts w:asciiTheme="minorEastAsia" w:hAnsiTheme="minorEastAsia" w:eastAsiaTheme="minorEastAsia" w:cstheme="minorEastAsia"/>
                <w:szCs w:val="21"/>
              </w:rPr>
            </w:pPr>
          </w:p>
        </w:tc>
        <w:tc>
          <w:tcPr>
            <w:tcW w:w="7825" w:type="dxa"/>
            <w:vAlign w:val="center"/>
          </w:tcPr>
          <w:p w14:paraId="2EB7B79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污染物类别分析功能：按照数据库事先分类，能统计各类污染物的占比。能以饼图或其他更直观的图标表现。</w:t>
            </w:r>
          </w:p>
        </w:tc>
      </w:tr>
      <w:tr w14:paraId="790D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continue"/>
            <w:vAlign w:val="center"/>
          </w:tcPr>
          <w:p w14:paraId="5C541D2F">
            <w:pPr>
              <w:jc w:val="center"/>
              <w:rPr>
                <w:rFonts w:asciiTheme="minorEastAsia" w:hAnsiTheme="minorEastAsia" w:eastAsiaTheme="minorEastAsia" w:cstheme="minorEastAsia"/>
                <w:szCs w:val="21"/>
              </w:rPr>
            </w:pPr>
          </w:p>
        </w:tc>
        <w:tc>
          <w:tcPr>
            <w:tcW w:w="7825" w:type="dxa"/>
            <w:vAlign w:val="center"/>
          </w:tcPr>
          <w:p w14:paraId="3E5E0BB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污染物成分谱图及优势组分分析功能：选择任意时段建立污染物成分谱图，在谱图的基础上能确定优势组分。</w:t>
            </w:r>
          </w:p>
        </w:tc>
      </w:tr>
      <w:tr w14:paraId="54C6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continue"/>
            <w:vAlign w:val="center"/>
          </w:tcPr>
          <w:p w14:paraId="455FF53E">
            <w:pPr>
              <w:jc w:val="center"/>
              <w:rPr>
                <w:rFonts w:asciiTheme="minorEastAsia" w:hAnsiTheme="minorEastAsia" w:eastAsiaTheme="minorEastAsia" w:cstheme="minorEastAsia"/>
                <w:szCs w:val="21"/>
              </w:rPr>
            </w:pPr>
          </w:p>
        </w:tc>
        <w:tc>
          <w:tcPr>
            <w:tcW w:w="7825" w:type="dxa"/>
            <w:vAlign w:val="center"/>
          </w:tcPr>
          <w:p w14:paraId="5511801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多点位集成VOCs环境质量的查询与比较分析功能：为方便对所属相同类型子站数据的比较和统计，展示各监测因子趋势，时间段图表形式可以在线选择。</w:t>
            </w:r>
          </w:p>
        </w:tc>
      </w:tr>
      <w:tr w14:paraId="5C99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Merge w:val="continue"/>
            <w:vAlign w:val="center"/>
          </w:tcPr>
          <w:p w14:paraId="0938F6B3">
            <w:pPr>
              <w:jc w:val="center"/>
              <w:rPr>
                <w:rFonts w:asciiTheme="minorEastAsia" w:hAnsiTheme="minorEastAsia" w:eastAsiaTheme="minorEastAsia" w:cstheme="minorEastAsia"/>
                <w:szCs w:val="21"/>
              </w:rPr>
            </w:pPr>
          </w:p>
        </w:tc>
        <w:tc>
          <w:tcPr>
            <w:tcW w:w="7825" w:type="dxa"/>
            <w:vAlign w:val="center"/>
          </w:tcPr>
          <w:p w14:paraId="7374D89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按空间要素（全县、点位）、时间要素（日、周、月、年）以及环境监测要素），可对实时监测数据或历史监测数据进行多种统计分析，包括均值、最大值、最小值。</w:t>
            </w:r>
          </w:p>
        </w:tc>
      </w:tr>
      <w:tr w14:paraId="5B32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1" w:type="dxa"/>
            <w:vAlign w:val="center"/>
          </w:tcPr>
          <w:p w14:paraId="38DE4CC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导出数据统计</w:t>
            </w:r>
          </w:p>
          <w:p w14:paraId="1DE3B0B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w:t>
            </w:r>
          </w:p>
        </w:tc>
        <w:tc>
          <w:tcPr>
            <w:tcW w:w="7825" w:type="dxa"/>
            <w:tcBorders>
              <w:top w:val="single" w:color="auto" w:sz="4" w:space="0"/>
              <w:left w:val="single" w:color="auto" w:sz="4" w:space="0"/>
              <w:bottom w:val="single" w:color="auto" w:sz="4" w:space="0"/>
              <w:right w:val="single" w:color="auto" w:sz="4" w:space="0"/>
            </w:tcBorders>
            <w:vAlign w:val="center"/>
          </w:tcPr>
          <w:p w14:paraId="765CAC8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根据时间类型（月、日、小时、原始）数据导出excel统计数据</w:t>
            </w:r>
          </w:p>
        </w:tc>
      </w:tr>
      <w:bookmarkEnd w:id="54"/>
    </w:tbl>
    <w:p w14:paraId="713DB178">
      <w:pPr>
        <w:spacing w:line="360" w:lineRule="auto"/>
        <w:outlineLvl w:val="4"/>
        <w:rPr>
          <w:rFonts w:asciiTheme="minorEastAsia" w:hAnsiTheme="minorEastAsia" w:eastAsiaTheme="minorEastAsia" w:cstheme="minorEastAsia"/>
          <w:b/>
          <w:bCs/>
          <w:szCs w:val="21"/>
        </w:rPr>
      </w:pPr>
      <w:bookmarkStart w:id="55" w:name="_Toc16294"/>
    </w:p>
    <w:p w14:paraId="4A645EAA">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4.6 深化污染源360监察平台（污染源监管闭环管理）（适配）</w:t>
      </w:r>
      <w:bookmarkEnd w:id="55"/>
    </w:p>
    <w:p w14:paraId="4D8EB034">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7</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深化污染源360监察平台（污染源监管闭环管理）功能需求表</w:t>
      </w:r>
    </w:p>
    <w:tbl>
      <w:tblPr>
        <w:tblStyle w:val="63"/>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0" w:type="dxa"/>
          <w:bottom w:w="15" w:type="dxa"/>
          <w:right w:w="0" w:type="dxa"/>
        </w:tblCellMar>
      </w:tblPr>
      <w:tblGrid>
        <w:gridCol w:w="594"/>
        <w:gridCol w:w="1230"/>
        <w:gridCol w:w="6737"/>
      </w:tblGrid>
      <w:tr w14:paraId="13A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tblHeader/>
          <w:jc w:val="center"/>
        </w:trPr>
        <w:tc>
          <w:tcPr>
            <w:tcW w:w="593" w:type="dxa"/>
            <w:shd w:val="clear" w:color="auto" w:fill="BEBEBE"/>
            <w:vAlign w:val="center"/>
          </w:tcPr>
          <w:p w14:paraId="69C3C0F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29" w:type="dxa"/>
            <w:shd w:val="clear" w:color="auto" w:fill="BEBEBE"/>
            <w:vAlign w:val="center"/>
          </w:tcPr>
          <w:p w14:paraId="35E4494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功能类别</w:t>
            </w:r>
          </w:p>
        </w:tc>
        <w:tc>
          <w:tcPr>
            <w:tcW w:w="6730" w:type="dxa"/>
            <w:shd w:val="clear" w:color="auto" w:fill="BEBEBE"/>
            <w:vAlign w:val="center"/>
          </w:tcPr>
          <w:p w14:paraId="003EBE3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子功能</w:t>
            </w:r>
          </w:p>
        </w:tc>
      </w:tr>
      <w:tr w14:paraId="1E50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jc w:val="center"/>
        </w:trPr>
        <w:tc>
          <w:tcPr>
            <w:tcW w:w="593" w:type="dxa"/>
            <w:vAlign w:val="center"/>
          </w:tcPr>
          <w:p w14:paraId="1638F5E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29" w:type="dxa"/>
            <w:vAlign w:val="center"/>
          </w:tcPr>
          <w:p w14:paraId="6A0DDD3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信息查询</w:t>
            </w:r>
          </w:p>
        </w:tc>
        <w:tc>
          <w:tcPr>
            <w:tcW w:w="6730" w:type="dxa"/>
            <w:vAlign w:val="center"/>
          </w:tcPr>
          <w:p w14:paraId="54E38E8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系统支持查看预警/报警历史记录信息，查询结果通过列表方式展示，并支持数据导出。</w:t>
            </w:r>
          </w:p>
        </w:tc>
      </w:tr>
      <w:tr w14:paraId="3E67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14" w:hRule="atLeast"/>
          <w:jc w:val="center"/>
        </w:trPr>
        <w:tc>
          <w:tcPr>
            <w:tcW w:w="593" w:type="dxa"/>
            <w:vMerge w:val="restart"/>
            <w:vAlign w:val="center"/>
          </w:tcPr>
          <w:p w14:paraId="01E7212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29" w:type="dxa"/>
            <w:vMerge w:val="restart"/>
            <w:vAlign w:val="center"/>
          </w:tcPr>
          <w:p w14:paraId="52CBD8F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任务处置</w:t>
            </w:r>
          </w:p>
        </w:tc>
        <w:tc>
          <w:tcPr>
            <w:tcW w:w="6730" w:type="dxa"/>
            <w:vAlign w:val="center"/>
          </w:tcPr>
          <w:p w14:paraId="117254AE">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1、任务处置查询：系统支持查看报警任务处置信息，查询结果通过列表方式展示。</w:t>
            </w:r>
          </w:p>
        </w:tc>
      </w:tr>
      <w:tr w14:paraId="129A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999" w:hRule="atLeast"/>
          <w:jc w:val="center"/>
        </w:trPr>
        <w:tc>
          <w:tcPr>
            <w:tcW w:w="593" w:type="dxa"/>
            <w:vMerge w:val="continue"/>
            <w:vAlign w:val="center"/>
          </w:tcPr>
          <w:p w14:paraId="6EEFC03C">
            <w:pPr>
              <w:jc w:val="center"/>
              <w:rPr>
                <w:rFonts w:asciiTheme="minorEastAsia" w:hAnsiTheme="minorEastAsia" w:eastAsiaTheme="minorEastAsia" w:cstheme="minorEastAsia"/>
                <w:szCs w:val="21"/>
              </w:rPr>
            </w:pPr>
          </w:p>
        </w:tc>
        <w:tc>
          <w:tcPr>
            <w:tcW w:w="1229" w:type="dxa"/>
            <w:vMerge w:val="continue"/>
            <w:vAlign w:val="center"/>
          </w:tcPr>
          <w:p w14:paraId="6FFF02E5">
            <w:pPr>
              <w:jc w:val="center"/>
              <w:rPr>
                <w:rFonts w:asciiTheme="minorEastAsia" w:hAnsiTheme="minorEastAsia" w:eastAsiaTheme="minorEastAsia" w:cstheme="minorEastAsia"/>
                <w:szCs w:val="21"/>
              </w:rPr>
            </w:pPr>
          </w:p>
        </w:tc>
        <w:tc>
          <w:tcPr>
            <w:tcW w:w="6730" w:type="dxa"/>
            <w:vAlign w:val="center"/>
          </w:tcPr>
          <w:p w14:paraId="2EB9CA3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2、任务处置操作：系统通过各监测系统的接报信息接口获取监测数据，当满足预警/报警条件出现预警/报警情况时，系统支持通知相关人员，根据相关信息进行任务处置条件的匹配和处置任务的响应启动。</w:t>
            </w:r>
          </w:p>
          <w:p w14:paraId="561C16A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任务处置相关人员接收来自系统通知的处置任务，并对接收到的任务进行反馈。</w:t>
            </w:r>
          </w:p>
          <w:p w14:paraId="71F623A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系统支持实时查看处置全过程详情，及时掌握任务处置动态。</w:t>
            </w:r>
          </w:p>
        </w:tc>
      </w:tr>
      <w:tr w14:paraId="6511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jc w:val="center"/>
        </w:trPr>
        <w:tc>
          <w:tcPr>
            <w:tcW w:w="593" w:type="dxa"/>
            <w:vMerge w:val="continue"/>
            <w:vAlign w:val="center"/>
          </w:tcPr>
          <w:p w14:paraId="3168F32D">
            <w:pPr>
              <w:jc w:val="center"/>
              <w:rPr>
                <w:rFonts w:asciiTheme="minorEastAsia" w:hAnsiTheme="minorEastAsia" w:eastAsiaTheme="minorEastAsia" w:cstheme="minorEastAsia"/>
                <w:szCs w:val="21"/>
              </w:rPr>
            </w:pPr>
          </w:p>
        </w:tc>
        <w:tc>
          <w:tcPr>
            <w:tcW w:w="1229" w:type="dxa"/>
            <w:vMerge w:val="continue"/>
            <w:vAlign w:val="center"/>
          </w:tcPr>
          <w:p w14:paraId="457524E7">
            <w:pPr>
              <w:jc w:val="center"/>
              <w:rPr>
                <w:rFonts w:asciiTheme="minorEastAsia" w:hAnsiTheme="minorEastAsia" w:eastAsiaTheme="minorEastAsia" w:cstheme="minorEastAsia"/>
                <w:szCs w:val="21"/>
              </w:rPr>
            </w:pPr>
          </w:p>
        </w:tc>
        <w:tc>
          <w:tcPr>
            <w:tcW w:w="6730" w:type="dxa"/>
            <w:vAlign w:val="center"/>
          </w:tcPr>
          <w:p w14:paraId="7086B3C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3、系统预留接口，针对污染事件、突发应急事件，支持溯源分析系统、应急管理系统等的联动应用。联动分析系统可提供研判分析，实现辅助分析、辅助决策、智能提醒等应用，协助任务的精准化处置。</w:t>
            </w:r>
          </w:p>
        </w:tc>
      </w:tr>
      <w:tr w14:paraId="5238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jc w:val="center"/>
        </w:trPr>
        <w:tc>
          <w:tcPr>
            <w:tcW w:w="593" w:type="dxa"/>
            <w:vMerge w:val="restart"/>
            <w:vAlign w:val="center"/>
          </w:tcPr>
          <w:p w14:paraId="0A198EF2">
            <w:pPr>
              <w:jc w:val="center"/>
              <w:rPr>
                <w:rFonts w:asciiTheme="minorEastAsia" w:hAnsiTheme="minorEastAsia" w:eastAsiaTheme="minorEastAsia" w:cstheme="minorEastAsia"/>
                <w:szCs w:val="21"/>
              </w:rPr>
            </w:pPr>
            <w:bookmarkStart w:id="56" w:name="_Hlk4683968"/>
            <w:r>
              <w:rPr>
                <w:rFonts w:hint="eastAsia" w:asciiTheme="minorEastAsia" w:hAnsiTheme="minorEastAsia" w:eastAsiaTheme="minorEastAsia" w:cstheme="minorEastAsia"/>
                <w:szCs w:val="21"/>
              </w:rPr>
              <w:t>3</w:t>
            </w:r>
          </w:p>
        </w:tc>
        <w:tc>
          <w:tcPr>
            <w:tcW w:w="1229" w:type="dxa"/>
            <w:vMerge w:val="restart"/>
            <w:vAlign w:val="center"/>
          </w:tcPr>
          <w:p w14:paraId="5FCAB4B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系统配置</w:t>
            </w:r>
          </w:p>
        </w:tc>
        <w:tc>
          <w:tcPr>
            <w:tcW w:w="6730" w:type="dxa"/>
            <w:vAlign w:val="center"/>
          </w:tcPr>
          <w:p w14:paraId="093FEBE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系统支持通知规则进行配置，可进行添加、编辑、删除等操作。</w:t>
            </w:r>
          </w:p>
        </w:tc>
      </w:tr>
      <w:tr w14:paraId="34E5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jc w:val="center"/>
        </w:trPr>
        <w:tc>
          <w:tcPr>
            <w:tcW w:w="593" w:type="dxa"/>
            <w:vMerge w:val="continue"/>
            <w:vAlign w:val="center"/>
          </w:tcPr>
          <w:p w14:paraId="307C457C">
            <w:pPr>
              <w:jc w:val="center"/>
              <w:rPr>
                <w:rFonts w:asciiTheme="minorEastAsia" w:hAnsiTheme="minorEastAsia" w:eastAsiaTheme="minorEastAsia" w:cstheme="minorEastAsia"/>
                <w:szCs w:val="21"/>
              </w:rPr>
            </w:pPr>
          </w:p>
        </w:tc>
        <w:tc>
          <w:tcPr>
            <w:tcW w:w="1229" w:type="dxa"/>
            <w:vMerge w:val="continue"/>
            <w:vAlign w:val="center"/>
          </w:tcPr>
          <w:p w14:paraId="67AEB5F0">
            <w:pPr>
              <w:jc w:val="center"/>
              <w:rPr>
                <w:rFonts w:asciiTheme="minorEastAsia" w:hAnsiTheme="minorEastAsia" w:eastAsiaTheme="minorEastAsia" w:cstheme="minorEastAsia"/>
                <w:szCs w:val="21"/>
              </w:rPr>
            </w:pPr>
          </w:p>
        </w:tc>
        <w:tc>
          <w:tcPr>
            <w:tcW w:w="6730" w:type="dxa"/>
            <w:vAlign w:val="center"/>
          </w:tcPr>
          <w:p w14:paraId="5A17909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预警/报警信息的产生规则配置包括优先级、因子、数据源、数据类型等条件配置。</w:t>
            </w:r>
          </w:p>
        </w:tc>
      </w:tr>
      <w:tr w14:paraId="7967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0" w:type="dxa"/>
            <w:bottom w:w="15" w:type="dxa"/>
            <w:right w:w="0" w:type="dxa"/>
          </w:tblCellMar>
        </w:tblPrEx>
        <w:trPr>
          <w:trHeight w:val="340" w:hRule="atLeast"/>
          <w:jc w:val="center"/>
        </w:trPr>
        <w:tc>
          <w:tcPr>
            <w:tcW w:w="593" w:type="dxa"/>
            <w:vMerge w:val="continue"/>
            <w:vAlign w:val="center"/>
          </w:tcPr>
          <w:p w14:paraId="0872EB19">
            <w:pPr>
              <w:jc w:val="center"/>
              <w:rPr>
                <w:rFonts w:asciiTheme="minorEastAsia" w:hAnsiTheme="minorEastAsia" w:eastAsiaTheme="minorEastAsia" w:cstheme="minorEastAsia"/>
                <w:szCs w:val="21"/>
              </w:rPr>
            </w:pPr>
          </w:p>
        </w:tc>
        <w:tc>
          <w:tcPr>
            <w:tcW w:w="1229" w:type="dxa"/>
            <w:vMerge w:val="continue"/>
            <w:vAlign w:val="center"/>
          </w:tcPr>
          <w:p w14:paraId="24942D88">
            <w:pPr>
              <w:jc w:val="center"/>
              <w:rPr>
                <w:rFonts w:asciiTheme="minorEastAsia" w:hAnsiTheme="minorEastAsia" w:eastAsiaTheme="minorEastAsia" w:cstheme="minorEastAsia"/>
                <w:szCs w:val="21"/>
              </w:rPr>
            </w:pPr>
          </w:p>
        </w:tc>
        <w:tc>
          <w:tcPr>
            <w:tcW w:w="6730" w:type="dxa"/>
            <w:vAlign w:val="center"/>
          </w:tcPr>
          <w:p w14:paraId="71AAB90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报警阈值的配置：对于有相应标准的风险因子，可参照相关标准作为制定厂区或园区的预警/报警阈值的基础。部分居民感受敏感的物质，也可参照居民的感受设定预警/报警阈值。园区可初步按照选定的标准设定分级预警/报警阈值系列，并在实际应用中对预警阈值进行设定，确定适合园区实际情况的预警/报警阈值。</w:t>
            </w:r>
          </w:p>
        </w:tc>
      </w:tr>
      <w:bookmarkEnd w:id="56"/>
    </w:tbl>
    <w:p w14:paraId="49D53B95">
      <w:pPr>
        <w:spacing w:line="360" w:lineRule="auto"/>
        <w:outlineLvl w:val="4"/>
        <w:rPr>
          <w:rFonts w:asciiTheme="minorEastAsia" w:hAnsiTheme="minorEastAsia" w:eastAsiaTheme="minorEastAsia" w:cstheme="minorEastAsia"/>
          <w:b/>
          <w:bCs/>
          <w:szCs w:val="21"/>
        </w:rPr>
      </w:pPr>
      <w:bookmarkStart w:id="57" w:name="_Toc23244"/>
    </w:p>
    <w:p w14:paraId="01FB3785">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4.7  一张环保地图（环境质量分布图、污染源排放热力图、排放量分布图、生态环境分布图）（适配及升级、部分废弃）</w:t>
      </w:r>
      <w:bookmarkEnd w:id="57"/>
    </w:p>
    <w:p w14:paraId="6C6A676A">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8</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一张环保地图功能需求表</w:t>
      </w:r>
    </w:p>
    <w:tbl>
      <w:tblPr>
        <w:tblStyle w:val="63"/>
        <w:tblW w:w="5000" w:type="pct"/>
        <w:jc w:val="center"/>
        <w:tblLayout w:type="fixed"/>
        <w:tblCellMar>
          <w:top w:w="15" w:type="dxa"/>
          <w:left w:w="108" w:type="dxa"/>
          <w:bottom w:w="15" w:type="dxa"/>
          <w:right w:w="108" w:type="dxa"/>
        </w:tblCellMar>
      </w:tblPr>
      <w:tblGrid>
        <w:gridCol w:w="1029"/>
        <w:gridCol w:w="1186"/>
        <w:gridCol w:w="6506"/>
      </w:tblGrid>
      <w:tr w14:paraId="5884BA9D">
        <w:tblPrEx>
          <w:tblCellMar>
            <w:top w:w="15" w:type="dxa"/>
            <w:left w:w="108" w:type="dxa"/>
            <w:bottom w:w="15" w:type="dxa"/>
            <w:right w:w="108" w:type="dxa"/>
          </w:tblCellMar>
        </w:tblPrEx>
        <w:trPr>
          <w:trHeight w:val="369" w:hRule="atLeast"/>
          <w:tblHeader/>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7E2043A1">
            <w:pPr>
              <w:jc w:val="center"/>
              <w:rPr>
                <w:rFonts w:asciiTheme="minorEastAsia" w:hAnsiTheme="minorEastAsia" w:eastAsiaTheme="minorEastAsia" w:cstheme="minorEastAsia"/>
                <w:b/>
                <w:bCs/>
                <w:szCs w:val="21"/>
              </w:rPr>
            </w:pPr>
            <w:bookmarkStart w:id="58" w:name="_Hlk182337807"/>
            <w:r>
              <w:rPr>
                <w:rFonts w:hint="eastAsia" w:asciiTheme="minorEastAsia" w:hAnsiTheme="minorEastAsia" w:eastAsiaTheme="minorEastAsia" w:cstheme="minorEastAsia"/>
                <w:b/>
                <w:bCs/>
                <w:szCs w:val="21"/>
              </w:rPr>
              <w:t>序号</w:t>
            </w:r>
          </w:p>
        </w:tc>
        <w:tc>
          <w:tcPr>
            <w:tcW w:w="1301"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3B98BFE4">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7310"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44B61EFF">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6738E31B">
        <w:tblPrEx>
          <w:tblCellMar>
            <w:top w:w="15" w:type="dxa"/>
            <w:left w:w="108" w:type="dxa"/>
            <w:bottom w:w="15" w:type="dxa"/>
            <w:right w:w="108" w:type="dxa"/>
          </w:tblCellMar>
        </w:tblPrEx>
        <w:trPr>
          <w:trHeight w:val="369" w:hRule="atLeast"/>
          <w:jc w:val="center"/>
        </w:trPr>
        <w:tc>
          <w:tcPr>
            <w:tcW w:w="1125" w:type="dxa"/>
            <w:tcBorders>
              <w:top w:val="single" w:color="000000" w:sz="4" w:space="0"/>
              <w:left w:val="single" w:color="000000" w:sz="4" w:space="0"/>
              <w:bottom w:val="single" w:color="000000" w:sz="4" w:space="0"/>
              <w:right w:val="single" w:color="000000" w:sz="4" w:space="0"/>
            </w:tcBorders>
            <w:vAlign w:val="center"/>
          </w:tcPr>
          <w:p w14:paraId="23026553">
            <w:pPr>
              <w:jc w:val="center"/>
              <w:rPr>
                <w:rFonts w:asciiTheme="minorEastAsia" w:hAnsiTheme="minorEastAsia" w:eastAsiaTheme="minorEastAsia" w:cstheme="minorEastAsia"/>
                <w:szCs w:val="21"/>
              </w:rPr>
            </w:pPr>
            <w:bookmarkStart w:id="59" w:name="_Hlk4597008"/>
            <w:r>
              <w:rPr>
                <w:rFonts w:hint="eastAsia" w:asciiTheme="minorEastAsia" w:hAnsiTheme="minorEastAsia" w:eastAsiaTheme="minorEastAsia" w:cstheme="minorEastAsia"/>
                <w:szCs w:val="21"/>
              </w:rPr>
              <w:t>1</w:t>
            </w:r>
          </w:p>
        </w:tc>
        <w:tc>
          <w:tcPr>
            <w:tcW w:w="1301" w:type="dxa"/>
            <w:tcBorders>
              <w:top w:val="single" w:color="000000" w:sz="4" w:space="0"/>
              <w:left w:val="single" w:color="000000" w:sz="4" w:space="0"/>
              <w:bottom w:val="single" w:color="000000" w:sz="4" w:space="0"/>
              <w:right w:val="single" w:color="000000" w:sz="4" w:space="0"/>
            </w:tcBorders>
            <w:vAlign w:val="center"/>
          </w:tcPr>
          <w:p w14:paraId="5445C80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环境质量分布图</w:t>
            </w:r>
          </w:p>
        </w:tc>
        <w:tc>
          <w:tcPr>
            <w:tcW w:w="7310" w:type="dxa"/>
            <w:tcBorders>
              <w:top w:val="single" w:color="000000" w:sz="4" w:space="0"/>
              <w:left w:val="single" w:color="000000" w:sz="4" w:space="0"/>
              <w:bottom w:val="single" w:color="000000" w:sz="4" w:space="0"/>
              <w:right w:val="single" w:color="000000" w:sz="4" w:space="0"/>
            </w:tcBorders>
            <w:vAlign w:val="center"/>
          </w:tcPr>
          <w:p w14:paraId="110F407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以任何底图为基础，可以实时动态展现环境空气质量热力分布图、噪声热力分布图。</w:t>
            </w:r>
          </w:p>
        </w:tc>
      </w:tr>
      <w:bookmarkEnd w:id="59"/>
      <w:tr w14:paraId="5B249EDE">
        <w:tblPrEx>
          <w:tblCellMar>
            <w:top w:w="15" w:type="dxa"/>
            <w:left w:w="108" w:type="dxa"/>
            <w:bottom w:w="15" w:type="dxa"/>
            <w:right w:w="108" w:type="dxa"/>
          </w:tblCellMar>
        </w:tblPrEx>
        <w:trPr>
          <w:trHeight w:val="750" w:hRule="atLeast"/>
          <w:jc w:val="center"/>
        </w:trPr>
        <w:tc>
          <w:tcPr>
            <w:tcW w:w="1125" w:type="dxa"/>
            <w:tcBorders>
              <w:top w:val="single" w:color="auto" w:sz="4" w:space="0"/>
              <w:left w:val="single" w:color="000000" w:sz="4" w:space="0"/>
              <w:bottom w:val="single" w:color="auto" w:sz="4" w:space="0"/>
              <w:right w:val="single" w:color="000000" w:sz="4" w:space="0"/>
            </w:tcBorders>
            <w:vAlign w:val="center"/>
          </w:tcPr>
          <w:p w14:paraId="55505C7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301" w:type="dxa"/>
            <w:tcBorders>
              <w:top w:val="single" w:color="auto" w:sz="4" w:space="0"/>
              <w:left w:val="single" w:color="000000" w:sz="4" w:space="0"/>
              <w:bottom w:val="single" w:color="auto" w:sz="4" w:space="0"/>
              <w:right w:val="single" w:color="000000" w:sz="4" w:space="0"/>
            </w:tcBorders>
            <w:vAlign w:val="center"/>
          </w:tcPr>
          <w:p w14:paraId="712C22B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污染源热力图</w:t>
            </w:r>
          </w:p>
        </w:tc>
        <w:tc>
          <w:tcPr>
            <w:tcW w:w="7310" w:type="dxa"/>
            <w:tcBorders>
              <w:top w:val="single" w:color="auto" w:sz="4" w:space="0"/>
              <w:left w:val="single" w:color="000000" w:sz="4" w:space="0"/>
              <w:bottom w:val="single" w:color="000000" w:sz="4" w:space="0"/>
              <w:right w:val="single" w:color="000000" w:sz="4" w:space="0"/>
            </w:tcBorders>
            <w:vAlign w:val="center"/>
          </w:tcPr>
          <w:p w14:paraId="21476C0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以污染源影响区域叠加的方式在地图上通过不同颜色及颜色深浅全面展示污染源分布密度，为执法人员提供直观展示。</w:t>
            </w:r>
          </w:p>
        </w:tc>
      </w:tr>
      <w:tr w14:paraId="36E245B5">
        <w:tblPrEx>
          <w:tblCellMar>
            <w:top w:w="15" w:type="dxa"/>
            <w:left w:w="108" w:type="dxa"/>
            <w:bottom w:w="15" w:type="dxa"/>
            <w:right w:w="108" w:type="dxa"/>
          </w:tblCellMar>
        </w:tblPrEx>
        <w:trPr>
          <w:trHeight w:val="369" w:hRule="atLeast"/>
          <w:jc w:val="center"/>
        </w:trPr>
        <w:tc>
          <w:tcPr>
            <w:tcW w:w="1125" w:type="dxa"/>
            <w:tcBorders>
              <w:top w:val="single" w:color="auto" w:sz="4" w:space="0"/>
              <w:left w:val="single" w:color="000000" w:sz="4" w:space="0"/>
              <w:bottom w:val="single" w:color="auto" w:sz="4" w:space="0"/>
              <w:right w:val="single" w:color="000000" w:sz="4" w:space="0"/>
            </w:tcBorders>
            <w:vAlign w:val="center"/>
          </w:tcPr>
          <w:p w14:paraId="7A76F72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301" w:type="dxa"/>
            <w:tcBorders>
              <w:top w:val="single" w:color="auto" w:sz="4" w:space="0"/>
              <w:left w:val="single" w:color="000000" w:sz="4" w:space="0"/>
              <w:bottom w:val="single" w:color="auto" w:sz="4" w:space="0"/>
              <w:right w:val="single" w:color="000000" w:sz="4" w:space="0"/>
            </w:tcBorders>
            <w:vAlign w:val="center"/>
          </w:tcPr>
          <w:p w14:paraId="7C0C76E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建设项目审批热力图</w:t>
            </w:r>
          </w:p>
        </w:tc>
        <w:tc>
          <w:tcPr>
            <w:tcW w:w="7310" w:type="dxa"/>
            <w:tcBorders>
              <w:top w:val="single" w:color="000000" w:sz="4" w:space="0"/>
              <w:left w:val="single" w:color="000000" w:sz="4" w:space="0"/>
              <w:bottom w:val="single" w:color="000000" w:sz="4" w:space="0"/>
              <w:right w:val="single" w:color="000000" w:sz="4" w:space="0"/>
            </w:tcBorders>
            <w:vAlign w:val="center"/>
          </w:tcPr>
          <w:p w14:paraId="5D9BC23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以“一张图”形式展现审批项目分布图情况、区域环保审批项目分布情况，同时可查看项目的基本信息。</w:t>
            </w:r>
          </w:p>
        </w:tc>
      </w:tr>
      <w:tr w14:paraId="731B37BB">
        <w:tblPrEx>
          <w:tblCellMar>
            <w:top w:w="15" w:type="dxa"/>
            <w:left w:w="108" w:type="dxa"/>
            <w:bottom w:w="15" w:type="dxa"/>
            <w:right w:w="108" w:type="dxa"/>
          </w:tblCellMar>
        </w:tblPrEx>
        <w:trPr>
          <w:trHeight w:val="312" w:hRule="atLeast"/>
          <w:jc w:val="center"/>
        </w:trPr>
        <w:tc>
          <w:tcPr>
            <w:tcW w:w="1125" w:type="dxa"/>
            <w:tcBorders>
              <w:top w:val="single" w:color="000000" w:sz="4" w:space="0"/>
              <w:left w:val="single" w:color="000000" w:sz="4" w:space="0"/>
              <w:bottom w:val="single" w:color="auto" w:sz="4" w:space="0"/>
              <w:right w:val="single" w:color="000000" w:sz="4" w:space="0"/>
            </w:tcBorders>
            <w:vAlign w:val="center"/>
          </w:tcPr>
          <w:p w14:paraId="71213A9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301" w:type="dxa"/>
            <w:tcBorders>
              <w:top w:val="single" w:color="000000" w:sz="4" w:space="0"/>
              <w:left w:val="single" w:color="000000" w:sz="4" w:space="0"/>
              <w:bottom w:val="single" w:color="auto" w:sz="4" w:space="0"/>
              <w:right w:val="single" w:color="000000" w:sz="4" w:space="0"/>
            </w:tcBorders>
            <w:vAlign w:val="center"/>
          </w:tcPr>
          <w:p w14:paraId="66BD4E8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排放量分布热力图</w:t>
            </w:r>
          </w:p>
        </w:tc>
        <w:tc>
          <w:tcPr>
            <w:tcW w:w="7310" w:type="dxa"/>
            <w:tcBorders>
              <w:top w:val="single" w:color="000000" w:sz="4" w:space="0"/>
              <w:left w:val="single" w:color="000000" w:sz="4" w:space="0"/>
              <w:bottom w:val="single" w:color="000000" w:sz="4" w:space="0"/>
              <w:right w:val="single" w:color="000000" w:sz="4" w:space="0"/>
            </w:tcBorders>
            <w:vAlign w:val="center"/>
          </w:tcPr>
          <w:p w14:paraId="4B517C6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基于GIS基础服务平台对建设项目污染总量进行统计分析。</w:t>
            </w:r>
          </w:p>
        </w:tc>
      </w:tr>
      <w:tr w14:paraId="6B872F7E">
        <w:tblPrEx>
          <w:tblCellMar>
            <w:top w:w="15" w:type="dxa"/>
            <w:left w:w="108" w:type="dxa"/>
            <w:bottom w:w="15" w:type="dxa"/>
            <w:right w:w="108" w:type="dxa"/>
          </w:tblCellMar>
        </w:tblPrEx>
        <w:trPr>
          <w:trHeight w:val="312" w:hRule="atLeast"/>
          <w:jc w:val="center"/>
        </w:trPr>
        <w:tc>
          <w:tcPr>
            <w:tcW w:w="1125" w:type="dxa"/>
            <w:tcBorders>
              <w:top w:val="single" w:color="000000" w:sz="4" w:space="0"/>
              <w:left w:val="single" w:color="000000" w:sz="4" w:space="0"/>
              <w:bottom w:val="single" w:color="000000" w:sz="4" w:space="0"/>
              <w:right w:val="single" w:color="000000" w:sz="4" w:space="0"/>
            </w:tcBorders>
            <w:vAlign w:val="center"/>
          </w:tcPr>
          <w:p w14:paraId="46FC9CC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301" w:type="dxa"/>
            <w:tcBorders>
              <w:top w:val="single" w:color="000000" w:sz="4" w:space="0"/>
              <w:left w:val="single" w:color="000000" w:sz="4" w:space="0"/>
              <w:bottom w:val="single" w:color="000000" w:sz="4" w:space="0"/>
              <w:right w:val="single" w:color="000000" w:sz="4" w:space="0"/>
            </w:tcBorders>
            <w:vAlign w:val="center"/>
          </w:tcPr>
          <w:p w14:paraId="77A5A4E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信访热力图</w:t>
            </w:r>
          </w:p>
        </w:tc>
        <w:tc>
          <w:tcPr>
            <w:tcW w:w="7310" w:type="dxa"/>
            <w:tcBorders>
              <w:top w:val="single" w:color="000000" w:sz="4" w:space="0"/>
              <w:left w:val="single" w:color="000000" w:sz="4" w:space="0"/>
              <w:bottom w:val="single" w:color="000000" w:sz="4" w:space="0"/>
              <w:right w:val="single" w:color="000000" w:sz="4" w:space="0"/>
            </w:tcBorders>
            <w:vAlign w:val="center"/>
          </w:tcPr>
          <w:p w14:paraId="07FC1E6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全面展展示不同区域、不同类型的信访投诉密度、频度、热度，信访投诉情况分布。</w:t>
            </w:r>
          </w:p>
        </w:tc>
      </w:tr>
      <w:tr w14:paraId="51EEEE14">
        <w:tblPrEx>
          <w:tblCellMar>
            <w:top w:w="15" w:type="dxa"/>
            <w:left w:w="108" w:type="dxa"/>
            <w:bottom w:w="15" w:type="dxa"/>
            <w:right w:w="108" w:type="dxa"/>
          </w:tblCellMar>
        </w:tblPrEx>
        <w:trPr>
          <w:trHeight w:val="312" w:hRule="atLeast"/>
          <w:jc w:val="center"/>
        </w:trPr>
        <w:tc>
          <w:tcPr>
            <w:tcW w:w="1125" w:type="dxa"/>
            <w:tcBorders>
              <w:top w:val="single" w:color="000000" w:sz="4" w:space="0"/>
              <w:left w:val="single" w:color="000000" w:sz="4" w:space="0"/>
              <w:bottom w:val="single" w:color="000000" w:sz="4" w:space="0"/>
              <w:right w:val="single" w:color="000000" w:sz="4" w:space="0"/>
            </w:tcBorders>
            <w:vAlign w:val="center"/>
          </w:tcPr>
          <w:p w14:paraId="601DE1C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301" w:type="dxa"/>
            <w:tcBorders>
              <w:top w:val="single" w:color="000000" w:sz="4" w:space="0"/>
              <w:left w:val="single" w:color="000000" w:sz="4" w:space="0"/>
              <w:bottom w:val="single" w:color="000000" w:sz="4" w:space="0"/>
              <w:right w:val="single" w:color="000000" w:sz="4" w:space="0"/>
            </w:tcBorders>
            <w:vAlign w:val="center"/>
          </w:tcPr>
          <w:p w14:paraId="4E1B3A8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执法热力图</w:t>
            </w:r>
          </w:p>
        </w:tc>
        <w:tc>
          <w:tcPr>
            <w:tcW w:w="7310" w:type="dxa"/>
            <w:tcBorders>
              <w:top w:val="single" w:color="000000" w:sz="4" w:space="0"/>
              <w:left w:val="single" w:color="000000" w:sz="4" w:space="0"/>
              <w:bottom w:val="single" w:color="000000" w:sz="4" w:space="0"/>
              <w:right w:val="single" w:color="000000" w:sz="4" w:space="0"/>
            </w:tcBorders>
            <w:vAlign w:val="center"/>
          </w:tcPr>
          <w:p w14:paraId="370D180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制作环境监察执法热力图，以执法次数叠加的方式在地图上通过不同颜色及颜色深浅全面展示不同时间内执法分布趋势和密度的变化情况，展示各区域的执法力度大小。</w:t>
            </w:r>
          </w:p>
        </w:tc>
      </w:tr>
      <w:tr w14:paraId="782F0C92">
        <w:tblPrEx>
          <w:tblCellMar>
            <w:top w:w="15" w:type="dxa"/>
            <w:left w:w="108" w:type="dxa"/>
            <w:bottom w:w="15" w:type="dxa"/>
            <w:right w:w="108" w:type="dxa"/>
          </w:tblCellMar>
        </w:tblPrEx>
        <w:trPr>
          <w:trHeight w:val="312" w:hRule="atLeast"/>
          <w:jc w:val="center"/>
        </w:trPr>
        <w:tc>
          <w:tcPr>
            <w:tcW w:w="1125" w:type="dxa"/>
            <w:tcBorders>
              <w:top w:val="single" w:color="000000" w:sz="4" w:space="0"/>
              <w:left w:val="single" w:color="000000" w:sz="4" w:space="0"/>
              <w:bottom w:val="single" w:color="000000" w:sz="4" w:space="0"/>
              <w:right w:val="single" w:color="000000" w:sz="4" w:space="0"/>
            </w:tcBorders>
            <w:vAlign w:val="center"/>
          </w:tcPr>
          <w:p w14:paraId="6A70751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301" w:type="dxa"/>
            <w:tcBorders>
              <w:top w:val="single" w:color="000000" w:sz="4" w:space="0"/>
              <w:left w:val="single" w:color="000000" w:sz="4" w:space="0"/>
              <w:bottom w:val="single" w:color="000000" w:sz="4" w:space="0"/>
              <w:right w:val="single" w:color="000000" w:sz="4" w:space="0"/>
            </w:tcBorders>
            <w:vAlign w:val="center"/>
          </w:tcPr>
          <w:p w14:paraId="52850DE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生态红线专题</w:t>
            </w:r>
          </w:p>
        </w:tc>
        <w:tc>
          <w:tcPr>
            <w:tcW w:w="7310" w:type="dxa"/>
            <w:tcBorders>
              <w:top w:val="single" w:color="000000" w:sz="4" w:space="0"/>
              <w:left w:val="single" w:color="000000" w:sz="4" w:space="0"/>
              <w:bottom w:val="single" w:color="000000" w:sz="4" w:space="0"/>
              <w:right w:val="single" w:color="000000" w:sz="4" w:space="0"/>
            </w:tcBorders>
            <w:vAlign w:val="center"/>
          </w:tcPr>
          <w:p w14:paraId="0C8CB13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基于GIS地图展示生态红线，将区域划分为不同类型的保护区域，系统提供各生态区域的点位查询功能，主要在地图上展示各生态区域。</w:t>
            </w:r>
          </w:p>
        </w:tc>
      </w:tr>
      <w:bookmarkEnd w:id="58"/>
    </w:tbl>
    <w:p w14:paraId="2C5221DB">
      <w:pPr>
        <w:spacing w:line="360" w:lineRule="auto"/>
        <w:outlineLvl w:val="4"/>
        <w:rPr>
          <w:rFonts w:asciiTheme="minorEastAsia" w:hAnsiTheme="minorEastAsia" w:eastAsiaTheme="minorEastAsia" w:cstheme="minorEastAsia"/>
          <w:b/>
          <w:bCs/>
          <w:szCs w:val="21"/>
        </w:rPr>
      </w:pPr>
      <w:bookmarkStart w:id="60" w:name="_Toc2583"/>
    </w:p>
    <w:p w14:paraId="75550CBE">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4.8 环境数据采集分析模块（环保数据仓）（适配）</w:t>
      </w:r>
      <w:bookmarkEnd w:id="60"/>
    </w:p>
    <w:p w14:paraId="0118A20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9</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环境数据采集分析模块（环保数据仓）功能需求表</w:t>
      </w:r>
    </w:p>
    <w:tbl>
      <w:tblPr>
        <w:tblStyle w:val="63"/>
        <w:tblW w:w="5000" w:type="pct"/>
        <w:jc w:val="center"/>
        <w:tblLayout w:type="fixed"/>
        <w:tblCellMar>
          <w:top w:w="15" w:type="dxa"/>
          <w:left w:w="108" w:type="dxa"/>
          <w:bottom w:w="15" w:type="dxa"/>
          <w:right w:w="108" w:type="dxa"/>
        </w:tblCellMar>
      </w:tblPr>
      <w:tblGrid>
        <w:gridCol w:w="1011"/>
        <w:gridCol w:w="1169"/>
        <w:gridCol w:w="6541"/>
      </w:tblGrid>
      <w:tr w14:paraId="48D6A93F">
        <w:tblPrEx>
          <w:tblCellMar>
            <w:top w:w="15" w:type="dxa"/>
            <w:left w:w="108" w:type="dxa"/>
            <w:bottom w:w="15" w:type="dxa"/>
            <w:right w:w="108" w:type="dxa"/>
          </w:tblCellMar>
        </w:tblPrEx>
        <w:trPr>
          <w:trHeight w:val="369" w:hRule="atLeast"/>
          <w:tblHeader/>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5229384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679ADEC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功能类别</w:t>
            </w:r>
          </w:p>
        </w:tc>
        <w:tc>
          <w:tcPr>
            <w:tcW w:w="6521" w:type="dxa"/>
            <w:tcBorders>
              <w:top w:val="single" w:color="000000" w:sz="4" w:space="0"/>
              <w:left w:val="single" w:color="000000" w:sz="4" w:space="0"/>
              <w:bottom w:val="single" w:color="000000" w:sz="4" w:space="0"/>
              <w:right w:val="single" w:color="000000" w:sz="4" w:space="0"/>
            </w:tcBorders>
            <w:shd w:val="clear" w:color="auto" w:fill="BEBEBE"/>
            <w:vAlign w:val="center"/>
          </w:tcPr>
          <w:p w14:paraId="043A08D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子功能</w:t>
            </w:r>
          </w:p>
        </w:tc>
      </w:tr>
      <w:tr w14:paraId="5A2E1CC9">
        <w:tblPrEx>
          <w:tblCellMar>
            <w:top w:w="15" w:type="dxa"/>
            <w:left w:w="108" w:type="dxa"/>
            <w:bottom w:w="15" w:type="dxa"/>
            <w:right w:w="108" w:type="dxa"/>
          </w:tblCellMar>
        </w:tblPrEx>
        <w:trPr>
          <w:trHeight w:val="369" w:hRule="atLeast"/>
          <w:jc w:val="center"/>
        </w:trPr>
        <w:tc>
          <w:tcPr>
            <w:tcW w:w="1003" w:type="dxa"/>
            <w:tcBorders>
              <w:top w:val="single" w:color="000000" w:sz="4" w:space="0"/>
              <w:left w:val="single" w:color="000000" w:sz="4" w:space="0"/>
              <w:bottom w:val="single" w:color="000000" w:sz="4" w:space="0"/>
              <w:right w:val="single" w:color="000000" w:sz="4" w:space="0"/>
            </w:tcBorders>
            <w:vAlign w:val="center"/>
          </w:tcPr>
          <w:p w14:paraId="781BCFD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61" w:type="dxa"/>
            <w:tcBorders>
              <w:top w:val="single" w:color="000000" w:sz="4" w:space="0"/>
              <w:left w:val="single" w:color="000000" w:sz="4" w:space="0"/>
              <w:bottom w:val="single" w:color="000000" w:sz="4" w:space="0"/>
              <w:right w:val="single" w:color="000000" w:sz="4" w:space="0"/>
            </w:tcBorders>
            <w:vAlign w:val="center"/>
          </w:tcPr>
          <w:p w14:paraId="3AD43C1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数据录入</w:t>
            </w:r>
          </w:p>
        </w:tc>
        <w:tc>
          <w:tcPr>
            <w:tcW w:w="6521" w:type="dxa"/>
            <w:tcBorders>
              <w:top w:val="single" w:color="000000" w:sz="4" w:space="0"/>
              <w:left w:val="single" w:color="000000" w:sz="4" w:space="0"/>
              <w:bottom w:val="single" w:color="000000" w:sz="4" w:space="0"/>
              <w:right w:val="single" w:color="000000" w:sz="4" w:space="0"/>
            </w:tcBorders>
            <w:vAlign w:val="center"/>
          </w:tcPr>
          <w:p w14:paraId="0F10689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保部门登录该系统，然后选择相应的业务系统，如地表水监测数据管理系统等，进行数据录入；数据录入方式可以根据工作内容和性质选择不同入口（如按点位录入或者按监测因子等）进行录入，各部门按权限对录入的数据进行数据检查和修改，确保录入数据的正确性。</w:t>
            </w:r>
          </w:p>
        </w:tc>
      </w:tr>
      <w:tr w14:paraId="753E423C">
        <w:tblPrEx>
          <w:tblCellMar>
            <w:top w:w="15" w:type="dxa"/>
            <w:left w:w="108" w:type="dxa"/>
            <w:bottom w:w="15" w:type="dxa"/>
            <w:right w:w="108" w:type="dxa"/>
          </w:tblCellMar>
        </w:tblPrEx>
        <w:trPr>
          <w:trHeight w:val="369" w:hRule="atLeast"/>
          <w:jc w:val="center"/>
        </w:trPr>
        <w:tc>
          <w:tcPr>
            <w:tcW w:w="1003" w:type="dxa"/>
            <w:tcBorders>
              <w:top w:val="single" w:color="000000" w:sz="4" w:space="0"/>
              <w:left w:val="single" w:color="000000" w:sz="4" w:space="0"/>
              <w:bottom w:val="single" w:color="000000" w:sz="4" w:space="0"/>
              <w:right w:val="single" w:color="000000" w:sz="4" w:space="0"/>
            </w:tcBorders>
            <w:vAlign w:val="center"/>
          </w:tcPr>
          <w:p w14:paraId="70B7CAF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61" w:type="dxa"/>
            <w:tcBorders>
              <w:top w:val="single" w:color="000000" w:sz="4" w:space="0"/>
              <w:left w:val="single" w:color="000000" w:sz="4" w:space="0"/>
              <w:bottom w:val="single" w:color="000000" w:sz="4" w:space="0"/>
              <w:right w:val="single" w:color="000000" w:sz="4" w:space="0"/>
            </w:tcBorders>
            <w:vAlign w:val="center"/>
          </w:tcPr>
          <w:p w14:paraId="44543A0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数据导入</w:t>
            </w:r>
          </w:p>
        </w:tc>
        <w:tc>
          <w:tcPr>
            <w:tcW w:w="6521" w:type="dxa"/>
            <w:tcBorders>
              <w:top w:val="single" w:color="000000" w:sz="4" w:space="0"/>
              <w:left w:val="single" w:color="000000" w:sz="4" w:space="0"/>
              <w:bottom w:val="single" w:color="000000" w:sz="4" w:space="0"/>
              <w:right w:val="single" w:color="000000" w:sz="4" w:space="0"/>
            </w:tcBorders>
            <w:vAlign w:val="center"/>
          </w:tcPr>
          <w:p w14:paraId="41295B9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除了手工方式的数据录入外，系统也允许采用导入的方式实现数据的输入，以便对历史数据进行导入。导入方式既可以采用固定格式的数据导入；也能采用通用的EXCEL格式对数据进行导入。</w:t>
            </w:r>
          </w:p>
        </w:tc>
      </w:tr>
      <w:tr w14:paraId="2C33573D">
        <w:tblPrEx>
          <w:tblCellMar>
            <w:top w:w="15" w:type="dxa"/>
            <w:left w:w="108" w:type="dxa"/>
            <w:bottom w:w="15" w:type="dxa"/>
            <w:right w:w="108" w:type="dxa"/>
          </w:tblCellMar>
        </w:tblPrEx>
        <w:trPr>
          <w:trHeight w:val="369" w:hRule="atLeast"/>
          <w:jc w:val="center"/>
        </w:trPr>
        <w:tc>
          <w:tcPr>
            <w:tcW w:w="1003" w:type="dxa"/>
            <w:tcBorders>
              <w:top w:val="single" w:color="000000" w:sz="4" w:space="0"/>
              <w:left w:val="single" w:color="000000" w:sz="4" w:space="0"/>
              <w:bottom w:val="single" w:color="000000" w:sz="4" w:space="0"/>
              <w:right w:val="single" w:color="000000" w:sz="4" w:space="0"/>
            </w:tcBorders>
            <w:vAlign w:val="center"/>
          </w:tcPr>
          <w:p w14:paraId="3CF9F82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61" w:type="dxa"/>
            <w:tcBorders>
              <w:top w:val="single" w:color="000000" w:sz="4" w:space="0"/>
              <w:left w:val="single" w:color="000000" w:sz="4" w:space="0"/>
              <w:bottom w:val="single" w:color="000000" w:sz="4" w:space="0"/>
              <w:right w:val="single" w:color="000000" w:sz="4" w:space="0"/>
            </w:tcBorders>
            <w:vAlign w:val="center"/>
          </w:tcPr>
          <w:p w14:paraId="5309433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数据校核</w:t>
            </w:r>
          </w:p>
        </w:tc>
        <w:tc>
          <w:tcPr>
            <w:tcW w:w="6521" w:type="dxa"/>
            <w:tcBorders>
              <w:top w:val="single" w:color="000000" w:sz="4" w:space="0"/>
              <w:left w:val="single" w:color="000000" w:sz="4" w:space="0"/>
              <w:bottom w:val="single" w:color="000000" w:sz="4" w:space="0"/>
              <w:right w:val="single" w:color="000000" w:sz="4" w:space="0"/>
            </w:tcBorders>
            <w:vAlign w:val="center"/>
          </w:tcPr>
          <w:p w14:paraId="6CF85EA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此功能满足对上报的环境监测数据进行质量管理，使之符合逻辑性、有效性等数据质量的要求。审核不通过的数据退回重新审核后再上报，所有的审核过程均由审核日志进行记载，便于责任追溯。数据库校核的主要规则包括：a）监测数据有效性判定；b）监测数据间逻辑性判定；c）低于检出限判定；d）低于检出限数据处理服务</w:t>
            </w:r>
          </w:p>
        </w:tc>
      </w:tr>
      <w:tr w14:paraId="7D508692">
        <w:tblPrEx>
          <w:tblCellMar>
            <w:top w:w="15" w:type="dxa"/>
            <w:left w:w="108" w:type="dxa"/>
            <w:bottom w:w="15" w:type="dxa"/>
            <w:right w:w="108" w:type="dxa"/>
          </w:tblCellMar>
        </w:tblPrEx>
        <w:trPr>
          <w:trHeight w:val="369" w:hRule="atLeast"/>
          <w:jc w:val="center"/>
        </w:trPr>
        <w:tc>
          <w:tcPr>
            <w:tcW w:w="1003" w:type="dxa"/>
            <w:tcBorders>
              <w:top w:val="single" w:color="000000" w:sz="4" w:space="0"/>
              <w:left w:val="single" w:color="000000" w:sz="4" w:space="0"/>
              <w:bottom w:val="single" w:color="000000" w:sz="4" w:space="0"/>
              <w:right w:val="single" w:color="000000" w:sz="4" w:space="0"/>
            </w:tcBorders>
            <w:vAlign w:val="center"/>
          </w:tcPr>
          <w:p w14:paraId="5BA71DF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61" w:type="dxa"/>
            <w:tcBorders>
              <w:top w:val="single" w:color="000000" w:sz="4" w:space="0"/>
              <w:left w:val="single" w:color="000000" w:sz="4" w:space="0"/>
              <w:bottom w:val="single" w:color="000000" w:sz="4" w:space="0"/>
              <w:right w:val="single" w:color="000000" w:sz="4" w:space="0"/>
            </w:tcBorders>
            <w:vAlign w:val="center"/>
          </w:tcPr>
          <w:p w14:paraId="4B13E08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数据查询</w:t>
            </w:r>
          </w:p>
        </w:tc>
        <w:tc>
          <w:tcPr>
            <w:tcW w:w="6521" w:type="dxa"/>
            <w:tcBorders>
              <w:top w:val="single" w:color="000000" w:sz="4" w:space="0"/>
              <w:left w:val="single" w:color="000000" w:sz="4" w:space="0"/>
              <w:bottom w:val="single" w:color="000000" w:sz="4" w:space="0"/>
              <w:right w:val="single" w:color="000000" w:sz="4" w:space="0"/>
            </w:tcBorders>
            <w:vAlign w:val="center"/>
          </w:tcPr>
          <w:p w14:paraId="3F2D9C4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对于已经入库的数据，能实现对原始数据进行查询，对查询得到的数据可以用EXCEL文件方式导出。数据查询可按基本信息或监测数据内容进行查询。</w:t>
            </w:r>
          </w:p>
        </w:tc>
      </w:tr>
    </w:tbl>
    <w:p w14:paraId="5B010212">
      <w:pPr>
        <w:spacing w:line="360" w:lineRule="auto"/>
        <w:outlineLvl w:val="4"/>
        <w:rPr>
          <w:rFonts w:asciiTheme="minorEastAsia" w:hAnsiTheme="minorEastAsia" w:eastAsiaTheme="minorEastAsia" w:cstheme="minorEastAsia"/>
          <w:b/>
          <w:bCs/>
          <w:szCs w:val="21"/>
        </w:rPr>
      </w:pPr>
      <w:bookmarkStart w:id="61" w:name="_Toc372"/>
    </w:p>
    <w:p w14:paraId="2C6A5CA9">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4.9 常规六因子大气环境质量模块（适配及升级）</w:t>
      </w:r>
      <w:bookmarkEnd w:id="61"/>
    </w:p>
    <w:p w14:paraId="3D6A2A5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宁海县环境空气质量监测的特点，该模块主要通过分区域，并按照日、周、月、季度和全年对空气质量进行评价。模块实现评价结果的保存、打印功能。空气质量评价内容主要有评价空气质量指数和依据国家标准划分空气质量级别以及首要污染物。</w:t>
      </w:r>
    </w:p>
    <w:p w14:paraId="432C0DC9">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10</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常规六因子大气环境质量功能需求表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992"/>
      </w:tblGrid>
      <w:tr w14:paraId="0637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1682" w:type="dxa"/>
            <w:shd w:val="clear" w:color="auto" w:fill="C0C0C0"/>
            <w:vAlign w:val="center"/>
          </w:tcPr>
          <w:p w14:paraId="4F913DC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功能类别</w:t>
            </w:r>
          </w:p>
        </w:tc>
        <w:tc>
          <w:tcPr>
            <w:tcW w:w="6804" w:type="dxa"/>
            <w:shd w:val="clear" w:color="auto" w:fill="C0C0C0"/>
            <w:vAlign w:val="center"/>
          </w:tcPr>
          <w:p w14:paraId="7626568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子功能</w:t>
            </w:r>
          </w:p>
        </w:tc>
      </w:tr>
      <w:tr w14:paraId="3A63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682" w:type="dxa"/>
            <w:vMerge w:val="restart"/>
            <w:shd w:val="clear" w:color="auto" w:fill="FFFFFF"/>
            <w:vAlign w:val="center"/>
          </w:tcPr>
          <w:p w14:paraId="217510A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数据库（适配）</w:t>
            </w:r>
          </w:p>
        </w:tc>
        <w:tc>
          <w:tcPr>
            <w:tcW w:w="6804" w:type="dxa"/>
            <w:shd w:val="clear" w:color="auto" w:fill="FFFFFF"/>
            <w:vAlign w:val="center"/>
          </w:tcPr>
          <w:p w14:paraId="052B6E5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环境空气六项监测数据库：可查询二氧化硫、二氧化氮、一氧化碳、臭氧、PM10、PM2.5的监测数据。同时也可通过“搜索”监测项目进行查询。</w:t>
            </w:r>
          </w:p>
        </w:tc>
      </w:tr>
      <w:tr w14:paraId="33EB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682" w:type="dxa"/>
            <w:vMerge w:val="continue"/>
            <w:shd w:val="clear" w:color="auto" w:fill="FFFFFF"/>
            <w:vAlign w:val="center"/>
          </w:tcPr>
          <w:p w14:paraId="501ECD94">
            <w:pPr>
              <w:jc w:val="center"/>
              <w:rPr>
                <w:rFonts w:asciiTheme="minorEastAsia" w:hAnsiTheme="minorEastAsia" w:eastAsiaTheme="minorEastAsia" w:cstheme="minorEastAsia"/>
                <w:szCs w:val="21"/>
              </w:rPr>
            </w:pPr>
          </w:p>
        </w:tc>
        <w:tc>
          <w:tcPr>
            <w:tcW w:w="6804" w:type="dxa"/>
            <w:shd w:val="clear" w:color="auto" w:fill="FFFFFF"/>
            <w:vAlign w:val="center"/>
          </w:tcPr>
          <w:p w14:paraId="40B1C80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城市监测数据库：通过环保部门公开的环境空气监测数据，系统可对具有可比性的城市的环境空气六项的监测数据与该城市数据在同一段时间内进行比较，同时以图表形式，使污染程度有一个直观判断。</w:t>
            </w:r>
          </w:p>
        </w:tc>
      </w:tr>
      <w:tr w14:paraId="619F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682" w:type="dxa"/>
            <w:shd w:val="clear" w:color="auto" w:fill="FFFFFF"/>
            <w:vAlign w:val="center"/>
          </w:tcPr>
          <w:p w14:paraId="0B281A7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数据对接（升级）</w:t>
            </w:r>
          </w:p>
        </w:tc>
        <w:tc>
          <w:tcPr>
            <w:tcW w:w="6804" w:type="dxa"/>
            <w:shd w:val="clear" w:color="auto" w:fill="FFFFFF"/>
            <w:vAlign w:val="center"/>
          </w:tcPr>
          <w:p w14:paraId="2CF309F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与气象部门数据对接，实时展示气象五参数的实时查看、展示，同时可和站点进行叠加分析。</w:t>
            </w:r>
          </w:p>
        </w:tc>
      </w:tr>
      <w:tr w14:paraId="6A4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682" w:type="dxa"/>
            <w:shd w:val="clear" w:color="auto" w:fill="FFFFFF"/>
            <w:vAlign w:val="center"/>
          </w:tcPr>
          <w:p w14:paraId="4149A43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数据处理（适配）</w:t>
            </w:r>
          </w:p>
        </w:tc>
        <w:tc>
          <w:tcPr>
            <w:tcW w:w="6804" w:type="dxa"/>
            <w:shd w:val="clear" w:color="auto" w:fill="FFFFFF"/>
            <w:vAlign w:val="center"/>
          </w:tcPr>
          <w:p w14:paraId="75CC7E5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按照环境空气数据管理规范进行自动校验的数据库：1）监测数据有效性判定（自动判断接收到的下位机数据是否有效。）；2）数据逻辑性判断；3）低于检出限判定；4)低于检出限数据处理。</w:t>
            </w:r>
          </w:p>
        </w:tc>
      </w:tr>
      <w:tr w14:paraId="25FD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82" w:type="dxa"/>
            <w:vMerge w:val="restart"/>
            <w:shd w:val="clear" w:color="auto" w:fill="FFFFFF"/>
            <w:vAlign w:val="center"/>
          </w:tcPr>
          <w:p w14:paraId="066050C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查询功能（适配）</w:t>
            </w:r>
          </w:p>
        </w:tc>
        <w:tc>
          <w:tcPr>
            <w:tcW w:w="6804" w:type="dxa"/>
            <w:vAlign w:val="center"/>
          </w:tcPr>
          <w:p w14:paraId="0A79BF9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监测设备查询功能：可根据监测设备库中建立设备的明细清单进行查询。</w:t>
            </w:r>
          </w:p>
        </w:tc>
      </w:tr>
      <w:tr w14:paraId="55A9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82" w:type="dxa"/>
            <w:vMerge w:val="continue"/>
            <w:shd w:val="clear" w:color="auto" w:fill="FFFFFF"/>
            <w:vAlign w:val="center"/>
          </w:tcPr>
          <w:p w14:paraId="72EB5BCD">
            <w:pPr>
              <w:jc w:val="center"/>
              <w:rPr>
                <w:rFonts w:asciiTheme="minorEastAsia" w:hAnsiTheme="minorEastAsia" w:eastAsiaTheme="minorEastAsia" w:cstheme="minorEastAsia"/>
                <w:szCs w:val="21"/>
              </w:rPr>
            </w:pPr>
          </w:p>
        </w:tc>
        <w:tc>
          <w:tcPr>
            <w:tcW w:w="6804" w:type="dxa"/>
            <w:vAlign w:val="center"/>
          </w:tcPr>
          <w:p w14:paraId="02336F8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环境空气质量评价查询功能：根据监测的数据，可展现环境空气质量评价。</w:t>
            </w:r>
          </w:p>
        </w:tc>
      </w:tr>
      <w:tr w14:paraId="395C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shd w:val="clear" w:color="auto" w:fill="FFFFFF"/>
            <w:vAlign w:val="center"/>
          </w:tcPr>
          <w:p w14:paraId="57D7049C">
            <w:pPr>
              <w:jc w:val="center"/>
              <w:rPr>
                <w:rFonts w:asciiTheme="minorEastAsia" w:hAnsiTheme="minorEastAsia" w:eastAsiaTheme="minorEastAsia" w:cstheme="minorEastAsia"/>
                <w:szCs w:val="21"/>
              </w:rPr>
            </w:pPr>
          </w:p>
        </w:tc>
        <w:tc>
          <w:tcPr>
            <w:tcW w:w="6804" w:type="dxa"/>
            <w:vAlign w:val="center"/>
          </w:tcPr>
          <w:p w14:paraId="70612A4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监测方法查询功能：包含各种污染物的方法以及检出限。对每一种检测方法均可点开详细查询。</w:t>
            </w:r>
          </w:p>
        </w:tc>
      </w:tr>
      <w:tr w14:paraId="0B76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shd w:val="clear" w:color="auto" w:fill="FFFFFF"/>
          </w:tcPr>
          <w:p w14:paraId="12E8679E">
            <w:pPr>
              <w:jc w:val="center"/>
              <w:rPr>
                <w:rFonts w:asciiTheme="minorEastAsia" w:hAnsiTheme="minorEastAsia" w:eastAsiaTheme="minorEastAsia" w:cstheme="minorEastAsia"/>
                <w:szCs w:val="21"/>
              </w:rPr>
            </w:pPr>
          </w:p>
        </w:tc>
        <w:tc>
          <w:tcPr>
            <w:tcW w:w="6804" w:type="dxa"/>
            <w:vAlign w:val="center"/>
          </w:tcPr>
          <w:p w14:paraId="5DCDE7D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点位信息查询功能：能对每一个点位的信息进行单独管理，包括经纬度、监测因子。</w:t>
            </w:r>
          </w:p>
        </w:tc>
      </w:tr>
      <w:tr w14:paraId="35F0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restart"/>
            <w:vAlign w:val="center"/>
          </w:tcPr>
          <w:p w14:paraId="620CD1E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统计分析功能（适配）</w:t>
            </w:r>
          </w:p>
        </w:tc>
        <w:tc>
          <w:tcPr>
            <w:tcW w:w="6804" w:type="dxa"/>
            <w:vAlign w:val="center"/>
          </w:tcPr>
          <w:p w14:paraId="594F962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污染物变化走势分析功能：可以选择任意时段、任意周期统计并显示污染物变化走势图。</w:t>
            </w:r>
          </w:p>
        </w:tc>
      </w:tr>
      <w:tr w14:paraId="21C4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2128D611">
            <w:pPr>
              <w:jc w:val="center"/>
              <w:rPr>
                <w:rFonts w:asciiTheme="minorEastAsia" w:hAnsiTheme="minorEastAsia" w:eastAsiaTheme="minorEastAsia" w:cstheme="minorEastAsia"/>
                <w:szCs w:val="21"/>
              </w:rPr>
            </w:pPr>
          </w:p>
        </w:tc>
        <w:tc>
          <w:tcPr>
            <w:tcW w:w="6804" w:type="dxa"/>
            <w:vAlign w:val="center"/>
          </w:tcPr>
          <w:p w14:paraId="7711A10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质量变化走势分析功能：可以选择任意时段、任意周期统计并显示AQI变化走势图，以及最新AQI的AQI对应的空气质量指数级别、空气质量指数类别（优、良、轻度污染等）及对应的颜色；对健康影响状况。实时分析优良率、PM2.5浓度、与去年变化程度。</w:t>
            </w:r>
          </w:p>
        </w:tc>
      </w:tr>
      <w:tr w14:paraId="46D8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71860CBB">
            <w:pPr>
              <w:jc w:val="center"/>
              <w:rPr>
                <w:rFonts w:asciiTheme="minorEastAsia" w:hAnsiTheme="minorEastAsia" w:eastAsiaTheme="minorEastAsia" w:cstheme="minorEastAsia"/>
                <w:szCs w:val="21"/>
              </w:rPr>
            </w:pPr>
          </w:p>
        </w:tc>
        <w:tc>
          <w:tcPr>
            <w:tcW w:w="6804" w:type="dxa"/>
            <w:vAlign w:val="center"/>
          </w:tcPr>
          <w:p w14:paraId="42C9471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城市空气质量分指数分析功能：可选一个或几个污染物，展现对应的IAQI值。</w:t>
            </w:r>
          </w:p>
        </w:tc>
      </w:tr>
      <w:tr w14:paraId="0539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62D95682">
            <w:pPr>
              <w:jc w:val="center"/>
              <w:rPr>
                <w:rFonts w:asciiTheme="minorEastAsia" w:hAnsiTheme="minorEastAsia" w:eastAsiaTheme="minorEastAsia" w:cstheme="minorEastAsia"/>
                <w:szCs w:val="21"/>
              </w:rPr>
            </w:pPr>
          </w:p>
        </w:tc>
        <w:tc>
          <w:tcPr>
            <w:tcW w:w="6804" w:type="dxa"/>
            <w:vAlign w:val="center"/>
          </w:tcPr>
          <w:p w14:paraId="1BD0BD0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空气质量比较：各监测站点空气质量可进行比较，用柱状图表示。</w:t>
            </w:r>
          </w:p>
        </w:tc>
      </w:tr>
      <w:tr w14:paraId="09BC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24E7AE20">
            <w:pPr>
              <w:jc w:val="center"/>
              <w:rPr>
                <w:rFonts w:asciiTheme="minorEastAsia" w:hAnsiTheme="minorEastAsia" w:eastAsiaTheme="minorEastAsia" w:cstheme="minorEastAsia"/>
                <w:szCs w:val="21"/>
              </w:rPr>
            </w:pPr>
          </w:p>
        </w:tc>
        <w:tc>
          <w:tcPr>
            <w:tcW w:w="6804" w:type="dxa"/>
          </w:tcPr>
          <w:p w14:paraId="0313941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首要污染物分析：根据城市监测点数据计算筛选出首要污染物。</w:t>
            </w:r>
          </w:p>
        </w:tc>
      </w:tr>
      <w:tr w14:paraId="0A78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1C864ABB">
            <w:pPr>
              <w:jc w:val="center"/>
              <w:rPr>
                <w:rFonts w:asciiTheme="minorEastAsia" w:hAnsiTheme="minorEastAsia" w:eastAsiaTheme="minorEastAsia" w:cstheme="minorEastAsia"/>
                <w:szCs w:val="21"/>
              </w:rPr>
            </w:pPr>
          </w:p>
        </w:tc>
        <w:tc>
          <w:tcPr>
            <w:tcW w:w="6804" w:type="dxa"/>
          </w:tcPr>
          <w:p w14:paraId="3C24AA9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空气质量等级变化情况：对比分析同一地点不同时间段所展示的空气质量等级变化情况，以折线图展现。</w:t>
            </w:r>
          </w:p>
        </w:tc>
      </w:tr>
      <w:tr w14:paraId="2BB5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47AE6883">
            <w:pPr>
              <w:jc w:val="center"/>
              <w:rPr>
                <w:rFonts w:asciiTheme="minorEastAsia" w:hAnsiTheme="minorEastAsia" w:eastAsiaTheme="minorEastAsia" w:cstheme="minorEastAsia"/>
                <w:szCs w:val="21"/>
              </w:rPr>
            </w:pPr>
          </w:p>
        </w:tc>
        <w:tc>
          <w:tcPr>
            <w:tcW w:w="6804" w:type="dxa"/>
          </w:tcPr>
          <w:p w14:paraId="08C87A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空气质量指数变化情况: 根据常规六项因子计算空气质量指数，判定环境空气质量，展现空气质量指数变化走势图。</w:t>
            </w:r>
          </w:p>
        </w:tc>
      </w:tr>
      <w:tr w14:paraId="7A0A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Merge w:val="continue"/>
          </w:tcPr>
          <w:p w14:paraId="0F5F102B">
            <w:pPr>
              <w:jc w:val="center"/>
              <w:rPr>
                <w:rFonts w:asciiTheme="minorEastAsia" w:hAnsiTheme="minorEastAsia" w:eastAsiaTheme="minorEastAsia" w:cstheme="minorEastAsia"/>
                <w:szCs w:val="21"/>
              </w:rPr>
            </w:pPr>
          </w:p>
        </w:tc>
        <w:tc>
          <w:tcPr>
            <w:tcW w:w="6804" w:type="dxa"/>
            <w:vAlign w:val="center"/>
          </w:tcPr>
          <w:p w14:paraId="5BCE1F1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同比：选择性统计计算空气质量测点各项目浓度及AQI的前某一阶段的同期进行比较。</w:t>
            </w:r>
          </w:p>
        </w:tc>
      </w:tr>
      <w:tr w14:paraId="0CAC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2" w:type="dxa"/>
            <w:vAlign w:val="center"/>
          </w:tcPr>
          <w:p w14:paraId="1ADD70B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报表功能（适配）</w:t>
            </w:r>
          </w:p>
        </w:tc>
        <w:tc>
          <w:tcPr>
            <w:tcW w:w="6804" w:type="dxa"/>
            <w:vAlign w:val="center"/>
          </w:tcPr>
          <w:p w14:paraId="3D7C6F4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根据时间类型（月、日、小时、原始）数据导出excel，形成统计数据报表。</w:t>
            </w:r>
          </w:p>
        </w:tc>
      </w:tr>
    </w:tbl>
    <w:p w14:paraId="6369B8B7">
      <w:pPr>
        <w:spacing w:line="360" w:lineRule="auto"/>
        <w:outlineLvl w:val="4"/>
        <w:rPr>
          <w:rFonts w:asciiTheme="minorEastAsia" w:hAnsiTheme="minorEastAsia" w:eastAsiaTheme="minorEastAsia" w:cstheme="minorEastAsia"/>
          <w:b/>
          <w:bCs/>
          <w:szCs w:val="21"/>
        </w:rPr>
      </w:pPr>
      <w:bookmarkStart w:id="62" w:name="_Toc13648"/>
    </w:p>
    <w:p w14:paraId="4E4011C3">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4.10 水环境质量监控预警模块（适配）</w:t>
      </w:r>
      <w:bookmarkEnd w:id="62"/>
    </w:p>
    <w:p w14:paraId="21D9D30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搭建基于WEB服务的平台，统计分析结果在GIS图上实时显示：建立提供面向业务工作人员的综合分析服务描述、发现、访问平台，实现查询功能、统计分析等功能。</w:t>
      </w:r>
    </w:p>
    <w:p w14:paraId="3ECC74B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11</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水环境质量监控预警功能需求表</w:t>
      </w:r>
    </w:p>
    <w:tbl>
      <w:tblPr>
        <w:tblStyle w:val="63"/>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6"/>
        <w:gridCol w:w="6685"/>
      </w:tblGrid>
      <w:tr w14:paraId="71256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tblHeader/>
          <w:jc w:val="center"/>
        </w:trPr>
        <w:tc>
          <w:tcPr>
            <w:tcW w:w="1985" w:type="dxa"/>
            <w:shd w:val="clear" w:color="auto" w:fill="C0C0C0"/>
            <w:vAlign w:val="center"/>
          </w:tcPr>
          <w:p w14:paraId="45820E5A">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520" w:type="dxa"/>
            <w:shd w:val="clear" w:color="auto" w:fill="C0C0C0"/>
            <w:vAlign w:val="center"/>
          </w:tcPr>
          <w:p w14:paraId="21538850">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0B954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1985" w:type="dxa"/>
            <w:vMerge w:val="restart"/>
            <w:shd w:val="clear" w:color="auto" w:fill="FFFFFF"/>
            <w:vAlign w:val="center"/>
          </w:tcPr>
          <w:p w14:paraId="36F969F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数据库</w:t>
            </w:r>
          </w:p>
        </w:tc>
        <w:tc>
          <w:tcPr>
            <w:tcW w:w="6520" w:type="dxa"/>
            <w:shd w:val="clear" w:color="auto" w:fill="FFFFFF"/>
            <w:vAlign w:val="center"/>
          </w:tcPr>
          <w:p w14:paraId="2A0841A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数据库中的化学品库包含200种以上化学品库包含方法和国标、行标的标准供查阅。</w:t>
            </w:r>
          </w:p>
        </w:tc>
      </w:tr>
      <w:tr w14:paraId="37005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3" w:hRule="atLeast"/>
          <w:jc w:val="center"/>
        </w:trPr>
        <w:tc>
          <w:tcPr>
            <w:tcW w:w="1985" w:type="dxa"/>
            <w:vMerge w:val="continue"/>
            <w:shd w:val="clear" w:color="auto" w:fill="FFFFFF"/>
            <w:vAlign w:val="center"/>
          </w:tcPr>
          <w:p w14:paraId="3A4C2F53">
            <w:pPr>
              <w:jc w:val="center"/>
              <w:rPr>
                <w:rFonts w:asciiTheme="minorEastAsia" w:hAnsiTheme="minorEastAsia" w:eastAsiaTheme="minorEastAsia" w:cstheme="minorEastAsia"/>
                <w:szCs w:val="21"/>
              </w:rPr>
            </w:pPr>
          </w:p>
        </w:tc>
        <w:tc>
          <w:tcPr>
            <w:tcW w:w="6520" w:type="dxa"/>
            <w:shd w:val="clear" w:color="auto" w:fill="FFFFFF"/>
            <w:vAlign w:val="center"/>
          </w:tcPr>
          <w:p w14:paraId="3F60DF6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水污染源库：按污染源的来源及同一来源的不同性质归类，按序排列形成污染源库。</w:t>
            </w:r>
          </w:p>
        </w:tc>
      </w:tr>
      <w:tr w14:paraId="36B4C7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1985" w:type="dxa"/>
            <w:vMerge w:val="continue"/>
            <w:shd w:val="clear" w:color="auto" w:fill="auto"/>
            <w:vAlign w:val="center"/>
          </w:tcPr>
          <w:p w14:paraId="14AEF2DF">
            <w:pPr>
              <w:jc w:val="center"/>
              <w:rPr>
                <w:rFonts w:asciiTheme="minorEastAsia" w:hAnsiTheme="minorEastAsia" w:eastAsiaTheme="minorEastAsia" w:cstheme="minorEastAsia"/>
                <w:szCs w:val="21"/>
              </w:rPr>
            </w:pPr>
          </w:p>
        </w:tc>
        <w:tc>
          <w:tcPr>
            <w:tcW w:w="6520" w:type="dxa"/>
            <w:shd w:val="clear" w:color="auto" w:fill="FFFFFF"/>
            <w:vAlign w:val="center"/>
          </w:tcPr>
          <w:p w14:paraId="0F62E98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监测项目库：按照水质的国家或环保部限值要求和水质类型形成监测项目数据库。</w:t>
            </w:r>
          </w:p>
        </w:tc>
      </w:tr>
      <w:tr w14:paraId="16D6C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85" w:type="dxa"/>
            <w:vMerge w:val="continue"/>
            <w:shd w:val="clear" w:color="auto" w:fill="auto"/>
            <w:vAlign w:val="center"/>
          </w:tcPr>
          <w:p w14:paraId="48B8C901">
            <w:pPr>
              <w:jc w:val="center"/>
              <w:rPr>
                <w:rFonts w:asciiTheme="minorEastAsia" w:hAnsiTheme="minorEastAsia" w:eastAsiaTheme="minorEastAsia" w:cstheme="minorEastAsia"/>
                <w:szCs w:val="21"/>
              </w:rPr>
            </w:pPr>
          </w:p>
        </w:tc>
        <w:tc>
          <w:tcPr>
            <w:tcW w:w="6520" w:type="dxa"/>
            <w:shd w:val="clear" w:color="auto" w:fill="FFFFFF"/>
            <w:vAlign w:val="center"/>
          </w:tcPr>
          <w:p w14:paraId="2061D18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功能类别库：能按GB3838-2002 地表水环境质量标准、对水质进行分类，并按类别显示在统计图表中。</w:t>
            </w:r>
          </w:p>
        </w:tc>
      </w:tr>
      <w:tr w14:paraId="020D9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jc w:val="center"/>
        </w:trPr>
        <w:tc>
          <w:tcPr>
            <w:tcW w:w="1985" w:type="dxa"/>
            <w:vMerge w:val="continue"/>
            <w:shd w:val="clear" w:color="auto" w:fill="auto"/>
            <w:vAlign w:val="center"/>
          </w:tcPr>
          <w:p w14:paraId="57A8D999">
            <w:pPr>
              <w:jc w:val="center"/>
              <w:rPr>
                <w:rFonts w:asciiTheme="minorEastAsia" w:hAnsiTheme="minorEastAsia" w:eastAsiaTheme="minorEastAsia" w:cstheme="minorEastAsia"/>
                <w:szCs w:val="21"/>
              </w:rPr>
            </w:pPr>
          </w:p>
        </w:tc>
        <w:tc>
          <w:tcPr>
            <w:tcW w:w="6520" w:type="dxa"/>
            <w:shd w:val="clear" w:color="auto" w:fill="FFFFFF"/>
            <w:vAlign w:val="center"/>
          </w:tcPr>
          <w:p w14:paraId="25C643F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点位信息库：根据环保系统提供的监测点位信息汇总建立点位信息库，对点位信息一一列举。</w:t>
            </w:r>
          </w:p>
        </w:tc>
      </w:tr>
      <w:tr w14:paraId="7E7DF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1" w:hRule="atLeast"/>
          <w:jc w:val="center"/>
        </w:trPr>
        <w:tc>
          <w:tcPr>
            <w:tcW w:w="1985" w:type="dxa"/>
            <w:vMerge w:val="continue"/>
            <w:shd w:val="clear" w:color="auto" w:fill="auto"/>
            <w:vAlign w:val="center"/>
          </w:tcPr>
          <w:p w14:paraId="5E2A8C13">
            <w:pPr>
              <w:jc w:val="center"/>
              <w:rPr>
                <w:rFonts w:asciiTheme="minorEastAsia" w:hAnsiTheme="minorEastAsia" w:eastAsiaTheme="minorEastAsia" w:cstheme="minorEastAsia"/>
                <w:szCs w:val="21"/>
              </w:rPr>
            </w:pPr>
          </w:p>
        </w:tc>
        <w:tc>
          <w:tcPr>
            <w:tcW w:w="6520" w:type="dxa"/>
            <w:shd w:val="clear" w:color="auto" w:fill="FFFFFF"/>
            <w:vAlign w:val="center"/>
          </w:tcPr>
          <w:p w14:paraId="1F38528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水质评价方法库：建立地表水水质评价及水质状况判定、湖泊（水库）富营养化指数计算、湖泊（水库）富营养化状态判定等方法库。</w:t>
            </w:r>
          </w:p>
        </w:tc>
      </w:tr>
      <w:tr w14:paraId="3092A0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1" w:hRule="atLeast"/>
          <w:jc w:val="center"/>
        </w:trPr>
        <w:tc>
          <w:tcPr>
            <w:tcW w:w="1985" w:type="dxa"/>
            <w:shd w:val="clear" w:color="auto" w:fill="FFFFFF"/>
            <w:vAlign w:val="center"/>
          </w:tcPr>
          <w:p w14:paraId="64ED5FA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数据处理</w:t>
            </w:r>
          </w:p>
        </w:tc>
        <w:tc>
          <w:tcPr>
            <w:tcW w:w="6520" w:type="dxa"/>
            <w:shd w:val="clear" w:color="auto" w:fill="FFFFFF"/>
            <w:vAlign w:val="center"/>
          </w:tcPr>
          <w:p w14:paraId="51D2EE2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按照水环境质量数据管理规范进行自动校验的水环境质量数据库：满足监测数据有效性判定；逻辑性判断，低限值判定及处理。</w:t>
            </w:r>
          </w:p>
        </w:tc>
      </w:tr>
      <w:tr w14:paraId="0BFBD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1985" w:type="dxa"/>
            <w:vMerge w:val="restart"/>
            <w:shd w:val="clear" w:color="auto" w:fill="FFFFFF"/>
            <w:vAlign w:val="center"/>
          </w:tcPr>
          <w:p w14:paraId="728943D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w:t>
            </w:r>
          </w:p>
        </w:tc>
        <w:tc>
          <w:tcPr>
            <w:tcW w:w="6520" w:type="dxa"/>
            <w:shd w:val="clear" w:color="auto" w:fill="FFFFFF"/>
            <w:vAlign w:val="center"/>
          </w:tcPr>
          <w:p w14:paraId="3614D16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自定义查询功能：可查询到任何时间单点、河段、区域等不同范围的数据。</w:t>
            </w:r>
          </w:p>
        </w:tc>
      </w:tr>
      <w:tr w14:paraId="3B5F8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1985" w:type="dxa"/>
            <w:vMerge w:val="continue"/>
            <w:shd w:val="clear" w:color="auto" w:fill="FFFFFF"/>
            <w:vAlign w:val="center"/>
          </w:tcPr>
          <w:p w14:paraId="1C624D62">
            <w:pPr>
              <w:jc w:val="center"/>
              <w:rPr>
                <w:rFonts w:asciiTheme="minorEastAsia" w:hAnsiTheme="minorEastAsia" w:eastAsiaTheme="minorEastAsia" w:cstheme="minorEastAsia"/>
                <w:szCs w:val="21"/>
              </w:rPr>
            </w:pPr>
          </w:p>
        </w:tc>
        <w:tc>
          <w:tcPr>
            <w:tcW w:w="6520" w:type="dxa"/>
            <w:shd w:val="clear" w:color="auto" w:fill="FFFFFF"/>
            <w:vAlign w:val="center"/>
          </w:tcPr>
          <w:p w14:paraId="6957CE4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水污染源查询功能：典型和常见的水污染源有水污染源库，从库里搜索，搜索结果可点击相对应的监测点信息即可展现出来。</w:t>
            </w:r>
          </w:p>
        </w:tc>
      </w:tr>
      <w:tr w14:paraId="68550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6" w:hRule="atLeast"/>
          <w:jc w:val="center"/>
        </w:trPr>
        <w:tc>
          <w:tcPr>
            <w:tcW w:w="1985" w:type="dxa"/>
            <w:vMerge w:val="continue"/>
            <w:vAlign w:val="center"/>
          </w:tcPr>
          <w:p w14:paraId="135ECEEF">
            <w:pPr>
              <w:jc w:val="center"/>
              <w:rPr>
                <w:rFonts w:asciiTheme="minorEastAsia" w:hAnsiTheme="minorEastAsia" w:eastAsiaTheme="minorEastAsia" w:cstheme="minorEastAsia"/>
                <w:szCs w:val="21"/>
              </w:rPr>
            </w:pPr>
          </w:p>
        </w:tc>
        <w:tc>
          <w:tcPr>
            <w:tcW w:w="6520" w:type="dxa"/>
            <w:vAlign w:val="center"/>
          </w:tcPr>
          <w:p w14:paraId="0018239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监测项目查询功能：根据项目列表勾选监测项目查询。</w:t>
            </w:r>
          </w:p>
        </w:tc>
      </w:tr>
      <w:tr w14:paraId="58ED9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1DA4B1FA">
            <w:pPr>
              <w:jc w:val="center"/>
              <w:rPr>
                <w:rFonts w:asciiTheme="minorEastAsia" w:hAnsiTheme="minorEastAsia" w:eastAsiaTheme="minorEastAsia" w:cstheme="minorEastAsia"/>
                <w:szCs w:val="21"/>
              </w:rPr>
            </w:pPr>
          </w:p>
        </w:tc>
        <w:tc>
          <w:tcPr>
            <w:tcW w:w="6520" w:type="dxa"/>
            <w:vAlign w:val="center"/>
          </w:tcPr>
          <w:p w14:paraId="61429D3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功能类别查询功能：选定监测点位，可查询该点位所属类别，同时选择功能类别，满足条件的监测点会展现出来。</w:t>
            </w:r>
          </w:p>
        </w:tc>
      </w:tr>
      <w:tr w14:paraId="418B81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36B227B9">
            <w:pPr>
              <w:jc w:val="center"/>
              <w:rPr>
                <w:rFonts w:asciiTheme="minorEastAsia" w:hAnsiTheme="minorEastAsia" w:eastAsiaTheme="minorEastAsia" w:cstheme="minorEastAsia"/>
                <w:szCs w:val="21"/>
              </w:rPr>
            </w:pPr>
          </w:p>
        </w:tc>
        <w:tc>
          <w:tcPr>
            <w:tcW w:w="6520" w:type="dxa"/>
            <w:vAlign w:val="center"/>
          </w:tcPr>
          <w:p w14:paraId="74A1147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监测设备查询管理功能：点击监测设备列表，勾选或者搜索查询在线监测设备，可查看到该设备的基本信息及工作状态是否正常等。</w:t>
            </w:r>
          </w:p>
        </w:tc>
      </w:tr>
      <w:tr w14:paraId="72F75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2C239B53">
            <w:pPr>
              <w:jc w:val="center"/>
              <w:rPr>
                <w:rFonts w:asciiTheme="minorEastAsia" w:hAnsiTheme="minorEastAsia" w:eastAsiaTheme="minorEastAsia" w:cstheme="minorEastAsia"/>
                <w:szCs w:val="21"/>
              </w:rPr>
            </w:pPr>
          </w:p>
        </w:tc>
        <w:tc>
          <w:tcPr>
            <w:tcW w:w="6520" w:type="dxa"/>
            <w:vAlign w:val="center"/>
          </w:tcPr>
          <w:p w14:paraId="28BCD22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污染物标准及点位限值库查询功能：对于监测点位出现的典型和常见的污染物有限值，点击污染物查询列表，对应的限值可展现出来。</w:t>
            </w:r>
          </w:p>
        </w:tc>
      </w:tr>
      <w:tr w14:paraId="2B014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6" w:hRule="atLeast"/>
          <w:jc w:val="center"/>
        </w:trPr>
        <w:tc>
          <w:tcPr>
            <w:tcW w:w="1985" w:type="dxa"/>
            <w:vMerge w:val="continue"/>
            <w:vAlign w:val="center"/>
          </w:tcPr>
          <w:p w14:paraId="6B051D26">
            <w:pPr>
              <w:jc w:val="center"/>
              <w:rPr>
                <w:rFonts w:asciiTheme="minorEastAsia" w:hAnsiTheme="minorEastAsia" w:eastAsiaTheme="minorEastAsia" w:cstheme="minorEastAsia"/>
                <w:szCs w:val="21"/>
              </w:rPr>
            </w:pPr>
          </w:p>
        </w:tc>
        <w:tc>
          <w:tcPr>
            <w:tcW w:w="6520" w:type="dxa"/>
            <w:vAlign w:val="center"/>
          </w:tcPr>
          <w:p w14:paraId="3F430E5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水质评价方法查询功能。</w:t>
            </w:r>
          </w:p>
        </w:tc>
      </w:tr>
      <w:tr w14:paraId="3EDAD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7A3FB998">
            <w:pPr>
              <w:jc w:val="center"/>
              <w:rPr>
                <w:rFonts w:asciiTheme="minorEastAsia" w:hAnsiTheme="minorEastAsia" w:eastAsiaTheme="minorEastAsia" w:cstheme="minorEastAsia"/>
                <w:szCs w:val="21"/>
              </w:rPr>
            </w:pPr>
          </w:p>
        </w:tc>
        <w:tc>
          <w:tcPr>
            <w:tcW w:w="6520" w:type="dxa"/>
            <w:vAlign w:val="center"/>
          </w:tcPr>
          <w:p w14:paraId="484D100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监测方法查询功能：包含各污染物的方法。对每一种检测方法均可点开详细查询。</w:t>
            </w:r>
          </w:p>
        </w:tc>
      </w:tr>
      <w:tr w14:paraId="09BF6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4C664DC5">
            <w:pPr>
              <w:jc w:val="center"/>
              <w:rPr>
                <w:rFonts w:asciiTheme="minorEastAsia" w:hAnsiTheme="minorEastAsia" w:eastAsiaTheme="minorEastAsia" w:cstheme="minorEastAsia"/>
                <w:szCs w:val="21"/>
              </w:rPr>
            </w:pPr>
          </w:p>
        </w:tc>
        <w:tc>
          <w:tcPr>
            <w:tcW w:w="6520" w:type="dxa"/>
            <w:vAlign w:val="center"/>
          </w:tcPr>
          <w:p w14:paraId="0FF9AB6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点位信息查询功能：对每一个点位的信息进行单独管理，包括经纬度、监测指标等。</w:t>
            </w:r>
          </w:p>
        </w:tc>
      </w:tr>
      <w:tr w14:paraId="1EADE3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restart"/>
            <w:vAlign w:val="center"/>
          </w:tcPr>
          <w:p w14:paraId="5631950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统计分析功能</w:t>
            </w:r>
          </w:p>
        </w:tc>
        <w:tc>
          <w:tcPr>
            <w:tcW w:w="6520" w:type="dxa"/>
            <w:vAlign w:val="center"/>
          </w:tcPr>
          <w:p w14:paraId="06C7A65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水质类别判定分析功能：</w:t>
            </w:r>
            <w:bookmarkStart w:id="63" w:name="OLE_LINK6"/>
            <w:bookmarkStart w:id="64" w:name="OLE_LINK5"/>
            <w:bookmarkStart w:id="65" w:name="OLE_LINK7"/>
            <w:r>
              <w:rPr>
                <w:rFonts w:hint="eastAsia" w:asciiTheme="minorEastAsia" w:hAnsiTheme="minorEastAsia" w:eastAsiaTheme="minorEastAsia" w:cstheme="minorEastAsia"/>
                <w:szCs w:val="21"/>
              </w:rPr>
              <w:t>单点或多点任何时间段</w:t>
            </w:r>
            <w:bookmarkEnd w:id="63"/>
            <w:bookmarkEnd w:id="64"/>
            <w:bookmarkEnd w:id="65"/>
            <w:r>
              <w:rPr>
                <w:rFonts w:hint="eastAsia" w:asciiTheme="minorEastAsia" w:hAnsiTheme="minorEastAsia" w:eastAsiaTheme="minorEastAsia" w:cstheme="minorEastAsia"/>
                <w:szCs w:val="21"/>
              </w:rPr>
              <w:t>对河流、湖泊、饮用水源等测点水质类别判定分析功能。</w:t>
            </w:r>
          </w:p>
        </w:tc>
      </w:tr>
      <w:tr w14:paraId="1FE25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4AA4AB75">
            <w:pPr>
              <w:jc w:val="center"/>
              <w:rPr>
                <w:rFonts w:asciiTheme="minorEastAsia" w:hAnsiTheme="minorEastAsia" w:eastAsiaTheme="minorEastAsia" w:cstheme="minorEastAsia"/>
                <w:szCs w:val="21"/>
              </w:rPr>
            </w:pPr>
          </w:p>
        </w:tc>
        <w:tc>
          <w:tcPr>
            <w:tcW w:w="6520" w:type="dxa"/>
            <w:vAlign w:val="center"/>
          </w:tcPr>
          <w:p w14:paraId="742FAB4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水质主要污染物分析功能：单点或多点任何时间段对河流、湖泊、饮用水源等测点、水系、区域等水质主要污染物分析功能。</w:t>
            </w:r>
          </w:p>
        </w:tc>
      </w:tr>
      <w:tr w14:paraId="4A291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7A57DCC6">
            <w:pPr>
              <w:jc w:val="center"/>
              <w:rPr>
                <w:rFonts w:asciiTheme="minorEastAsia" w:hAnsiTheme="minorEastAsia" w:eastAsiaTheme="minorEastAsia" w:cstheme="minorEastAsia"/>
                <w:szCs w:val="21"/>
              </w:rPr>
            </w:pPr>
          </w:p>
        </w:tc>
        <w:tc>
          <w:tcPr>
            <w:tcW w:w="6520" w:type="dxa"/>
            <w:vAlign w:val="center"/>
          </w:tcPr>
          <w:p w14:paraId="2D146D0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水质达标情况分析功能：单点或多点任何时间段对河流、湖泊、饮用水源等测点、水系、区域水质达标情况分析功能。</w:t>
            </w:r>
          </w:p>
        </w:tc>
      </w:tr>
      <w:tr w14:paraId="358DC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985" w:type="dxa"/>
            <w:vMerge w:val="continue"/>
            <w:vAlign w:val="center"/>
          </w:tcPr>
          <w:p w14:paraId="3E7686EA">
            <w:pPr>
              <w:jc w:val="center"/>
              <w:rPr>
                <w:rFonts w:asciiTheme="minorEastAsia" w:hAnsiTheme="minorEastAsia" w:eastAsiaTheme="minorEastAsia" w:cstheme="minorEastAsia"/>
                <w:szCs w:val="21"/>
              </w:rPr>
            </w:pPr>
          </w:p>
        </w:tc>
        <w:tc>
          <w:tcPr>
            <w:tcW w:w="6520" w:type="dxa"/>
            <w:vAlign w:val="center"/>
          </w:tcPr>
          <w:p w14:paraId="58F4C68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上下游比较分析：自动生成任意时间段任意测点上下游各点之间各因子比较。</w:t>
            </w:r>
          </w:p>
        </w:tc>
      </w:tr>
      <w:tr w14:paraId="69C16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985" w:type="dxa"/>
            <w:vMerge w:val="continue"/>
            <w:vAlign w:val="center"/>
          </w:tcPr>
          <w:p w14:paraId="50CAF2A5">
            <w:pPr>
              <w:jc w:val="center"/>
              <w:rPr>
                <w:rFonts w:asciiTheme="minorEastAsia" w:hAnsiTheme="minorEastAsia" w:eastAsiaTheme="minorEastAsia" w:cstheme="minorEastAsia"/>
                <w:szCs w:val="21"/>
              </w:rPr>
            </w:pPr>
          </w:p>
        </w:tc>
        <w:tc>
          <w:tcPr>
            <w:tcW w:w="6520" w:type="dxa"/>
            <w:vAlign w:val="center"/>
          </w:tcPr>
          <w:p w14:paraId="472E999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监测因子趋势分析功能：对河流、湖泊、饮用水源等测点、水系、区域监测因子趋势分析功能。</w:t>
            </w:r>
          </w:p>
        </w:tc>
      </w:tr>
      <w:tr w14:paraId="5DCADD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985" w:type="dxa"/>
            <w:vMerge w:val="continue"/>
            <w:vAlign w:val="center"/>
          </w:tcPr>
          <w:p w14:paraId="313B42D7">
            <w:pPr>
              <w:jc w:val="center"/>
              <w:rPr>
                <w:rFonts w:asciiTheme="minorEastAsia" w:hAnsiTheme="minorEastAsia" w:eastAsiaTheme="minorEastAsia" w:cstheme="minorEastAsia"/>
                <w:szCs w:val="21"/>
              </w:rPr>
            </w:pPr>
          </w:p>
        </w:tc>
        <w:tc>
          <w:tcPr>
            <w:tcW w:w="6520" w:type="dxa"/>
            <w:vAlign w:val="center"/>
          </w:tcPr>
          <w:p w14:paraId="0EDADFA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湖泊富营养指数分析功能：根据富营养化程度的评价指标，计算出综合营养状态指数，对应营养状态分级，来判别营养化程度。</w:t>
            </w:r>
          </w:p>
        </w:tc>
      </w:tr>
      <w:tr w14:paraId="2CD848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985" w:type="dxa"/>
            <w:vMerge w:val="continue"/>
            <w:vAlign w:val="center"/>
          </w:tcPr>
          <w:p w14:paraId="5AA63F72">
            <w:pPr>
              <w:jc w:val="center"/>
              <w:rPr>
                <w:rFonts w:asciiTheme="minorEastAsia" w:hAnsiTheme="minorEastAsia" w:eastAsiaTheme="minorEastAsia" w:cstheme="minorEastAsia"/>
                <w:szCs w:val="21"/>
              </w:rPr>
            </w:pPr>
          </w:p>
        </w:tc>
        <w:tc>
          <w:tcPr>
            <w:tcW w:w="6520" w:type="dxa"/>
            <w:vAlign w:val="center"/>
          </w:tcPr>
          <w:p w14:paraId="58B51AA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行政区交接断面考核统计功能：根据行政区域划分，统计宁海县出入境断面考核结果。 </w:t>
            </w:r>
          </w:p>
        </w:tc>
      </w:tr>
      <w:tr w14:paraId="49C69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985" w:type="dxa"/>
            <w:vMerge w:val="continue"/>
            <w:vAlign w:val="center"/>
          </w:tcPr>
          <w:p w14:paraId="2C2138E9">
            <w:pPr>
              <w:jc w:val="center"/>
              <w:rPr>
                <w:rFonts w:asciiTheme="minorEastAsia" w:hAnsiTheme="minorEastAsia" w:eastAsiaTheme="minorEastAsia" w:cstheme="minorEastAsia"/>
                <w:szCs w:val="21"/>
              </w:rPr>
            </w:pPr>
          </w:p>
        </w:tc>
        <w:tc>
          <w:tcPr>
            <w:tcW w:w="6520" w:type="dxa"/>
            <w:vAlign w:val="center"/>
          </w:tcPr>
          <w:p w14:paraId="2528A76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单点或多点位实时数据的查询与比较分析功能：既有同一点位的历史同时期比较，又有同一时间段不同点位，相同监测项目的比较。</w:t>
            </w:r>
          </w:p>
        </w:tc>
      </w:tr>
      <w:tr w14:paraId="5412E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1985" w:type="dxa"/>
            <w:vAlign w:val="center"/>
          </w:tcPr>
          <w:p w14:paraId="2167DE7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报表功能</w:t>
            </w:r>
          </w:p>
        </w:tc>
        <w:tc>
          <w:tcPr>
            <w:tcW w:w="6520" w:type="dxa"/>
            <w:vAlign w:val="center"/>
          </w:tcPr>
          <w:p w14:paraId="5B9C310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能自动生成5种以上报表。</w:t>
            </w:r>
          </w:p>
        </w:tc>
      </w:tr>
    </w:tbl>
    <w:p w14:paraId="6A010CE3">
      <w:pPr>
        <w:spacing w:line="360" w:lineRule="auto"/>
        <w:ind w:firstLine="211" w:firstLineChars="100"/>
        <w:outlineLvl w:val="4"/>
        <w:rPr>
          <w:rFonts w:asciiTheme="minorEastAsia" w:hAnsiTheme="minorEastAsia" w:eastAsiaTheme="minorEastAsia" w:cstheme="minorEastAsia"/>
          <w:b/>
          <w:bCs/>
          <w:szCs w:val="21"/>
        </w:rPr>
      </w:pPr>
      <w:bookmarkStart w:id="66" w:name="_Toc3794"/>
    </w:p>
    <w:p w14:paraId="2F6AA853">
      <w:pPr>
        <w:spacing w:line="360" w:lineRule="auto"/>
        <w:ind w:firstLine="211" w:firstLineChars="100"/>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4.11噪声环境模块（适配）</w:t>
      </w:r>
      <w:bookmarkEnd w:id="66"/>
    </w:p>
    <w:p w14:paraId="45F2AE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以噪声环境质量点位为核心，GIS为基础，可选择指标、区域、时段等条件并以此为标准实现对各测点，道路，区域环境噪声的评价。具体功能如下表：</w:t>
      </w:r>
    </w:p>
    <w:p w14:paraId="3055C01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12</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噪声环境功能需求表</w:t>
      </w:r>
    </w:p>
    <w:tbl>
      <w:tblPr>
        <w:tblStyle w:val="63"/>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6864"/>
      </w:tblGrid>
      <w:tr w14:paraId="37C1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38" w:type="dxa"/>
            <w:tcBorders>
              <w:top w:val="single" w:color="auto" w:sz="4" w:space="0"/>
              <w:left w:val="single" w:color="auto" w:sz="4" w:space="0"/>
              <w:bottom w:val="single" w:color="auto" w:sz="4" w:space="0"/>
              <w:right w:val="single" w:color="auto" w:sz="4" w:space="0"/>
            </w:tcBorders>
            <w:shd w:val="clear" w:color="auto" w:fill="BFBFBF"/>
            <w:vAlign w:val="center"/>
          </w:tcPr>
          <w:p w14:paraId="0CCE060C">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6804" w:type="dxa"/>
            <w:tcBorders>
              <w:top w:val="single" w:color="auto" w:sz="4" w:space="0"/>
              <w:left w:val="single" w:color="auto" w:sz="4" w:space="0"/>
              <w:bottom w:val="single" w:color="auto" w:sz="4" w:space="0"/>
              <w:right w:val="single" w:color="auto" w:sz="4" w:space="0"/>
            </w:tcBorders>
            <w:shd w:val="clear" w:color="auto" w:fill="BFBFBF"/>
            <w:vAlign w:val="center"/>
          </w:tcPr>
          <w:p w14:paraId="153A01D3">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3B3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right w:val="single" w:color="auto" w:sz="4" w:space="0"/>
            </w:tcBorders>
            <w:vAlign w:val="center"/>
          </w:tcPr>
          <w:p w14:paraId="36D8953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w:t>
            </w:r>
          </w:p>
        </w:tc>
        <w:tc>
          <w:tcPr>
            <w:tcW w:w="6804" w:type="dxa"/>
            <w:tcBorders>
              <w:top w:val="single" w:color="auto" w:sz="4" w:space="0"/>
              <w:left w:val="single" w:color="auto" w:sz="4" w:space="0"/>
              <w:bottom w:val="single" w:color="auto" w:sz="4" w:space="0"/>
              <w:right w:val="single" w:color="auto" w:sz="4" w:space="0"/>
            </w:tcBorders>
            <w:vAlign w:val="center"/>
          </w:tcPr>
          <w:p w14:paraId="0710C0B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1.监测结果库：查询显示对应的的监测结果</w:t>
            </w:r>
          </w:p>
        </w:tc>
      </w:tr>
      <w:tr w14:paraId="5127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right w:val="single" w:color="auto" w:sz="4" w:space="0"/>
            </w:tcBorders>
            <w:vAlign w:val="center"/>
          </w:tcPr>
          <w:p w14:paraId="472B457F">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3C0BA7B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2、噪声功能区分布图层</w:t>
            </w:r>
          </w:p>
        </w:tc>
      </w:tr>
      <w:tr w14:paraId="7F11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left w:val="single" w:color="auto" w:sz="4" w:space="0"/>
              <w:bottom w:val="single" w:color="auto" w:sz="4" w:space="0"/>
              <w:right w:val="single" w:color="auto" w:sz="4" w:space="0"/>
            </w:tcBorders>
            <w:vAlign w:val="center"/>
          </w:tcPr>
          <w:p w14:paraId="6E74F6AE">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3009698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3.对于查询的不同区域、不同时间的数据能够以excel格式导出</w:t>
            </w:r>
          </w:p>
        </w:tc>
      </w:tr>
      <w:tr w14:paraId="1880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bottom w:val="single" w:color="auto" w:sz="4" w:space="0"/>
              <w:right w:val="single" w:color="auto" w:sz="4" w:space="0"/>
            </w:tcBorders>
            <w:vAlign w:val="center"/>
          </w:tcPr>
          <w:p w14:paraId="4E40F21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区域噪声</w:t>
            </w:r>
          </w:p>
        </w:tc>
        <w:tc>
          <w:tcPr>
            <w:tcW w:w="6804" w:type="dxa"/>
            <w:tcBorders>
              <w:top w:val="single" w:color="auto" w:sz="4" w:space="0"/>
              <w:left w:val="single" w:color="auto" w:sz="4" w:space="0"/>
              <w:bottom w:val="single" w:color="auto" w:sz="4" w:space="0"/>
              <w:right w:val="single" w:color="auto" w:sz="4" w:space="0"/>
            </w:tcBorders>
            <w:vAlign w:val="center"/>
          </w:tcPr>
          <w:p w14:paraId="79569EA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1.比对分析功能 ：可对各区域声环境质量进行比较并展现。各个网格之间的比较。</w:t>
            </w:r>
          </w:p>
        </w:tc>
      </w:tr>
      <w:tr w14:paraId="5ADB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22DB67A1">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0CB2FC7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2.质量状况统计功能：在任一段时间内，城市噪声总体水平，昼间平均等效声级、夜间平均等效声级达到等级的次数进行统计，绘制饼图</w:t>
            </w:r>
          </w:p>
        </w:tc>
      </w:tr>
      <w:tr w14:paraId="2E26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797ABDB9">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7356009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3.总体监测统计功能：对城市区域的昼间、夜间平均等效进行判定等级，勾选测量结果，判定等级</w:t>
            </w:r>
          </w:p>
        </w:tc>
      </w:tr>
      <w:tr w14:paraId="0A46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407B757B">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67BD813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4.声源强度与构成统计功能：可展现任一时间段的声源强度（同类声源的一起比较，柱状图）及声源的占比情况。</w:t>
            </w:r>
          </w:p>
        </w:tc>
      </w:tr>
      <w:tr w14:paraId="442C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bottom w:val="single" w:color="auto" w:sz="4" w:space="0"/>
              <w:right w:val="single" w:color="auto" w:sz="4" w:space="0"/>
            </w:tcBorders>
            <w:vAlign w:val="center"/>
          </w:tcPr>
          <w:p w14:paraId="7ABFA2B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功能区域噪声</w:t>
            </w:r>
          </w:p>
        </w:tc>
        <w:tc>
          <w:tcPr>
            <w:tcW w:w="6804" w:type="dxa"/>
            <w:tcBorders>
              <w:top w:val="single" w:color="auto" w:sz="4" w:space="0"/>
              <w:left w:val="single" w:color="auto" w:sz="4" w:space="0"/>
              <w:bottom w:val="single" w:color="auto" w:sz="4" w:space="0"/>
              <w:right w:val="single" w:color="auto" w:sz="4" w:space="0"/>
            </w:tcBorders>
            <w:vAlign w:val="center"/>
          </w:tcPr>
          <w:p w14:paraId="63627E6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1.定期监测结果统计功能 ：展现任一时间段（时间以天为单位），各功能区的昼间和夜间的平均声级Ld、Ln （折线图）</w:t>
            </w:r>
          </w:p>
        </w:tc>
      </w:tr>
      <w:tr w14:paraId="5034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675B0A89">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0549D84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2.达标情况统计功能：可展现城市各功能区的按监测点次分别统计昼间、夜间达标率 </w:t>
            </w:r>
          </w:p>
        </w:tc>
      </w:tr>
      <w:tr w14:paraId="7826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38CF75B2">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739EEB1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3.功能区声环境质量时间分布图 ：以每一小时测得的等效声级（小时等效声级采用对应小时算数平均）为纵坐标、时间序列为横坐标，绘制得出24小时的声级变化图。</w:t>
            </w:r>
          </w:p>
        </w:tc>
      </w:tr>
      <w:tr w14:paraId="6C61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Borders>
              <w:top w:val="single" w:color="auto" w:sz="4" w:space="0"/>
              <w:left w:val="single" w:color="auto" w:sz="4" w:space="0"/>
              <w:bottom w:val="single" w:color="auto" w:sz="4" w:space="0"/>
              <w:right w:val="single" w:color="auto" w:sz="4" w:space="0"/>
            </w:tcBorders>
            <w:vAlign w:val="center"/>
          </w:tcPr>
          <w:p w14:paraId="1A84E6B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道路交通噪声</w:t>
            </w:r>
          </w:p>
        </w:tc>
        <w:tc>
          <w:tcPr>
            <w:tcW w:w="6804" w:type="dxa"/>
            <w:tcBorders>
              <w:top w:val="single" w:color="auto" w:sz="4" w:space="0"/>
              <w:left w:val="single" w:color="auto" w:sz="4" w:space="0"/>
              <w:bottom w:val="single" w:color="auto" w:sz="4" w:space="0"/>
              <w:right w:val="single" w:color="auto" w:sz="4" w:space="0"/>
            </w:tcBorders>
            <w:vAlign w:val="center"/>
          </w:tcPr>
          <w:p w14:paraId="1AC5467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1.监测结果统计功能：可对各城市道路监测点交通噪声监测结果统计成库。 </w:t>
            </w:r>
          </w:p>
        </w:tc>
      </w:tr>
      <w:tr w14:paraId="608B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38" w:type="dxa"/>
            <w:vMerge w:val="continue"/>
            <w:tcBorders>
              <w:top w:val="single" w:color="auto" w:sz="4" w:space="0"/>
              <w:left w:val="single" w:color="auto" w:sz="4" w:space="0"/>
              <w:bottom w:val="single" w:color="auto" w:sz="4" w:space="0"/>
              <w:right w:val="single" w:color="auto" w:sz="4" w:space="0"/>
            </w:tcBorders>
            <w:vAlign w:val="center"/>
          </w:tcPr>
          <w:p w14:paraId="125B3EFE">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6A416CD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2.不同等效声级下路段分布功能：可对暴露在不同等效升级下的路段分布进行统计。</w:t>
            </w:r>
          </w:p>
        </w:tc>
      </w:tr>
      <w:tr w14:paraId="0386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1B225C22">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21166A8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3.声环境质量比较功能 ：可对不同城市道路监测点交通声环境的监测结果进行判定，并比较。</w:t>
            </w:r>
          </w:p>
        </w:tc>
      </w:tr>
      <w:tr w14:paraId="6F89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Borders>
              <w:top w:val="single" w:color="auto" w:sz="4" w:space="0"/>
              <w:left w:val="single" w:color="auto" w:sz="4" w:space="0"/>
              <w:bottom w:val="single" w:color="auto" w:sz="4" w:space="0"/>
              <w:right w:val="single" w:color="auto" w:sz="4" w:space="0"/>
            </w:tcBorders>
            <w:vAlign w:val="center"/>
          </w:tcPr>
          <w:p w14:paraId="7E3986CF">
            <w:pPr>
              <w:jc w:val="center"/>
              <w:rPr>
                <w:rFonts w:asciiTheme="minorEastAsia" w:hAnsiTheme="minorEastAsia" w:eastAsiaTheme="minorEastAsia" w:cstheme="minorEastAsia"/>
                <w:szCs w:val="21"/>
              </w:rPr>
            </w:pPr>
          </w:p>
        </w:tc>
        <w:tc>
          <w:tcPr>
            <w:tcW w:w="6804" w:type="dxa"/>
            <w:tcBorders>
              <w:top w:val="single" w:color="auto" w:sz="4" w:space="0"/>
              <w:left w:val="single" w:color="auto" w:sz="4" w:space="0"/>
              <w:bottom w:val="single" w:color="auto" w:sz="4" w:space="0"/>
              <w:right w:val="single" w:color="auto" w:sz="4" w:space="0"/>
            </w:tcBorders>
            <w:vAlign w:val="center"/>
          </w:tcPr>
          <w:p w14:paraId="1726845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4.城市道路交通声环境质量状况 ：根据监测结果，计算道路交通噪声平均值，判定城市道路交通声环境的等级。</w:t>
            </w:r>
          </w:p>
        </w:tc>
      </w:tr>
      <w:tr w14:paraId="0948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center"/>
          </w:tcPr>
          <w:p w14:paraId="517E003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报表功能</w:t>
            </w:r>
          </w:p>
        </w:tc>
        <w:tc>
          <w:tcPr>
            <w:tcW w:w="6804" w:type="dxa"/>
            <w:tcBorders>
              <w:top w:val="single" w:color="auto" w:sz="4" w:space="0"/>
              <w:left w:val="single" w:color="auto" w:sz="4" w:space="0"/>
              <w:bottom w:val="single" w:color="auto" w:sz="4" w:space="0"/>
              <w:right w:val="single" w:color="auto" w:sz="4" w:space="0"/>
            </w:tcBorders>
            <w:vAlign w:val="center"/>
          </w:tcPr>
          <w:p w14:paraId="0D0E464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对于监测结果的数据图表可自动生成，并可下载。</w:t>
            </w:r>
          </w:p>
        </w:tc>
      </w:tr>
    </w:tbl>
    <w:p w14:paraId="6895BA0A">
      <w:pPr>
        <w:spacing w:line="360" w:lineRule="auto"/>
        <w:outlineLvl w:val="4"/>
        <w:rPr>
          <w:rFonts w:asciiTheme="minorEastAsia" w:hAnsiTheme="minorEastAsia" w:eastAsiaTheme="minorEastAsia" w:cstheme="minorEastAsia"/>
          <w:b/>
          <w:bCs/>
          <w:szCs w:val="21"/>
        </w:rPr>
      </w:pPr>
      <w:bookmarkStart w:id="67" w:name="_Toc6719"/>
    </w:p>
    <w:p w14:paraId="0AAADC1E">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4.12 远程指挥调度决策模块（适配及升级）</w:t>
      </w:r>
      <w:bookmarkEnd w:id="67"/>
    </w:p>
    <w:p w14:paraId="0EE35BD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远程指挥调度决策模块包含远程指挥调度决策和远程应用。从远程指挥调度的实际需求出发，按照事前环境风险防范、事中应急处置、事故评估和事后处理总结的流程，“一企、一源、一事、一案”的工作思路，集成整合基础地理数据、应急数据、资源数据、环境质量监测数据、污染源在线监控数据等数据，实现信息共享打通，应急指挥调度全过程都结合在一张图上。具体功能如下表：</w:t>
      </w:r>
    </w:p>
    <w:p w14:paraId="427B4890">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13</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远程指挥调度决策功能需求表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6781"/>
      </w:tblGrid>
      <w:tr w14:paraId="1BF5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2146" w:type="dxa"/>
            <w:shd w:val="clear" w:color="auto" w:fill="C0C0C0"/>
            <w:vAlign w:val="center"/>
          </w:tcPr>
          <w:p w14:paraId="5D4DB136">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7590" w:type="dxa"/>
            <w:shd w:val="clear" w:color="auto" w:fill="C0C0C0"/>
            <w:vAlign w:val="center"/>
          </w:tcPr>
          <w:p w14:paraId="21D8153B">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4A3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46" w:type="dxa"/>
            <w:vMerge w:val="restart"/>
            <w:vAlign w:val="center"/>
          </w:tcPr>
          <w:p w14:paraId="4ED634F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查询功能</w:t>
            </w:r>
          </w:p>
        </w:tc>
        <w:tc>
          <w:tcPr>
            <w:tcW w:w="7590" w:type="dxa"/>
            <w:vAlign w:val="center"/>
          </w:tcPr>
          <w:p w14:paraId="57B1AC7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敏感点库查询功能：可以查询周围敏感点及信息。</w:t>
            </w:r>
          </w:p>
        </w:tc>
      </w:tr>
      <w:tr w14:paraId="1A4A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146" w:type="dxa"/>
            <w:vMerge w:val="continue"/>
            <w:vAlign w:val="center"/>
          </w:tcPr>
          <w:p w14:paraId="176CB91E">
            <w:pPr>
              <w:jc w:val="center"/>
              <w:rPr>
                <w:rFonts w:asciiTheme="minorEastAsia" w:hAnsiTheme="minorEastAsia" w:eastAsiaTheme="minorEastAsia" w:cstheme="minorEastAsia"/>
                <w:szCs w:val="21"/>
              </w:rPr>
            </w:pPr>
          </w:p>
        </w:tc>
        <w:tc>
          <w:tcPr>
            <w:tcW w:w="7590" w:type="dxa"/>
            <w:vAlign w:val="center"/>
          </w:tcPr>
          <w:p w14:paraId="09F74A1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救援物资库查询功能：可以查询搜索半径在一定范围内的救援物资，在地图上以高亮形式凸显。</w:t>
            </w:r>
          </w:p>
        </w:tc>
      </w:tr>
      <w:tr w14:paraId="200E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146" w:type="dxa"/>
            <w:vMerge w:val="continue"/>
            <w:vAlign w:val="center"/>
          </w:tcPr>
          <w:p w14:paraId="41CCBDC2">
            <w:pPr>
              <w:jc w:val="center"/>
              <w:rPr>
                <w:rFonts w:asciiTheme="minorEastAsia" w:hAnsiTheme="minorEastAsia" w:eastAsiaTheme="minorEastAsia" w:cstheme="minorEastAsia"/>
                <w:szCs w:val="21"/>
              </w:rPr>
            </w:pPr>
          </w:p>
        </w:tc>
        <w:tc>
          <w:tcPr>
            <w:tcW w:w="7590" w:type="dxa"/>
            <w:vAlign w:val="center"/>
          </w:tcPr>
          <w:p w14:paraId="6AE59DD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重点源查询功能：可对重点源进行搜索查询，能查询企业的排放物、产品、中间体等可能引起环境污染的重点源信息。</w:t>
            </w:r>
          </w:p>
        </w:tc>
      </w:tr>
      <w:tr w14:paraId="28ACD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46" w:type="dxa"/>
            <w:vMerge w:val="continue"/>
            <w:vAlign w:val="center"/>
          </w:tcPr>
          <w:p w14:paraId="2469B938">
            <w:pPr>
              <w:jc w:val="center"/>
              <w:rPr>
                <w:rFonts w:asciiTheme="minorEastAsia" w:hAnsiTheme="minorEastAsia" w:eastAsiaTheme="minorEastAsia" w:cstheme="minorEastAsia"/>
                <w:szCs w:val="21"/>
              </w:rPr>
            </w:pPr>
          </w:p>
        </w:tc>
        <w:tc>
          <w:tcPr>
            <w:tcW w:w="7590" w:type="dxa"/>
            <w:vAlign w:val="center"/>
          </w:tcPr>
          <w:p w14:paraId="0ED97C50">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化学品查询功能：能对30000种以上化学品理化常数进行查询，可通过具体化学品名称搜索、CAS号进行搜索查询。</w:t>
            </w:r>
          </w:p>
        </w:tc>
      </w:tr>
      <w:tr w14:paraId="71DD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146" w:type="dxa"/>
            <w:vMerge w:val="continue"/>
            <w:vAlign w:val="center"/>
          </w:tcPr>
          <w:p w14:paraId="7D65AD81">
            <w:pPr>
              <w:jc w:val="center"/>
              <w:rPr>
                <w:rFonts w:asciiTheme="minorEastAsia" w:hAnsiTheme="minorEastAsia" w:eastAsiaTheme="minorEastAsia" w:cstheme="minorEastAsia"/>
                <w:szCs w:val="21"/>
              </w:rPr>
            </w:pPr>
          </w:p>
        </w:tc>
        <w:tc>
          <w:tcPr>
            <w:tcW w:w="7590" w:type="dxa"/>
            <w:vAlign w:val="center"/>
          </w:tcPr>
          <w:p w14:paraId="53A59D2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技术人员查询管理功能：能查询应急监测技术人员的专业特长、培训演练记录、值班周期等信息，并按分班值班周期进行管理和提醒。</w:t>
            </w:r>
          </w:p>
        </w:tc>
      </w:tr>
      <w:tr w14:paraId="1946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46" w:type="dxa"/>
            <w:vMerge w:val="continue"/>
            <w:vAlign w:val="center"/>
          </w:tcPr>
          <w:p w14:paraId="4BBB61BA">
            <w:pPr>
              <w:jc w:val="center"/>
              <w:rPr>
                <w:rFonts w:asciiTheme="minorEastAsia" w:hAnsiTheme="minorEastAsia" w:eastAsiaTheme="minorEastAsia" w:cstheme="minorEastAsia"/>
                <w:szCs w:val="21"/>
              </w:rPr>
            </w:pPr>
          </w:p>
        </w:tc>
        <w:tc>
          <w:tcPr>
            <w:tcW w:w="7590" w:type="dxa"/>
            <w:vAlign w:val="center"/>
          </w:tcPr>
          <w:p w14:paraId="6D6F00C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设备查询管理功能：能查询设备当前状态；实施设备的动态管理。</w:t>
            </w:r>
          </w:p>
        </w:tc>
      </w:tr>
      <w:tr w14:paraId="6A0A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6" w:type="dxa"/>
            <w:vMerge w:val="continue"/>
            <w:vAlign w:val="center"/>
          </w:tcPr>
          <w:p w14:paraId="09F2BA8F">
            <w:pPr>
              <w:jc w:val="center"/>
              <w:rPr>
                <w:rFonts w:asciiTheme="minorEastAsia" w:hAnsiTheme="minorEastAsia" w:eastAsiaTheme="minorEastAsia" w:cstheme="minorEastAsia"/>
                <w:szCs w:val="21"/>
              </w:rPr>
            </w:pPr>
          </w:p>
        </w:tc>
        <w:tc>
          <w:tcPr>
            <w:tcW w:w="7590" w:type="dxa"/>
            <w:vAlign w:val="center"/>
          </w:tcPr>
          <w:p w14:paraId="66E24E8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专家查询管理功能：能同时查询企业和环境机构专家的信息。</w:t>
            </w:r>
          </w:p>
        </w:tc>
      </w:tr>
      <w:tr w14:paraId="0FF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46" w:type="dxa"/>
            <w:vMerge w:val="continue"/>
            <w:vAlign w:val="center"/>
          </w:tcPr>
          <w:p w14:paraId="2418060E">
            <w:pPr>
              <w:jc w:val="center"/>
              <w:rPr>
                <w:rFonts w:asciiTheme="minorEastAsia" w:hAnsiTheme="minorEastAsia" w:eastAsiaTheme="minorEastAsia" w:cstheme="minorEastAsia"/>
                <w:szCs w:val="21"/>
              </w:rPr>
            </w:pPr>
          </w:p>
        </w:tc>
        <w:tc>
          <w:tcPr>
            <w:tcW w:w="7590" w:type="dxa"/>
            <w:vAlign w:val="center"/>
          </w:tcPr>
          <w:p w14:paraId="4F92D63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案例查询管理功能：系统按类自带案例以备参考；能完整记载经历过的事件并转化为案例。</w:t>
            </w:r>
          </w:p>
        </w:tc>
      </w:tr>
      <w:tr w14:paraId="5726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46" w:type="dxa"/>
            <w:vMerge w:val="continue"/>
            <w:vAlign w:val="center"/>
          </w:tcPr>
          <w:p w14:paraId="2C06A680">
            <w:pPr>
              <w:jc w:val="center"/>
              <w:rPr>
                <w:rFonts w:asciiTheme="minorEastAsia" w:hAnsiTheme="minorEastAsia" w:eastAsiaTheme="minorEastAsia" w:cstheme="minorEastAsia"/>
                <w:szCs w:val="21"/>
              </w:rPr>
            </w:pPr>
          </w:p>
        </w:tc>
        <w:tc>
          <w:tcPr>
            <w:tcW w:w="7590" w:type="dxa"/>
            <w:vAlign w:val="center"/>
          </w:tcPr>
          <w:p w14:paraId="4ABFCB4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应急监测方法查询功能：至少包含200种实验室快速方法和现场快速方法，600种污染物的实验室方法。包含各种污染物的方法以及检出限。对每一种检测方法均可点开详细查询。</w:t>
            </w:r>
          </w:p>
        </w:tc>
      </w:tr>
      <w:tr w14:paraId="0525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46" w:type="dxa"/>
            <w:vMerge w:val="continue"/>
            <w:vAlign w:val="center"/>
          </w:tcPr>
          <w:p w14:paraId="3DCF7534">
            <w:pPr>
              <w:jc w:val="center"/>
              <w:rPr>
                <w:rFonts w:asciiTheme="minorEastAsia" w:hAnsiTheme="minorEastAsia" w:eastAsiaTheme="minorEastAsia" w:cstheme="minorEastAsia"/>
                <w:szCs w:val="21"/>
              </w:rPr>
            </w:pPr>
          </w:p>
        </w:tc>
        <w:tc>
          <w:tcPr>
            <w:tcW w:w="7590" w:type="dxa"/>
            <w:vAlign w:val="center"/>
          </w:tcPr>
          <w:p w14:paraId="398E938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对化学品反向模糊搜索功能：能根据人体感官从化学品库中搜索对应化学品。</w:t>
            </w:r>
          </w:p>
        </w:tc>
      </w:tr>
      <w:tr w14:paraId="5C96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46" w:type="dxa"/>
            <w:vAlign w:val="center"/>
          </w:tcPr>
          <w:p w14:paraId="099208F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事故点确认</w:t>
            </w:r>
          </w:p>
        </w:tc>
        <w:tc>
          <w:tcPr>
            <w:tcW w:w="7590" w:type="dxa"/>
            <w:vAlign w:val="center"/>
          </w:tcPr>
          <w:p w14:paraId="324637F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web端界面添加事故地点处，确认事故污染点位，围绕点位周边污染源及污染物信息提醒，能快速查询周边信息。</w:t>
            </w:r>
          </w:p>
        </w:tc>
      </w:tr>
      <w:tr w14:paraId="41C8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46" w:type="dxa"/>
            <w:vAlign w:val="center"/>
          </w:tcPr>
          <w:p w14:paraId="1FAE561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布点</w:t>
            </w:r>
          </w:p>
        </w:tc>
        <w:tc>
          <w:tcPr>
            <w:tcW w:w="7590" w:type="dxa"/>
            <w:vAlign w:val="center"/>
          </w:tcPr>
          <w:p w14:paraId="3BF821F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系统可在GIS地图上直接设置监测点位，自动生成监测方案。</w:t>
            </w:r>
          </w:p>
        </w:tc>
      </w:tr>
      <w:tr w14:paraId="4394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146" w:type="dxa"/>
            <w:vAlign w:val="center"/>
          </w:tcPr>
          <w:p w14:paraId="0BD2355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数据上传</w:t>
            </w:r>
          </w:p>
        </w:tc>
        <w:tc>
          <w:tcPr>
            <w:tcW w:w="7590" w:type="dxa"/>
            <w:vAlign w:val="center"/>
          </w:tcPr>
          <w:p w14:paraId="1F01732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eb端工作人员接收信息后，可在GIS地图界面进行测试信息及测试数据上传，可上传数据为事故类型、事故污染因子、事故现场风向风速、事故测试数据，在web端的事故时间轴上显示所有信息，并在GIS地图上直接显示监测数据信息。</w:t>
            </w:r>
          </w:p>
        </w:tc>
      </w:tr>
      <w:tr w14:paraId="34CE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6" w:type="dxa"/>
            <w:vAlign w:val="center"/>
          </w:tcPr>
          <w:p w14:paraId="1A36020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向导功能</w:t>
            </w:r>
          </w:p>
        </w:tc>
        <w:tc>
          <w:tcPr>
            <w:tcW w:w="7590" w:type="dxa"/>
            <w:vAlign w:val="center"/>
          </w:tcPr>
          <w:p w14:paraId="36DED69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系统能科学指导指挥决策对现有的技术、设备以及各环节进行有机结合、统筹开展。</w:t>
            </w:r>
          </w:p>
        </w:tc>
      </w:tr>
      <w:tr w14:paraId="24BA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46" w:type="dxa"/>
            <w:vMerge w:val="restart"/>
            <w:vAlign w:val="center"/>
          </w:tcPr>
          <w:p w14:paraId="625172A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预测功能</w:t>
            </w:r>
          </w:p>
        </w:tc>
        <w:tc>
          <w:tcPr>
            <w:tcW w:w="7590" w:type="dxa"/>
            <w:vAlign w:val="center"/>
          </w:tcPr>
          <w:p w14:paraId="62BF052D">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同时装有一种及以上成熟的气预测功能模型</w:t>
            </w:r>
          </w:p>
        </w:tc>
      </w:tr>
      <w:tr w14:paraId="6105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146" w:type="dxa"/>
            <w:vMerge w:val="continue"/>
            <w:vAlign w:val="center"/>
          </w:tcPr>
          <w:p w14:paraId="43F7E6F4">
            <w:pPr>
              <w:jc w:val="center"/>
              <w:rPr>
                <w:rFonts w:asciiTheme="minorEastAsia" w:hAnsiTheme="minorEastAsia" w:eastAsiaTheme="minorEastAsia" w:cstheme="minorEastAsia"/>
                <w:szCs w:val="21"/>
              </w:rPr>
            </w:pPr>
          </w:p>
        </w:tc>
        <w:tc>
          <w:tcPr>
            <w:tcW w:w="7590" w:type="dxa"/>
            <w:vAlign w:val="center"/>
          </w:tcPr>
          <w:p w14:paraId="0C2EF022">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同时装有一种及以上成熟的水预测功能模型</w:t>
            </w:r>
          </w:p>
        </w:tc>
      </w:tr>
      <w:tr w14:paraId="54DE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46" w:type="dxa"/>
            <w:vAlign w:val="center"/>
          </w:tcPr>
          <w:p w14:paraId="1B061E0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评估功能</w:t>
            </w:r>
          </w:p>
        </w:tc>
        <w:tc>
          <w:tcPr>
            <w:tcW w:w="7590" w:type="dxa"/>
            <w:tcBorders>
              <w:top w:val="single" w:color="auto" w:sz="4" w:space="0"/>
              <w:left w:val="single" w:color="auto" w:sz="4" w:space="0"/>
              <w:bottom w:val="single" w:color="auto" w:sz="4" w:space="0"/>
              <w:right w:val="single" w:color="auto" w:sz="4" w:space="0"/>
            </w:tcBorders>
            <w:vAlign w:val="center"/>
          </w:tcPr>
          <w:p w14:paraId="0BD16E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能在指标有限的情况下，以毒理为基础的模型计算来判断突发性污染事故的健康风险，客观评估污染状况。</w:t>
            </w:r>
          </w:p>
        </w:tc>
      </w:tr>
      <w:tr w14:paraId="4950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46" w:type="dxa"/>
            <w:vAlign w:val="center"/>
          </w:tcPr>
          <w:p w14:paraId="6720239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案例自动生成功能</w:t>
            </w:r>
          </w:p>
        </w:tc>
        <w:tc>
          <w:tcPr>
            <w:tcW w:w="7590" w:type="dxa"/>
            <w:tcBorders>
              <w:top w:val="single" w:color="auto" w:sz="4" w:space="0"/>
              <w:left w:val="single" w:color="auto" w:sz="4" w:space="0"/>
              <w:bottom w:val="single" w:color="auto" w:sz="4" w:space="0"/>
              <w:right w:val="single" w:color="auto" w:sz="4" w:space="0"/>
            </w:tcBorders>
            <w:vAlign w:val="center"/>
          </w:tcPr>
          <w:p w14:paraId="7647CAC3">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污染事故处理结束，案例能自动生成和回放。</w:t>
            </w:r>
          </w:p>
        </w:tc>
      </w:tr>
      <w:tr w14:paraId="0632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46" w:type="dxa"/>
            <w:vAlign w:val="center"/>
          </w:tcPr>
          <w:p w14:paraId="3FC572C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报告自动生成功能</w:t>
            </w:r>
          </w:p>
        </w:tc>
        <w:tc>
          <w:tcPr>
            <w:tcW w:w="7590" w:type="dxa"/>
            <w:tcBorders>
              <w:top w:val="single" w:color="auto" w:sz="4" w:space="0"/>
              <w:left w:val="single" w:color="auto" w:sz="4" w:space="0"/>
              <w:bottom w:val="single" w:color="auto" w:sz="4" w:space="0"/>
              <w:right w:val="single" w:color="auto" w:sz="4" w:space="0"/>
            </w:tcBorders>
            <w:vAlign w:val="center"/>
          </w:tcPr>
          <w:p w14:paraId="07178DD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能根据应急事故的处理过程，自动生成不同阶段的报告。</w:t>
            </w:r>
          </w:p>
        </w:tc>
      </w:tr>
    </w:tbl>
    <w:p w14:paraId="777F69C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远程应用进行</w:t>
      </w:r>
      <w:r>
        <w:rPr>
          <w:rFonts w:hint="eastAsia" w:asciiTheme="minorEastAsia" w:hAnsiTheme="minorEastAsia" w:eastAsiaTheme="minorEastAsia" w:cstheme="minorEastAsia"/>
          <w:szCs w:val="21"/>
          <w:lang w:eastAsia="zh-CN"/>
        </w:rPr>
        <w:t>国产化</w:t>
      </w:r>
      <w:r>
        <w:rPr>
          <w:rFonts w:hint="eastAsia" w:asciiTheme="minorEastAsia" w:hAnsiTheme="minorEastAsia" w:eastAsiaTheme="minorEastAsia" w:cstheme="minorEastAsia"/>
          <w:szCs w:val="21"/>
        </w:rPr>
        <w:t>适配并上架到浙政钉，具体功能如下：</w:t>
      </w:r>
    </w:p>
    <w:p w14:paraId="2B81940D">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（1）环境业务栏目</w:t>
      </w:r>
    </w:p>
    <w:p w14:paraId="60DADF8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建设环境业务栏目：包含环境管理、法律法规、环境标准、环境质量、环保知识等内容。</w:t>
      </w:r>
    </w:p>
    <w:p w14:paraId="73B705AA">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（2）污染源监控结果查询</w:t>
      </w:r>
    </w:p>
    <w:p w14:paraId="4241217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对污染源企业的监控结果进行查询，具体包括以下内容：</w:t>
      </w:r>
    </w:p>
    <w:p w14:paraId="7AAFC8A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a）企业综合查询：基于企业的全生命周期的变化，实现对企业信息的查询、统计和分析。</w:t>
      </w:r>
    </w:p>
    <w:p w14:paraId="363C66D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b）企业环保档案查询：以每个企业为线索组织的环保档案查询，实现对企业全生命周期变化的动态跟踪与查询，查询企业的建设项目审批、排污许可证、在线监控、信访投诉、行政处罚等信息。</w:t>
      </w:r>
    </w:p>
    <w:p w14:paraId="2FF30F1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c）日、月周期污染源超标率、达标率、报警次数汇总排名。</w:t>
      </w:r>
    </w:p>
    <w:p w14:paraId="6D80A56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d）在线监测最新数据、日、周、月历史变化趋势。</w:t>
      </w:r>
    </w:p>
    <w:p w14:paraId="4F56042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e）污染源地图及报警：基于电子地图，污染源在线监测系统发现超标、设备异常等情况，会自动推送报警信息给环保部门工作人员和企业环保负责人。</w:t>
      </w:r>
    </w:p>
    <w:p w14:paraId="16FD2A81">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（3）环境质量综合查询</w:t>
      </w:r>
    </w:p>
    <w:p w14:paraId="06669E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查询环境质量相关的环境功能区、环境质量监测点等档案数据以及监测数据。</w:t>
      </w:r>
    </w:p>
    <w:p w14:paraId="4CD589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环境空气：</w:t>
      </w:r>
    </w:p>
    <w:p w14:paraId="753F077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1、包含GIS展现、区域管理、站点实时值和变化曲线、站点详情；</w:t>
      </w:r>
    </w:p>
    <w:p w14:paraId="2006C1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2、最新数据、日、月不同级别空气质量排行榜；</w:t>
      </w:r>
    </w:p>
    <w:p w14:paraId="6A2D872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3、显示最新、24小时、30日AQI、PM2.5的变化趋势及达标率分析；</w:t>
      </w:r>
    </w:p>
    <w:p w14:paraId="6CA5348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4、动态展示最新环境空气质量地图，根据不同级别显示不同颜色；</w:t>
      </w:r>
    </w:p>
    <w:p w14:paraId="0DA8ED0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5、个性化应用：用户可以非常方便的查询到自己所关注的站点或区域的评价数据。</w:t>
      </w:r>
    </w:p>
    <w:p w14:paraId="64F7C5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地表水：</w:t>
      </w:r>
    </w:p>
    <w:p w14:paraId="1EC1676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1、包含GIS展现、区域管理、站点实时值和变化曲线、站点详情；</w:t>
      </w:r>
    </w:p>
    <w:p w14:paraId="3964701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2、最新数据、日、月环境地表水不同级别水体质量排行榜；</w:t>
      </w:r>
    </w:p>
    <w:p w14:paraId="0538B7B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3、显示最新饮用水、地表水、湖库等达标率；</w:t>
      </w:r>
    </w:p>
    <w:p w14:paraId="1A2A9C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4、建立最新水环境质量地图，实时展示各站水质等级在地图上，根据不同级别显示不同颜色；</w:t>
      </w:r>
    </w:p>
    <w:p w14:paraId="5B6196CB">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（4）远程指挥调度决策模块</w:t>
      </w:r>
    </w:p>
    <w:p w14:paraId="284C9CA2">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1）查询功能</w:t>
      </w:r>
    </w:p>
    <w:p w14:paraId="21C0437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可对污染源库、化学品库、应急监测事故库等3方面的信息进行查询。</w:t>
      </w:r>
    </w:p>
    <w:p w14:paraId="7D652BE7">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2）事故点确认与导航功能</w:t>
      </w:r>
    </w:p>
    <w:p w14:paraId="7C3B64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事故点确认：确定事故地点信息后，在GIS地图页面点位显示，准备导航。</w:t>
      </w:r>
    </w:p>
    <w:p w14:paraId="3B83C293">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3）导航功能</w:t>
      </w:r>
    </w:p>
    <w:p w14:paraId="5A28B08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工作人员接收监测点位信息，可以准确导航到该测试点位进行监测。</w:t>
      </w:r>
    </w:p>
    <w:p w14:paraId="2378A386">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4）数据传输</w:t>
      </w:r>
      <w:r>
        <w:rPr>
          <w:rFonts w:hint="eastAsia" w:asciiTheme="minorEastAsia" w:hAnsiTheme="minorEastAsia" w:eastAsiaTheme="minorEastAsia" w:cstheme="minorEastAsia"/>
          <w:b/>
          <w:szCs w:val="21"/>
        </w:rPr>
        <w:tab/>
      </w:r>
    </w:p>
    <w:p w14:paraId="7DAAE26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监测信息及监测数据可以远程实时上传，可上传数据。</w:t>
      </w:r>
    </w:p>
    <w:p w14:paraId="02F3E7A3">
      <w:pPr>
        <w:spacing w:line="360" w:lineRule="auto"/>
        <w:ind w:firstLine="562"/>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（5）上架浙政钉</w:t>
      </w:r>
    </w:p>
    <w:p w14:paraId="77773053">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将远程应用上架到浙政钉，可随时查看在线监测数据、企业数据及远程指挥调度数据，实现移动办公。</w:t>
      </w:r>
    </w:p>
    <w:p w14:paraId="12C065D0">
      <w:pPr>
        <w:spacing w:line="360" w:lineRule="auto"/>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6</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数据协同</w:t>
      </w:r>
    </w:p>
    <w:p w14:paraId="63AB91E9">
      <w:pPr>
        <w:spacing w:line="360" w:lineRule="auto"/>
        <w:ind w:firstLine="562"/>
        <w:rPr>
          <w:rFonts w:hint="eastAsia" w:asciiTheme="minorEastAsia" w:hAnsiTheme="minorEastAsia" w:eastAsiaTheme="minorEastAsia" w:cstheme="minorEastAsia"/>
          <w:b w:val="0"/>
          <w:bCs/>
          <w:color w:val="auto"/>
          <w:szCs w:val="21"/>
          <w:lang w:eastAsia="zh-CN"/>
        </w:rPr>
      </w:pPr>
      <w:r>
        <w:rPr>
          <w:rFonts w:hint="eastAsia" w:asciiTheme="minorEastAsia" w:hAnsiTheme="minorEastAsia" w:eastAsiaTheme="minorEastAsia" w:cstheme="minorEastAsia"/>
          <w:b w:val="0"/>
          <w:bCs/>
          <w:color w:val="auto"/>
          <w:szCs w:val="21"/>
          <w:lang w:val="en-US" w:eastAsia="zh-CN"/>
        </w:rPr>
        <w:t>1）</w:t>
      </w:r>
      <w:r>
        <w:rPr>
          <w:rFonts w:hint="eastAsia" w:asciiTheme="minorEastAsia" w:hAnsiTheme="minorEastAsia" w:eastAsiaTheme="minorEastAsia" w:cstheme="minorEastAsia"/>
          <w:b w:val="0"/>
          <w:bCs/>
          <w:color w:val="auto"/>
          <w:szCs w:val="21"/>
        </w:rPr>
        <w:t>精准分析潜在污染源风险</w:t>
      </w:r>
      <w:r>
        <w:rPr>
          <w:rFonts w:hint="eastAsia" w:asciiTheme="minorEastAsia" w:hAnsiTheme="minorEastAsia" w:eastAsiaTheme="minorEastAsia" w:cstheme="minorEastAsia"/>
          <w:b w:val="0"/>
          <w:bCs/>
          <w:color w:val="auto"/>
          <w:szCs w:val="21"/>
          <w:lang w:eastAsia="zh-CN"/>
        </w:rPr>
        <w:t>。</w:t>
      </w:r>
    </w:p>
    <w:p w14:paraId="5568DA2C">
      <w:pPr>
        <w:spacing w:line="360" w:lineRule="auto"/>
        <w:ind w:firstLine="562"/>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2）通过数据采集收取自动生成应急方案。</w:t>
      </w:r>
    </w:p>
    <w:p w14:paraId="2311F262">
      <w:pPr>
        <w:spacing w:line="360" w:lineRule="auto"/>
        <w:ind w:firstLine="420" w:firstLineChars="200"/>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lang w:val="en-US" w:eastAsia="zh-CN"/>
        </w:rPr>
        <w:t>7</w:t>
      </w:r>
      <w:r>
        <w:rPr>
          <w:rFonts w:hint="eastAsia" w:asciiTheme="minorEastAsia" w:hAnsiTheme="minorEastAsia" w:eastAsiaTheme="minorEastAsia" w:cstheme="minorEastAsia"/>
          <w:b/>
          <w:color w:val="auto"/>
          <w:szCs w:val="21"/>
          <w:lang w:eastAsia="zh-CN"/>
        </w:rPr>
        <w:t>）</w:t>
      </w:r>
      <w:r>
        <w:rPr>
          <w:rFonts w:hint="eastAsia" w:asciiTheme="minorEastAsia" w:hAnsiTheme="minorEastAsia" w:eastAsiaTheme="minorEastAsia" w:cstheme="minorEastAsia"/>
          <w:b/>
          <w:color w:val="auto"/>
          <w:szCs w:val="21"/>
        </w:rPr>
        <w:t>人工智能AI</w:t>
      </w:r>
    </w:p>
    <w:p w14:paraId="35BB22B4">
      <w:pPr>
        <w:spacing w:line="360" w:lineRule="auto"/>
        <w:ind w:firstLine="562"/>
        <w:rPr>
          <w:rFonts w:hint="eastAsia" w:asciiTheme="minorEastAsia" w:hAnsiTheme="minorEastAsia" w:eastAsiaTheme="minorEastAsia" w:cstheme="minorEastAsia"/>
          <w:b w:val="0"/>
          <w:bCs/>
          <w:color w:val="auto"/>
          <w:szCs w:val="21"/>
          <w:lang w:eastAsia="zh-CN"/>
        </w:rPr>
      </w:pPr>
      <w:r>
        <w:rPr>
          <w:rFonts w:hint="eastAsia" w:asciiTheme="minorEastAsia" w:hAnsiTheme="minorEastAsia" w:eastAsiaTheme="minorEastAsia" w:cstheme="minorEastAsia"/>
          <w:b w:val="0"/>
          <w:bCs/>
          <w:color w:val="auto"/>
          <w:szCs w:val="21"/>
        </w:rPr>
        <w:t>1）助推环保行政执法，日常行政管理。</w:t>
      </w:r>
    </w:p>
    <w:p w14:paraId="2BC2F8FE">
      <w:pPr>
        <w:spacing w:line="360" w:lineRule="auto"/>
        <w:ind w:firstLine="562"/>
        <w:rPr>
          <w:rFonts w:hint="eastAsia" w:asciiTheme="minorEastAsia" w:hAnsiTheme="minorEastAsia" w:eastAsiaTheme="minorEastAsia" w:cstheme="minorEastAsia"/>
          <w:b w:val="0"/>
          <w:bCs/>
          <w:color w:val="auto"/>
          <w:szCs w:val="21"/>
        </w:rPr>
      </w:pPr>
      <w:r>
        <w:rPr>
          <w:rFonts w:hint="eastAsia" w:asciiTheme="minorEastAsia" w:hAnsiTheme="minorEastAsia" w:eastAsiaTheme="minorEastAsia" w:cstheme="minorEastAsia"/>
          <w:b w:val="0"/>
          <w:bCs/>
          <w:color w:val="auto"/>
          <w:szCs w:val="21"/>
        </w:rPr>
        <w:t>2）展示系统可以接入环保领域法律法规、政策与相关专业知识问答机器人，要求可以实时交互。</w:t>
      </w:r>
    </w:p>
    <w:p w14:paraId="4E83F7E9">
      <w:pPr>
        <w:spacing w:line="360" w:lineRule="auto"/>
        <w:ind w:firstLine="562"/>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val="0"/>
          <w:bCs/>
          <w:color w:val="auto"/>
          <w:szCs w:val="21"/>
        </w:rPr>
        <w:t>3）展示具有实时接入环保污染源监控视频功能，可接入自动识别长时间有人逗留、画面大幅度转移等算法。</w:t>
      </w:r>
      <w:bookmarkStart w:id="68" w:name="_Toc2701"/>
    </w:p>
    <w:p w14:paraId="56516F72">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4.13  移动执法系统整合对接（数据保留，迁移）</w:t>
      </w:r>
      <w:bookmarkEnd w:id="68"/>
    </w:p>
    <w:p w14:paraId="421E15B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与移动执法系统对接过来的数据，进行保留，迁移到</w:t>
      </w:r>
      <w:r>
        <w:rPr>
          <w:rFonts w:hint="eastAsia" w:asciiTheme="minorEastAsia" w:hAnsiTheme="minorEastAsia" w:eastAsiaTheme="minorEastAsia" w:cstheme="minorEastAsia"/>
          <w:szCs w:val="21"/>
          <w:lang w:eastAsia="zh-CN"/>
        </w:rPr>
        <w:t>政务</w:t>
      </w:r>
      <w:r>
        <w:rPr>
          <w:rFonts w:hint="eastAsia" w:asciiTheme="minorEastAsia" w:hAnsiTheme="minorEastAsia" w:eastAsiaTheme="minorEastAsia" w:cstheme="minorEastAsia"/>
          <w:szCs w:val="21"/>
        </w:rPr>
        <w:t>平台，可查询。</w:t>
      </w:r>
    </w:p>
    <w:p w14:paraId="139D935D">
      <w:pPr>
        <w:spacing w:line="360" w:lineRule="auto"/>
        <w:outlineLvl w:val="4"/>
        <w:rPr>
          <w:rFonts w:asciiTheme="minorEastAsia" w:hAnsiTheme="minorEastAsia" w:eastAsiaTheme="minorEastAsia" w:cstheme="minorEastAsia"/>
          <w:b/>
          <w:bCs/>
          <w:szCs w:val="21"/>
        </w:rPr>
      </w:pPr>
      <w:bookmarkStart w:id="69" w:name="_Toc12950"/>
    </w:p>
    <w:p w14:paraId="76618346">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4.14 核与辐射环境模块（适配）</w:t>
      </w:r>
      <w:bookmarkEnd w:id="69"/>
    </w:p>
    <w:p w14:paraId="2713346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以宁海县辐射环境质量点位为核心，以GIS为基础，展示县域电磁和电离各类放射源的分布及统计分析结果，同时对环境质量点位的监测结果进行统计分析及展示，实现辐射环境质量可查询、可展示。</w:t>
      </w:r>
    </w:p>
    <w:p w14:paraId="342B29D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具体功能要求如下表所示：</w:t>
      </w:r>
    </w:p>
    <w:p w14:paraId="76BA1CCD">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表 </w:t>
      </w:r>
      <w:r>
        <w:rPr>
          <w:rFonts w:hint="eastAsia" w:asciiTheme="minorEastAsia" w:hAnsiTheme="minorEastAsia" w:eastAsiaTheme="minorEastAsia" w:cstheme="minorEastAsia"/>
          <w:b/>
          <w:szCs w:val="21"/>
        </w:rPr>
        <w:fldChar w:fldCharType="begin"/>
      </w:r>
      <w:r>
        <w:rPr>
          <w:rFonts w:hint="eastAsia" w:asciiTheme="minorEastAsia" w:hAnsiTheme="minorEastAsia" w:eastAsiaTheme="minorEastAsia" w:cstheme="minorEastAsia"/>
          <w:b/>
          <w:szCs w:val="21"/>
        </w:rPr>
        <w:instrText xml:space="preserve"> SEQ 表 \* ARABIC </w:instrText>
      </w:r>
      <w:r>
        <w:rPr>
          <w:rFonts w:hint="eastAsia" w:asciiTheme="minorEastAsia" w:hAnsiTheme="minorEastAsia" w:eastAsiaTheme="minorEastAsia" w:cstheme="minorEastAsia"/>
          <w:b/>
          <w:szCs w:val="21"/>
        </w:rPr>
        <w:fldChar w:fldCharType="separate"/>
      </w:r>
      <w:r>
        <w:rPr>
          <w:rFonts w:hint="eastAsia" w:asciiTheme="minorEastAsia" w:hAnsiTheme="minorEastAsia" w:eastAsiaTheme="minorEastAsia" w:cstheme="minorEastAsia"/>
          <w:b/>
          <w:szCs w:val="21"/>
        </w:rPr>
        <w:t>14</w:t>
      </w:r>
      <w:r>
        <w:rPr>
          <w:rFonts w:hint="eastAsia" w:asciiTheme="minorEastAsia" w:hAnsiTheme="minorEastAsia" w:eastAsiaTheme="minorEastAsia" w:cstheme="minorEastAsia"/>
          <w:b/>
          <w:szCs w:val="21"/>
        </w:rPr>
        <w:fldChar w:fldCharType="end"/>
      </w:r>
      <w:r>
        <w:rPr>
          <w:rFonts w:hint="eastAsia" w:asciiTheme="minorEastAsia" w:hAnsiTheme="minorEastAsia" w:eastAsiaTheme="minorEastAsia" w:cstheme="minorEastAsia"/>
          <w:b/>
          <w:szCs w:val="21"/>
        </w:rPr>
        <w:t xml:space="preserve"> 核与辐射环境功能需求表</w:t>
      </w:r>
    </w:p>
    <w:tbl>
      <w:tblPr>
        <w:tblStyle w:val="63"/>
        <w:tblW w:w="5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8241"/>
      </w:tblGrid>
      <w:tr w14:paraId="422B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1984" w:type="dxa"/>
            <w:shd w:val="clear" w:color="auto" w:fill="C0C0C0"/>
            <w:vAlign w:val="center"/>
          </w:tcPr>
          <w:p w14:paraId="4B87675A">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功能类别</w:t>
            </w:r>
          </w:p>
        </w:tc>
        <w:tc>
          <w:tcPr>
            <w:tcW w:w="8245" w:type="dxa"/>
            <w:shd w:val="clear" w:color="auto" w:fill="C0C0C0"/>
            <w:vAlign w:val="center"/>
          </w:tcPr>
          <w:p w14:paraId="5D3843F6">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子功能</w:t>
            </w:r>
          </w:p>
        </w:tc>
      </w:tr>
      <w:tr w14:paraId="5260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84" w:type="dxa"/>
            <w:vMerge w:val="restart"/>
            <w:shd w:val="clear" w:color="auto" w:fill="FFFFFF"/>
            <w:vAlign w:val="center"/>
          </w:tcPr>
          <w:p w14:paraId="1D798BB4">
            <w:pPr>
              <w:jc w:val="center"/>
              <w:rPr>
                <w:rFonts w:asciiTheme="minorEastAsia" w:hAnsiTheme="minorEastAsia" w:eastAsiaTheme="minorEastAsia" w:cstheme="minorEastAsia"/>
                <w:szCs w:val="21"/>
              </w:rPr>
            </w:pPr>
            <w:bookmarkStart w:id="70" w:name="_Hlk4486693"/>
            <w:r>
              <w:rPr>
                <w:rFonts w:hint="eastAsia" w:asciiTheme="minorEastAsia" w:hAnsiTheme="minorEastAsia" w:eastAsiaTheme="minorEastAsia" w:cstheme="minorEastAsia"/>
                <w:szCs w:val="21"/>
              </w:rPr>
              <w:t>查询功能</w:t>
            </w:r>
          </w:p>
        </w:tc>
        <w:tc>
          <w:tcPr>
            <w:tcW w:w="8245" w:type="dxa"/>
            <w:shd w:val="clear" w:color="auto" w:fill="FFFFFF"/>
            <w:vAlign w:val="center"/>
          </w:tcPr>
          <w:p w14:paraId="1368AC8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宁海县电磁和电离各类放射源的分布及各源的状况</w:t>
            </w:r>
          </w:p>
        </w:tc>
      </w:tr>
      <w:tr w14:paraId="1E85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4" w:type="dxa"/>
            <w:vMerge w:val="continue"/>
            <w:shd w:val="clear" w:color="auto" w:fill="FFFFFF"/>
            <w:vAlign w:val="center"/>
          </w:tcPr>
          <w:p w14:paraId="7B586458">
            <w:pPr>
              <w:jc w:val="center"/>
              <w:rPr>
                <w:rFonts w:asciiTheme="minorEastAsia" w:hAnsiTheme="minorEastAsia" w:eastAsiaTheme="minorEastAsia" w:cstheme="minorEastAsia"/>
                <w:szCs w:val="21"/>
              </w:rPr>
            </w:pPr>
          </w:p>
        </w:tc>
        <w:tc>
          <w:tcPr>
            <w:tcW w:w="8245" w:type="dxa"/>
            <w:shd w:val="clear" w:color="auto" w:fill="FFFFFF"/>
            <w:vAlign w:val="center"/>
          </w:tcPr>
          <w:p w14:paraId="75AE54C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宁海县各监测点的查询及变化趋势</w:t>
            </w:r>
          </w:p>
        </w:tc>
      </w:tr>
      <w:bookmarkEnd w:id="70"/>
      <w:tr w14:paraId="2B1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84" w:type="dxa"/>
            <w:vMerge w:val="restart"/>
            <w:shd w:val="clear" w:color="auto" w:fill="FFFFFF"/>
            <w:vAlign w:val="center"/>
          </w:tcPr>
          <w:p w14:paraId="6BADD064">
            <w:pPr>
              <w:jc w:val="center"/>
              <w:rPr>
                <w:rFonts w:asciiTheme="minorEastAsia" w:hAnsiTheme="minorEastAsia" w:eastAsiaTheme="minorEastAsia" w:cstheme="minorEastAsia"/>
                <w:szCs w:val="21"/>
              </w:rPr>
            </w:pPr>
            <w:bookmarkStart w:id="71" w:name="_Hlk4489038"/>
            <w:r>
              <w:rPr>
                <w:rFonts w:hint="eastAsia" w:asciiTheme="minorEastAsia" w:hAnsiTheme="minorEastAsia" w:eastAsiaTheme="minorEastAsia" w:cstheme="minorEastAsia"/>
                <w:szCs w:val="21"/>
              </w:rPr>
              <w:t>统计功能</w:t>
            </w:r>
          </w:p>
        </w:tc>
        <w:tc>
          <w:tcPr>
            <w:tcW w:w="8245" w:type="dxa"/>
            <w:shd w:val="clear" w:color="auto" w:fill="FFFFFF"/>
            <w:vAlign w:val="center"/>
          </w:tcPr>
          <w:p w14:paraId="603D8E4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分区域电磁和电离各类放射源的数量统计展示</w:t>
            </w:r>
          </w:p>
        </w:tc>
      </w:tr>
      <w:tr w14:paraId="3095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84" w:type="dxa"/>
            <w:vMerge w:val="continue"/>
            <w:shd w:val="clear" w:color="auto" w:fill="FFFFFF"/>
            <w:vAlign w:val="center"/>
          </w:tcPr>
          <w:p w14:paraId="2E53C4CC">
            <w:pPr>
              <w:jc w:val="center"/>
              <w:rPr>
                <w:rFonts w:asciiTheme="minorEastAsia" w:hAnsiTheme="minorEastAsia" w:eastAsiaTheme="minorEastAsia" w:cstheme="minorEastAsia"/>
                <w:szCs w:val="21"/>
              </w:rPr>
            </w:pPr>
          </w:p>
        </w:tc>
        <w:tc>
          <w:tcPr>
            <w:tcW w:w="8245" w:type="dxa"/>
            <w:shd w:val="clear" w:color="auto" w:fill="FFFFFF"/>
            <w:vAlign w:val="center"/>
          </w:tcPr>
          <w:p w14:paraId="61E7A00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分区域电离环境γ辐射剂量，电磁环境工频电磁场和射频综合场强监测结果环境质量的统计结果展示</w:t>
            </w:r>
          </w:p>
        </w:tc>
      </w:tr>
      <w:bookmarkEnd w:id="71"/>
      <w:tr w14:paraId="3591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984" w:type="dxa"/>
            <w:vAlign w:val="center"/>
          </w:tcPr>
          <w:p w14:paraId="6D9B591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系统设置功能</w:t>
            </w:r>
          </w:p>
        </w:tc>
        <w:tc>
          <w:tcPr>
            <w:tcW w:w="8245" w:type="dxa"/>
            <w:vAlign w:val="center"/>
          </w:tcPr>
          <w:p w14:paraId="618E3B6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个人信息管理，账号的设置，密码修改等</w:t>
            </w:r>
          </w:p>
        </w:tc>
      </w:tr>
    </w:tbl>
    <w:p w14:paraId="1F7A76A4">
      <w:pPr>
        <w:spacing w:line="360" w:lineRule="auto"/>
        <w:outlineLvl w:val="4"/>
        <w:rPr>
          <w:rFonts w:asciiTheme="minorEastAsia" w:hAnsiTheme="minorEastAsia" w:eastAsiaTheme="minorEastAsia" w:cstheme="minorEastAsia"/>
          <w:b/>
          <w:bCs/>
          <w:szCs w:val="21"/>
        </w:rPr>
      </w:pPr>
      <w:bookmarkStart w:id="72" w:name="_Toc25079"/>
      <w:r>
        <w:rPr>
          <w:rFonts w:hint="eastAsia" w:asciiTheme="minorEastAsia" w:hAnsiTheme="minorEastAsia" w:eastAsiaTheme="minorEastAsia" w:cstheme="minorEastAsia"/>
          <w:b/>
          <w:bCs/>
          <w:szCs w:val="21"/>
        </w:rPr>
        <w:t>4.15  固废收运监管系统</w:t>
      </w:r>
    </w:p>
    <w:p w14:paraId="4BC49F51">
      <w:pPr>
        <w:pStyle w:val="84"/>
        <w:rPr>
          <w:rFonts w:asciiTheme="minorEastAsia" w:hAnsiTheme="minorEastAsia" w:eastAsiaTheme="minorEastAsia" w:cstheme="minorEastAsia"/>
          <w:sz w:val="21"/>
          <w:szCs w:val="21"/>
        </w:rPr>
      </w:pPr>
    </w:p>
    <w:tbl>
      <w:tblPr>
        <w:tblStyle w:val="63"/>
        <w:tblpPr w:leftFromText="180" w:rightFromText="180" w:vertAnchor="text" w:horzAnchor="page" w:tblpX="1487" w:tblpY="347"/>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539"/>
        <w:gridCol w:w="1657"/>
        <w:gridCol w:w="6007"/>
      </w:tblGrid>
      <w:tr w14:paraId="5377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Align w:val="center"/>
          </w:tcPr>
          <w:p w14:paraId="0A25F5CB">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539" w:type="dxa"/>
            <w:vAlign w:val="center"/>
          </w:tcPr>
          <w:p w14:paraId="36B87436">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功能名称</w:t>
            </w:r>
          </w:p>
        </w:tc>
        <w:tc>
          <w:tcPr>
            <w:tcW w:w="1657" w:type="dxa"/>
            <w:vAlign w:val="center"/>
          </w:tcPr>
          <w:p w14:paraId="5E6B4AA3">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指标项</w:t>
            </w:r>
          </w:p>
        </w:tc>
        <w:tc>
          <w:tcPr>
            <w:tcW w:w="6007" w:type="dxa"/>
            <w:vAlign w:val="center"/>
          </w:tcPr>
          <w:p w14:paraId="2120779C">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技术要求</w:t>
            </w:r>
          </w:p>
        </w:tc>
      </w:tr>
      <w:tr w14:paraId="1E8E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1" w:type="dxa"/>
            <w:vMerge w:val="restart"/>
            <w:vAlign w:val="center"/>
          </w:tcPr>
          <w:p w14:paraId="17C92CA3">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539" w:type="dxa"/>
            <w:vMerge w:val="restart"/>
            <w:vAlign w:val="center"/>
          </w:tcPr>
          <w:p w14:paraId="61900192">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监管驾驶舱</w:t>
            </w:r>
          </w:p>
        </w:tc>
        <w:tc>
          <w:tcPr>
            <w:tcW w:w="1657" w:type="dxa"/>
            <w:vAlign w:val="center"/>
          </w:tcPr>
          <w:p w14:paraId="38571C87">
            <w:pPr>
              <w:pStyle w:val="972"/>
              <w:numPr>
                <w:ilvl w:val="0"/>
                <w:numId w:val="0"/>
              </w:numPr>
              <w:spacing w:line="240" w:lineRule="auto"/>
              <w:jc w:val="center"/>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sz w:val="21"/>
                <w:szCs w:val="21"/>
              </w:rPr>
              <w:t>核心指标统计</w:t>
            </w:r>
          </w:p>
        </w:tc>
        <w:tc>
          <w:tcPr>
            <w:tcW w:w="6007" w:type="dxa"/>
            <w:vAlign w:val="center"/>
          </w:tcPr>
          <w:p w14:paraId="5297D049">
            <w:pPr>
              <w:pStyle w:val="972"/>
              <w:numPr>
                <w:ilvl w:val="0"/>
                <w:numId w:val="0"/>
              </w:numPr>
              <w:spacing w:line="240" w:lineRule="auto"/>
              <w:rPr>
                <w:rFonts w:hint="default" w:asciiTheme="minorEastAsia" w:hAnsiTheme="minorEastAsia" w:eastAsiaTheme="minorEastAsia" w:cstheme="minorEastAsia"/>
                <w:bCs/>
                <w:sz w:val="21"/>
                <w:szCs w:val="21"/>
              </w:rPr>
            </w:pPr>
            <w:r>
              <w:rPr>
                <w:rFonts w:asciiTheme="minorEastAsia" w:hAnsiTheme="minorEastAsia" w:eastAsiaTheme="minorEastAsia" w:cstheme="minorEastAsia"/>
                <w:sz w:val="21"/>
                <w:szCs w:val="21"/>
              </w:rPr>
              <w:t>展示重点关注指标（产废企业数、危废收运量、固废收运量、利用处置量、服务总数、预警总数）。</w:t>
            </w:r>
          </w:p>
        </w:tc>
      </w:tr>
      <w:tr w14:paraId="141B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36A48946">
            <w:pPr>
              <w:jc w:val="center"/>
              <w:rPr>
                <w:rFonts w:asciiTheme="minorEastAsia" w:hAnsiTheme="minorEastAsia" w:eastAsiaTheme="minorEastAsia" w:cstheme="minorEastAsia"/>
                <w:bCs/>
                <w:szCs w:val="21"/>
              </w:rPr>
            </w:pPr>
          </w:p>
        </w:tc>
        <w:tc>
          <w:tcPr>
            <w:tcW w:w="1539" w:type="dxa"/>
            <w:vMerge w:val="continue"/>
            <w:vAlign w:val="center"/>
          </w:tcPr>
          <w:p w14:paraId="31D6C3B2">
            <w:pPr>
              <w:jc w:val="center"/>
              <w:rPr>
                <w:rFonts w:asciiTheme="minorEastAsia" w:hAnsiTheme="minorEastAsia" w:eastAsiaTheme="minorEastAsia" w:cstheme="minorEastAsia"/>
                <w:bCs/>
                <w:szCs w:val="21"/>
              </w:rPr>
            </w:pPr>
          </w:p>
        </w:tc>
        <w:tc>
          <w:tcPr>
            <w:tcW w:w="1657" w:type="dxa"/>
            <w:vAlign w:val="center"/>
          </w:tcPr>
          <w:p w14:paraId="7D3A95C8">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企业收运警示情况</w:t>
            </w:r>
          </w:p>
        </w:tc>
        <w:tc>
          <w:tcPr>
            <w:tcW w:w="6007" w:type="dxa"/>
            <w:vAlign w:val="center"/>
          </w:tcPr>
          <w:p w14:paraId="2C7E3FF7">
            <w:pPr>
              <w:jc w:val="left"/>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展示产废企业是否清运情况统计，根据清运时间分为红黄绿三种状态。</w:t>
            </w:r>
          </w:p>
        </w:tc>
      </w:tr>
      <w:tr w14:paraId="3F87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9C11C8F">
            <w:pPr>
              <w:jc w:val="center"/>
              <w:rPr>
                <w:rFonts w:asciiTheme="minorEastAsia" w:hAnsiTheme="minorEastAsia" w:eastAsiaTheme="minorEastAsia" w:cstheme="minorEastAsia"/>
                <w:bCs/>
                <w:szCs w:val="21"/>
              </w:rPr>
            </w:pPr>
          </w:p>
        </w:tc>
        <w:tc>
          <w:tcPr>
            <w:tcW w:w="1539" w:type="dxa"/>
            <w:vMerge w:val="continue"/>
            <w:vAlign w:val="center"/>
          </w:tcPr>
          <w:p w14:paraId="6D07ABE6">
            <w:pPr>
              <w:jc w:val="center"/>
              <w:rPr>
                <w:rFonts w:asciiTheme="minorEastAsia" w:hAnsiTheme="minorEastAsia" w:eastAsiaTheme="minorEastAsia" w:cstheme="minorEastAsia"/>
                <w:bCs/>
                <w:szCs w:val="21"/>
              </w:rPr>
            </w:pPr>
          </w:p>
        </w:tc>
        <w:tc>
          <w:tcPr>
            <w:tcW w:w="1657" w:type="dxa"/>
            <w:vAlign w:val="center"/>
          </w:tcPr>
          <w:p w14:paraId="1DB1D3B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固废收运量情况</w:t>
            </w:r>
          </w:p>
        </w:tc>
        <w:tc>
          <w:tcPr>
            <w:tcW w:w="6007" w:type="dxa"/>
            <w:vAlign w:val="center"/>
          </w:tcPr>
          <w:p w14:paraId="702812A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展示全县固废收运量变化趋势，支持按日月年查看相关数据。</w:t>
            </w:r>
          </w:p>
        </w:tc>
      </w:tr>
      <w:tr w14:paraId="37FC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C9C3F62">
            <w:pPr>
              <w:jc w:val="center"/>
              <w:rPr>
                <w:rFonts w:asciiTheme="minorEastAsia" w:hAnsiTheme="minorEastAsia" w:eastAsiaTheme="minorEastAsia" w:cstheme="minorEastAsia"/>
                <w:bCs/>
                <w:szCs w:val="21"/>
              </w:rPr>
            </w:pPr>
          </w:p>
        </w:tc>
        <w:tc>
          <w:tcPr>
            <w:tcW w:w="1539" w:type="dxa"/>
            <w:vMerge w:val="continue"/>
            <w:vAlign w:val="center"/>
          </w:tcPr>
          <w:p w14:paraId="121B5695">
            <w:pPr>
              <w:jc w:val="center"/>
              <w:rPr>
                <w:rFonts w:asciiTheme="minorEastAsia" w:hAnsiTheme="minorEastAsia" w:eastAsiaTheme="minorEastAsia" w:cstheme="minorEastAsia"/>
                <w:bCs/>
                <w:szCs w:val="21"/>
              </w:rPr>
            </w:pPr>
          </w:p>
        </w:tc>
        <w:tc>
          <w:tcPr>
            <w:tcW w:w="1657" w:type="dxa"/>
            <w:vAlign w:val="center"/>
          </w:tcPr>
          <w:p w14:paraId="4FFFE9A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产废企业分布情况</w:t>
            </w:r>
          </w:p>
        </w:tc>
        <w:tc>
          <w:tcPr>
            <w:tcW w:w="6007" w:type="dxa"/>
            <w:vAlign w:val="center"/>
          </w:tcPr>
          <w:p w14:paraId="10F5622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展示全县各乡镇街道产废企业数量，掌握企业分布情况。</w:t>
            </w:r>
          </w:p>
        </w:tc>
      </w:tr>
      <w:tr w14:paraId="171E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A6A1DC0">
            <w:pPr>
              <w:jc w:val="center"/>
              <w:rPr>
                <w:rFonts w:asciiTheme="minorEastAsia" w:hAnsiTheme="minorEastAsia" w:eastAsiaTheme="minorEastAsia" w:cstheme="minorEastAsia"/>
                <w:bCs/>
                <w:szCs w:val="21"/>
              </w:rPr>
            </w:pPr>
          </w:p>
        </w:tc>
        <w:tc>
          <w:tcPr>
            <w:tcW w:w="1539" w:type="dxa"/>
            <w:vMerge w:val="continue"/>
            <w:vAlign w:val="center"/>
          </w:tcPr>
          <w:p w14:paraId="2FFCB4B1">
            <w:pPr>
              <w:jc w:val="center"/>
              <w:rPr>
                <w:rFonts w:asciiTheme="minorEastAsia" w:hAnsiTheme="minorEastAsia" w:eastAsiaTheme="minorEastAsia" w:cstheme="minorEastAsia"/>
                <w:bCs/>
                <w:szCs w:val="21"/>
              </w:rPr>
            </w:pPr>
          </w:p>
        </w:tc>
        <w:tc>
          <w:tcPr>
            <w:tcW w:w="1657" w:type="dxa"/>
            <w:vAlign w:val="center"/>
          </w:tcPr>
          <w:p w14:paraId="5D97C2B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产废企业收运情况</w:t>
            </w:r>
          </w:p>
        </w:tc>
        <w:tc>
          <w:tcPr>
            <w:tcW w:w="6007" w:type="dxa"/>
            <w:vAlign w:val="center"/>
          </w:tcPr>
          <w:p w14:paraId="67162AB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展示产废企业转移固废量top5，动态获取产废企业产废量情况。</w:t>
            </w:r>
          </w:p>
        </w:tc>
      </w:tr>
      <w:tr w14:paraId="0C34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402DDF8">
            <w:pPr>
              <w:jc w:val="center"/>
              <w:rPr>
                <w:rFonts w:asciiTheme="minorEastAsia" w:hAnsiTheme="minorEastAsia" w:eastAsiaTheme="minorEastAsia" w:cstheme="minorEastAsia"/>
                <w:bCs/>
                <w:szCs w:val="21"/>
              </w:rPr>
            </w:pPr>
          </w:p>
        </w:tc>
        <w:tc>
          <w:tcPr>
            <w:tcW w:w="1539" w:type="dxa"/>
            <w:vMerge w:val="continue"/>
            <w:vAlign w:val="center"/>
          </w:tcPr>
          <w:p w14:paraId="277F2F87">
            <w:pPr>
              <w:jc w:val="center"/>
              <w:rPr>
                <w:rFonts w:asciiTheme="minorEastAsia" w:hAnsiTheme="minorEastAsia" w:eastAsiaTheme="minorEastAsia" w:cstheme="minorEastAsia"/>
                <w:bCs/>
                <w:szCs w:val="21"/>
              </w:rPr>
            </w:pPr>
          </w:p>
        </w:tc>
        <w:tc>
          <w:tcPr>
            <w:tcW w:w="1657" w:type="dxa"/>
            <w:vAlign w:val="center"/>
          </w:tcPr>
          <w:p w14:paraId="348323D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固废收运排行情况</w:t>
            </w:r>
          </w:p>
        </w:tc>
        <w:tc>
          <w:tcPr>
            <w:tcW w:w="6007" w:type="dxa"/>
            <w:vAlign w:val="center"/>
          </w:tcPr>
          <w:p w14:paraId="5C54525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展示固废类型转移量top5，对不同类型固体废物进行统计排行。</w:t>
            </w:r>
          </w:p>
        </w:tc>
      </w:tr>
      <w:tr w14:paraId="005A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13EBC2E">
            <w:pPr>
              <w:jc w:val="center"/>
              <w:rPr>
                <w:rFonts w:asciiTheme="minorEastAsia" w:hAnsiTheme="minorEastAsia" w:eastAsiaTheme="minorEastAsia" w:cstheme="minorEastAsia"/>
                <w:bCs/>
                <w:szCs w:val="21"/>
              </w:rPr>
            </w:pPr>
          </w:p>
        </w:tc>
        <w:tc>
          <w:tcPr>
            <w:tcW w:w="1539" w:type="dxa"/>
            <w:vMerge w:val="continue"/>
            <w:vAlign w:val="center"/>
          </w:tcPr>
          <w:p w14:paraId="20B46D9B">
            <w:pPr>
              <w:jc w:val="center"/>
              <w:rPr>
                <w:rFonts w:asciiTheme="minorEastAsia" w:hAnsiTheme="minorEastAsia" w:eastAsiaTheme="minorEastAsia" w:cstheme="minorEastAsia"/>
                <w:bCs/>
                <w:szCs w:val="21"/>
              </w:rPr>
            </w:pPr>
          </w:p>
        </w:tc>
        <w:tc>
          <w:tcPr>
            <w:tcW w:w="1657" w:type="dxa"/>
            <w:vAlign w:val="center"/>
          </w:tcPr>
          <w:p w14:paraId="04F8E2F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各区域固废收运情况</w:t>
            </w:r>
          </w:p>
        </w:tc>
        <w:tc>
          <w:tcPr>
            <w:tcW w:w="6007" w:type="dxa"/>
            <w:vAlign w:val="center"/>
          </w:tcPr>
          <w:p w14:paraId="168BFAD9">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展示各乡镇街道固废总量top5，对不同区域的固废收运量进行统计排行。</w:t>
            </w:r>
          </w:p>
        </w:tc>
      </w:tr>
      <w:tr w14:paraId="032E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2D2B73AF">
            <w:pPr>
              <w:jc w:val="center"/>
              <w:rPr>
                <w:rFonts w:asciiTheme="minorEastAsia" w:hAnsiTheme="minorEastAsia" w:eastAsiaTheme="minorEastAsia" w:cstheme="minorEastAsia"/>
                <w:bCs/>
                <w:szCs w:val="21"/>
              </w:rPr>
            </w:pPr>
          </w:p>
        </w:tc>
        <w:tc>
          <w:tcPr>
            <w:tcW w:w="1539" w:type="dxa"/>
            <w:vMerge w:val="continue"/>
            <w:vAlign w:val="center"/>
          </w:tcPr>
          <w:p w14:paraId="0EFBA203">
            <w:pPr>
              <w:jc w:val="center"/>
              <w:rPr>
                <w:rFonts w:asciiTheme="minorEastAsia" w:hAnsiTheme="minorEastAsia" w:eastAsiaTheme="minorEastAsia" w:cstheme="minorEastAsia"/>
                <w:bCs/>
                <w:szCs w:val="21"/>
              </w:rPr>
            </w:pPr>
          </w:p>
        </w:tc>
        <w:tc>
          <w:tcPr>
            <w:tcW w:w="1657" w:type="dxa"/>
            <w:vAlign w:val="center"/>
          </w:tcPr>
          <w:p w14:paraId="4B35CFE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预警信息分类情况</w:t>
            </w:r>
          </w:p>
        </w:tc>
        <w:tc>
          <w:tcPr>
            <w:tcW w:w="6007" w:type="dxa"/>
            <w:vAlign w:val="center"/>
          </w:tcPr>
          <w:p w14:paraId="7CDB6F7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展示不同类型预警次数及占比情况。</w:t>
            </w:r>
          </w:p>
        </w:tc>
      </w:tr>
      <w:tr w14:paraId="4571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F23A480">
            <w:pPr>
              <w:jc w:val="center"/>
              <w:rPr>
                <w:rFonts w:asciiTheme="minorEastAsia" w:hAnsiTheme="minorEastAsia" w:eastAsiaTheme="minorEastAsia" w:cstheme="minorEastAsia"/>
                <w:bCs/>
                <w:szCs w:val="21"/>
              </w:rPr>
            </w:pPr>
          </w:p>
        </w:tc>
        <w:tc>
          <w:tcPr>
            <w:tcW w:w="1539" w:type="dxa"/>
            <w:vMerge w:val="continue"/>
            <w:vAlign w:val="center"/>
          </w:tcPr>
          <w:p w14:paraId="1497E93B">
            <w:pPr>
              <w:jc w:val="center"/>
              <w:rPr>
                <w:rFonts w:asciiTheme="minorEastAsia" w:hAnsiTheme="minorEastAsia" w:eastAsiaTheme="minorEastAsia" w:cstheme="minorEastAsia"/>
                <w:bCs/>
                <w:szCs w:val="21"/>
              </w:rPr>
            </w:pPr>
          </w:p>
        </w:tc>
        <w:tc>
          <w:tcPr>
            <w:tcW w:w="1657" w:type="dxa"/>
            <w:vAlign w:val="center"/>
          </w:tcPr>
          <w:p w14:paraId="5BA9B27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关联业务系统快捷入口</w:t>
            </w:r>
          </w:p>
        </w:tc>
        <w:tc>
          <w:tcPr>
            <w:tcW w:w="6007" w:type="dxa"/>
            <w:vAlign w:val="center"/>
          </w:tcPr>
          <w:p w14:paraId="77C0248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集成现有应用系统的访问入口地址，对支持浙政钉组织架构和用户体系的应用系统免登访问，后期分阶段逐步集成具备接入条件的其他应用系统，形成“统一入口，一处访问”的良好应用体验。</w:t>
            </w:r>
          </w:p>
        </w:tc>
      </w:tr>
      <w:tr w14:paraId="6F55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restart"/>
            <w:vAlign w:val="center"/>
          </w:tcPr>
          <w:p w14:paraId="25E34A95">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539" w:type="dxa"/>
            <w:vMerge w:val="restart"/>
            <w:vAlign w:val="center"/>
          </w:tcPr>
          <w:p w14:paraId="6681BB8E">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szCs w:val="21"/>
              </w:rPr>
              <w:t>固废收运监管系统</w:t>
            </w:r>
          </w:p>
        </w:tc>
        <w:tc>
          <w:tcPr>
            <w:tcW w:w="1657" w:type="dxa"/>
            <w:vAlign w:val="center"/>
          </w:tcPr>
          <w:p w14:paraId="42F2026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收运企业管理</w:t>
            </w:r>
          </w:p>
        </w:tc>
        <w:tc>
          <w:tcPr>
            <w:tcW w:w="6007" w:type="dxa"/>
            <w:vAlign w:val="center"/>
          </w:tcPr>
          <w:p w14:paraId="7009352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根据安全生产和环保要求，收运企业需上传安全生产和环保手续相关文件，形成固定台账，支持对台账进行替换更新。</w:t>
            </w:r>
          </w:p>
        </w:tc>
      </w:tr>
      <w:tr w14:paraId="0B4F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3538CB5B">
            <w:pPr>
              <w:jc w:val="center"/>
              <w:rPr>
                <w:rFonts w:asciiTheme="minorEastAsia" w:hAnsiTheme="minorEastAsia" w:eastAsiaTheme="minorEastAsia" w:cstheme="minorEastAsia"/>
                <w:bCs/>
                <w:szCs w:val="21"/>
              </w:rPr>
            </w:pPr>
          </w:p>
        </w:tc>
        <w:tc>
          <w:tcPr>
            <w:tcW w:w="1539" w:type="dxa"/>
            <w:vMerge w:val="continue"/>
            <w:vAlign w:val="center"/>
          </w:tcPr>
          <w:p w14:paraId="211059F0">
            <w:pPr>
              <w:jc w:val="center"/>
              <w:rPr>
                <w:rFonts w:asciiTheme="minorEastAsia" w:hAnsiTheme="minorEastAsia" w:eastAsiaTheme="minorEastAsia" w:cstheme="minorEastAsia"/>
                <w:szCs w:val="21"/>
              </w:rPr>
            </w:pPr>
          </w:p>
        </w:tc>
        <w:tc>
          <w:tcPr>
            <w:tcW w:w="1657" w:type="dxa"/>
            <w:vAlign w:val="center"/>
          </w:tcPr>
          <w:p w14:paraId="38273618">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司机管理</w:t>
            </w:r>
          </w:p>
        </w:tc>
        <w:tc>
          <w:tcPr>
            <w:tcW w:w="6007" w:type="dxa"/>
            <w:vAlign w:val="center"/>
          </w:tcPr>
          <w:p w14:paraId="0633C9F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通过接口获取全县收运企业所属司机信息，统一管理，一人一档，支持根据管理需求导出企业司机信息。</w:t>
            </w:r>
          </w:p>
        </w:tc>
      </w:tr>
      <w:tr w14:paraId="4EE5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711" w:type="dxa"/>
            <w:vMerge w:val="continue"/>
            <w:vAlign w:val="center"/>
          </w:tcPr>
          <w:p w14:paraId="150133CF">
            <w:pPr>
              <w:jc w:val="center"/>
              <w:rPr>
                <w:rFonts w:asciiTheme="minorEastAsia" w:hAnsiTheme="minorEastAsia" w:eastAsiaTheme="minorEastAsia" w:cstheme="minorEastAsia"/>
                <w:bCs/>
                <w:szCs w:val="21"/>
              </w:rPr>
            </w:pPr>
          </w:p>
        </w:tc>
        <w:tc>
          <w:tcPr>
            <w:tcW w:w="1539" w:type="dxa"/>
            <w:vMerge w:val="continue"/>
            <w:vAlign w:val="center"/>
          </w:tcPr>
          <w:p w14:paraId="60440386">
            <w:pPr>
              <w:jc w:val="center"/>
              <w:rPr>
                <w:rFonts w:asciiTheme="minorEastAsia" w:hAnsiTheme="minorEastAsia" w:eastAsiaTheme="minorEastAsia" w:cstheme="minorEastAsia"/>
                <w:szCs w:val="21"/>
              </w:rPr>
            </w:pPr>
          </w:p>
        </w:tc>
        <w:tc>
          <w:tcPr>
            <w:tcW w:w="1657" w:type="dxa"/>
            <w:vAlign w:val="center"/>
          </w:tcPr>
          <w:p w14:paraId="6FE6DD6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车辆管理</w:t>
            </w:r>
          </w:p>
        </w:tc>
        <w:tc>
          <w:tcPr>
            <w:tcW w:w="6007" w:type="dxa"/>
            <w:vAlign w:val="center"/>
          </w:tcPr>
          <w:p w14:paraId="607D9C1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通过接口获取全县收运企业运输车辆信息，统一管理，一车一档，支持根据管理需求导出企业车辆信息。</w:t>
            </w:r>
          </w:p>
        </w:tc>
      </w:tr>
      <w:tr w14:paraId="4C16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5398ABF3">
            <w:pPr>
              <w:jc w:val="center"/>
              <w:rPr>
                <w:rFonts w:asciiTheme="minorEastAsia" w:hAnsiTheme="minorEastAsia" w:eastAsiaTheme="minorEastAsia" w:cstheme="minorEastAsia"/>
                <w:bCs/>
                <w:szCs w:val="21"/>
              </w:rPr>
            </w:pPr>
          </w:p>
        </w:tc>
        <w:tc>
          <w:tcPr>
            <w:tcW w:w="1539" w:type="dxa"/>
            <w:vMerge w:val="continue"/>
            <w:vAlign w:val="center"/>
          </w:tcPr>
          <w:p w14:paraId="20D81C0F">
            <w:pPr>
              <w:jc w:val="center"/>
              <w:rPr>
                <w:rFonts w:asciiTheme="minorEastAsia" w:hAnsiTheme="minorEastAsia" w:eastAsiaTheme="minorEastAsia" w:cstheme="minorEastAsia"/>
                <w:szCs w:val="21"/>
              </w:rPr>
            </w:pPr>
          </w:p>
        </w:tc>
        <w:tc>
          <w:tcPr>
            <w:tcW w:w="1657" w:type="dxa"/>
            <w:vMerge w:val="restart"/>
            <w:vAlign w:val="center"/>
          </w:tcPr>
          <w:p w14:paraId="611713BF">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★收运管理</w:t>
            </w:r>
          </w:p>
        </w:tc>
        <w:tc>
          <w:tcPr>
            <w:tcW w:w="6007" w:type="dxa"/>
            <w:vAlign w:val="center"/>
          </w:tcPr>
          <w:p w14:paraId="3C02D169">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1.收运联单：通过接口获取收运企业到产废企业进行收运的联单信息，支持根据监管需求查看联单详情及车辆轨迹，实时跟踪联单状态；支持根据需求导出联单数据。</w:t>
            </w:r>
          </w:p>
        </w:tc>
      </w:tr>
      <w:tr w14:paraId="1A2F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F129DEB">
            <w:pPr>
              <w:jc w:val="center"/>
              <w:rPr>
                <w:rFonts w:asciiTheme="minorEastAsia" w:hAnsiTheme="minorEastAsia" w:eastAsiaTheme="minorEastAsia" w:cstheme="minorEastAsia"/>
                <w:bCs/>
                <w:szCs w:val="21"/>
              </w:rPr>
            </w:pPr>
          </w:p>
        </w:tc>
        <w:tc>
          <w:tcPr>
            <w:tcW w:w="1539" w:type="dxa"/>
            <w:vMerge w:val="continue"/>
            <w:vAlign w:val="center"/>
          </w:tcPr>
          <w:p w14:paraId="53CD09B9">
            <w:pPr>
              <w:jc w:val="center"/>
              <w:rPr>
                <w:rFonts w:asciiTheme="minorEastAsia" w:hAnsiTheme="minorEastAsia" w:eastAsiaTheme="minorEastAsia" w:cstheme="minorEastAsia"/>
                <w:szCs w:val="21"/>
              </w:rPr>
            </w:pPr>
          </w:p>
        </w:tc>
        <w:tc>
          <w:tcPr>
            <w:tcW w:w="1657" w:type="dxa"/>
            <w:vMerge w:val="continue"/>
            <w:vAlign w:val="center"/>
          </w:tcPr>
          <w:p w14:paraId="715EE6D9">
            <w:pPr>
              <w:jc w:val="left"/>
              <w:rPr>
                <w:rFonts w:hint="eastAsia" w:asciiTheme="minorEastAsia" w:hAnsiTheme="minorEastAsia" w:eastAsiaTheme="minorEastAsia" w:cstheme="minorEastAsia"/>
                <w:szCs w:val="21"/>
              </w:rPr>
            </w:pPr>
          </w:p>
        </w:tc>
        <w:tc>
          <w:tcPr>
            <w:tcW w:w="6007" w:type="dxa"/>
            <w:vAlign w:val="center"/>
          </w:tcPr>
          <w:p w14:paraId="7BD28DF1">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2.转出联单：通过接口获取收运企业到处置企业进行转运的联单信息，支持根据监管需求查看联单详情及车辆轨迹，实时跟踪联单状态；支持根据需求导出联单数据。</w:t>
            </w:r>
          </w:p>
        </w:tc>
      </w:tr>
      <w:tr w14:paraId="6B17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C92E78D">
            <w:pPr>
              <w:jc w:val="center"/>
              <w:rPr>
                <w:rFonts w:asciiTheme="minorEastAsia" w:hAnsiTheme="minorEastAsia" w:eastAsiaTheme="minorEastAsia" w:cstheme="minorEastAsia"/>
                <w:bCs/>
                <w:szCs w:val="21"/>
              </w:rPr>
            </w:pPr>
          </w:p>
        </w:tc>
        <w:tc>
          <w:tcPr>
            <w:tcW w:w="1539" w:type="dxa"/>
            <w:vMerge w:val="continue"/>
            <w:vAlign w:val="center"/>
          </w:tcPr>
          <w:p w14:paraId="1E2D854C">
            <w:pPr>
              <w:jc w:val="center"/>
              <w:rPr>
                <w:rFonts w:asciiTheme="minorEastAsia" w:hAnsiTheme="minorEastAsia" w:eastAsiaTheme="minorEastAsia" w:cstheme="minorEastAsia"/>
                <w:szCs w:val="21"/>
              </w:rPr>
            </w:pPr>
          </w:p>
        </w:tc>
        <w:tc>
          <w:tcPr>
            <w:tcW w:w="1657" w:type="dxa"/>
            <w:vAlign w:val="center"/>
          </w:tcPr>
          <w:p w14:paraId="60CF338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自利用处置管理</w:t>
            </w:r>
          </w:p>
        </w:tc>
        <w:tc>
          <w:tcPr>
            <w:tcW w:w="6007" w:type="dxa"/>
            <w:vAlign w:val="center"/>
          </w:tcPr>
          <w:p w14:paraId="6989341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通过接口获取收运企业自利用处置固废的单据信息，支持根据监管需求查看自利用处置单详情，对固废处置形成闭环管理；支持根据需求导出单据数据。</w:t>
            </w:r>
          </w:p>
        </w:tc>
      </w:tr>
      <w:tr w14:paraId="5D7D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27555482">
            <w:pPr>
              <w:jc w:val="center"/>
              <w:rPr>
                <w:rFonts w:asciiTheme="minorEastAsia" w:hAnsiTheme="minorEastAsia" w:eastAsiaTheme="minorEastAsia" w:cstheme="minorEastAsia"/>
                <w:bCs/>
                <w:szCs w:val="21"/>
              </w:rPr>
            </w:pPr>
          </w:p>
        </w:tc>
        <w:tc>
          <w:tcPr>
            <w:tcW w:w="1539" w:type="dxa"/>
            <w:vMerge w:val="continue"/>
            <w:vAlign w:val="center"/>
          </w:tcPr>
          <w:p w14:paraId="463C021B">
            <w:pPr>
              <w:jc w:val="center"/>
              <w:rPr>
                <w:rFonts w:asciiTheme="minorEastAsia" w:hAnsiTheme="minorEastAsia" w:eastAsiaTheme="minorEastAsia" w:cstheme="minorEastAsia"/>
                <w:szCs w:val="21"/>
              </w:rPr>
            </w:pPr>
          </w:p>
        </w:tc>
        <w:tc>
          <w:tcPr>
            <w:tcW w:w="1657" w:type="dxa"/>
            <w:vAlign w:val="center"/>
          </w:tcPr>
          <w:p w14:paraId="30BC44E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收运台账</w:t>
            </w:r>
          </w:p>
        </w:tc>
        <w:tc>
          <w:tcPr>
            <w:tcW w:w="6007" w:type="dxa"/>
            <w:vAlign w:val="center"/>
          </w:tcPr>
          <w:p w14:paraId="2EF5E2E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通过接口获取全县收运企业固废收运台账，根据监管需求统计各收运企业不同固废类型收运量，形成台账记录，支持根据数据更新台账并导出。</w:t>
            </w:r>
          </w:p>
        </w:tc>
      </w:tr>
      <w:tr w14:paraId="6E3B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236E6B0F">
            <w:pPr>
              <w:jc w:val="center"/>
              <w:rPr>
                <w:rFonts w:asciiTheme="minorEastAsia" w:hAnsiTheme="minorEastAsia" w:eastAsiaTheme="minorEastAsia" w:cstheme="minorEastAsia"/>
                <w:bCs/>
                <w:szCs w:val="21"/>
              </w:rPr>
            </w:pPr>
          </w:p>
        </w:tc>
        <w:tc>
          <w:tcPr>
            <w:tcW w:w="1539" w:type="dxa"/>
            <w:vMerge w:val="continue"/>
            <w:vAlign w:val="center"/>
          </w:tcPr>
          <w:p w14:paraId="507C5DA5">
            <w:pPr>
              <w:jc w:val="center"/>
              <w:rPr>
                <w:rFonts w:asciiTheme="minorEastAsia" w:hAnsiTheme="minorEastAsia" w:eastAsiaTheme="minorEastAsia" w:cstheme="minorEastAsia"/>
                <w:szCs w:val="21"/>
              </w:rPr>
            </w:pPr>
          </w:p>
        </w:tc>
        <w:tc>
          <w:tcPr>
            <w:tcW w:w="1657" w:type="dxa"/>
            <w:vAlign w:val="center"/>
          </w:tcPr>
          <w:p w14:paraId="5B5A20E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服务管理</w:t>
            </w:r>
          </w:p>
        </w:tc>
        <w:tc>
          <w:tcPr>
            <w:tcW w:w="6007" w:type="dxa"/>
            <w:vAlign w:val="center"/>
          </w:tcPr>
          <w:p w14:paraId="6E5F322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通过接口获取收运企业服务信息，根据监管需求查看收运企业为产废企业服务记录，支持根据要求导出相关服务记录数据。</w:t>
            </w:r>
          </w:p>
        </w:tc>
      </w:tr>
      <w:tr w14:paraId="4496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00DD3C8">
            <w:pPr>
              <w:jc w:val="center"/>
              <w:rPr>
                <w:rFonts w:asciiTheme="minorEastAsia" w:hAnsiTheme="minorEastAsia" w:eastAsiaTheme="minorEastAsia" w:cstheme="minorEastAsia"/>
                <w:bCs/>
                <w:szCs w:val="21"/>
              </w:rPr>
            </w:pPr>
          </w:p>
        </w:tc>
        <w:tc>
          <w:tcPr>
            <w:tcW w:w="1539" w:type="dxa"/>
            <w:vMerge w:val="continue"/>
            <w:vAlign w:val="center"/>
          </w:tcPr>
          <w:p w14:paraId="6E2933FA">
            <w:pPr>
              <w:jc w:val="center"/>
              <w:rPr>
                <w:rFonts w:asciiTheme="minorEastAsia" w:hAnsiTheme="minorEastAsia" w:eastAsiaTheme="minorEastAsia" w:cstheme="minorEastAsia"/>
                <w:szCs w:val="21"/>
              </w:rPr>
            </w:pPr>
          </w:p>
        </w:tc>
        <w:tc>
          <w:tcPr>
            <w:tcW w:w="1657" w:type="dxa"/>
            <w:vMerge w:val="restart"/>
            <w:vAlign w:val="center"/>
          </w:tcPr>
          <w:p w14:paraId="2C8EACD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合同管理</w:t>
            </w:r>
          </w:p>
        </w:tc>
        <w:tc>
          <w:tcPr>
            <w:tcW w:w="6007" w:type="dxa"/>
            <w:vAlign w:val="center"/>
          </w:tcPr>
          <w:p w14:paraId="38B88AE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1.收运合同：通过接口获取收运企业与产废企业签订的收运合同信息，根据监管需求查看合同内容详情，支持根据需求导出合同数据。</w:t>
            </w:r>
          </w:p>
        </w:tc>
      </w:tr>
      <w:tr w14:paraId="61DB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6F8D8C3">
            <w:pPr>
              <w:jc w:val="center"/>
              <w:rPr>
                <w:rFonts w:asciiTheme="minorEastAsia" w:hAnsiTheme="minorEastAsia" w:eastAsiaTheme="minorEastAsia" w:cstheme="minorEastAsia"/>
                <w:bCs/>
                <w:szCs w:val="21"/>
              </w:rPr>
            </w:pPr>
          </w:p>
        </w:tc>
        <w:tc>
          <w:tcPr>
            <w:tcW w:w="1539" w:type="dxa"/>
            <w:vMerge w:val="continue"/>
            <w:vAlign w:val="center"/>
          </w:tcPr>
          <w:p w14:paraId="250681CA">
            <w:pPr>
              <w:jc w:val="center"/>
              <w:rPr>
                <w:rFonts w:asciiTheme="minorEastAsia" w:hAnsiTheme="minorEastAsia" w:eastAsiaTheme="minorEastAsia" w:cstheme="minorEastAsia"/>
                <w:szCs w:val="21"/>
              </w:rPr>
            </w:pPr>
          </w:p>
        </w:tc>
        <w:tc>
          <w:tcPr>
            <w:tcW w:w="1657" w:type="dxa"/>
            <w:vMerge w:val="continue"/>
            <w:vAlign w:val="center"/>
          </w:tcPr>
          <w:p w14:paraId="065DBD82">
            <w:pPr>
              <w:jc w:val="center"/>
              <w:rPr>
                <w:rFonts w:asciiTheme="minorEastAsia" w:hAnsiTheme="minorEastAsia" w:eastAsiaTheme="minorEastAsia" w:cstheme="minorEastAsia"/>
                <w:szCs w:val="21"/>
              </w:rPr>
            </w:pPr>
          </w:p>
        </w:tc>
        <w:tc>
          <w:tcPr>
            <w:tcW w:w="6007" w:type="dxa"/>
            <w:vAlign w:val="center"/>
          </w:tcPr>
          <w:p w14:paraId="75C8AB9E">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2.服务合同：通过接口获取收运企业与其他企业签订的服务合同信息，根据监管需求查看合同内容详情，支持根据需求导出合同数据。</w:t>
            </w:r>
          </w:p>
        </w:tc>
      </w:tr>
      <w:tr w14:paraId="25CF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583B8D0">
            <w:pPr>
              <w:jc w:val="center"/>
              <w:rPr>
                <w:rFonts w:asciiTheme="minorEastAsia" w:hAnsiTheme="minorEastAsia" w:eastAsiaTheme="minorEastAsia" w:cstheme="minorEastAsia"/>
                <w:bCs/>
                <w:szCs w:val="21"/>
              </w:rPr>
            </w:pPr>
          </w:p>
        </w:tc>
        <w:tc>
          <w:tcPr>
            <w:tcW w:w="1539" w:type="dxa"/>
            <w:vMerge w:val="continue"/>
            <w:vAlign w:val="center"/>
          </w:tcPr>
          <w:p w14:paraId="72CC9CF4">
            <w:pPr>
              <w:jc w:val="center"/>
              <w:rPr>
                <w:rFonts w:asciiTheme="minorEastAsia" w:hAnsiTheme="minorEastAsia" w:eastAsiaTheme="minorEastAsia" w:cstheme="minorEastAsia"/>
                <w:szCs w:val="21"/>
              </w:rPr>
            </w:pPr>
          </w:p>
        </w:tc>
        <w:tc>
          <w:tcPr>
            <w:tcW w:w="1657" w:type="dxa"/>
            <w:vAlign w:val="center"/>
          </w:tcPr>
          <w:p w14:paraId="74BB61D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预警管理</w:t>
            </w:r>
          </w:p>
        </w:tc>
        <w:tc>
          <w:tcPr>
            <w:tcW w:w="6007" w:type="dxa"/>
            <w:vAlign w:val="center"/>
          </w:tcPr>
          <w:p w14:paraId="621CDB1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根据监管要求对收运企业的联单、服务、合同进行监查，及时发现问题并预警，形成预警记录，提示监管部门及相关企业人员，降低违规违法事件的发生率，减少经济损失。</w:t>
            </w:r>
          </w:p>
        </w:tc>
      </w:tr>
      <w:tr w14:paraId="7BC5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7394F1F">
            <w:pPr>
              <w:jc w:val="center"/>
              <w:rPr>
                <w:rFonts w:asciiTheme="minorEastAsia" w:hAnsiTheme="minorEastAsia" w:eastAsiaTheme="minorEastAsia" w:cstheme="minorEastAsia"/>
                <w:bCs/>
                <w:szCs w:val="21"/>
              </w:rPr>
            </w:pPr>
          </w:p>
        </w:tc>
        <w:tc>
          <w:tcPr>
            <w:tcW w:w="1539" w:type="dxa"/>
            <w:vMerge w:val="continue"/>
            <w:vAlign w:val="center"/>
          </w:tcPr>
          <w:p w14:paraId="1DB4A5B5">
            <w:pPr>
              <w:jc w:val="center"/>
              <w:rPr>
                <w:rFonts w:asciiTheme="minorEastAsia" w:hAnsiTheme="minorEastAsia" w:eastAsiaTheme="minorEastAsia" w:cstheme="minorEastAsia"/>
                <w:szCs w:val="21"/>
              </w:rPr>
            </w:pPr>
          </w:p>
        </w:tc>
        <w:tc>
          <w:tcPr>
            <w:tcW w:w="1657" w:type="dxa"/>
            <w:vMerge w:val="restart"/>
            <w:vAlign w:val="center"/>
          </w:tcPr>
          <w:p w14:paraId="145F029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危废信息管理</w:t>
            </w:r>
          </w:p>
        </w:tc>
        <w:tc>
          <w:tcPr>
            <w:tcW w:w="6007" w:type="dxa"/>
            <w:vAlign w:val="center"/>
          </w:tcPr>
          <w:p w14:paraId="543D41D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1.电子联单：根据监管部门需求通过表格导入全县危废联单数据，支持根据监管需求查看危废联单数据。</w:t>
            </w:r>
          </w:p>
        </w:tc>
      </w:tr>
      <w:tr w14:paraId="233A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5B3E6F2D">
            <w:pPr>
              <w:jc w:val="center"/>
              <w:rPr>
                <w:rFonts w:asciiTheme="minorEastAsia" w:hAnsiTheme="minorEastAsia" w:eastAsiaTheme="minorEastAsia" w:cstheme="minorEastAsia"/>
                <w:bCs/>
                <w:szCs w:val="21"/>
              </w:rPr>
            </w:pPr>
          </w:p>
        </w:tc>
        <w:tc>
          <w:tcPr>
            <w:tcW w:w="1539" w:type="dxa"/>
            <w:vMerge w:val="continue"/>
            <w:vAlign w:val="center"/>
          </w:tcPr>
          <w:p w14:paraId="1F002DB1">
            <w:pPr>
              <w:jc w:val="center"/>
              <w:rPr>
                <w:rFonts w:asciiTheme="minorEastAsia" w:hAnsiTheme="minorEastAsia" w:eastAsiaTheme="minorEastAsia" w:cstheme="minorEastAsia"/>
                <w:szCs w:val="21"/>
              </w:rPr>
            </w:pPr>
          </w:p>
        </w:tc>
        <w:tc>
          <w:tcPr>
            <w:tcW w:w="1657" w:type="dxa"/>
            <w:vMerge w:val="continue"/>
            <w:vAlign w:val="center"/>
          </w:tcPr>
          <w:p w14:paraId="479E3013">
            <w:pPr>
              <w:jc w:val="center"/>
              <w:rPr>
                <w:rFonts w:asciiTheme="minorEastAsia" w:hAnsiTheme="minorEastAsia" w:eastAsiaTheme="minorEastAsia" w:cstheme="minorEastAsia"/>
                <w:szCs w:val="21"/>
              </w:rPr>
            </w:pPr>
          </w:p>
        </w:tc>
        <w:tc>
          <w:tcPr>
            <w:tcW w:w="6007" w:type="dxa"/>
            <w:vAlign w:val="center"/>
          </w:tcPr>
          <w:p w14:paraId="604550B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2.电子台账：根据监管部门需求通过表格导入全县危废台账数据，支持根据监管需求查看危废台账数据。</w:t>
            </w:r>
          </w:p>
        </w:tc>
      </w:tr>
      <w:tr w14:paraId="2C00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AAD0CEC">
            <w:pPr>
              <w:jc w:val="center"/>
              <w:rPr>
                <w:rFonts w:asciiTheme="minorEastAsia" w:hAnsiTheme="minorEastAsia" w:eastAsiaTheme="minorEastAsia" w:cstheme="minorEastAsia"/>
                <w:bCs/>
                <w:szCs w:val="21"/>
              </w:rPr>
            </w:pPr>
          </w:p>
        </w:tc>
        <w:tc>
          <w:tcPr>
            <w:tcW w:w="1539" w:type="dxa"/>
            <w:vMerge w:val="continue"/>
            <w:vAlign w:val="center"/>
          </w:tcPr>
          <w:p w14:paraId="327D10B4">
            <w:pPr>
              <w:jc w:val="center"/>
              <w:rPr>
                <w:rFonts w:asciiTheme="minorEastAsia" w:hAnsiTheme="minorEastAsia" w:eastAsiaTheme="minorEastAsia" w:cstheme="minorEastAsia"/>
                <w:szCs w:val="21"/>
              </w:rPr>
            </w:pPr>
          </w:p>
        </w:tc>
        <w:tc>
          <w:tcPr>
            <w:tcW w:w="1657" w:type="dxa"/>
            <w:vMerge w:val="restart"/>
            <w:vAlign w:val="center"/>
          </w:tcPr>
          <w:p w14:paraId="68526F3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系统管理</w:t>
            </w:r>
          </w:p>
        </w:tc>
        <w:tc>
          <w:tcPr>
            <w:tcW w:w="6007" w:type="dxa"/>
            <w:vAlign w:val="center"/>
          </w:tcPr>
          <w:p w14:paraId="725D36E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1.账号管理：支持根据需求创建系统账号，用于登录固废收运监管系统。</w:t>
            </w:r>
          </w:p>
        </w:tc>
      </w:tr>
      <w:tr w14:paraId="572C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6B4EB71">
            <w:pPr>
              <w:jc w:val="center"/>
              <w:rPr>
                <w:rFonts w:asciiTheme="minorEastAsia" w:hAnsiTheme="minorEastAsia" w:eastAsiaTheme="minorEastAsia" w:cstheme="minorEastAsia"/>
                <w:bCs/>
                <w:szCs w:val="21"/>
              </w:rPr>
            </w:pPr>
          </w:p>
        </w:tc>
        <w:tc>
          <w:tcPr>
            <w:tcW w:w="1539" w:type="dxa"/>
            <w:vMerge w:val="continue"/>
            <w:vAlign w:val="center"/>
          </w:tcPr>
          <w:p w14:paraId="6C877366">
            <w:pPr>
              <w:jc w:val="center"/>
              <w:rPr>
                <w:rFonts w:asciiTheme="minorEastAsia" w:hAnsiTheme="minorEastAsia" w:eastAsiaTheme="minorEastAsia" w:cstheme="minorEastAsia"/>
                <w:szCs w:val="21"/>
              </w:rPr>
            </w:pPr>
          </w:p>
        </w:tc>
        <w:tc>
          <w:tcPr>
            <w:tcW w:w="1657" w:type="dxa"/>
            <w:vMerge w:val="continue"/>
            <w:vAlign w:val="center"/>
          </w:tcPr>
          <w:p w14:paraId="0AA69CDA">
            <w:pPr>
              <w:jc w:val="center"/>
              <w:rPr>
                <w:rFonts w:asciiTheme="minorEastAsia" w:hAnsiTheme="minorEastAsia" w:eastAsiaTheme="minorEastAsia" w:cstheme="minorEastAsia"/>
                <w:szCs w:val="21"/>
              </w:rPr>
            </w:pPr>
          </w:p>
        </w:tc>
        <w:tc>
          <w:tcPr>
            <w:tcW w:w="6007" w:type="dxa"/>
            <w:vAlign w:val="center"/>
          </w:tcPr>
          <w:p w14:paraId="2CF7EEE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2.角色管理：支持根据监管部门需求创建对应角色。</w:t>
            </w:r>
          </w:p>
        </w:tc>
      </w:tr>
      <w:tr w14:paraId="3FDD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5E86B8F3">
            <w:pPr>
              <w:jc w:val="center"/>
              <w:rPr>
                <w:rFonts w:asciiTheme="minorEastAsia" w:hAnsiTheme="minorEastAsia" w:eastAsiaTheme="minorEastAsia" w:cstheme="minorEastAsia"/>
                <w:bCs/>
                <w:szCs w:val="21"/>
              </w:rPr>
            </w:pPr>
          </w:p>
        </w:tc>
        <w:tc>
          <w:tcPr>
            <w:tcW w:w="1539" w:type="dxa"/>
            <w:vMerge w:val="continue"/>
            <w:vAlign w:val="center"/>
          </w:tcPr>
          <w:p w14:paraId="19ECBD36">
            <w:pPr>
              <w:jc w:val="center"/>
              <w:rPr>
                <w:rFonts w:asciiTheme="minorEastAsia" w:hAnsiTheme="minorEastAsia" w:eastAsiaTheme="minorEastAsia" w:cstheme="minorEastAsia"/>
                <w:szCs w:val="21"/>
              </w:rPr>
            </w:pPr>
          </w:p>
        </w:tc>
        <w:tc>
          <w:tcPr>
            <w:tcW w:w="1657" w:type="dxa"/>
            <w:vMerge w:val="continue"/>
            <w:vAlign w:val="center"/>
          </w:tcPr>
          <w:p w14:paraId="32084134">
            <w:pPr>
              <w:jc w:val="center"/>
              <w:rPr>
                <w:rFonts w:asciiTheme="minorEastAsia" w:hAnsiTheme="minorEastAsia" w:eastAsiaTheme="minorEastAsia" w:cstheme="minorEastAsia"/>
                <w:szCs w:val="21"/>
              </w:rPr>
            </w:pPr>
          </w:p>
        </w:tc>
        <w:tc>
          <w:tcPr>
            <w:tcW w:w="6007" w:type="dxa"/>
            <w:vAlign w:val="center"/>
          </w:tcPr>
          <w:p w14:paraId="05C5466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3.菜单管理：支持根据需求创建菜单目录，并分配菜单权限。</w:t>
            </w:r>
          </w:p>
        </w:tc>
      </w:tr>
    </w:tbl>
    <w:p w14:paraId="292D5F7B">
      <w:pPr>
        <w:spacing w:line="360" w:lineRule="auto"/>
        <w:outlineLvl w:val="4"/>
        <w:rPr>
          <w:rFonts w:asciiTheme="minorEastAsia" w:hAnsiTheme="minorEastAsia" w:eastAsiaTheme="minorEastAsia" w:cstheme="minorEastAsia"/>
          <w:b/>
          <w:bCs/>
          <w:szCs w:val="21"/>
        </w:rPr>
      </w:pPr>
    </w:p>
    <w:p w14:paraId="164E01AB">
      <w:pPr>
        <w:spacing w:line="360" w:lineRule="auto"/>
        <w:outlineLvl w:val="4"/>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4.16固废收运服务系统</w:t>
      </w:r>
    </w:p>
    <w:tbl>
      <w:tblPr>
        <w:tblStyle w:val="63"/>
        <w:tblpPr w:leftFromText="180" w:rightFromText="180" w:vertAnchor="text" w:horzAnchor="page" w:tblpX="1487" w:tblpY="347"/>
        <w:tblOverlap w:val="never"/>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157"/>
        <w:gridCol w:w="1530"/>
        <w:gridCol w:w="6516"/>
      </w:tblGrid>
      <w:tr w14:paraId="7969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restart"/>
            <w:vAlign w:val="center"/>
          </w:tcPr>
          <w:p w14:paraId="30989581">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157" w:type="dxa"/>
            <w:vMerge w:val="restart"/>
            <w:vAlign w:val="center"/>
          </w:tcPr>
          <w:p w14:paraId="42A4446F">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运营驾驶舱</w:t>
            </w:r>
          </w:p>
        </w:tc>
        <w:tc>
          <w:tcPr>
            <w:tcW w:w="1530" w:type="dxa"/>
            <w:vAlign w:val="center"/>
          </w:tcPr>
          <w:p w14:paraId="1756521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核心数据指标</w:t>
            </w:r>
          </w:p>
        </w:tc>
        <w:tc>
          <w:tcPr>
            <w:tcW w:w="6516" w:type="dxa"/>
            <w:vAlign w:val="center"/>
          </w:tcPr>
          <w:p w14:paraId="15714D1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展示重点关注指标（库存量、收运量、转出量、利用处置量、服务总数、预警总数）。</w:t>
            </w:r>
          </w:p>
        </w:tc>
      </w:tr>
      <w:tr w14:paraId="6479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5B808D1">
            <w:pPr>
              <w:jc w:val="center"/>
              <w:rPr>
                <w:rFonts w:asciiTheme="minorEastAsia" w:hAnsiTheme="minorEastAsia" w:eastAsiaTheme="minorEastAsia" w:cstheme="minorEastAsia"/>
                <w:bCs/>
                <w:szCs w:val="21"/>
              </w:rPr>
            </w:pPr>
          </w:p>
        </w:tc>
        <w:tc>
          <w:tcPr>
            <w:tcW w:w="1157" w:type="dxa"/>
            <w:vMerge w:val="continue"/>
            <w:vAlign w:val="center"/>
          </w:tcPr>
          <w:p w14:paraId="10194B70">
            <w:pPr>
              <w:jc w:val="center"/>
              <w:rPr>
                <w:rFonts w:asciiTheme="minorEastAsia" w:hAnsiTheme="minorEastAsia" w:eastAsiaTheme="minorEastAsia" w:cstheme="minorEastAsia"/>
                <w:szCs w:val="21"/>
              </w:rPr>
            </w:pPr>
          </w:p>
        </w:tc>
        <w:tc>
          <w:tcPr>
            <w:tcW w:w="1530" w:type="dxa"/>
            <w:vAlign w:val="center"/>
          </w:tcPr>
          <w:p w14:paraId="5C2AC3A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库存量统计趋势</w:t>
            </w:r>
          </w:p>
        </w:tc>
        <w:tc>
          <w:tcPr>
            <w:tcW w:w="6516" w:type="dxa"/>
            <w:vAlign w:val="center"/>
          </w:tcPr>
          <w:p w14:paraId="02166D6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展示收运企业库存量的变化趋势。</w:t>
            </w:r>
          </w:p>
        </w:tc>
      </w:tr>
      <w:tr w14:paraId="07DA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678A5D2">
            <w:pPr>
              <w:jc w:val="center"/>
              <w:rPr>
                <w:rFonts w:asciiTheme="minorEastAsia" w:hAnsiTheme="minorEastAsia" w:eastAsiaTheme="minorEastAsia" w:cstheme="minorEastAsia"/>
                <w:bCs/>
                <w:szCs w:val="21"/>
              </w:rPr>
            </w:pPr>
          </w:p>
        </w:tc>
        <w:tc>
          <w:tcPr>
            <w:tcW w:w="1157" w:type="dxa"/>
            <w:vMerge w:val="continue"/>
            <w:vAlign w:val="center"/>
          </w:tcPr>
          <w:p w14:paraId="3D6F2187">
            <w:pPr>
              <w:jc w:val="center"/>
              <w:rPr>
                <w:rFonts w:asciiTheme="minorEastAsia" w:hAnsiTheme="minorEastAsia" w:eastAsiaTheme="minorEastAsia" w:cstheme="minorEastAsia"/>
                <w:szCs w:val="21"/>
              </w:rPr>
            </w:pPr>
          </w:p>
        </w:tc>
        <w:tc>
          <w:tcPr>
            <w:tcW w:w="1530" w:type="dxa"/>
            <w:vAlign w:val="center"/>
          </w:tcPr>
          <w:p w14:paraId="5512BB8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客户分布情况</w:t>
            </w:r>
          </w:p>
        </w:tc>
        <w:tc>
          <w:tcPr>
            <w:tcW w:w="6516" w:type="dxa"/>
            <w:vAlign w:val="center"/>
          </w:tcPr>
          <w:p w14:paraId="54DA047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展示企业客户所在乡镇街道数量。</w:t>
            </w:r>
          </w:p>
        </w:tc>
      </w:tr>
      <w:tr w14:paraId="757F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4F681C12">
            <w:pPr>
              <w:jc w:val="center"/>
              <w:rPr>
                <w:rFonts w:asciiTheme="minorEastAsia" w:hAnsiTheme="minorEastAsia" w:eastAsiaTheme="minorEastAsia" w:cstheme="minorEastAsia"/>
                <w:bCs/>
                <w:szCs w:val="21"/>
              </w:rPr>
            </w:pPr>
          </w:p>
        </w:tc>
        <w:tc>
          <w:tcPr>
            <w:tcW w:w="1157" w:type="dxa"/>
            <w:vMerge w:val="continue"/>
            <w:vAlign w:val="center"/>
          </w:tcPr>
          <w:p w14:paraId="71519D32">
            <w:pPr>
              <w:jc w:val="center"/>
              <w:rPr>
                <w:rFonts w:asciiTheme="minorEastAsia" w:hAnsiTheme="minorEastAsia" w:eastAsiaTheme="minorEastAsia" w:cstheme="minorEastAsia"/>
                <w:szCs w:val="21"/>
              </w:rPr>
            </w:pPr>
          </w:p>
        </w:tc>
        <w:tc>
          <w:tcPr>
            <w:tcW w:w="1530" w:type="dxa"/>
            <w:vAlign w:val="center"/>
          </w:tcPr>
          <w:p w14:paraId="1900024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区域固废收运排行</w:t>
            </w:r>
          </w:p>
        </w:tc>
        <w:tc>
          <w:tcPr>
            <w:tcW w:w="6516" w:type="dxa"/>
            <w:vAlign w:val="center"/>
          </w:tcPr>
          <w:p w14:paraId="1B19114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展示企业在各乡镇街道收运固废量top5。</w:t>
            </w:r>
          </w:p>
        </w:tc>
      </w:tr>
      <w:tr w14:paraId="2F0E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498CB974">
            <w:pPr>
              <w:jc w:val="center"/>
              <w:rPr>
                <w:rFonts w:asciiTheme="minorEastAsia" w:hAnsiTheme="minorEastAsia" w:eastAsiaTheme="minorEastAsia" w:cstheme="minorEastAsia"/>
                <w:bCs/>
                <w:szCs w:val="21"/>
              </w:rPr>
            </w:pPr>
          </w:p>
        </w:tc>
        <w:tc>
          <w:tcPr>
            <w:tcW w:w="1157" w:type="dxa"/>
            <w:vMerge w:val="continue"/>
            <w:vAlign w:val="center"/>
          </w:tcPr>
          <w:p w14:paraId="77098C19">
            <w:pPr>
              <w:jc w:val="center"/>
              <w:rPr>
                <w:rFonts w:asciiTheme="minorEastAsia" w:hAnsiTheme="minorEastAsia" w:eastAsiaTheme="minorEastAsia" w:cstheme="minorEastAsia"/>
                <w:szCs w:val="21"/>
              </w:rPr>
            </w:pPr>
          </w:p>
        </w:tc>
        <w:tc>
          <w:tcPr>
            <w:tcW w:w="1530" w:type="dxa"/>
            <w:vAlign w:val="center"/>
          </w:tcPr>
          <w:p w14:paraId="5A582A4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预警分类统计</w:t>
            </w:r>
          </w:p>
        </w:tc>
        <w:tc>
          <w:tcPr>
            <w:tcW w:w="6516" w:type="dxa"/>
            <w:vAlign w:val="center"/>
          </w:tcPr>
          <w:p w14:paraId="388E6F0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展示不同类型预警次数及占比情况。</w:t>
            </w:r>
          </w:p>
        </w:tc>
      </w:tr>
      <w:tr w14:paraId="164D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restart"/>
            <w:vAlign w:val="center"/>
          </w:tcPr>
          <w:p w14:paraId="59256D26">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157" w:type="dxa"/>
            <w:vMerge w:val="restart"/>
            <w:vAlign w:val="center"/>
          </w:tcPr>
          <w:p w14:paraId="24061B9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固废收运服务系统</w:t>
            </w:r>
          </w:p>
        </w:tc>
        <w:tc>
          <w:tcPr>
            <w:tcW w:w="1530" w:type="dxa"/>
            <w:vAlign w:val="center"/>
          </w:tcPr>
          <w:p w14:paraId="7685DFB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企业账号注册</w:t>
            </w:r>
          </w:p>
        </w:tc>
        <w:tc>
          <w:tcPr>
            <w:tcW w:w="6516" w:type="dxa"/>
            <w:vAlign w:val="center"/>
          </w:tcPr>
          <w:p w14:paraId="516B41F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支持企业自行注册企业账号。</w:t>
            </w:r>
          </w:p>
        </w:tc>
      </w:tr>
      <w:tr w14:paraId="7A14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122B099">
            <w:pPr>
              <w:jc w:val="center"/>
              <w:rPr>
                <w:rFonts w:asciiTheme="minorEastAsia" w:hAnsiTheme="minorEastAsia" w:eastAsiaTheme="minorEastAsia" w:cstheme="minorEastAsia"/>
                <w:bCs/>
                <w:szCs w:val="21"/>
              </w:rPr>
            </w:pPr>
          </w:p>
        </w:tc>
        <w:tc>
          <w:tcPr>
            <w:tcW w:w="1157" w:type="dxa"/>
            <w:vMerge w:val="continue"/>
            <w:vAlign w:val="center"/>
          </w:tcPr>
          <w:p w14:paraId="1E70C307">
            <w:pPr>
              <w:jc w:val="center"/>
              <w:rPr>
                <w:rFonts w:asciiTheme="minorEastAsia" w:hAnsiTheme="minorEastAsia" w:eastAsiaTheme="minorEastAsia" w:cstheme="minorEastAsia"/>
                <w:szCs w:val="21"/>
              </w:rPr>
            </w:pPr>
          </w:p>
        </w:tc>
        <w:tc>
          <w:tcPr>
            <w:tcW w:w="1530" w:type="dxa"/>
            <w:vAlign w:val="center"/>
          </w:tcPr>
          <w:p w14:paraId="7C80AA6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客户管理</w:t>
            </w:r>
          </w:p>
        </w:tc>
        <w:tc>
          <w:tcPr>
            <w:tcW w:w="6516" w:type="dxa"/>
            <w:vAlign w:val="center"/>
          </w:tcPr>
          <w:p w14:paraId="7B830FA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将企业客户的信息资料进行电子化管理，建立统一的客户档案，沉淀客户资源，支持对客户信息的更新替换。</w:t>
            </w:r>
          </w:p>
        </w:tc>
      </w:tr>
      <w:tr w14:paraId="47DD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4E3B3D45">
            <w:pPr>
              <w:jc w:val="center"/>
              <w:rPr>
                <w:rFonts w:asciiTheme="minorEastAsia" w:hAnsiTheme="minorEastAsia" w:eastAsiaTheme="minorEastAsia" w:cstheme="minorEastAsia"/>
                <w:bCs/>
                <w:szCs w:val="21"/>
              </w:rPr>
            </w:pPr>
          </w:p>
        </w:tc>
        <w:tc>
          <w:tcPr>
            <w:tcW w:w="1157" w:type="dxa"/>
            <w:vMerge w:val="continue"/>
            <w:vAlign w:val="center"/>
          </w:tcPr>
          <w:p w14:paraId="4F88325E">
            <w:pPr>
              <w:jc w:val="center"/>
              <w:rPr>
                <w:rFonts w:asciiTheme="minorEastAsia" w:hAnsiTheme="minorEastAsia" w:eastAsiaTheme="minorEastAsia" w:cstheme="minorEastAsia"/>
                <w:szCs w:val="21"/>
              </w:rPr>
            </w:pPr>
          </w:p>
        </w:tc>
        <w:tc>
          <w:tcPr>
            <w:tcW w:w="1530" w:type="dxa"/>
            <w:vAlign w:val="center"/>
          </w:tcPr>
          <w:p w14:paraId="189BFF4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预约管理</w:t>
            </w:r>
          </w:p>
        </w:tc>
        <w:tc>
          <w:tcPr>
            <w:tcW w:w="6516" w:type="dxa"/>
            <w:vAlign w:val="center"/>
          </w:tcPr>
          <w:p w14:paraId="19502A9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展示产废企业预约收运的预约单，支持手动添加，并根据预约时间分配司机上门收运。</w:t>
            </w:r>
          </w:p>
        </w:tc>
      </w:tr>
      <w:tr w14:paraId="7F5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AFEB6FD">
            <w:pPr>
              <w:jc w:val="center"/>
              <w:rPr>
                <w:rFonts w:asciiTheme="minorEastAsia" w:hAnsiTheme="minorEastAsia" w:eastAsiaTheme="minorEastAsia" w:cstheme="minorEastAsia"/>
                <w:bCs/>
                <w:szCs w:val="21"/>
              </w:rPr>
            </w:pPr>
          </w:p>
        </w:tc>
        <w:tc>
          <w:tcPr>
            <w:tcW w:w="1157" w:type="dxa"/>
            <w:vMerge w:val="continue"/>
            <w:vAlign w:val="center"/>
          </w:tcPr>
          <w:p w14:paraId="5DC9E4C8">
            <w:pPr>
              <w:jc w:val="center"/>
              <w:rPr>
                <w:rFonts w:asciiTheme="minorEastAsia" w:hAnsiTheme="minorEastAsia" w:eastAsiaTheme="minorEastAsia" w:cstheme="minorEastAsia"/>
                <w:szCs w:val="21"/>
              </w:rPr>
            </w:pPr>
          </w:p>
        </w:tc>
        <w:tc>
          <w:tcPr>
            <w:tcW w:w="1530" w:type="dxa"/>
            <w:vMerge w:val="restart"/>
            <w:vAlign w:val="center"/>
          </w:tcPr>
          <w:p w14:paraId="41339D2D">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收运管理</w:t>
            </w:r>
          </w:p>
        </w:tc>
        <w:tc>
          <w:tcPr>
            <w:tcW w:w="6516" w:type="dxa"/>
            <w:vAlign w:val="center"/>
          </w:tcPr>
          <w:p w14:paraId="5023437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1.收运联单：支持查看收运联单详细内容，实时查看运输车辆轨迹。</w:t>
            </w:r>
          </w:p>
        </w:tc>
      </w:tr>
      <w:tr w14:paraId="1C23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4C95D51B">
            <w:pPr>
              <w:jc w:val="center"/>
              <w:rPr>
                <w:rFonts w:asciiTheme="minorEastAsia" w:hAnsiTheme="minorEastAsia" w:eastAsiaTheme="minorEastAsia" w:cstheme="minorEastAsia"/>
                <w:bCs/>
                <w:szCs w:val="21"/>
              </w:rPr>
            </w:pPr>
          </w:p>
        </w:tc>
        <w:tc>
          <w:tcPr>
            <w:tcW w:w="1157" w:type="dxa"/>
            <w:vMerge w:val="continue"/>
            <w:vAlign w:val="center"/>
          </w:tcPr>
          <w:p w14:paraId="29EF64CB">
            <w:pPr>
              <w:jc w:val="center"/>
              <w:rPr>
                <w:rFonts w:asciiTheme="minorEastAsia" w:hAnsiTheme="minorEastAsia" w:eastAsiaTheme="minorEastAsia" w:cstheme="minorEastAsia"/>
                <w:szCs w:val="21"/>
              </w:rPr>
            </w:pPr>
          </w:p>
        </w:tc>
        <w:tc>
          <w:tcPr>
            <w:tcW w:w="1530" w:type="dxa"/>
            <w:vMerge w:val="continue"/>
            <w:vAlign w:val="center"/>
          </w:tcPr>
          <w:p w14:paraId="74361FC8">
            <w:pPr>
              <w:jc w:val="center"/>
              <w:rPr>
                <w:rFonts w:asciiTheme="minorEastAsia" w:hAnsiTheme="minorEastAsia" w:eastAsiaTheme="minorEastAsia" w:cstheme="minorEastAsia"/>
                <w:szCs w:val="21"/>
              </w:rPr>
            </w:pPr>
          </w:p>
        </w:tc>
        <w:tc>
          <w:tcPr>
            <w:tcW w:w="6516" w:type="dxa"/>
            <w:vAlign w:val="center"/>
          </w:tcPr>
          <w:p w14:paraId="625C1B4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2.转出联单：支持建立固废转出运单，并查看运输车辆实时轨迹。</w:t>
            </w:r>
          </w:p>
        </w:tc>
      </w:tr>
      <w:tr w14:paraId="014C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351E01D9">
            <w:pPr>
              <w:jc w:val="center"/>
              <w:rPr>
                <w:rFonts w:asciiTheme="minorEastAsia" w:hAnsiTheme="minorEastAsia" w:eastAsiaTheme="minorEastAsia" w:cstheme="minorEastAsia"/>
                <w:bCs/>
                <w:szCs w:val="21"/>
              </w:rPr>
            </w:pPr>
          </w:p>
        </w:tc>
        <w:tc>
          <w:tcPr>
            <w:tcW w:w="1157" w:type="dxa"/>
            <w:vMerge w:val="continue"/>
            <w:vAlign w:val="center"/>
          </w:tcPr>
          <w:p w14:paraId="4898616E">
            <w:pPr>
              <w:jc w:val="center"/>
              <w:rPr>
                <w:rFonts w:asciiTheme="minorEastAsia" w:hAnsiTheme="minorEastAsia" w:eastAsiaTheme="minorEastAsia" w:cstheme="minorEastAsia"/>
                <w:szCs w:val="21"/>
              </w:rPr>
            </w:pPr>
          </w:p>
        </w:tc>
        <w:tc>
          <w:tcPr>
            <w:tcW w:w="1530" w:type="dxa"/>
            <w:vAlign w:val="center"/>
          </w:tcPr>
          <w:p w14:paraId="5AA5430E">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自利用处理管理</w:t>
            </w:r>
          </w:p>
        </w:tc>
        <w:tc>
          <w:tcPr>
            <w:tcW w:w="6516" w:type="dxa"/>
            <w:vAlign w:val="center"/>
          </w:tcPr>
          <w:p w14:paraId="51CDE43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支持添加企业自利用处置固废的信息记录。</w:t>
            </w:r>
          </w:p>
        </w:tc>
      </w:tr>
      <w:tr w14:paraId="46DB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4D54A8E4">
            <w:pPr>
              <w:jc w:val="center"/>
              <w:rPr>
                <w:rFonts w:asciiTheme="minorEastAsia" w:hAnsiTheme="minorEastAsia" w:eastAsiaTheme="minorEastAsia" w:cstheme="minorEastAsia"/>
                <w:bCs/>
                <w:szCs w:val="21"/>
              </w:rPr>
            </w:pPr>
          </w:p>
        </w:tc>
        <w:tc>
          <w:tcPr>
            <w:tcW w:w="1157" w:type="dxa"/>
            <w:vMerge w:val="continue"/>
            <w:vAlign w:val="center"/>
          </w:tcPr>
          <w:p w14:paraId="0A090DE9">
            <w:pPr>
              <w:jc w:val="center"/>
              <w:rPr>
                <w:rFonts w:asciiTheme="minorEastAsia" w:hAnsiTheme="minorEastAsia" w:eastAsiaTheme="minorEastAsia" w:cstheme="minorEastAsia"/>
                <w:szCs w:val="21"/>
              </w:rPr>
            </w:pPr>
          </w:p>
        </w:tc>
        <w:tc>
          <w:tcPr>
            <w:tcW w:w="1530" w:type="dxa"/>
            <w:vAlign w:val="center"/>
          </w:tcPr>
          <w:p w14:paraId="1848119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收运台账</w:t>
            </w:r>
          </w:p>
        </w:tc>
        <w:tc>
          <w:tcPr>
            <w:tcW w:w="6516" w:type="dxa"/>
            <w:vAlign w:val="center"/>
          </w:tcPr>
          <w:p w14:paraId="2D86D92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支持登记企业收运固废明细，形成收运台账记录。</w:t>
            </w:r>
          </w:p>
        </w:tc>
      </w:tr>
      <w:tr w14:paraId="6327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E7FEDAE">
            <w:pPr>
              <w:jc w:val="center"/>
              <w:rPr>
                <w:rFonts w:asciiTheme="minorEastAsia" w:hAnsiTheme="minorEastAsia" w:eastAsiaTheme="minorEastAsia" w:cstheme="minorEastAsia"/>
                <w:bCs/>
                <w:szCs w:val="21"/>
              </w:rPr>
            </w:pPr>
          </w:p>
        </w:tc>
        <w:tc>
          <w:tcPr>
            <w:tcW w:w="1157" w:type="dxa"/>
            <w:vMerge w:val="continue"/>
            <w:vAlign w:val="center"/>
          </w:tcPr>
          <w:p w14:paraId="1857CA83">
            <w:pPr>
              <w:jc w:val="center"/>
              <w:rPr>
                <w:rFonts w:asciiTheme="minorEastAsia" w:hAnsiTheme="minorEastAsia" w:eastAsiaTheme="minorEastAsia" w:cstheme="minorEastAsia"/>
                <w:szCs w:val="21"/>
              </w:rPr>
            </w:pPr>
          </w:p>
        </w:tc>
        <w:tc>
          <w:tcPr>
            <w:tcW w:w="1530" w:type="dxa"/>
            <w:vAlign w:val="center"/>
          </w:tcPr>
          <w:p w14:paraId="2646BFE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服务管理</w:t>
            </w:r>
          </w:p>
        </w:tc>
        <w:tc>
          <w:tcPr>
            <w:tcW w:w="6516" w:type="dxa"/>
            <w:vAlign w:val="center"/>
          </w:tcPr>
          <w:p w14:paraId="125062A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支持查看企业指导人员上门指导情况过程信息及现场照片。</w:t>
            </w:r>
          </w:p>
        </w:tc>
      </w:tr>
      <w:tr w14:paraId="290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6C65701">
            <w:pPr>
              <w:jc w:val="center"/>
              <w:rPr>
                <w:rFonts w:asciiTheme="minorEastAsia" w:hAnsiTheme="minorEastAsia" w:eastAsiaTheme="minorEastAsia" w:cstheme="minorEastAsia"/>
                <w:bCs/>
                <w:szCs w:val="21"/>
              </w:rPr>
            </w:pPr>
          </w:p>
        </w:tc>
        <w:tc>
          <w:tcPr>
            <w:tcW w:w="1157" w:type="dxa"/>
            <w:vMerge w:val="continue"/>
            <w:vAlign w:val="center"/>
          </w:tcPr>
          <w:p w14:paraId="163F8476">
            <w:pPr>
              <w:jc w:val="center"/>
              <w:rPr>
                <w:rFonts w:asciiTheme="minorEastAsia" w:hAnsiTheme="minorEastAsia" w:eastAsiaTheme="minorEastAsia" w:cstheme="minorEastAsia"/>
                <w:szCs w:val="21"/>
              </w:rPr>
            </w:pPr>
          </w:p>
        </w:tc>
        <w:tc>
          <w:tcPr>
            <w:tcW w:w="1530" w:type="dxa"/>
            <w:vMerge w:val="restart"/>
            <w:vAlign w:val="center"/>
          </w:tcPr>
          <w:p w14:paraId="7F35054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合同管理</w:t>
            </w:r>
          </w:p>
        </w:tc>
        <w:tc>
          <w:tcPr>
            <w:tcW w:w="6516" w:type="dxa"/>
            <w:vAlign w:val="center"/>
          </w:tcPr>
          <w:p w14:paraId="000F171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1.收运合同：支持建立与客户签订的收运合同信息，形成合同档案供记录查阅。</w:t>
            </w:r>
          </w:p>
        </w:tc>
      </w:tr>
      <w:tr w14:paraId="18B7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FD99280">
            <w:pPr>
              <w:jc w:val="center"/>
              <w:rPr>
                <w:rFonts w:asciiTheme="minorEastAsia" w:hAnsiTheme="minorEastAsia" w:eastAsiaTheme="minorEastAsia" w:cstheme="minorEastAsia"/>
                <w:bCs/>
                <w:szCs w:val="21"/>
              </w:rPr>
            </w:pPr>
          </w:p>
        </w:tc>
        <w:tc>
          <w:tcPr>
            <w:tcW w:w="1157" w:type="dxa"/>
            <w:vMerge w:val="continue"/>
            <w:vAlign w:val="center"/>
          </w:tcPr>
          <w:p w14:paraId="2FE59B44">
            <w:pPr>
              <w:jc w:val="center"/>
              <w:rPr>
                <w:rFonts w:asciiTheme="minorEastAsia" w:hAnsiTheme="minorEastAsia" w:eastAsiaTheme="minorEastAsia" w:cstheme="minorEastAsia"/>
                <w:szCs w:val="21"/>
              </w:rPr>
            </w:pPr>
          </w:p>
        </w:tc>
        <w:tc>
          <w:tcPr>
            <w:tcW w:w="1530" w:type="dxa"/>
            <w:vMerge w:val="continue"/>
            <w:vAlign w:val="center"/>
          </w:tcPr>
          <w:p w14:paraId="4F4A8BB2">
            <w:pPr>
              <w:jc w:val="center"/>
              <w:rPr>
                <w:rFonts w:asciiTheme="minorEastAsia" w:hAnsiTheme="minorEastAsia" w:eastAsiaTheme="minorEastAsia" w:cstheme="minorEastAsia"/>
                <w:szCs w:val="21"/>
              </w:rPr>
            </w:pPr>
          </w:p>
        </w:tc>
        <w:tc>
          <w:tcPr>
            <w:tcW w:w="6516" w:type="dxa"/>
            <w:vAlign w:val="center"/>
          </w:tcPr>
          <w:p w14:paraId="0089768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2.服务合同：支持建立与客户签订的服务合同信息，形成合同档案供记录查阅。</w:t>
            </w:r>
          </w:p>
        </w:tc>
      </w:tr>
      <w:tr w14:paraId="39C9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5302B3CF">
            <w:pPr>
              <w:jc w:val="center"/>
              <w:rPr>
                <w:rFonts w:asciiTheme="minorEastAsia" w:hAnsiTheme="minorEastAsia" w:eastAsiaTheme="minorEastAsia" w:cstheme="minorEastAsia"/>
                <w:bCs/>
                <w:szCs w:val="21"/>
              </w:rPr>
            </w:pPr>
          </w:p>
        </w:tc>
        <w:tc>
          <w:tcPr>
            <w:tcW w:w="1157" w:type="dxa"/>
            <w:vMerge w:val="continue"/>
            <w:vAlign w:val="center"/>
          </w:tcPr>
          <w:p w14:paraId="2D009FA3">
            <w:pPr>
              <w:jc w:val="center"/>
              <w:rPr>
                <w:rFonts w:asciiTheme="minorEastAsia" w:hAnsiTheme="minorEastAsia" w:eastAsiaTheme="minorEastAsia" w:cstheme="minorEastAsia"/>
                <w:szCs w:val="21"/>
              </w:rPr>
            </w:pPr>
          </w:p>
        </w:tc>
        <w:tc>
          <w:tcPr>
            <w:tcW w:w="1530" w:type="dxa"/>
            <w:vAlign w:val="center"/>
          </w:tcPr>
          <w:p w14:paraId="1659C84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管理台账</w:t>
            </w:r>
          </w:p>
        </w:tc>
        <w:tc>
          <w:tcPr>
            <w:tcW w:w="6516" w:type="dxa"/>
            <w:vAlign w:val="center"/>
          </w:tcPr>
          <w:p w14:paraId="4F59CD9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支持上传企业安全生产和环保手续文档；支持更新替换最新文档。</w:t>
            </w:r>
          </w:p>
        </w:tc>
      </w:tr>
      <w:tr w14:paraId="148C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109424F">
            <w:pPr>
              <w:jc w:val="center"/>
              <w:rPr>
                <w:rFonts w:asciiTheme="minorEastAsia" w:hAnsiTheme="minorEastAsia" w:eastAsiaTheme="minorEastAsia" w:cstheme="minorEastAsia"/>
                <w:bCs/>
                <w:szCs w:val="21"/>
              </w:rPr>
            </w:pPr>
          </w:p>
        </w:tc>
        <w:tc>
          <w:tcPr>
            <w:tcW w:w="1157" w:type="dxa"/>
            <w:vMerge w:val="continue"/>
            <w:vAlign w:val="center"/>
          </w:tcPr>
          <w:p w14:paraId="3238C065">
            <w:pPr>
              <w:jc w:val="center"/>
              <w:rPr>
                <w:rFonts w:asciiTheme="minorEastAsia" w:hAnsiTheme="minorEastAsia" w:eastAsiaTheme="minorEastAsia" w:cstheme="minorEastAsia"/>
                <w:szCs w:val="21"/>
              </w:rPr>
            </w:pPr>
          </w:p>
        </w:tc>
        <w:tc>
          <w:tcPr>
            <w:tcW w:w="1530" w:type="dxa"/>
            <w:vAlign w:val="center"/>
          </w:tcPr>
          <w:p w14:paraId="04583E25">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预警管理</w:t>
            </w:r>
          </w:p>
        </w:tc>
        <w:tc>
          <w:tcPr>
            <w:tcW w:w="6516" w:type="dxa"/>
            <w:vAlign w:val="center"/>
          </w:tcPr>
          <w:p w14:paraId="7BB89E1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根据需求对企业的联单、合同进行监控，及时发现问题并预警，形成预警记录，提示相关企业人员，提高合同续约率，减少经济损失。</w:t>
            </w:r>
          </w:p>
        </w:tc>
      </w:tr>
      <w:tr w14:paraId="0783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E1D5EDC">
            <w:pPr>
              <w:jc w:val="center"/>
              <w:rPr>
                <w:rFonts w:asciiTheme="minorEastAsia" w:hAnsiTheme="minorEastAsia" w:eastAsiaTheme="minorEastAsia" w:cstheme="minorEastAsia"/>
                <w:bCs/>
                <w:szCs w:val="21"/>
              </w:rPr>
            </w:pPr>
          </w:p>
        </w:tc>
        <w:tc>
          <w:tcPr>
            <w:tcW w:w="1157" w:type="dxa"/>
            <w:vMerge w:val="continue"/>
            <w:vAlign w:val="center"/>
          </w:tcPr>
          <w:p w14:paraId="35A8ED14">
            <w:pPr>
              <w:jc w:val="center"/>
              <w:rPr>
                <w:rFonts w:asciiTheme="minorEastAsia" w:hAnsiTheme="minorEastAsia" w:eastAsiaTheme="minorEastAsia" w:cstheme="minorEastAsia"/>
                <w:szCs w:val="21"/>
              </w:rPr>
            </w:pPr>
          </w:p>
        </w:tc>
        <w:tc>
          <w:tcPr>
            <w:tcW w:w="1530" w:type="dxa"/>
            <w:vMerge w:val="restart"/>
            <w:vAlign w:val="center"/>
          </w:tcPr>
          <w:p w14:paraId="332C956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系统管理</w:t>
            </w:r>
          </w:p>
        </w:tc>
        <w:tc>
          <w:tcPr>
            <w:tcW w:w="6516" w:type="dxa"/>
            <w:vAlign w:val="center"/>
          </w:tcPr>
          <w:p w14:paraId="0A4812C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1.账号管理：支持根据需求创建系统账号，用于登录固废收运服务系统。</w:t>
            </w:r>
          </w:p>
        </w:tc>
      </w:tr>
      <w:tr w14:paraId="78CB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DC09CEF">
            <w:pPr>
              <w:jc w:val="center"/>
              <w:rPr>
                <w:rFonts w:asciiTheme="minorEastAsia" w:hAnsiTheme="minorEastAsia" w:eastAsiaTheme="minorEastAsia" w:cstheme="minorEastAsia"/>
                <w:bCs/>
                <w:szCs w:val="21"/>
              </w:rPr>
            </w:pPr>
          </w:p>
        </w:tc>
        <w:tc>
          <w:tcPr>
            <w:tcW w:w="1157" w:type="dxa"/>
            <w:vMerge w:val="continue"/>
            <w:vAlign w:val="center"/>
          </w:tcPr>
          <w:p w14:paraId="634BADB2">
            <w:pPr>
              <w:jc w:val="center"/>
              <w:rPr>
                <w:rFonts w:asciiTheme="minorEastAsia" w:hAnsiTheme="minorEastAsia" w:eastAsiaTheme="minorEastAsia" w:cstheme="minorEastAsia"/>
                <w:szCs w:val="21"/>
              </w:rPr>
            </w:pPr>
          </w:p>
        </w:tc>
        <w:tc>
          <w:tcPr>
            <w:tcW w:w="1530" w:type="dxa"/>
            <w:vMerge w:val="continue"/>
            <w:vAlign w:val="center"/>
          </w:tcPr>
          <w:p w14:paraId="30067140">
            <w:pPr>
              <w:jc w:val="center"/>
              <w:rPr>
                <w:rFonts w:asciiTheme="minorEastAsia" w:hAnsiTheme="minorEastAsia" w:eastAsiaTheme="minorEastAsia" w:cstheme="minorEastAsia"/>
                <w:szCs w:val="21"/>
              </w:rPr>
            </w:pPr>
          </w:p>
        </w:tc>
        <w:tc>
          <w:tcPr>
            <w:tcW w:w="6516" w:type="dxa"/>
            <w:vAlign w:val="center"/>
          </w:tcPr>
          <w:p w14:paraId="7083170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2.角色管理：支持根据企业管理需求创建对应角色。</w:t>
            </w:r>
          </w:p>
        </w:tc>
      </w:tr>
      <w:tr w14:paraId="698F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4003E16">
            <w:pPr>
              <w:jc w:val="center"/>
              <w:rPr>
                <w:rFonts w:asciiTheme="minorEastAsia" w:hAnsiTheme="minorEastAsia" w:eastAsiaTheme="minorEastAsia" w:cstheme="minorEastAsia"/>
                <w:bCs/>
                <w:szCs w:val="21"/>
              </w:rPr>
            </w:pPr>
          </w:p>
        </w:tc>
        <w:tc>
          <w:tcPr>
            <w:tcW w:w="1157" w:type="dxa"/>
            <w:vMerge w:val="continue"/>
            <w:vAlign w:val="center"/>
          </w:tcPr>
          <w:p w14:paraId="2C64DFB8">
            <w:pPr>
              <w:jc w:val="center"/>
              <w:rPr>
                <w:rFonts w:asciiTheme="minorEastAsia" w:hAnsiTheme="minorEastAsia" w:eastAsiaTheme="minorEastAsia" w:cstheme="minorEastAsia"/>
                <w:szCs w:val="21"/>
              </w:rPr>
            </w:pPr>
          </w:p>
        </w:tc>
        <w:tc>
          <w:tcPr>
            <w:tcW w:w="1530" w:type="dxa"/>
            <w:vMerge w:val="continue"/>
            <w:vAlign w:val="center"/>
          </w:tcPr>
          <w:p w14:paraId="70DFE6CE">
            <w:pPr>
              <w:jc w:val="center"/>
              <w:rPr>
                <w:rFonts w:asciiTheme="minorEastAsia" w:hAnsiTheme="minorEastAsia" w:eastAsiaTheme="minorEastAsia" w:cstheme="minorEastAsia"/>
                <w:szCs w:val="21"/>
              </w:rPr>
            </w:pPr>
          </w:p>
        </w:tc>
        <w:tc>
          <w:tcPr>
            <w:tcW w:w="6516" w:type="dxa"/>
            <w:vAlign w:val="center"/>
          </w:tcPr>
          <w:p w14:paraId="0E0ED66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3.菜单管理：支持根据需求创建菜单目录，并分配菜单权限。</w:t>
            </w:r>
          </w:p>
        </w:tc>
      </w:tr>
      <w:tr w14:paraId="2598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CB52F26">
            <w:pPr>
              <w:jc w:val="center"/>
              <w:rPr>
                <w:rFonts w:asciiTheme="minorEastAsia" w:hAnsiTheme="minorEastAsia" w:eastAsiaTheme="minorEastAsia" w:cstheme="minorEastAsia"/>
                <w:bCs/>
                <w:szCs w:val="21"/>
              </w:rPr>
            </w:pPr>
          </w:p>
        </w:tc>
        <w:tc>
          <w:tcPr>
            <w:tcW w:w="1157" w:type="dxa"/>
            <w:vMerge w:val="continue"/>
            <w:vAlign w:val="center"/>
          </w:tcPr>
          <w:p w14:paraId="7F8612FD">
            <w:pPr>
              <w:jc w:val="center"/>
              <w:rPr>
                <w:rFonts w:asciiTheme="minorEastAsia" w:hAnsiTheme="minorEastAsia" w:eastAsiaTheme="minorEastAsia" w:cstheme="minorEastAsia"/>
                <w:szCs w:val="21"/>
              </w:rPr>
            </w:pPr>
          </w:p>
        </w:tc>
        <w:tc>
          <w:tcPr>
            <w:tcW w:w="1530" w:type="dxa"/>
            <w:vMerge w:val="continue"/>
            <w:vAlign w:val="center"/>
          </w:tcPr>
          <w:p w14:paraId="1010E987">
            <w:pPr>
              <w:jc w:val="center"/>
              <w:rPr>
                <w:rFonts w:asciiTheme="minorEastAsia" w:hAnsiTheme="minorEastAsia" w:eastAsiaTheme="minorEastAsia" w:cstheme="minorEastAsia"/>
                <w:szCs w:val="21"/>
              </w:rPr>
            </w:pPr>
          </w:p>
        </w:tc>
        <w:tc>
          <w:tcPr>
            <w:tcW w:w="6516" w:type="dxa"/>
            <w:vAlign w:val="center"/>
          </w:tcPr>
          <w:p w14:paraId="7390B08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4.司机管理：支持添加企业司机信息，形成人员档案；支持对司机信息进行修改更新。</w:t>
            </w:r>
          </w:p>
        </w:tc>
      </w:tr>
      <w:tr w14:paraId="14DF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095FE52F">
            <w:pPr>
              <w:jc w:val="center"/>
              <w:rPr>
                <w:rFonts w:asciiTheme="minorEastAsia" w:hAnsiTheme="minorEastAsia" w:eastAsiaTheme="minorEastAsia" w:cstheme="minorEastAsia"/>
                <w:bCs/>
                <w:szCs w:val="21"/>
              </w:rPr>
            </w:pPr>
          </w:p>
        </w:tc>
        <w:tc>
          <w:tcPr>
            <w:tcW w:w="1157" w:type="dxa"/>
            <w:vMerge w:val="continue"/>
            <w:vAlign w:val="center"/>
          </w:tcPr>
          <w:p w14:paraId="3E161309">
            <w:pPr>
              <w:jc w:val="center"/>
              <w:rPr>
                <w:rFonts w:asciiTheme="minorEastAsia" w:hAnsiTheme="minorEastAsia" w:eastAsiaTheme="minorEastAsia" w:cstheme="minorEastAsia"/>
                <w:szCs w:val="21"/>
              </w:rPr>
            </w:pPr>
          </w:p>
        </w:tc>
        <w:tc>
          <w:tcPr>
            <w:tcW w:w="1530" w:type="dxa"/>
            <w:vMerge w:val="continue"/>
            <w:vAlign w:val="center"/>
          </w:tcPr>
          <w:p w14:paraId="3738F2BA">
            <w:pPr>
              <w:jc w:val="center"/>
              <w:rPr>
                <w:rFonts w:asciiTheme="minorEastAsia" w:hAnsiTheme="minorEastAsia" w:eastAsiaTheme="minorEastAsia" w:cstheme="minorEastAsia"/>
                <w:szCs w:val="21"/>
              </w:rPr>
            </w:pPr>
          </w:p>
        </w:tc>
        <w:tc>
          <w:tcPr>
            <w:tcW w:w="6516" w:type="dxa"/>
            <w:vAlign w:val="center"/>
          </w:tcPr>
          <w:p w14:paraId="416F626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5.车辆管理：支持添加企业车辆信息，形成车辆档案；支持对车辆信息进行 修改更新。</w:t>
            </w:r>
          </w:p>
        </w:tc>
      </w:tr>
      <w:tr w14:paraId="2A16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restart"/>
            <w:vAlign w:val="center"/>
          </w:tcPr>
          <w:p w14:paraId="431BA7EB">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157" w:type="dxa"/>
            <w:vMerge w:val="restart"/>
            <w:vAlign w:val="center"/>
          </w:tcPr>
          <w:p w14:paraId="1C710ED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val="0"/>
                <w:bCs w:val="0"/>
                <w:color w:val="auto"/>
                <w:szCs w:val="21"/>
              </w:rPr>
              <w:t>★固废收运服务系统（微信小程序端）</w:t>
            </w:r>
          </w:p>
        </w:tc>
        <w:tc>
          <w:tcPr>
            <w:tcW w:w="1530" w:type="dxa"/>
            <w:vMerge w:val="restart"/>
            <w:vAlign w:val="center"/>
          </w:tcPr>
          <w:p w14:paraId="58602FA2">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产废企业预约管理</w:t>
            </w:r>
          </w:p>
        </w:tc>
        <w:tc>
          <w:tcPr>
            <w:tcW w:w="6516" w:type="dxa"/>
            <w:vAlign w:val="center"/>
          </w:tcPr>
          <w:p w14:paraId="2B55971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1.预约管理：支持产废企业通过预约模块向收运企业发起清运申请。</w:t>
            </w:r>
          </w:p>
        </w:tc>
      </w:tr>
      <w:tr w14:paraId="73B2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11FDA3EF">
            <w:pPr>
              <w:jc w:val="center"/>
              <w:rPr>
                <w:rFonts w:asciiTheme="minorEastAsia" w:hAnsiTheme="minorEastAsia" w:eastAsiaTheme="minorEastAsia" w:cstheme="minorEastAsia"/>
                <w:bCs/>
                <w:szCs w:val="21"/>
              </w:rPr>
            </w:pPr>
          </w:p>
        </w:tc>
        <w:tc>
          <w:tcPr>
            <w:tcW w:w="1157" w:type="dxa"/>
            <w:vMerge w:val="continue"/>
            <w:vAlign w:val="center"/>
          </w:tcPr>
          <w:p w14:paraId="0FD26835">
            <w:pPr>
              <w:jc w:val="center"/>
              <w:rPr>
                <w:rFonts w:asciiTheme="minorEastAsia" w:hAnsiTheme="minorEastAsia" w:eastAsiaTheme="minorEastAsia" w:cstheme="minorEastAsia"/>
                <w:szCs w:val="21"/>
              </w:rPr>
            </w:pPr>
          </w:p>
        </w:tc>
        <w:tc>
          <w:tcPr>
            <w:tcW w:w="1530" w:type="dxa"/>
            <w:vMerge w:val="continue"/>
            <w:vAlign w:val="center"/>
          </w:tcPr>
          <w:p w14:paraId="7C0902FF">
            <w:pPr>
              <w:jc w:val="center"/>
              <w:rPr>
                <w:rFonts w:asciiTheme="minorEastAsia" w:hAnsiTheme="minorEastAsia" w:eastAsiaTheme="minorEastAsia" w:cstheme="minorEastAsia"/>
                <w:szCs w:val="21"/>
              </w:rPr>
            </w:pPr>
          </w:p>
        </w:tc>
        <w:tc>
          <w:tcPr>
            <w:tcW w:w="6516" w:type="dxa"/>
            <w:vAlign w:val="center"/>
          </w:tcPr>
          <w:p w14:paraId="6607E41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2.记录查询：支持产废企业查询历史预约记录。</w:t>
            </w:r>
          </w:p>
        </w:tc>
      </w:tr>
      <w:tr w14:paraId="5E1C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79F4488A">
            <w:pPr>
              <w:jc w:val="center"/>
              <w:rPr>
                <w:rFonts w:asciiTheme="minorEastAsia" w:hAnsiTheme="minorEastAsia" w:eastAsiaTheme="minorEastAsia" w:cstheme="minorEastAsia"/>
                <w:bCs/>
                <w:szCs w:val="21"/>
              </w:rPr>
            </w:pPr>
          </w:p>
        </w:tc>
        <w:tc>
          <w:tcPr>
            <w:tcW w:w="1157" w:type="dxa"/>
            <w:vMerge w:val="continue"/>
            <w:vAlign w:val="center"/>
          </w:tcPr>
          <w:p w14:paraId="305A3F6B">
            <w:pPr>
              <w:jc w:val="center"/>
              <w:rPr>
                <w:rFonts w:asciiTheme="minorEastAsia" w:hAnsiTheme="minorEastAsia" w:eastAsiaTheme="minorEastAsia" w:cstheme="minorEastAsia"/>
                <w:szCs w:val="21"/>
              </w:rPr>
            </w:pPr>
          </w:p>
        </w:tc>
        <w:tc>
          <w:tcPr>
            <w:tcW w:w="1530" w:type="dxa"/>
            <w:vMerge w:val="restart"/>
            <w:vAlign w:val="center"/>
          </w:tcPr>
          <w:p w14:paraId="0CDC412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服务记录管理</w:t>
            </w:r>
          </w:p>
        </w:tc>
        <w:tc>
          <w:tcPr>
            <w:tcW w:w="6516" w:type="dxa"/>
            <w:vAlign w:val="center"/>
          </w:tcPr>
          <w:p w14:paraId="37AB8F1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1.服务登记：支持收运企业指导人员上门指导时登记服务内容，拍摄现场照片。</w:t>
            </w:r>
          </w:p>
        </w:tc>
      </w:tr>
      <w:tr w14:paraId="3CA4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34E4B863">
            <w:pPr>
              <w:jc w:val="center"/>
              <w:rPr>
                <w:rFonts w:asciiTheme="minorEastAsia" w:hAnsiTheme="minorEastAsia" w:eastAsiaTheme="minorEastAsia" w:cstheme="minorEastAsia"/>
                <w:bCs/>
                <w:szCs w:val="21"/>
              </w:rPr>
            </w:pPr>
          </w:p>
        </w:tc>
        <w:tc>
          <w:tcPr>
            <w:tcW w:w="1157" w:type="dxa"/>
            <w:vMerge w:val="continue"/>
            <w:vAlign w:val="center"/>
          </w:tcPr>
          <w:p w14:paraId="116E18EC">
            <w:pPr>
              <w:jc w:val="center"/>
              <w:rPr>
                <w:rFonts w:asciiTheme="minorEastAsia" w:hAnsiTheme="minorEastAsia" w:eastAsiaTheme="minorEastAsia" w:cstheme="minorEastAsia"/>
                <w:szCs w:val="21"/>
              </w:rPr>
            </w:pPr>
          </w:p>
        </w:tc>
        <w:tc>
          <w:tcPr>
            <w:tcW w:w="1530" w:type="dxa"/>
            <w:vMerge w:val="continue"/>
            <w:vAlign w:val="center"/>
          </w:tcPr>
          <w:p w14:paraId="3EA339F8">
            <w:pPr>
              <w:jc w:val="center"/>
              <w:rPr>
                <w:rFonts w:asciiTheme="minorEastAsia" w:hAnsiTheme="minorEastAsia" w:eastAsiaTheme="minorEastAsia" w:cstheme="minorEastAsia"/>
                <w:szCs w:val="21"/>
              </w:rPr>
            </w:pPr>
          </w:p>
        </w:tc>
        <w:tc>
          <w:tcPr>
            <w:tcW w:w="6516" w:type="dxa"/>
            <w:vAlign w:val="center"/>
          </w:tcPr>
          <w:p w14:paraId="5C34D60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2.记录查询：支持收运企业指导人员查询历史服务记录。</w:t>
            </w:r>
          </w:p>
        </w:tc>
      </w:tr>
      <w:tr w14:paraId="0C9F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EC35EA2">
            <w:pPr>
              <w:jc w:val="center"/>
              <w:rPr>
                <w:rFonts w:asciiTheme="minorEastAsia" w:hAnsiTheme="minorEastAsia" w:eastAsiaTheme="minorEastAsia" w:cstheme="minorEastAsia"/>
                <w:bCs/>
                <w:szCs w:val="21"/>
              </w:rPr>
            </w:pPr>
          </w:p>
        </w:tc>
        <w:tc>
          <w:tcPr>
            <w:tcW w:w="1157" w:type="dxa"/>
            <w:vMerge w:val="continue"/>
            <w:vAlign w:val="center"/>
          </w:tcPr>
          <w:p w14:paraId="36D0E23A">
            <w:pPr>
              <w:jc w:val="center"/>
              <w:rPr>
                <w:rFonts w:asciiTheme="minorEastAsia" w:hAnsiTheme="minorEastAsia" w:eastAsiaTheme="minorEastAsia" w:cstheme="minorEastAsia"/>
                <w:szCs w:val="21"/>
              </w:rPr>
            </w:pPr>
          </w:p>
        </w:tc>
        <w:tc>
          <w:tcPr>
            <w:tcW w:w="1530" w:type="dxa"/>
            <w:vMerge w:val="restart"/>
            <w:vAlign w:val="center"/>
          </w:tcPr>
          <w:p w14:paraId="122E4A67">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固废运输管理</w:t>
            </w:r>
          </w:p>
        </w:tc>
        <w:tc>
          <w:tcPr>
            <w:tcW w:w="6516" w:type="dxa"/>
            <w:vAlign w:val="center"/>
          </w:tcPr>
          <w:p w14:paraId="306FB225">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1.联单处理：支持收运企业司机处理联单，记录联单运输信息，打通联单节点，完成闭环。</w:t>
            </w:r>
          </w:p>
        </w:tc>
      </w:tr>
      <w:tr w14:paraId="7C0C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11" w:type="dxa"/>
            <w:vMerge w:val="continue"/>
            <w:vAlign w:val="center"/>
          </w:tcPr>
          <w:p w14:paraId="6693EEAC">
            <w:pPr>
              <w:jc w:val="center"/>
              <w:rPr>
                <w:rFonts w:asciiTheme="minorEastAsia" w:hAnsiTheme="minorEastAsia" w:eastAsiaTheme="minorEastAsia" w:cstheme="minorEastAsia"/>
                <w:bCs/>
                <w:szCs w:val="21"/>
              </w:rPr>
            </w:pPr>
          </w:p>
        </w:tc>
        <w:tc>
          <w:tcPr>
            <w:tcW w:w="1157" w:type="dxa"/>
            <w:vMerge w:val="continue"/>
            <w:vAlign w:val="center"/>
          </w:tcPr>
          <w:p w14:paraId="594D5A38">
            <w:pPr>
              <w:jc w:val="center"/>
              <w:rPr>
                <w:rFonts w:asciiTheme="minorEastAsia" w:hAnsiTheme="minorEastAsia" w:eastAsiaTheme="minorEastAsia" w:cstheme="minorEastAsia"/>
                <w:szCs w:val="21"/>
              </w:rPr>
            </w:pPr>
          </w:p>
        </w:tc>
        <w:tc>
          <w:tcPr>
            <w:tcW w:w="1530" w:type="dxa"/>
            <w:vMerge w:val="continue"/>
            <w:vAlign w:val="center"/>
          </w:tcPr>
          <w:p w14:paraId="37C78548">
            <w:pPr>
              <w:jc w:val="center"/>
              <w:rPr>
                <w:rFonts w:asciiTheme="minorEastAsia" w:hAnsiTheme="minorEastAsia" w:eastAsiaTheme="minorEastAsia" w:cstheme="minorEastAsia"/>
                <w:szCs w:val="21"/>
              </w:rPr>
            </w:pPr>
          </w:p>
        </w:tc>
        <w:tc>
          <w:tcPr>
            <w:tcW w:w="6516" w:type="dxa"/>
            <w:vAlign w:val="center"/>
          </w:tcPr>
          <w:p w14:paraId="6E908493">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2.记录查询：支持收运企业司机查询历史运输联单。</w:t>
            </w:r>
          </w:p>
        </w:tc>
      </w:tr>
    </w:tbl>
    <w:p w14:paraId="6774F306">
      <w:pPr>
        <w:pStyle w:val="84"/>
        <w:rPr>
          <w:rFonts w:asciiTheme="minorEastAsia" w:hAnsiTheme="minorEastAsia" w:eastAsiaTheme="minorEastAsia" w:cstheme="minorEastAsia"/>
          <w:sz w:val="21"/>
          <w:szCs w:val="21"/>
        </w:rPr>
      </w:pPr>
    </w:p>
    <w:p w14:paraId="1237E6EE">
      <w:pPr>
        <w:pStyle w:val="84"/>
        <w:rPr>
          <w:rFonts w:asciiTheme="minorEastAsia" w:hAnsiTheme="minorEastAsia" w:eastAsiaTheme="minorEastAsia" w:cstheme="minorEastAsia"/>
          <w:sz w:val="21"/>
          <w:szCs w:val="21"/>
        </w:rPr>
      </w:pPr>
    </w:p>
    <w:p w14:paraId="673CAE69">
      <w:pPr>
        <w:spacing w:line="360" w:lineRule="auto"/>
        <w:outlineLvl w:val="3"/>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4.17 基础设施层设计</w:t>
      </w:r>
      <w:bookmarkEnd w:id="72"/>
      <w:r>
        <w:rPr>
          <w:rFonts w:hint="eastAsia" w:asciiTheme="minorEastAsia" w:hAnsiTheme="minorEastAsia" w:eastAsiaTheme="minorEastAsia" w:cstheme="minorEastAsia"/>
          <w:b/>
          <w:bCs/>
          <w:szCs w:val="21"/>
        </w:rPr>
        <w:t>需求</w:t>
      </w:r>
    </w:p>
    <w:p w14:paraId="48AAE7E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本项目基础设施层的工作以开展宁海县环保预警平台迁移至宁波市</w:t>
      </w:r>
      <w:r>
        <w:rPr>
          <w:rFonts w:hint="eastAsia" w:asciiTheme="minorEastAsia" w:hAnsiTheme="minorEastAsia" w:eastAsiaTheme="minorEastAsia" w:cstheme="minorEastAsia"/>
          <w:szCs w:val="21"/>
          <w:lang w:eastAsia="zh-CN"/>
        </w:rPr>
        <w:t>国政务</w:t>
      </w:r>
      <w:r>
        <w:rPr>
          <w:rFonts w:hint="eastAsia" w:asciiTheme="minorEastAsia" w:hAnsiTheme="minorEastAsia" w:eastAsiaTheme="minorEastAsia" w:cstheme="minorEastAsia"/>
          <w:szCs w:val="21"/>
        </w:rPr>
        <w:t>云为核心，主要目标将此次改造的业务系统申请</w:t>
      </w:r>
      <w:r>
        <w:rPr>
          <w:rFonts w:hint="eastAsia" w:asciiTheme="minorEastAsia" w:hAnsiTheme="minorEastAsia" w:eastAsiaTheme="minorEastAsia" w:cstheme="minorEastAsia"/>
          <w:szCs w:val="21"/>
          <w:lang w:eastAsia="zh-CN"/>
        </w:rPr>
        <w:t>政务</w:t>
      </w:r>
      <w:r>
        <w:rPr>
          <w:rFonts w:hint="eastAsia" w:asciiTheme="minorEastAsia" w:hAnsiTheme="minorEastAsia" w:eastAsiaTheme="minorEastAsia" w:cstheme="minorEastAsia"/>
          <w:szCs w:val="21"/>
        </w:rPr>
        <w:t>云资源，采购国产化操作系统、数据库等产品软件，统一迁移部署至</w:t>
      </w:r>
      <w:r>
        <w:rPr>
          <w:rFonts w:hint="eastAsia" w:asciiTheme="minorEastAsia" w:hAnsiTheme="minorEastAsia" w:eastAsiaTheme="minorEastAsia" w:cstheme="minorEastAsia"/>
          <w:szCs w:val="21"/>
          <w:lang w:eastAsia="zh-CN"/>
        </w:rPr>
        <w:t>政务</w:t>
      </w:r>
      <w:r>
        <w:rPr>
          <w:rFonts w:hint="eastAsia" w:asciiTheme="minorEastAsia" w:hAnsiTheme="minorEastAsia" w:eastAsiaTheme="minorEastAsia" w:cstheme="minorEastAsia"/>
          <w:szCs w:val="21"/>
        </w:rPr>
        <w:t>云。</w:t>
      </w:r>
    </w:p>
    <w:p w14:paraId="50F9B77D">
      <w:pPr>
        <w:spacing w:line="360" w:lineRule="auto"/>
        <w:outlineLvl w:val="4"/>
        <w:rPr>
          <w:rFonts w:asciiTheme="minorEastAsia" w:hAnsiTheme="minorEastAsia" w:eastAsiaTheme="minorEastAsia" w:cstheme="minorEastAsia"/>
          <w:b/>
          <w:bCs/>
          <w:szCs w:val="21"/>
        </w:rPr>
      </w:pPr>
      <w:bookmarkStart w:id="73" w:name="_Toc30127"/>
    </w:p>
    <w:p w14:paraId="345CA99F">
      <w:pPr>
        <w:spacing w:line="360" w:lineRule="auto"/>
        <w:outlineLvl w:val="4"/>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4.18 国产化软件采购</w:t>
      </w:r>
      <w:bookmarkEnd w:id="73"/>
    </w:p>
    <w:p w14:paraId="10AA5F4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由于本项目业务系统部署在宁波市政务云，</w:t>
      </w:r>
      <w:r>
        <w:rPr>
          <w:rFonts w:hint="eastAsia" w:asciiTheme="minorEastAsia" w:hAnsiTheme="minorEastAsia" w:eastAsiaTheme="minorEastAsia" w:cstheme="minorEastAsia"/>
          <w:szCs w:val="21"/>
          <w:lang w:eastAsia="zh-CN"/>
        </w:rPr>
        <w:t>政务</w:t>
      </w:r>
      <w:r>
        <w:rPr>
          <w:rFonts w:hint="eastAsia" w:asciiTheme="minorEastAsia" w:hAnsiTheme="minorEastAsia" w:eastAsiaTheme="minorEastAsia" w:cstheme="minorEastAsia"/>
          <w:szCs w:val="21"/>
        </w:rPr>
        <w:t>云是基于国产化环境，但不提供国产化操作系统、数据库等，故本项目需另行采购。</w:t>
      </w:r>
    </w:p>
    <w:tbl>
      <w:tblPr>
        <w:tblStyle w:val="64"/>
        <w:tblW w:w="5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151"/>
        <w:gridCol w:w="7769"/>
        <w:gridCol w:w="700"/>
      </w:tblGrid>
      <w:tr w14:paraId="1EC2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6" w:type="dxa"/>
            <w:vAlign w:val="center"/>
          </w:tcPr>
          <w:p w14:paraId="3218DBC5">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151" w:type="dxa"/>
            <w:vAlign w:val="center"/>
          </w:tcPr>
          <w:p w14:paraId="6D04A18D">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名称</w:t>
            </w:r>
          </w:p>
        </w:tc>
        <w:tc>
          <w:tcPr>
            <w:tcW w:w="7769" w:type="dxa"/>
            <w:vAlign w:val="center"/>
          </w:tcPr>
          <w:p w14:paraId="5BCABCED">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参数</w:t>
            </w:r>
          </w:p>
        </w:tc>
        <w:tc>
          <w:tcPr>
            <w:tcW w:w="700" w:type="dxa"/>
            <w:vAlign w:val="center"/>
          </w:tcPr>
          <w:p w14:paraId="0B4BB0CE">
            <w:pPr>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数量</w:t>
            </w:r>
          </w:p>
        </w:tc>
      </w:tr>
      <w:tr w14:paraId="05E4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1BFDC16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51" w:type="dxa"/>
            <w:vAlign w:val="center"/>
          </w:tcPr>
          <w:p w14:paraId="680965E6">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国产操作系统</w:t>
            </w:r>
          </w:p>
        </w:tc>
        <w:tc>
          <w:tcPr>
            <w:tcW w:w="7769" w:type="dxa"/>
            <w:vAlign w:val="center"/>
          </w:tcPr>
          <w:p w14:paraId="080FBE1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▲1、支持国产CPU架构包括X86、ARM、MIPS/LoongArch和SW架构。</w:t>
            </w:r>
          </w:p>
          <w:p w14:paraId="7B7DD13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2、系统配置图形化工具（提供文件管理、用户帐户管理、用户权限设置、网络配置、打印机配置、显示配置、桌面配置、键盘鼠标设置、输入法设置、日期时间设置、自动更新设置）。</w:t>
            </w:r>
          </w:p>
          <w:p w14:paraId="579706D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3、系统运维图形化工具（系统监视器、日志查看管理、设备管理器、磁盘管理器）。</w:t>
            </w:r>
          </w:p>
          <w:p w14:paraId="6F4E49D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4、Linux内核支持4.19和5.10。</w:t>
            </w:r>
          </w:p>
          <w:p w14:paraId="561A919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5、采用i18n（国际化）技术和标准；支持最新国家标准字符集（GB18030-2022）</w:t>
            </w:r>
          </w:p>
          <w:p w14:paraId="2415BC7A">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6、支持Ext、XFS、NTFS、FAT等文件系统；最大单个文件：Ext3 2TB;Ext4 16TB;GFS2 100TB；XFS 100TB；最大文件系统Ext3 16TB；Ext4 1EB；GFS2 100TB；XFS 100TB。</w:t>
            </w:r>
          </w:p>
          <w:p w14:paraId="084EE09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7、内置国密算法，支持基于国密算法的加解密应用，支持国密SM2/3/4。</w:t>
            </w:r>
          </w:p>
          <w:p w14:paraId="49EFB236">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★8、通过等级保护2.0技术标准，即《GB∕T 20272-2019 信息安全技术操作系统安全技术要求》第四级测评。</w:t>
            </w:r>
          </w:p>
          <w:p w14:paraId="6AE1D5E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9、支持中文化的图形操作界面，支持多种安装方式：光盘、U盘、网络安装。支持samba服务、SSH服务、NTP服务、Telnet服务、DHCP服务、DNS服务、SMTP服务、Tomcat服务等。</w:t>
            </w:r>
          </w:p>
          <w:p w14:paraId="32AF7994">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▲10、支持国内主流数据库产品，包括达梦、人大金仓、神通、南大通用等数据库产品。</w:t>
            </w:r>
          </w:p>
          <w:p w14:paraId="117C5D82">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11、支持国内主流中间件产品，包括东方通、金蝶、中创等中间件产品。支持国外数据库，如Oracle、Mysql、PostgreSQL和MariaDB等。支持国外应用中间件，如WebSphere、Weblogiche Tomcat等。</w:t>
            </w:r>
          </w:p>
          <w:p w14:paraId="20FAEAC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★12、服务器操作系统在不同硬件平台提供自主研发的统一桌面环境，并满足最新国家标准GB18030-2022《信息技术 中文编码字符集》字符集认证要求，满足信息系统进行中文处理的需求，投标产品厂家具备自研桌面环境软著和字符集认证证书。</w:t>
            </w:r>
          </w:p>
          <w:p w14:paraId="62873AFF">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13、系统支持备份和恢复，支持对数据文件的备份和恢复，支持对系统分区的备份和恢复。</w:t>
            </w:r>
          </w:p>
          <w:p w14:paraId="03E6EB9D">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14、提供丰富的开发工具和完整的Linux开发环境，支持JAVA（包括OpenJDK/JVM、Oracle JDK/JVM、IBM JDK/JCM）、C/C++、Python、Perl、Sheel脚本、Ruby、PHP等编程语言。</w:t>
            </w:r>
          </w:p>
          <w:p w14:paraId="7FC50A27">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15、支持OpenStack、Docker，KVM虚拟化技术，可以实现虚拟化管理。投标产品厂家具备自研云基础设施管理平台，支持Rocky、Queens、Stein等多个版本。</w:t>
            </w:r>
          </w:p>
          <w:p w14:paraId="4B31273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16、投标产品厂家具备自研高可用集群部署管理软件，支持图形化部署，支持多种存储类型，多种文件系统格式。</w:t>
            </w:r>
          </w:p>
          <w:p w14:paraId="18846ECC">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17、适配主流国产云平台包括华为云、浪潮云、腾讯云等。</w:t>
            </w:r>
          </w:p>
          <w:p w14:paraId="10DD851E">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18、为更好地对系统进行运维管理，投标产品厂家具备自研服务器运维监管平台，支持可视化监控运维，支持主机管理、安全管理、系统监控、诊断分发、配置下发、告警等管理功能。</w:t>
            </w:r>
          </w:p>
          <w:p w14:paraId="5CEA559B">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★19、投标产品厂家具备自研CentOS迁移工具，支持CentOS7/8版本向国产化服务器系统迁移，支持系统原地迁移，工具支持自动化兼容性分析、支持兼容性评估报告、支持图形化操作配置磁盘备份及配置回写。</w:t>
            </w:r>
          </w:p>
          <w:p w14:paraId="11E9BA00">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★20、投标产品厂家具备Linux系统通用性能评分套件软件，国产系统压力分析套件，版本迭代差异验证套件，底层接口标准验证套件，功能与标准验证套件，应用兼容性验证套件。</w:t>
            </w:r>
          </w:p>
          <w:p w14:paraId="161D66F8">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21、应满足国际知名安全社区openscap支持并接受安全基线。</w:t>
            </w:r>
          </w:p>
        </w:tc>
        <w:tc>
          <w:tcPr>
            <w:tcW w:w="700" w:type="dxa"/>
            <w:vAlign w:val="center"/>
          </w:tcPr>
          <w:p w14:paraId="6906955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w:t>
            </w:r>
          </w:p>
        </w:tc>
      </w:tr>
      <w:tr w14:paraId="1217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080383FC">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51" w:type="dxa"/>
            <w:vAlign w:val="center"/>
          </w:tcPr>
          <w:p w14:paraId="7B7A55DA">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国产数据库</w:t>
            </w:r>
          </w:p>
        </w:tc>
        <w:tc>
          <w:tcPr>
            <w:tcW w:w="7769" w:type="dxa"/>
            <w:vAlign w:val="center"/>
          </w:tcPr>
          <w:p w14:paraId="68F87DFE">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▲1、数据库须满足中国信息安全测评中心、国家保密科技测评中心出具的符合安全可靠测评结果。需提供官方网页截图证明。</w:t>
            </w:r>
          </w:p>
          <w:p w14:paraId="3F6FBB42">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2、支持20个以上窗口函数可以支持distinct用法。</w:t>
            </w:r>
          </w:p>
          <w:p w14:paraId="16243C9A">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3、支持Oracle、Postgresql、MySQL模式 ，在三种兼容模式下都支持相同函数名的聚集函数和分析函数，包括AVG、MIN、MAX、SUM、ANY_VALUE函数等，且ANY_VALUE函数参数支持任意基础数据类型如整型、字符型、大对象、日期时间类型，且支持ALL、DISTINCT和ORDER BY可选项使用。</w:t>
            </w:r>
          </w:p>
          <w:p w14:paraId="624182AB">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数据库逻辑备份和逻辑还原支持命令行下以百分比形式展示进度，展示粒度包括：总体进度展示、单个数据库对象（含表数据）的导出导入进度展示，以便准确把握较大文件备份恢复操作的完成时间以及对系统的影响。提供具有CMA或CNAS资质的第三方检测机构出具的测试报告复印件。</w:t>
            </w:r>
          </w:p>
          <w:p w14:paraId="1AB1F1C4">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透明存储加密和手动数据加密功能，其中加密算法支持对称加密算法RC4、AES、DES/3DES、Blowfish、SM4；支持非对称加密算法SM2；支持摘要算法MD5；支持散列函数算法SM3多种算法，支持单机和集群场景。提供具有CMA或CNAS资质的第三方检测机构出具的测试报告复印件。</w:t>
            </w:r>
          </w:p>
          <w:p w14:paraId="4ADD37F4">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6、支持GSSAPI认证，支持LDAP、SSO、口令认证方式，支持采用操作系统用户访问数据库的机制，支持日志加密。</w:t>
            </w:r>
          </w:p>
          <w:p w14:paraId="51E16AD1">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7、支持用户强身份鉴别机制，包含使用USBKey对国密数字证书进行管理，先进行证书认证，再进行口令认证，实现USBKey的多重强身份鉴别。</w:t>
            </w:r>
          </w:p>
          <w:p w14:paraId="3A4374A6">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8、支持对数据导出操作含sys_dump,copy指令进行用户权限设置，包含为指定用户赋予全部导出权限、赋予某个表的导出权限和收回指定用户的导出权限。</w:t>
            </w:r>
          </w:p>
          <w:p w14:paraId="097F276B">
            <w:pPr>
              <w:pStyle w:val="264"/>
              <w:spacing w:line="240" w:lineRule="auto"/>
              <w:ind w:firstLine="0" w:firstLineChars="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9、支持以动态性能视图的方式按前后台进程统计事务数量，包括提交事务、回滚事务。</w:t>
            </w:r>
          </w:p>
          <w:p w14:paraId="619438E1">
            <w:p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10、支持针对符合规则的SQL进行等价变换，包括不等式变换、合并exists子链接、not in子链接提升、合并子查询作为公共表达式等。</w:t>
            </w:r>
          </w:p>
        </w:tc>
        <w:tc>
          <w:tcPr>
            <w:tcW w:w="700" w:type="dxa"/>
            <w:vAlign w:val="center"/>
          </w:tcPr>
          <w:p w14:paraId="7AEB0550">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r>
    </w:tbl>
    <w:p w14:paraId="5D4BD41B">
      <w:pPr>
        <w:ind w:firstLine="560"/>
        <w:rPr>
          <w:rFonts w:asciiTheme="minorEastAsia" w:hAnsiTheme="minorEastAsia" w:eastAsiaTheme="minorEastAsia" w:cstheme="minorEastAsia"/>
          <w:szCs w:val="21"/>
        </w:rPr>
      </w:pPr>
    </w:p>
    <w:p w14:paraId="165E4CD3">
      <w:pPr>
        <w:pStyle w:val="83"/>
        <w:ind w:left="0" w:firstLine="0"/>
        <w:rPr>
          <w:rFonts w:asciiTheme="minorEastAsia" w:hAnsiTheme="minorEastAsia" w:eastAsiaTheme="minorEastAsia" w:cstheme="minorEastAsia"/>
          <w:b/>
          <w:bCs/>
          <w:szCs w:val="21"/>
        </w:rPr>
      </w:pPr>
    </w:p>
    <w:p w14:paraId="694B0B2C">
      <w:pPr>
        <w:pStyle w:val="83"/>
        <w:ind w:left="0" w:firstLine="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4.19  接口费建设</w:t>
      </w:r>
    </w:p>
    <w:p w14:paraId="4E5855E5">
      <w:pPr>
        <w:pStyle w:val="83"/>
        <w:rPr>
          <w:rFonts w:asciiTheme="minorEastAsia" w:hAnsiTheme="minorEastAsia" w:eastAsiaTheme="minorEastAsia" w:cstheme="minorEastAsia"/>
          <w:b/>
          <w:bCs/>
          <w:szCs w:val="21"/>
        </w:rPr>
      </w:pPr>
    </w:p>
    <w:tbl>
      <w:tblPr>
        <w:tblStyle w:val="63"/>
        <w:tblW w:w="4998" w:type="pct"/>
        <w:tblInd w:w="0" w:type="dxa"/>
        <w:tblLayout w:type="autofit"/>
        <w:tblCellMar>
          <w:top w:w="0" w:type="dxa"/>
          <w:left w:w="108" w:type="dxa"/>
          <w:bottom w:w="0" w:type="dxa"/>
          <w:right w:w="108" w:type="dxa"/>
        </w:tblCellMar>
      </w:tblPr>
      <w:tblGrid>
        <w:gridCol w:w="1445"/>
        <w:gridCol w:w="1585"/>
        <w:gridCol w:w="5688"/>
      </w:tblGrid>
      <w:tr w14:paraId="10128ABD">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D8776">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序号</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0752">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对接方</w:t>
            </w:r>
          </w:p>
        </w:tc>
        <w:tc>
          <w:tcPr>
            <w:tcW w:w="1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973B">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接口</w:t>
            </w:r>
          </w:p>
        </w:tc>
      </w:tr>
      <w:tr w14:paraId="61E8B988">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0AFE">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A0CB1">
            <w:pPr>
              <w:widowControl/>
              <w:jc w:val="center"/>
              <w:textAlignment w:val="center"/>
              <w:rPr>
                <w:rFonts w:ascii="宋体" w:hAnsi="宋体" w:cs="宋体"/>
                <w:color w:val="000000"/>
                <w:sz w:val="22"/>
              </w:rPr>
            </w:pPr>
            <w:r>
              <w:rPr>
                <w:rFonts w:hint="eastAsia" w:ascii="宋体" w:hAnsi="宋体" w:cs="宋体"/>
                <w:color w:val="000000"/>
                <w:kern w:val="0"/>
                <w:sz w:val="22"/>
                <w:lang w:bidi="ar"/>
              </w:rPr>
              <w:t>阿凡达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红葫芦</w:t>
            </w: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6D3A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产废企业信息接口</w:t>
            </w:r>
          </w:p>
        </w:tc>
      </w:tr>
      <w:tr w14:paraId="74669F52">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C980">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85C2">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FCC7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收运联单信息接口</w:t>
            </w:r>
          </w:p>
        </w:tc>
      </w:tr>
      <w:tr w14:paraId="5C0160B8">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4F51">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B1AC5">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C35B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转出联单信息接口</w:t>
            </w:r>
          </w:p>
        </w:tc>
      </w:tr>
      <w:tr w14:paraId="5A2FDC83">
        <w:tblPrEx>
          <w:tblCellMar>
            <w:top w:w="0" w:type="dxa"/>
            <w:left w:w="108" w:type="dxa"/>
            <w:bottom w:w="0" w:type="dxa"/>
            <w:right w:w="108" w:type="dxa"/>
          </w:tblCellMar>
        </w:tblPrEx>
        <w:trPr>
          <w:trHeight w:val="29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4654">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BD016">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113C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自利用处置记录信息接口</w:t>
            </w:r>
          </w:p>
        </w:tc>
      </w:tr>
      <w:tr w14:paraId="6D4EE30F">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C54">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6CBE">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A96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库存信息接口</w:t>
            </w:r>
          </w:p>
        </w:tc>
      </w:tr>
      <w:tr w14:paraId="593180D0">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338">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B6045">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53AD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服务记录信息接口</w:t>
            </w:r>
          </w:p>
        </w:tc>
      </w:tr>
      <w:tr w14:paraId="6F38080D">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B654">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55AC">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999D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收运合同信息接口</w:t>
            </w:r>
          </w:p>
        </w:tc>
      </w:tr>
      <w:tr w14:paraId="2E101918">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1FD3">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0D18">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FE1A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服务合同信息接口</w:t>
            </w:r>
          </w:p>
        </w:tc>
      </w:tr>
      <w:tr w14:paraId="2DBF390B">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2126">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F806">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795A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司机信息接口</w:t>
            </w:r>
          </w:p>
        </w:tc>
      </w:tr>
      <w:tr w14:paraId="5EC578E2">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D628">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EB8D4">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8684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车辆信息接口</w:t>
            </w:r>
          </w:p>
        </w:tc>
      </w:tr>
      <w:tr w14:paraId="5E4186F5">
        <w:tblPrEx>
          <w:tblCellMar>
            <w:top w:w="0" w:type="dxa"/>
            <w:left w:w="108" w:type="dxa"/>
            <w:bottom w:w="0" w:type="dxa"/>
            <w:right w:w="108" w:type="dxa"/>
          </w:tblCellMar>
        </w:tblPrEx>
        <w:trPr>
          <w:trHeight w:val="280" w:hRule="atLeast"/>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4307">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F8A2A">
            <w:pPr>
              <w:jc w:val="center"/>
              <w:rPr>
                <w:rFonts w:ascii="宋体" w:hAnsi="宋体" w:cs="宋体"/>
                <w:color w:val="000000"/>
                <w:sz w:val="22"/>
              </w:rPr>
            </w:pPr>
          </w:p>
        </w:tc>
        <w:tc>
          <w:tcPr>
            <w:tcW w:w="19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211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车辆定位数据接口</w:t>
            </w:r>
          </w:p>
        </w:tc>
      </w:tr>
    </w:tbl>
    <w:p w14:paraId="47F9BF76">
      <w:pPr>
        <w:spacing w:line="360" w:lineRule="auto"/>
        <w:outlineLvl w:val="0"/>
        <w:rPr>
          <w:rFonts w:ascii="宋体" w:hAnsi="宋体" w:cs="宋体"/>
          <w:b/>
          <w:sz w:val="36"/>
          <w:szCs w:val="36"/>
        </w:rPr>
      </w:pPr>
    </w:p>
    <w:p w14:paraId="257F6385">
      <w:pPr>
        <w:spacing w:line="360" w:lineRule="auto"/>
        <w:jc w:val="center"/>
        <w:outlineLvl w:val="0"/>
        <w:rPr>
          <w:rFonts w:hint="eastAsia" w:ascii="宋体" w:hAnsi="宋体" w:cs="宋体"/>
          <w:b/>
          <w:sz w:val="36"/>
          <w:szCs w:val="36"/>
        </w:rPr>
      </w:pPr>
    </w:p>
    <w:p w14:paraId="2B2A06F3">
      <w:pPr>
        <w:spacing w:line="360" w:lineRule="auto"/>
        <w:jc w:val="center"/>
        <w:outlineLvl w:val="0"/>
        <w:rPr>
          <w:rFonts w:hint="eastAsia" w:ascii="宋体" w:hAnsi="宋体" w:cs="宋体"/>
          <w:b/>
          <w:sz w:val="36"/>
          <w:szCs w:val="36"/>
        </w:rPr>
      </w:pPr>
    </w:p>
    <w:p w14:paraId="28744A56">
      <w:pPr>
        <w:spacing w:line="360" w:lineRule="auto"/>
        <w:jc w:val="center"/>
        <w:outlineLvl w:val="0"/>
        <w:rPr>
          <w:rFonts w:hint="eastAsia" w:ascii="宋体" w:hAnsi="宋体" w:cs="宋体"/>
          <w:b/>
          <w:sz w:val="36"/>
          <w:szCs w:val="36"/>
        </w:rPr>
      </w:pPr>
    </w:p>
    <w:p w14:paraId="52C685C3">
      <w:pPr>
        <w:spacing w:line="360" w:lineRule="auto"/>
        <w:jc w:val="center"/>
        <w:outlineLvl w:val="0"/>
        <w:rPr>
          <w:rFonts w:hint="eastAsia" w:ascii="宋体" w:hAnsi="宋体" w:cs="宋体"/>
          <w:b/>
          <w:sz w:val="36"/>
          <w:szCs w:val="36"/>
        </w:rPr>
      </w:pPr>
    </w:p>
    <w:p w14:paraId="283F3E71">
      <w:pPr>
        <w:spacing w:line="360" w:lineRule="auto"/>
        <w:jc w:val="center"/>
        <w:outlineLvl w:val="0"/>
        <w:rPr>
          <w:rFonts w:hint="eastAsia" w:ascii="宋体" w:hAnsi="宋体" w:cs="宋体"/>
          <w:b/>
          <w:sz w:val="36"/>
          <w:szCs w:val="36"/>
        </w:rPr>
      </w:pPr>
    </w:p>
    <w:p w14:paraId="3CFE848F">
      <w:pPr>
        <w:spacing w:line="360" w:lineRule="auto"/>
        <w:jc w:val="center"/>
        <w:outlineLvl w:val="0"/>
        <w:rPr>
          <w:rFonts w:hint="eastAsia" w:ascii="宋体" w:hAnsi="宋体" w:cs="宋体"/>
          <w:b/>
          <w:sz w:val="36"/>
          <w:szCs w:val="36"/>
        </w:rPr>
      </w:pPr>
    </w:p>
    <w:p w14:paraId="61A7DB3D">
      <w:pPr>
        <w:spacing w:line="360" w:lineRule="auto"/>
        <w:jc w:val="center"/>
        <w:outlineLvl w:val="0"/>
        <w:rPr>
          <w:rFonts w:hint="eastAsia" w:ascii="宋体" w:hAnsi="宋体" w:cs="宋体"/>
          <w:b/>
          <w:sz w:val="36"/>
          <w:szCs w:val="36"/>
        </w:rPr>
      </w:pPr>
    </w:p>
    <w:p w14:paraId="67858F94">
      <w:pPr>
        <w:spacing w:line="360" w:lineRule="auto"/>
        <w:jc w:val="center"/>
        <w:outlineLvl w:val="0"/>
        <w:rPr>
          <w:rFonts w:hint="eastAsia" w:ascii="宋体" w:hAnsi="宋体" w:cs="宋体"/>
          <w:b/>
          <w:sz w:val="36"/>
          <w:szCs w:val="36"/>
        </w:rPr>
      </w:pPr>
    </w:p>
    <w:p w14:paraId="1A418C33">
      <w:pPr>
        <w:spacing w:line="360" w:lineRule="auto"/>
        <w:jc w:val="center"/>
        <w:outlineLvl w:val="0"/>
        <w:rPr>
          <w:rFonts w:hint="eastAsia" w:ascii="宋体" w:hAnsi="宋体" w:cs="宋体"/>
          <w:b/>
          <w:sz w:val="36"/>
          <w:szCs w:val="36"/>
        </w:rPr>
      </w:pPr>
    </w:p>
    <w:p w14:paraId="30C8A03C">
      <w:pPr>
        <w:spacing w:line="360" w:lineRule="auto"/>
        <w:jc w:val="both"/>
        <w:outlineLvl w:val="0"/>
        <w:rPr>
          <w:rFonts w:hint="eastAsia" w:ascii="宋体" w:hAnsi="宋体" w:cs="宋体"/>
          <w:b/>
          <w:sz w:val="36"/>
          <w:szCs w:val="36"/>
        </w:rPr>
      </w:pPr>
    </w:p>
    <w:p w14:paraId="7AE66387">
      <w:pPr>
        <w:pStyle w:val="80"/>
        <w:rPr>
          <w:rFonts w:hint="eastAsia" w:ascii="宋体" w:hAnsi="宋体" w:cs="宋体"/>
          <w:b/>
          <w:sz w:val="36"/>
          <w:szCs w:val="36"/>
        </w:rPr>
      </w:pPr>
    </w:p>
    <w:p w14:paraId="06C6FD94">
      <w:pPr>
        <w:pStyle w:val="80"/>
        <w:rPr>
          <w:rFonts w:hint="eastAsia" w:ascii="宋体" w:hAnsi="宋体" w:cs="宋体"/>
          <w:b/>
          <w:sz w:val="36"/>
          <w:szCs w:val="36"/>
        </w:rPr>
      </w:pPr>
    </w:p>
    <w:p w14:paraId="1EEF7D30">
      <w:pPr>
        <w:pStyle w:val="80"/>
        <w:rPr>
          <w:rFonts w:hint="eastAsia" w:ascii="宋体" w:hAnsi="宋体" w:cs="宋体"/>
          <w:b/>
          <w:sz w:val="36"/>
          <w:szCs w:val="36"/>
        </w:rPr>
      </w:pPr>
    </w:p>
    <w:p w14:paraId="59F93E3E">
      <w:pPr>
        <w:pStyle w:val="80"/>
        <w:rPr>
          <w:rFonts w:hint="eastAsia" w:ascii="宋体" w:hAnsi="宋体" w:cs="宋体"/>
          <w:b/>
          <w:sz w:val="36"/>
          <w:szCs w:val="36"/>
        </w:rPr>
      </w:pPr>
    </w:p>
    <w:p w14:paraId="03216B80">
      <w:pPr>
        <w:pStyle w:val="80"/>
        <w:rPr>
          <w:rFonts w:hint="eastAsia" w:ascii="宋体" w:hAnsi="宋体" w:cs="宋体"/>
          <w:b/>
          <w:sz w:val="36"/>
          <w:szCs w:val="36"/>
        </w:rPr>
      </w:pPr>
    </w:p>
    <w:p w14:paraId="3694D204">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74" w:name="_Toc184310335"/>
      <w:bookmarkEnd w:id="74"/>
      <w:bookmarkStart w:id="75" w:name="_Toc184310284"/>
      <w:bookmarkEnd w:id="75"/>
      <w:bookmarkStart w:id="76" w:name="_Toc184313305"/>
      <w:bookmarkEnd w:id="76"/>
      <w:bookmarkStart w:id="77" w:name="_Toc184314424"/>
      <w:bookmarkEnd w:id="77"/>
      <w:bookmarkStart w:id="78" w:name="_Toc184310337"/>
      <w:bookmarkEnd w:id="78"/>
      <w:bookmarkStart w:id="79" w:name="_Toc184308058"/>
      <w:bookmarkEnd w:id="79"/>
      <w:bookmarkStart w:id="80" w:name="_Toc184310339"/>
      <w:bookmarkEnd w:id="80"/>
      <w:bookmarkStart w:id="81" w:name="_Toc184308076"/>
      <w:bookmarkEnd w:id="81"/>
      <w:bookmarkStart w:id="82" w:name="_Toc184314435"/>
      <w:bookmarkEnd w:id="82"/>
      <w:bookmarkStart w:id="83" w:name="_Toc184313241"/>
      <w:bookmarkEnd w:id="83"/>
      <w:bookmarkStart w:id="84" w:name="_Toc184314412"/>
      <w:bookmarkEnd w:id="84"/>
      <w:bookmarkStart w:id="85" w:name="_Toc184314441"/>
      <w:bookmarkEnd w:id="85"/>
      <w:bookmarkStart w:id="86" w:name="_Toc184313239"/>
      <w:bookmarkEnd w:id="86"/>
      <w:bookmarkStart w:id="87" w:name="_Toc184310327"/>
      <w:bookmarkEnd w:id="87"/>
      <w:bookmarkStart w:id="88" w:name="_Toc184313238"/>
      <w:bookmarkEnd w:id="88"/>
      <w:bookmarkStart w:id="89" w:name="_Toc184310301"/>
      <w:bookmarkEnd w:id="89"/>
      <w:bookmarkStart w:id="90" w:name="_Toc184313271"/>
      <w:bookmarkEnd w:id="90"/>
      <w:bookmarkStart w:id="91" w:name="_Toc184314432"/>
      <w:bookmarkEnd w:id="91"/>
      <w:bookmarkStart w:id="92" w:name="_Toc184313303"/>
      <w:bookmarkEnd w:id="92"/>
      <w:bookmarkStart w:id="93" w:name="_Toc184314437"/>
      <w:bookmarkEnd w:id="93"/>
      <w:bookmarkStart w:id="94" w:name="_Toc184314463"/>
      <w:bookmarkEnd w:id="94"/>
      <w:bookmarkStart w:id="95" w:name="_Toc184310274"/>
      <w:bookmarkEnd w:id="95"/>
      <w:bookmarkStart w:id="96" w:name="_Toc184308087"/>
      <w:bookmarkEnd w:id="96"/>
      <w:bookmarkStart w:id="97" w:name="_Toc184310298"/>
      <w:bookmarkEnd w:id="97"/>
      <w:bookmarkStart w:id="98" w:name="_Toc184310323"/>
      <w:bookmarkEnd w:id="98"/>
      <w:bookmarkStart w:id="99" w:name="_Toc184312132"/>
      <w:bookmarkEnd w:id="99"/>
      <w:bookmarkStart w:id="100" w:name="_Toc184310295"/>
      <w:bookmarkEnd w:id="100"/>
      <w:bookmarkStart w:id="101" w:name="_Toc184313284"/>
      <w:bookmarkEnd w:id="101"/>
      <w:bookmarkStart w:id="102" w:name="_Toc184314423"/>
      <w:bookmarkEnd w:id="102"/>
      <w:bookmarkStart w:id="103" w:name="_Toc184313293"/>
      <w:bookmarkEnd w:id="103"/>
      <w:bookmarkStart w:id="104" w:name="_Toc184312126"/>
      <w:bookmarkEnd w:id="104"/>
      <w:bookmarkStart w:id="105" w:name="_Toc184308082"/>
      <w:bookmarkEnd w:id="105"/>
      <w:bookmarkStart w:id="106" w:name="_Toc184312100"/>
      <w:bookmarkEnd w:id="106"/>
      <w:bookmarkStart w:id="107" w:name="_Toc184310286"/>
      <w:bookmarkEnd w:id="107"/>
      <w:bookmarkStart w:id="108" w:name="_Toc184310309"/>
      <w:bookmarkEnd w:id="108"/>
      <w:bookmarkStart w:id="109" w:name="_Toc184313287"/>
      <w:bookmarkEnd w:id="109"/>
      <w:bookmarkStart w:id="110" w:name="_Toc184313259"/>
      <w:bookmarkEnd w:id="110"/>
      <w:bookmarkStart w:id="111" w:name="_Toc184314433"/>
      <w:bookmarkEnd w:id="111"/>
      <w:bookmarkStart w:id="112" w:name="_Toc184314466"/>
      <w:bookmarkEnd w:id="112"/>
      <w:bookmarkStart w:id="113" w:name="_Toc184308105"/>
      <w:bookmarkEnd w:id="113"/>
      <w:bookmarkStart w:id="114" w:name="_Toc184314465"/>
      <w:bookmarkEnd w:id="114"/>
      <w:bookmarkStart w:id="115" w:name="_Toc184314475"/>
      <w:bookmarkEnd w:id="115"/>
      <w:bookmarkStart w:id="116" w:name="_Toc184313248"/>
      <w:bookmarkEnd w:id="116"/>
      <w:bookmarkStart w:id="117" w:name="_Toc184313298"/>
      <w:bookmarkEnd w:id="117"/>
      <w:bookmarkStart w:id="118" w:name="_Toc184308074"/>
      <w:bookmarkEnd w:id="118"/>
      <w:bookmarkStart w:id="119" w:name="_Toc184308044"/>
      <w:bookmarkEnd w:id="119"/>
      <w:bookmarkStart w:id="120" w:name="_Toc184308091"/>
      <w:bookmarkEnd w:id="120"/>
      <w:bookmarkStart w:id="121" w:name="_Toc184313307"/>
      <w:bookmarkEnd w:id="121"/>
      <w:bookmarkStart w:id="122" w:name="_Toc184313279"/>
      <w:bookmarkEnd w:id="122"/>
      <w:bookmarkStart w:id="123" w:name="_Toc184313300"/>
      <w:bookmarkEnd w:id="123"/>
      <w:bookmarkStart w:id="124" w:name="_Toc184308106"/>
      <w:bookmarkEnd w:id="124"/>
      <w:bookmarkStart w:id="125" w:name="_Toc184313282"/>
      <w:bookmarkEnd w:id="125"/>
      <w:bookmarkStart w:id="126" w:name="_Toc184308040"/>
      <w:bookmarkEnd w:id="126"/>
      <w:bookmarkStart w:id="127" w:name="_Toc184308047"/>
      <w:bookmarkEnd w:id="127"/>
      <w:bookmarkStart w:id="128" w:name="_Toc184314464"/>
      <w:bookmarkEnd w:id="128"/>
      <w:bookmarkStart w:id="129" w:name="_Toc184312129"/>
      <w:bookmarkEnd w:id="129"/>
      <w:bookmarkStart w:id="130" w:name="_Toc184310281"/>
      <w:bookmarkEnd w:id="130"/>
      <w:bookmarkStart w:id="131" w:name="_Toc184314430"/>
      <w:bookmarkEnd w:id="131"/>
      <w:bookmarkStart w:id="132" w:name="_Toc184312118"/>
      <w:bookmarkEnd w:id="132"/>
      <w:bookmarkStart w:id="133" w:name="_Toc184313265"/>
      <w:bookmarkEnd w:id="133"/>
      <w:bookmarkStart w:id="134" w:name="_Toc184313262"/>
      <w:bookmarkEnd w:id="134"/>
      <w:bookmarkStart w:id="135" w:name="_Toc184312099"/>
      <w:bookmarkEnd w:id="135"/>
      <w:bookmarkStart w:id="136" w:name="_Toc184314410"/>
      <w:bookmarkEnd w:id="136"/>
      <w:bookmarkStart w:id="137" w:name="_Toc184310325"/>
      <w:bookmarkEnd w:id="137"/>
      <w:bookmarkStart w:id="138" w:name="_Toc184314474"/>
      <w:bookmarkEnd w:id="138"/>
      <w:bookmarkStart w:id="139" w:name="_Toc184312124"/>
      <w:bookmarkEnd w:id="139"/>
      <w:bookmarkStart w:id="140" w:name="_Toc184314476"/>
      <w:bookmarkEnd w:id="140"/>
      <w:bookmarkStart w:id="141" w:name="_Toc184313297"/>
      <w:bookmarkEnd w:id="141"/>
      <w:bookmarkStart w:id="142" w:name="_Toc184308081"/>
      <w:bookmarkEnd w:id="142"/>
      <w:bookmarkStart w:id="143" w:name="_Toc184312090"/>
      <w:bookmarkEnd w:id="143"/>
      <w:bookmarkStart w:id="144" w:name="_Toc184308046"/>
      <w:bookmarkEnd w:id="144"/>
      <w:bookmarkStart w:id="145" w:name="_Toc184314419"/>
      <w:bookmarkEnd w:id="145"/>
      <w:bookmarkStart w:id="146" w:name="_Toc184310292"/>
      <w:bookmarkEnd w:id="146"/>
      <w:bookmarkStart w:id="147" w:name="_Toc184313253"/>
      <w:bookmarkEnd w:id="147"/>
      <w:bookmarkStart w:id="148" w:name="_Toc184308102"/>
      <w:bookmarkEnd w:id="148"/>
      <w:bookmarkStart w:id="149" w:name="_Toc184308099"/>
      <w:bookmarkEnd w:id="149"/>
      <w:bookmarkStart w:id="150" w:name="_Toc184308045"/>
      <w:bookmarkEnd w:id="150"/>
      <w:bookmarkStart w:id="151" w:name="_Toc184308089"/>
      <w:bookmarkEnd w:id="151"/>
      <w:bookmarkStart w:id="152" w:name="_Toc184313301"/>
      <w:bookmarkEnd w:id="152"/>
      <w:bookmarkStart w:id="153" w:name="_Toc184312127"/>
      <w:bookmarkEnd w:id="153"/>
      <w:bookmarkStart w:id="154" w:name="_Toc184310307"/>
      <w:bookmarkEnd w:id="154"/>
      <w:bookmarkStart w:id="155" w:name="_Toc184308065"/>
      <w:bookmarkEnd w:id="155"/>
      <w:bookmarkStart w:id="156" w:name="_Toc184308077"/>
      <w:bookmarkEnd w:id="156"/>
      <w:bookmarkStart w:id="157" w:name="_Toc184312093"/>
      <w:bookmarkEnd w:id="157"/>
      <w:bookmarkStart w:id="158" w:name="_Toc184310297"/>
      <w:bookmarkEnd w:id="158"/>
      <w:bookmarkStart w:id="159" w:name="_Toc184314411"/>
      <w:bookmarkEnd w:id="159"/>
      <w:bookmarkStart w:id="160" w:name="_Toc184312139"/>
      <w:bookmarkEnd w:id="160"/>
      <w:bookmarkStart w:id="161" w:name="_Toc184312088"/>
      <w:bookmarkEnd w:id="161"/>
      <w:bookmarkStart w:id="162" w:name="_Toc184312071"/>
      <w:bookmarkEnd w:id="162"/>
      <w:bookmarkStart w:id="163" w:name="_Toc184310288"/>
      <w:bookmarkEnd w:id="163"/>
      <w:bookmarkStart w:id="164" w:name="_Toc184314468"/>
      <w:bookmarkEnd w:id="164"/>
      <w:bookmarkStart w:id="165" w:name="_Toc184313269"/>
      <w:bookmarkEnd w:id="165"/>
      <w:bookmarkStart w:id="166" w:name="_Toc184313310"/>
      <w:bookmarkEnd w:id="166"/>
      <w:bookmarkStart w:id="167" w:name="_Toc184312109"/>
      <w:bookmarkEnd w:id="167"/>
      <w:bookmarkStart w:id="168" w:name="_Toc184308096"/>
      <w:bookmarkEnd w:id="168"/>
      <w:bookmarkStart w:id="169" w:name="_Toc184312107"/>
      <w:bookmarkEnd w:id="169"/>
      <w:bookmarkStart w:id="170" w:name="_Toc184314469"/>
      <w:bookmarkEnd w:id="170"/>
      <w:bookmarkStart w:id="171" w:name="_Toc184314461"/>
      <w:bookmarkEnd w:id="171"/>
      <w:bookmarkStart w:id="172" w:name="_Toc184308049"/>
      <w:bookmarkEnd w:id="172"/>
      <w:bookmarkStart w:id="173" w:name="_Toc184313240"/>
      <w:bookmarkEnd w:id="173"/>
      <w:bookmarkStart w:id="174" w:name="_Toc184308063"/>
      <w:bookmarkEnd w:id="174"/>
      <w:bookmarkStart w:id="175" w:name="_Toc184314450"/>
      <w:bookmarkEnd w:id="175"/>
      <w:bookmarkStart w:id="176" w:name="_Toc184312089"/>
      <w:bookmarkEnd w:id="176"/>
      <w:bookmarkStart w:id="177" w:name="_Toc184308079"/>
      <w:bookmarkEnd w:id="177"/>
      <w:bookmarkStart w:id="178" w:name="_Toc184314422"/>
      <w:bookmarkEnd w:id="178"/>
      <w:bookmarkStart w:id="179" w:name="_Toc184313257"/>
      <w:bookmarkEnd w:id="179"/>
      <w:bookmarkStart w:id="180" w:name="_Toc184312113"/>
      <w:bookmarkEnd w:id="180"/>
      <w:bookmarkStart w:id="181" w:name="_Toc184308095"/>
      <w:bookmarkEnd w:id="181"/>
      <w:bookmarkStart w:id="182" w:name="_Toc184310310"/>
      <w:bookmarkEnd w:id="182"/>
      <w:bookmarkStart w:id="183" w:name="_Toc184312084"/>
      <w:bookmarkEnd w:id="183"/>
      <w:bookmarkStart w:id="184" w:name="_Toc184312074"/>
      <w:bookmarkEnd w:id="184"/>
      <w:bookmarkStart w:id="185" w:name="_Toc184312104"/>
      <w:bookmarkEnd w:id="185"/>
      <w:bookmarkStart w:id="186" w:name="_Toc184313256"/>
      <w:bookmarkEnd w:id="186"/>
      <w:bookmarkStart w:id="187" w:name="_Toc184314454"/>
      <w:bookmarkEnd w:id="187"/>
      <w:bookmarkStart w:id="188" w:name="_Toc184310285"/>
      <w:bookmarkEnd w:id="188"/>
      <w:bookmarkStart w:id="189" w:name="_Toc184314415"/>
      <w:bookmarkEnd w:id="189"/>
      <w:bookmarkStart w:id="190" w:name="_Toc184312123"/>
      <w:bookmarkEnd w:id="190"/>
      <w:bookmarkStart w:id="191" w:name="_Toc184310296"/>
      <w:bookmarkEnd w:id="191"/>
      <w:bookmarkStart w:id="192" w:name="_Toc184308101"/>
      <w:bookmarkEnd w:id="192"/>
      <w:bookmarkStart w:id="193" w:name="_Toc184312122"/>
      <w:bookmarkEnd w:id="193"/>
      <w:bookmarkStart w:id="194" w:name="_Toc184310300"/>
      <w:bookmarkEnd w:id="194"/>
      <w:bookmarkStart w:id="195" w:name="_Toc184310291"/>
      <w:bookmarkEnd w:id="195"/>
      <w:bookmarkStart w:id="196" w:name="_Toc184310326"/>
      <w:bookmarkEnd w:id="196"/>
      <w:bookmarkStart w:id="197" w:name="_Toc184313264"/>
      <w:bookmarkEnd w:id="197"/>
      <w:bookmarkStart w:id="198" w:name="_Toc184308072"/>
      <w:bookmarkEnd w:id="198"/>
      <w:bookmarkStart w:id="199" w:name="_Toc184310311"/>
      <w:bookmarkEnd w:id="199"/>
      <w:bookmarkStart w:id="200" w:name="_Toc184313308"/>
      <w:bookmarkEnd w:id="200"/>
      <w:bookmarkStart w:id="201" w:name="_Toc184310330"/>
      <w:bookmarkEnd w:id="201"/>
      <w:bookmarkStart w:id="202" w:name="_Toc184308067"/>
      <w:bookmarkEnd w:id="202"/>
      <w:bookmarkStart w:id="203" w:name="_Toc184308092"/>
      <w:bookmarkEnd w:id="203"/>
      <w:bookmarkStart w:id="204" w:name="_Toc184310317"/>
      <w:bookmarkEnd w:id="204"/>
      <w:bookmarkStart w:id="205" w:name="_Toc184314462"/>
      <w:bookmarkEnd w:id="205"/>
      <w:bookmarkStart w:id="206" w:name="_Toc184313280"/>
      <w:bookmarkEnd w:id="206"/>
      <w:bookmarkStart w:id="207" w:name="_Toc184314439"/>
      <w:bookmarkEnd w:id="207"/>
      <w:bookmarkStart w:id="208" w:name="_Toc184308075"/>
      <w:bookmarkEnd w:id="208"/>
      <w:bookmarkStart w:id="209" w:name="_Toc184314440"/>
      <w:bookmarkEnd w:id="209"/>
      <w:bookmarkStart w:id="210" w:name="_Toc184308043"/>
      <w:bookmarkEnd w:id="210"/>
      <w:bookmarkStart w:id="211" w:name="_Toc184310321"/>
      <w:bookmarkEnd w:id="211"/>
      <w:bookmarkStart w:id="212" w:name="_Toc184312073"/>
      <w:bookmarkEnd w:id="212"/>
      <w:bookmarkStart w:id="213" w:name="_Toc184310316"/>
      <w:bookmarkEnd w:id="213"/>
      <w:bookmarkStart w:id="214" w:name="_Toc184312076"/>
      <w:bookmarkEnd w:id="214"/>
      <w:bookmarkStart w:id="215" w:name="_Toc184313247"/>
      <w:bookmarkEnd w:id="215"/>
      <w:bookmarkStart w:id="216" w:name="_Toc184312095"/>
      <w:bookmarkEnd w:id="216"/>
      <w:bookmarkStart w:id="217" w:name="_Toc184313266"/>
      <w:bookmarkEnd w:id="217"/>
      <w:bookmarkStart w:id="218" w:name="_Toc184312098"/>
      <w:bookmarkEnd w:id="218"/>
      <w:bookmarkStart w:id="219" w:name="_Toc184314438"/>
      <w:bookmarkEnd w:id="219"/>
      <w:bookmarkStart w:id="220" w:name="_Toc184310340"/>
      <w:bookmarkEnd w:id="220"/>
      <w:bookmarkStart w:id="221" w:name="_Toc184312068"/>
      <w:bookmarkEnd w:id="221"/>
      <w:bookmarkStart w:id="222" w:name="_Toc184312121"/>
      <w:bookmarkEnd w:id="222"/>
      <w:bookmarkStart w:id="223" w:name="_Toc184310280"/>
      <w:bookmarkEnd w:id="223"/>
      <w:bookmarkStart w:id="224" w:name="_Toc184312096"/>
      <w:bookmarkEnd w:id="224"/>
      <w:bookmarkStart w:id="225" w:name="_Toc184308108"/>
      <w:bookmarkEnd w:id="225"/>
      <w:bookmarkStart w:id="226" w:name="_Toc184313296"/>
      <w:bookmarkEnd w:id="226"/>
      <w:bookmarkStart w:id="227" w:name="_Toc184308093"/>
      <w:bookmarkEnd w:id="227"/>
      <w:bookmarkStart w:id="228" w:name="_Toc184310303"/>
      <w:bookmarkEnd w:id="228"/>
      <w:bookmarkStart w:id="229" w:name="_Toc184312092"/>
      <w:bookmarkEnd w:id="229"/>
      <w:bookmarkStart w:id="230" w:name="_Toc184308057"/>
      <w:bookmarkEnd w:id="230"/>
      <w:bookmarkStart w:id="231" w:name="_Toc184314427"/>
      <w:bookmarkEnd w:id="231"/>
      <w:bookmarkStart w:id="232" w:name="_Toc184314452"/>
      <w:bookmarkEnd w:id="232"/>
      <w:bookmarkStart w:id="233" w:name="_Toc184308068"/>
      <w:bookmarkEnd w:id="233"/>
      <w:bookmarkStart w:id="234" w:name="_Toc184313295"/>
      <w:bookmarkEnd w:id="234"/>
      <w:bookmarkStart w:id="235" w:name="_Toc184314413"/>
      <w:bookmarkEnd w:id="235"/>
      <w:bookmarkStart w:id="236" w:name="_Toc184310308"/>
      <w:bookmarkEnd w:id="236"/>
      <w:bookmarkStart w:id="237" w:name="_Toc184312110"/>
      <w:bookmarkEnd w:id="237"/>
      <w:bookmarkStart w:id="238" w:name="_Toc184313242"/>
      <w:bookmarkEnd w:id="238"/>
      <w:bookmarkStart w:id="239" w:name="_Toc184313273"/>
      <w:bookmarkEnd w:id="239"/>
      <w:bookmarkStart w:id="240" w:name="_Toc184308066"/>
      <w:bookmarkEnd w:id="240"/>
      <w:bookmarkStart w:id="241" w:name="_Toc184308086"/>
      <w:bookmarkEnd w:id="241"/>
      <w:bookmarkStart w:id="242" w:name="_Toc184312067"/>
      <w:bookmarkEnd w:id="242"/>
      <w:bookmarkStart w:id="243" w:name="_Toc184310273"/>
      <w:bookmarkEnd w:id="243"/>
      <w:bookmarkStart w:id="244" w:name="_Toc184310313"/>
      <w:bookmarkEnd w:id="244"/>
      <w:bookmarkStart w:id="245" w:name="_Toc184308098"/>
      <w:bookmarkEnd w:id="245"/>
      <w:bookmarkStart w:id="246" w:name="_Toc184312130"/>
      <w:bookmarkEnd w:id="246"/>
      <w:bookmarkStart w:id="247" w:name="_Toc184310304"/>
      <w:bookmarkEnd w:id="247"/>
      <w:bookmarkStart w:id="248" w:name="_Toc184310305"/>
      <w:bookmarkEnd w:id="248"/>
      <w:bookmarkStart w:id="249" w:name="_Toc184310334"/>
      <w:bookmarkEnd w:id="249"/>
      <w:bookmarkStart w:id="250" w:name="_Toc184313275"/>
      <w:bookmarkEnd w:id="250"/>
      <w:bookmarkStart w:id="251" w:name="_Toc184310336"/>
      <w:bookmarkEnd w:id="251"/>
      <w:bookmarkStart w:id="252" w:name="_Toc184312133"/>
      <w:bookmarkEnd w:id="252"/>
      <w:bookmarkStart w:id="253" w:name="_Toc184313255"/>
      <w:bookmarkEnd w:id="253"/>
      <w:bookmarkStart w:id="254" w:name="_Toc184312116"/>
      <w:bookmarkEnd w:id="254"/>
      <w:bookmarkStart w:id="255" w:name="_Toc184312131"/>
      <w:bookmarkEnd w:id="255"/>
      <w:bookmarkStart w:id="256" w:name="_Toc184310319"/>
      <w:bookmarkEnd w:id="256"/>
      <w:bookmarkStart w:id="257" w:name="_Toc184314459"/>
      <w:bookmarkEnd w:id="257"/>
      <w:bookmarkStart w:id="258" w:name="_Toc184310332"/>
      <w:bookmarkEnd w:id="258"/>
      <w:bookmarkStart w:id="259" w:name="_Toc184308062"/>
      <w:bookmarkEnd w:id="259"/>
      <w:bookmarkStart w:id="260" w:name="_Toc184314456"/>
      <w:bookmarkEnd w:id="260"/>
      <w:bookmarkStart w:id="261" w:name="_Toc184313277"/>
      <w:bookmarkEnd w:id="261"/>
      <w:bookmarkStart w:id="262" w:name="_Toc184314420"/>
      <w:bookmarkEnd w:id="262"/>
      <w:bookmarkStart w:id="263" w:name="_Toc184312075"/>
      <w:bookmarkEnd w:id="263"/>
      <w:bookmarkStart w:id="264" w:name="_Toc184313291"/>
      <w:bookmarkEnd w:id="264"/>
      <w:bookmarkStart w:id="265" w:name="_Toc184312094"/>
      <w:bookmarkEnd w:id="265"/>
      <w:bookmarkStart w:id="266" w:name="_Toc184314449"/>
      <w:bookmarkEnd w:id="266"/>
      <w:bookmarkStart w:id="267" w:name="_Toc184308054"/>
      <w:bookmarkEnd w:id="267"/>
      <w:bookmarkStart w:id="268" w:name="_Toc184314477"/>
      <w:bookmarkEnd w:id="268"/>
      <w:bookmarkStart w:id="269" w:name="_Toc184312106"/>
      <w:bookmarkEnd w:id="269"/>
      <w:bookmarkStart w:id="270" w:name="_Toc184314416"/>
      <w:bookmarkEnd w:id="270"/>
      <w:bookmarkStart w:id="271" w:name="_Toc184308050"/>
      <w:bookmarkEnd w:id="271"/>
      <w:bookmarkStart w:id="272" w:name="_Toc184312135"/>
      <w:bookmarkEnd w:id="272"/>
      <w:bookmarkStart w:id="273" w:name="_Toc184314448"/>
      <w:bookmarkEnd w:id="273"/>
      <w:bookmarkStart w:id="274" w:name="_Toc184313254"/>
      <w:bookmarkEnd w:id="274"/>
      <w:bookmarkStart w:id="275" w:name="_Toc184313250"/>
      <w:bookmarkEnd w:id="275"/>
      <w:bookmarkStart w:id="276" w:name="_Toc184314426"/>
      <w:bookmarkEnd w:id="276"/>
      <w:bookmarkStart w:id="277" w:name="_Toc184308107"/>
      <w:bookmarkEnd w:id="277"/>
      <w:bookmarkStart w:id="278" w:name="_Toc184312136"/>
      <w:bookmarkEnd w:id="278"/>
      <w:bookmarkStart w:id="279" w:name="_Toc184314482"/>
      <w:bookmarkEnd w:id="279"/>
      <w:bookmarkStart w:id="280" w:name="_Toc184310338"/>
      <w:bookmarkEnd w:id="280"/>
      <w:bookmarkStart w:id="281" w:name="_Toc184314418"/>
      <w:bookmarkEnd w:id="281"/>
      <w:bookmarkStart w:id="282" w:name="_Toc184314471"/>
      <w:bookmarkEnd w:id="282"/>
      <w:bookmarkStart w:id="283" w:name="_Toc184314428"/>
      <w:bookmarkEnd w:id="283"/>
      <w:bookmarkStart w:id="284" w:name="_Toc184313276"/>
      <w:bookmarkEnd w:id="284"/>
      <w:bookmarkStart w:id="285" w:name="_Toc184314481"/>
      <w:bookmarkEnd w:id="285"/>
      <w:bookmarkStart w:id="286" w:name="_Toc184308064"/>
      <w:bookmarkEnd w:id="286"/>
      <w:bookmarkStart w:id="287" w:name="_Toc184308080"/>
      <w:bookmarkEnd w:id="287"/>
      <w:bookmarkStart w:id="288" w:name="_Toc184308084"/>
      <w:bookmarkEnd w:id="288"/>
      <w:bookmarkStart w:id="289" w:name="_Toc184313304"/>
      <w:bookmarkEnd w:id="289"/>
      <w:bookmarkStart w:id="290" w:name="_Toc184310306"/>
      <w:bookmarkEnd w:id="290"/>
      <w:bookmarkStart w:id="291" w:name="_Toc184314421"/>
      <w:bookmarkEnd w:id="291"/>
      <w:bookmarkStart w:id="292" w:name="_Toc184310342"/>
      <w:bookmarkEnd w:id="292"/>
      <w:bookmarkStart w:id="293" w:name="_Toc184308097"/>
      <w:bookmarkEnd w:id="293"/>
      <w:bookmarkStart w:id="294" w:name="_Toc184312128"/>
      <w:bookmarkEnd w:id="294"/>
      <w:bookmarkStart w:id="295" w:name="_Toc184313245"/>
      <w:bookmarkEnd w:id="295"/>
      <w:bookmarkStart w:id="296" w:name="_Toc184312108"/>
      <w:bookmarkEnd w:id="296"/>
      <w:bookmarkStart w:id="297" w:name="_Toc184312103"/>
      <w:bookmarkEnd w:id="297"/>
      <w:bookmarkStart w:id="298" w:name="_Toc184312101"/>
      <w:bookmarkEnd w:id="298"/>
      <w:bookmarkStart w:id="299" w:name="_Toc184313292"/>
      <w:bookmarkEnd w:id="299"/>
      <w:bookmarkStart w:id="300" w:name="_Toc184314431"/>
      <w:bookmarkEnd w:id="300"/>
      <w:bookmarkStart w:id="301" w:name="_Toc184314443"/>
      <w:bookmarkEnd w:id="301"/>
      <w:bookmarkStart w:id="302" w:name="_Toc184312082"/>
      <w:bookmarkEnd w:id="302"/>
      <w:bookmarkStart w:id="303" w:name="_Toc184308078"/>
      <w:bookmarkEnd w:id="303"/>
      <w:bookmarkStart w:id="304" w:name="_Toc184314451"/>
      <w:bookmarkEnd w:id="304"/>
      <w:bookmarkStart w:id="305" w:name="_Toc184312119"/>
      <w:bookmarkEnd w:id="305"/>
      <w:bookmarkStart w:id="306" w:name="_Toc184312102"/>
      <w:bookmarkEnd w:id="306"/>
      <w:bookmarkStart w:id="307" w:name="_Toc184310343"/>
      <w:bookmarkEnd w:id="307"/>
      <w:bookmarkStart w:id="308" w:name="_Toc184312091"/>
      <w:bookmarkEnd w:id="308"/>
      <w:bookmarkStart w:id="309" w:name="_Toc184310278"/>
      <w:bookmarkEnd w:id="309"/>
      <w:bookmarkStart w:id="310" w:name="_Toc184312069"/>
      <w:bookmarkEnd w:id="310"/>
      <w:bookmarkStart w:id="311" w:name="_Toc184308083"/>
      <w:bookmarkEnd w:id="311"/>
      <w:bookmarkStart w:id="312" w:name="_Toc184314414"/>
      <w:bookmarkEnd w:id="312"/>
      <w:bookmarkStart w:id="313" w:name="_Toc184312097"/>
      <w:bookmarkEnd w:id="313"/>
      <w:bookmarkStart w:id="314" w:name="_Toc184313299"/>
      <w:bookmarkEnd w:id="314"/>
      <w:bookmarkStart w:id="315" w:name="_Toc184312137"/>
      <w:bookmarkEnd w:id="315"/>
      <w:bookmarkStart w:id="316" w:name="_Toc184314460"/>
      <w:bookmarkEnd w:id="316"/>
      <w:bookmarkStart w:id="317" w:name="_Toc184310331"/>
      <w:bookmarkEnd w:id="317"/>
      <w:bookmarkStart w:id="318" w:name="_Toc184312105"/>
      <w:bookmarkEnd w:id="318"/>
      <w:bookmarkStart w:id="319" w:name="_Toc184312115"/>
      <w:bookmarkEnd w:id="319"/>
      <w:bookmarkStart w:id="320" w:name="_Toc184314457"/>
      <w:bookmarkEnd w:id="320"/>
      <w:bookmarkStart w:id="321" w:name="_Toc184313249"/>
      <w:bookmarkEnd w:id="321"/>
      <w:bookmarkStart w:id="322" w:name="_Toc184310277"/>
      <w:bookmarkEnd w:id="322"/>
      <w:bookmarkStart w:id="323" w:name="_Toc184310272"/>
      <w:bookmarkEnd w:id="323"/>
      <w:bookmarkStart w:id="324" w:name="_Toc184312070"/>
      <w:bookmarkEnd w:id="324"/>
      <w:bookmarkStart w:id="325" w:name="_Toc184312120"/>
      <w:bookmarkEnd w:id="325"/>
      <w:bookmarkStart w:id="326" w:name="_Toc184308103"/>
      <w:bookmarkEnd w:id="326"/>
      <w:bookmarkStart w:id="327" w:name="_Toc184310341"/>
      <w:bookmarkEnd w:id="327"/>
      <w:bookmarkStart w:id="328" w:name="_Toc184314447"/>
      <w:bookmarkEnd w:id="328"/>
      <w:bookmarkStart w:id="329" w:name="_Toc184308038"/>
      <w:bookmarkEnd w:id="329"/>
      <w:bookmarkStart w:id="330" w:name="_Toc184308071"/>
      <w:bookmarkEnd w:id="330"/>
      <w:bookmarkStart w:id="331" w:name="_Toc184308037"/>
      <w:bookmarkEnd w:id="331"/>
      <w:bookmarkStart w:id="332" w:name="_Toc184312125"/>
      <w:bookmarkEnd w:id="332"/>
      <w:bookmarkStart w:id="333" w:name="_Toc184308052"/>
      <w:bookmarkEnd w:id="333"/>
      <w:bookmarkStart w:id="334" w:name="_Toc184314472"/>
      <w:bookmarkEnd w:id="334"/>
      <w:bookmarkStart w:id="335" w:name="_Toc184310318"/>
      <w:bookmarkEnd w:id="335"/>
      <w:bookmarkStart w:id="336" w:name="_Toc184312078"/>
      <w:bookmarkEnd w:id="336"/>
      <w:bookmarkStart w:id="337" w:name="_Toc184314445"/>
      <w:bookmarkEnd w:id="337"/>
      <w:bookmarkStart w:id="338" w:name="_Toc184313283"/>
      <w:bookmarkEnd w:id="338"/>
      <w:bookmarkStart w:id="339" w:name="_Toc184312086"/>
      <w:bookmarkEnd w:id="339"/>
      <w:bookmarkStart w:id="340" w:name="_Toc184314446"/>
      <w:bookmarkEnd w:id="340"/>
      <w:bookmarkStart w:id="341" w:name="_Toc184313261"/>
      <w:bookmarkEnd w:id="341"/>
      <w:bookmarkStart w:id="342" w:name="_Toc184313272"/>
      <w:bookmarkEnd w:id="342"/>
      <w:bookmarkStart w:id="343" w:name="_Toc184312081"/>
      <w:bookmarkEnd w:id="343"/>
      <w:bookmarkStart w:id="344" w:name="_Toc184308069"/>
      <w:bookmarkEnd w:id="344"/>
      <w:bookmarkStart w:id="345" w:name="_Toc184310275"/>
      <w:bookmarkEnd w:id="345"/>
      <w:bookmarkStart w:id="346" w:name="_Toc184313244"/>
      <w:bookmarkEnd w:id="346"/>
      <w:bookmarkStart w:id="347" w:name="_Toc184308036"/>
      <w:bookmarkEnd w:id="347"/>
      <w:bookmarkStart w:id="348" w:name="_Toc184308041"/>
      <w:bookmarkEnd w:id="348"/>
      <w:bookmarkStart w:id="349" w:name="_Toc184312112"/>
      <w:bookmarkEnd w:id="349"/>
      <w:bookmarkStart w:id="350" w:name="_Toc184310290"/>
      <w:bookmarkEnd w:id="350"/>
      <w:bookmarkStart w:id="351" w:name="_Toc184314444"/>
      <w:bookmarkEnd w:id="351"/>
      <w:bookmarkStart w:id="352" w:name="_Toc184314455"/>
      <w:bookmarkEnd w:id="352"/>
      <w:bookmarkStart w:id="353" w:name="_Toc184310333"/>
      <w:bookmarkEnd w:id="353"/>
      <w:bookmarkStart w:id="354" w:name="_Toc184310282"/>
      <w:bookmarkEnd w:id="354"/>
      <w:bookmarkStart w:id="355" w:name="_Toc184312138"/>
      <w:bookmarkEnd w:id="355"/>
      <w:bookmarkStart w:id="356" w:name="_Toc184314436"/>
      <w:bookmarkEnd w:id="356"/>
      <w:bookmarkStart w:id="357" w:name="_Toc184308059"/>
      <w:bookmarkEnd w:id="357"/>
      <w:bookmarkStart w:id="358" w:name="_Toc184310302"/>
      <w:bookmarkEnd w:id="358"/>
      <w:bookmarkStart w:id="359" w:name="_Toc184313286"/>
      <w:bookmarkEnd w:id="359"/>
      <w:bookmarkStart w:id="360" w:name="_Toc184314473"/>
      <w:bookmarkEnd w:id="360"/>
      <w:bookmarkStart w:id="361" w:name="_Toc184314425"/>
      <w:bookmarkEnd w:id="361"/>
      <w:bookmarkStart w:id="362" w:name="_Toc184308100"/>
      <w:bookmarkEnd w:id="362"/>
      <w:bookmarkStart w:id="363" w:name="_Toc184313251"/>
      <w:bookmarkEnd w:id="363"/>
      <w:bookmarkStart w:id="364" w:name="_Toc184312080"/>
      <w:bookmarkEnd w:id="364"/>
      <w:bookmarkStart w:id="365" w:name="_Toc184310299"/>
      <w:bookmarkEnd w:id="365"/>
      <w:bookmarkStart w:id="366" w:name="_Toc184314467"/>
      <w:bookmarkEnd w:id="366"/>
      <w:bookmarkStart w:id="367" w:name="_Toc184314442"/>
      <w:bookmarkEnd w:id="367"/>
      <w:bookmarkStart w:id="368" w:name="_Toc184314478"/>
      <w:bookmarkEnd w:id="368"/>
      <w:bookmarkStart w:id="369" w:name="_Toc184310344"/>
      <w:bookmarkEnd w:id="369"/>
      <w:bookmarkStart w:id="370" w:name="_Toc184313289"/>
      <w:bookmarkEnd w:id="370"/>
      <w:bookmarkStart w:id="371" w:name="_Toc184312079"/>
      <w:bookmarkEnd w:id="371"/>
      <w:bookmarkStart w:id="372" w:name="_Toc184308085"/>
      <w:bookmarkEnd w:id="372"/>
      <w:bookmarkStart w:id="373" w:name="_Toc184308073"/>
      <w:bookmarkEnd w:id="373"/>
      <w:bookmarkStart w:id="374" w:name="_Toc184312134"/>
      <w:bookmarkEnd w:id="374"/>
      <w:bookmarkStart w:id="375" w:name="_Toc184313268"/>
      <w:bookmarkEnd w:id="375"/>
      <w:bookmarkStart w:id="376" w:name="_Toc184314480"/>
      <w:bookmarkEnd w:id="376"/>
      <w:bookmarkStart w:id="377" w:name="_Toc184308053"/>
      <w:bookmarkEnd w:id="377"/>
      <w:bookmarkStart w:id="378" w:name="_Toc184313306"/>
      <w:bookmarkEnd w:id="378"/>
      <w:bookmarkStart w:id="379" w:name="_Toc184314470"/>
      <w:bookmarkEnd w:id="379"/>
      <w:bookmarkStart w:id="380" w:name="_Toc184310329"/>
      <w:bookmarkEnd w:id="380"/>
      <w:bookmarkStart w:id="381" w:name="_Toc184312083"/>
      <w:bookmarkEnd w:id="381"/>
      <w:bookmarkStart w:id="382" w:name="_Toc184314458"/>
      <w:bookmarkEnd w:id="382"/>
      <w:bookmarkStart w:id="383" w:name="_Toc184314434"/>
      <w:bookmarkEnd w:id="383"/>
      <w:bookmarkStart w:id="384" w:name="_Toc184308048"/>
      <w:bookmarkEnd w:id="384"/>
      <w:bookmarkStart w:id="385" w:name="_Toc184310314"/>
      <w:bookmarkEnd w:id="385"/>
      <w:bookmarkStart w:id="386" w:name="_Toc184313278"/>
      <w:bookmarkEnd w:id="386"/>
      <w:bookmarkStart w:id="387" w:name="_Toc184313252"/>
      <w:bookmarkEnd w:id="387"/>
      <w:bookmarkStart w:id="388" w:name="_Toc184314429"/>
      <w:bookmarkEnd w:id="388"/>
      <w:bookmarkStart w:id="389" w:name="_Toc184312114"/>
      <w:bookmarkEnd w:id="389"/>
      <w:bookmarkStart w:id="390" w:name="_Toc184313267"/>
      <w:bookmarkEnd w:id="390"/>
      <w:bookmarkStart w:id="391" w:name="_Toc184313260"/>
      <w:bookmarkEnd w:id="391"/>
      <w:bookmarkStart w:id="392" w:name="_Toc184310287"/>
      <w:bookmarkEnd w:id="392"/>
      <w:bookmarkStart w:id="393" w:name="_Toc184312072"/>
      <w:bookmarkEnd w:id="393"/>
      <w:bookmarkStart w:id="394" w:name="_Toc184314453"/>
      <w:bookmarkEnd w:id="394"/>
      <w:bookmarkStart w:id="395" w:name="_Toc184312087"/>
      <w:bookmarkEnd w:id="395"/>
      <w:bookmarkStart w:id="396" w:name="_Toc184313285"/>
      <w:bookmarkEnd w:id="396"/>
      <w:bookmarkStart w:id="397" w:name="_Toc184313246"/>
      <w:bookmarkEnd w:id="397"/>
      <w:bookmarkStart w:id="398" w:name="_Toc184308055"/>
      <w:bookmarkEnd w:id="398"/>
      <w:bookmarkStart w:id="399" w:name="_Toc184314479"/>
      <w:bookmarkEnd w:id="399"/>
      <w:bookmarkStart w:id="400" w:name="_Toc184310322"/>
      <w:bookmarkEnd w:id="400"/>
      <w:bookmarkStart w:id="401" w:name="_Toc184308051"/>
      <w:bookmarkEnd w:id="401"/>
      <w:bookmarkStart w:id="402" w:name="_Toc184312077"/>
      <w:bookmarkEnd w:id="402"/>
      <w:bookmarkStart w:id="403" w:name="_Toc184310279"/>
      <w:bookmarkEnd w:id="403"/>
      <w:bookmarkStart w:id="404" w:name="_Toc184313288"/>
      <w:bookmarkEnd w:id="404"/>
      <w:bookmarkStart w:id="405" w:name="_Toc184314417"/>
      <w:bookmarkEnd w:id="405"/>
      <w:bookmarkStart w:id="406" w:name="_Toc184310276"/>
      <w:bookmarkEnd w:id="406"/>
      <w:bookmarkStart w:id="407" w:name="_Toc184313263"/>
      <w:bookmarkEnd w:id="407"/>
      <w:bookmarkStart w:id="408" w:name="_Toc184308056"/>
      <w:bookmarkEnd w:id="408"/>
      <w:bookmarkStart w:id="409" w:name="_Toc184308094"/>
      <w:bookmarkEnd w:id="409"/>
      <w:bookmarkStart w:id="410" w:name="_Toc184313258"/>
      <w:bookmarkEnd w:id="410"/>
      <w:bookmarkStart w:id="411" w:name="_Toc184308039"/>
      <w:bookmarkEnd w:id="411"/>
      <w:bookmarkStart w:id="412" w:name="_Toc184312117"/>
      <w:bookmarkEnd w:id="412"/>
      <w:bookmarkStart w:id="413" w:name="_Toc184308090"/>
      <w:bookmarkEnd w:id="413"/>
      <w:bookmarkStart w:id="414" w:name="_Toc184310328"/>
      <w:bookmarkEnd w:id="414"/>
      <w:bookmarkStart w:id="415" w:name="_Toc184313274"/>
      <w:bookmarkEnd w:id="415"/>
      <w:bookmarkStart w:id="416" w:name="_Toc184313302"/>
      <w:bookmarkEnd w:id="416"/>
      <w:bookmarkStart w:id="417" w:name="_Toc184310293"/>
      <w:bookmarkEnd w:id="417"/>
      <w:bookmarkStart w:id="418" w:name="_Toc184313243"/>
      <w:bookmarkEnd w:id="418"/>
      <w:bookmarkStart w:id="419" w:name="_Toc184310315"/>
      <w:bookmarkEnd w:id="419"/>
      <w:bookmarkStart w:id="420" w:name="_Toc184310294"/>
      <w:bookmarkEnd w:id="420"/>
      <w:bookmarkStart w:id="421" w:name="_Toc184308070"/>
      <w:bookmarkEnd w:id="421"/>
      <w:bookmarkStart w:id="422" w:name="_Toc184313281"/>
      <w:bookmarkEnd w:id="422"/>
      <w:bookmarkStart w:id="423" w:name="_Toc184308060"/>
      <w:bookmarkEnd w:id="423"/>
      <w:bookmarkStart w:id="424" w:name="_Toc184308088"/>
      <w:bookmarkEnd w:id="424"/>
      <w:bookmarkStart w:id="425" w:name="_Toc184313294"/>
      <w:bookmarkEnd w:id="425"/>
      <w:bookmarkStart w:id="426" w:name="_Toc184312111"/>
      <w:bookmarkEnd w:id="426"/>
      <w:bookmarkStart w:id="427" w:name="_Toc184313290"/>
      <w:bookmarkEnd w:id="427"/>
      <w:bookmarkStart w:id="428" w:name="_Toc184310289"/>
      <w:bookmarkEnd w:id="428"/>
      <w:bookmarkStart w:id="429" w:name="_Toc184313270"/>
      <w:bookmarkEnd w:id="429"/>
      <w:bookmarkStart w:id="430" w:name="_Toc184308104"/>
      <w:bookmarkEnd w:id="430"/>
      <w:bookmarkStart w:id="431" w:name="_Toc184310283"/>
      <w:bookmarkEnd w:id="431"/>
      <w:bookmarkStart w:id="432" w:name="_Toc184313309"/>
      <w:bookmarkEnd w:id="432"/>
      <w:bookmarkStart w:id="433" w:name="_Toc184308061"/>
      <w:bookmarkEnd w:id="433"/>
      <w:bookmarkStart w:id="434" w:name="_Toc184312085"/>
      <w:bookmarkEnd w:id="434"/>
      <w:bookmarkStart w:id="435" w:name="_Toc184310312"/>
      <w:bookmarkEnd w:id="435"/>
      <w:bookmarkStart w:id="436" w:name="_Toc184308042"/>
      <w:bookmarkEnd w:id="436"/>
      <w:bookmarkStart w:id="437" w:name="_Toc184310320"/>
      <w:bookmarkEnd w:id="437"/>
      <w:bookmarkStart w:id="438" w:name="_Toc184310324"/>
      <w:bookmarkEnd w:id="438"/>
      <w:r>
        <w:rPr>
          <w:rFonts w:hint="eastAsia" w:ascii="宋体" w:hAnsi="宋体" w:cs="宋体"/>
          <w:b/>
          <w:sz w:val="36"/>
          <w:szCs w:val="36"/>
        </w:rPr>
        <w:t>评标办法</w:t>
      </w:r>
      <w:bookmarkEnd w:id="45"/>
    </w:p>
    <w:p w14:paraId="72A12372">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164"/>
        <w:gridCol w:w="6499"/>
        <w:gridCol w:w="808"/>
        <w:gridCol w:w="718"/>
      </w:tblGrid>
      <w:tr w14:paraId="0EAE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4" w:type="dxa"/>
            <w:vAlign w:val="center"/>
          </w:tcPr>
          <w:p w14:paraId="4B03B75A">
            <w:pPr>
              <w:widowControl/>
              <w:jc w:val="center"/>
              <w:rPr>
                <w:rFonts w:hAnsi="宋体" w:cs="宋体"/>
              </w:rPr>
            </w:pPr>
            <w:r>
              <w:rPr>
                <w:rFonts w:hint="eastAsia" w:hAnsi="宋体" w:cs="宋体"/>
              </w:rPr>
              <w:t>序号</w:t>
            </w:r>
          </w:p>
        </w:tc>
        <w:tc>
          <w:tcPr>
            <w:tcW w:w="1164" w:type="dxa"/>
            <w:vAlign w:val="center"/>
          </w:tcPr>
          <w:p w14:paraId="6198A2E9">
            <w:pPr>
              <w:widowControl/>
              <w:jc w:val="center"/>
              <w:rPr>
                <w:rFonts w:hAnsi="宋体" w:cs="宋体"/>
              </w:rPr>
            </w:pPr>
            <w:r>
              <w:rPr>
                <w:rFonts w:hint="eastAsia" w:hAnsi="宋体" w:cs="宋体"/>
              </w:rPr>
              <w:t>评分项目</w:t>
            </w:r>
          </w:p>
        </w:tc>
        <w:tc>
          <w:tcPr>
            <w:tcW w:w="6499" w:type="dxa"/>
            <w:vAlign w:val="center"/>
          </w:tcPr>
          <w:p w14:paraId="5FD26887">
            <w:pPr>
              <w:widowControl/>
              <w:rPr>
                <w:rFonts w:hAnsi="宋体" w:cs="宋体"/>
              </w:rPr>
            </w:pPr>
            <w:r>
              <w:rPr>
                <w:rFonts w:hint="eastAsia" w:hAnsi="宋体" w:cs="宋体"/>
              </w:rPr>
              <w:t>评审细则</w:t>
            </w:r>
          </w:p>
        </w:tc>
        <w:tc>
          <w:tcPr>
            <w:tcW w:w="808" w:type="dxa"/>
            <w:vAlign w:val="center"/>
          </w:tcPr>
          <w:p w14:paraId="1263A273">
            <w:pPr>
              <w:widowControl/>
              <w:jc w:val="center"/>
              <w:rPr>
                <w:rFonts w:hAnsi="宋体" w:cs="宋体"/>
              </w:rPr>
            </w:pPr>
            <w:r>
              <w:rPr>
                <w:rFonts w:hint="eastAsia" w:hAnsi="宋体" w:cs="宋体"/>
              </w:rPr>
              <w:t>分值</w:t>
            </w:r>
          </w:p>
        </w:tc>
        <w:tc>
          <w:tcPr>
            <w:tcW w:w="718" w:type="dxa"/>
            <w:vAlign w:val="center"/>
          </w:tcPr>
          <w:p w14:paraId="2C07ED48">
            <w:pPr>
              <w:widowControl/>
              <w:jc w:val="center"/>
              <w:rPr>
                <w:rFonts w:hAnsi="宋体" w:cs="宋体"/>
              </w:rPr>
            </w:pPr>
          </w:p>
        </w:tc>
      </w:tr>
      <w:tr w14:paraId="0E32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6979A0CC">
            <w:pPr>
              <w:widowControl/>
              <w:rPr>
                <w:rFonts w:hint="eastAsia" w:hAnsi="宋体" w:cs="宋体"/>
              </w:rPr>
            </w:pPr>
            <w:r>
              <w:rPr>
                <w:rFonts w:hint="eastAsia" w:hAnsi="宋体" w:cs="宋体"/>
              </w:rPr>
              <w:t>1</w:t>
            </w:r>
          </w:p>
        </w:tc>
        <w:tc>
          <w:tcPr>
            <w:tcW w:w="1164" w:type="dxa"/>
            <w:vAlign w:val="center"/>
          </w:tcPr>
          <w:p w14:paraId="26BD20D4">
            <w:pPr>
              <w:widowControl/>
              <w:rPr>
                <w:rFonts w:hint="eastAsia" w:hAnsi="宋体" w:cs="宋体"/>
              </w:rPr>
            </w:pPr>
            <w:r>
              <w:rPr>
                <w:rFonts w:hint="eastAsia" w:hAnsi="宋体" w:cs="宋体"/>
              </w:rPr>
              <w:t>技术参数</w:t>
            </w:r>
          </w:p>
        </w:tc>
        <w:tc>
          <w:tcPr>
            <w:tcW w:w="6499" w:type="dxa"/>
            <w:vAlign w:val="center"/>
          </w:tcPr>
          <w:p w14:paraId="556C7FE4">
            <w:pPr>
              <w:widowControl/>
              <w:rPr>
                <w:rFonts w:hint="eastAsia" w:hAnsi="宋体" w:cs="宋体"/>
              </w:rPr>
            </w:pPr>
            <w:r>
              <w:rPr>
                <w:rFonts w:hint="eastAsia" w:hAnsi="宋体" w:cs="宋体"/>
              </w:rPr>
              <w:t>评委根据投标人所提供的软硬件设备的技术参数进行评审，产品技术参数、功能完全符合招标要求的得</w:t>
            </w:r>
            <w:r>
              <w:rPr>
                <w:rFonts w:hint="eastAsia" w:hAnsi="宋体" w:cs="宋体"/>
                <w:lang w:val="en-US" w:eastAsia="zh-CN"/>
              </w:rPr>
              <w:t>23</w:t>
            </w:r>
            <w:r>
              <w:rPr>
                <w:rFonts w:hint="eastAsia" w:hAnsi="宋体" w:cs="宋体"/>
              </w:rPr>
              <w:t>分。带“★”号的是关键技术参数，每负偏离一项扣2分，未标注“★”的技术参数，每负偏离一项扣1分，扣完为止。标有“▲”指标未响应或不满足的，将按无效标处理。</w:t>
            </w:r>
          </w:p>
        </w:tc>
        <w:tc>
          <w:tcPr>
            <w:tcW w:w="808" w:type="dxa"/>
            <w:vAlign w:val="center"/>
          </w:tcPr>
          <w:p w14:paraId="076219C1">
            <w:pPr>
              <w:widowControl/>
              <w:rPr>
                <w:rFonts w:hint="eastAsia" w:hAnsi="宋体" w:cs="宋体"/>
              </w:rPr>
            </w:pPr>
            <w:r>
              <w:rPr>
                <w:rFonts w:hint="eastAsia" w:hAnsi="宋体" w:cs="宋体"/>
                <w:lang w:val="en-US" w:eastAsia="zh-CN"/>
              </w:rPr>
              <w:t>23</w:t>
            </w:r>
            <w:r>
              <w:rPr>
                <w:rFonts w:hint="eastAsia" w:hAnsi="宋体" w:cs="宋体"/>
              </w:rPr>
              <w:t>分</w:t>
            </w:r>
          </w:p>
        </w:tc>
        <w:tc>
          <w:tcPr>
            <w:tcW w:w="718" w:type="dxa"/>
            <w:vAlign w:val="center"/>
          </w:tcPr>
          <w:p w14:paraId="2BF7BB3B">
            <w:pPr>
              <w:widowControl/>
              <w:rPr>
                <w:rFonts w:hint="eastAsia" w:hAnsi="宋体" w:cs="宋体"/>
              </w:rPr>
            </w:pPr>
            <w:r>
              <w:rPr>
                <w:rFonts w:hint="eastAsia" w:hAnsi="宋体" w:cs="宋体"/>
              </w:rPr>
              <w:t>客观评审</w:t>
            </w:r>
          </w:p>
        </w:tc>
      </w:tr>
      <w:tr w14:paraId="7E1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Align w:val="center"/>
          </w:tcPr>
          <w:p w14:paraId="2A3C620D">
            <w:pPr>
              <w:widowControl/>
              <w:rPr>
                <w:rFonts w:hint="eastAsia" w:hAnsi="宋体" w:cs="宋体"/>
                <w:lang w:eastAsia="zh-CN"/>
              </w:rPr>
            </w:pPr>
            <w:r>
              <w:rPr>
                <w:rFonts w:hint="eastAsia" w:hAnsi="宋体" w:cs="宋体"/>
                <w:lang w:val="en-US" w:eastAsia="zh-CN"/>
              </w:rPr>
              <w:t>2</w:t>
            </w:r>
          </w:p>
        </w:tc>
        <w:tc>
          <w:tcPr>
            <w:tcW w:w="1164" w:type="dxa"/>
            <w:vAlign w:val="center"/>
          </w:tcPr>
          <w:p w14:paraId="33F6B1D1">
            <w:pPr>
              <w:widowControl/>
              <w:rPr>
                <w:rFonts w:hint="eastAsia" w:hAnsi="宋体" w:cs="宋体"/>
              </w:rPr>
            </w:pPr>
            <w:r>
              <w:rPr>
                <w:rFonts w:hint="eastAsia" w:hAnsi="宋体" w:cs="宋体"/>
              </w:rPr>
              <w:t>项目总体架构</w:t>
            </w:r>
          </w:p>
        </w:tc>
        <w:tc>
          <w:tcPr>
            <w:tcW w:w="6499" w:type="dxa"/>
            <w:vAlign w:val="center"/>
          </w:tcPr>
          <w:p w14:paraId="499B4329">
            <w:pPr>
              <w:widowControl/>
              <w:rPr>
                <w:rFonts w:hint="eastAsia" w:hAnsi="宋体" w:cs="宋体"/>
              </w:rPr>
            </w:pPr>
            <w:r>
              <w:rPr>
                <w:rFonts w:hint="eastAsia" w:hAnsi="宋体" w:cs="宋体"/>
              </w:rPr>
              <w:t>根据投标人对系统总体架构设计、网络拓扑、技术路线</w:t>
            </w:r>
            <w:r>
              <w:rPr>
                <w:rFonts w:hint="eastAsia" w:hAnsi="宋体" w:cs="宋体"/>
                <w:lang w:eastAsia="zh-CN"/>
              </w:rPr>
              <w:t>、</w:t>
            </w:r>
            <w:r>
              <w:rPr>
                <w:rFonts w:hint="eastAsia" w:hAnsi="宋体" w:cs="宋体"/>
              </w:rPr>
              <w:t>业务架构、业务流程设计方案进行评议</w:t>
            </w:r>
            <w:r>
              <w:rPr>
                <w:rFonts w:hint="eastAsia" w:hAnsi="宋体" w:cs="宋体"/>
                <w:lang w:eastAsia="zh-CN"/>
              </w:rPr>
              <w:t>（包括预警平台</w:t>
            </w:r>
            <w:r>
              <w:rPr>
                <w:rFonts w:hint="eastAsia" w:ascii="宋体" w:hAnsi="宋体" w:cs="宋体"/>
                <w:color w:val="000000"/>
              </w:rPr>
              <w:t>适配升级</w:t>
            </w:r>
            <w:r>
              <w:rPr>
                <w:rFonts w:hint="eastAsia" w:hAnsi="宋体" w:cs="宋体"/>
                <w:lang w:eastAsia="zh-CN"/>
              </w:rPr>
              <w:t>、固废系统新建等）</w:t>
            </w:r>
            <w:r>
              <w:rPr>
                <w:rFonts w:hint="eastAsia" w:hAnsi="宋体" w:cs="宋体"/>
              </w:rPr>
              <w:t>：</w:t>
            </w:r>
          </w:p>
          <w:p w14:paraId="3E1DB03F">
            <w:pPr>
              <w:widowControl/>
              <w:rPr>
                <w:rFonts w:hint="eastAsia" w:hAnsi="宋体" w:cs="宋体"/>
              </w:rPr>
            </w:pPr>
            <w:r>
              <w:rPr>
                <w:rFonts w:hint="eastAsia" w:hAnsi="宋体" w:cs="宋体"/>
                <w:lang w:val="en-US" w:eastAsia="zh-CN"/>
              </w:rPr>
              <w:t>1）</w:t>
            </w:r>
            <w:r>
              <w:rPr>
                <w:rFonts w:hint="eastAsia" w:hAnsi="宋体" w:cs="宋体"/>
              </w:rPr>
              <w:t>方案内容阐述详实全面、合理，思路清晰的，针对性强的得5分。</w:t>
            </w:r>
          </w:p>
          <w:p w14:paraId="1CE839B7">
            <w:pPr>
              <w:widowControl/>
              <w:rPr>
                <w:rFonts w:hint="eastAsia" w:hAnsi="宋体" w:cs="宋体"/>
              </w:rPr>
            </w:pPr>
            <w:r>
              <w:rPr>
                <w:rFonts w:hint="eastAsia" w:hAnsi="宋体" w:cs="宋体"/>
                <w:lang w:val="en-US" w:eastAsia="zh-CN"/>
              </w:rPr>
              <w:t>2）</w:t>
            </w:r>
            <w:r>
              <w:rPr>
                <w:rFonts w:hint="eastAsia" w:hAnsi="宋体" w:cs="宋体"/>
              </w:rPr>
              <w:t>方案内容阐述</w:t>
            </w:r>
            <w:r>
              <w:rPr>
                <w:rFonts w:hint="eastAsia" w:hAnsi="宋体" w:cs="宋体"/>
                <w:lang w:eastAsia="zh-CN"/>
              </w:rPr>
              <w:t>内容一般但</w:t>
            </w:r>
            <w:r>
              <w:rPr>
                <w:rFonts w:hint="eastAsia" w:hAnsi="宋体" w:cs="宋体"/>
              </w:rPr>
              <w:t>契合项目实际情况的得4分；</w:t>
            </w:r>
          </w:p>
          <w:p w14:paraId="367F9A46">
            <w:pPr>
              <w:widowControl/>
              <w:rPr>
                <w:rFonts w:hint="eastAsia" w:hAnsi="宋体" w:cs="宋体"/>
              </w:rPr>
            </w:pPr>
            <w:r>
              <w:rPr>
                <w:rFonts w:hint="eastAsia" w:hAnsi="宋体" w:cs="宋体"/>
                <w:lang w:val="en-US" w:eastAsia="zh-CN"/>
              </w:rPr>
              <w:t>3）</w:t>
            </w:r>
            <w:r>
              <w:rPr>
                <w:rFonts w:hint="eastAsia" w:hAnsi="宋体" w:cs="宋体"/>
              </w:rPr>
              <w:t>方案内容阐述内容相对简单，存在部分的瑕疵的，得3分；</w:t>
            </w:r>
          </w:p>
          <w:p w14:paraId="1898AEC7">
            <w:pPr>
              <w:widowControl/>
              <w:rPr>
                <w:rFonts w:hint="eastAsia" w:hAnsi="宋体" w:cs="宋体"/>
              </w:rPr>
            </w:pPr>
            <w:r>
              <w:rPr>
                <w:rFonts w:hint="eastAsia" w:hAnsi="宋体" w:cs="宋体"/>
                <w:lang w:val="en-US" w:eastAsia="zh-CN"/>
              </w:rPr>
              <w:t>4）</w:t>
            </w:r>
            <w:r>
              <w:rPr>
                <w:rFonts w:hint="eastAsia" w:hAnsi="宋体" w:cs="宋体"/>
              </w:rPr>
              <w:t>方案内容阐述空泛，思路模糊的，有明显漏洞的得2分；</w:t>
            </w:r>
          </w:p>
          <w:p w14:paraId="063795A6">
            <w:pPr>
              <w:widowControl/>
              <w:rPr>
                <w:rFonts w:hint="eastAsia" w:hAnsi="宋体" w:cs="宋体"/>
              </w:rPr>
            </w:pPr>
            <w:r>
              <w:rPr>
                <w:rFonts w:hint="eastAsia" w:hAnsi="宋体" w:cs="宋体"/>
                <w:lang w:val="en-US" w:eastAsia="zh-CN"/>
              </w:rPr>
              <w:t>5）</w:t>
            </w:r>
            <w:r>
              <w:rPr>
                <w:rFonts w:hint="eastAsia" w:hAnsi="宋体" w:cs="宋体"/>
              </w:rPr>
              <w:t>设计方案忽略或未考虑系统的某些功能需求，对方案设计存在较大缺陷的得1分。</w:t>
            </w:r>
          </w:p>
          <w:p w14:paraId="2FC60F49">
            <w:pPr>
              <w:widowControl/>
              <w:rPr>
                <w:rFonts w:hint="eastAsia" w:hAnsi="宋体" w:cs="宋体"/>
              </w:rPr>
            </w:pPr>
            <w:r>
              <w:rPr>
                <w:rFonts w:hint="eastAsia" w:hAnsi="宋体" w:cs="宋体"/>
              </w:rPr>
              <w:t>未提供任何内容的不得分。</w:t>
            </w:r>
          </w:p>
        </w:tc>
        <w:tc>
          <w:tcPr>
            <w:tcW w:w="808" w:type="dxa"/>
            <w:vAlign w:val="center"/>
          </w:tcPr>
          <w:p w14:paraId="5F1A0F7B">
            <w:pPr>
              <w:widowControl/>
              <w:rPr>
                <w:rFonts w:hint="eastAsia" w:hAnsi="宋体" w:cs="宋体"/>
              </w:rPr>
            </w:pPr>
            <w:r>
              <w:rPr>
                <w:rFonts w:hint="eastAsia" w:hAnsi="宋体" w:cs="宋体"/>
                <w:lang w:val="en-US" w:eastAsia="zh-CN"/>
              </w:rPr>
              <w:t>5</w:t>
            </w:r>
            <w:r>
              <w:rPr>
                <w:rFonts w:hint="eastAsia" w:hAnsi="宋体" w:cs="宋体"/>
              </w:rPr>
              <w:t>分</w:t>
            </w:r>
          </w:p>
        </w:tc>
        <w:tc>
          <w:tcPr>
            <w:tcW w:w="718" w:type="dxa"/>
            <w:vAlign w:val="center"/>
          </w:tcPr>
          <w:p w14:paraId="66F769F7">
            <w:pPr>
              <w:widowControl/>
              <w:rPr>
                <w:rFonts w:hint="eastAsia" w:hAnsi="宋体" w:cs="宋体"/>
              </w:rPr>
            </w:pPr>
            <w:r>
              <w:rPr>
                <w:rFonts w:hint="eastAsia" w:hAnsi="宋体" w:cs="宋体"/>
              </w:rPr>
              <w:t>主观评审</w:t>
            </w:r>
          </w:p>
        </w:tc>
      </w:tr>
      <w:tr w14:paraId="7598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84" w:type="dxa"/>
            <w:vMerge w:val="restart"/>
            <w:vAlign w:val="center"/>
          </w:tcPr>
          <w:p w14:paraId="3039436F">
            <w:pPr>
              <w:widowControl/>
              <w:rPr>
                <w:rFonts w:hint="eastAsia" w:hAnsi="宋体" w:cs="宋体"/>
                <w:lang w:eastAsia="zh-CN"/>
              </w:rPr>
            </w:pPr>
            <w:r>
              <w:rPr>
                <w:rFonts w:hint="eastAsia" w:hAnsi="宋体" w:cs="宋体"/>
                <w:lang w:val="en-US" w:eastAsia="zh-CN"/>
              </w:rPr>
              <w:t>3</w:t>
            </w:r>
          </w:p>
        </w:tc>
        <w:tc>
          <w:tcPr>
            <w:tcW w:w="1164" w:type="dxa"/>
            <w:vMerge w:val="restart"/>
            <w:vAlign w:val="center"/>
          </w:tcPr>
          <w:p w14:paraId="14BBB221">
            <w:pPr>
              <w:widowControl/>
              <w:rPr>
                <w:rFonts w:hint="eastAsia" w:hAnsi="宋体" w:cs="宋体"/>
              </w:rPr>
            </w:pPr>
            <w:r>
              <w:rPr>
                <w:rFonts w:hint="eastAsia" w:hAnsi="宋体" w:cs="宋体"/>
              </w:rPr>
              <w:t>技术方案</w:t>
            </w:r>
          </w:p>
        </w:tc>
        <w:tc>
          <w:tcPr>
            <w:tcW w:w="6499" w:type="dxa"/>
            <w:vAlign w:val="center"/>
          </w:tcPr>
          <w:p w14:paraId="5FD9465C">
            <w:pPr>
              <w:widowControl/>
              <w:rPr>
                <w:rFonts w:hint="eastAsia" w:hAnsi="宋体" w:cs="宋体"/>
              </w:rPr>
            </w:pPr>
            <w:r>
              <w:rPr>
                <w:rFonts w:hint="eastAsia" w:hAnsi="宋体" w:cs="宋体"/>
              </w:rPr>
              <w:t>4.1根据投标人提供的环保预警平台改造方案进行评议，包括适配国产化操作系统、数据库、系统代码适配改造等方面：</w:t>
            </w:r>
          </w:p>
          <w:p w14:paraId="2D5CD867">
            <w:pPr>
              <w:widowControl/>
              <w:rPr>
                <w:rFonts w:hint="eastAsia" w:hAnsi="宋体" w:cs="宋体"/>
              </w:rPr>
            </w:pPr>
            <w:r>
              <w:rPr>
                <w:rFonts w:hint="eastAsia" w:hAnsi="宋体" w:cs="宋体"/>
              </w:rPr>
              <w:t>1）方案描述具体详细，与服务需求相符的得3分；</w:t>
            </w:r>
          </w:p>
          <w:p w14:paraId="792CCE54">
            <w:pPr>
              <w:widowControl/>
              <w:rPr>
                <w:rFonts w:hint="eastAsia" w:hAnsi="宋体" w:cs="宋体"/>
              </w:rPr>
            </w:pPr>
            <w:r>
              <w:rPr>
                <w:rFonts w:hint="eastAsia" w:hAnsi="宋体" w:cs="宋体"/>
              </w:rPr>
              <w:t>2）方案描述一般，部分满足本项目服务需求的得2分；</w:t>
            </w:r>
          </w:p>
          <w:p w14:paraId="1DD80D85">
            <w:pPr>
              <w:widowControl/>
              <w:rPr>
                <w:rFonts w:hint="eastAsia" w:hAnsi="宋体" w:cs="宋体"/>
              </w:rPr>
            </w:pPr>
            <w:r>
              <w:rPr>
                <w:rFonts w:hint="eastAsia" w:hAnsi="宋体" w:cs="宋体"/>
              </w:rPr>
              <w:t>3）方案描述模糊、存在较小的瑕疵的得1分；</w:t>
            </w:r>
          </w:p>
          <w:p w14:paraId="1B1F5A5D">
            <w:pPr>
              <w:widowControl/>
              <w:rPr>
                <w:rFonts w:hint="eastAsia" w:hAnsi="宋体" w:cs="宋体"/>
              </w:rPr>
            </w:pPr>
            <w:r>
              <w:rPr>
                <w:rFonts w:hint="eastAsia" w:hAnsi="宋体" w:cs="宋体"/>
              </w:rPr>
              <w:t>未提供本项内容的得分。</w:t>
            </w:r>
          </w:p>
        </w:tc>
        <w:tc>
          <w:tcPr>
            <w:tcW w:w="808" w:type="dxa"/>
            <w:vAlign w:val="center"/>
          </w:tcPr>
          <w:p w14:paraId="4D11CBD7">
            <w:pPr>
              <w:widowControl/>
              <w:rPr>
                <w:rFonts w:hint="eastAsia" w:hAnsi="宋体" w:cs="宋体"/>
              </w:rPr>
            </w:pPr>
            <w:r>
              <w:rPr>
                <w:rFonts w:hint="eastAsia" w:hAnsi="宋体" w:cs="宋体"/>
              </w:rPr>
              <w:t>3分</w:t>
            </w:r>
          </w:p>
        </w:tc>
        <w:tc>
          <w:tcPr>
            <w:tcW w:w="718" w:type="dxa"/>
            <w:vAlign w:val="center"/>
          </w:tcPr>
          <w:p w14:paraId="366E2D8E">
            <w:pPr>
              <w:widowControl/>
              <w:rPr>
                <w:rFonts w:hint="eastAsia" w:hAnsi="宋体" w:cs="宋体"/>
              </w:rPr>
            </w:pPr>
            <w:r>
              <w:rPr>
                <w:rFonts w:hint="eastAsia" w:hAnsi="宋体" w:cs="宋体"/>
              </w:rPr>
              <w:t>主观评审</w:t>
            </w:r>
          </w:p>
        </w:tc>
      </w:tr>
      <w:tr w14:paraId="0E08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vAlign w:val="center"/>
          </w:tcPr>
          <w:p w14:paraId="32E3FBDF">
            <w:pPr>
              <w:widowControl/>
              <w:rPr>
                <w:rFonts w:hint="eastAsia" w:hAnsi="宋体" w:cs="宋体"/>
              </w:rPr>
            </w:pPr>
          </w:p>
        </w:tc>
        <w:tc>
          <w:tcPr>
            <w:tcW w:w="1164" w:type="dxa"/>
            <w:vMerge w:val="continue"/>
            <w:vAlign w:val="center"/>
          </w:tcPr>
          <w:p w14:paraId="2ECFD5D7">
            <w:pPr>
              <w:widowControl/>
              <w:rPr>
                <w:rFonts w:hint="eastAsia" w:hAnsi="宋体" w:cs="宋体"/>
              </w:rPr>
            </w:pPr>
          </w:p>
        </w:tc>
        <w:tc>
          <w:tcPr>
            <w:tcW w:w="6499" w:type="dxa"/>
            <w:vAlign w:val="center"/>
          </w:tcPr>
          <w:p w14:paraId="34D78763">
            <w:pPr>
              <w:widowControl/>
              <w:rPr>
                <w:rFonts w:hint="eastAsia" w:hAnsi="宋体" w:cs="宋体"/>
              </w:rPr>
            </w:pPr>
            <w:r>
              <w:rPr>
                <w:rFonts w:hint="eastAsia" w:hAnsi="宋体" w:cs="宋体"/>
              </w:rPr>
              <w:t>4.2根据投标人提供的固废收运监管平台、固废收运服务平台的应用架构方案设计进行评议，包括监管数据展示驾驶舱、监管系统功能结构设计、服务系统运营驾驶舱、服务系统功能结构设计等方面：</w:t>
            </w:r>
          </w:p>
          <w:p w14:paraId="6DF450EC">
            <w:pPr>
              <w:widowControl/>
              <w:rPr>
                <w:rFonts w:hint="eastAsia" w:hAnsi="宋体" w:cs="宋体"/>
              </w:rPr>
            </w:pPr>
            <w:r>
              <w:rPr>
                <w:rFonts w:hint="eastAsia" w:hAnsi="宋体" w:cs="宋体"/>
              </w:rPr>
              <w:t>1）方案描述详细，与服务需求相符的得3分；</w:t>
            </w:r>
          </w:p>
          <w:p w14:paraId="2A3F1026">
            <w:pPr>
              <w:widowControl/>
              <w:rPr>
                <w:rFonts w:hint="eastAsia" w:hAnsi="宋体" w:cs="宋体"/>
              </w:rPr>
            </w:pPr>
            <w:r>
              <w:rPr>
                <w:rFonts w:hint="eastAsia" w:hAnsi="宋体" w:cs="宋体"/>
              </w:rPr>
              <w:t>2）方案内容基本合理、存在较小的瑕疵的得2分</w:t>
            </w:r>
          </w:p>
          <w:p w14:paraId="3E6B15B7">
            <w:pPr>
              <w:widowControl/>
              <w:rPr>
                <w:rFonts w:hint="eastAsia" w:hAnsi="宋体" w:cs="宋体"/>
              </w:rPr>
            </w:pPr>
            <w:r>
              <w:rPr>
                <w:rFonts w:hint="eastAsia" w:hAnsi="宋体" w:cs="宋体"/>
              </w:rPr>
              <w:t>3）方案描述模糊，存在较小的瑕疵的得1分；</w:t>
            </w:r>
          </w:p>
          <w:p w14:paraId="0B4331D0">
            <w:pPr>
              <w:widowControl/>
              <w:rPr>
                <w:rFonts w:hint="eastAsia" w:hAnsi="宋体" w:cs="宋体"/>
              </w:rPr>
            </w:pPr>
            <w:r>
              <w:rPr>
                <w:rFonts w:hint="eastAsia" w:hAnsi="宋体" w:cs="宋体"/>
              </w:rPr>
              <w:t>未提供任何内容的不得分。</w:t>
            </w:r>
          </w:p>
        </w:tc>
        <w:tc>
          <w:tcPr>
            <w:tcW w:w="808" w:type="dxa"/>
            <w:vAlign w:val="center"/>
          </w:tcPr>
          <w:p w14:paraId="3F68EA16">
            <w:pPr>
              <w:widowControl/>
              <w:rPr>
                <w:rFonts w:hint="eastAsia" w:hAnsi="宋体" w:cs="宋体"/>
              </w:rPr>
            </w:pPr>
            <w:r>
              <w:rPr>
                <w:rFonts w:hint="eastAsia" w:hAnsi="宋体" w:cs="宋体"/>
              </w:rPr>
              <w:t>3分</w:t>
            </w:r>
          </w:p>
        </w:tc>
        <w:tc>
          <w:tcPr>
            <w:tcW w:w="718" w:type="dxa"/>
            <w:vAlign w:val="center"/>
          </w:tcPr>
          <w:p w14:paraId="33AC0DA3">
            <w:pPr>
              <w:widowControl/>
              <w:rPr>
                <w:rFonts w:hint="eastAsia" w:hAnsi="宋体" w:cs="宋体"/>
              </w:rPr>
            </w:pPr>
            <w:r>
              <w:rPr>
                <w:rFonts w:hint="eastAsia" w:hAnsi="宋体" w:cs="宋体"/>
              </w:rPr>
              <w:t>主观评审</w:t>
            </w:r>
          </w:p>
        </w:tc>
      </w:tr>
      <w:tr w14:paraId="008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vAlign w:val="center"/>
          </w:tcPr>
          <w:p w14:paraId="1F9FDF28">
            <w:pPr>
              <w:widowControl/>
              <w:rPr>
                <w:rFonts w:hint="eastAsia" w:hAnsi="宋体" w:cs="宋体"/>
              </w:rPr>
            </w:pPr>
          </w:p>
        </w:tc>
        <w:tc>
          <w:tcPr>
            <w:tcW w:w="1164" w:type="dxa"/>
            <w:vMerge w:val="continue"/>
            <w:vAlign w:val="center"/>
          </w:tcPr>
          <w:p w14:paraId="1AA71EF5">
            <w:pPr>
              <w:widowControl/>
              <w:rPr>
                <w:rFonts w:hint="eastAsia" w:hAnsi="宋体" w:cs="宋体"/>
              </w:rPr>
            </w:pPr>
          </w:p>
        </w:tc>
        <w:tc>
          <w:tcPr>
            <w:tcW w:w="6499" w:type="dxa"/>
            <w:vAlign w:val="center"/>
          </w:tcPr>
          <w:p w14:paraId="1DB1E0D7">
            <w:pPr>
              <w:widowControl/>
              <w:rPr>
                <w:rFonts w:hint="eastAsia" w:hAnsi="宋体" w:cs="宋体"/>
              </w:rPr>
            </w:pPr>
            <w:r>
              <w:rPr>
                <w:rFonts w:hint="eastAsia" w:hAnsi="宋体" w:cs="宋体"/>
              </w:rPr>
              <w:t>4.3根据投标人提供的环保预警平台人工智能AI设计方案进行评议</w:t>
            </w:r>
            <w:r>
              <w:rPr>
                <w:rFonts w:hint="eastAsia" w:hAnsi="宋体" w:cs="宋体"/>
                <w:lang w:eastAsia="zh-CN"/>
              </w:rPr>
              <w:t>（</w:t>
            </w:r>
            <w:r>
              <w:rPr>
                <w:rFonts w:hint="eastAsia" w:hAnsi="宋体" w:cs="宋体"/>
              </w:rPr>
              <w:t>包括助推环保行政执法</w:t>
            </w:r>
            <w:r>
              <w:rPr>
                <w:rFonts w:hint="eastAsia" w:hAnsi="宋体" w:cs="宋体"/>
                <w:lang w:eastAsia="zh-CN"/>
              </w:rPr>
              <w:t>、</w:t>
            </w:r>
            <w:r>
              <w:rPr>
                <w:rFonts w:hint="eastAsia" w:hAnsi="宋体" w:cs="宋体"/>
              </w:rPr>
              <w:t>日常行政管理</w:t>
            </w:r>
            <w:r>
              <w:rPr>
                <w:rFonts w:hint="eastAsia" w:hAnsi="宋体" w:cs="宋体"/>
                <w:lang w:eastAsia="zh-CN"/>
              </w:rPr>
              <w:t>、</w:t>
            </w:r>
            <w:r>
              <w:rPr>
                <w:rFonts w:hint="eastAsia" w:hAnsi="宋体" w:cs="宋体"/>
              </w:rPr>
              <w:t>展示系统可以接入环保领域法律法规等方面</w:t>
            </w:r>
            <w:r>
              <w:rPr>
                <w:rFonts w:hint="eastAsia" w:hAnsi="宋体" w:cs="宋体"/>
                <w:lang w:eastAsia="zh-CN"/>
              </w:rPr>
              <w:t>）</w:t>
            </w:r>
            <w:r>
              <w:rPr>
                <w:rFonts w:hint="eastAsia" w:hAnsi="宋体" w:cs="宋体"/>
              </w:rPr>
              <w:t>：</w:t>
            </w:r>
          </w:p>
          <w:p w14:paraId="0B8A684C">
            <w:pPr>
              <w:widowControl/>
              <w:rPr>
                <w:rFonts w:hint="eastAsia" w:hAnsi="宋体" w:cs="宋体"/>
              </w:rPr>
            </w:pPr>
            <w:r>
              <w:rPr>
                <w:rFonts w:hint="eastAsia" w:hAnsi="宋体" w:cs="宋体"/>
              </w:rPr>
              <w:t>1）方案内容详实、科学，操作性强、契合项目实际情况的得3分；</w:t>
            </w:r>
          </w:p>
          <w:p w14:paraId="1C10F085">
            <w:pPr>
              <w:widowControl/>
              <w:rPr>
                <w:rFonts w:hint="eastAsia" w:hAnsi="宋体" w:cs="宋体"/>
              </w:rPr>
            </w:pPr>
            <w:r>
              <w:rPr>
                <w:rFonts w:hint="eastAsia" w:hAnsi="宋体" w:cs="宋体"/>
              </w:rPr>
              <w:t>2）方案内容编制基本完整、科学，基本吻合项目情况的得2分；</w:t>
            </w:r>
          </w:p>
          <w:p w14:paraId="42310048">
            <w:pPr>
              <w:widowControl/>
              <w:rPr>
                <w:rFonts w:hint="eastAsia" w:hAnsi="宋体" w:cs="宋体"/>
              </w:rPr>
            </w:pPr>
            <w:r>
              <w:rPr>
                <w:rFonts w:hint="eastAsia" w:hAnsi="宋体" w:cs="宋体"/>
              </w:rPr>
              <w:t>3）方案内容编制基本合理、存在较小的瑕疵的得1分</w:t>
            </w:r>
          </w:p>
          <w:p w14:paraId="14BB9361">
            <w:pPr>
              <w:widowControl/>
              <w:rPr>
                <w:rFonts w:hint="eastAsia" w:hAnsi="宋体" w:cs="宋体"/>
              </w:rPr>
            </w:pPr>
            <w:r>
              <w:rPr>
                <w:rFonts w:hint="eastAsia" w:hAnsi="宋体" w:cs="宋体"/>
              </w:rPr>
              <w:t>未提供任何内容的不得分。</w:t>
            </w:r>
          </w:p>
        </w:tc>
        <w:tc>
          <w:tcPr>
            <w:tcW w:w="808" w:type="dxa"/>
            <w:vAlign w:val="center"/>
          </w:tcPr>
          <w:p w14:paraId="3E23A716">
            <w:pPr>
              <w:widowControl/>
              <w:rPr>
                <w:rFonts w:hint="eastAsia" w:hAnsi="宋体" w:cs="宋体"/>
              </w:rPr>
            </w:pPr>
            <w:r>
              <w:rPr>
                <w:rFonts w:hint="eastAsia" w:hAnsi="宋体" w:cs="宋体"/>
              </w:rPr>
              <w:t>3分</w:t>
            </w:r>
          </w:p>
        </w:tc>
        <w:tc>
          <w:tcPr>
            <w:tcW w:w="718" w:type="dxa"/>
            <w:vAlign w:val="center"/>
          </w:tcPr>
          <w:p w14:paraId="7EDF2E1F">
            <w:pPr>
              <w:widowControl/>
              <w:rPr>
                <w:rFonts w:hint="eastAsia" w:hAnsi="宋体" w:cs="宋体"/>
              </w:rPr>
            </w:pPr>
            <w:r>
              <w:rPr>
                <w:rFonts w:hint="eastAsia" w:hAnsi="宋体" w:cs="宋体"/>
              </w:rPr>
              <w:t>主观评审</w:t>
            </w:r>
          </w:p>
        </w:tc>
      </w:tr>
      <w:tr w14:paraId="5A68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84" w:type="dxa"/>
            <w:vMerge w:val="continue"/>
            <w:vAlign w:val="center"/>
          </w:tcPr>
          <w:p w14:paraId="01283FEB">
            <w:pPr>
              <w:widowControl/>
              <w:rPr>
                <w:rFonts w:hint="eastAsia" w:hAnsi="宋体" w:cs="宋体"/>
              </w:rPr>
            </w:pPr>
          </w:p>
        </w:tc>
        <w:tc>
          <w:tcPr>
            <w:tcW w:w="1164" w:type="dxa"/>
            <w:vMerge w:val="continue"/>
            <w:vAlign w:val="center"/>
          </w:tcPr>
          <w:p w14:paraId="42A98147">
            <w:pPr>
              <w:widowControl/>
              <w:rPr>
                <w:rFonts w:hint="eastAsia" w:hAnsi="宋体" w:cs="宋体"/>
              </w:rPr>
            </w:pPr>
          </w:p>
        </w:tc>
        <w:tc>
          <w:tcPr>
            <w:tcW w:w="6499" w:type="dxa"/>
            <w:vAlign w:val="center"/>
          </w:tcPr>
          <w:p w14:paraId="416FD7F0">
            <w:pPr>
              <w:widowControl/>
              <w:rPr>
                <w:rFonts w:hint="eastAsia" w:hAnsi="宋体" w:cs="宋体"/>
                <w:lang w:val="en-US" w:eastAsia="zh-CN"/>
              </w:rPr>
            </w:pPr>
            <w:r>
              <w:rPr>
                <w:rFonts w:hint="eastAsia" w:hAnsi="宋体" w:cs="宋体"/>
              </w:rPr>
              <w:t>4.4根据投标人提供的环保预警平台数据协同设计方案进行评议</w:t>
            </w:r>
            <w:r>
              <w:rPr>
                <w:rFonts w:hint="eastAsia" w:hAnsi="宋体" w:cs="宋体"/>
                <w:lang w:eastAsia="zh-CN"/>
              </w:rPr>
              <w:t>（</w:t>
            </w:r>
            <w:r>
              <w:rPr>
                <w:rFonts w:hint="eastAsia" w:hAnsi="宋体" w:cs="宋体"/>
              </w:rPr>
              <w:t>包括精准分析潜在污染源风险</w:t>
            </w:r>
            <w:r>
              <w:rPr>
                <w:rFonts w:hint="eastAsia" w:hAnsi="宋体" w:cs="宋体"/>
                <w:lang w:eastAsia="zh-CN"/>
              </w:rPr>
              <w:t>、</w:t>
            </w:r>
            <w:r>
              <w:rPr>
                <w:rFonts w:hint="eastAsia" w:hAnsi="宋体" w:cs="宋体"/>
              </w:rPr>
              <w:t>通过数据采集收取自动生成应急方案等方面</w:t>
            </w:r>
            <w:r>
              <w:rPr>
                <w:rFonts w:hint="eastAsia" w:hAnsi="宋体" w:cs="宋体"/>
                <w:lang w:eastAsia="zh-CN"/>
              </w:rPr>
              <w:t>）：</w:t>
            </w:r>
          </w:p>
          <w:p w14:paraId="63885934">
            <w:pPr>
              <w:widowControl/>
              <w:rPr>
                <w:rFonts w:hint="eastAsia" w:hAnsi="宋体" w:cs="宋体"/>
              </w:rPr>
            </w:pPr>
            <w:r>
              <w:rPr>
                <w:rFonts w:hint="eastAsia" w:hAnsi="宋体" w:cs="宋体"/>
              </w:rPr>
              <w:t>1）方案内容详实、科学，描述清楚、结构关系清晰明了、契合项目实际情况的得3分；</w:t>
            </w:r>
          </w:p>
          <w:p w14:paraId="7B9F64E3">
            <w:pPr>
              <w:widowControl/>
              <w:rPr>
                <w:rFonts w:hint="eastAsia" w:hAnsi="宋体" w:cs="宋体"/>
              </w:rPr>
            </w:pPr>
            <w:r>
              <w:rPr>
                <w:rFonts w:hint="eastAsia" w:hAnsi="宋体" w:cs="宋体"/>
              </w:rPr>
              <w:t>2）方案内容编制基本完整、科学，描述基本符合项目情况的得2分；</w:t>
            </w:r>
          </w:p>
          <w:p w14:paraId="07D67C32">
            <w:pPr>
              <w:widowControl/>
              <w:rPr>
                <w:rFonts w:hint="eastAsia" w:hAnsi="宋体" w:cs="宋体"/>
              </w:rPr>
            </w:pPr>
            <w:r>
              <w:rPr>
                <w:rFonts w:hint="eastAsia" w:hAnsi="宋体" w:cs="宋体"/>
              </w:rPr>
              <w:t>3）方案内容编制基本合理、存在较小的瑕疵的得1分；</w:t>
            </w:r>
          </w:p>
          <w:p w14:paraId="6A93B0F2">
            <w:pPr>
              <w:widowControl/>
              <w:rPr>
                <w:rFonts w:hint="eastAsia" w:hAnsi="宋体" w:cs="宋体"/>
              </w:rPr>
            </w:pPr>
            <w:r>
              <w:rPr>
                <w:rFonts w:hint="eastAsia" w:hAnsi="宋体" w:cs="宋体"/>
              </w:rPr>
              <w:t>未提供任何内容的不得分。</w:t>
            </w:r>
          </w:p>
        </w:tc>
        <w:tc>
          <w:tcPr>
            <w:tcW w:w="808" w:type="dxa"/>
            <w:vAlign w:val="center"/>
          </w:tcPr>
          <w:p w14:paraId="0C6BE466">
            <w:pPr>
              <w:widowControl/>
              <w:rPr>
                <w:rFonts w:hint="eastAsia" w:hAnsi="宋体" w:cs="宋体"/>
              </w:rPr>
            </w:pPr>
            <w:r>
              <w:rPr>
                <w:rFonts w:hint="eastAsia" w:hAnsi="宋体" w:cs="宋体"/>
              </w:rPr>
              <w:t>3分</w:t>
            </w:r>
          </w:p>
        </w:tc>
        <w:tc>
          <w:tcPr>
            <w:tcW w:w="718" w:type="dxa"/>
            <w:vAlign w:val="center"/>
          </w:tcPr>
          <w:p w14:paraId="03B6F195">
            <w:pPr>
              <w:widowControl/>
              <w:rPr>
                <w:rFonts w:hint="eastAsia" w:hAnsi="宋体" w:cs="宋体"/>
              </w:rPr>
            </w:pPr>
            <w:r>
              <w:rPr>
                <w:rFonts w:hint="eastAsia" w:hAnsi="宋体" w:cs="宋体"/>
              </w:rPr>
              <w:t>主观评审</w:t>
            </w:r>
          </w:p>
        </w:tc>
      </w:tr>
      <w:tr w14:paraId="6AF4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4" w:type="dxa"/>
            <w:vAlign w:val="center"/>
          </w:tcPr>
          <w:p w14:paraId="424797B3">
            <w:pPr>
              <w:widowControl/>
              <w:jc w:val="center"/>
              <w:rPr>
                <w:rFonts w:hint="eastAsia" w:hAnsi="宋体" w:eastAsia="宋体" w:cs="宋体"/>
                <w:lang w:eastAsia="zh-CN"/>
              </w:rPr>
            </w:pPr>
            <w:r>
              <w:rPr>
                <w:rFonts w:hint="eastAsia" w:hAnsi="宋体" w:cs="宋体"/>
                <w:lang w:val="en-US" w:eastAsia="zh-CN"/>
              </w:rPr>
              <w:t>4</w:t>
            </w:r>
          </w:p>
        </w:tc>
        <w:tc>
          <w:tcPr>
            <w:tcW w:w="1164" w:type="dxa"/>
            <w:vAlign w:val="center"/>
          </w:tcPr>
          <w:p w14:paraId="4FAE3374">
            <w:pPr>
              <w:widowControl/>
              <w:jc w:val="center"/>
              <w:rPr>
                <w:rFonts w:hAnsi="宋体" w:cs="宋体"/>
              </w:rPr>
            </w:pPr>
            <w:r>
              <w:rPr>
                <w:rFonts w:hint="eastAsia" w:hAnsi="宋体" w:cs="宋体"/>
              </w:rPr>
              <w:t>服务质量保证</w:t>
            </w:r>
          </w:p>
        </w:tc>
        <w:tc>
          <w:tcPr>
            <w:tcW w:w="6499" w:type="dxa"/>
            <w:vAlign w:val="center"/>
          </w:tcPr>
          <w:p w14:paraId="6F4C6283">
            <w:pPr>
              <w:widowControl/>
              <w:rPr>
                <w:rFonts w:hAnsi="宋体" w:cs="宋体"/>
              </w:rPr>
            </w:pPr>
            <w:r>
              <w:rPr>
                <w:rFonts w:hint="eastAsia" w:hAnsi="宋体" w:cs="宋体"/>
              </w:rPr>
              <w:t>根据供应商提供的服务质量和补救措施承诺进行综合评分。</w:t>
            </w:r>
          </w:p>
          <w:p w14:paraId="18BC4FFC">
            <w:pPr>
              <w:widowControl/>
              <w:rPr>
                <w:rFonts w:hAnsi="宋体" w:cs="宋体"/>
              </w:rPr>
            </w:pPr>
            <w:r>
              <w:rPr>
                <w:rFonts w:hint="eastAsia" w:hAnsi="宋体" w:cs="宋体"/>
              </w:rPr>
              <w:t>1）针对本项目的服务质量和补救措施承诺内容制定合理、有效，能够很好的满足项目服务要求的，得3分；</w:t>
            </w:r>
          </w:p>
          <w:p w14:paraId="08DCA94D">
            <w:pPr>
              <w:widowControl/>
              <w:rPr>
                <w:rFonts w:hAnsi="宋体" w:cs="宋体"/>
              </w:rPr>
            </w:pPr>
            <w:r>
              <w:rPr>
                <w:rFonts w:hint="eastAsia" w:hAnsi="宋体" w:cs="宋体"/>
              </w:rPr>
              <w:t>2）针对本项目的服务质量和补救措施承诺内容相对合理，存在较小的瑕疵，但基本满足项目质量保证要求的，得2分；</w:t>
            </w:r>
          </w:p>
          <w:p w14:paraId="678FC8E7">
            <w:pPr>
              <w:widowControl/>
              <w:rPr>
                <w:rFonts w:hAnsi="宋体" w:cs="宋体"/>
              </w:rPr>
            </w:pPr>
            <w:r>
              <w:rPr>
                <w:rFonts w:hint="eastAsia" w:hAnsi="宋体" w:cs="宋体"/>
              </w:rPr>
              <w:t>3）针对本项目的服务质量和补救措施承诺内容明显存在缺项，缺陷较多且对项目实施质量存在明显影响的，得1分；</w:t>
            </w:r>
          </w:p>
          <w:p w14:paraId="07C8082B">
            <w:pPr>
              <w:pStyle w:val="83"/>
              <w:ind w:left="0" w:firstLine="0"/>
            </w:pPr>
            <w:r>
              <w:rPr>
                <w:rFonts w:hint="eastAsia" w:ascii="Times New Roman" w:hAnsi="宋体" w:cs="宋体"/>
              </w:rPr>
              <w:t>未提供任何内容的不得分。</w:t>
            </w:r>
          </w:p>
        </w:tc>
        <w:tc>
          <w:tcPr>
            <w:tcW w:w="808" w:type="dxa"/>
            <w:vAlign w:val="center"/>
          </w:tcPr>
          <w:p w14:paraId="13A0A5F9">
            <w:pPr>
              <w:widowControl/>
              <w:jc w:val="center"/>
              <w:rPr>
                <w:rFonts w:ascii="宋体" w:hAnsi="宋体" w:cs="宋体"/>
                <w:kern w:val="0"/>
                <w:szCs w:val="21"/>
              </w:rPr>
            </w:pPr>
            <w:r>
              <w:rPr>
                <w:rFonts w:hint="eastAsia" w:hAnsi="宋体" w:cs="宋体"/>
              </w:rPr>
              <w:t>3分</w:t>
            </w:r>
          </w:p>
        </w:tc>
        <w:tc>
          <w:tcPr>
            <w:tcW w:w="718" w:type="dxa"/>
            <w:vAlign w:val="center"/>
          </w:tcPr>
          <w:p w14:paraId="65364602">
            <w:pPr>
              <w:widowControl/>
              <w:jc w:val="center"/>
              <w:rPr>
                <w:rFonts w:hAnsi="宋体" w:cs="宋体"/>
              </w:rPr>
            </w:pPr>
            <w:r>
              <w:rPr>
                <w:rFonts w:hint="eastAsia" w:hAnsi="宋体" w:cs="宋体"/>
              </w:rPr>
              <w:t>主观</w:t>
            </w:r>
            <w:r>
              <w:rPr>
                <w:rFonts w:hint="eastAsia" w:ascii="宋体" w:hAnsi="宋体" w:cs="宋体"/>
                <w:szCs w:val="21"/>
              </w:rPr>
              <w:t>评审</w:t>
            </w:r>
          </w:p>
        </w:tc>
      </w:tr>
      <w:tr w14:paraId="2DB1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Align w:val="center"/>
          </w:tcPr>
          <w:p w14:paraId="2BBF0BA5">
            <w:pPr>
              <w:widowControl/>
              <w:jc w:val="center"/>
              <w:rPr>
                <w:rFonts w:hint="eastAsia" w:hAnsi="宋体" w:eastAsia="宋体" w:cs="宋体"/>
                <w:lang w:eastAsia="zh-CN"/>
              </w:rPr>
            </w:pPr>
            <w:r>
              <w:rPr>
                <w:rFonts w:hint="eastAsia" w:hAnsi="宋体" w:cs="宋体"/>
                <w:lang w:val="en-US" w:eastAsia="zh-CN"/>
              </w:rPr>
              <w:t>5</w:t>
            </w:r>
          </w:p>
        </w:tc>
        <w:tc>
          <w:tcPr>
            <w:tcW w:w="1164" w:type="dxa"/>
            <w:vAlign w:val="center"/>
          </w:tcPr>
          <w:p w14:paraId="3DF554B8">
            <w:pPr>
              <w:widowControl/>
              <w:jc w:val="center"/>
              <w:rPr>
                <w:rFonts w:hAnsi="宋体" w:cs="宋体"/>
              </w:rPr>
            </w:pPr>
            <w:r>
              <w:rPr>
                <w:rFonts w:hint="eastAsia" w:hAnsi="宋体" w:cs="宋体"/>
              </w:rPr>
              <w:t>进度安排及保证</w:t>
            </w:r>
          </w:p>
        </w:tc>
        <w:tc>
          <w:tcPr>
            <w:tcW w:w="6499" w:type="dxa"/>
            <w:vAlign w:val="center"/>
          </w:tcPr>
          <w:p w14:paraId="6245B1ED">
            <w:pPr>
              <w:widowControl/>
              <w:rPr>
                <w:rFonts w:hAnsi="宋体" w:cs="宋体"/>
              </w:rPr>
            </w:pPr>
            <w:r>
              <w:rPr>
                <w:rFonts w:hint="eastAsia" w:hAnsi="宋体" w:cs="宋体"/>
              </w:rPr>
              <w:t>根据供应商提供的具体工作安排、进度保障措施进行是否合理可靠进行综合评分。</w:t>
            </w:r>
          </w:p>
          <w:p w14:paraId="799E8700">
            <w:pPr>
              <w:widowControl/>
              <w:rPr>
                <w:rFonts w:hAnsi="宋体" w:cs="宋体"/>
              </w:rPr>
            </w:pPr>
            <w:r>
              <w:rPr>
                <w:rFonts w:hint="eastAsia" w:hAnsi="宋体" w:cs="宋体"/>
              </w:rPr>
              <w:t>1）项目进度安排全面、逻辑清晰、合理、可行的，得4分；</w:t>
            </w:r>
          </w:p>
          <w:p w14:paraId="61A9D40E">
            <w:pPr>
              <w:widowControl/>
              <w:rPr>
                <w:rFonts w:hAnsi="宋体" w:cs="宋体"/>
              </w:rPr>
            </w:pPr>
            <w:r>
              <w:rPr>
                <w:rFonts w:hint="eastAsia" w:hAnsi="宋体" w:cs="宋体"/>
              </w:rPr>
              <w:t>2）项目进度安排较为全面、较为清晰、合理的，得3分；</w:t>
            </w:r>
          </w:p>
          <w:p w14:paraId="4A77E8FC">
            <w:pPr>
              <w:widowControl/>
              <w:rPr>
                <w:rFonts w:hAnsi="宋体" w:cs="宋体"/>
              </w:rPr>
            </w:pPr>
            <w:r>
              <w:rPr>
                <w:rFonts w:hint="eastAsia" w:hAnsi="宋体" w:cs="宋体"/>
              </w:rPr>
              <w:t>3）项目进度安排基本合理、存在较小的瑕疵的，得2分；</w:t>
            </w:r>
          </w:p>
          <w:p w14:paraId="5F82E00B">
            <w:pPr>
              <w:widowControl/>
              <w:rPr>
                <w:rFonts w:hAnsi="宋体" w:cs="宋体"/>
              </w:rPr>
            </w:pPr>
            <w:r>
              <w:rPr>
                <w:rFonts w:hint="eastAsia" w:hAnsi="宋体" w:cs="宋体"/>
              </w:rPr>
              <w:t>4）项目进度安排较差、不完善、明显不可行的，得1分；</w:t>
            </w:r>
          </w:p>
          <w:p w14:paraId="2AD420A8">
            <w:pPr>
              <w:widowControl/>
              <w:rPr>
                <w:rFonts w:hAnsi="宋体" w:cs="宋体"/>
              </w:rPr>
            </w:pPr>
            <w:r>
              <w:rPr>
                <w:rFonts w:hint="eastAsia" w:hAnsi="宋体" w:cs="宋体"/>
              </w:rPr>
              <w:t>未提供相关内容的不得分。</w:t>
            </w:r>
          </w:p>
        </w:tc>
        <w:tc>
          <w:tcPr>
            <w:tcW w:w="808" w:type="dxa"/>
            <w:vAlign w:val="center"/>
          </w:tcPr>
          <w:p w14:paraId="428BED8F">
            <w:pPr>
              <w:widowControl/>
              <w:jc w:val="center"/>
              <w:rPr>
                <w:rFonts w:ascii="宋体" w:hAnsi="宋体" w:cs="宋体"/>
                <w:kern w:val="0"/>
                <w:szCs w:val="21"/>
              </w:rPr>
            </w:pPr>
            <w:r>
              <w:rPr>
                <w:rFonts w:hint="eastAsia" w:hAnsi="宋体" w:cs="宋体"/>
                <w:szCs w:val="21"/>
              </w:rPr>
              <w:t>4分</w:t>
            </w:r>
          </w:p>
        </w:tc>
        <w:tc>
          <w:tcPr>
            <w:tcW w:w="718" w:type="dxa"/>
            <w:vAlign w:val="center"/>
          </w:tcPr>
          <w:p w14:paraId="6C3F3531">
            <w:pPr>
              <w:widowControl/>
              <w:jc w:val="center"/>
              <w:rPr>
                <w:rFonts w:hAnsi="宋体" w:cs="宋体"/>
                <w:szCs w:val="21"/>
              </w:rPr>
            </w:pPr>
            <w:r>
              <w:rPr>
                <w:rFonts w:hint="eastAsia" w:hAnsi="宋体" w:cs="宋体"/>
              </w:rPr>
              <w:t>主观</w:t>
            </w:r>
            <w:r>
              <w:rPr>
                <w:rFonts w:hint="eastAsia" w:ascii="宋体" w:hAnsi="宋体" w:cs="宋体"/>
                <w:szCs w:val="21"/>
              </w:rPr>
              <w:t>评审</w:t>
            </w:r>
          </w:p>
        </w:tc>
      </w:tr>
      <w:tr w14:paraId="7C56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Align w:val="center"/>
          </w:tcPr>
          <w:p w14:paraId="574EA275">
            <w:pPr>
              <w:widowControl/>
              <w:jc w:val="center"/>
              <w:rPr>
                <w:rFonts w:hint="eastAsia" w:hAnsi="宋体" w:eastAsia="宋体" w:cs="宋体"/>
                <w:lang w:eastAsia="zh-CN"/>
              </w:rPr>
            </w:pPr>
            <w:r>
              <w:rPr>
                <w:rFonts w:hint="eastAsia" w:hAnsi="宋体" w:cs="宋体"/>
                <w:lang w:val="en-US" w:eastAsia="zh-CN"/>
              </w:rPr>
              <w:t>6</w:t>
            </w:r>
          </w:p>
        </w:tc>
        <w:tc>
          <w:tcPr>
            <w:tcW w:w="1164" w:type="dxa"/>
            <w:vAlign w:val="center"/>
          </w:tcPr>
          <w:p w14:paraId="010A7727">
            <w:pPr>
              <w:widowControl/>
              <w:jc w:val="center"/>
              <w:rPr>
                <w:rFonts w:hAnsi="宋体" w:cs="宋体"/>
              </w:rPr>
            </w:pPr>
            <w:r>
              <w:rPr>
                <w:rFonts w:hint="eastAsia" w:hAnsi="宋体" w:cs="宋体"/>
              </w:rPr>
              <w:t>售后服务承诺</w:t>
            </w:r>
          </w:p>
        </w:tc>
        <w:tc>
          <w:tcPr>
            <w:tcW w:w="6499" w:type="dxa"/>
            <w:vAlign w:val="center"/>
          </w:tcPr>
          <w:p w14:paraId="3C463D0C">
            <w:pPr>
              <w:widowControl/>
              <w:rPr>
                <w:rFonts w:hAnsi="宋体" w:cs="宋体"/>
              </w:rPr>
            </w:pPr>
            <w:r>
              <w:rPr>
                <w:rFonts w:hint="eastAsia" w:hAnsi="宋体" w:cs="宋体"/>
              </w:rPr>
              <w:t>根据投标人提供服务的便捷性、应急响应服务进行综合评分。</w:t>
            </w:r>
          </w:p>
          <w:p w14:paraId="0AE4B2F6">
            <w:pPr>
              <w:widowControl/>
              <w:rPr>
                <w:rFonts w:hAnsi="宋体" w:cs="宋体"/>
              </w:rPr>
            </w:pPr>
            <w:r>
              <w:rPr>
                <w:rFonts w:hint="eastAsia" w:hAnsi="宋体" w:cs="宋体"/>
              </w:rPr>
              <w:t>1）售后服务方案全面、逻辑清晰、合理、可行的，服务便捷、响应速度的，得3分；</w:t>
            </w:r>
          </w:p>
          <w:p w14:paraId="5C7AEA7B">
            <w:pPr>
              <w:widowControl/>
              <w:rPr>
                <w:rFonts w:hAnsi="宋体" w:cs="宋体"/>
              </w:rPr>
            </w:pPr>
            <w:r>
              <w:rPr>
                <w:rFonts w:hint="eastAsia" w:hAnsi="宋体" w:cs="宋体"/>
              </w:rPr>
              <w:t>2）售后服务方案较为全面、较为清晰、合理的，得2分；</w:t>
            </w:r>
          </w:p>
          <w:p w14:paraId="045EE758">
            <w:pPr>
              <w:widowControl/>
              <w:rPr>
                <w:rFonts w:hAnsi="宋体" w:cs="宋体"/>
              </w:rPr>
            </w:pPr>
            <w:r>
              <w:rPr>
                <w:rFonts w:hint="eastAsia" w:hAnsi="宋体" w:cs="宋体"/>
              </w:rPr>
              <w:t>3）售后服务方案基本合理、存在较小的瑕疵的，得1分；</w:t>
            </w:r>
          </w:p>
          <w:p w14:paraId="108139F0">
            <w:pPr>
              <w:widowControl/>
              <w:rPr>
                <w:rFonts w:hAnsi="宋体" w:cs="宋体"/>
              </w:rPr>
            </w:pPr>
            <w:r>
              <w:rPr>
                <w:rFonts w:hint="eastAsia" w:hAnsi="宋体" w:cs="宋体"/>
              </w:rPr>
              <w:t>未提供相关内容的不得分。</w:t>
            </w:r>
          </w:p>
        </w:tc>
        <w:tc>
          <w:tcPr>
            <w:tcW w:w="808" w:type="dxa"/>
            <w:vAlign w:val="center"/>
          </w:tcPr>
          <w:p w14:paraId="4ADB98A0">
            <w:pPr>
              <w:widowControl/>
              <w:jc w:val="center"/>
              <w:rPr>
                <w:rFonts w:hAnsi="宋体" w:cs="宋体"/>
                <w:szCs w:val="21"/>
              </w:rPr>
            </w:pPr>
            <w:r>
              <w:rPr>
                <w:rFonts w:hint="eastAsia" w:hAnsi="宋体" w:cs="宋体"/>
                <w:szCs w:val="21"/>
              </w:rPr>
              <w:t>3分</w:t>
            </w:r>
          </w:p>
        </w:tc>
        <w:tc>
          <w:tcPr>
            <w:tcW w:w="718" w:type="dxa"/>
            <w:vAlign w:val="center"/>
          </w:tcPr>
          <w:p w14:paraId="6436F762">
            <w:pPr>
              <w:widowControl/>
              <w:jc w:val="center"/>
              <w:rPr>
                <w:rFonts w:hAnsi="宋体" w:cs="宋体"/>
              </w:rPr>
            </w:pPr>
            <w:r>
              <w:rPr>
                <w:rFonts w:hint="eastAsia" w:hAnsi="宋体" w:cs="宋体"/>
              </w:rPr>
              <w:t>主观评审</w:t>
            </w:r>
          </w:p>
        </w:tc>
      </w:tr>
      <w:tr w14:paraId="1917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Align w:val="center"/>
          </w:tcPr>
          <w:p w14:paraId="2531B102">
            <w:pPr>
              <w:widowControl/>
              <w:jc w:val="center"/>
              <w:rPr>
                <w:rFonts w:hint="eastAsia" w:hAnsi="宋体" w:eastAsia="宋体" w:cs="宋体"/>
                <w:lang w:val="en-US" w:eastAsia="zh-CN"/>
              </w:rPr>
            </w:pPr>
            <w:r>
              <w:rPr>
                <w:rFonts w:hint="eastAsia" w:hAnsi="宋体" w:cs="宋体"/>
                <w:lang w:val="en-US" w:eastAsia="zh-CN"/>
              </w:rPr>
              <w:t>7</w:t>
            </w:r>
          </w:p>
        </w:tc>
        <w:tc>
          <w:tcPr>
            <w:tcW w:w="1164" w:type="dxa"/>
            <w:vAlign w:val="center"/>
          </w:tcPr>
          <w:p w14:paraId="5C262D46">
            <w:pPr>
              <w:widowControl/>
              <w:jc w:val="center"/>
              <w:rPr>
                <w:rFonts w:hAnsi="宋体" w:cs="宋体"/>
              </w:rPr>
            </w:pPr>
            <w:r>
              <w:rPr>
                <w:rFonts w:hint="eastAsia" w:ascii="宋体" w:hAnsi="宋体" w:cs="宋体"/>
                <w:szCs w:val="21"/>
              </w:rPr>
              <w:t>投标人项目团队</w:t>
            </w:r>
          </w:p>
        </w:tc>
        <w:tc>
          <w:tcPr>
            <w:tcW w:w="6499" w:type="dxa"/>
            <w:vAlign w:val="center"/>
          </w:tcPr>
          <w:p w14:paraId="76DF8B68">
            <w:pPr>
              <w:widowControl/>
              <w:rPr>
                <w:rFonts w:hAnsi="宋体" w:cs="宋体"/>
              </w:rPr>
            </w:pPr>
            <w:r>
              <w:rPr>
                <w:rFonts w:hint="eastAsia" w:hAnsi="宋体" w:cs="宋体"/>
              </w:rPr>
              <w:t>针对项目组织设置的合理性，项目组人员资质证书、人员安排合理性等情况进行评分。</w:t>
            </w:r>
          </w:p>
          <w:p w14:paraId="7956D13D">
            <w:pPr>
              <w:widowControl/>
              <w:rPr>
                <w:rFonts w:hAnsi="宋体" w:cs="宋体"/>
              </w:rPr>
            </w:pPr>
            <w:r>
              <w:rPr>
                <w:rFonts w:hint="eastAsia" w:hAnsi="宋体" w:cs="宋体"/>
              </w:rPr>
              <w:t>1）方案较为全面、较为清晰、合理的，得3分；</w:t>
            </w:r>
          </w:p>
          <w:p w14:paraId="0A0E68EA">
            <w:pPr>
              <w:widowControl/>
              <w:rPr>
                <w:rFonts w:hAnsi="宋体" w:cs="宋体"/>
              </w:rPr>
            </w:pPr>
            <w:r>
              <w:rPr>
                <w:rFonts w:hint="eastAsia" w:hAnsi="宋体" w:cs="宋体"/>
              </w:rPr>
              <w:t>2）售后服务方案基本合理、存在较小的瑕疵的，得2分；</w:t>
            </w:r>
          </w:p>
          <w:p w14:paraId="39F03DFA">
            <w:pPr>
              <w:widowControl/>
              <w:rPr>
                <w:rFonts w:hAnsi="宋体" w:cs="宋体"/>
              </w:rPr>
            </w:pPr>
            <w:r>
              <w:rPr>
                <w:rFonts w:hint="eastAsia" w:hAnsi="宋体" w:cs="宋体"/>
              </w:rPr>
              <w:t>3）售后服务方案内容明显存在缺项的得1分；</w:t>
            </w:r>
          </w:p>
          <w:p w14:paraId="75E5797B">
            <w:pPr>
              <w:widowControl/>
              <w:rPr>
                <w:rFonts w:hAnsi="宋体" w:cs="宋体"/>
              </w:rPr>
            </w:pPr>
            <w:r>
              <w:rPr>
                <w:rFonts w:hint="eastAsia" w:hAnsi="宋体" w:cs="宋体"/>
              </w:rPr>
              <w:t>未提供相关内容的不得分。</w:t>
            </w:r>
          </w:p>
        </w:tc>
        <w:tc>
          <w:tcPr>
            <w:tcW w:w="808" w:type="dxa"/>
            <w:vAlign w:val="center"/>
          </w:tcPr>
          <w:p w14:paraId="02E8DCE6">
            <w:pPr>
              <w:widowControl/>
              <w:jc w:val="center"/>
              <w:rPr>
                <w:rFonts w:hAnsi="宋体" w:cs="宋体"/>
                <w:szCs w:val="21"/>
              </w:rPr>
            </w:pPr>
            <w:r>
              <w:rPr>
                <w:rFonts w:hint="eastAsia" w:hAnsi="宋体" w:cs="宋体"/>
                <w:szCs w:val="21"/>
              </w:rPr>
              <w:t>3分</w:t>
            </w:r>
          </w:p>
        </w:tc>
        <w:tc>
          <w:tcPr>
            <w:tcW w:w="718" w:type="dxa"/>
            <w:vAlign w:val="center"/>
          </w:tcPr>
          <w:p w14:paraId="706F2348">
            <w:pPr>
              <w:widowControl/>
              <w:jc w:val="center"/>
              <w:rPr>
                <w:rFonts w:hAnsi="宋体" w:cs="宋体"/>
              </w:rPr>
            </w:pPr>
            <w:r>
              <w:rPr>
                <w:rFonts w:hint="eastAsia" w:hAnsi="宋体" w:cs="宋体"/>
              </w:rPr>
              <w:t>主观评审</w:t>
            </w:r>
          </w:p>
        </w:tc>
      </w:tr>
      <w:tr w14:paraId="6D99F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Align w:val="center"/>
          </w:tcPr>
          <w:p w14:paraId="252404D2">
            <w:pPr>
              <w:widowControl/>
              <w:jc w:val="center"/>
              <w:rPr>
                <w:rFonts w:hint="eastAsia" w:hAnsi="宋体" w:eastAsia="宋体" w:cs="宋体"/>
                <w:lang w:eastAsia="zh-CN"/>
              </w:rPr>
            </w:pPr>
            <w:r>
              <w:rPr>
                <w:rFonts w:hint="eastAsia" w:hAnsi="宋体" w:cs="宋体"/>
                <w:lang w:val="en-US" w:eastAsia="zh-CN"/>
              </w:rPr>
              <w:t>8</w:t>
            </w:r>
          </w:p>
        </w:tc>
        <w:tc>
          <w:tcPr>
            <w:tcW w:w="1164" w:type="dxa"/>
            <w:vAlign w:val="center"/>
          </w:tcPr>
          <w:p w14:paraId="1792E21A">
            <w:pPr>
              <w:widowControl/>
              <w:spacing w:line="360" w:lineRule="auto"/>
              <w:jc w:val="center"/>
              <w:rPr>
                <w:rFonts w:ascii="宋体" w:hAnsi="宋体" w:cs="宋体"/>
                <w:szCs w:val="21"/>
              </w:rPr>
            </w:pPr>
            <w:r>
              <w:rPr>
                <w:rFonts w:hint="eastAsia" w:ascii="宋体" w:hAnsi="宋体" w:cs="宋体"/>
                <w:szCs w:val="21"/>
              </w:rPr>
              <w:t>培训计划方案</w:t>
            </w:r>
          </w:p>
        </w:tc>
        <w:tc>
          <w:tcPr>
            <w:tcW w:w="6499" w:type="dxa"/>
            <w:vAlign w:val="center"/>
          </w:tcPr>
          <w:p w14:paraId="3DBD8590">
            <w:pPr>
              <w:widowControl/>
              <w:rPr>
                <w:rFonts w:hAnsi="宋体" w:cs="宋体"/>
              </w:rPr>
            </w:pPr>
            <w:r>
              <w:rPr>
                <w:rFonts w:hint="eastAsia" w:hAnsi="宋体" w:cs="宋体"/>
              </w:rPr>
              <w:t>投标人提出的培训计划（是否提供业务人员应用培训和管理员培训）、地点、组织、人员配备等内容是否完整、科学合理，费用是否计入总报价，进行综合评议</w:t>
            </w:r>
          </w:p>
          <w:p w14:paraId="3F829E69">
            <w:pPr>
              <w:widowControl/>
              <w:rPr>
                <w:rFonts w:hAnsi="宋体" w:cs="宋体"/>
              </w:rPr>
            </w:pPr>
            <w:r>
              <w:rPr>
                <w:rFonts w:hint="eastAsia" w:hAnsi="宋体" w:cs="宋体"/>
              </w:rPr>
              <w:t>1）方案较为全面、较为清晰、合理的，得3分；</w:t>
            </w:r>
          </w:p>
          <w:p w14:paraId="588449E7">
            <w:pPr>
              <w:widowControl/>
              <w:rPr>
                <w:rFonts w:hAnsi="宋体" w:cs="宋体"/>
              </w:rPr>
            </w:pPr>
            <w:r>
              <w:rPr>
                <w:rFonts w:hint="eastAsia" w:hAnsi="宋体" w:cs="宋体"/>
              </w:rPr>
              <w:t>2）方案基本合理、存在较小的瑕疵的，得2分；</w:t>
            </w:r>
          </w:p>
          <w:p w14:paraId="6752CD65">
            <w:pPr>
              <w:widowControl/>
              <w:rPr>
                <w:rFonts w:hAnsi="宋体" w:cs="宋体"/>
              </w:rPr>
            </w:pPr>
            <w:r>
              <w:rPr>
                <w:rFonts w:hint="eastAsia" w:hAnsi="宋体" w:cs="宋体"/>
              </w:rPr>
              <w:t>3）方案内容明显存在缺项的得1分；</w:t>
            </w:r>
          </w:p>
          <w:p w14:paraId="6B5C0A73">
            <w:pPr>
              <w:widowControl/>
              <w:rPr>
                <w:rFonts w:hAnsi="宋体" w:cs="宋体"/>
              </w:rPr>
            </w:pPr>
            <w:r>
              <w:rPr>
                <w:rFonts w:hint="eastAsia" w:hAnsi="宋体" w:cs="宋体"/>
              </w:rPr>
              <w:t>未提供相关内容的不得分。</w:t>
            </w:r>
          </w:p>
        </w:tc>
        <w:tc>
          <w:tcPr>
            <w:tcW w:w="808" w:type="dxa"/>
            <w:vAlign w:val="center"/>
          </w:tcPr>
          <w:p w14:paraId="2C3E62C0">
            <w:pPr>
              <w:widowControl/>
              <w:jc w:val="center"/>
              <w:rPr>
                <w:rFonts w:hAnsi="宋体" w:cs="宋体"/>
                <w:szCs w:val="21"/>
              </w:rPr>
            </w:pPr>
            <w:r>
              <w:rPr>
                <w:rFonts w:hint="eastAsia" w:hAnsi="宋体" w:cs="宋体"/>
                <w:szCs w:val="21"/>
              </w:rPr>
              <w:t>3分</w:t>
            </w:r>
          </w:p>
        </w:tc>
        <w:tc>
          <w:tcPr>
            <w:tcW w:w="718" w:type="dxa"/>
            <w:vAlign w:val="center"/>
          </w:tcPr>
          <w:p w14:paraId="7EFBCC4F">
            <w:pPr>
              <w:widowControl/>
              <w:jc w:val="center"/>
              <w:rPr>
                <w:rFonts w:hAnsi="宋体" w:cs="宋体"/>
              </w:rPr>
            </w:pPr>
            <w:r>
              <w:rPr>
                <w:rFonts w:hint="eastAsia" w:hAnsi="宋体" w:cs="宋体"/>
              </w:rPr>
              <w:t>主观评审</w:t>
            </w:r>
          </w:p>
        </w:tc>
      </w:tr>
      <w:tr w14:paraId="2764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Merge w:val="restart"/>
            <w:vAlign w:val="center"/>
          </w:tcPr>
          <w:p w14:paraId="1C1C8F52">
            <w:pPr>
              <w:widowControl/>
              <w:jc w:val="center"/>
              <w:rPr>
                <w:rFonts w:hint="eastAsia" w:hAnsi="宋体" w:eastAsia="宋体" w:cs="宋体"/>
                <w:lang w:eastAsia="zh-CN"/>
              </w:rPr>
            </w:pPr>
            <w:r>
              <w:rPr>
                <w:rFonts w:hint="eastAsia" w:hAnsi="宋体" w:cs="宋体"/>
                <w:lang w:val="en-US" w:eastAsia="zh-CN"/>
              </w:rPr>
              <w:t>9</w:t>
            </w:r>
          </w:p>
        </w:tc>
        <w:tc>
          <w:tcPr>
            <w:tcW w:w="1164" w:type="dxa"/>
            <w:vMerge w:val="restart"/>
            <w:vAlign w:val="center"/>
          </w:tcPr>
          <w:p w14:paraId="3CBFC635">
            <w:pPr>
              <w:widowControl/>
              <w:jc w:val="center"/>
              <w:rPr>
                <w:rFonts w:hAnsi="宋体" w:cs="宋体"/>
                <w:color w:val="0000FF"/>
              </w:rPr>
            </w:pPr>
            <w:r>
              <w:rPr>
                <w:rFonts w:hint="eastAsia" w:ascii="宋体" w:hAnsi="宋体" w:cs="宋体"/>
                <w:szCs w:val="21"/>
              </w:rPr>
              <w:t>投标人综合实力</w:t>
            </w:r>
          </w:p>
        </w:tc>
        <w:tc>
          <w:tcPr>
            <w:tcW w:w="6499" w:type="dxa"/>
            <w:vAlign w:val="center"/>
          </w:tcPr>
          <w:p w14:paraId="1A3E5D8B">
            <w:pPr>
              <w:widowControl/>
              <w:rPr>
                <w:rFonts w:hint="eastAsia" w:hAnsi="宋体" w:cs="宋体"/>
              </w:rPr>
            </w:pPr>
            <w:r>
              <w:rPr>
                <w:rFonts w:hint="eastAsia" w:hAnsi="宋体" w:cs="宋体"/>
              </w:rPr>
              <w:t>1）投标人具有有效期内的信息安全管理体系认证证书或有效期内的ISO27032网络安全管理体系认证证书的得1分；</w:t>
            </w:r>
          </w:p>
          <w:p w14:paraId="5993FCBD">
            <w:pPr>
              <w:widowControl/>
              <w:rPr>
                <w:rFonts w:hint="eastAsia" w:hAnsi="宋体" w:cs="宋体"/>
              </w:rPr>
            </w:pPr>
            <w:r>
              <w:rPr>
                <w:rFonts w:hint="eastAsia" w:hAnsi="宋体" w:cs="宋体"/>
              </w:rPr>
              <w:t>2）投标人具有有效期内中国网络安全审查技术与认证中心颁发的信息安全服务资质(安全集成)证书或（安全运维）证书或中国网络安全审查认证和监管大数据中心颁发的信息安全服务资质(安全集成)证书或（安全运维）证书贰级及以上得1分；</w:t>
            </w:r>
          </w:p>
          <w:p w14:paraId="17327544">
            <w:pPr>
              <w:widowControl/>
              <w:rPr>
                <w:rFonts w:hint="eastAsia" w:hAnsi="宋体" w:cs="宋体"/>
              </w:rPr>
            </w:pPr>
            <w:r>
              <w:rPr>
                <w:rFonts w:hint="eastAsia" w:hAnsi="宋体" w:cs="宋体"/>
              </w:rPr>
              <w:t>3）投标人具有有效的CCRC信息安全服务资质认证（软件安全开发服务）或有效期内ISO27040数据存储安全管理体系证书或有效期内的 ISO20000 信息技术服务管理体系认证证书的得1分</w:t>
            </w:r>
          </w:p>
          <w:p w14:paraId="183F4BE3">
            <w:pPr>
              <w:widowControl/>
              <w:rPr>
                <w:rFonts w:hint="eastAsia" w:hAnsi="宋体" w:cs="宋体"/>
              </w:rPr>
            </w:pPr>
            <w:r>
              <w:rPr>
                <w:rFonts w:hint="eastAsia" w:hAnsi="宋体" w:cs="宋体"/>
              </w:rPr>
              <w:t xml:space="preserve">（提供以上证明资料的复印件加盖公章） </w:t>
            </w:r>
          </w:p>
        </w:tc>
        <w:tc>
          <w:tcPr>
            <w:tcW w:w="808" w:type="dxa"/>
            <w:vAlign w:val="center"/>
          </w:tcPr>
          <w:p w14:paraId="6FA1BC06">
            <w:pPr>
              <w:widowControl/>
              <w:jc w:val="center"/>
              <w:rPr>
                <w:rFonts w:hAnsi="宋体" w:cs="宋体"/>
              </w:rPr>
            </w:pPr>
            <w:r>
              <w:rPr>
                <w:rFonts w:hint="eastAsia" w:hAnsi="宋体" w:cs="宋体"/>
              </w:rPr>
              <w:t>3分</w:t>
            </w:r>
          </w:p>
        </w:tc>
        <w:tc>
          <w:tcPr>
            <w:tcW w:w="718" w:type="dxa"/>
            <w:vAlign w:val="center"/>
          </w:tcPr>
          <w:p w14:paraId="3D294323">
            <w:pPr>
              <w:widowControl/>
              <w:jc w:val="center"/>
              <w:rPr>
                <w:rFonts w:hAnsi="宋体" w:cs="宋体"/>
              </w:rPr>
            </w:pPr>
            <w:r>
              <w:rPr>
                <w:rFonts w:hint="eastAsia" w:hAnsi="宋体" w:cs="宋体"/>
              </w:rPr>
              <w:t>客观评审</w:t>
            </w:r>
          </w:p>
        </w:tc>
      </w:tr>
      <w:tr w14:paraId="7279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continue"/>
            <w:vAlign w:val="center"/>
          </w:tcPr>
          <w:p w14:paraId="3E71C774">
            <w:pPr>
              <w:widowControl/>
              <w:jc w:val="center"/>
              <w:rPr>
                <w:rFonts w:hAnsi="宋体" w:cs="宋体"/>
              </w:rPr>
            </w:pPr>
          </w:p>
        </w:tc>
        <w:tc>
          <w:tcPr>
            <w:tcW w:w="1164" w:type="dxa"/>
            <w:vMerge w:val="continue"/>
            <w:vAlign w:val="center"/>
          </w:tcPr>
          <w:p w14:paraId="68255962">
            <w:pPr>
              <w:widowControl/>
              <w:jc w:val="center"/>
              <w:rPr>
                <w:rFonts w:hAnsi="宋体" w:cs="宋体"/>
                <w:color w:val="0000FF"/>
              </w:rPr>
            </w:pPr>
          </w:p>
        </w:tc>
        <w:tc>
          <w:tcPr>
            <w:tcW w:w="6499" w:type="dxa"/>
            <w:vAlign w:val="center"/>
          </w:tcPr>
          <w:p w14:paraId="0103121E">
            <w:pPr>
              <w:widowControl/>
              <w:rPr>
                <w:rFonts w:hint="eastAsia" w:hAnsi="宋体" w:cs="宋体"/>
              </w:rPr>
            </w:pPr>
            <w:r>
              <w:rPr>
                <w:rFonts w:hint="eastAsia" w:hAnsi="宋体" w:cs="宋体"/>
              </w:rPr>
              <w:t>项目负责人：拟派项目经理具有系统架构设计师(高级)</w:t>
            </w:r>
            <w:r>
              <w:rPr>
                <w:rFonts w:hint="eastAsia" w:hAnsi="宋体" w:cs="宋体"/>
                <w:lang w:eastAsia="zh-CN"/>
              </w:rPr>
              <w:t>、</w:t>
            </w:r>
            <w:r>
              <w:rPr>
                <w:rFonts w:hint="eastAsia" w:hAnsi="宋体" w:cs="宋体"/>
              </w:rPr>
              <w:t>信息系统项目管理师、系统集成项目管理师</w:t>
            </w:r>
            <w:r>
              <w:rPr>
                <w:rFonts w:hint="eastAsia" w:hAnsi="宋体" w:cs="宋体"/>
                <w:lang w:eastAsia="zh-CN"/>
              </w:rPr>
              <w:t>、</w:t>
            </w:r>
            <w:r>
              <w:rPr>
                <w:rFonts w:hint="eastAsia" w:hAnsi="宋体" w:cs="宋体"/>
              </w:rPr>
              <w:t>数据库系统工程师、软件设计师</w:t>
            </w:r>
            <w:r>
              <w:rPr>
                <w:rFonts w:hint="eastAsia" w:hAnsi="宋体" w:cs="宋体"/>
                <w:lang w:eastAsia="zh-CN"/>
              </w:rPr>
              <w:t>、</w:t>
            </w:r>
            <w:r>
              <w:rPr>
                <w:rFonts w:hint="eastAsia" w:hAnsi="宋体" w:cs="宋体"/>
              </w:rPr>
              <w:t>系统规划与管理师、售后服务管理师证书</w:t>
            </w:r>
            <w:r>
              <w:rPr>
                <w:rFonts w:hint="eastAsia" w:hAnsi="宋体" w:cs="宋体"/>
                <w:lang w:eastAsia="zh-CN"/>
              </w:rPr>
              <w:t>、</w:t>
            </w:r>
            <w:r>
              <w:rPr>
                <w:rFonts w:hint="eastAsia" w:hAnsi="宋体" w:cs="宋体"/>
              </w:rPr>
              <w:t>信息安全保障人员认证CISAW(安全集成)的，每提供一个证书得2分，本项最高得4分。</w:t>
            </w:r>
          </w:p>
          <w:p w14:paraId="324F7B98">
            <w:pPr>
              <w:widowControl/>
              <w:rPr>
                <w:rFonts w:hint="eastAsia" w:hAnsi="宋体" w:cs="宋体"/>
              </w:rPr>
            </w:pPr>
            <w:r>
              <w:rPr>
                <w:rFonts w:hint="eastAsia" w:hAnsi="宋体" w:cs="宋体"/>
              </w:rPr>
              <w:t>注：投标文件中提供项目负责人简介、主管部门颁发的人员对应证书复印件及招标公告发出前一个月社保缴纳证明材料复印件加盖公章，提供不全不予计分。</w:t>
            </w:r>
          </w:p>
        </w:tc>
        <w:tc>
          <w:tcPr>
            <w:tcW w:w="808" w:type="dxa"/>
            <w:vAlign w:val="center"/>
          </w:tcPr>
          <w:p w14:paraId="53E07013">
            <w:pPr>
              <w:widowControl/>
              <w:jc w:val="center"/>
              <w:rPr>
                <w:rFonts w:hAnsi="宋体" w:cs="宋体"/>
              </w:rPr>
            </w:pPr>
            <w:r>
              <w:rPr>
                <w:rFonts w:hint="eastAsia" w:hAnsi="宋体" w:cs="宋体"/>
              </w:rPr>
              <w:t>4分</w:t>
            </w:r>
          </w:p>
        </w:tc>
        <w:tc>
          <w:tcPr>
            <w:tcW w:w="718" w:type="dxa"/>
            <w:vAlign w:val="center"/>
          </w:tcPr>
          <w:p w14:paraId="51E50449">
            <w:pPr>
              <w:widowControl/>
              <w:jc w:val="center"/>
              <w:rPr>
                <w:rFonts w:ascii="宋体" w:hAnsi="宋体" w:cs="宋体"/>
                <w:szCs w:val="21"/>
              </w:rPr>
            </w:pPr>
            <w:r>
              <w:rPr>
                <w:rFonts w:hint="eastAsia" w:ascii="宋体" w:hAnsi="宋体" w:cs="宋体"/>
                <w:szCs w:val="21"/>
              </w:rPr>
              <w:t>客观评审</w:t>
            </w:r>
          </w:p>
        </w:tc>
      </w:tr>
      <w:tr w14:paraId="088C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Merge w:val="continue"/>
            <w:vAlign w:val="center"/>
          </w:tcPr>
          <w:p w14:paraId="4E391050">
            <w:pPr>
              <w:widowControl/>
              <w:jc w:val="center"/>
              <w:rPr>
                <w:rFonts w:hAnsi="宋体" w:cs="宋体"/>
              </w:rPr>
            </w:pPr>
          </w:p>
        </w:tc>
        <w:tc>
          <w:tcPr>
            <w:tcW w:w="1164" w:type="dxa"/>
            <w:vMerge w:val="continue"/>
            <w:vAlign w:val="center"/>
          </w:tcPr>
          <w:p w14:paraId="1B725CF0">
            <w:pPr>
              <w:widowControl/>
              <w:jc w:val="center"/>
              <w:rPr>
                <w:rFonts w:hAnsi="宋体" w:cs="宋体"/>
                <w:color w:val="0000FF"/>
              </w:rPr>
            </w:pPr>
          </w:p>
        </w:tc>
        <w:tc>
          <w:tcPr>
            <w:tcW w:w="6499" w:type="dxa"/>
            <w:vAlign w:val="center"/>
          </w:tcPr>
          <w:p w14:paraId="6DF3333A">
            <w:pPr>
              <w:widowControl/>
              <w:rPr>
                <w:rFonts w:hint="eastAsia" w:hAnsi="宋体" w:cs="宋体"/>
              </w:rPr>
            </w:pPr>
            <w:r>
              <w:rPr>
                <w:rFonts w:hint="eastAsia" w:hAnsi="宋体" w:cs="宋体"/>
              </w:rPr>
              <w:t>技术负责人：供应商拟派本项目的技术负责人具有系统分析师(高级)</w:t>
            </w:r>
            <w:r>
              <w:rPr>
                <w:rFonts w:hint="eastAsia" w:hAnsi="宋体" w:cs="宋体"/>
                <w:lang w:eastAsia="zh-CN"/>
              </w:rPr>
              <w:t>、</w:t>
            </w:r>
            <w:r>
              <w:rPr>
                <w:rFonts w:hint="eastAsia" w:hAnsi="宋体" w:cs="宋体"/>
              </w:rPr>
              <w:t>系统架构设计师、信息系统项目管理师</w:t>
            </w:r>
            <w:r>
              <w:rPr>
                <w:rFonts w:hint="eastAsia" w:hAnsi="宋体" w:cs="宋体"/>
                <w:lang w:eastAsia="zh-CN"/>
              </w:rPr>
              <w:t>、</w:t>
            </w:r>
            <w:r>
              <w:rPr>
                <w:rFonts w:hint="eastAsia" w:hAnsi="宋体" w:cs="宋体"/>
              </w:rPr>
              <w:t>软件设计师、通信工程师，每提供一个证书得1分，本项最高得2分。</w:t>
            </w:r>
          </w:p>
          <w:p w14:paraId="1977095C">
            <w:pPr>
              <w:widowControl/>
              <w:rPr>
                <w:rFonts w:hint="eastAsia" w:hAnsi="宋体" w:cs="宋体"/>
              </w:rPr>
            </w:pPr>
            <w:r>
              <w:rPr>
                <w:rFonts w:hint="eastAsia" w:hAnsi="宋体" w:cs="宋体"/>
              </w:rPr>
              <w:t>注：投标文件中提供技术负责人简介、主管部门颁发的人员对应证书复印件及招标公告发出前一个月社保缴纳证明材料复印件加盖公章，提供不全不予计分。</w:t>
            </w:r>
          </w:p>
        </w:tc>
        <w:tc>
          <w:tcPr>
            <w:tcW w:w="808" w:type="dxa"/>
            <w:vAlign w:val="center"/>
          </w:tcPr>
          <w:p w14:paraId="18DA7D6A">
            <w:pPr>
              <w:widowControl/>
              <w:jc w:val="center"/>
              <w:rPr>
                <w:rFonts w:hAnsi="宋体" w:cs="宋体"/>
              </w:rPr>
            </w:pPr>
            <w:r>
              <w:rPr>
                <w:rFonts w:hint="eastAsia" w:hAnsi="宋体" w:cs="宋体"/>
              </w:rPr>
              <w:t>2分</w:t>
            </w:r>
          </w:p>
        </w:tc>
        <w:tc>
          <w:tcPr>
            <w:tcW w:w="718" w:type="dxa"/>
            <w:vAlign w:val="center"/>
          </w:tcPr>
          <w:p w14:paraId="495C0C1A">
            <w:pPr>
              <w:widowControl/>
              <w:jc w:val="center"/>
              <w:rPr>
                <w:rFonts w:ascii="宋体" w:hAnsi="宋体" w:cs="宋体"/>
                <w:szCs w:val="21"/>
              </w:rPr>
            </w:pPr>
            <w:r>
              <w:rPr>
                <w:rFonts w:hint="eastAsia" w:ascii="宋体" w:hAnsi="宋体" w:cs="宋体"/>
                <w:szCs w:val="21"/>
              </w:rPr>
              <w:t>客观评审</w:t>
            </w:r>
          </w:p>
        </w:tc>
      </w:tr>
      <w:tr w14:paraId="39CC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84" w:type="dxa"/>
            <w:vMerge w:val="continue"/>
            <w:vAlign w:val="center"/>
          </w:tcPr>
          <w:p w14:paraId="1568F2B3">
            <w:pPr>
              <w:widowControl/>
              <w:jc w:val="center"/>
              <w:rPr>
                <w:rFonts w:hAnsi="宋体" w:cs="宋体"/>
              </w:rPr>
            </w:pPr>
          </w:p>
        </w:tc>
        <w:tc>
          <w:tcPr>
            <w:tcW w:w="1164" w:type="dxa"/>
            <w:vMerge w:val="continue"/>
            <w:vAlign w:val="center"/>
          </w:tcPr>
          <w:p w14:paraId="0FBF0E5D">
            <w:pPr>
              <w:widowControl/>
              <w:jc w:val="center"/>
              <w:rPr>
                <w:rFonts w:hAnsi="宋体" w:cs="宋体"/>
                <w:color w:val="0000FF"/>
              </w:rPr>
            </w:pPr>
          </w:p>
        </w:tc>
        <w:tc>
          <w:tcPr>
            <w:tcW w:w="6499" w:type="dxa"/>
            <w:vAlign w:val="center"/>
          </w:tcPr>
          <w:p w14:paraId="59C2A2E3">
            <w:pPr>
              <w:widowControl/>
              <w:rPr>
                <w:rFonts w:hint="eastAsia" w:hAnsi="宋体" w:cs="宋体"/>
              </w:rPr>
            </w:pPr>
            <w:r>
              <w:rPr>
                <w:rFonts w:hint="eastAsia" w:hAnsi="宋体" w:cs="宋体"/>
              </w:rPr>
              <w:t>供应商拟派本项目的项目团队成员(除项目负责人和技术负责人)具有软件评测师、高级工程师(信息技术)、、网络安全能力认证CCSC</w:t>
            </w:r>
            <w:r>
              <w:rPr>
                <w:rFonts w:hint="eastAsia" w:hAnsi="宋体" w:cs="宋体"/>
                <w:lang w:eastAsia="zh-CN"/>
              </w:rPr>
              <w:t>、</w:t>
            </w:r>
            <w:r>
              <w:rPr>
                <w:rFonts w:hint="eastAsia" w:hAnsi="宋体" w:cs="宋体"/>
              </w:rPr>
              <w:t>CISP、数据库系统工程师，每提供个证书得1分，本项最高得3分。(若1人同时具有多类证书，只能按其中一类证书计算其得分)须提供招标公告发出前一个月社保缴纳证明材料复印件加盖公章。</w:t>
            </w:r>
          </w:p>
        </w:tc>
        <w:tc>
          <w:tcPr>
            <w:tcW w:w="808" w:type="dxa"/>
            <w:vAlign w:val="center"/>
          </w:tcPr>
          <w:p w14:paraId="63F99646">
            <w:pPr>
              <w:widowControl/>
              <w:jc w:val="center"/>
              <w:rPr>
                <w:rFonts w:hAnsi="宋体" w:cs="宋体"/>
              </w:rPr>
            </w:pPr>
            <w:r>
              <w:rPr>
                <w:rFonts w:hint="eastAsia" w:hAnsi="宋体" w:cs="宋体"/>
              </w:rPr>
              <w:t>3分</w:t>
            </w:r>
          </w:p>
        </w:tc>
        <w:tc>
          <w:tcPr>
            <w:tcW w:w="718" w:type="dxa"/>
            <w:vAlign w:val="center"/>
          </w:tcPr>
          <w:p w14:paraId="3B58FF1D">
            <w:pPr>
              <w:widowControl/>
              <w:jc w:val="center"/>
              <w:rPr>
                <w:rFonts w:ascii="宋体" w:hAnsi="宋体" w:cs="宋体"/>
                <w:szCs w:val="21"/>
              </w:rPr>
            </w:pPr>
            <w:r>
              <w:rPr>
                <w:rFonts w:hint="eastAsia" w:ascii="宋体" w:hAnsi="宋体" w:cs="宋体"/>
                <w:szCs w:val="21"/>
              </w:rPr>
              <w:t>客观评审</w:t>
            </w:r>
          </w:p>
        </w:tc>
      </w:tr>
      <w:tr w14:paraId="0FE0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84" w:type="dxa"/>
            <w:vAlign w:val="center"/>
          </w:tcPr>
          <w:p w14:paraId="3D9519B2">
            <w:pPr>
              <w:widowControl/>
              <w:jc w:val="center"/>
              <w:rPr>
                <w:rFonts w:hint="default" w:hAnsi="宋体" w:eastAsia="宋体" w:cs="宋体"/>
                <w:lang w:val="en-US" w:eastAsia="zh-CN"/>
              </w:rPr>
            </w:pPr>
            <w:r>
              <w:rPr>
                <w:rFonts w:hint="eastAsia" w:hAnsi="宋体" w:cs="宋体"/>
                <w:lang w:val="en-US" w:eastAsia="zh-CN"/>
              </w:rPr>
              <w:t>10</w:t>
            </w:r>
          </w:p>
        </w:tc>
        <w:tc>
          <w:tcPr>
            <w:tcW w:w="1164" w:type="dxa"/>
            <w:vAlign w:val="center"/>
          </w:tcPr>
          <w:p w14:paraId="1F431A96">
            <w:pPr>
              <w:widowControl/>
              <w:jc w:val="center"/>
              <w:rPr>
                <w:rFonts w:hAnsi="宋体" w:cs="宋体"/>
              </w:rPr>
            </w:pPr>
            <w:r>
              <w:rPr>
                <w:rFonts w:hint="eastAsia" w:hAnsi="宋体" w:cs="宋体"/>
              </w:rPr>
              <w:t>类似业绩</w:t>
            </w:r>
          </w:p>
        </w:tc>
        <w:tc>
          <w:tcPr>
            <w:tcW w:w="6499" w:type="dxa"/>
            <w:vAlign w:val="center"/>
          </w:tcPr>
          <w:p w14:paraId="1A0A583A">
            <w:pPr>
              <w:widowControl/>
              <w:rPr>
                <w:rFonts w:hint="eastAsia" w:hAnsi="宋体" w:cs="宋体"/>
              </w:rPr>
            </w:pPr>
            <w:r>
              <w:rPr>
                <w:rFonts w:hint="eastAsia" w:hAnsi="宋体" w:cs="宋体"/>
              </w:rPr>
              <w:t>供应商自2022年1月1日至今（以合同签订时间为准）承担过环保</w:t>
            </w:r>
            <w:r>
              <w:rPr>
                <w:rFonts w:hint="eastAsia" w:hAnsi="宋体" w:cs="宋体"/>
                <w:lang w:eastAsia="zh-CN"/>
              </w:rPr>
              <w:t>信息化</w:t>
            </w:r>
            <w:r>
              <w:rPr>
                <w:rFonts w:hint="eastAsia" w:hAnsi="宋体" w:cs="宋体"/>
              </w:rPr>
              <w:t>相关项目的，每提供一个得1分，本项最高得2分。（提供合同复印件，未提供或者提供不全的不加分。）</w:t>
            </w:r>
          </w:p>
        </w:tc>
        <w:tc>
          <w:tcPr>
            <w:tcW w:w="808" w:type="dxa"/>
            <w:vAlign w:val="center"/>
          </w:tcPr>
          <w:p w14:paraId="70AC925E">
            <w:pPr>
              <w:widowControl/>
              <w:jc w:val="center"/>
              <w:rPr>
                <w:rFonts w:hAnsi="宋体" w:cs="宋体"/>
              </w:rPr>
            </w:pPr>
            <w:r>
              <w:rPr>
                <w:rFonts w:hint="eastAsia" w:hAnsi="宋体" w:cs="宋体"/>
              </w:rPr>
              <w:t>2分</w:t>
            </w:r>
          </w:p>
        </w:tc>
        <w:tc>
          <w:tcPr>
            <w:tcW w:w="718" w:type="dxa"/>
            <w:vAlign w:val="center"/>
          </w:tcPr>
          <w:p w14:paraId="49D7CCB7">
            <w:pPr>
              <w:widowControl/>
              <w:jc w:val="center"/>
              <w:rPr>
                <w:rFonts w:hAnsi="宋体" w:cs="宋体"/>
              </w:rPr>
            </w:pPr>
            <w:r>
              <w:rPr>
                <w:rFonts w:hint="eastAsia" w:ascii="宋体" w:hAnsi="宋体" w:cs="宋体"/>
                <w:szCs w:val="21"/>
              </w:rPr>
              <w:t>客观评审</w:t>
            </w:r>
          </w:p>
        </w:tc>
      </w:tr>
      <w:tr w14:paraId="19E2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84" w:type="dxa"/>
            <w:vAlign w:val="center"/>
          </w:tcPr>
          <w:p w14:paraId="14E52BCD">
            <w:pPr>
              <w:widowControl/>
              <w:jc w:val="center"/>
              <w:rPr>
                <w:rFonts w:hint="default" w:hAnsi="宋体" w:eastAsia="宋体" w:cs="宋体"/>
                <w:lang w:val="en-US" w:eastAsia="zh-CN"/>
              </w:rPr>
            </w:pPr>
            <w:r>
              <w:rPr>
                <w:rFonts w:hint="eastAsia" w:hAnsi="宋体" w:cs="宋体"/>
                <w:lang w:val="en-US" w:eastAsia="zh-CN"/>
              </w:rPr>
              <w:t>11</w:t>
            </w:r>
          </w:p>
        </w:tc>
        <w:tc>
          <w:tcPr>
            <w:tcW w:w="1164" w:type="dxa"/>
            <w:vAlign w:val="center"/>
          </w:tcPr>
          <w:p w14:paraId="7F685A84">
            <w:pPr>
              <w:widowControl/>
              <w:jc w:val="center"/>
              <w:rPr>
                <w:rFonts w:hAnsi="宋体" w:cs="宋体"/>
              </w:rPr>
            </w:pPr>
            <w:r>
              <w:rPr>
                <w:rFonts w:hint="eastAsia" w:hAnsi="宋体" w:cs="宋体"/>
              </w:rPr>
              <w:t>价格分</w:t>
            </w:r>
          </w:p>
        </w:tc>
        <w:tc>
          <w:tcPr>
            <w:tcW w:w="6499" w:type="dxa"/>
            <w:vAlign w:val="center"/>
          </w:tcPr>
          <w:p w14:paraId="03213FC3">
            <w:pPr>
              <w:widowControl/>
              <w:rPr>
                <w:rFonts w:hAnsi="宋体" w:cs="宋体"/>
              </w:rPr>
            </w:pPr>
            <w:r>
              <w:rPr>
                <w:rFonts w:hint="eastAsia" w:hAnsi="宋体" w:cs="宋体"/>
              </w:rPr>
              <w:t>参与评审的价格=投标报价-小微企业价格扣除优惠值（10%）</w:t>
            </w:r>
          </w:p>
          <w:p w14:paraId="47CEB257">
            <w:pPr>
              <w:widowControl/>
              <w:rPr>
                <w:rFonts w:hAnsi="宋体" w:cs="宋体"/>
              </w:rPr>
            </w:pPr>
            <w:r>
              <w:rPr>
                <w:rFonts w:hint="eastAsia" w:hAnsi="宋体" w:cs="宋体"/>
              </w:rPr>
              <w:t>评标基准价=满足招标文件要求且“参与评审的价格”中最低的价格</w:t>
            </w:r>
          </w:p>
          <w:p w14:paraId="301E1F64">
            <w:pPr>
              <w:widowControl/>
              <w:rPr>
                <w:rFonts w:hAnsi="宋体" w:cs="宋体"/>
              </w:rPr>
            </w:pPr>
            <w:r>
              <w:rPr>
                <w:rFonts w:hint="eastAsia" w:hAnsi="宋体" w:cs="宋体"/>
              </w:rPr>
              <w:t>投标报价与评标基准价一致的得满分30分，其他投标报价得分计算公式如下：</w:t>
            </w:r>
          </w:p>
          <w:p w14:paraId="7EE30BD5">
            <w:pPr>
              <w:widowControl/>
              <w:rPr>
                <w:rFonts w:hAnsi="宋体" w:cs="宋体"/>
              </w:rPr>
            </w:pPr>
            <w:r>
              <w:rPr>
                <w:rFonts w:hint="eastAsia" w:hAnsi="宋体" w:cs="宋体"/>
              </w:rPr>
              <w:t>投标报价得分=（评标基准价/参与评审的价格）×30%×100</w:t>
            </w:r>
          </w:p>
        </w:tc>
        <w:tc>
          <w:tcPr>
            <w:tcW w:w="808" w:type="dxa"/>
            <w:vAlign w:val="center"/>
          </w:tcPr>
          <w:p w14:paraId="0CE67D8D">
            <w:pPr>
              <w:widowControl/>
              <w:jc w:val="center"/>
              <w:rPr>
                <w:rFonts w:hAnsi="宋体" w:cs="宋体"/>
              </w:rPr>
            </w:pPr>
            <w:r>
              <w:rPr>
                <w:rFonts w:hint="eastAsia" w:hAnsi="宋体" w:cs="宋体"/>
              </w:rPr>
              <w:t>30分</w:t>
            </w:r>
          </w:p>
        </w:tc>
        <w:tc>
          <w:tcPr>
            <w:tcW w:w="718" w:type="dxa"/>
            <w:vAlign w:val="center"/>
          </w:tcPr>
          <w:p w14:paraId="5FC350E9">
            <w:pPr>
              <w:widowControl/>
              <w:jc w:val="center"/>
              <w:rPr>
                <w:rFonts w:hAnsi="宋体" w:cs="宋体"/>
              </w:rPr>
            </w:pPr>
            <w:r>
              <w:rPr>
                <w:rFonts w:hint="eastAsia" w:ascii="宋体" w:hAnsi="宋体" w:cs="宋体"/>
                <w:szCs w:val="21"/>
              </w:rPr>
              <w:t>客观评审</w:t>
            </w:r>
          </w:p>
        </w:tc>
      </w:tr>
    </w:tbl>
    <w:p w14:paraId="3628D622">
      <w:pPr>
        <w:snapToGrid w:val="0"/>
        <w:spacing w:line="360" w:lineRule="auto"/>
        <w:rPr>
          <w:rFonts w:ascii="宋体" w:hAnsi="宋体" w:cs="宋体"/>
          <w:szCs w:val="21"/>
        </w:rPr>
      </w:pPr>
      <w:r>
        <w:rPr>
          <w:rFonts w:hint="eastAsia" w:ascii="宋体" w:hAnsi="宋体" w:cs="宋体"/>
          <w:b/>
          <w:szCs w:val="21"/>
        </w:rPr>
        <w:t>备注：1、小数点后保留二位数。2、各评审小组成员自行按以上参考分值评分。3、重大事件由评标委员会集体讨论，应当按照少数服从多数的原则作出结论。4、</w:t>
      </w:r>
      <w:r>
        <w:rPr>
          <w:rFonts w:hint="eastAsia" w:ascii="宋体" w:hAnsi="宋体" w:cs="宋体"/>
          <w:b/>
          <w:bCs/>
          <w:szCs w:val="21"/>
        </w:rPr>
        <w:t>投标人编制投标文件（商务技术文件部分）时，建议按此目录（序号和内容）提供评标标准相应的商务技术资料。</w:t>
      </w:r>
    </w:p>
    <w:p w14:paraId="26D3193A">
      <w:pPr>
        <w:snapToGrid w:val="0"/>
        <w:spacing w:line="360" w:lineRule="auto"/>
        <w:rPr>
          <w:rFonts w:ascii="宋体" w:hAnsi="宋体" w:cs="宋体"/>
          <w:b/>
          <w:szCs w:val="21"/>
        </w:rPr>
      </w:pPr>
      <w:r>
        <w:rPr>
          <w:rFonts w:hint="eastAsia" w:ascii="宋体" w:hAnsi="宋体" w:cs="宋体"/>
          <w:b/>
          <w:szCs w:val="21"/>
        </w:rPr>
        <w:t>一、评标方法</w:t>
      </w:r>
    </w:p>
    <w:p w14:paraId="25BB9214">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54C85840">
      <w:pPr>
        <w:adjustRightInd/>
        <w:spacing w:line="360" w:lineRule="auto"/>
        <w:rPr>
          <w:rFonts w:ascii="宋体" w:hAnsi="宋体" w:cs="宋体"/>
          <w:kern w:val="0"/>
          <w:szCs w:val="21"/>
        </w:rPr>
      </w:pPr>
      <w:r>
        <w:rPr>
          <w:rFonts w:hint="eastAsia" w:ascii="宋体" w:hAnsi="宋体" w:cs="宋体"/>
          <w:b/>
          <w:szCs w:val="21"/>
        </w:rPr>
        <w:t>二、评标标准</w:t>
      </w:r>
    </w:p>
    <w:p w14:paraId="46F69B59">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评标标准：</w:t>
      </w:r>
      <w:r>
        <w:rPr>
          <w:rFonts w:hint="eastAsia" w:ascii="宋体" w:hAnsi="宋体" w:cs="宋体"/>
          <w:kern w:val="0"/>
          <w:szCs w:val="21"/>
        </w:rPr>
        <w:t>见评标办法前附表。</w:t>
      </w:r>
    </w:p>
    <w:p w14:paraId="791AF9DC">
      <w:pPr>
        <w:spacing w:line="360" w:lineRule="auto"/>
        <w:rPr>
          <w:rFonts w:ascii="宋体" w:hAnsi="宋体" w:cs="宋体"/>
          <w:b/>
          <w:szCs w:val="21"/>
        </w:rPr>
      </w:pPr>
      <w:r>
        <w:rPr>
          <w:rFonts w:hint="eastAsia" w:ascii="宋体" w:hAnsi="宋体" w:cs="宋体"/>
          <w:b/>
          <w:szCs w:val="21"/>
        </w:rPr>
        <w:t>三、评标程序</w:t>
      </w:r>
    </w:p>
    <w:p w14:paraId="43A055E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13547AAF">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6C799455">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7ED85B8A">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14:paraId="698D9DD7">
      <w:pPr>
        <w:pStyle w:val="139"/>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3B7E8A3E">
      <w:pPr>
        <w:pStyle w:val="139"/>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7ADF6B6F">
      <w:pPr>
        <w:pStyle w:val="139"/>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633682F2">
      <w:pPr>
        <w:pStyle w:val="139"/>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43D562B7">
      <w:pPr>
        <w:pStyle w:val="139"/>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11EC265B">
      <w:pPr>
        <w:pStyle w:val="139"/>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66B5074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2D75F9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29D63312">
      <w:pPr>
        <w:pStyle w:val="139"/>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EC925B4">
      <w:pPr>
        <w:pStyle w:val="139"/>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681391">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60C37CF1">
      <w:pPr>
        <w:spacing w:line="360" w:lineRule="auto"/>
        <w:ind w:firstLine="420" w:firstLineChars="200"/>
        <w:rPr>
          <w:rFonts w:ascii="宋体" w:hAnsi="宋体" w:cs="宋体"/>
          <w:b/>
          <w:kern w:val="0"/>
          <w:szCs w:val="21"/>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8DF939">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6EB792">
      <w:pPr>
        <w:widowControl/>
        <w:adjustRightInd/>
        <w:spacing w:line="360" w:lineRule="auto"/>
        <w:jc w:val="left"/>
        <w:rPr>
          <w:rFonts w:ascii="宋体" w:hAnsi="宋体" w:cs="宋体"/>
          <w:b/>
          <w:szCs w:val="21"/>
        </w:rPr>
      </w:pPr>
      <w:r>
        <w:rPr>
          <w:rFonts w:hint="eastAsia" w:ascii="宋体" w:hAnsi="宋体" w:cs="宋体"/>
          <w:b/>
          <w:szCs w:val="21"/>
        </w:rPr>
        <w:t>四、评标中的其他事项</w:t>
      </w:r>
    </w:p>
    <w:p w14:paraId="6EB090C6">
      <w:pPr>
        <w:pStyle w:val="139"/>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6460FFE">
      <w:pPr>
        <w:pStyle w:val="19"/>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有下列情形之一的，投标无效：</w:t>
      </w:r>
    </w:p>
    <w:p w14:paraId="73AB5F48">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2E0DF56D">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4DE360AE">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4.2.3采购人拟采购的产品属于政府强制采购的节能产品品目清单范围的，投标人相应的投标产品未获得国家确定的认证机构出具的、处于有效期之内的节能产品认证证书的；</w:t>
      </w:r>
    </w:p>
    <w:p w14:paraId="6D62F20A">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46221EDF">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15385D8A">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14:paraId="3FDD6618">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14:paraId="29B230FF">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14:paraId="50EEBACE">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14:paraId="4A8D968B">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14:paraId="4E39800B">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14:paraId="17A5CDD7">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4.2.12投标人仅提交备份投标文件，未在电子交易平台传输递交投标文件的，投标无效；</w:t>
      </w:r>
    </w:p>
    <w:p w14:paraId="7ACCEA2F">
      <w:pPr>
        <w:spacing w:line="360" w:lineRule="auto"/>
        <w:ind w:firstLine="420" w:firstLineChars="200"/>
        <w:rPr>
          <w:rFonts w:ascii="宋体" w:hAnsi="宋体" w:cs="宋体"/>
          <w:kern w:val="0"/>
          <w:szCs w:val="21"/>
        </w:rPr>
      </w:pPr>
      <w:r>
        <w:rPr>
          <w:rFonts w:hint="eastAsia" w:ascii="宋体" w:hAnsi="宋体" w:cs="宋体"/>
          <w:kern w:val="0"/>
          <w:szCs w:val="21"/>
        </w:rPr>
        <w:t>4.2.13投标文件不满足招标文件的其它实质性要求的；</w:t>
      </w:r>
    </w:p>
    <w:p w14:paraId="68621BE4">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2055BCC1">
      <w:pPr>
        <w:pStyle w:val="19"/>
        <w:snapToGrid w:val="0"/>
        <w:spacing w:line="360" w:lineRule="auto"/>
        <w:ind w:firstLine="413" w:firstLineChars="196"/>
        <w:rPr>
          <w:rFonts w:cs="宋体"/>
          <w:b/>
          <w:sz w:val="21"/>
          <w:szCs w:val="21"/>
        </w:rPr>
      </w:pPr>
      <w:r>
        <w:rPr>
          <w:rFonts w:hint="eastAsia" w:cs="宋体"/>
          <w:b/>
          <w:sz w:val="21"/>
          <w:szCs w:val="21"/>
        </w:rPr>
        <w:t>4.2.15投标供应商的IP、MAC、硬件信息等系统信息存在异常情形的；</w:t>
      </w:r>
    </w:p>
    <w:p w14:paraId="72832559">
      <w:pPr>
        <w:pStyle w:val="19"/>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2303F3AA">
      <w:pPr>
        <w:pStyle w:val="19"/>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14:paraId="11BBC85B">
      <w:pPr>
        <w:pStyle w:val="19"/>
        <w:snapToGrid w:val="0"/>
        <w:spacing w:line="360" w:lineRule="auto"/>
        <w:ind w:firstLine="420"/>
        <w:rPr>
          <w:rFonts w:cs="宋体"/>
          <w:sz w:val="21"/>
          <w:szCs w:val="21"/>
        </w:rPr>
      </w:pPr>
      <w:r>
        <w:rPr>
          <w:rFonts w:hint="eastAsia" w:cs="宋体"/>
          <w:sz w:val="21"/>
          <w:szCs w:val="21"/>
        </w:rPr>
        <w:t>5.2出现影响采购公正的违法、违规行为的；</w:t>
      </w:r>
    </w:p>
    <w:p w14:paraId="5B5325EE">
      <w:pPr>
        <w:pStyle w:val="19"/>
        <w:snapToGrid w:val="0"/>
        <w:spacing w:line="360" w:lineRule="auto"/>
        <w:ind w:firstLine="420"/>
        <w:rPr>
          <w:rFonts w:cs="宋体"/>
          <w:sz w:val="21"/>
          <w:szCs w:val="21"/>
        </w:rPr>
      </w:pPr>
      <w:r>
        <w:rPr>
          <w:rFonts w:hint="eastAsia" w:cs="宋体"/>
          <w:sz w:val="21"/>
          <w:szCs w:val="21"/>
        </w:rPr>
        <w:t>5.3投标人的报价均超过了采购预算，采购人不能支付的；</w:t>
      </w:r>
    </w:p>
    <w:p w14:paraId="2DDFC4DD">
      <w:pPr>
        <w:pStyle w:val="19"/>
        <w:snapToGrid w:val="0"/>
        <w:spacing w:line="360" w:lineRule="auto"/>
        <w:ind w:firstLine="420"/>
        <w:rPr>
          <w:rFonts w:cs="宋体"/>
          <w:sz w:val="21"/>
          <w:szCs w:val="21"/>
        </w:rPr>
      </w:pPr>
      <w:r>
        <w:rPr>
          <w:rFonts w:hint="eastAsia" w:cs="宋体"/>
          <w:sz w:val="21"/>
          <w:szCs w:val="21"/>
        </w:rPr>
        <w:t>5.4因重大变故，采购任务取消的。</w:t>
      </w:r>
    </w:p>
    <w:p w14:paraId="4F4A91CF">
      <w:pPr>
        <w:pStyle w:val="19"/>
        <w:snapToGrid w:val="0"/>
        <w:spacing w:line="360" w:lineRule="auto"/>
        <w:ind w:firstLine="420"/>
        <w:rPr>
          <w:rFonts w:cs="宋体"/>
          <w:sz w:val="21"/>
          <w:szCs w:val="21"/>
        </w:rPr>
      </w:pPr>
      <w:r>
        <w:rPr>
          <w:rFonts w:hint="eastAsia" w:cs="宋体"/>
          <w:sz w:val="21"/>
          <w:szCs w:val="21"/>
        </w:rPr>
        <w:t>废标后，采购代理机构应当将废标理由通知所有投标人。</w:t>
      </w:r>
    </w:p>
    <w:p w14:paraId="5885F430">
      <w:pPr>
        <w:pStyle w:val="19"/>
        <w:snapToGrid w:val="0"/>
        <w:spacing w:line="360" w:lineRule="auto"/>
        <w:ind w:firstLine="517" w:firstLineChars="245"/>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55F6FA8">
      <w:pPr>
        <w:pStyle w:val="19"/>
        <w:snapToGrid w:val="0"/>
        <w:spacing w:line="360"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有政府采购法第七十一条、第七十二条规定的违法行为之一，影响或者可能影响中标结果的，依照下列规定处理：</w:t>
      </w:r>
    </w:p>
    <w:p w14:paraId="02980AF5">
      <w:pPr>
        <w:pStyle w:val="19"/>
        <w:snapToGrid w:val="0"/>
        <w:spacing w:line="360" w:lineRule="auto"/>
        <w:ind w:firstLine="420"/>
        <w:rPr>
          <w:rFonts w:cs="宋体"/>
          <w:sz w:val="21"/>
          <w:szCs w:val="21"/>
        </w:rPr>
      </w:pPr>
      <w:r>
        <w:rPr>
          <w:rFonts w:hint="eastAsia" w:cs="宋体"/>
          <w:sz w:val="21"/>
          <w:szCs w:val="21"/>
        </w:rPr>
        <w:t>7.1未确定中标人的，终止本次政府采购活动，重新开展政府采购活动。</w:t>
      </w:r>
    </w:p>
    <w:p w14:paraId="62E0306A">
      <w:pPr>
        <w:pStyle w:val="19"/>
        <w:snapToGrid w:val="0"/>
        <w:spacing w:line="360" w:lineRule="auto"/>
        <w:ind w:firstLine="420"/>
        <w:rPr>
          <w:rFonts w:cs="宋体"/>
          <w:sz w:val="21"/>
          <w:szCs w:val="21"/>
        </w:rPr>
      </w:pPr>
      <w:r>
        <w:rPr>
          <w:rFonts w:hint="eastAsia" w:cs="宋体"/>
          <w:sz w:val="21"/>
          <w:szCs w:val="21"/>
        </w:rPr>
        <w:t>7.2已确定中标人但尚未签订政府采购合同的，中标结果无效，从合格的中标候选人中另行确定中标人；没有合格的中标候选人的，重新开展政府采购活动。</w:t>
      </w:r>
    </w:p>
    <w:p w14:paraId="32E54EA0">
      <w:pPr>
        <w:pStyle w:val="19"/>
        <w:snapToGrid w:val="0"/>
        <w:spacing w:line="360" w:lineRule="auto"/>
        <w:ind w:firstLine="420"/>
        <w:rPr>
          <w:rFonts w:cs="宋体"/>
          <w:sz w:val="21"/>
          <w:szCs w:val="21"/>
        </w:rPr>
      </w:pPr>
      <w:r>
        <w:rPr>
          <w:rFonts w:hint="eastAsia" w:cs="宋体"/>
          <w:sz w:val="21"/>
          <w:szCs w:val="21"/>
        </w:rPr>
        <w:t>7.3政府采购合同已签订但尚未履行的，撤销合同，从合格的中标候选人中另行确定中标人；没有合格的中标候选人的，重新开展政府采购活动。</w:t>
      </w:r>
    </w:p>
    <w:p w14:paraId="04501BA7">
      <w:pPr>
        <w:pStyle w:val="19"/>
        <w:snapToGrid w:val="0"/>
        <w:spacing w:line="360" w:lineRule="auto"/>
        <w:ind w:firstLine="420"/>
        <w:rPr>
          <w:rFonts w:cs="宋体"/>
          <w:sz w:val="21"/>
          <w:szCs w:val="21"/>
        </w:rPr>
      </w:pPr>
      <w:r>
        <w:rPr>
          <w:rFonts w:hint="eastAsia" w:cs="宋体"/>
          <w:sz w:val="21"/>
          <w:szCs w:val="21"/>
        </w:rPr>
        <w:t>7.4政府采购合同已经履行，给采购人、供应商造成损失的，由责任人承担赔偿责任。</w:t>
      </w:r>
    </w:p>
    <w:p w14:paraId="77A75DD3">
      <w:pPr>
        <w:pStyle w:val="19"/>
        <w:snapToGrid w:val="0"/>
        <w:spacing w:line="360" w:lineRule="auto"/>
        <w:ind w:firstLine="420"/>
      </w:pPr>
      <w:r>
        <w:rPr>
          <w:rFonts w:hint="eastAsia" w:cs="宋体"/>
          <w:sz w:val="21"/>
          <w:szCs w:val="21"/>
        </w:rPr>
        <w:t>7.5政府采购当事人有其他违反政府采购法或者政府采购法实施条例等法律法规规定的行为，经改正后仍然影响或者可能影响中标结果或者依法被认定为中标无效的，依照7.1-7.4规定处理。</w:t>
      </w:r>
      <w:bookmarkEnd w:id="42"/>
      <w:bookmarkStart w:id="439" w:name="第五部分"/>
      <w:bookmarkStart w:id="440" w:name="_Toc86217003"/>
    </w:p>
    <w:p w14:paraId="102B9486">
      <w:pPr>
        <w:pStyle w:val="5"/>
      </w:pPr>
    </w:p>
    <w:p w14:paraId="7CE1CF9B">
      <w:pPr>
        <w:pStyle w:val="5"/>
        <w:sectPr>
          <w:pgSz w:w="11907" w:h="16840"/>
          <w:pgMar w:top="1474" w:right="1701" w:bottom="1474" w:left="1701" w:header="851" w:footer="851" w:gutter="0"/>
          <w:cols w:space="720" w:num="1"/>
        </w:sectPr>
      </w:pPr>
    </w:p>
    <w:p w14:paraId="21646171">
      <w:pPr>
        <w:pStyle w:val="19"/>
        <w:snapToGrid w:val="0"/>
        <w:spacing w:line="360" w:lineRule="auto"/>
        <w:ind w:firstLine="0" w:firstLineChars="0"/>
        <w:rPr>
          <w:rFonts w:cs="宋体"/>
        </w:rPr>
      </w:pPr>
    </w:p>
    <w:p w14:paraId="51EB240D">
      <w:pPr>
        <w:spacing w:line="360" w:lineRule="auto"/>
        <w:ind w:left="720" w:leftChars="343" w:firstLine="1084" w:firstLineChars="300"/>
        <w:outlineLvl w:val="0"/>
        <w:rPr>
          <w:rFonts w:ascii="宋体" w:hAnsi="宋体" w:cs="宋体"/>
          <w:b/>
          <w:sz w:val="28"/>
          <w:szCs w:val="28"/>
        </w:rPr>
      </w:pPr>
      <w:bookmarkStart w:id="441" w:name="_Toc8264"/>
      <w:r>
        <w:rPr>
          <w:rFonts w:hint="eastAsia" w:ascii="宋体" w:hAnsi="宋体" w:cs="宋体"/>
          <w:b/>
          <w:sz w:val="36"/>
          <w:szCs w:val="36"/>
        </w:rPr>
        <w:t>第五部分 拟签订的合同文本</w:t>
      </w:r>
      <w:bookmarkEnd w:id="441"/>
    </w:p>
    <w:p w14:paraId="4FB25829">
      <w:pPr>
        <w:spacing w:line="480" w:lineRule="auto"/>
        <w:jc w:val="center"/>
        <w:rPr>
          <w:rFonts w:ascii="宋体" w:hAnsi="宋体" w:cs="宋体"/>
          <w:b/>
          <w:sz w:val="24"/>
        </w:rPr>
      </w:pPr>
    </w:p>
    <w:p w14:paraId="25BDEAEB">
      <w:pPr>
        <w:spacing w:line="360" w:lineRule="auto"/>
        <w:rPr>
          <w:rFonts w:ascii="宋体" w:hAnsi="宋体" w:cs="宋体"/>
          <w:b/>
          <w:szCs w:val="21"/>
        </w:rPr>
      </w:pPr>
      <w:r>
        <w:rPr>
          <w:rFonts w:hint="eastAsia" w:ascii="宋体" w:hAnsi="宋体" w:cs="宋体"/>
          <w:b/>
          <w:szCs w:val="21"/>
        </w:rPr>
        <w:t>甲    方</w:t>
      </w:r>
      <w:r>
        <w:rPr>
          <w:rFonts w:hint="eastAsia" w:ascii="宋体" w:hAnsi="宋体" w:cs="宋体"/>
          <w:szCs w:val="21"/>
        </w:rPr>
        <w:t>（采购人）</w:t>
      </w:r>
      <w:r>
        <w:rPr>
          <w:rFonts w:hint="eastAsia" w:ascii="宋体" w:hAnsi="宋体" w:cs="宋体"/>
          <w:b/>
          <w:szCs w:val="21"/>
        </w:rPr>
        <w:t>：</w:t>
      </w:r>
      <w:r>
        <w:rPr>
          <w:rFonts w:hint="eastAsia" w:ascii="宋体" w:hAnsi="宋体" w:cs="宋体"/>
          <w:b/>
          <w:szCs w:val="21"/>
          <w:u w:val="single"/>
        </w:rPr>
        <w:t xml:space="preserve">                 </w:t>
      </w:r>
    </w:p>
    <w:p w14:paraId="6518FF77">
      <w:pPr>
        <w:spacing w:line="360" w:lineRule="auto"/>
        <w:rPr>
          <w:rFonts w:ascii="宋体" w:hAnsi="宋体" w:cs="宋体"/>
          <w:szCs w:val="21"/>
        </w:rPr>
      </w:pPr>
      <w:r>
        <w:rPr>
          <w:rFonts w:hint="eastAsia" w:ascii="宋体" w:hAnsi="宋体" w:cs="宋体"/>
          <w:szCs w:val="21"/>
        </w:rPr>
        <w:t>电    话：           　   传  真：           地  址：</w:t>
      </w:r>
    </w:p>
    <w:p w14:paraId="30CB12F9">
      <w:pPr>
        <w:spacing w:line="360" w:lineRule="auto"/>
        <w:rPr>
          <w:rFonts w:ascii="宋体" w:hAnsi="宋体" w:cs="宋体"/>
          <w:b/>
          <w:szCs w:val="21"/>
        </w:rPr>
      </w:pPr>
    </w:p>
    <w:p w14:paraId="7745A599">
      <w:pPr>
        <w:spacing w:line="360" w:lineRule="auto"/>
        <w:rPr>
          <w:rFonts w:ascii="宋体" w:hAnsi="宋体" w:cs="宋体"/>
          <w:szCs w:val="21"/>
        </w:rPr>
      </w:pPr>
      <w:r>
        <w:rPr>
          <w:rFonts w:hint="eastAsia" w:ascii="宋体" w:hAnsi="宋体" w:cs="宋体"/>
          <w:b/>
          <w:szCs w:val="21"/>
        </w:rPr>
        <w:t>乙    方</w:t>
      </w:r>
      <w:r>
        <w:rPr>
          <w:rFonts w:hint="eastAsia" w:ascii="宋体" w:hAnsi="宋体" w:cs="宋体"/>
          <w:szCs w:val="21"/>
        </w:rPr>
        <w:t>（中标人）</w:t>
      </w:r>
      <w:r>
        <w:rPr>
          <w:rFonts w:hint="eastAsia" w:ascii="宋体" w:hAnsi="宋体" w:cs="宋体"/>
          <w:b/>
          <w:szCs w:val="21"/>
        </w:rPr>
        <w:t>：</w:t>
      </w:r>
      <w:r>
        <w:rPr>
          <w:rFonts w:hint="eastAsia" w:ascii="宋体" w:hAnsi="宋体" w:cs="宋体"/>
          <w:b/>
          <w:szCs w:val="21"/>
          <w:u w:val="single"/>
        </w:rPr>
        <w:t xml:space="preserve">                  </w:t>
      </w:r>
      <w:r>
        <w:rPr>
          <w:rFonts w:hint="eastAsia" w:ascii="宋体" w:hAnsi="宋体" w:cs="宋体"/>
          <w:b/>
          <w:szCs w:val="21"/>
        </w:rPr>
        <w:br w:type="textWrapping"/>
      </w:r>
      <w:r>
        <w:rPr>
          <w:rFonts w:hint="eastAsia" w:ascii="宋体" w:hAnsi="宋体" w:cs="宋体"/>
          <w:szCs w:val="21"/>
        </w:rPr>
        <w:t xml:space="preserve">电    话：                传  真：           地  址：   </w:t>
      </w:r>
    </w:p>
    <w:p w14:paraId="4CCF40CB">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（项目名称）  </w:t>
      </w:r>
      <w:r>
        <w:rPr>
          <w:rFonts w:hint="eastAsia" w:ascii="宋体" w:hAnsi="宋体" w:cs="宋体"/>
          <w:szCs w:val="21"/>
        </w:rPr>
        <w:t>（项目编号：（项目编号））的采购结果，按照《中华人民共和国政府采购法》及其实施条例、87号令、《中华人民共和国合同法》的规定，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r>
        <w:rPr>
          <w:rFonts w:hint="eastAsia" w:ascii="宋体" w:hAnsi="宋体" w:cs="宋体"/>
          <w:szCs w:val="21"/>
        </w:rPr>
        <w:t>。</w:t>
      </w:r>
    </w:p>
    <w:p w14:paraId="0B6082D9">
      <w:pPr>
        <w:rPr>
          <w:rFonts w:ascii="宋体" w:hAnsi="宋体" w:cs="宋体"/>
          <w:szCs w:val="21"/>
        </w:rPr>
      </w:pPr>
      <w:r>
        <w:rPr>
          <w:rFonts w:hint="eastAsia" w:ascii="宋体" w:hAnsi="宋体" w:cs="宋体"/>
          <w:szCs w:val="21"/>
        </w:rPr>
        <w:t>一、</w:t>
      </w:r>
      <w:bookmarkStart w:id="442" w:name="_Toc435540759"/>
      <w:r>
        <w:rPr>
          <w:rFonts w:hint="eastAsia" w:ascii="宋体" w:hAnsi="宋体" w:cs="宋体"/>
          <w:szCs w:val="21"/>
        </w:rPr>
        <w:t>合同金额</w:t>
      </w:r>
      <w:bookmarkEnd w:id="442"/>
    </w:p>
    <w:p w14:paraId="0EBD94D0">
      <w:pPr>
        <w:pStyle w:val="35"/>
        <w:spacing w:before="120" w:after="120" w:line="360" w:lineRule="auto"/>
        <w:ind w:firstLine="420" w:firstLineChars="200"/>
        <w:rPr>
          <w:rFonts w:hAnsi="宋体" w:cs="宋体"/>
        </w:rPr>
      </w:pPr>
      <w:r>
        <w:rPr>
          <w:rFonts w:hAnsi="宋体" w:cs="宋体"/>
        </w:rPr>
        <w:t>合同金额为（大写）：_________________元（￥_______________元）。</w:t>
      </w:r>
    </w:p>
    <w:p w14:paraId="1919A711">
      <w:pPr>
        <w:rPr>
          <w:rFonts w:ascii="宋体" w:hAnsi="宋体" w:cs="宋体"/>
          <w:szCs w:val="21"/>
        </w:rPr>
      </w:pPr>
      <w:bookmarkStart w:id="443" w:name="_Toc435540760"/>
      <w:r>
        <w:rPr>
          <w:rFonts w:hint="eastAsia" w:ascii="宋体" w:hAnsi="宋体" w:cs="宋体"/>
          <w:szCs w:val="21"/>
        </w:rPr>
        <w:t>二、服务范围</w:t>
      </w:r>
      <w:bookmarkEnd w:id="443"/>
    </w:p>
    <w:p w14:paraId="37EF89C0">
      <w:pPr>
        <w:spacing w:line="360" w:lineRule="auto"/>
        <w:rPr>
          <w:rFonts w:ascii="宋体" w:hAnsi="宋体" w:cs="宋体"/>
          <w:szCs w:val="21"/>
          <w:u w:val="single"/>
        </w:rPr>
      </w:pPr>
      <w:r>
        <w:rPr>
          <w:rFonts w:hint="eastAsia" w:ascii="宋体" w:hAnsi="宋体" w:cs="宋体"/>
          <w:szCs w:val="21"/>
        </w:rPr>
        <w:t>　　1．本合同项下的服务指</w:t>
      </w:r>
      <w:r>
        <w:rPr>
          <w:rFonts w:hint="eastAsia" w:ascii="宋体" w:hAnsi="宋体" w:cs="宋体"/>
          <w:szCs w:val="21"/>
          <w:u w:val="single"/>
        </w:rPr>
        <w:t xml:space="preserve">                            </w:t>
      </w:r>
      <w:r>
        <w:rPr>
          <w:rFonts w:hint="eastAsia" w:ascii="宋体" w:hAnsi="宋体" w:cs="宋体"/>
          <w:szCs w:val="21"/>
        </w:rPr>
        <w:t>。</w:t>
      </w:r>
    </w:p>
    <w:p w14:paraId="208C80A2">
      <w:pPr>
        <w:spacing w:line="360" w:lineRule="auto"/>
        <w:rPr>
          <w:rFonts w:ascii="宋体" w:hAnsi="宋体" w:cs="宋体"/>
          <w:szCs w:val="21"/>
        </w:rPr>
      </w:pPr>
      <w:r>
        <w:rPr>
          <w:rFonts w:hint="eastAsia" w:ascii="宋体" w:hAnsi="宋体" w:cs="宋体"/>
          <w:szCs w:val="21"/>
        </w:rPr>
        <w:t>　　2．……</w:t>
      </w:r>
    </w:p>
    <w:p w14:paraId="4CA8E8C2">
      <w:pPr>
        <w:spacing w:line="360" w:lineRule="auto"/>
        <w:ind w:firstLine="420" w:firstLineChars="200"/>
        <w:rPr>
          <w:rFonts w:ascii="宋体" w:hAnsi="宋体" w:cs="宋体"/>
          <w:szCs w:val="21"/>
        </w:rPr>
      </w:pPr>
      <w:r>
        <w:rPr>
          <w:rFonts w:hint="eastAsia" w:ascii="宋体" w:hAnsi="宋体" w:cs="宋体"/>
          <w:szCs w:val="21"/>
        </w:rPr>
        <w:t>3．……</w:t>
      </w:r>
    </w:p>
    <w:p w14:paraId="358858D2">
      <w:pPr>
        <w:spacing w:line="360" w:lineRule="auto"/>
        <w:rPr>
          <w:rFonts w:ascii="宋体" w:hAnsi="宋体" w:cs="宋体"/>
          <w:szCs w:val="21"/>
        </w:rPr>
      </w:pPr>
      <w:r>
        <w:rPr>
          <w:rFonts w:hint="eastAsia" w:ascii="宋体" w:hAnsi="宋体" w:cs="宋体"/>
          <w:szCs w:val="21"/>
        </w:rPr>
        <w:t>三、采购需求实质性条款：</w:t>
      </w:r>
    </w:p>
    <w:p w14:paraId="55A8C3D0">
      <w:pPr>
        <w:spacing w:line="360" w:lineRule="auto"/>
        <w:rPr>
          <w:rFonts w:ascii="宋体" w:hAnsi="宋体" w:cs="宋体"/>
          <w:szCs w:val="21"/>
        </w:rPr>
      </w:pPr>
      <w:r>
        <w:rPr>
          <w:rFonts w:hint="eastAsia" w:ascii="宋体" w:hAnsi="宋体" w:cs="宋体"/>
          <w:szCs w:val="21"/>
        </w:rPr>
        <w:t>1、…..</w:t>
      </w:r>
    </w:p>
    <w:p w14:paraId="4F98ED09">
      <w:pPr>
        <w:spacing w:line="360" w:lineRule="auto"/>
        <w:rPr>
          <w:rFonts w:ascii="宋体" w:hAnsi="宋体" w:cs="宋体"/>
          <w:szCs w:val="21"/>
        </w:rPr>
      </w:pPr>
      <w:r>
        <w:rPr>
          <w:rFonts w:hint="eastAsia" w:ascii="宋体" w:hAnsi="宋体" w:cs="宋体"/>
          <w:szCs w:val="21"/>
        </w:rPr>
        <w:t>2、…..</w:t>
      </w:r>
    </w:p>
    <w:p w14:paraId="451F1F98">
      <w:pPr>
        <w:spacing w:line="360" w:lineRule="auto"/>
        <w:rPr>
          <w:rFonts w:ascii="宋体" w:hAnsi="宋体" w:cs="宋体"/>
          <w:szCs w:val="21"/>
        </w:rPr>
      </w:pPr>
    </w:p>
    <w:p w14:paraId="55EBDD90">
      <w:pPr>
        <w:rPr>
          <w:rFonts w:ascii="宋体" w:hAnsi="宋体" w:cs="宋体"/>
          <w:szCs w:val="21"/>
        </w:rPr>
      </w:pPr>
      <w:bookmarkStart w:id="444" w:name="_Toc435540761"/>
      <w:r>
        <w:rPr>
          <w:rFonts w:hint="eastAsia" w:ascii="宋体" w:hAnsi="宋体" w:cs="宋体"/>
          <w:szCs w:val="21"/>
        </w:rPr>
        <w:t>四、甲方乙方的权利和义务</w:t>
      </w:r>
      <w:bookmarkEnd w:id="444"/>
    </w:p>
    <w:p w14:paraId="30199D01">
      <w:pPr>
        <w:spacing w:line="360" w:lineRule="auto"/>
        <w:rPr>
          <w:rFonts w:ascii="宋体" w:hAnsi="宋体" w:cs="宋体"/>
          <w:szCs w:val="21"/>
        </w:rPr>
      </w:pPr>
      <w:r>
        <w:rPr>
          <w:rFonts w:hint="eastAsia" w:ascii="宋体" w:hAnsi="宋体" w:cs="宋体"/>
          <w:szCs w:val="21"/>
        </w:rPr>
        <w:t>　　（一）甲方的权利和义务</w:t>
      </w:r>
    </w:p>
    <w:p w14:paraId="1C3C80DF">
      <w:pPr>
        <w:spacing w:line="360" w:lineRule="auto"/>
        <w:rPr>
          <w:rFonts w:ascii="宋体" w:hAnsi="宋体" w:cs="宋体"/>
          <w:szCs w:val="21"/>
        </w:rPr>
      </w:pPr>
    </w:p>
    <w:p w14:paraId="64A1E9D1">
      <w:pPr>
        <w:spacing w:line="360" w:lineRule="auto"/>
        <w:ind w:left="405"/>
        <w:rPr>
          <w:rFonts w:ascii="宋体" w:hAnsi="宋体" w:cs="宋体"/>
          <w:szCs w:val="21"/>
        </w:rPr>
      </w:pPr>
      <w:r>
        <w:rPr>
          <w:rFonts w:hint="eastAsia" w:ascii="宋体" w:hAnsi="宋体" w:cs="宋体"/>
          <w:szCs w:val="21"/>
        </w:rPr>
        <w:t>（二）乙方的权利和义务.</w:t>
      </w:r>
    </w:p>
    <w:p w14:paraId="0B536D81">
      <w:pPr>
        <w:spacing w:line="360" w:lineRule="auto"/>
        <w:ind w:left="405"/>
        <w:rPr>
          <w:rFonts w:ascii="宋体" w:hAnsi="宋体" w:cs="宋体"/>
          <w:szCs w:val="21"/>
        </w:rPr>
      </w:pPr>
    </w:p>
    <w:p w14:paraId="277B2118">
      <w:pPr>
        <w:rPr>
          <w:rFonts w:ascii="宋体" w:hAnsi="宋体" w:cs="宋体"/>
          <w:szCs w:val="21"/>
        </w:rPr>
      </w:pPr>
      <w:bookmarkStart w:id="445" w:name="_Toc435540762"/>
      <w:r>
        <w:rPr>
          <w:rFonts w:hint="eastAsia" w:ascii="宋体" w:hAnsi="宋体" w:cs="宋体"/>
          <w:szCs w:val="21"/>
        </w:rPr>
        <w:t>五、服务期间（项目完成期限）</w:t>
      </w:r>
      <w:bookmarkEnd w:id="445"/>
    </w:p>
    <w:p w14:paraId="1F124687">
      <w:pPr>
        <w:spacing w:line="360" w:lineRule="auto"/>
        <w:ind w:firstLine="435"/>
        <w:rPr>
          <w:rFonts w:ascii="宋体" w:hAnsi="宋体" w:cs="宋体"/>
          <w:szCs w:val="21"/>
        </w:rPr>
      </w:pPr>
      <w:r>
        <w:rPr>
          <w:rFonts w:hint="eastAsia" w:ascii="宋体" w:hAnsi="宋体" w:cs="宋体"/>
          <w:szCs w:val="21"/>
        </w:rPr>
        <w:t>委托服务期间自______年______月至______年______月止。</w:t>
      </w:r>
    </w:p>
    <w:p w14:paraId="440BFD50">
      <w:pPr>
        <w:rPr>
          <w:rFonts w:ascii="宋体" w:hAnsi="宋体" w:cs="宋体"/>
          <w:szCs w:val="21"/>
        </w:rPr>
      </w:pPr>
      <w:r>
        <w:rPr>
          <w:rFonts w:hint="eastAsia" w:ascii="宋体" w:hAnsi="宋体" w:cs="宋体"/>
          <w:szCs w:val="21"/>
        </w:rPr>
        <w:t>六、</w:t>
      </w:r>
      <w:bookmarkStart w:id="446" w:name="_Toc435540763"/>
      <w:r>
        <w:rPr>
          <w:rFonts w:hint="eastAsia" w:ascii="宋体" w:hAnsi="宋体" w:cs="宋体"/>
          <w:szCs w:val="21"/>
        </w:rPr>
        <w:t>付款方式</w:t>
      </w:r>
      <w:bookmarkEnd w:id="446"/>
    </w:p>
    <w:p w14:paraId="4CA07597">
      <w:pPr>
        <w:spacing w:line="360" w:lineRule="auto"/>
        <w:ind w:firstLine="420" w:firstLineChars="200"/>
        <w:rPr>
          <w:rFonts w:ascii="宋体" w:hAnsi="宋体" w:cs="宋体"/>
          <w:szCs w:val="21"/>
        </w:rPr>
      </w:pPr>
      <w:bookmarkStart w:id="447" w:name="_Toc435540764"/>
      <w:r>
        <w:rPr>
          <w:rFonts w:hint="eastAsia" w:ascii="宋体" w:hAnsi="宋体" w:cs="宋体"/>
          <w:szCs w:val="21"/>
        </w:rPr>
        <w:t>按采购文件第三章要求中的规定执行。</w:t>
      </w:r>
    </w:p>
    <w:p w14:paraId="27DFD118">
      <w:pPr>
        <w:rPr>
          <w:rFonts w:ascii="宋体" w:hAnsi="宋体" w:cs="宋体"/>
          <w:szCs w:val="21"/>
        </w:rPr>
      </w:pPr>
      <w:r>
        <w:rPr>
          <w:rFonts w:hint="eastAsia" w:ascii="宋体" w:hAnsi="宋体" w:cs="宋体"/>
          <w:szCs w:val="21"/>
        </w:rPr>
        <w:t>七、知识产权产权归属</w:t>
      </w:r>
      <w:bookmarkEnd w:id="447"/>
    </w:p>
    <w:p w14:paraId="5553CE7F">
      <w:pPr>
        <w:spacing w:line="360" w:lineRule="auto"/>
        <w:ind w:firstLine="420" w:firstLineChars="200"/>
        <w:rPr>
          <w:rFonts w:ascii="宋体" w:hAnsi="宋体" w:cs="宋体"/>
          <w:szCs w:val="21"/>
        </w:rPr>
      </w:pPr>
      <w:r>
        <w:rPr>
          <w:rFonts w:hint="eastAsia" w:ascii="宋体" w:hAnsi="宋体" w:cs="宋体"/>
          <w:szCs w:val="21"/>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448" w:name="_Toc435540765"/>
    </w:p>
    <w:p w14:paraId="44D3F64F">
      <w:pPr>
        <w:rPr>
          <w:rFonts w:ascii="宋体" w:hAnsi="宋体" w:cs="宋体"/>
          <w:szCs w:val="21"/>
        </w:rPr>
      </w:pPr>
      <w:r>
        <w:rPr>
          <w:rFonts w:hint="eastAsia" w:ascii="宋体" w:hAnsi="宋体" w:cs="宋体"/>
          <w:szCs w:val="21"/>
        </w:rPr>
        <w:t>八、保密</w:t>
      </w:r>
      <w:bookmarkEnd w:id="448"/>
    </w:p>
    <w:p w14:paraId="41F3AD7C">
      <w:pPr>
        <w:spacing w:line="360" w:lineRule="auto"/>
        <w:ind w:firstLine="420" w:firstLineChars="200"/>
        <w:rPr>
          <w:rFonts w:ascii="宋体" w:hAnsi="宋体" w:cs="宋体"/>
          <w:szCs w:val="21"/>
        </w:rPr>
      </w:pPr>
      <w:r>
        <w:rPr>
          <w:rFonts w:hint="eastAsia" w:ascii="宋体" w:hAnsi="宋体" w:cs="宋体"/>
          <w:szCs w:val="21"/>
        </w:rPr>
        <w:t>乙方必须采取措施对本项目实施过程中的技术资料保密，否则，由于乙方过错导致的上述资料泄密的，乙方必须承担一切责任。项目完成后，甲、乙双方均有责任对本项目的技术保密承担责任。</w:t>
      </w:r>
    </w:p>
    <w:p w14:paraId="1F963B75">
      <w:pPr>
        <w:tabs>
          <w:tab w:val="left" w:pos="900"/>
        </w:tabs>
        <w:spacing w:line="360" w:lineRule="auto"/>
        <w:ind w:firstLine="420" w:firstLineChars="200"/>
        <w:rPr>
          <w:rFonts w:ascii="宋体" w:hAnsi="宋体" w:cs="宋体"/>
          <w:szCs w:val="21"/>
        </w:rPr>
      </w:pPr>
      <w:r>
        <w:rPr>
          <w:rFonts w:hint="eastAsia" w:ascii="宋体" w:hAnsi="宋体" w:cs="宋体"/>
          <w:szCs w:val="21"/>
        </w:rPr>
        <w:t>1）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14:paraId="7ED654F6">
      <w:pPr>
        <w:tabs>
          <w:tab w:val="left" w:pos="900"/>
        </w:tabs>
        <w:spacing w:line="360" w:lineRule="auto"/>
        <w:ind w:firstLine="420" w:firstLineChars="200"/>
        <w:rPr>
          <w:rFonts w:ascii="宋体" w:hAnsi="宋体" w:cs="宋体"/>
          <w:szCs w:val="21"/>
        </w:rPr>
      </w:pPr>
      <w:r>
        <w:rPr>
          <w:rFonts w:hint="eastAsia" w:ascii="宋体" w:hAnsi="宋体" w:cs="宋体"/>
          <w:szCs w:val="21"/>
        </w:rPr>
        <w:t>2）如果甲方有要求，乙方在完成合同后应将有关资料还给甲方。</w:t>
      </w:r>
    </w:p>
    <w:p w14:paraId="58D8F5F4">
      <w:pPr>
        <w:rPr>
          <w:rFonts w:ascii="宋体" w:hAnsi="宋体" w:cs="宋体"/>
          <w:szCs w:val="21"/>
        </w:rPr>
      </w:pPr>
      <w:bookmarkStart w:id="449" w:name="_Toc435540766"/>
      <w:r>
        <w:rPr>
          <w:rFonts w:hint="eastAsia" w:ascii="宋体" w:hAnsi="宋体" w:cs="宋体"/>
          <w:szCs w:val="21"/>
        </w:rPr>
        <w:t>九、违约责任与赔偿损失</w:t>
      </w:r>
      <w:bookmarkEnd w:id="449"/>
    </w:p>
    <w:p w14:paraId="17EE8027">
      <w:pPr>
        <w:spacing w:line="360" w:lineRule="auto"/>
        <w:ind w:firstLine="420" w:firstLineChars="200"/>
        <w:rPr>
          <w:rFonts w:ascii="宋体" w:hAnsi="宋体" w:cs="宋体"/>
          <w:szCs w:val="21"/>
        </w:rPr>
      </w:pPr>
      <w:r>
        <w:rPr>
          <w:rFonts w:hint="eastAsia" w:ascii="宋体" w:hAnsi="宋体" w:cs="宋体"/>
          <w:szCs w:val="21"/>
        </w:rPr>
        <w:t>1）乙方提供的服务不符合采购文件、响应文件或本合同规定的，甲方有权拒收，并且乙方须向甲方方支付本合同总价5%的违约金。</w:t>
      </w:r>
    </w:p>
    <w:p w14:paraId="334C4DA1">
      <w:pPr>
        <w:tabs>
          <w:tab w:val="left" w:pos="720"/>
          <w:tab w:val="left" w:pos="900"/>
        </w:tabs>
        <w:spacing w:line="360" w:lineRule="auto"/>
        <w:ind w:right="51" w:firstLine="420" w:firstLineChars="200"/>
        <w:rPr>
          <w:rFonts w:ascii="宋体" w:hAnsi="宋体" w:cs="宋体"/>
          <w:szCs w:val="21"/>
        </w:rPr>
      </w:pPr>
      <w:r>
        <w:rPr>
          <w:rFonts w:hint="eastAsia" w:ascii="宋体" w:hAnsi="宋体" w:cs="宋体"/>
          <w:szCs w:val="21"/>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14:paraId="1B0F4D29">
      <w:pPr>
        <w:spacing w:line="360" w:lineRule="auto"/>
        <w:ind w:firstLine="420" w:firstLineChars="200"/>
        <w:rPr>
          <w:rFonts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3）甲方无正当理由拒收接受服务，到期拒付服务款项的，甲方向乙方偿付本合同总价5%的违约金。甲方逾期付款，则每日按本合同总价的3‰向乙方偿付违约金。</w:t>
      </w:r>
    </w:p>
    <w:p w14:paraId="3E1472AA">
      <w:pPr>
        <w:spacing w:line="360" w:lineRule="auto"/>
        <w:ind w:firstLine="420" w:firstLineChars="200"/>
        <w:rPr>
          <w:rFonts w:ascii="宋体" w:hAnsi="宋体" w:cs="宋体"/>
          <w:bCs/>
          <w:szCs w:val="21"/>
        </w:rPr>
      </w:pPr>
      <w:r>
        <w:rPr>
          <w:rFonts w:hint="eastAsia" w:ascii="宋体" w:hAnsi="宋体" w:cs="宋体"/>
          <w:bCs/>
          <w:szCs w:val="21"/>
        </w:rPr>
        <w:t>4）其它违约责任按《中华人民共和国合同法》处理。</w:t>
      </w:r>
    </w:p>
    <w:p w14:paraId="08DDA9C5">
      <w:pPr>
        <w:rPr>
          <w:rFonts w:ascii="宋体" w:hAnsi="宋体" w:cs="宋体"/>
          <w:szCs w:val="21"/>
        </w:rPr>
      </w:pPr>
      <w:bookmarkStart w:id="450" w:name="_Toc435540767"/>
      <w:r>
        <w:rPr>
          <w:rFonts w:hint="eastAsia" w:ascii="宋体" w:hAnsi="宋体" w:cs="宋体"/>
          <w:szCs w:val="21"/>
        </w:rPr>
        <w:t>十、争端的解决</w:t>
      </w:r>
      <w:bookmarkEnd w:id="450"/>
    </w:p>
    <w:p w14:paraId="260BA077">
      <w:pPr>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合同执行过程中发生的任何争议，如双方不能通过友好协商解决，甲、乙双方一致同意向甲方所在地人民法院提起诉讼。</w:t>
      </w:r>
    </w:p>
    <w:p w14:paraId="4A50FF32">
      <w:pPr>
        <w:rPr>
          <w:rFonts w:ascii="宋体" w:hAnsi="宋体" w:cs="宋体"/>
          <w:szCs w:val="21"/>
        </w:rPr>
      </w:pPr>
      <w:bookmarkStart w:id="451" w:name="_Toc435540768"/>
      <w:r>
        <w:rPr>
          <w:rFonts w:hint="eastAsia" w:ascii="宋体" w:hAnsi="宋体" w:cs="宋体"/>
          <w:szCs w:val="21"/>
        </w:rPr>
        <w:t>十一、不可抗力</w:t>
      </w:r>
      <w:bookmarkEnd w:id="451"/>
    </w:p>
    <w:p w14:paraId="3BBF8081">
      <w:pPr>
        <w:spacing w:line="360" w:lineRule="auto"/>
        <w:ind w:firstLine="420" w:firstLineChars="200"/>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9E477F9">
      <w:pPr>
        <w:rPr>
          <w:rFonts w:ascii="宋体" w:hAnsi="宋体" w:cs="宋体"/>
          <w:szCs w:val="21"/>
        </w:rPr>
      </w:pPr>
      <w:bookmarkStart w:id="452" w:name="_Toc435540769"/>
      <w:r>
        <w:rPr>
          <w:rFonts w:hint="eastAsia" w:ascii="宋体" w:hAnsi="宋体" w:cs="宋体"/>
          <w:szCs w:val="21"/>
        </w:rPr>
        <w:t>十二、税费</w:t>
      </w:r>
      <w:bookmarkEnd w:id="452"/>
    </w:p>
    <w:p w14:paraId="3971A97C">
      <w:pPr>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w:t>
      </w:r>
    </w:p>
    <w:p w14:paraId="1F526A51">
      <w:pPr>
        <w:rPr>
          <w:rFonts w:ascii="宋体" w:hAnsi="宋体" w:cs="宋体"/>
          <w:szCs w:val="21"/>
        </w:rPr>
      </w:pPr>
      <w:bookmarkStart w:id="453" w:name="_Toc435540770"/>
      <w:r>
        <w:rPr>
          <w:rFonts w:hint="eastAsia" w:ascii="宋体" w:hAnsi="宋体" w:cs="宋体"/>
          <w:szCs w:val="21"/>
        </w:rPr>
        <w:t>十三、其它</w:t>
      </w:r>
      <w:bookmarkEnd w:id="453"/>
    </w:p>
    <w:p w14:paraId="44D39CFD">
      <w:pPr>
        <w:spacing w:line="360" w:lineRule="auto"/>
        <w:ind w:firstLine="420" w:firstLineChars="200"/>
        <w:rPr>
          <w:rFonts w:ascii="宋体" w:hAnsi="宋体" w:cs="宋体"/>
          <w:b/>
          <w:szCs w:val="21"/>
        </w:rPr>
      </w:pPr>
      <w:r>
        <w:rPr>
          <w:rFonts w:hint="eastAsia" w:ascii="宋体" w:hAnsi="宋体" w:cs="宋体"/>
          <w:szCs w:val="21"/>
        </w:rPr>
        <w:t>1）本合同所有附件、采购文件、响应文件、中标通知书均为合同的有效组成部分，与本合同具有同等法律效力。</w:t>
      </w:r>
    </w:p>
    <w:p w14:paraId="5162EE10">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）在执行本合同的过程中，所有经双方签署确认的文件（包括会议纪要、补充协议、往来信函）即成为本合同的有效组成部分。</w:t>
      </w:r>
    </w:p>
    <w:p w14:paraId="4E8F4578">
      <w:pPr>
        <w:spacing w:line="360" w:lineRule="auto"/>
        <w:ind w:firstLine="420" w:firstLineChars="200"/>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14:paraId="0800FDDF">
      <w:pPr>
        <w:spacing w:line="360" w:lineRule="auto"/>
        <w:ind w:firstLine="420" w:firstLineChars="200"/>
        <w:rPr>
          <w:rFonts w:ascii="宋体" w:hAnsi="宋体" w:cs="宋体"/>
          <w:szCs w:val="21"/>
        </w:rPr>
      </w:pPr>
      <w:r>
        <w:rPr>
          <w:rFonts w:hint="eastAsia" w:ascii="宋体" w:hAnsi="宋体" w:cs="宋体"/>
          <w:szCs w:val="21"/>
        </w:rPr>
        <w:t>4）除甲方事先书面同意外，乙方不得部分或全部转让其应履行的合同项下的义务。</w:t>
      </w:r>
    </w:p>
    <w:p w14:paraId="231E14AD">
      <w:pPr>
        <w:rPr>
          <w:rFonts w:ascii="宋体" w:hAnsi="宋体" w:cs="宋体"/>
          <w:szCs w:val="21"/>
        </w:rPr>
      </w:pPr>
      <w:bookmarkStart w:id="454" w:name="_Toc435540771"/>
      <w:r>
        <w:rPr>
          <w:rFonts w:hint="eastAsia" w:ascii="宋体" w:hAnsi="宋体" w:cs="宋体"/>
          <w:szCs w:val="21"/>
        </w:rPr>
        <w:t>十四、合同生效</w:t>
      </w:r>
      <w:bookmarkEnd w:id="454"/>
    </w:p>
    <w:p w14:paraId="04BC9074">
      <w:pPr>
        <w:spacing w:line="360" w:lineRule="auto"/>
        <w:ind w:firstLine="420" w:firstLineChars="200"/>
        <w:rPr>
          <w:rFonts w:ascii="宋体" w:hAnsi="宋体" w:cs="宋体"/>
          <w:szCs w:val="21"/>
        </w:rPr>
      </w:pPr>
      <w:r>
        <w:rPr>
          <w:rFonts w:hint="eastAsia" w:ascii="宋体" w:hAnsi="宋体" w:cs="宋体"/>
          <w:szCs w:val="21"/>
        </w:rPr>
        <w:t>1）合同自甲乙双方法人代表或其授权代表签字盖章之日起生效。</w:t>
      </w:r>
    </w:p>
    <w:p w14:paraId="7F2BB35B">
      <w:pPr>
        <w:spacing w:line="360" w:lineRule="auto"/>
        <w:ind w:firstLine="420" w:firstLineChars="200"/>
        <w:rPr>
          <w:rFonts w:ascii="宋体" w:hAnsi="宋体" w:cs="宋体"/>
          <w:szCs w:val="21"/>
        </w:rPr>
      </w:pPr>
      <w:r>
        <w:rPr>
          <w:rFonts w:hint="eastAsia" w:ascii="宋体" w:hAnsi="宋体" w:cs="宋体"/>
          <w:szCs w:val="21"/>
        </w:rPr>
        <w:t>2）合同壹式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份，采购中心壹份，采购代理机构执壹份，政府采购监督管理部门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p>
    <w:p w14:paraId="24071A01">
      <w:pPr>
        <w:tabs>
          <w:tab w:val="left" w:pos="720"/>
        </w:tabs>
        <w:spacing w:line="360" w:lineRule="auto"/>
        <w:rPr>
          <w:rFonts w:ascii="宋体" w:hAnsi="宋体" w:cs="宋体"/>
          <w:szCs w:val="21"/>
        </w:rPr>
      </w:pPr>
    </w:p>
    <w:p w14:paraId="70BF07C2">
      <w:pPr>
        <w:snapToGrid w:val="0"/>
        <w:spacing w:line="360" w:lineRule="auto"/>
        <w:rPr>
          <w:rFonts w:ascii="宋体" w:hAnsi="宋体" w:cs="宋体"/>
          <w:szCs w:val="21"/>
        </w:rPr>
      </w:pPr>
      <w:r>
        <w:rPr>
          <w:rFonts w:hint="eastAsia" w:ascii="宋体" w:hAnsi="宋体" w:cs="宋体"/>
          <w:szCs w:val="21"/>
        </w:rPr>
        <w:t>甲方（盖章）：                          乙方（盖章）：</w:t>
      </w:r>
    </w:p>
    <w:p w14:paraId="6A82CE81">
      <w:pPr>
        <w:snapToGrid w:val="0"/>
        <w:spacing w:line="360" w:lineRule="auto"/>
        <w:rPr>
          <w:rFonts w:ascii="宋体" w:hAnsi="宋体" w:cs="宋体"/>
          <w:szCs w:val="21"/>
        </w:rPr>
      </w:pPr>
      <w:r>
        <w:rPr>
          <w:rFonts w:hint="eastAsia" w:ascii="宋体" w:hAnsi="宋体" w:cs="宋体"/>
          <w:szCs w:val="21"/>
        </w:rPr>
        <w:t xml:space="preserve">代表：                                  代表： </w:t>
      </w:r>
    </w:p>
    <w:p w14:paraId="563B72B2">
      <w:pPr>
        <w:snapToGrid w:val="0"/>
        <w:spacing w:line="360" w:lineRule="auto"/>
        <w:rPr>
          <w:rFonts w:ascii="宋体" w:hAnsi="宋体" w:cs="宋体"/>
          <w:szCs w:val="21"/>
        </w:rPr>
      </w:pPr>
      <w:r>
        <w:rPr>
          <w:rFonts w:hint="eastAsia" w:ascii="宋体" w:hAnsi="宋体" w:cs="宋体"/>
          <w:szCs w:val="21"/>
        </w:rPr>
        <w:t>签定地点：</w:t>
      </w:r>
    </w:p>
    <w:p w14:paraId="0C60D94A">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14:paraId="4446C6BC">
      <w:pPr>
        <w:snapToGrid w:val="0"/>
        <w:spacing w:line="360" w:lineRule="auto"/>
        <w:ind w:firstLine="4200" w:firstLineChars="2000"/>
        <w:rPr>
          <w:rFonts w:ascii="宋体" w:hAnsi="宋体" w:cs="宋体"/>
          <w:szCs w:val="21"/>
        </w:rPr>
      </w:pPr>
      <w:r>
        <w:rPr>
          <w:rFonts w:hint="eastAsia" w:ascii="宋体" w:hAnsi="宋体" w:cs="宋体"/>
          <w:szCs w:val="21"/>
        </w:rPr>
        <w:t>开户名称：</w:t>
      </w:r>
    </w:p>
    <w:p w14:paraId="307492AD">
      <w:pPr>
        <w:snapToGrid w:val="0"/>
        <w:spacing w:line="360" w:lineRule="auto"/>
        <w:ind w:firstLine="4200" w:firstLineChars="2000"/>
        <w:rPr>
          <w:rFonts w:ascii="宋体" w:hAnsi="宋体" w:cs="宋体"/>
          <w:szCs w:val="21"/>
        </w:rPr>
      </w:pPr>
      <w:r>
        <w:rPr>
          <w:rFonts w:hint="eastAsia" w:ascii="宋体" w:hAnsi="宋体" w:cs="宋体"/>
          <w:szCs w:val="21"/>
        </w:rPr>
        <w:t>银行账号：</w:t>
      </w:r>
    </w:p>
    <w:p w14:paraId="16286A19">
      <w:pPr>
        <w:snapToGrid w:val="0"/>
        <w:spacing w:line="360" w:lineRule="auto"/>
        <w:ind w:firstLine="4200" w:firstLineChars="2000"/>
        <w:rPr>
          <w:rFonts w:ascii="宋体" w:hAnsi="宋体" w:cs="宋体"/>
          <w:szCs w:val="21"/>
        </w:rPr>
      </w:pPr>
      <w:r>
        <w:rPr>
          <w:rFonts w:hint="eastAsia" w:ascii="宋体" w:hAnsi="宋体" w:cs="宋体"/>
          <w:szCs w:val="21"/>
        </w:rPr>
        <w:t>开 户 行：</w:t>
      </w:r>
    </w:p>
    <w:p w14:paraId="03A3BEE3">
      <w:pPr>
        <w:spacing w:line="360" w:lineRule="auto"/>
        <w:rPr>
          <w:rFonts w:ascii="宋体" w:hAnsi="宋体" w:cs="宋体"/>
          <w:szCs w:val="21"/>
        </w:rPr>
      </w:pPr>
    </w:p>
    <w:p w14:paraId="3FDE2767">
      <w:pPr>
        <w:snapToGrid w:val="0"/>
        <w:spacing w:before="156" w:after="156"/>
        <w:rPr>
          <w:rFonts w:hAnsi="宋体"/>
          <w:b/>
          <w:sz w:val="36"/>
          <w:szCs w:val="48"/>
        </w:rPr>
      </w:pPr>
      <w:r>
        <w:rPr>
          <w:rFonts w:hint="eastAsia" w:hAnsi="宋体"/>
        </w:rPr>
        <w:t>合同见证单位（宁海童氏工程管理咨询有限公司）盖章</w:t>
      </w:r>
    </w:p>
    <w:p w14:paraId="12A8A8D3">
      <w:pPr>
        <w:widowControl/>
        <w:adjustRightInd/>
        <w:jc w:val="left"/>
        <w:rPr>
          <w:rFonts w:ascii="宋体" w:hAnsi="宋体"/>
          <w:b/>
          <w:sz w:val="24"/>
        </w:rPr>
      </w:pPr>
    </w:p>
    <w:p w14:paraId="18507F34">
      <w:pPr>
        <w:widowControl/>
        <w:adjustRightInd/>
        <w:jc w:val="center"/>
        <w:outlineLvl w:val="0"/>
        <w:rPr>
          <w:rFonts w:ascii="宋体" w:hAnsi="宋体" w:cs="宋体"/>
          <w:b/>
          <w:sz w:val="36"/>
          <w:szCs w:val="20"/>
        </w:rPr>
      </w:pPr>
      <w:bookmarkStart w:id="455" w:name="_Toc18297"/>
    </w:p>
    <w:p w14:paraId="3C0F297E">
      <w:pPr>
        <w:widowControl/>
        <w:adjustRightInd/>
        <w:jc w:val="center"/>
        <w:outlineLvl w:val="0"/>
        <w:rPr>
          <w:rFonts w:ascii="宋体" w:hAnsi="宋体" w:cs="宋体"/>
          <w:b/>
          <w:sz w:val="36"/>
          <w:szCs w:val="20"/>
        </w:rPr>
      </w:pPr>
    </w:p>
    <w:p w14:paraId="206AA07B">
      <w:pPr>
        <w:widowControl/>
        <w:adjustRightInd/>
        <w:jc w:val="center"/>
        <w:outlineLvl w:val="0"/>
        <w:rPr>
          <w:rFonts w:ascii="宋体" w:hAnsi="宋体" w:cs="宋体"/>
          <w:b/>
          <w:sz w:val="36"/>
          <w:szCs w:val="20"/>
        </w:rPr>
      </w:pPr>
    </w:p>
    <w:p w14:paraId="6F4516BA">
      <w:pPr>
        <w:widowControl/>
        <w:adjustRightInd/>
        <w:jc w:val="center"/>
        <w:outlineLvl w:val="0"/>
        <w:rPr>
          <w:rFonts w:ascii="宋体" w:hAnsi="宋体" w:cs="宋体"/>
          <w:b/>
          <w:sz w:val="36"/>
          <w:szCs w:val="20"/>
        </w:rPr>
      </w:pPr>
    </w:p>
    <w:p w14:paraId="3FBB1980">
      <w:pPr>
        <w:widowControl/>
        <w:adjustRightInd/>
        <w:jc w:val="center"/>
        <w:outlineLvl w:val="0"/>
        <w:rPr>
          <w:rFonts w:ascii="宋体" w:hAnsi="宋体" w:cs="宋体"/>
          <w:b/>
          <w:sz w:val="36"/>
          <w:szCs w:val="20"/>
        </w:rPr>
      </w:pPr>
    </w:p>
    <w:p w14:paraId="0A8BF343">
      <w:pPr>
        <w:widowControl/>
        <w:adjustRightInd/>
        <w:jc w:val="center"/>
        <w:outlineLvl w:val="0"/>
        <w:rPr>
          <w:rFonts w:ascii="宋体" w:hAnsi="宋体" w:cs="宋体"/>
          <w:b/>
          <w:sz w:val="36"/>
          <w:szCs w:val="20"/>
        </w:rPr>
      </w:pPr>
    </w:p>
    <w:p w14:paraId="5CD52B2D">
      <w:pPr>
        <w:widowControl/>
        <w:adjustRightInd/>
        <w:jc w:val="center"/>
        <w:outlineLvl w:val="0"/>
        <w:rPr>
          <w:rFonts w:ascii="宋体" w:hAnsi="宋体" w:cs="宋体"/>
          <w:b/>
          <w:sz w:val="36"/>
          <w:szCs w:val="20"/>
        </w:rPr>
      </w:pPr>
    </w:p>
    <w:p w14:paraId="00AAE24E">
      <w:pPr>
        <w:widowControl/>
        <w:adjustRightInd/>
        <w:jc w:val="center"/>
        <w:outlineLvl w:val="0"/>
        <w:rPr>
          <w:rFonts w:ascii="宋体" w:hAnsi="宋体" w:cs="宋体"/>
          <w:b/>
          <w:sz w:val="36"/>
          <w:szCs w:val="20"/>
        </w:rPr>
      </w:pPr>
    </w:p>
    <w:p w14:paraId="2CE8341F">
      <w:pPr>
        <w:widowControl/>
        <w:adjustRightInd/>
        <w:jc w:val="center"/>
        <w:outlineLvl w:val="0"/>
        <w:rPr>
          <w:rFonts w:ascii="宋体" w:hAnsi="宋体" w:cs="宋体"/>
          <w:b/>
          <w:sz w:val="36"/>
          <w:szCs w:val="20"/>
        </w:rPr>
      </w:pPr>
    </w:p>
    <w:p w14:paraId="6CA2FC72">
      <w:pPr>
        <w:widowControl/>
        <w:adjustRightInd/>
        <w:jc w:val="center"/>
        <w:outlineLvl w:val="0"/>
        <w:rPr>
          <w:rFonts w:ascii="宋体" w:hAnsi="宋体" w:cs="宋体"/>
          <w:b/>
          <w:sz w:val="36"/>
          <w:szCs w:val="20"/>
        </w:rPr>
      </w:pPr>
    </w:p>
    <w:p w14:paraId="36B00AAE">
      <w:pPr>
        <w:widowControl/>
        <w:adjustRightInd/>
        <w:jc w:val="center"/>
        <w:outlineLvl w:val="0"/>
        <w:rPr>
          <w:rFonts w:ascii="宋体" w:hAnsi="宋体" w:cs="宋体"/>
          <w:b/>
          <w:sz w:val="36"/>
          <w:szCs w:val="20"/>
        </w:rPr>
      </w:pPr>
    </w:p>
    <w:p w14:paraId="2ACE1B80">
      <w:pPr>
        <w:widowControl/>
        <w:adjustRightInd/>
        <w:jc w:val="center"/>
        <w:outlineLvl w:val="0"/>
        <w:rPr>
          <w:rFonts w:ascii="宋体" w:hAnsi="宋体" w:cs="宋体"/>
          <w:b/>
          <w:sz w:val="36"/>
          <w:szCs w:val="20"/>
        </w:rPr>
      </w:pPr>
    </w:p>
    <w:p w14:paraId="6284FDF7">
      <w:pPr>
        <w:widowControl/>
        <w:adjustRightInd/>
        <w:jc w:val="center"/>
        <w:outlineLvl w:val="0"/>
        <w:rPr>
          <w:rFonts w:ascii="宋体" w:hAnsi="宋体" w:cs="宋体"/>
          <w:b/>
          <w:sz w:val="36"/>
          <w:szCs w:val="20"/>
        </w:rPr>
      </w:pPr>
    </w:p>
    <w:p w14:paraId="7E0BAF1B">
      <w:pPr>
        <w:widowControl/>
        <w:adjustRightInd/>
        <w:jc w:val="center"/>
        <w:outlineLvl w:val="0"/>
        <w:rPr>
          <w:rFonts w:ascii="宋体" w:hAnsi="宋体" w:cs="宋体"/>
          <w:b/>
          <w:sz w:val="36"/>
          <w:szCs w:val="20"/>
        </w:rPr>
      </w:pPr>
    </w:p>
    <w:p w14:paraId="16F1BB50">
      <w:pPr>
        <w:widowControl/>
        <w:adjustRightInd/>
        <w:jc w:val="center"/>
        <w:outlineLvl w:val="0"/>
        <w:rPr>
          <w:rFonts w:ascii="宋体" w:hAnsi="宋体" w:cs="宋体"/>
          <w:b/>
          <w:sz w:val="36"/>
          <w:szCs w:val="20"/>
        </w:rPr>
      </w:pPr>
    </w:p>
    <w:p w14:paraId="2151A6B5">
      <w:pPr>
        <w:widowControl/>
        <w:adjustRightInd/>
        <w:jc w:val="center"/>
        <w:outlineLvl w:val="0"/>
        <w:rPr>
          <w:rFonts w:ascii="宋体" w:hAnsi="宋体" w:cs="宋体"/>
          <w:b/>
          <w:sz w:val="36"/>
          <w:szCs w:val="20"/>
        </w:rPr>
      </w:pPr>
    </w:p>
    <w:p w14:paraId="5AB58CAD">
      <w:pPr>
        <w:widowControl/>
        <w:adjustRightInd/>
        <w:jc w:val="center"/>
        <w:outlineLvl w:val="0"/>
        <w:rPr>
          <w:rFonts w:ascii="宋体" w:hAnsi="宋体" w:cs="宋体"/>
          <w:b/>
          <w:sz w:val="36"/>
          <w:szCs w:val="20"/>
        </w:rPr>
      </w:pPr>
    </w:p>
    <w:p w14:paraId="58E67FDA">
      <w:pPr>
        <w:widowControl/>
        <w:adjustRightInd/>
        <w:jc w:val="center"/>
        <w:outlineLvl w:val="0"/>
        <w:rPr>
          <w:rFonts w:ascii="宋体" w:hAnsi="宋体" w:cs="宋体"/>
          <w:b/>
          <w:sz w:val="36"/>
          <w:szCs w:val="20"/>
        </w:rPr>
      </w:pPr>
    </w:p>
    <w:p w14:paraId="072FFD20">
      <w:pPr>
        <w:widowControl/>
        <w:adjustRightInd/>
        <w:jc w:val="center"/>
        <w:outlineLvl w:val="0"/>
        <w:rPr>
          <w:rFonts w:ascii="宋体" w:hAnsi="宋体" w:cs="宋体"/>
          <w:b/>
          <w:sz w:val="36"/>
          <w:szCs w:val="20"/>
        </w:rPr>
      </w:pPr>
    </w:p>
    <w:p w14:paraId="0AF954DB">
      <w:pPr>
        <w:pStyle w:val="83"/>
        <w:rPr>
          <w:rFonts w:hAnsi="宋体" w:cs="宋体"/>
          <w:b/>
          <w:sz w:val="36"/>
        </w:rPr>
      </w:pPr>
    </w:p>
    <w:p w14:paraId="09D302FC">
      <w:pPr>
        <w:pStyle w:val="83"/>
        <w:rPr>
          <w:rFonts w:hAnsi="宋体" w:cs="宋体"/>
          <w:b/>
          <w:sz w:val="36"/>
        </w:rPr>
      </w:pPr>
    </w:p>
    <w:p w14:paraId="44C86B28">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439"/>
      <w:r>
        <w:rPr>
          <w:rFonts w:hint="eastAsia" w:ascii="宋体" w:hAnsi="宋体" w:cs="宋体"/>
          <w:b/>
          <w:sz w:val="36"/>
          <w:szCs w:val="20"/>
        </w:rPr>
        <w:t xml:space="preserve"> </w:t>
      </w:r>
      <w:bookmarkEnd w:id="440"/>
      <w:r>
        <w:rPr>
          <w:rFonts w:hint="eastAsia" w:ascii="宋体" w:hAnsi="宋体" w:cs="宋体"/>
          <w:b/>
          <w:sz w:val="36"/>
          <w:szCs w:val="20"/>
        </w:rPr>
        <w:t>应提交的有关格式范例</w:t>
      </w:r>
      <w:bookmarkEnd w:id="455"/>
    </w:p>
    <w:p w14:paraId="7E4B836C">
      <w:pPr>
        <w:spacing w:line="360" w:lineRule="auto"/>
        <w:jc w:val="center"/>
        <w:rPr>
          <w:rFonts w:ascii="宋体" w:hAnsi="宋体" w:cs="宋体"/>
          <w:b/>
          <w:kern w:val="0"/>
          <w:sz w:val="36"/>
          <w:szCs w:val="36"/>
        </w:rPr>
      </w:pPr>
    </w:p>
    <w:p w14:paraId="5707AE5C">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2611253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64C7266B">
      <w:pPr>
        <w:spacing w:line="360" w:lineRule="auto"/>
        <w:jc w:val="center"/>
        <w:rPr>
          <w:rFonts w:ascii="宋体" w:hAnsi="宋体" w:cs="宋体"/>
          <w:b/>
          <w:kern w:val="0"/>
          <w:sz w:val="36"/>
          <w:szCs w:val="36"/>
        </w:rPr>
      </w:pPr>
    </w:p>
    <w:p w14:paraId="7C90888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2FF78E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F726AF6">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5D0477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93EC6E1">
      <w:pPr>
        <w:snapToGrid w:val="0"/>
        <w:spacing w:line="360" w:lineRule="auto"/>
        <w:ind w:firstLine="480" w:firstLineChars="200"/>
        <w:rPr>
          <w:rFonts w:ascii="宋体" w:hAnsi="宋体" w:cs="宋体"/>
          <w:sz w:val="24"/>
        </w:rPr>
      </w:pPr>
    </w:p>
    <w:p w14:paraId="76DE8216">
      <w:pPr>
        <w:spacing w:line="360" w:lineRule="auto"/>
        <w:ind w:firstLine="480" w:firstLineChars="200"/>
        <w:rPr>
          <w:rFonts w:ascii="宋体" w:hAnsi="宋体" w:cs="宋体"/>
          <w:sz w:val="24"/>
        </w:rPr>
      </w:pPr>
    </w:p>
    <w:p w14:paraId="05DC7A6F">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2F42D48B">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7BA94486">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【招标编号：NH-TS2025-034】政府采购活动，郑重承诺：</w:t>
      </w:r>
    </w:p>
    <w:p w14:paraId="638D677C">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7934524C">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F5D3AB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BAD253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28802E5">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47EA7CDE">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BAFBBC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7092BA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3C8E9E4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2D6B1D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ECCA37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2E901D2">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046081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96C3C5A">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F66EED">
      <w:pPr>
        <w:snapToGrid w:val="0"/>
        <w:spacing w:line="360" w:lineRule="auto"/>
        <w:ind w:right="480"/>
        <w:jc w:val="center"/>
        <w:rPr>
          <w:rFonts w:ascii="宋体" w:hAnsi="宋体" w:cs="宋体"/>
          <w:b/>
          <w:kern w:val="0"/>
          <w:sz w:val="32"/>
          <w:szCs w:val="32"/>
        </w:rPr>
      </w:pPr>
    </w:p>
    <w:p w14:paraId="2F839207">
      <w:pPr>
        <w:rPr>
          <w:rFonts w:ascii="宋体" w:hAnsi="宋体" w:cs="宋体"/>
        </w:rPr>
      </w:pPr>
    </w:p>
    <w:p w14:paraId="32644A6F">
      <w:pPr>
        <w:snapToGrid w:val="0"/>
        <w:spacing w:line="360" w:lineRule="auto"/>
        <w:ind w:right="480"/>
        <w:jc w:val="center"/>
        <w:rPr>
          <w:rFonts w:ascii="宋体" w:hAnsi="宋体" w:cs="宋体"/>
          <w:b/>
          <w:kern w:val="0"/>
          <w:sz w:val="32"/>
          <w:szCs w:val="32"/>
        </w:rPr>
      </w:pPr>
    </w:p>
    <w:p w14:paraId="6C416CC4">
      <w:pPr>
        <w:snapToGrid w:val="0"/>
        <w:spacing w:line="360" w:lineRule="auto"/>
        <w:ind w:right="480"/>
        <w:jc w:val="center"/>
        <w:rPr>
          <w:rFonts w:ascii="宋体" w:hAnsi="宋体" w:cs="宋体"/>
          <w:b/>
          <w:kern w:val="0"/>
          <w:sz w:val="32"/>
          <w:szCs w:val="32"/>
        </w:rPr>
      </w:pPr>
    </w:p>
    <w:p w14:paraId="639EBA41">
      <w:pPr>
        <w:snapToGrid w:val="0"/>
        <w:spacing w:line="360" w:lineRule="auto"/>
        <w:ind w:right="480"/>
        <w:jc w:val="center"/>
        <w:rPr>
          <w:rFonts w:ascii="宋体" w:hAnsi="宋体" w:cs="宋体"/>
          <w:b/>
          <w:kern w:val="0"/>
          <w:sz w:val="32"/>
          <w:szCs w:val="32"/>
        </w:rPr>
      </w:pPr>
    </w:p>
    <w:p w14:paraId="44EA1B12">
      <w:pPr>
        <w:widowControl/>
        <w:adjustRightInd/>
        <w:jc w:val="left"/>
        <w:rPr>
          <w:rFonts w:ascii="宋体" w:hAnsi="宋体" w:cs="宋体"/>
          <w:b/>
          <w:kern w:val="0"/>
          <w:sz w:val="32"/>
          <w:szCs w:val="32"/>
        </w:rPr>
      </w:pPr>
      <w:r>
        <w:rPr>
          <w:rFonts w:ascii="宋体" w:hAnsi="宋体" w:cs="宋体"/>
          <w:b/>
          <w:kern w:val="0"/>
          <w:sz w:val="32"/>
          <w:szCs w:val="32"/>
        </w:rPr>
        <w:br w:type="page"/>
      </w:r>
    </w:p>
    <w:p w14:paraId="5D064CC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AE782F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5156327D">
      <w:pPr>
        <w:snapToGrid w:val="0"/>
        <w:spacing w:line="360" w:lineRule="auto"/>
        <w:ind w:right="480"/>
        <w:jc w:val="center"/>
        <w:rPr>
          <w:rFonts w:ascii="宋体" w:hAnsi="宋体" w:cs="宋体"/>
          <w:b/>
          <w:kern w:val="0"/>
          <w:sz w:val="32"/>
          <w:szCs w:val="32"/>
        </w:rPr>
      </w:pPr>
    </w:p>
    <w:p w14:paraId="09245C02">
      <w:pPr>
        <w:snapToGrid w:val="0"/>
        <w:spacing w:line="360" w:lineRule="auto"/>
        <w:ind w:right="480"/>
        <w:jc w:val="center"/>
        <w:rPr>
          <w:rFonts w:ascii="宋体" w:hAnsi="宋体" w:cs="宋体"/>
          <w:b/>
          <w:kern w:val="0"/>
          <w:sz w:val="32"/>
          <w:szCs w:val="32"/>
        </w:rPr>
      </w:pPr>
    </w:p>
    <w:p w14:paraId="6DF910D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765242F9">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4218B667">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7EA83721">
      <w:pPr>
        <w:widowControl/>
        <w:spacing w:line="360" w:lineRule="auto"/>
        <w:ind w:firstLine="480"/>
        <w:jc w:val="left"/>
        <w:rPr>
          <w:rFonts w:ascii="宋体" w:hAnsi="宋体" w:cs="宋体"/>
          <w:sz w:val="24"/>
        </w:rPr>
      </w:pPr>
    </w:p>
    <w:p w14:paraId="2ECB03D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2750D4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ADAEE4F">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0A74B025">
      <w:pPr>
        <w:widowControl/>
        <w:spacing w:line="360" w:lineRule="auto"/>
        <w:ind w:left="150"/>
        <w:jc w:val="center"/>
        <w:rPr>
          <w:rFonts w:ascii="宋体" w:hAnsi="宋体" w:cs="宋体"/>
          <w:b/>
          <w:kern w:val="0"/>
          <w:sz w:val="32"/>
          <w:szCs w:val="32"/>
        </w:rPr>
      </w:pPr>
    </w:p>
    <w:p w14:paraId="62B6F674">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1A2B66F3">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EA053F3">
      <w:pPr>
        <w:rPr>
          <w:rFonts w:ascii="宋体" w:hAnsi="宋体" w:cs="宋体"/>
        </w:rPr>
      </w:pPr>
    </w:p>
    <w:p w14:paraId="545F5AE9">
      <w:pPr>
        <w:snapToGrid w:val="0"/>
        <w:spacing w:line="360" w:lineRule="auto"/>
        <w:ind w:right="480"/>
        <w:jc w:val="center"/>
        <w:rPr>
          <w:rFonts w:ascii="宋体" w:hAnsi="宋体" w:cs="宋体"/>
          <w:b/>
          <w:kern w:val="0"/>
          <w:sz w:val="32"/>
          <w:szCs w:val="32"/>
        </w:rPr>
      </w:pPr>
    </w:p>
    <w:p w14:paraId="4E2A942D">
      <w:pPr>
        <w:widowControl/>
        <w:adjustRightInd/>
        <w:jc w:val="left"/>
        <w:rPr>
          <w:rFonts w:ascii="宋体" w:hAnsi="宋体" w:cs="宋体"/>
          <w:b/>
          <w:kern w:val="0"/>
          <w:sz w:val="36"/>
          <w:szCs w:val="36"/>
        </w:rPr>
      </w:pPr>
      <w:r>
        <w:rPr>
          <w:rFonts w:ascii="宋体" w:hAnsi="宋体" w:cs="宋体"/>
          <w:b/>
          <w:kern w:val="0"/>
          <w:sz w:val="36"/>
          <w:szCs w:val="36"/>
        </w:rPr>
        <w:br w:type="page"/>
      </w:r>
    </w:p>
    <w:p w14:paraId="4DCDC51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238A19E">
      <w:pPr>
        <w:spacing w:line="360" w:lineRule="auto"/>
        <w:jc w:val="center"/>
        <w:rPr>
          <w:rFonts w:ascii="宋体" w:hAnsi="宋体" w:cs="宋体"/>
          <w:b/>
          <w:kern w:val="0"/>
          <w:sz w:val="24"/>
        </w:rPr>
      </w:pPr>
    </w:p>
    <w:p w14:paraId="62EF5BFE">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5C88B328">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F85AF3B">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7644568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566B522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3371C64">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28A1C72">
      <w:pPr>
        <w:snapToGrid w:val="0"/>
        <w:spacing w:line="360" w:lineRule="auto"/>
        <w:jc w:val="center"/>
        <w:rPr>
          <w:rFonts w:ascii="宋体" w:hAnsi="宋体" w:cs="宋体"/>
          <w:b/>
          <w:kern w:val="0"/>
          <w:sz w:val="32"/>
          <w:szCs w:val="32"/>
          <w:lang w:val="zh-CN"/>
        </w:rPr>
      </w:pPr>
    </w:p>
    <w:p w14:paraId="7D91E5E6">
      <w:pPr>
        <w:snapToGrid w:val="0"/>
        <w:spacing w:line="360" w:lineRule="auto"/>
        <w:jc w:val="center"/>
        <w:rPr>
          <w:rFonts w:ascii="宋体" w:hAnsi="宋体" w:cs="宋体"/>
          <w:b/>
          <w:kern w:val="0"/>
          <w:sz w:val="32"/>
          <w:szCs w:val="32"/>
          <w:lang w:val="zh-CN"/>
        </w:rPr>
      </w:pPr>
    </w:p>
    <w:p w14:paraId="31670F36">
      <w:pPr>
        <w:snapToGrid w:val="0"/>
        <w:spacing w:line="360" w:lineRule="auto"/>
        <w:jc w:val="center"/>
        <w:rPr>
          <w:rFonts w:ascii="宋体" w:hAnsi="宋体" w:cs="宋体"/>
          <w:b/>
          <w:kern w:val="0"/>
          <w:sz w:val="32"/>
          <w:szCs w:val="32"/>
          <w:lang w:val="zh-CN"/>
        </w:rPr>
      </w:pPr>
    </w:p>
    <w:p w14:paraId="6CA00DCF">
      <w:pPr>
        <w:snapToGrid w:val="0"/>
        <w:spacing w:line="360" w:lineRule="auto"/>
        <w:jc w:val="center"/>
        <w:rPr>
          <w:rFonts w:ascii="宋体" w:hAnsi="宋体" w:cs="宋体"/>
          <w:b/>
          <w:kern w:val="0"/>
          <w:sz w:val="32"/>
          <w:szCs w:val="32"/>
          <w:lang w:val="zh-CN"/>
        </w:rPr>
      </w:pPr>
    </w:p>
    <w:p w14:paraId="17BCA831">
      <w:pPr>
        <w:snapToGrid w:val="0"/>
        <w:spacing w:line="360" w:lineRule="auto"/>
        <w:jc w:val="center"/>
        <w:rPr>
          <w:rFonts w:ascii="宋体" w:hAnsi="宋体" w:cs="宋体"/>
          <w:b/>
          <w:kern w:val="0"/>
          <w:sz w:val="32"/>
          <w:szCs w:val="32"/>
          <w:lang w:val="zh-CN"/>
        </w:rPr>
      </w:pPr>
    </w:p>
    <w:p w14:paraId="3BAF9DB3">
      <w:pPr>
        <w:snapToGrid w:val="0"/>
        <w:spacing w:line="360" w:lineRule="auto"/>
        <w:jc w:val="center"/>
        <w:rPr>
          <w:rFonts w:ascii="宋体" w:hAnsi="宋体" w:cs="宋体"/>
          <w:b/>
          <w:kern w:val="0"/>
          <w:sz w:val="32"/>
          <w:szCs w:val="32"/>
          <w:lang w:val="zh-CN"/>
        </w:rPr>
      </w:pPr>
    </w:p>
    <w:p w14:paraId="74381D36">
      <w:pPr>
        <w:snapToGrid w:val="0"/>
        <w:spacing w:line="360" w:lineRule="auto"/>
        <w:jc w:val="center"/>
        <w:rPr>
          <w:rFonts w:ascii="宋体" w:hAnsi="宋体" w:cs="宋体"/>
          <w:b/>
          <w:kern w:val="0"/>
          <w:sz w:val="32"/>
          <w:szCs w:val="32"/>
          <w:lang w:val="zh-CN"/>
        </w:rPr>
      </w:pPr>
    </w:p>
    <w:p w14:paraId="4D500133">
      <w:pPr>
        <w:snapToGrid w:val="0"/>
        <w:spacing w:line="360" w:lineRule="auto"/>
        <w:jc w:val="center"/>
        <w:rPr>
          <w:rFonts w:ascii="宋体" w:hAnsi="宋体" w:cs="宋体"/>
          <w:b/>
          <w:kern w:val="0"/>
          <w:sz w:val="32"/>
          <w:szCs w:val="32"/>
          <w:lang w:val="zh-CN"/>
        </w:rPr>
      </w:pPr>
    </w:p>
    <w:p w14:paraId="67BDBF10">
      <w:pPr>
        <w:snapToGrid w:val="0"/>
        <w:spacing w:line="360" w:lineRule="auto"/>
        <w:jc w:val="center"/>
        <w:rPr>
          <w:rFonts w:ascii="宋体" w:hAnsi="宋体" w:cs="宋体"/>
          <w:b/>
          <w:kern w:val="0"/>
          <w:sz w:val="32"/>
          <w:szCs w:val="32"/>
          <w:lang w:val="zh-CN"/>
        </w:rPr>
      </w:pPr>
    </w:p>
    <w:p w14:paraId="00F60A3B">
      <w:pPr>
        <w:snapToGrid w:val="0"/>
        <w:spacing w:line="360" w:lineRule="auto"/>
        <w:jc w:val="center"/>
        <w:rPr>
          <w:rFonts w:ascii="宋体" w:hAnsi="宋体" w:cs="宋体"/>
          <w:b/>
          <w:kern w:val="0"/>
          <w:sz w:val="32"/>
          <w:szCs w:val="32"/>
          <w:lang w:val="zh-CN"/>
        </w:rPr>
      </w:pPr>
    </w:p>
    <w:p w14:paraId="58C005D2">
      <w:pPr>
        <w:snapToGrid w:val="0"/>
        <w:spacing w:line="360" w:lineRule="auto"/>
        <w:jc w:val="center"/>
        <w:rPr>
          <w:rFonts w:ascii="宋体" w:hAnsi="宋体" w:cs="宋体"/>
          <w:b/>
          <w:kern w:val="0"/>
          <w:sz w:val="32"/>
          <w:szCs w:val="32"/>
          <w:lang w:val="zh-CN"/>
        </w:rPr>
      </w:pPr>
    </w:p>
    <w:p w14:paraId="7EF4F550">
      <w:pPr>
        <w:snapToGrid w:val="0"/>
        <w:spacing w:line="360" w:lineRule="auto"/>
        <w:jc w:val="center"/>
        <w:rPr>
          <w:rFonts w:ascii="宋体" w:hAnsi="宋体" w:cs="宋体"/>
          <w:b/>
          <w:kern w:val="0"/>
          <w:sz w:val="32"/>
          <w:szCs w:val="32"/>
          <w:lang w:val="zh-CN"/>
        </w:rPr>
      </w:pPr>
    </w:p>
    <w:p w14:paraId="21BEBA35">
      <w:pPr>
        <w:rPr>
          <w:rFonts w:ascii="宋体" w:hAnsi="宋体" w:cs="宋体"/>
          <w:b/>
          <w:kern w:val="0"/>
          <w:sz w:val="32"/>
          <w:szCs w:val="32"/>
          <w:lang w:val="zh-CN"/>
        </w:rPr>
      </w:pPr>
    </w:p>
    <w:p w14:paraId="3D33B5A2">
      <w:pPr>
        <w:widowControl/>
        <w:adjustRightInd/>
        <w:jc w:val="left"/>
        <w:rPr>
          <w:rFonts w:ascii="宋体" w:hAnsi="宋体" w:cs="宋体"/>
          <w:b/>
          <w:kern w:val="0"/>
          <w:sz w:val="32"/>
          <w:szCs w:val="32"/>
        </w:rPr>
      </w:pPr>
      <w:r>
        <w:rPr>
          <w:rFonts w:ascii="宋体" w:hAnsi="宋体" w:cs="宋体"/>
          <w:b/>
          <w:kern w:val="0"/>
          <w:sz w:val="32"/>
          <w:szCs w:val="32"/>
        </w:rPr>
        <w:br w:type="page"/>
      </w:r>
    </w:p>
    <w:p w14:paraId="3467E7F7">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4787C9F9">
      <w:pPr>
        <w:snapToGrid w:val="0"/>
        <w:spacing w:line="360" w:lineRule="auto"/>
        <w:rPr>
          <w:rFonts w:ascii="宋体" w:hAnsi="宋体" w:cs="宋体"/>
          <w:sz w:val="24"/>
        </w:rPr>
      </w:pPr>
      <w:r>
        <w:rPr>
          <w:rFonts w:hint="eastAsia" w:ascii="宋体" w:hAnsi="宋体" w:cs="宋体"/>
          <w:sz w:val="24"/>
        </w:rPr>
        <w:t>宁波市生态环境局宁海分局、宁海童氏工程管理咨询有限公司：</w:t>
      </w:r>
    </w:p>
    <w:p w14:paraId="2368D3D0">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【招标编号：NH-TS2025-034】招标的有关活动，并对此项目进行投标。为此：</w:t>
      </w:r>
    </w:p>
    <w:p w14:paraId="246C46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46B4BBA">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588A659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8D2B6BA">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178BE8BF">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56" w:name="_Hlk101257010"/>
      <w:r>
        <w:rPr>
          <w:rFonts w:hint="eastAsia" w:ascii="宋体" w:hAnsi="宋体" w:cs="宋体"/>
          <w:sz w:val="24"/>
        </w:rPr>
        <w:t>（如果有)</w:t>
      </w:r>
      <w:bookmarkEnd w:id="456"/>
      <w:r>
        <w:rPr>
          <w:rFonts w:hint="eastAsia" w:ascii="宋体" w:hAnsi="宋体" w:cs="宋体"/>
          <w:snapToGrid w:val="0"/>
          <w:kern w:val="28"/>
          <w:sz w:val="24"/>
          <w:szCs w:val="20"/>
        </w:rPr>
        <w:t>；</w:t>
      </w:r>
    </w:p>
    <w:p w14:paraId="46BD4A97">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294CB84">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65B1CB1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9DFF60A">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E1E04ED">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6839E4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56FC92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C4A50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0BE2F6F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1553178">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5A99391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BEE2D25">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FB3AD96">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3BBAE634">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6DC455A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E4FAD6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6A49D62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FB9A59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F814D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15956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D34C74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4697646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52BBDCB">
      <w:pPr>
        <w:spacing w:line="360" w:lineRule="auto"/>
        <w:jc w:val="center"/>
        <w:rPr>
          <w:rFonts w:ascii="宋体" w:hAnsi="宋体" w:cs="宋体"/>
          <w:sz w:val="24"/>
        </w:rPr>
      </w:pPr>
      <w:r>
        <w:rPr>
          <w:rFonts w:hint="eastAsia" w:ascii="宋体" w:hAnsi="宋体" w:cs="宋体"/>
          <w:sz w:val="24"/>
        </w:rPr>
        <w:t xml:space="preserve">     日期：  年   月   日</w:t>
      </w:r>
    </w:p>
    <w:p w14:paraId="1AEF9B4C">
      <w:pPr>
        <w:snapToGrid w:val="0"/>
        <w:spacing w:line="360" w:lineRule="auto"/>
        <w:ind w:left="420" w:leftChars="200" w:firstLine="4200" w:firstLineChars="1750"/>
        <w:rPr>
          <w:rFonts w:ascii="宋体" w:hAnsi="宋体" w:cs="宋体"/>
          <w:kern w:val="0"/>
          <w:sz w:val="24"/>
          <w:u w:val="single"/>
        </w:rPr>
      </w:pPr>
    </w:p>
    <w:p w14:paraId="6811B2D5">
      <w:pPr>
        <w:spacing w:line="360" w:lineRule="auto"/>
        <w:ind w:right="420"/>
        <w:rPr>
          <w:rFonts w:ascii="宋体" w:hAnsi="宋体" w:cs="宋体"/>
          <w:sz w:val="24"/>
        </w:rPr>
      </w:pPr>
      <w:r>
        <w:rPr>
          <w:rFonts w:hint="eastAsia" w:ascii="宋体" w:hAnsi="宋体" w:cs="宋体"/>
          <w:sz w:val="24"/>
        </w:rPr>
        <w:t>注：按本格式和要求提供。</w:t>
      </w:r>
    </w:p>
    <w:p w14:paraId="483A392F">
      <w:pPr>
        <w:snapToGrid w:val="0"/>
        <w:spacing w:line="360" w:lineRule="auto"/>
        <w:jc w:val="center"/>
        <w:rPr>
          <w:rFonts w:ascii="宋体" w:hAnsi="宋体" w:cs="宋体"/>
          <w:b/>
          <w:kern w:val="0"/>
          <w:sz w:val="32"/>
          <w:szCs w:val="32"/>
        </w:rPr>
      </w:pPr>
    </w:p>
    <w:p w14:paraId="4C28FB41">
      <w:pPr>
        <w:snapToGrid w:val="0"/>
        <w:spacing w:line="360" w:lineRule="auto"/>
        <w:rPr>
          <w:rFonts w:ascii="宋体" w:hAnsi="宋体" w:cs="宋体"/>
          <w:sz w:val="24"/>
        </w:rPr>
      </w:pPr>
    </w:p>
    <w:p w14:paraId="31E25763">
      <w:pPr>
        <w:jc w:val="center"/>
        <w:rPr>
          <w:rFonts w:ascii="宋体" w:hAnsi="宋体" w:cs="宋体"/>
          <w:b/>
          <w:kern w:val="0"/>
          <w:sz w:val="32"/>
          <w:szCs w:val="32"/>
        </w:rPr>
      </w:pPr>
    </w:p>
    <w:p w14:paraId="27944C22">
      <w:pPr>
        <w:jc w:val="center"/>
        <w:rPr>
          <w:rFonts w:ascii="宋体" w:hAnsi="宋体" w:cs="宋体"/>
          <w:b/>
          <w:kern w:val="0"/>
          <w:sz w:val="32"/>
          <w:szCs w:val="32"/>
        </w:rPr>
      </w:pPr>
    </w:p>
    <w:p w14:paraId="47304084">
      <w:pPr>
        <w:jc w:val="center"/>
        <w:rPr>
          <w:rFonts w:ascii="宋体" w:hAnsi="宋体" w:cs="宋体"/>
          <w:b/>
          <w:kern w:val="0"/>
          <w:sz w:val="32"/>
          <w:szCs w:val="32"/>
        </w:rPr>
      </w:pPr>
    </w:p>
    <w:p w14:paraId="539546E2">
      <w:pPr>
        <w:jc w:val="center"/>
        <w:rPr>
          <w:rFonts w:ascii="宋体" w:hAnsi="宋体" w:cs="宋体"/>
          <w:b/>
          <w:kern w:val="0"/>
          <w:sz w:val="32"/>
          <w:szCs w:val="32"/>
        </w:rPr>
      </w:pPr>
    </w:p>
    <w:p w14:paraId="543E0A8A">
      <w:pPr>
        <w:jc w:val="center"/>
        <w:rPr>
          <w:rFonts w:ascii="宋体" w:hAnsi="宋体" w:cs="宋体"/>
          <w:b/>
          <w:kern w:val="0"/>
          <w:sz w:val="32"/>
          <w:szCs w:val="32"/>
        </w:rPr>
      </w:pPr>
    </w:p>
    <w:p w14:paraId="7912FD2A">
      <w:pPr>
        <w:jc w:val="center"/>
        <w:rPr>
          <w:rFonts w:ascii="宋体" w:hAnsi="宋体" w:cs="宋体"/>
          <w:b/>
          <w:kern w:val="0"/>
          <w:sz w:val="32"/>
          <w:szCs w:val="32"/>
        </w:rPr>
      </w:pPr>
    </w:p>
    <w:p w14:paraId="2C82A167">
      <w:pPr>
        <w:jc w:val="center"/>
        <w:rPr>
          <w:rFonts w:ascii="宋体" w:hAnsi="宋体" w:cs="宋体"/>
          <w:b/>
          <w:kern w:val="0"/>
          <w:sz w:val="32"/>
          <w:szCs w:val="32"/>
        </w:rPr>
      </w:pPr>
    </w:p>
    <w:p w14:paraId="239D18A8">
      <w:pPr>
        <w:jc w:val="center"/>
        <w:rPr>
          <w:rFonts w:ascii="宋体" w:hAnsi="宋体" w:cs="宋体"/>
          <w:b/>
          <w:kern w:val="0"/>
          <w:sz w:val="32"/>
          <w:szCs w:val="32"/>
        </w:rPr>
      </w:pPr>
    </w:p>
    <w:p w14:paraId="5F87E82C">
      <w:pPr>
        <w:jc w:val="center"/>
        <w:rPr>
          <w:rFonts w:ascii="宋体" w:hAnsi="宋体" w:cs="宋体"/>
          <w:b/>
          <w:kern w:val="0"/>
          <w:sz w:val="32"/>
          <w:szCs w:val="32"/>
        </w:rPr>
      </w:pPr>
    </w:p>
    <w:p w14:paraId="7785515F">
      <w:pPr>
        <w:jc w:val="center"/>
        <w:rPr>
          <w:rFonts w:ascii="宋体" w:hAnsi="宋体" w:cs="宋体"/>
          <w:b/>
          <w:kern w:val="0"/>
          <w:sz w:val="32"/>
          <w:szCs w:val="32"/>
        </w:rPr>
      </w:pPr>
    </w:p>
    <w:p w14:paraId="082A5F15">
      <w:pPr>
        <w:jc w:val="center"/>
        <w:rPr>
          <w:rFonts w:ascii="宋体" w:hAnsi="宋体" w:cs="宋体"/>
          <w:b/>
          <w:kern w:val="0"/>
          <w:sz w:val="32"/>
          <w:szCs w:val="32"/>
        </w:rPr>
      </w:pPr>
    </w:p>
    <w:p w14:paraId="4C5733E4">
      <w:pPr>
        <w:jc w:val="center"/>
        <w:rPr>
          <w:rFonts w:ascii="宋体" w:hAnsi="宋体" w:cs="宋体"/>
          <w:b/>
          <w:kern w:val="0"/>
          <w:sz w:val="32"/>
          <w:szCs w:val="32"/>
        </w:rPr>
      </w:pPr>
    </w:p>
    <w:p w14:paraId="5C567FC1">
      <w:pPr>
        <w:jc w:val="center"/>
        <w:rPr>
          <w:rFonts w:ascii="宋体" w:hAnsi="宋体" w:cs="宋体"/>
          <w:b/>
          <w:kern w:val="0"/>
          <w:sz w:val="32"/>
          <w:szCs w:val="32"/>
        </w:rPr>
      </w:pPr>
    </w:p>
    <w:p w14:paraId="620B1314">
      <w:pPr>
        <w:jc w:val="center"/>
        <w:rPr>
          <w:rFonts w:ascii="宋体" w:hAnsi="宋体" w:cs="宋体"/>
          <w:b/>
          <w:kern w:val="0"/>
          <w:sz w:val="32"/>
          <w:szCs w:val="32"/>
        </w:rPr>
      </w:pPr>
    </w:p>
    <w:p w14:paraId="14C02430">
      <w:pPr>
        <w:jc w:val="center"/>
        <w:rPr>
          <w:rFonts w:ascii="宋体" w:hAnsi="宋体" w:cs="宋体"/>
          <w:b/>
          <w:kern w:val="0"/>
          <w:sz w:val="32"/>
          <w:szCs w:val="32"/>
        </w:rPr>
      </w:pPr>
    </w:p>
    <w:p w14:paraId="66850A1A">
      <w:pPr>
        <w:jc w:val="center"/>
        <w:rPr>
          <w:rFonts w:ascii="宋体" w:hAnsi="宋体" w:cs="宋体"/>
          <w:b/>
          <w:kern w:val="0"/>
          <w:sz w:val="32"/>
          <w:szCs w:val="32"/>
        </w:rPr>
      </w:pPr>
    </w:p>
    <w:p w14:paraId="411E8E52">
      <w:pPr>
        <w:jc w:val="center"/>
        <w:rPr>
          <w:rFonts w:ascii="宋体" w:hAnsi="宋体" w:cs="宋体"/>
          <w:b/>
          <w:kern w:val="0"/>
          <w:sz w:val="32"/>
          <w:szCs w:val="32"/>
        </w:rPr>
      </w:pPr>
    </w:p>
    <w:p w14:paraId="08B067BC">
      <w:pPr>
        <w:jc w:val="center"/>
        <w:rPr>
          <w:rFonts w:ascii="宋体" w:hAnsi="宋体" w:cs="宋体"/>
          <w:b/>
          <w:kern w:val="0"/>
          <w:sz w:val="32"/>
          <w:szCs w:val="32"/>
        </w:rPr>
      </w:pPr>
    </w:p>
    <w:p w14:paraId="11812DBF">
      <w:pPr>
        <w:jc w:val="center"/>
        <w:rPr>
          <w:rFonts w:ascii="宋体" w:hAnsi="宋体" w:cs="宋体"/>
          <w:b/>
          <w:kern w:val="0"/>
          <w:sz w:val="32"/>
          <w:szCs w:val="32"/>
        </w:rPr>
      </w:pPr>
    </w:p>
    <w:p w14:paraId="3DB5F24C">
      <w:pPr>
        <w:jc w:val="center"/>
        <w:rPr>
          <w:rFonts w:ascii="宋体" w:hAnsi="宋体" w:cs="宋体"/>
          <w:b/>
          <w:kern w:val="0"/>
          <w:sz w:val="32"/>
          <w:szCs w:val="32"/>
        </w:rPr>
      </w:pPr>
    </w:p>
    <w:p w14:paraId="7763B6CB">
      <w:pPr>
        <w:jc w:val="center"/>
        <w:rPr>
          <w:rFonts w:ascii="宋体" w:hAnsi="宋体" w:cs="宋体"/>
          <w:b/>
          <w:kern w:val="0"/>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002812E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5024CFC4">
      <w:pPr>
        <w:snapToGrid w:val="0"/>
        <w:spacing w:line="360" w:lineRule="auto"/>
        <w:rPr>
          <w:rFonts w:ascii="宋体" w:hAnsi="宋体" w:cs="宋体"/>
          <w:sz w:val="24"/>
        </w:rPr>
      </w:pPr>
      <w:r>
        <w:rPr>
          <w:rFonts w:hint="eastAsia" w:ascii="宋体" w:hAnsi="宋体" w:cs="宋体"/>
          <w:sz w:val="24"/>
        </w:rPr>
        <w:t xml:space="preserve">                                </w:t>
      </w:r>
    </w:p>
    <w:p w14:paraId="0584DFEC">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9FE4DB">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32EC4969">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w:t>
      </w:r>
      <w:r>
        <w:rPr>
          <w:rFonts w:hint="eastAsia" w:ascii="宋体" w:hAnsi="宋体" w:cs="宋体"/>
          <w:kern w:val="0"/>
          <w:sz w:val="24"/>
          <w:lang w:val="zh-CN"/>
        </w:rPr>
        <w:t>政府采购投标的一切事项，其法律后果由我方承担。</w:t>
      </w:r>
    </w:p>
    <w:p w14:paraId="782392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F2E11F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14E305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2A46B4E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1F5E214C">
      <w:pPr>
        <w:snapToGrid w:val="0"/>
        <w:spacing w:line="360" w:lineRule="auto"/>
        <w:rPr>
          <w:rFonts w:ascii="宋体" w:hAnsi="宋体" w:cs="宋体"/>
          <w:sz w:val="24"/>
        </w:rPr>
      </w:pPr>
    </w:p>
    <w:p w14:paraId="2751CF0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2E4330CC">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01DE93D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w:t>
      </w:r>
      <w:r>
        <w:rPr>
          <w:rFonts w:hint="eastAsia" w:ascii="宋体" w:hAnsi="宋体" w:cs="宋体"/>
          <w:kern w:val="0"/>
          <w:sz w:val="24"/>
          <w:lang w:val="zh-CN"/>
        </w:rPr>
        <w:t>政府采购投标的一切事项，其法律后果由我方承担。</w:t>
      </w:r>
    </w:p>
    <w:p w14:paraId="58A0F23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6AFBD9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E0B7C6C">
      <w:pPr>
        <w:jc w:val="center"/>
        <w:rPr>
          <w:rFonts w:ascii="宋体" w:hAnsi="宋体" w:cs="宋体"/>
          <w:b/>
          <w:kern w:val="0"/>
          <w:sz w:val="32"/>
          <w:szCs w:val="32"/>
        </w:rPr>
      </w:pPr>
    </w:p>
    <w:p w14:paraId="1039C417">
      <w:pPr>
        <w:rPr>
          <w:rFonts w:ascii="宋体" w:hAnsi="宋体" w:cs="宋体"/>
        </w:rPr>
      </w:pPr>
    </w:p>
    <w:p w14:paraId="771507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E265D0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77ACE">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E20272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5EA786F4">
      <w:pPr>
        <w:autoSpaceDE w:val="0"/>
        <w:autoSpaceDN w:val="0"/>
        <w:spacing w:line="360" w:lineRule="auto"/>
        <w:jc w:val="center"/>
        <w:rPr>
          <w:rFonts w:ascii="宋体" w:hAnsi="宋体" w:cs="宋体"/>
          <w:b/>
          <w:kern w:val="0"/>
          <w:sz w:val="32"/>
          <w:szCs w:val="32"/>
          <w:lang w:val="zh-CN"/>
        </w:rPr>
      </w:pPr>
    </w:p>
    <w:p w14:paraId="6934B93E">
      <w:pPr>
        <w:autoSpaceDE w:val="0"/>
        <w:autoSpaceDN w:val="0"/>
        <w:spacing w:line="360" w:lineRule="auto"/>
        <w:jc w:val="center"/>
        <w:rPr>
          <w:rFonts w:ascii="宋体" w:hAnsi="宋体" w:cs="宋体"/>
          <w:b/>
          <w:kern w:val="0"/>
          <w:sz w:val="32"/>
          <w:szCs w:val="32"/>
          <w:lang w:val="zh-CN"/>
        </w:rPr>
      </w:pPr>
    </w:p>
    <w:p w14:paraId="48892CE6">
      <w:pPr>
        <w:autoSpaceDE w:val="0"/>
        <w:autoSpaceDN w:val="0"/>
        <w:spacing w:line="360" w:lineRule="auto"/>
        <w:jc w:val="center"/>
        <w:rPr>
          <w:rFonts w:ascii="宋体" w:hAnsi="宋体" w:cs="宋体"/>
          <w:b/>
          <w:kern w:val="0"/>
          <w:sz w:val="32"/>
          <w:szCs w:val="32"/>
          <w:lang w:val="zh-CN"/>
        </w:rPr>
      </w:pPr>
    </w:p>
    <w:p w14:paraId="306BB487">
      <w:pPr>
        <w:autoSpaceDE w:val="0"/>
        <w:autoSpaceDN w:val="0"/>
        <w:spacing w:line="360" w:lineRule="auto"/>
        <w:jc w:val="center"/>
        <w:rPr>
          <w:rFonts w:ascii="宋体" w:hAnsi="宋体" w:cs="宋体"/>
          <w:b/>
          <w:kern w:val="0"/>
          <w:sz w:val="32"/>
          <w:szCs w:val="32"/>
          <w:lang w:val="zh-CN"/>
        </w:rPr>
      </w:pPr>
    </w:p>
    <w:p w14:paraId="52C20375">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DBD16E">
      <w:pPr>
        <w:pStyle w:val="156"/>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CD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9F7C67E">
            <w:pPr>
              <w:pStyle w:val="156"/>
              <w:adjustRightInd w:val="0"/>
              <w:spacing w:line="360" w:lineRule="auto"/>
              <w:rPr>
                <w:rFonts w:hAnsi="宋体" w:cs="宋体"/>
                <w:bCs/>
                <w:sz w:val="24"/>
              </w:rPr>
            </w:pPr>
            <w:r>
              <w:rPr>
                <w:rFonts w:hint="eastAsia" w:hAnsi="宋体" w:cs="宋体"/>
                <w:bCs/>
                <w:sz w:val="24"/>
              </w:rPr>
              <w:t>正面：                                 反面：</w:t>
            </w:r>
          </w:p>
          <w:p w14:paraId="0ADDD239">
            <w:pPr>
              <w:pStyle w:val="156"/>
              <w:adjustRightInd w:val="0"/>
              <w:spacing w:line="360" w:lineRule="auto"/>
              <w:rPr>
                <w:rFonts w:hAnsi="宋体" w:cs="宋体"/>
                <w:bCs/>
                <w:sz w:val="24"/>
              </w:rPr>
            </w:pPr>
          </w:p>
        </w:tc>
      </w:tr>
    </w:tbl>
    <w:p w14:paraId="2CF560D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774154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79B1A0D">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DBA92AB">
      <w:pPr>
        <w:jc w:val="center"/>
        <w:rPr>
          <w:rFonts w:ascii="宋体" w:hAnsi="宋体" w:cs="宋体"/>
          <w:b/>
          <w:kern w:val="0"/>
          <w:sz w:val="32"/>
          <w:szCs w:val="32"/>
        </w:rPr>
      </w:pPr>
    </w:p>
    <w:p w14:paraId="33776D87">
      <w:pPr>
        <w:jc w:val="center"/>
        <w:rPr>
          <w:rFonts w:ascii="宋体" w:hAnsi="宋体" w:cs="宋体"/>
          <w:b/>
          <w:kern w:val="0"/>
          <w:sz w:val="32"/>
          <w:szCs w:val="32"/>
        </w:rPr>
      </w:pPr>
    </w:p>
    <w:p w14:paraId="0D44C494">
      <w:pPr>
        <w:jc w:val="center"/>
        <w:rPr>
          <w:rFonts w:ascii="宋体" w:hAnsi="宋体" w:cs="宋体"/>
          <w:b/>
          <w:kern w:val="0"/>
          <w:sz w:val="32"/>
          <w:szCs w:val="32"/>
        </w:rPr>
      </w:pPr>
    </w:p>
    <w:p w14:paraId="51CF08A2">
      <w:pPr>
        <w:jc w:val="center"/>
        <w:rPr>
          <w:rFonts w:ascii="宋体" w:hAnsi="宋体" w:cs="宋体"/>
          <w:b/>
          <w:kern w:val="0"/>
          <w:sz w:val="32"/>
          <w:szCs w:val="32"/>
        </w:rPr>
      </w:pPr>
    </w:p>
    <w:p w14:paraId="54AA68F1">
      <w:pPr>
        <w:jc w:val="center"/>
        <w:rPr>
          <w:rFonts w:ascii="宋体" w:hAnsi="宋体" w:cs="宋体"/>
          <w:b/>
          <w:kern w:val="0"/>
          <w:sz w:val="32"/>
          <w:szCs w:val="32"/>
        </w:rPr>
      </w:pPr>
    </w:p>
    <w:p w14:paraId="12D62A69">
      <w:pPr>
        <w:jc w:val="center"/>
        <w:rPr>
          <w:rFonts w:ascii="宋体" w:hAnsi="宋体" w:cs="宋体"/>
          <w:b/>
          <w:kern w:val="0"/>
          <w:sz w:val="32"/>
          <w:szCs w:val="32"/>
        </w:rPr>
      </w:pPr>
    </w:p>
    <w:p w14:paraId="179D8154">
      <w:pPr>
        <w:jc w:val="center"/>
        <w:rPr>
          <w:rFonts w:ascii="宋体" w:hAnsi="宋体" w:cs="宋体"/>
          <w:b/>
          <w:kern w:val="0"/>
          <w:sz w:val="32"/>
          <w:szCs w:val="32"/>
        </w:rPr>
      </w:pPr>
    </w:p>
    <w:p w14:paraId="7DD38340">
      <w:pPr>
        <w:jc w:val="center"/>
        <w:rPr>
          <w:rFonts w:ascii="宋体" w:hAnsi="宋体" w:cs="宋体"/>
          <w:b/>
          <w:kern w:val="0"/>
          <w:sz w:val="32"/>
          <w:szCs w:val="32"/>
        </w:rPr>
      </w:pPr>
    </w:p>
    <w:p w14:paraId="51293790">
      <w:pPr>
        <w:jc w:val="center"/>
        <w:rPr>
          <w:rFonts w:ascii="宋体" w:hAnsi="宋体" w:cs="宋体"/>
          <w:b/>
          <w:kern w:val="0"/>
          <w:sz w:val="32"/>
          <w:szCs w:val="32"/>
        </w:rPr>
      </w:pPr>
    </w:p>
    <w:p w14:paraId="7F6FC0BA">
      <w:pPr>
        <w:jc w:val="center"/>
        <w:rPr>
          <w:rFonts w:ascii="宋体" w:hAnsi="宋体" w:cs="宋体"/>
          <w:b/>
          <w:kern w:val="0"/>
          <w:sz w:val="32"/>
          <w:szCs w:val="32"/>
        </w:rPr>
      </w:pPr>
    </w:p>
    <w:p w14:paraId="4727790A">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14:paraId="6241BA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1141E508">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192154EC">
      <w:pPr>
        <w:snapToGrid w:val="0"/>
        <w:spacing w:line="360" w:lineRule="auto"/>
        <w:rPr>
          <w:rFonts w:ascii="宋体" w:hAnsi="宋体" w:cs="宋体"/>
          <w:kern w:val="0"/>
          <w:sz w:val="24"/>
        </w:rPr>
      </w:pPr>
    </w:p>
    <w:p w14:paraId="1D0D2B34">
      <w:pPr>
        <w:jc w:val="center"/>
        <w:rPr>
          <w:rFonts w:ascii="宋体" w:hAnsi="宋体" w:cs="宋体"/>
          <w:b/>
          <w:kern w:val="0"/>
          <w:sz w:val="32"/>
          <w:szCs w:val="32"/>
        </w:rPr>
      </w:pPr>
      <w:r>
        <w:rPr>
          <w:rFonts w:hint="eastAsia" w:ascii="宋体" w:hAnsi="宋体" w:cs="宋体"/>
          <w:b/>
          <w:kern w:val="0"/>
          <w:sz w:val="32"/>
          <w:szCs w:val="32"/>
        </w:rPr>
        <w:t>四、符合性审查资料</w:t>
      </w:r>
    </w:p>
    <w:p w14:paraId="2DE366E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447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6C15C8">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20AA68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88CB23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02A3E87">
            <w:pPr>
              <w:snapToGrid w:val="0"/>
              <w:spacing w:line="240" w:lineRule="atLeast"/>
              <w:jc w:val="center"/>
              <w:rPr>
                <w:rFonts w:ascii="宋体" w:hAnsi="宋体" w:cs="宋体"/>
                <w:b/>
                <w:sz w:val="24"/>
              </w:rPr>
            </w:pPr>
            <w:r>
              <w:rPr>
                <w:rFonts w:hint="eastAsia" w:ascii="宋体" w:hAnsi="宋体" w:cs="宋体"/>
                <w:b/>
                <w:sz w:val="24"/>
              </w:rPr>
              <w:t>投标文件中的</w:t>
            </w:r>
          </w:p>
          <w:p w14:paraId="43DA4F40">
            <w:pPr>
              <w:snapToGrid w:val="0"/>
              <w:spacing w:line="240" w:lineRule="atLeast"/>
              <w:jc w:val="center"/>
              <w:rPr>
                <w:rFonts w:ascii="宋体" w:hAnsi="宋体" w:cs="宋体"/>
                <w:b/>
                <w:sz w:val="24"/>
              </w:rPr>
            </w:pPr>
            <w:r>
              <w:rPr>
                <w:rFonts w:hint="eastAsia" w:ascii="宋体" w:hAnsi="宋体" w:cs="宋体"/>
                <w:b/>
                <w:sz w:val="24"/>
              </w:rPr>
              <w:t>页码位置</w:t>
            </w:r>
          </w:p>
        </w:tc>
      </w:tr>
      <w:tr w14:paraId="0EF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6B25F45">
            <w:pPr>
              <w:jc w:val="center"/>
              <w:rPr>
                <w:rFonts w:ascii="宋体" w:hAnsi="宋体" w:cs="宋体"/>
                <w:sz w:val="24"/>
              </w:rPr>
            </w:pPr>
            <w:r>
              <w:rPr>
                <w:rFonts w:hint="eastAsia" w:ascii="宋体" w:hAnsi="宋体" w:cs="宋体"/>
                <w:sz w:val="24"/>
              </w:rPr>
              <w:t>1</w:t>
            </w:r>
          </w:p>
        </w:tc>
        <w:tc>
          <w:tcPr>
            <w:tcW w:w="4991" w:type="dxa"/>
          </w:tcPr>
          <w:p w14:paraId="4A5468E9">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328685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BAC2A89">
            <w:pPr>
              <w:rPr>
                <w:rFonts w:ascii="宋体" w:hAnsi="宋体" w:cs="宋体"/>
                <w:sz w:val="24"/>
              </w:rPr>
            </w:pPr>
          </w:p>
          <w:p w14:paraId="23EBD53F">
            <w:pPr>
              <w:rPr>
                <w:rFonts w:ascii="宋体" w:hAnsi="宋体" w:cs="宋体"/>
                <w:sz w:val="24"/>
              </w:rPr>
            </w:pPr>
            <w:r>
              <w:rPr>
                <w:rFonts w:hint="eastAsia" w:ascii="宋体" w:hAnsi="宋体" w:cs="宋体"/>
                <w:sz w:val="24"/>
              </w:rPr>
              <w:t>见投标文件</w:t>
            </w:r>
          </w:p>
          <w:p w14:paraId="07DAC07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C55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7A0967">
            <w:pPr>
              <w:jc w:val="center"/>
              <w:rPr>
                <w:rFonts w:ascii="宋体" w:hAnsi="宋体" w:cs="宋体"/>
                <w:sz w:val="24"/>
              </w:rPr>
            </w:pPr>
            <w:r>
              <w:rPr>
                <w:rFonts w:hint="eastAsia" w:ascii="宋体" w:hAnsi="宋体" w:cs="宋体"/>
                <w:sz w:val="24"/>
              </w:rPr>
              <w:t>2</w:t>
            </w:r>
          </w:p>
        </w:tc>
        <w:tc>
          <w:tcPr>
            <w:tcW w:w="4991" w:type="dxa"/>
          </w:tcPr>
          <w:p w14:paraId="4CC9F3EE">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0953C58">
            <w:pPr>
              <w:rPr>
                <w:rFonts w:ascii="宋体" w:hAnsi="宋体" w:cs="宋体"/>
                <w:sz w:val="24"/>
              </w:rPr>
            </w:pPr>
            <w:r>
              <w:rPr>
                <w:rFonts w:hint="eastAsia" w:ascii="宋体" w:hAnsi="宋体" w:cs="宋体"/>
                <w:sz w:val="24"/>
              </w:rPr>
              <w:t>投标函</w:t>
            </w:r>
          </w:p>
        </w:tc>
        <w:tc>
          <w:tcPr>
            <w:tcW w:w="1418" w:type="dxa"/>
          </w:tcPr>
          <w:p w14:paraId="654F083F">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C58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5C43F4">
            <w:pPr>
              <w:jc w:val="center"/>
              <w:rPr>
                <w:rFonts w:ascii="宋体" w:hAnsi="宋体" w:cs="宋体"/>
                <w:sz w:val="24"/>
              </w:rPr>
            </w:pPr>
            <w:r>
              <w:rPr>
                <w:rFonts w:hint="eastAsia" w:ascii="宋体" w:hAnsi="宋体" w:cs="宋体"/>
                <w:sz w:val="24"/>
              </w:rPr>
              <w:t>3</w:t>
            </w:r>
          </w:p>
        </w:tc>
        <w:tc>
          <w:tcPr>
            <w:tcW w:w="4991" w:type="dxa"/>
          </w:tcPr>
          <w:p w14:paraId="5CC3E521">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FDA4E66">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9769AF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F32EFE9">
      <w:pPr>
        <w:spacing w:line="360" w:lineRule="auto"/>
        <w:ind w:right="420"/>
        <w:rPr>
          <w:rFonts w:ascii="宋体" w:hAnsi="宋体" w:cs="宋体"/>
          <w:sz w:val="24"/>
        </w:rPr>
      </w:pPr>
      <w:r>
        <w:rPr>
          <w:rFonts w:hint="eastAsia" w:ascii="宋体" w:hAnsi="宋体" w:cs="宋体"/>
          <w:sz w:val="24"/>
        </w:rPr>
        <w:t>注：按本格式和要求提供。</w:t>
      </w:r>
    </w:p>
    <w:p w14:paraId="58C1F441">
      <w:pPr>
        <w:jc w:val="center"/>
        <w:rPr>
          <w:rFonts w:ascii="宋体" w:hAnsi="宋体" w:cs="宋体"/>
          <w:b/>
          <w:kern w:val="0"/>
          <w:sz w:val="32"/>
          <w:szCs w:val="32"/>
        </w:rPr>
      </w:pPr>
    </w:p>
    <w:p w14:paraId="63C94C19">
      <w:pPr>
        <w:jc w:val="center"/>
        <w:rPr>
          <w:rFonts w:ascii="宋体" w:hAnsi="宋体" w:cs="宋体"/>
          <w:b/>
          <w:kern w:val="0"/>
          <w:sz w:val="32"/>
          <w:szCs w:val="32"/>
        </w:rPr>
      </w:pPr>
      <w:r>
        <w:rPr>
          <w:rFonts w:hint="eastAsia" w:ascii="宋体" w:hAnsi="宋体" w:cs="宋体"/>
          <w:b/>
          <w:kern w:val="0"/>
          <w:sz w:val="32"/>
          <w:szCs w:val="32"/>
        </w:rPr>
        <w:t xml:space="preserve">            </w:t>
      </w:r>
    </w:p>
    <w:p w14:paraId="0E4316A5">
      <w:pPr>
        <w:jc w:val="center"/>
        <w:rPr>
          <w:rFonts w:ascii="宋体" w:hAnsi="宋体" w:cs="宋体"/>
          <w:b/>
          <w:kern w:val="0"/>
          <w:sz w:val="32"/>
          <w:szCs w:val="32"/>
        </w:rPr>
      </w:pPr>
    </w:p>
    <w:p w14:paraId="316E4F66">
      <w:pPr>
        <w:jc w:val="center"/>
        <w:rPr>
          <w:rFonts w:ascii="宋体" w:hAnsi="宋体" w:cs="宋体"/>
          <w:b/>
          <w:kern w:val="0"/>
          <w:sz w:val="32"/>
          <w:szCs w:val="32"/>
        </w:rPr>
      </w:pPr>
    </w:p>
    <w:p w14:paraId="1DDA5ECF">
      <w:pPr>
        <w:jc w:val="center"/>
        <w:rPr>
          <w:rFonts w:ascii="宋体" w:hAnsi="宋体" w:cs="宋体"/>
          <w:b/>
          <w:kern w:val="0"/>
          <w:sz w:val="32"/>
          <w:szCs w:val="32"/>
        </w:rPr>
      </w:pPr>
    </w:p>
    <w:p w14:paraId="1CEAE5D7">
      <w:pPr>
        <w:jc w:val="center"/>
        <w:rPr>
          <w:rFonts w:ascii="宋体" w:hAnsi="宋体" w:cs="宋体"/>
          <w:b/>
          <w:kern w:val="0"/>
          <w:sz w:val="32"/>
          <w:szCs w:val="32"/>
        </w:rPr>
      </w:pPr>
    </w:p>
    <w:p w14:paraId="0DBB3F42">
      <w:pPr>
        <w:jc w:val="center"/>
        <w:rPr>
          <w:rFonts w:ascii="宋体" w:hAnsi="宋体" w:cs="宋体"/>
          <w:b/>
          <w:kern w:val="0"/>
          <w:sz w:val="32"/>
          <w:szCs w:val="32"/>
        </w:rPr>
      </w:pPr>
    </w:p>
    <w:p w14:paraId="2BE317A0">
      <w:pPr>
        <w:jc w:val="center"/>
        <w:rPr>
          <w:rFonts w:ascii="宋体" w:hAnsi="宋体" w:cs="宋体"/>
          <w:b/>
          <w:kern w:val="0"/>
          <w:sz w:val="32"/>
          <w:szCs w:val="32"/>
        </w:rPr>
      </w:pPr>
    </w:p>
    <w:p w14:paraId="443EEF7C">
      <w:pPr>
        <w:jc w:val="center"/>
        <w:rPr>
          <w:rFonts w:ascii="宋体" w:hAnsi="宋体" w:cs="宋体"/>
          <w:b/>
          <w:kern w:val="0"/>
          <w:sz w:val="32"/>
          <w:szCs w:val="32"/>
        </w:rPr>
      </w:pPr>
    </w:p>
    <w:p w14:paraId="5359682C">
      <w:pPr>
        <w:jc w:val="center"/>
        <w:rPr>
          <w:rFonts w:ascii="宋体" w:hAnsi="宋体" w:cs="宋体"/>
          <w:b/>
          <w:kern w:val="0"/>
          <w:sz w:val="32"/>
          <w:szCs w:val="32"/>
        </w:rPr>
      </w:pPr>
    </w:p>
    <w:p w14:paraId="54A20657">
      <w:pPr>
        <w:jc w:val="center"/>
        <w:rPr>
          <w:rFonts w:ascii="宋体" w:hAnsi="宋体" w:cs="宋体"/>
          <w:b/>
          <w:kern w:val="0"/>
          <w:sz w:val="32"/>
          <w:szCs w:val="32"/>
        </w:rPr>
      </w:pPr>
    </w:p>
    <w:p w14:paraId="4043D147">
      <w:pPr>
        <w:jc w:val="center"/>
        <w:rPr>
          <w:rFonts w:ascii="宋体" w:hAnsi="宋体" w:cs="宋体"/>
          <w:b/>
          <w:kern w:val="0"/>
          <w:sz w:val="32"/>
          <w:szCs w:val="32"/>
        </w:rPr>
      </w:pPr>
    </w:p>
    <w:p w14:paraId="766BA48D">
      <w:pPr>
        <w:jc w:val="center"/>
        <w:rPr>
          <w:rFonts w:ascii="宋体" w:hAnsi="宋体" w:cs="宋体"/>
          <w:b/>
          <w:kern w:val="0"/>
          <w:sz w:val="32"/>
          <w:szCs w:val="32"/>
        </w:rPr>
      </w:pPr>
    </w:p>
    <w:p w14:paraId="6B245DCE">
      <w:pPr>
        <w:jc w:val="center"/>
        <w:rPr>
          <w:rFonts w:ascii="宋体" w:hAnsi="宋体" w:cs="宋体"/>
          <w:b/>
          <w:kern w:val="0"/>
          <w:sz w:val="32"/>
          <w:szCs w:val="32"/>
        </w:rPr>
      </w:pPr>
    </w:p>
    <w:p w14:paraId="352CEF18">
      <w:pPr>
        <w:pStyle w:val="62"/>
        <w:ind w:firstLine="420"/>
      </w:pPr>
    </w:p>
    <w:p w14:paraId="7F240446">
      <w:pPr>
        <w:jc w:val="center"/>
        <w:rPr>
          <w:rFonts w:ascii="宋体" w:hAnsi="宋体" w:cs="宋体"/>
        </w:rPr>
      </w:pPr>
      <w:r>
        <w:rPr>
          <w:rFonts w:hint="eastAsia" w:ascii="宋体" w:hAnsi="宋体" w:cs="宋体"/>
          <w:b/>
          <w:kern w:val="0"/>
          <w:sz w:val="32"/>
          <w:szCs w:val="32"/>
        </w:rPr>
        <w:t>五、评标标准相应的商务技术资料</w:t>
      </w:r>
    </w:p>
    <w:p w14:paraId="72158FC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7F2108C">
      <w:pPr>
        <w:jc w:val="center"/>
        <w:rPr>
          <w:rFonts w:ascii="宋体" w:hAnsi="宋体" w:cs="宋体"/>
          <w:b/>
          <w:kern w:val="0"/>
          <w:sz w:val="32"/>
          <w:szCs w:val="32"/>
        </w:rPr>
      </w:pPr>
    </w:p>
    <w:p w14:paraId="13995685">
      <w:pPr>
        <w:jc w:val="center"/>
        <w:rPr>
          <w:rFonts w:ascii="宋体" w:hAnsi="宋体" w:cs="宋体"/>
          <w:b/>
          <w:kern w:val="0"/>
          <w:sz w:val="32"/>
          <w:szCs w:val="32"/>
        </w:rPr>
      </w:pPr>
    </w:p>
    <w:p w14:paraId="010AD0DF">
      <w:pPr>
        <w:jc w:val="center"/>
        <w:rPr>
          <w:rFonts w:ascii="宋体" w:hAnsi="宋体" w:cs="宋体"/>
          <w:b/>
          <w:kern w:val="0"/>
          <w:sz w:val="32"/>
          <w:szCs w:val="32"/>
        </w:rPr>
      </w:pPr>
    </w:p>
    <w:p w14:paraId="09B6891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61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7DD69">
            <w:pPr>
              <w:jc w:val="center"/>
              <w:rPr>
                <w:rFonts w:ascii="宋体" w:hAnsi="宋体" w:cs="宋体"/>
                <w:b/>
                <w:bCs/>
                <w:sz w:val="24"/>
              </w:rPr>
            </w:pPr>
            <w:r>
              <w:rPr>
                <w:rFonts w:hint="eastAsia" w:ascii="宋体" w:hAnsi="宋体" w:cs="宋体"/>
                <w:b/>
                <w:bCs/>
                <w:sz w:val="24"/>
              </w:rPr>
              <w:t>序号</w:t>
            </w:r>
          </w:p>
        </w:tc>
        <w:tc>
          <w:tcPr>
            <w:tcW w:w="3683" w:type="dxa"/>
          </w:tcPr>
          <w:p w14:paraId="6F438776">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68D3616">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C5F2D8">
            <w:pPr>
              <w:jc w:val="center"/>
              <w:rPr>
                <w:rFonts w:ascii="宋体" w:hAnsi="宋体" w:cs="宋体"/>
                <w:b/>
                <w:bCs/>
                <w:sz w:val="24"/>
              </w:rPr>
            </w:pPr>
            <w:r>
              <w:rPr>
                <w:rFonts w:hint="eastAsia" w:ascii="宋体" w:hAnsi="宋体" w:cs="宋体"/>
                <w:b/>
                <w:bCs/>
                <w:sz w:val="24"/>
              </w:rPr>
              <w:t>偏离说明</w:t>
            </w:r>
          </w:p>
        </w:tc>
      </w:tr>
      <w:tr w14:paraId="1E2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A8733E">
            <w:pPr>
              <w:jc w:val="center"/>
              <w:rPr>
                <w:rFonts w:ascii="宋体" w:hAnsi="宋体" w:cs="宋体"/>
                <w:kern w:val="0"/>
                <w:sz w:val="24"/>
              </w:rPr>
            </w:pPr>
            <w:r>
              <w:rPr>
                <w:rFonts w:hint="eastAsia" w:ascii="宋体" w:hAnsi="宋体" w:cs="宋体"/>
                <w:kern w:val="0"/>
                <w:sz w:val="24"/>
              </w:rPr>
              <w:t>1</w:t>
            </w:r>
          </w:p>
        </w:tc>
        <w:tc>
          <w:tcPr>
            <w:tcW w:w="3683" w:type="dxa"/>
          </w:tcPr>
          <w:p w14:paraId="4BC4AD6A">
            <w:pPr>
              <w:jc w:val="center"/>
              <w:rPr>
                <w:rFonts w:ascii="宋体" w:hAnsi="宋体" w:cs="宋体"/>
                <w:b/>
                <w:kern w:val="0"/>
                <w:sz w:val="32"/>
                <w:szCs w:val="32"/>
              </w:rPr>
            </w:pPr>
          </w:p>
        </w:tc>
        <w:tc>
          <w:tcPr>
            <w:tcW w:w="3546" w:type="dxa"/>
          </w:tcPr>
          <w:p w14:paraId="122D5749">
            <w:pPr>
              <w:jc w:val="center"/>
              <w:rPr>
                <w:rFonts w:ascii="宋体" w:hAnsi="宋体" w:cs="宋体"/>
                <w:b/>
                <w:kern w:val="0"/>
                <w:sz w:val="32"/>
                <w:szCs w:val="32"/>
              </w:rPr>
            </w:pPr>
          </w:p>
        </w:tc>
        <w:tc>
          <w:tcPr>
            <w:tcW w:w="1276" w:type="dxa"/>
          </w:tcPr>
          <w:p w14:paraId="57D31FAE">
            <w:pPr>
              <w:jc w:val="center"/>
              <w:rPr>
                <w:rFonts w:ascii="宋体" w:hAnsi="宋体" w:cs="宋体"/>
                <w:b/>
                <w:kern w:val="0"/>
                <w:sz w:val="32"/>
                <w:szCs w:val="32"/>
              </w:rPr>
            </w:pPr>
          </w:p>
        </w:tc>
      </w:tr>
      <w:tr w14:paraId="6A4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BC9F18A">
            <w:pPr>
              <w:jc w:val="center"/>
              <w:rPr>
                <w:rFonts w:ascii="宋体" w:hAnsi="宋体" w:cs="宋体"/>
                <w:kern w:val="0"/>
                <w:sz w:val="24"/>
              </w:rPr>
            </w:pPr>
            <w:r>
              <w:rPr>
                <w:rFonts w:hint="eastAsia" w:ascii="宋体" w:hAnsi="宋体" w:cs="宋体"/>
                <w:kern w:val="0"/>
                <w:sz w:val="24"/>
              </w:rPr>
              <w:t>2</w:t>
            </w:r>
          </w:p>
        </w:tc>
        <w:tc>
          <w:tcPr>
            <w:tcW w:w="3683" w:type="dxa"/>
          </w:tcPr>
          <w:p w14:paraId="208CC97E">
            <w:pPr>
              <w:jc w:val="center"/>
              <w:rPr>
                <w:rFonts w:ascii="宋体" w:hAnsi="宋体" w:cs="宋体"/>
                <w:b/>
                <w:kern w:val="0"/>
                <w:sz w:val="32"/>
                <w:szCs w:val="32"/>
              </w:rPr>
            </w:pPr>
          </w:p>
        </w:tc>
        <w:tc>
          <w:tcPr>
            <w:tcW w:w="3546" w:type="dxa"/>
          </w:tcPr>
          <w:p w14:paraId="58D8A0F2">
            <w:pPr>
              <w:jc w:val="center"/>
              <w:rPr>
                <w:rFonts w:ascii="宋体" w:hAnsi="宋体" w:cs="宋体"/>
                <w:b/>
                <w:kern w:val="0"/>
                <w:sz w:val="32"/>
                <w:szCs w:val="32"/>
              </w:rPr>
            </w:pPr>
          </w:p>
        </w:tc>
        <w:tc>
          <w:tcPr>
            <w:tcW w:w="1276" w:type="dxa"/>
          </w:tcPr>
          <w:p w14:paraId="0EC8FEEA">
            <w:pPr>
              <w:jc w:val="center"/>
              <w:rPr>
                <w:rFonts w:ascii="宋体" w:hAnsi="宋体" w:cs="宋体"/>
                <w:b/>
                <w:kern w:val="0"/>
                <w:sz w:val="32"/>
                <w:szCs w:val="32"/>
              </w:rPr>
            </w:pPr>
          </w:p>
        </w:tc>
      </w:tr>
      <w:tr w14:paraId="6405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7F040B">
            <w:pPr>
              <w:jc w:val="center"/>
              <w:rPr>
                <w:rFonts w:ascii="宋体" w:hAnsi="宋体" w:cs="宋体"/>
                <w:kern w:val="0"/>
                <w:sz w:val="24"/>
              </w:rPr>
            </w:pPr>
            <w:r>
              <w:rPr>
                <w:rFonts w:hint="eastAsia" w:ascii="宋体" w:hAnsi="宋体" w:cs="宋体"/>
                <w:kern w:val="0"/>
                <w:sz w:val="24"/>
              </w:rPr>
              <w:t>……</w:t>
            </w:r>
          </w:p>
        </w:tc>
        <w:tc>
          <w:tcPr>
            <w:tcW w:w="3683" w:type="dxa"/>
          </w:tcPr>
          <w:p w14:paraId="50AB357E">
            <w:pPr>
              <w:jc w:val="center"/>
              <w:rPr>
                <w:rFonts w:ascii="宋体" w:hAnsi="宋体" w:cs="宋体"/>
                <w:b/>
                <w:kern w:val="0"/>
                <w:sz w:val="32"/>
                <w:szCs w:val="32"/>
              </w:rPr>
            </w:pPr>
          </w:p>
        </w:tc>
        <w:tc>
          <w:tcPr>
            <w:tcW w:w="3546" w:type="dxa"/>
          </w:tcPr>
          <w:p w14:paraId="40D7E3BF">
            <w:pPr>
              <w:jc w:val="center"/>
              <w:rPr>
                <w:rFonts w:ascii="宋体" w:hAnsi="宋体" w:cs="宋体"/>
                <w:b/>
                <w:kern w:val="0"/>
                <w:sz w:val="32"/>
                <w:szCs w:val="32"/>
              </w:rPr>
            </w:pPr>
          </w:p>
        </w:tc>
        <w:tc>
          <w:tcPr>
            <w:tcW w:w="1276" w:type="dxa"/>
          </w:tcPr>
          <w:p w14:paraId="32C43A15">
            <w:pPr>
              <w:jc w:val="center"/>
              <w:rPr>
                <w:rFonts w:ascii="宋体" w:hAnsi="宋体" w:cs="宋体"/>
                <w:b/>
                <w:kern w:val="0"/>
                <w:sz w:val="32"/>
                <w:szCs w:val="32"/>
              </w:rPr>
            </w:pPr>
          </w:p>
        </w:tc>
      </w:tr>
    </w:tbl>
    <w:p w14:paraId="7641D75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65AED17">
      <w:pPr>
        <w:jc w:val="center"/>
        <w:rPr>
          <w:rFonts w:ascii="宋体" w:hAnsi="宋体" w:cs="宋体"/>
          <w:b/>
          <w:kern w:val="0"/>
          <w:sz w:val="32"/>
          <w:szCs w:val="32"/>
        </w:rPr>
      </w:pPr>
    </w:p>
    <w:p w14:paraId="6E7E9C57">
      <w:pPr>
        <w:spacing w:line="360" w:lineRule="auto"/>
        <w:ind w:right="420"/>
        <w:rPr>
          <w:rFonts w:ascii="宋体" w:hAnsi="宋体" w:cs="宋体"/>
          <w:sz w:val="24"/>
        </w:rPr>
      </w:pPr>
      <w:r>
        <w:rPr>
          <w:rFonts w:hint="eastAsia" w:ascii="宋体" w:hAnsi="宋体" w:cs="宋体"/>
          <w:sz w:val="24"/>
        </w:rPr>
        <w:t>注：按本格式和要求提供。</w:t>
      </w:r>
    </w:p>
    <w:p w14:paraId="362317EF">
      <w:pPr>
        <w:ind w:firstLine="1911" w:firstLineChars="595"/>
        <w:rPr>
          <w:rFonts w:ascii="宋体" w:hAnsi="宋体" w:cs="宋体"/>
          <w:b/>
          <w:bCs/>
          <w:sz w:val="32"/>
          <w:szCs w:val="32"/>
        </w:rPr>
      </w:pPr>
    </w:p>
    <w:p w14:paraId="73B9E9C4">
      <w:pPr>
        <w:ind w:firstLine="1911" w:firstLineChars="595"/>
        <w:rPr>
          <w:rFonts w:ascii="宋体" w:hAnsi="宋体" w:cs="宋体"/>
          <w:b/>
          <w:bCs/>
          <w:sz w:val="32"/>
          <w:szCs w:val="32"/>
        </w:rPr>
      </w:pPr>
    </w:p>
    <w:p w14:paraId="678128F8">
      <w:pPr>
        <w:ind w:firstLine="1911" w:firstLineChars="595"/>
        <w:rPr>
          <w:rFonts w:ascii="宋体" w:hAnsi="宋体" w:cs="宋体"/>
          <w:b/>
          <w:bCs/>
          <w:sz w:val="32"/>
          <w:szCs w:val="32"/>
        </w:rPr>
      </w:pPr>
    </w:p>
    <w:p w14:paraId="1B1145B3">
      <w:pPr>
        <w:widowControl/>
        <w:adjustRightInd/>
        <w:jc w:val="left"/>
        <w:rPr>
          <w:rFonts w:ascii="宋体" w:hAnsi="宋体" w:cs="宋体"/>
          <w:b/>
          <w:bCs/>
          <w:sz w:val="32"/>
          <w:szCs w:val="32"/>
        </w:rPr>
      </w:pPr>
      <w:r>
        <w:rPr>
          <w:rFonts w:ascii="宋体" w:hAnsi="宋体" w:cs="宋体"/>
          <w:b/>
          <w:bCs/>
          <w:sz w:val="32"/>
          <w:szCs w:val="32"/>
        </w:rPr>
        <w:br w:type="page"/>
      </w:r>
    </w:p>
    <w:p w14:paraId="45B00375">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AEA8CDD">
      <w:pPr>
        <w:snapToGrid w:val="0"/>
        <w:spacing w:line="360" w:lineRule="auto"/>
        <w:rPr>
          <w:rFonts w:ascii="宋体" w:hAnsi="宋体" w:cs="宋体"/>
          <w:sz w:val="24"/>
        </w:rPr>
      </w:pPr>
    </w:p>
    <w:p w14:paraId="45593710">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229CF36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0E1B0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86AB5A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CFC47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BA0017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12AD2D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805A4D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112AD1CB">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AE33277">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20960D3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6AABA34C">
      <w:pPr>
        <w:autoSpaceDE w:val="0"/>
        <w:autoSpaceDN w:val="0"/>
        <w:spacing w:line="360" w:lineRule="auto"/>
        <w:ind w:left="2"/>
        <w:jc w:val="left"/>
        <w:rPr>
          <w:rFonts w:ascii="宋体" w:hAnsi="宋体" w:cs="宋体"/>
          <w:kern w:val="0"/>
          <w:sz w:val="24"/>
          <w:lang w:val="zh-CN"/>
        </w:rPr>
      </w:pPr>
    </w:p>
    <w:p w14:paraId="6DBFB999">
      <w:pPr>
        <w:autoSpaceDE w:val="0"/>
        <w:autoSpaceDN w:val="0"/>
        <w:spacing w:line="360" w:lineRule="auto"/>
        <w:ind w:left="2"/>
        <w:jc w:val="left"/>
        <w:rPr>
          <w:rFonts w:ascii="宋体" w:hAnsi="宋体" w:cs="宋体"/>
          <w:kern w:val="0"/>
          <w:sz w:val="24"/>
          <w:lang w:val="zh-CN"/>
        </w:rPr>
      </w:pPr>
    </w:p>
    <w:p w14:paraId="6AAD3D1F">
      <w:pPr>
        <w:autoSpaceDE w:val="0"/>
        <w:autoSpaceDN w:val="0"/>
        <w:spacing w:line="360" w:lineRule="auto"/>
        <w:ind w:left="2"/>
        <w:jc w:val="left"/>
        <w:rPr>
          <w:rFonts w:ascii="宋体" w:hAnsi="宋体" w:cs="宋体"/>
          <w:kern w:val="0"/>
          <w:sz w:val="24"/>
          <w:lang w:val="zh-CN"/>
        </w:rPr>
      </w:pPr>
    </w:p>
    <w:p w14:paraId="3B56B7D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2AA156D2">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6F53A49">
      <w:pPr>
        <w:spacing w:line="360" w:lineRule="auto"/>
        <w:jc w:val="center"/>
        <w:rPr>
          <w:rFonts w:ascii="宋体" w:hAnsi="宋体" w:cs="宋体"/>
          <w:b/>
          <w:bCs/>
          <w:sz w:val="24"/>
        </w:rPr>
      </w:pPr>
    </w:p>
    <w:p w14:paraId="1C865442">
      <w:pPr>
        <w:spacing w:line="360" w:lineRule="auto"/>
        <w:ind w:right="420"/>
        <w:rPr>
          <w:rFonts w:ascii="宋体" w:hAnsi="宋体" w:cs="宋体"/>
          <w:sz w:val="24"/>
        </w:rPr>
      </w:pPr>
      <w:r>
        <w:rPr>
          <w:rFonts w:hint="eastAsia" w:ascii="宋体" w:hAnsi="宋体" w:cs="宋体"/>
          <w:sz w:val="24"/>
        </w:rPr>
        <w:t>注：按本格式和要求提供。</w:t>
      </w:r>
    </w:p>
    <w:p w14:paraId="7F9A745F">
      <w:pPr>
        <w:spacing w:line="360" w:lineRule="auto"/>
        <w:jc w:val="center"/>
        <w:rPr>
          <w:rFonts w:ascii="宋体" w:hAnsi="宋体" w:cs="宋体"/>
          <w:b/>
          <w:bCs/>
          <w:sz w:val="24"/>
        </w:rPr>
      </w:pPr>
    </w:p>
    <w:p w14:paraId="176AF3A7">
      <w:pPr>
        <w:pStyle w:val="18"/>
        <w:rPr>
          <w:color w:val="auto"/>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BF1A8B3">
      <w:pPr>
        <w:jc w:val="center"/>
        <w:rPr>
          <w:rFonts w:ascii="宋体" w:hAnsi="宋体" w:cs="宋体"/>
          <w:b/>
          <w:kern w:val="0"/>
          <w:sz w:val="32"/>
          <w:szCs w:val="32"/>
        </w:rPr>
      </w:pPr>
    </w:p>
    <w:p w14:paraId="70CA3040">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08BD2F1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463402B1">
      <w:pPr>
        <w:spacing w:line="360" w:lineRule="auto"/>
        <w:jc w:val="center"/>
        <w:rPr>
          <w:rFonts w:ascii="宋体" w:hAnsi="宋体" w:cs="宋体"/>
          <w:b/>
          <w:kern w:val="0"/>
          <w:sz w:val="36"/>
          <w:szCs w:val="36"/>
        </w:rPr>
      </w:pPr>
    </w:p>
    <w:p w14:paraId="545718A0">
      <w:pPr>
        <w:snapToGrid w:val="0"/>
        <w:spacing w:line="360" w:lineRule="auto"/>
        <w:rPr>
          <w:rFonts w:ascii="宋体" w:hAnsi="宋体" w:cs="宋体"/>
          <w:sz w:val="24"/>
        </w:rPr>
      </w:pPr>
      <w:r>
        <w:rPr>
          <w:rFonts w:hint="eastAsia" w:ascii="宋体" w:hAnsi="宋体" w:cs="宋体"/>
          <w:sz w:val="24"/>
        </w:rPr>
        <w:t>（1）开标一览表（报价表）………………………………………………………（页码）</w:t>
      </w:r>
    </w:p>
    <w:p w14:paraId="3016076D">
      <w:pPr>
        <w:snapToGrid w:val="0"/>
        <w:spacing w:line="360" w:lineRule="auto"/>
        <w:rPr>
          <w:rFonts w:ascii="宋体" w:hAnsi="宋体" w:cs="宋体"/>
          <w:sz w:val="24"/>
        </w:rPr>
      </w:pPr>
      <w:r>
        <w:rPr>
          <w:rFonts w:hint="eastAsia" w:ascii="宋体" w:hAnsi="宋体" w:cs="宋体"/>
          <w:sz w:val="24"/>
        </w:rPr>
        <w:t>（2）中小企业声明函………………………………………………………………（页码）</w:t>
      </w:r>
    </w:p>
    <w:p w14:paraId="637A8E77">
      <w:pPr>
        <w:snapToGrid w:val="0"/>
        <w:spacing w:line="360" w:lineRule="auto"/>
        <w:rPr>
          <w:rFonts w:ascii="宋体" w:hAnsi="宋体" w:cs="宋体"/>
          <w:sz w:val="24"/>
        </w:rPr>
      </w:pPr>
      <w:r>
        <w:rPr>
          <w:rFonts w:hint="eastAsia" w:ascii="宋体" w:hAnsi="宋体" w:cs="宋体"/>
          <w:sz w:val="24"/>
        </w:rPr>
        <w:t>（3）投标报价明细表………………………………………………………………（页码）</w:t>
      </w:r>
    </w:p>
    <w:p w14:paraId="4A27F177">
      <w:pPr>
        <w:pStyle w:val="5"/>
      </w:pPr>
    </w:p>
    <w:p w14:paraId="3A6F6768">
      <w:pPr>
        <w:snapToGrid w:val="0"/>
        <w:spacing w:line="360" w:lineRule="auto"/>
        <w:ind w:right="480"/>
        <w:jc w:val="center"/>
        <w:rPr>
          <w:rFonts w:ascii="宋体" w:hAnsi="宋体" w:cs="宋体"/>
          <w:b/>
          <w:kern w:val="0"/>
          <w:sz w:val="32"/>
          <w:szCs w:val="32"/>
        </w:rPr>
      </w:pPr>
    </w:p>
    <w:p w14:paraId="6F2F358F">
      <w:pPr>
        <w:snapToGrid w:val="0"/>
        <w:spacing w:line="360" w:lineRule="auto"/>
        <w:ind w:right="480"/>
        <w:jc w:val="center"/>
        <w:rPr>
          <w:rFonts w:ascii="宋体" w:hAnsi="宋体" w:cs="宋体"/>
          <w:b/>
          <w:kern w:val="0"/>
          <w:sz w:val="32"/>
          <w:szCs w:val="32"/>
        </w:rPr>
      </w:pPr>
    </w:p>
    <w:p w14:paraId="56DC586E">
      <w:pPr>
        <w:snapToGrid w:val="0"/>
        <w:spacing w:line="360" w:lineRule="auto"/>
        <w:ind w:right="480"/>
        <w:jc w:val="center"/>
        <w:rPr>
          <w:rFonts w:ascii="宋体" w:hAnsi="宋体" w:cs="宋体"/>
          <w:b/>
          <w:kern w:val="0"/>
          <w:sz w:val="32"/>
          <w:szCs w:val="32"/>
        </w:rPr>
      </w:pPr>
    </w:p>
    <w:p w14:paraId="59A32657">
      <w:pPr>
        <w:snapToGrid w:val="0"/>
        <w:spacing w:line="360" w:lineRule="auto"/>
        <w:ind w:right="480"/>
        <w:jc w:val="center"/>
        <w:rPr>
          <w:rFonts w:ascii="宋体" w:hAnsi="宋体" w:cs="宋体"/>
          <w:b/>
          <w:kern w:val="0"/>
          <w:sz w:val="32"/>
          <w:szCs w:val="32"/>
        </w:rPr>
      </w:pPr>
    </w:p>
    <w:p w14:paraId="54497A42">
      <w:pPr>
        <w:snapToGrid w:val="0"/>
        <w:spacing w:line="360" w:lineRule="auto"/>
        <w:ind w:right="480"/>
        <w:jc w:val="center"/>
        <w:rPr>
          <w:rFonts w:ascii="宋体" w:hAnsi="宋体" w:cs="宋体"/>
          <w:b/>
          <w:kern w:val="0"/>
          <w:sz w:val="32"/>
          <w:szCs w:val="32"/>
        </w:rPr>
      </w:pPr>
    </w:p>
    <w:p w14:paraId="373E6D36">
      <w:pPr>
        <w:snapToGrid w:val="0"/>
        <w:spacing w:line="360" w:lineRule="auto"/>
        <w:ind w:right="480"/>
        <w:jc w:val="center"/>
        <w:rPr>
          <w:rFonts w:ascii="宋体" w:hAnsi="宋体" w:cs="宋体"/>
          <w:b/>
          <w:kern w:val="0"/>
          <w:sz w:val="32"/>
          <w:szCs w:val="32"/>
        </w:rPr>
      </w:pPr>
    </w:p>
    <w:p w14:paraId="5E0AF56A">
      <w:pPr>
        <w:snapToGrid w:val="0"/>
        <w:spacing w:line="360" w:lineRule="auto"/>
        <w:ind w:right="480"/>
        <w:jc w:val="center"/>
        <w:rPr>
          <w:rFonts w:ascii="宋体" w:hAnsi="宋体" w:cs="宋体"/>
          <w:b/>
          <w:kern w:val="0"/>
          <w:sz w:val="32"/>
          <w:szCs w:val="32"/>
        </w:rPr>
      </w:pPr>
    </w:p>
    <w:p w14:paraId="43BC1719">
      <w:pPr>
        <w:snapToGrid w:val="0"/>
        <w:spacing w:line="360" w:lineRule="auto"/>
        <w:ind w:right="480"/>
        <w:jc w:val="center"/>
        <w:rPr>
          <w:rFonts w:ascii="宋体" w:hAnsi="宋体" w:cs="宋体"/>
          <w:b/>
          <w:kern w:val="0"/>
          <w:sz w:val="32"/>
          <w:szCs w:val="32"/>
        </w:rPr>
      </w:pPr>
    </w:p>
    <w:p w14:paraId="511F0F85">
      <w:pPr>
        <w:snapToGrid w:val="0"/>
        <w:spacing w:line="360" w:lineRule="auto"/>
        <w:ind w:right="480"/>
        <w:jc w:val="center"/>
        <w:rPr>
          <w:rFonts w:ascii="宋体" w:hAnsi="宋体" w:cs="宋体"/>
          <w:b/>
          <w:kern w:val="0"/>
          <w:sz w:val="32"/>
          <w:szCs w:val="32"/>
        </w:rPr>
      </w:pPr>
    </w:p>
    <w:p w14:paraId="034A5155">
      <w:pPr>
        <w:snapToGrid w:val="0"/>
        <w:spacing w:line="360" w:lineRule="auto"/>
        <w:ind w:right="480"/>
        <w:jc w:val="center"/>
        <w:rPr>
          <w:rFonts w:ascii="宋体" w:hAnsi="宋体" w:cs="宋体"/>
          <w:b/>
          <w:kern w:val="0"/>
          <w:sz w:val="32"/>
          <w:szCs w:val="32"/>
        </w:rPr>
      </w:pPr>
    </w:p>
    <w:p w14:paraId="41ACFB10">
      <w:pPr>
        <w:snapToGrid w:val="0"/>
        <w:spacing w:line="360" w:lineRule="auto"/>
        <w:ind w:right="480"/>
        <w:jc w:val="center"/>
        <w:rPr>
          <w:rFonts w:ascii="宋体" w:hAnsi="宋体" w:cs="宋体"/>
          <w:b/>
          <w:kern w:val="0"/>
          <w:sz w:val="32"/>
          <w:szCs w:val="32"/>
        </w:rPr>
      </w:pPr>
    </w:p>
    <w:p w14:paraId="41B73FE8">
      <w:pPr>
        <w:snapToGrid w:val="0"/>
        <w:spacing w:line="360" w:lineRule="auto"/>
        <w:ind w:right="480"/>
        <w:jc w:val="center"/>
        <w:rPr>
          <w:rFonts w:ascii="宋体" w:hAnsi="宋体" w:cs="宋体"/>
          <w:b/>
          <w:kern w:val="0"/>
          <w:sz w:val="32"/>
          <w:szCs w:val="32"/>
        </w:rPr>
      </w:pPr>
    </w:p>
    <w:p w14:paraId="425BFC5C">
      <w:pPr>
        <w:snapToGrid w:val="0"/>
        <w:spacing w:line="360" w:lineRule="auto"/>
        <w:ind w:right="480"/>
        <w:jc w:val="center"/>
        <w:rPr>
          <w:rFonts w:ascii="宋体" w:hAnsi="宋体" w:cs="宋体"/>
          <w:b/>
          <w:kern w:val="0"/>
          <w:sz w:val="32"/>
          <w:szCs w:val="32"/>
        </w:rPr>
      </w:pPr>
    </w:p>
    <w:p w14:paraId="1A1D6030">
      <w:pPr>
        <w:snapToGrid w:val="0"/>
        <w:spacing w:line="360" w:lineRule="auto"/>
        <w:ind w:right="480"/>
        <w:jc w:val="center"/>
        <w:rPr>
          <w:rFonts w:ascii="宋体" w:hAnsi="宋体" w:cs="宋体"/>
          <w:b/>
          <w:kern w:val="0"/>
          <w:sz w:val="32"/>
          <w:szCs w:val="32"/>
        </w:rPr>
      </w:pPr>
    </w:p>
    <w:p w14:paraId="2B2B2A9F">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C0A3CA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57" w:name="_Toc814"/>
      <w:r>
        <w:rPr>
          <w:rFonts w:hint="eastAsia" w:ascii="宋体" w:hAnsi="宋体" w:eastAsia="宋体" w:cs="宋体"/>
          <w:kern w:val="2"/>
          <w:sz w:val="32"/>
          <w:szCs w:val="32"/>
        </w:rPr>
        <w:t>一、开标一览表（报价表）</w:t>
      </w:r>
      <w:bookmarkEnd w:id="457"/>
    </w:p>
    <w:p w14:paraId="74B23E6E">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7FF06D2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 xml:space="preserve">宁海县环保预警平台信创改造升级项目 </w:t>
      </w:r>
      <w:r>
        <w:rPr>
          <w:rFonts w:hint="eastAsia" w:ascii="宋体" w:hAnsi="宋体" w:cs="宋体"/>
          <w:kern w:val="0"/>
          <w:sz w:val="24"/>
          <w:lang w:val="zh-CN"/>
        </w:rPr>
        <w:t>【招标编号：</w:t>
      </w:r>
      <w:r>
        <w:rPr>
          <w:rFonts w:hint="eastAsia" w:ascii="宋体" w:hAnsi="宋体" w:cs="宋体"/>
          <w:sz w:val="24"/>
        </w:rPr>
        <w:t>NH-TS2025-034】的实施</w:t>
      </w:r>
      <w:r>
        <w:rPr>
          <w:rFonts w:hint="eastAsia" w:ascii="宋体" w:hAnsi="宋体" w:cs="宋体"/>
          <w:kern w:val="0"/>
          <w:sz w:val="24"/>
          <w:lang w:val="zh-CN"/>
        </w:rPr>
        <w:t>。</w:t>
      </w:r>
    </w:p>
    <w:p w14:paraId="33AE6463">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491F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4F390657">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A031728">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6E40734">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58B6F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5741010A">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1F703F61">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 xml:space="preserve">宁海县环保预警平台信创改造升级项目 </w:t>
            </w:r>
          </w:p>
        </w:tc>
        <w:tc>
          <w:tcPr>
            <w:tcW w:w="4876" w:type="dxa"/>
            <w:vAlign w:val="center"/>
          </w:tcPr>
          <w:p w14:paraId="1F534D81">
            <w:pPr>
              <w:adjustRightInd/>
              <w:snapToGrid w:val="0"/>
              <w:spacing w:line="360" w:lineRule="auto"/>
              <w:jc w:val="center"/>
              <w:rPr>
                <w:rFonts w:ascii="宋体" w:hAnsi="宋体" w:cs="宋体"/>
                <w:sz w:val="24"/>
              </w:rPr>
            </w:pPr>
          </w:p>
        </w:tc>
      </w:tr>
      <w:tr w14:paraId="7B50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40B3E5AE">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0349F1C9">
            <w:pPr>
              <w:adjustRightInd/>
              <w:snapToGrid w:val="0"/>
              <w:spacing w:line="360" w:lineRule="auto"/>
              <w:jc w:val="left"/>
              <w:rPr>
                <w:rFonts w:ascii="宋体" w:hAnsi="宋体" w:cs="宋体"/>
                <w:sz w:val="24"/>
              </w:rPr>
            </w:pPr>
            <w:r>
              <w:rPr>
                <w:rFonts w:hint="eastAsia" w:ascii="宋体" w:hAnsi="宋体" w:cs="宋体"/>
                <w:sz w:val="24"/>
              </w:rPr>
              <w:t>小写：</w:t>
            </w:r>
          </w:p>
          <w:p w14:paraId="4E926508">
            <w:pPr>
              <w:adjustRightInd/>
              <w:snapToGrid w:val="0"/>
              <w:spacing w:line="360" w:lineRule="auto"/>
              <w:jc w:val="left"/>
              <w:rPr>
                <w:rFonts w:ascii="宋体" w:hAnsi="宋体" w:cs="宋体"/>
                <w:sz w:val="24"/>
              </w:rPr>
            </w:pPr>
            <w:r>
              <w:rPr>
                <w:rFonts w:hint="eastAsia" w:ascii="宋体" w:hAnsi="宋体" w:cs="宋体"/>
                <w:sz w:val="24"/>
              </w:rPr>
              <w:t>大写：</w:t>
            </w:r>
          </w:p>
        </w:tc>
      </w:tr>
      <w:tr w14:paraId="67AC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28F88AE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49E880C6">
            <w:pPr>
              <w:adjustRightInd/>
              <w:snapToGrid w:val="0"/>
              <w:spacing w:line="360" w:lineRule="auto"/>
              <w:jc w:val="center"/>
              <w:rPr>
                <w:rFonts w:ascii="宋体" w:hAnsi="宋体" w:cs="宋体"/>
                <w:sz w:val="24"/>
              </w:rPr>
            </w:pPr>
          </w:p>
        </w:tc>
      </w:tr>
    </w:tbl>
    <w:p w14:paraId="51A3403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BDFB223">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60F4A7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E6360C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1837089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2401F32">
      <w:pPr>
        <w:spacing w:line="360" w:lineRule="auto"/>
        <w:ind w:firstLine="482" w:firstLineChars="200"/>
        <w:rPr>
          <w:rFonts w:ascii="宋体" w:hAnsi="宋体" w:cs="宋体"/>
          <w:b/>
          <w:kern w:val="0"/>
          <w:sz w:val="24"/>
        </w:rPr>
      </w:pPr>
    </w:p>
    <w:p w14:paraId="106BF880">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298AB58">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45175D51">
      <w:pPr>
        <w:numPr>
          <w:ilvl w:val="0"/>
          <w:numId w:val="3"/>
        </w:numPr>
        <w:adjustRightInd/>
        <w:ind w:left="852" w:leftChars="0" w:hanging="432" w:firstLineChars="0"/>
        <w:jc w:val="center"/>
        <w:rPr>
          <w:rFonts w:hint="eastAsia" w:ascii="宋体" w:hAnsi="宋体" w:cs="宋体"/>
          <w:b/>
          <w:sz w:val="32"/>
          <w:szCs w:val="32"/>
        </w:rPr>
      </w:pPr>
      <w:bookmarkStart w:id="458" w:name="_Toc6660"/>
      <w:r>
        <w:rPr>
          <w:rFonts w:hint="eastAsia" w:ascii="宋体" w:hAnsi="宋体" w:cs="宋体"/>
          <w:b/>
          <w:sz w:val="32"/>
          <w:szCs w:val="32"/>
        </w:rPr>
        <w:t>投标报价明细表</w:t>
      </w:r>
    </w:p>
    <w:p w14:paraId="316AA786">
      <w:pPr>
        <w:pStyle w:val="2"/>
        <w:numPr>
          <w:ilvl w:val="0"/>
          <w:numId w:val="0"/>
        </w:numPr>
        <w:ind w:left="420" w:leftChars="0"/>
      </w:pPr>
    </w:p>
    <w:p w14:paraId="0B891B41">
      <w:pPr>
        <w:snapToGrid w:val="0"/>
        <w:spacing w:line="360" w:lineRule="auto"/>
        <w:rPr>
          <w:rFonts w:ascii="宋体" w:hAnsi="宋体" w:cs="宋体"/>
          <w:kern w:val="0"/>
          <w:sz w:val="24"/>
        </w:rPr>
      </w:pPr>
      <w:r>
        <w:rPr>
          <w:rFonts w:hint="eastAsia" w:ascii="宋体" w:hAnsi="宋体" w:cs="宋体"/>
          <w:sz w:val="24"/>
        </w:rPr>
        <w:t>宁波市生态环境局宁海分局、宁海童氏工程管理咨询有限公司</w:t>
      </w:r>
      <w:r>
        <w:rPr>
          <w:rFonts w:hint="eastAsia" w:ascii="宋体" w:hAnsi="宋体" w:cs="宋体"/>
          <w:kern w:val="0"/>
          <w:sz w:val="24"/>
          <w:lang w:val="zh-CN"/>
        </w:rPr>
        <w:t>：</w:t>
      </w:r>
    </w:p>
    <w:p w14:paraId="423A2651">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 xml:space="preserve">宁海县环保预警平台信创改造升级项目 </w:t>
      </w:r>
      <w:r>
        <w:rPr>
          <w:rFonts w:hint="eastAsia" w:ascii="宋体" w:hAnsi="宋体" w:cs="宋体"/>
          <w:kern w:val="0"/>
          <w:sz w:val="24"/>
          <w:lang w:val="zh-CN"/>
        </w:rPr>
        <w:t>【招标编号：</w:t>
      </w:r>
      <w:r>
        <w:rPr>
          <w:rFonts w:hint="eastAsia" w:ascii="宋体" w:hAnsi="宋体" w:cs="宋体"/>
          <w:sz w:val="24"/>
        </w:rPr>
        <w:t>NH-TS2025-034】的实施</w:t>
      </w:r>
      <w:r>
        <w:rPr>
          <w:rFonts w:hint="eastAsia" w:ascii="宋体" w:hAnsi="宋体" w:cs="宋体"/>
          <w:kern w:val="0"/>
          <w:sz w:val="24"/>
          <w:lang w:val="zh-CN"/>
        </w:rPr>
        <w:t>。</w:t>
      </w:r>
    </w:p>
    <w:tbl>
      <w:tblPr>
        <w:tblStyle w:val="63"/>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E9C44E4">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1796B7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6F472E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6EF97602">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09B20D5F">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66C24F1">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3CFAB9C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00867E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B18FBF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0BCC8A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14532D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9B0F279">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5A7B8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E6ACCD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23AF19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6A7BE9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966BA6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18C98D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C64C463">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4D9C90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6DDA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2D735CB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319779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70BBFF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4E0124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CC4175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346E0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F91D48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36FA5C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E47823E">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9837B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95D06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2CE8AC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E587F1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F6C2A1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5B152974">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9A44F4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95F8FF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BD2E1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B4879A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271C1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2EABCACC">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2F3ED9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C7813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2968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565D41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D70541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260301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1D3EDE0">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1D2C865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96B573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68C20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7995A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5C277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17BACD0E">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58E310F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05ACE6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FC2C61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43A208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09B6C70">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81DB2D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3FFEA4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FCE3C3D">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ECB3B0C">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F72E6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1E001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AF0F359">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6D4715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756E55">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6585F8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1262B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9732F6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5F0D57B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42868DF2">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78E18809">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38FE421C">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327E85F0">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7561FA66">
      <w:pPr>
        <w:spacing w:line="360" w:lineRule="auto"/>
        <w:ind w:right="420"/>
        <w:rPr>
          <w:rFonts w:ascii="宋体" w:hAnsi="宋体" w:cs="宋体"/>
          <w:sz w:val="24"/>
        </w:rPr>
      </w:pPr>
    </w:p>
    <w:p w14:paraId="6514D9FC">
      <w:pPr>
        <w:adjustRightInd/>
      </w:pPr>
    </w:p>
    <w:p w14:paraId="5E1C47C7">
      <w:pPr>
        <w:adjustRightInd/>
        <w:jc w:val="center"/>
        <w:rPr>
          <w:rFonts w:ascii="宋体" w:hAnsi="宋体" w:cs="宋体"/>
          <w:b/>
          <w:sz w:val="32"/>
          <w:szCs w:val="32"/>
        </w:rPr>
        <w:sectPr>
          <w:pgSz w:w="11906" w:h="16838"/>
          <w:pgMar w:top="1276" w:right="1418" w:bottom="1247" w:left="1418" w:header="851" w:footer="992" w:gutter="0"/>
          <w:cols w:space="720" w:num="1"/>
          <w:titlePg/>
          <w:docGrid w:linePitch="312" w:charSpace="0"/>
        </w:sectPr>
      </w:pPr>
    </w:p>
    <w:p w14:paraId="32E02D29">
      <w:pPr>
        <w:pStyle w:val="69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eastAsia="zh-CN"/>
        </w:rPr>
        <w:t>三</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bookmarkEnd w:id="458"/>
    </w:p>
    <w:p w14:paraId="42A0047F">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0A24BF44">
      <w:pPr>
        <w:pStyle w:val="18"/>
        <w:rPr>
          <w:rFonts w:hAnsi="宋体" w:cs="宋体"/>
          <w:b/>
          <w:color w:val="auto"/>
          <w:sz w:val="24"/>
        </w:rPr>
      </w:pPr>
    </w:p>
    <w:p w14:paraId="655077C4">
      <w:pPr>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pPr>
    </w:p>
    <w:p w14:paraId="2E15589F">
      <w:pPr>
        <w:pStyle w:val="5"/>
      </w:pPr>
    </w:p>
    <w:p w14:paraId="0B664B20">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F11DEE0">
      <w:pPr>
        <w:spacing w:line="360" w:lineRule="auto"/>
        <w:jc w:val="center"/>
        <w:rPr>
          <w:rFonts w:ascii="宋体" w:hAnsi="宋体" w:cs="宋体"/>
          <w:b/>
          <w:spacing w:val="6"/>
          <w:sz w:val="32"/>
          <w:szCs w:val="32"/>
        </w:rPr>
      </w:pPr>
      <w:bookmarkStart w:id="459" w:name="OLE_LINK13"/>
      <w:bookmarkStart w:id="460" w:name="OLE_LINK14"/>
      <w:r>
        <w:rPr>
          <w:rFonts w:hint="eastAsia" w:ascii="宋体" w:hAnsi="宋体" w:cs="宋体"/>
          <w:b/>
          <w:spacing w:val="6"/>
          <w:sz w:val="32"/>
          <w:szCs w:val="32"/>
        </w:rPr>
        <w:t>残疾人福利性单位声明函</w:t>
      </w:r>
    </w:p>
    <w:bookmarkEnd w:id="459"/>
    <w:bookmarkEnd w:id="460"/>
    <w:p w14:paraId="10C5B530">
      <w:pPr>
        <w:spacing w:line="360" w:lineRule="auto"/>
        <w:rPr>
          <w:rFonts w:ascii="宋体" w:hAnsi="宋体" w:cs="宋体"/>
          <w:b/>
          <w:spacing w:val="6"/>
          <w:sz w:val="30"/>
          <w:szCs w:val="30"/>
        </w:rPr>
      </w:pPr>
    </w:p>
    <w:p w14:paraId="1C1F6E82">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宁波市生态环境局宁海分局(采购人)</w:t>
      </w:r>
      <w:r>
        <w:rPr>
          <w:rFonts w:hint="eastAsia" w:ascii="宋体" w:hAnsi="宋体" w:cs="宋体"/>
          <w:sz w:val="24"/>
        </w:rPr>
        <w:t>_单位的_</w:t>
      </w:r>
      <w:r>
        <w:rPr>
          <w:rFonts w:hint="eastAsia" w:ascii="宋体" w:hAnsi="宋体" w:cs="宋体"/>
          <w:sz w:val="24"/>
          <w:u w:val="single"/>
          <w:lang w:eastAsia="zh-CN"/>
        </w:rPr>
        <w:t xml:space="preserve">宁海县环保预警平台信创改造升级项目 </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1D16EA92">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5A5B26E">
      <w:pPr>
        <w:spacing w:line="360" w:lineRule="auto"/>
        <w:ind w:firstLine="480" w:firstLineChars="200"/>
        <w:rPr>
          <w:rFonts w:ascii="宋体" w:hAnsi="宋体" w:cs="宋体"/>
          <w:sz w:val="24"/>
        </w:rPr>
      </w:pPr>
    </w:p>
    <w:p w14:paraId="291BDC37">
      <w:pPr>
        <w:spacing w:line="360" w:lineRule="auto"/>
        <w:ind w:firstLine="480" w:firstLineChars="200"/>
        <w:rPr>
          <w:rFonts w:ascii="宋体" w:hAnsi="宋体" w:cs="宋体"/>
          <w:sz w:val="24"/>
        </w:rPr>
      </w:pPr>
    </w:p>
    <w:p w14:paraId="4746B4C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C46463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52420A9">
      <w:pPr>
        <w:spacing w:line="360" w:lineRule="auto"/>
        <w:ind w:firstLine="480" w:firstLineChars="200"/>
        <w:rPr>
          <w:rFonts w:ascii="宋体" w:hAnsi="宋体" w:cs="宋体"/>
          <w:sz w:val="24"/>
        </w:rPr>
      </w:pPr>
    </w:p>
    <w:p w14:paraId="79A7BC7E">
      <w:pPr>
        <w:spacing w:line="360" w:lineRule="auto"/>
        <w:ind w:firstLine="420" w:firstLineChars="200"/>
        <w:rPr>
          <w:rFonts w:ascii="宋体" w:hAnsi="宋体" w:cs="宋体"/>
        </w:rPr>
      </w:pPr>
    </w:p>
    <w:p w14:paraId="43E31828">
      <w:pPr>
        <w:spacing w:line="360" w:lineRule="auto"/>
        <w:ind w:firstLine="420" w:firstLineChars="200"/>
        <w:rPr>
          <w:rFonts w:ascii="宋体" w:hAnsi="宋体" w:cs="宋体"/>
        </w:rPr>
      </w:pPr>
    </w:p>
    <w:p w14:paraId="18CF76B1">
      <w:pPr>
        <w:spacing w:line="360" w:lineRule="auto"/>
        <w:ind w:firstLine="420" w:firstLineChars="200"/>
        <w:rPr>
          <w:rFonts w:ascii="宋体" w:hAnsi="宋体" w:cs="宋体"/>
        </w:rPr>
      </w:pPr>
    </w:p>
    <w:p w14:paraId="65A3241B">
      <w:pPr>
        <w:spacing w:line="360" w:lineRule="auto"/>
        <w:ind w:firstLine="420" w:firstLineChars="200"/>
        <w:rPr>
          <w:rFonts w:ascii="宋体" w:hAnsi="宋体" w:cs="宋体"/>
        </w:rPr>
      </w:pPr>
    </w:p>
    <w:p w14:paraId="1DFF2D97">
      <w:pPr>
        <w:spacing w:line="360" w:lineRule="auto"/>
        <w:rPr>
          <w:rFonts w:ascii="宋体" w:hAnsi="宋体" w:cs="宋体"/>
          <w:b/>
          <w:sz w:val="24"/>
        </w:rPr>
      </w:pPr>
    </w:p>
    <w:p w14:paraId="756AFFC6">
      <w:pPr>
        <w:spacing w:line="360" w:lineRule="auto"/>
        <w:rPr>
          <w:rFonts w:ascii="宋体" w:hAnsi="宋体" w:cs="宋体"/>
          <w:b/>
          <w:sz w:val="24"/>
        </w:rPr>
      </w:pPr>
    </w:p>
    <w:p w14:paraId="79B35F2A">
      <w:pPr>
        <w:spacing w:line="360" w:lineRule="auto"/>
        <w:rPr>
          <w:rFonts w:ascii="宋体" w:hAnsi="宋体" w:cs="宋体"/>
          <w:b/>
          <w:sz w:val="24"/>
        </w:rPr>
      </w:pPr>
    </w:p>
    <w:p w14:paraId="0EA02051">
      <w:pPr>
        <w:spacing w:line="360" w:lineRule="auto"/>
        <w:rPr>
          <w:rFonts w:ascii="宋体" w:hAnsi="宋体" w:cs="宋体"/>
          <w:b/>
          <w:sz w:val="24"/>
        </w:rPr>
      </w:pPr>
    </w:p>
    <w:p w14:paraId="48F97787">
      <w:pPr>
        <w:spacing w:line="360" w:lineRule="auto"/>
        <w:rPr>
          <w:rFonts w:ascii="宋体" w:hAnsi="宋体" w:cs="宋体"/>
          <w:b/>
          <w:sz w:val="24"/>
        </w:rPr>
      </w:pPr>
    </w:p>
    <w:p w14:paraId="24CC0B88">
      <w:pPr>
        <w:spacing w:line="360" w:lineRule="auto"/>
        <w:rPr>
          <w:rFonts w:ascii="宋体" w:hAnsi="宋体" w:cs="宋体"/>
          <w:b/>
          <w:sz w:val="24"/>
        </w:rPr>
      </w:pPr>
    </w:p>
    <w:p w14:paraId="4F6CC410">
      <w:pPr>
        <w:spacing w:line="360" w:lineRule="auto"/>
        <w:rPr>
          <w:rFonts w:ascii="宋体" w:hAnsi="宋体" w:cs="宋体"/>
          <w:b/>
          <w:sz w:val="24"/>
        </w:rPr>
      </w:pPr>
    </w:p>
    <w:p w14:paraId="7B206E54">
      <w:pPr>
        <w:spacing w:line="360" w:lineRule="auto"/>
        <w:rPr>
          <w:rFonts w:ascii="宋体" w:hAnsi="宋体" w:cs="宋体"/>
          <w:b/>
          <w:sz w:val="24"/>
        </w:rPr>
      </w:pPr>
    </w:p>
    <w:p w14:paraId="3A0CB73E">
      <w:pPr>
        <w:spacing w:line="360" w:lineRule="auto"/>
        <w:jc w:val="left"/>
        <w:rPr>
          <w:rFonts w:ascii="宋体" w:hAnsi="宋体" w:cs="宋体"/>
          <w:b/>
          <w:spacing w:val="6"/>
          <w:sz w:val="32"/>
          <w:szCs w:val="32"/>
        </w:rPr>
      </w:pPr>
    </w:p>
    <w:p w14:paraId="5D36BD8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361591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F3701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AF2295C">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0AE72C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839AC4D">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DB20D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6564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238B80">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377B731">
      <w:pPr>
        <w:snapToGrid w:val="0"/>
        <w:spacing w:line="360" w:lineRule="auto"/>
        <w:rPr>
          <w:rFonts w:ascii="宋体" w:hAnsi="宋体" w:cs="宋体"/>
          <w:bCs/>
          <w:sz w:val="24"/>
        </w:rPr>
      </w:pPr>
      <w:r>
        <w:rPr>
          <w:rFonts w:hint="eastAsia" w:ascii="宋体" w:hAnsi="宋体" w:cs="宋体"/>
          <w:bCs/>
          <w:sz w:val="24"/>
        </w:rPr>
        <w:t>二、质疑项目基本情况</w:t>
      </w:r>
    </w:p>
    <w:p w14:paraId="7BF9ABA4">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FE64906">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120F9D">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CCFFC1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155354D">
      <w:pPr>
        <w:snapToGrid w:val="0"/>
        <w:spacing w:line="360" w:lineRule="auto"/>
        <w:rPr>
          <w:rFonts w:ascii="宋体" w:hAnsi="宋体" w:cs="宋体"/>
          <w:bCs/>
          <w:sz w:val="24"/>
        </w:rPr>
      </w:pPr>
      <w:r>
        <w:rPr>
          <w:rFonts w:hint="eastAsia" w:ascii="宋体" w:hAnsi="宋体" w:cs="宋体"/>
          <w:bCs/>
          <w:sz w:val="24"/>
        </w:rPr>
        <w:t>三、质疑事项具体内容</w:t>
      </w:r>
    </w:p>
    <w:p w14:paraId="7D59019C">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A4763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00D7D7E">
      <w:pPr>
        <w:snapToGrid w:val="0"/>
        <w:spacing w:line="360" w:lineRule="auto"/>
        <w:rPr>
          <w:rFonts w:ascii="宋体" w:hAnsi="宋体" w:cs="宋体"/>
          <w:sz w:val="24"/>
        </w:rPr>
      </w:pPr>
      <w:r>
        <w:rPr>
          <w:rFonts w:hint="eastAsia" w:ascii="宋体" w:hAnsi="宋体" w:cs="宋体"/>
          <w:sz w:val="24"/>
          <w:u w:val="dotted"/>
        </w:rPr>
        <w:t xml:space="preserve">                                                       </w:t>
      </w:r>
    </w:p>
    <w:p w14:paraId="5932E478">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BD8CD64">
      <w:pPr>
        <w:snapToGrid w:val="0"/>
        <w:spacing w:line="360" w:lineRule="auto"/>
        <w:rPr>
          <w:rFonts w:ascii="宋体" w:hAnsi="宋体" w:cs="宋体"/>
          <w:sz w:val="24"/>
          <w:u w:val="dotted"/>
        </w:rPr>
      </w:pPr>
      <w:r>
        <w:rPr>
          <w:rFonts w:hint="eastAsia" w:ascii="宋体" w:hAnsi="宋体" w:cs="宋体"/>
          <w:sz w:val="24"/>
          <w:u w:val="dotted"/>
        </w:rPr>
        <w:t xml:space="preserve">                                                     </w:t>
      </w:r>
    </w:p>
    <w:p w14:paraId="6A6ABC35">
      <w:pPr>
        <w:snapToGrid w:val="0"/>
        <w:spacing w:line="360" w:lineRule="auto"/>
        <w:rPr>
          <w:rFonts w:ascii="宋体" w:hAnsi="宋体" w:cs="宋体"/>
          <w:sz w:val="24"/>
          <w:u w:val="dotted"/>
        </w:rPr>
      </w:pPr>
      <w:r>
        <w:rPr>
          <w:rFonts w:hint="eastAsia" w:ascii="宋体" w:hAnsi="宋体" w:cs="宋体"/>
          <w:sz w:val="24"/>
        </w:rPr>
        <w:t>质疑事项2</w:t>
      </w:r>
    </w:p>
    <w:p w14:paraId="7C901232">
      <w:pPr>
        <w:snapToGrid w:val="0"/>
        <w:spacing w:line="360" w:lineRule="auto"/>
        <w:rPr>
          <w:rFonts w:ascii="宋体" w:hAnsi="宋体" w:cs="宋体"/>
          <w:sz w:val="24"/>
        </w:rPr>
      </w:pPr>
      <w:r>
        <w:rPr>
          <w:rFonts w:hint="eastAsia" w:ascii="宋体" w:hAnsi="宋体" w:cs="宋体"/>
          <w:sz w:val="24"/>
        </w:rPr>
        <w:t>……</w:t>
      </w:r>
    </w:p>
    <w:p w14:paraId="47C7944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A7BE349">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E69E827">
      <w:pPr>
        <w:spacing w:line="360" w:lineRule="auto"/>
        <w:rPr>
          <w:rFonts w:ascii="宋体" w:hAnsi="宋体" w:cs="宋体"/>
          <w:sz w:val="24"/>
        </w:rPr>
      </w:pPr>
      <w:r>
        <w:rPr>
          <w:rFonts w:hint="eastAsia" w:ascii="宋体" w:hAnsi="宋体" w:cs="宋体"/>
          <w:sz w:val="24"/>
        </w:rPr>
        <w:t xml:space="preserve">签字(签章)：                   公章：                      </w:t>
      </w:r>
    </w:p>
    <w:p w14:paraId="102B4F49">
      <w:pPr>
        <w:spacing w:line="360" w:lineRule="auto"/>
        <w:rPr>
          <w:rFonts w:ascii="宋体" w:hAnsi="宋体" w:cs="宋体"/>
          <w:sz w:val="24"/>
        </w:rPr>
      </w:pPr>
      <w:r>
        <w:rPr>
          <w:rFonts w:hint="eastAsia" w:ascii="宋体" w:hAnsi="宋体" w:cs="宋体"/>
          <w:sz w:val="24"/>
        </w:rPr>
        <w:t xml:space="preserve">日期：    </w:t>
      </w:r>
    </w:p>
    <w:p w14:paraId="096DC590">
      <w:pPr>
        <w:spacing w:line="360" w:lineRule="auto"/>
        <w:jc w:val="center"/>
        <w:rPr>
          <w:rFonts w:ascii="宋体" w:hAnsi="宋体" w:cs="宋体"/>
          <w:b/>
          <w:bCs/>
          <w:sz w:val="24"/>
        </w:rPr>
      </w:pPr>
    </w:p>
    <w:p w14:paraId="4FA6788B">
      <w:pPr>
        <w:spacing w:line="360" w:lineRule="auto"/>
        <w:rPr>
          <w:rFonts w:ascii="宋体" w:hAnsi="宋体" w:cs="宋体"/>
          <w:b/>
          <w:sz w:val="24"/>
        </w:rPr>
      </w:pPr>
    </w:p>
    <w:p w14:paraId="28F7D43C">
      <w:pPr>
        <w:spacing w:line="360" w:lineRule="auto"/>
        <w:rPr>
          <w:rFonts w:ascii="宋体" w:hAnsi="宋体" w:cs="宋体"/>
          <w:b/>
          <w:sz w:val="24"/>
        </w:rPr>
      </w:pPr>
    </w:p>
    <w:p w14:paraId="11237190">
      <w:pPr>
        <w:spacing w:line="360" w:lineRule="auto"/>
        <w:rPr>
          <w:rFonts w:ascii="宋体" w:hAnsi="宋体" w:cs="宋体"/>
          <w:b/>
          <w:sz w:val="24"/>
        </w:rPr>
      </w:pPr>
      <w:r>
        <w:rPr>
          <w:rFonts w:hint="eastAsia" w:ascii="宋体" w:hAnsi="宋体" w:cs="宋体"/>
          <w:b/>
          <w:sz w:val="24"/>
        </w:rPr>
        <w:t>质疑函制作说明：</w:t>
      </w:r>
    </w:p>
    <w:p w14:paraId="4C39C7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ACF0B8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946AB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80A2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0705E85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43BF6F1">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005F13C">
      <w:pPr>
        <w:widowControl/>
        <w:spacing w:line="360" w:lineRule="auto"/>
        <w:ind w:firstLine="600" w:firstLineChars="200"/>
        <w:jc w:val="left"/>
        <w:rPr>
          <w:rFonts w:ascii="宋体" w:hAnsi="宋体" w:cs="宋体"/>
          <w:sz w:val="30"/>
          <w:szCs w:val="30"/>
        </w:rPr>
      </w:pPr>
    </w:p>
    <w:p w14:paraId="6220CBB2">
      <w:pPr>
        <w:spacing w:line="360" w:lineRule="auto"/>
        <w:jc w:val="center"/>
        <w:rPr>
          <w:rFonts w:ascii="宋体" w:hAnsi="宋体" w:cs="宋体"/>
          <w:b/>
          <w:spacing w:val="6"/>
          <w:sz w:val="32"/>
          <w:szCs w:val="32"/>
        </w:rPr>
      </w:pPr>
    </w:p>
    <w:p w14:paraId="409C9214">
      <w:pPr>
        <w:spacing w:line="360" w:lineRule="auto"/>
        <w:jc w:val="center"/>
        <w:rPr>
          <w:rFonts w:ascii="宋体" w:hAnsi="宋体" w:cs="宋体"/>
          <w:b/>
          <w:spacing w:val="6"/>
          <w:sz w:val="32"/>
          <w:szCs w:val="32"/>
        </w:rPr>
      </w:pPr>
    </w:p>
    <w:p w14:paraId="0332BFE5">
      <w:pPr>
        <w:spacing w:line="360" w:lineRule="auto"/>
        <w:jc w:val="center"/>
        <w:rPr>
          <w:rFonts w:ascii="宋体" w:hAnsi="宋体" w:cs="宋体"/>
          <w:b/>
          <w:spacing w:val="6"/>
          <w:sz w:val="32"/>
          <w:szCs w:val="32"/>
        </w:rPr>
      </w:pPr>
    </w:p>
    <w:p w14:paraId="52664521">
      <w:pPr>
        <w:spacing w:line="360" w:lineRule="auto"/>
        <w:jc w:val="center"/>
        <w:rPr>
          <w:rFonts w:ascii="宋体" w:hAnsi="宋体" w:cs="宋体"/>
          <w:b/>
          <w:spacing w:val="6"/>
          <w:sz w:val="32"/>
          <w:szCs w:val="32"/>
        </w:rPr>
      </w:pPr>
    </w:p>
    <w:p w14:paraId="50A22BD2">
      <w:pPr>
        <w:spacing w:line="360" w:lineRule="auto"/>
        <w:jc w:val="center"/>
        <w:rPr>
          <w:rFonts w:ascii="宋体" w:hAnsi="宋体" w:cs="宋体"/>
          <w:b/>
          <w:spacing w:val="6"/>
          <w:sz w:val="32"/>
          <w:szCs w:val="32"/>
        </w:rPr>
      </w:pPr>
    </w:p>
    <w:p w14:paraId="63C930D2">
      <w:pPr>
        <w:spacing w:line="360" w:lineRule="auto"/>
        <w:jc w:val="center"/>
        <w:rPr>
          <w:rFonts w:ascii="宋体" w:hAnsi="宋体" w:cs="宋体"/>
          <w:b/>
          <w:spacing w:val="6"/>
          <w:sz w:val="32"/>
          <w:szCs w:val="32"/>
        </w:rPr>
      </w:pPr>
    </w:p>
    <w:p w14:paraId="16A71414">
      <w:pPr>
        <w:spacing w:line="360" w:lineRule="auto"/>
        <w:jc w:val="center"/>
        <w:rPr>
          <w:rFonts w:ascii="宋体" w:hAnsi="宋体" w:cs="宋体"/>
          <w:b/>
          <w:spacing w:val="6"/>
          <w:sz w:val="32"/>
          <w:szCs w:val="32"/>
        </w:rPr>
      </w:pPr>
    </w:p>
    <w:p w14:paraId="7FA95B96">
      <w:pPr>
        <w:spacing w:line="360" w:lineRule="auto"/>
        <w:jc w:val="center"/>
        <w:rPr>
          <w:rFonts w:ascii="宋体" w:hAnsi="宋体" w:cs="宋体"/>
          <w:b/>
          <w:spacing w:val="6"/>
          <w:sz w:val="32"/>
          <w:szCs w:val="32"/>
        </w:rPr>
      </w:pPr>
    </w:p>
    <w:p w14:paraId="5F05B53E">
      <w:pPr>
        <w:spacing w:line="360" w:lineRule="auto"/>
        <w:jc w:val="center"/>
        <w:rPr>
          <w:rFonts w:ascii="宋体" w:hAnsi="宋体" w:cs="宋体"/>
          <w:b/>
          <w:spacing w:val="6"/>
          <w:sz w:val="32"/>
          <w:szCs w:val="32"/>
        </w:rPr>
      </w:pPr>
    </w:p>
    <w:p w14:paraId="612066DF">
      <w:pPr>
        <w:spacing w:line="360" w:lineRule="auto"/>
        <w:jc w:val="center"/>
        <w:rPr>
          <w:rFonts w:ascii="宋体" w:hAnsi="宋体" w:cs="宋体"/>
          <w:b/>
          <w:spacing w:val="6"/>
          <w:sz w:val="32"/>
          <w:szCs w:val="32"/>
        </w:rPr>
      </w:pPr>
    </w:p>
    <w:p w14:paraId="3EA3B4A0">
      <w:pPr>
        <w:spacing w:line="360" w:lineRule="auto"/>
        <w:jc w:val="center"/>
        <w:rPr>
          <w:rFonts w:ascii="宋体" w:hAnsi="宋体" w:cs="宋体"/>
          <w:b/>
          <w:spacing w:val="6"/>
          <w:sz w:val="32"/>
          <w:szCs w:val="32"/>
        </w:rPr>
      </w:pPr>
    </w:p>
    <w:p w14:paraId="5FD02110">
      <w:pPr>
        <w:spacing w:line="360" w:lineRule="auto"/>
        <w:jc w:val="center"/>
        <w:rPr>
          <w:rFonts w:ascii="宋体" w:hAnsi="宋体" w:cs="宋体"/>
          <w:b/>
          <w:spacing w:val="6"/>
          <w:sz w:val="32"/>
          <w:szCs w:val="32"/>
        </w:rPr>
      </w:pPr>
    </w:p>
    <w:p w14:paraId="0B4849DD">
      <w:pPr>
        <w:spacing w:line="360" w:lineRule="auto"/>
        <w:jc w:val="left"/>
        <w:rPr>
          <w:rFonts w:ascii="宋体" w:hAnsi="宋体" w:cs="宋体"/>
          <w:b/>
          <w:spacing w:val="6"/>
          <w:sz w:val="32"/>
          <w:szCs w:val="32"/>
        </w:rPr>
      </w:pPr>
    </w:p>
    <w:p w14:paraId="776CA72E">
      <w:pPr>
        <w:spacing w:line="360" w:lineRule="auto"/>
        <w:jc w:val="left"/>
        <w:rPr>
          <w:rFonts w:ascii="宋体" w:hAnsi="宋体" w:cs="宋体"/>
          <w:b/>
          <w:spacing w:val="6"/>
          <w:sz w:val="32"/>
          <w:szCs w:val="32"/>
        </w:rPr>
      </w:pPr>
    </w:p>
    <w:p w14:paraId="556F21C3">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E078814">
      <w:pPr>
        <w:spacing w:line="360" w:lineRule="auto"/>
        <w:jc w:val="center"/>
        <w:rPr>
          <w:rFonts w:ascii="宋体" w:hAnsi="宋体" w:cs="宋体"/>
          <w:b/>
          <w:sz w:val="24"/>
        </w:rPr>
      </w:pPr>
    </w:p>
    <w:p w14:paraId="79A71CE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E12AC0">
      <w:pPr>
        <w:spacing w:line="360" w:lineRule="auto"/>
        <w:rPr>
          <w:rFonts w:ascii="宋体" w:hAnsi="宋体" w:cs="宋体"/>
          <w:sz w:val="24"/>
        </w:rPr>
      </w:pPr>
      <w:r>
        <w:rPr>
          <w:rFonts w:hint="eastAsia" w:ascii="宋体" w:hAnsi="宋体" w:cs="宋体"/>
          <w:sz w:val="24"/>
        </w:rPr>
        <w:t>一、投诉相关主体基本情况</w:t>
      </w:r>
    </w:p>
    <w:p w14:paraId="24EE7C90">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B0243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EC2F7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62416A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4BF556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8F82C0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0877D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461D47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5E5FDF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5BDA0C30">
      <w:pPr>
        <w:spacing w:line="360" w:lineRule="auto"/>
        <w:rPr>
          <w:rFonts w:ascii="宋体" w:hAnsi="宋体" w:cs="宋体"/>
          <w:sz w:val="24"/>
        </w:rPr>
      </w:pPr>
      <w:r>
        <w:rPr>
          <w:rFonts w:hint="eastAsia" w:ascii="宋体" w:hAnsi="宋体" w:cs="宋体"/>
          <w:sz w:val="24"/>
        </w:rPr>
        <w:t>被投诉人2</w:t>
      </w:r>
    </w:p>
    <w:p w14:paraId="005098AF">
      <w:pPr>
        <w:spacing w:line="360" w:lineRule="auto"/>
        <w:rPr>
          <w:rFonts w:ascii="宋体" w:hAnsi="宋体" w:cs="宋体"/>
          <w:sz w:val="24"/>
          <w:u w:val="dotted"/>
        </w:rPr>
      </w:pPr>
      <w:r>
        <w:rPr>
          <w:rFonts w:hint="eastAsia" w:ascii="宋体" w:hAnsi="宋体" w:cs="宋体"/>
          <w:sz w:val="24"/>
        </w:rPr>
        <w:t>……</w:t>
      </w:r>
    </w:p>
    <w:p w14:paraId="678EF6B5">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DE3133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BB8715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ECE6C49">
      <w:pPr>
        <w:spacing w:line="360" w:lineRule="auto"/>
        <w:rPr>
          <w:rFonts w:ascii="宋体" w:hAnsi="宋体" w:cs="宋体"/>
          <w:sz w:val="24"/>
        </w:rPr>
      </w:pPr>
      <w:r>
        <w:rPr>
          <w:rFonts w:hint="eastAsia" w:ascii="宋体" w:hAnsi="宋体" w:cs="宋体"/>
          <w:sz w:val="24"/>
        </w:rPr>
        <w:t>二、投诉项目基本情况</w:t>
      </w:r>
    </w:p>
    <w:p w14:paraId="48E9D820">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D965492">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1893D7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423AD3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20616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F6632C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997F2F9">
      <w:pPr>
        <w:spacing w:line="360" w:lineRule="auto"/>
        <w:rPr>
          <w:rFonts w:ascii="宋体" w:hAnsi="宋体" w:cs="宋体"/>
          <w:sz w:val="24"/>
        </w:rPr>
      </w:pPr>
      <w:r>
        <w:rPr>
          <w:rFonts w:hint="eastAsia" w:ascii="宋体" w:hAnsi="宋体" w:cs="宋体"/>
          <w:sz w:val="24"/>
        </w:rPr>
        <w:t>三、质疑基本情况</w:t>
      </w:r>
    </w:p>
    <w:p w14:paraId="630378C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F53199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B82EB1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6EC64F3">
      <w:pPr>
        <w:spacing w:line="360" w:lineRule="auto"/>
        <w:rPr>
          <w:rFonts w:ascii="宋体" w:hAnsi="宋体" w:cs="宋体"/>
          <w:sz w:val="24"/>
        </w:rPr>
      </w:pPr>
      <w:r>
        <w:rPr>
          <w:rFonts w:hint="eastAsia" w:ascii="宋体" w:hAnsi="宋体" w:cs="宋体"/>
          <w:sz w:val="24"/>
        </w:rPr>
        <w:t>四、投诉事项具体内容</w:t>
      </w:r>
    </w:p>
    <w:p w14:paraId="745AD07A">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4FB0BA8">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2B93E0B0">
      <w:pPr>
        <w:spacing w:line="360" w:lineRule="auto"/>
        <w:rPr>
          <w:rFonts w:ascii="宋体" w:hAnsi="宋体" w:cs="宋体"/>
          <w:sz w:val="24"/>
          <w:u w:val="dotted"/>
        </w:rPr>
      </w:pPr>
      <w:r>
        <w:rPr>
          <w:rFonts w:hint="eastAsia" w:ascii="宋体" w:hAnsi="宋体" w:cs="宋体"/>
          <w:sz w:val="24"/>
          <w:u w:val="dotted"/>
        </w:rPr>
        <w:t xml:space="preserve">                                                      </w:t>
      </w:r>
    </w:p>
    <w:p w14:paraId="075BE003">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48CB224">
      <w:pPr>
        <w:spacing w:line="360" w:lineRule="auto"/>
        <w:rPr>
          <w:rFonts w:ascii="宋体" w:hAnsi="宋体" w:cs="宋体"/>
          <w:sz w:val="24"/>
          <w:u w:val="dotted"/>
        </w:rPr>
      </w:pPr>
      <w:r>
        <w:rPr>
          <w:rFonts w:hint="eastAsia" w:ascii="宋体" w:hAnsi="宋体" w:cs="宋体"/>
          <w:sz w:val="24"/>
          <w:u w:val="dotted"/>
        </w:rPr>
        <w:t xml:space="preserve">                                                      </w:t>
      </w:r>
    </w:p>
    <w:p w14:paraId="73B47A6B">
      <w:pPr>
        <w:spacing w:line="360" w:lineRule="auto"/>
        <w:rPr>
          <w:rFonts w:ascii="宋体" w:hAnsi="宋体" w:cs="宋体"/>
          <w:sz w:val="24"/>
        </w:rPr>
      </w:pPr>
      <w:r>
        <w:rPr>
          <w:rFonts w:hint="eastAsia" w:ascii="宋体" w:hAnsi="宋体" w:cs="宋体"/>
          <w:sz w:val="24"/>
        </w:rPr>
        <w:t>投诉事项2</w:t>
      </w:r>
    </w:p>
    <w:p w14:paraId="287AF138">
      <w:pPr>
        <w:spacing w:line="360" w:lineRule="auto"/>
        <w:rPr>
          <w:rFonts w:ascii="宋体" w:hAnsi="宋体" w:cs="宋体"/>
          <w:sz w:val="24"/>
          <w:u w:val="dotted"/>
        </w:rPr>
      </w:pPr>
      <w:r>
        <w:rPr>
          <w:rFonts w:hint="eastAsia" w:ascii="宋体" w:hAnsi="宋体" w:cs="宋体"/>
          <w:sz w:val="24"/>
        </w:rPr>
        <w:t>……</w:t>
      </w:r>
    </w:p>
    <w:p w14:paraId="5B08C921">
      <w:pPr>
        <w:spacing w:line="360" w:lineRule="auto"/>
        <w:rPr>
          <w:rFonts w:ascii="宋体" w:hAnsi="宋体" w:cs="宋体"/>
          <w:sz w:val="24"/>
        </w:rPr>
      </w:pPr>
      <w:r>
        <w:rPr>
          <w:rFonts w:hint="eastAsia" w:ascii="宋体" w:hAnsi="宋体" w:cs="宋体"/>
          <w:sz w:val="24"/>
        </w:rPr>
        <w:t>五、与投诉事项相关的投诉请求</w:t>
      </w:r>
    </w:p>
    <w:p w14:paraId="36FFA6FE">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7951B54">
      <w:pPr>
        <w:spacing w:line="360" w:lineRule="auto"/>
        <w:rPr>
          <w:rFonts w:ascii="宋体" w:hAnsi="宋体" w:cs="宋体"/>
          <w:sz w:val="24"/>
          <w:u w:val="single"/>
        </w:rPr>
      </w:pPr>
      <w:r>
        <w:rPr>
          <w:rFonts w:hint="eastAsia" w:ascii="宋体" w:hAnsi="宋体" w:cs="宋体"/>
          <w:sz w:val="24"/>
        </w:rPr>
        <w:t xml:space="preserve">                                                                                                    </w:t>
      </w:r>
    </w:p>
    <w:p w14:paraId="0EB84D14">
      <w:pPr>
        <w:spacing w:line="360" w:lineRule="auto"/>
        <w:rPr>
          <w:rFonts w:ascii="宋体" w:hAnsi="宋体" w:cs="宋体"/>
          <w:sz w:val="24"/>
        </w:rPr>
      </w:pPr>
      <w:r>
        <w:rPr>
          <w:rFonts w:hint="eastAsia" w:ascii="宋体" w:hAnsi="宋体" w:cs="宋体"/>
          <w:sz w:val="24"/>
        </w:rPr>
        <w:t xml:space="preserve">签字(签章)：                   公章：                      </w:t>
      </w:r>
    </w:p>
    <w:p w14:paraId="78A56CA1">
      <w:pPr>
        <w:spacing w:line="360" w:lineRule="auto"/>
        <w:rPr>
          <w:rFonts w:ascii="宋体" w:hAnsi="宋体" w:cs="宋体"/>
          <w:sz w:val="24"/>
        </w:rPr>
      </w:pPr>
      <w:r>
        <w:rPr>
          <w:rFonts w:hint="eastAsia" w:ascii="宋体" w:hAnsi="宋体" w:cs="宋体"/>
          <w:sz w:val="24"/>
        </w:rPr>
        <w:t xml:space="preserve">日期：    </w:t>
      </w:r>
    </w:p>
    <w:p w14:paraId="24AF80A8">
      <w:pPr>
        <w:spacing w:line="360" w:lineRule="auto"/>
        <w:rPr>
          <w:rFonts w:ascii="宋体" w:hAnsi="宋体" w:cs="宋体"/>
          <w:b/>
          <w:sz w:val="24"/>
        </w:rPr>
      </w:pPr>
    </w:p>
    <w:p w14:paraId="7EDAF335">
      <w:pPr>
        <w:spacing w:line="360" w:lineRule="auto"/>
        <w:rPr>
          <w:rFonts w:ascii="宋体" w:hAnsi="宋体" w:cs="宋体"/>
          <w:b/>
          <w:sz w:val="24"/>
        </w:rPr>
      </w:pPr>
    </w:p>
    <w:p w14:paraId="48A1BE00">
      <w:pPr>
        <w:spacing w:line="360" w:lineRule="auto"/>
        <w:rPr>
          <w:rFonts w:ascii="宋体" w:hAnsi="宋体" w:cs="宋体"/>
          <w:b/>
          <w:sz w:val="24"/>
        </w:rPr>
      </w:pPr>
      <w:r>
        <w:rPr>
          <w:rFonts w:hint="eastAsia" w:ascii="宋体" w:hAnsi="宋体" w:cs="宋体"/>
          <w:b/>
          <w:sz w:val="24"/>
        </w:rPr>
        <w:t>投诉书制作说明：</w:t>
      </w:r>
    </w:p>
    <w:p w14:paraId="31543A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82E877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8CCC2D4">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51A21C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686FA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0CA657E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1FF7D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8F915BD">
      <w:pPr>
        <w:spacing w:line="360" w:lineRule="auto"/>
        <w:rPr>
          <w:rFonts w:ascii="宋体" w:hAnsi="宋体" w:cs="宋体"/>
          <w:b/>
          <w:sz w:val="24"/>
        </w:rPr>
      </w:pPr>
    </w:p>
    <w:p w14:paraId="30FC2442">
      <w:pPr>
        <w:autoSpaceDE w:val="0"/>
        <w:autoSpaceDN w:val="0"/>
        <w:jc w:val="center"/>
        <w:rPr>
          <w:rFonts w:ascii="宋体" w:hAnsi="宋体" w:cs="宋体"/>
          <w:b/>
          <w:spacing w:val="6"/>
          <w:sz w:val="32"/>
          <w:szCs w:val="32"/>
        </w:rPr>
      </w:pPr>
    </w:p>
    <w:p w14:paraId="11677399">
      <w:pPr>
        <w:autoSpaceDE w:val="0"/>
        <w:autoSpaceDN w:val="0"/>
        <w:jc w:val="center"/>
        <w:rPr>
          <w:rFonts w:ascii="宋体" w:hAnsi="宋体" w:cs="宋体"/>
          <w:b/>
          <w:spacing w:val="6"/>
          <w:sz w:val="32"/>
          <w:szCs w:val="32"/>
        </w:rPr>
      </w:pPr>
    </w:p>
    <w:p w14:paraId="71BF8D19">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A3558E1">
      <w:pPr>
        <w:spacing w:line="360" w:lineRule="auto"/>
        <w:rPr>
          <w:rFonts w:ascii="宋体" w:hAnsi="宋体" w:cs="宋体"/>
          <w:sz w:val="24"/>
          <w:u w:val="single"/>
        </w:rPr>
      </w:pPr>
    </w:p>
    <w:p w14:paraId="2B6DB092">
      <w:pPr>
        <w:spacing w:line="360" w:lineRule="auto"/>
        <w:rPr>
          <w:rFonts w:ascii="宋体" w:hAnsi="宋体" w:cs="宋体"/>
          <w:sz w:val="24"/>
        </w:rPr>
      </w:pPr>
      <w:r>
        <w:rPr>
          <w:rFonts w:hint="eastAsia" w:ascii="宋体" w:hAnsi="宋体" w:cs="宋体"/>
          <w:sz w:val="24"/>
          <w:u w:val="single"/>
        </w:rPr>
        <w:t>宁波市生态环境局宁海分局、宁海童氏工程管理咨询有限公司：</w:t>
      </w:r>
    </w:p>
    <w:p w14:paraId="7A905E4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E2BC5F6">
      <w:pPr>
        <w:spacing w:line="360" w:lineRule="auto"/>
        <w:ind w:firstLine="480" w:firstLineChars="200"/>
        <w:rPr>
          <w:rFonts w:ascii="宋体" w:hAnsi="宋体" w:cs="宋体"/>
          <w:sz w:val="24"/>
        </w:rPr>
      </w:pPr>
      <w:r>
        <w:rPr>
          <w:rFonts w:hint="eastAsia" w:ascii="宋体" w:hAnsi="宋体" w:cs="宋体"/>
          <w:sz w:val="24"/>
        </w:rPr>
        <w:t>特此说明。</w:t>
      </w:r>
    </w:p>
    <w:p w14:paraId="79D69604">
      <w:pPr>
        <w:spacing w:line="360" w:lineRule="auto"/>
        <w:ind w:firstLine="494"/>
        <w:rPr>
          <w:rFonts w:ascii="宋体" w:hAnsi="宋体" w:cs="宋体"/>
          <w:sz w:val="24"/>
        </w:rPr>
      </w:pPr>
    </w:p>
    <w:p w14:paraId="1D3C6DD7">
      <w:pPr>
        <w:spacing w:line="360" w:lineRule="auto"/>
        <w:ind w:firstLine="494"/>
        <w:rPr>
          <w:rFonts w:ascii="宋体" w:hAnsi="宋体" w:cs="宋体"/>
          <w:sz w:val="24"/>
        </w:rPr>
      </w:pPr>
    </w:p>
    <w:p w14:paraId="06138B09">
      <w:pPr>
        <w:spacing w:line="360" w:lineRule="auto"/>
        <w:ind w:firstLine="494"/>
        <w:rPr>
          <w:rFonts w:ascii="宋体" w:hAnsi="宋体" w:cs="宋体"/>
          <w:sz w:val="24"/>
        </w:rPr>
      </w:pPr>
    </w:p>
    <w:p w14:paraId="418E9906">
      <w:pPr>
        <w:spacing w:line="360" w:lineRule="auto"/>
        <w:ind w:firstLine="494"/>
        <w:rPr>
          <w:rFonts w:ascii="宋体" w:hAnsi="宋体" w:cs="宋体"/>
          <w:sz w:val="24"/>
        </w:rPr>
      </w:pPr>
    </w:p>
    <w:p w14:paraId="38D20DF6">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4BDE1A9E">
      <w:pPr>
        <w:ind w:right="1440" w:firstLine="494"/>
        <w:jc w:val="center"/>
        <w:rPr>
          <w:rFonts w:ascii="宋体" w:hAnsi="宋体" w:cs="宋体"/>
          <w:sz w:val="24"/>
        </w:rPr>
      </w:pPr>
      <w:r>
        <w:rPr>
          <w:rFonts w:hint="eastAsia" w:ascii="宋体" w:hAnsi="宋体" w:cs="宋体"/>
          <w:sz w:val="24"/>
        </w:rPr>
        <w:t xml:space="preserve">                              日期：       年     月     日</w:t>
      </w:r>
    </w:p>
    <w:p w14:paraId="5925C4D1">
      <w:pPr>
        <w:rPr>
          <w:rFonts w:ascii="宋体" w:hAnsi="宋体" w:cs="宋体"/>
          <w:sz w:val="24"/>
        </w:rPr>
      </w:pPr>
      <w:r>
        <w:rPr>
          <w:rFonts w:hint="eastAsia" w:ascii="宋体" w:hAnsi="宋体" w:cs="宋体"/>
          <w:b/>
          <w:bCs/>
          <w:sz w:val="24"/>
        </w:rPr>
        <w:t>附：</w:t>
      </w:r>
    </w:p>
    <w:p w14:paraId="6672E294">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CAD3A3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CAD3A3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31EDEA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31EDEA3">
                      <w:pPr>
                        <w:jc w:val="center"/>
                      </w:pPr>
                    </w:p>
                  </w:txbxContent>
                </v:textbox>
              </v:rect>
            </w:pict>
          </mc:Fallback>
        </mc:AlternateContent>
      </w:r>
      <w:r>
        <w:rPr>
          <w:rFonts w:hint="eastAsia" w:ascii="宋体" w:hAnsi="宋体" w:cs="宋体"/>
          <w:sz w:val="24"/>
        </w:rPr>
        <w:t>投标单位法定名称章（印模）                投标单位“XX专用章”（印模）</w:t>
      </w:r>
    </w:p>
    <w:p w14:paraId="34B8B4B5">
      <w:pPr>
        <w:autoSpaceDE w:val="0"/>
        <w:autoSpaceDN w:val="0"/>
        <w:jc w:val="center"/>
        <w:rPr>
          <w:rFonts w:ascii="宋体" w:hAnsi="宋体" w:cs="宋体"/>
          <w:b/>
          <w:spacing w:val="6"/>
          <w:sz w:val="32"/>
          <w:szCs w:val="32"/>
        </w:rPr>
      </w:pPr>
    </w:p>
    <w:p w14:paraId="5F552971">
      <w:pPr>
        <w:autoSpaceDE w:val="0"/>
        <w:autoSpaceDN w:val="0"/>
        <w:jc w:val="center"/>
        <w:rPr>
          <w:rFonts w:ascii="宋体" w:hAnsi="宋体" w:cs="宋体"/>
          <w:b/>
          <w:spacing w:val="6"/>
          <w:sz w:val="32"/>
          <w:szCs w:val="32"/>
        </w:rPr>
      </w:pPr>
    </w:p>
    <w:p w14:paraId="43EFC92F">
      <w:pPr>
        <w:autoSpaceDE w:val="0"/>
        <w:autoSpaceDN w:val="0"/>
        <w:jc w:val="center"/>
        <w:rPr>
          <w:rFonts w:ascii="宋体" w:hAnsi="宋体" w:cs="宋体"/>
          <w:b/>
          <w:spacing w:val="6"/>
          <w:sz w:val="32"/>
          <w:szCs w:val="32"/>
        </w:rPr>
      </w:pPr>
    </w:p>
    <w:p w14:paraId="30D4E209">
      <w:pPr>
        <w:autoSpaceDE w:val="0"/>
        <w:autoSpaceDN w:val="0"/>
        <w:jc w:val="center"/>
        <w:rPr>
          <w:rFonts w:ascii="宋体" w:hAnsi="宋体" w:cs="宋体"/>
          <w:b/>
          <w:spacing w:val="6"/>
          <w:sz w:val="32"/>
          <w:szCs w:val="32"/>
        </w:rPr>
      </w:pPr>
    </w:p>
    <w:p w14:paraId="5DF5B5E4">
      <w:pPr>
        <w:autoSpaceDE w:val="0"/>
        <w:autoSpaceDN w:val="0"/>
        <w:jc w:val="center"/>
        <w:rPr>
          <w:rFonts w:ascii="宋体" w:hAnsi="宋体" w:cs="宋体"/>
          <w:b/>
          <w:spacing w:val="6"/>
          <w:sz w:val="32"/>
          <w:szCs w:val="32"/>
        </w:rPr>
      </w:pPr>
    </w:p>
    <w:p w14:paraId="3B11ADF1">
      <w:pPr>
        <w:autoSpaceDE w:val="0"/>
        <w:autoSpaceDN w:val="0"/>
        <w:jc w:val="center"/>
        <w:rPr>
          <w:rFonts w:ascii="宋体" w:hAnsi="宋体" w:cs="宋体"/>
          <w:b/>
          <w:spacing w:val="6"/>
          <w:sz w:val="32"/>
          <w:szCs w:val="32"/>
        </w:rPr>
      </w:pPr>
    </w:p>
    <w:p w14:paraId="1305D23E">
      <w:pPr>
        <w:autoSpaceDE w:val="0"/>
        <w:autoSpaceDN w:val="0"/>
        <w:jc w:val="center"/>
        <w:rPr>
          <w:rFonts w:ascii="宋体" w:hAnsi="宋体" w:cs="宋体"/>
          <w:b/>
          <w:spacing w:val="6"/>
          <w:sz w:val="32"/>
          <w:szCs w:val="32"/>
        </w:rPr>
      </w:pPr>
    </w:p>
    <w:p w14:paraId="6210725C">
      <w:pPr>
        <w:autoSpaceDE w:val="0"/>
        <w:autoSpaceDN w:val="0"/>
        <w:jc w:val="center"/>
        <w:rPr>
          <w:rFonts w:ascii="宋体" w:hAnsi="宋体" w:cs="宋体"/>
          <w:b/>
          <w:spacing w:val="6"/>
          <w:sz w:val="32"/>
          <w:szCs w:val="32"/>
        </w:rPr>
      </w:pPr>
    </w:p>
    <w:p w14:paraId="6189CA2D">
      <w:pPr>
        <w:autoSpaceDE w:val="0"/>
        <w:autoSpaceDN w:val="0"/>
        <w:jc w:val="center"/>
        <w:rPr>
          <w:rFonts w:ascii="宋体" w:hAnsi="宋体" w:cs="宋体"/>
          <w:b/>
          <w:spacing w:val="6"/>
          <w:sz w:val="32"/>
          <w:szCs w:val="32"/>
        </w:rPr>
      </w:pPr>
    </w:p>
    <w:p w14:paraId="0227B108">
      <w:pPr>
        <w:autoSpaceDE w:val="0"/>
        <w:autoSpaceDN w:val="0"/>
        <w:jc w:val="center"/>
        <w:rPr>
          <w:rFonts w:ascii="宋体" w:hAnsi="宋体" w:cs="宋体"/>
          <w:b/>
          <w:spacing w:val="6"/>
          <w:sz w:val="32"/>
          <w:szCs w:val="32"/>
        </w:rPr>
      </w:pPr>
    </w:p>
    <w:p w14:paraId="2217B610">
      <w:pPr>
        <w:autoSpaceDE w:val="0"/>
        <w:autoSpaceDN w:val="0"/>
        <w:jc w:val="center"/>
        <w:rPr>
          <w:rFonts w:ascii="宋体" w:hAnsi="宋体" w:cs="宋体"/>
          <w:b/>
          <w:spacing w:val="6"/>
          <w:sz w:val="32"/>
          <w:szCs w:val="32"/>
        </w:rPr>
      </w:pPr>
    </w:p>
    <w:p w14:paraId="1CEE4053">
      <w:pPr>
        <w:autoSpaceDE w:val="0"/>
        <w:autoSpaceDN w:val="0"/>
        <w:jc w:val="center"/>
        <w:rPr>
          <w:rFonts w:ascii="宋体" w:hAnsi="宋体" w:cs="宋体"/>
          <w:b/>
          <w:spacing w:val="6"/>
          <w:sz w:val="32"/>
          <w:szCs w:val="32"/>
        </w:rPr>
      </w:pPr>
    </w:p>
    <w:p w14:paraId="2ABAD94F">
      <w:pPr>
        <w:autoSpaceDE w:val="0"/>
        <w:autoSpaceDN w:val="0"/>
        <w:jc w:val="center"/>
        <w:rPr>
          <w:rFonts w:ascii="宋体" w:hAnsi="宋体" w:cs="宋体"/>
          <w:b/>
          <w:spacing w:val="6"/>
          <w:sz w:val="32"/>
          <w:szCs w:val="32"/>
        </w:rPr>
      </w:pPr>
    </w:p>
    <w:p w14:paraId="628B454C">
      <w:pPr>
        <w:autoSpaceDE w:val="0"/>
        <w:autoSpaceDN w:val="0"/>
        <w:jc w:val="center"/>
        <w:rPr>
          <w:rFonts w:ascii="宋体" w:hAnsi="宋体" w:cs="宋体"/>
          <w:b/>
          <w:spacing w:val="6"/>
          <w:sz w:val="32"/>
          <w:szCs w:val="32"/>
        </w:rPr>
      </w:pPr>
    </w:p>
    <w:p w14:paraId="56EA3FC3">
      <w:pPr>
        <w:rPr>
          <w:rFonts w:ascii="宋体" w:hAnsi="宋体" w:cs="宋体"/>
          <w:b/>
          <w:spacing w:val="6"/>
          <w:sz w:val="32"/>
          <w:szCs w:val="32"/>
        </w:rPr>
      </w:pPr>
      <w:r>
        <w:rPr>
          <w:rFonts w:hint="eastAsia" w:ascii="宋体" w:hAnsi="宋体" w:cs="宋体"/>
          <w:b/>
          <w:spacing w:val="6"/>
          <w:sz w:val="32"/>
          <w:szCs w:val="32"/>
        </w:rPr>
        <w:br w:type="page"/>
      </w:r>
    </w:p>
    <w:p w14:paraId="07921A5A">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1E7FE29">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99D651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 xml:space="preserve">宁海县环保预警平台信创改造升级项目 </w:t>
      </w:r>
      <w:r>
        <w:rPr>
          <w:rFonts w:hint="eastAsia" w:ascii="宋体" w:hAnsi="宋体" w:cs="宋体"/>
          <w:sz w:val="24"/>
        </w:rPr>
        <w:t>【招标编号：NH-TS2025-034】</w:t>
      </w:r>
      <w:r>
        <w:rPr>
          <w:rFonts w:hint="eastAsia" w:ascii="宋体" w:hAnsi="宋体" w:cs="宋体"/>
          <w:kern w:val="0"/>
          <w:sz w:val="24"/>
          <w:lang w:val="zh-CN"/>
        </w:rPr>
        <w:t xml:space="preserve">投标。 </w:t>
      </w:r>
    </w:p>
    <w:p w14:paraId="7AACFD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30FE0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6653189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AD484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F960FD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734EB5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4F925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CF2D6CD">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6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6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6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62"/>
      <w:r>
        <w:rPr>
          <w:rFonts w:hint="eastAsia" w:ascii="宋体" w:hAnsi="宋体" w:cs="宋体"/>
          <w:b/>
          <w:kern w:val="0"/>
          <w:sz w:val="24"/>
          <w:lang w:val="zh-CN"/>
        </w:rPr>
        <w:t>）</w:t>
      </w:r>
    </w:p>
    <w:p w14:paraId="6746DCD4">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6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63"/>
    </w:p>
    <w:p w14:paraId="2B4BECF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85858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7B614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124DC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77FC2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662A1A1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D0B3F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A0D32AA">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B58955D">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478C71A">
      <w:pPr>
        <w:spacing w:line="360" w:lineRule="auto"/>
        <w:ind w:right="420"/>
        <w:rPr>
          <w:rFonts w:ascii="宋体" w:hAnsi="宋体" w:cs="宋体"/>
          <w:sz w:val="24"/>
        </w:rPr>
      </w:pPr>
      <w:r>
        <w:rPr>
          <w:rFonts w:hint="eastAsia" w:ascii="宋体" w:hAnsi="宋体" w:cs="宋体"/>
          <w:sz w:val="24"/>
        </w:rPr>
        <w:t>注：按本格式和要求提供。</w:t>
      </w:r>
    </w:p>
    <w:p w14:paraId="617728C6">
      <w:pPr>
        <w:autoSpaceDE w:val="0"/>
        <w:autoSpaceDN w:val="0"/>
        <w:jc w:val="center"/>
        <w:rPr>
          <w:rFonts w:ascii="宋体" w:hAnsi="宋体" w:cs="宋体"/>
          <w:b/>
          <w:spacing w:val="6"/>
          <w:sz w:val="32"/>
          <w:szCs w:val="32"/>
        </w:rPr>
      </w:pPr>
    </w:p>
    <w:p w14:paraId="3AD14C97">
      <w:pPr>
        <w:autoSpaceDE w:val="0"/>
        <w:autoSpaceDN w:val="0"/>
        <w:jc w:val="center"/>
        <w:rPr>
          <w:rFonts w:ascii="宋体" w:hAnsi="宋体" w:cs="宋体"/>
          <w:b/>
          <w:spacing w:val="6"/>
          <w:sz w:val="32"/>
          <w:szCs w:val="32"/>
        </w:rPr>
      </w:pPr>
    </w:p>
    <w:p w14:paraId="2B36D728">
      <w:pPr>
        <w:autoSpaceDE w:val="0"/>
        <w:autoSpaceDN w:val="0"/>
        <w:jc w:val="center"/>
        <w:rPr>
          <w:rFonts w:ascii="宋体" w:hAnsi="宋体" w:cs="宋体"/>
          <w:b/>
          <w:spacing w:val="6"/>
          <w:sz w:val="32"/>
          <w:szCs w:val="32"/>
        </w:rPr>
      </w:pPr>
    </w:p>
    <w:p w14:paraId="2A1E0377">
      <w:pPr>
        <w:autoSpaceDE w:val="0"/>
        <w:autoSpaceDN w:val="0"/>
        <w:jc w:val="center"/>
        <w:rPr>
          <w:rFonts w:ascii="宋体" w:hAnsi="宋体" w:cs="宋体"/>
          <w:b/>
          <w:spacing w:val="6"/>
          <w:sz w:val="32"/>
          <w:szCs w:val="32"/>
        </w:rPr>
      </w:pPr>
    </w:p>
    <w:p w14:paraId="300D6405">
      <w:pPr>
        <w:autoSpaceDE w:val="0"/>
        <w:autoSpaceDN w:val="0"/>
        <w:jc w:val="center"/>
        <w:rPr>
          <w:rFonts w:ascii="宋体" w:hAnsi="宋体" w:cs="宋体"/>
          <w:b/>
          <w:spacing w:val="6"/>
          <w:sz w:val="32"/>
          <w:szCs w:val="32"/>
        </w:rPr>
      </w:pPr>
    </w:p>
    <w:p w14:paraId="6C335D0D">
      <w:pPr>
        <w:autoSpaceDE w:val="0"/>
        <w:autoSpaceDN w:val="0"/>
        <w:jc w:val="center"/>
        <w:rPr>
          <w:rFonts w:ascii="宋体" w:hAnsi="宋体" w:cs="宋体"/>
          <w:b/>
          <w:spacing w:val="6"/>
          <w:sz w:val="32"/>
          <w:szCs w:val="32"/>
        </w:rPr>
      </w:pPr>
    </w:p>
    <w:p w14:paraId="06FA3539">
      <w:pPr>
        <w:autoSpaceDE w:val="0"/>
        <w:autoSpaceDN w:val="0"/>
        <w:jc w:val="center"/>
        <w:rPr>
          <w:rFonts w:ascii="宋体" w:hAnsi="宋体" w:cs="宋体"/>
          <w:b/>
          <w:spacing w:val="6"/>
          <w:sz w:val="32"/>
          <w:szCs w:val="32"/>
        </w:rPr>
      </w:pPr>
    </w:p>
    <w:p w14:paraId="62881BA1">
      <w:pPr>
        <w:autoSpaceDE w:val="0"/>
        <w:autoSpaceDN w:val="0"/>
        <w:jc w:val="center"/>
        <w:rPr>
          <w:rFonts w:ascii="宋体" w:hAnsi="宋体" w:cs="宋体"/>
          <w:b/>
          <w:spacing w:val="6"/>
          <w:sz w:val="32"/>
          <w:szCs w:val="32"/>
        </w:rPr>
      </w:pPr>
    </w:p>
    <w:p w14:paraId="1057CFC9">
      <w:pPr>
        <w:autoSpaceDE w:val="0"/>
        <w:autoSpaceDN w:val="0"/>
        <w:jc w:val="center"/>
        <w:rPr>
          <w:rFonts w:ascii="宋体" w:hAnsi="宋体" w:cs="宋体"/>
          <w:b/>
          <w:spacing w:val="6"/>
          <w:sz w:val="32"/>
          <w:szCs w:val="32"/>
        </w:rPr>
      </w:pPr>
    </w:p>
    <w:p w14:paraId="35FA9E1E">
      <w:pPr>
        <w:autoSpaceDE w:val="0"/>
        <w:autoSpaceDN w:val="0"/>
        <w:jc w:val="center"/>
        <w:rPr>
          <w:rFonts w:ascii="宋体" w:hAnsi="宋体" w:cs="宋体"/>
          <w:b/>
          <w:spacing w:val="6"/>
          <w:sz w:val="32"/>
          <w:szCs w:val="32"/>
        </w:rPr>
      </w:pPr>
    </w:p>
    <w:p w14:paraId="05273701">
      <w:pPr>
        <w:autoSpaceDE w:val="0"/>
        <w:autoSpaceDN w:val="0"/>
        <w:jc w:val="center"/>
        <w:rPr>
          <w:rFonts w:ascii="宋体" w:hAnsi="宋体" w:cs="宋体"/>
          <w:b/>
          <w:spacing w:val="6"/>
          <w:sz w:val="32"/>
          <w:szCs w:val="32"/>
        </w:rPr>
      </w:pPr>
    </w:p>
    <w:p w14:paraId="46CDC2D8">
      <w:pPr>
        <w:autoSpaceDE w:val="0"/>
        <w:autoSpaceDN w:val="0"/>
        <w:jc w:val="center"/>
        <w:rPr>
          <w:rFonts w:ascii="宋体" w:hAnsi="宋体" w:cs="宋体"/>
          <w:b/>
          <w:spacing w:val="6"/>
          <w:sz w:val="32"/>
          <w:szCs w:val="32"/>
        </w:rPr>
      </w:pPr>
    </w:p>
    <w:p w14:paraId="77822D38">
      <w:pPr>
        <w:autoSpaceDE w:val="0"/>
        <w:autoSpaceDN w:val="0"/>
        <w:jc w:val="center"/>
        <w:rPr>
          <w:rFonts w:ascii="宋体" w:hAnsi="宋体" w:cs="宋体"/>
          <w:b/>
          <w:spacing w:val="6"/>
          <w:sz w:val="32"/>
          <w:szCs w:val="32"/>
        </w:rPr>
      </w:pPr>
    </w:p>
    <w:p w14:paraId="4FF2ED1A">
      <w:pPr>
        <w:autoSpaceDE w:val="0"/>
        <w:autoSpaceDN w:val="0"/>
        <w:jc w:val="center"/>
        <w:rPr>
          <w:rFonts w:ascii="宋体" w:hAnsi="宋体" w:cs="宋体"/>
          <w:b/>
          <w:spacing w:val="6"/>
          <w:sz w:val="32"/>
          <w:szCs w:val="32"/>
        </w:rPr>
      </w:pPr>
    </w:p>
    <w:p w14:paraId="5D7A8D5B">
      <w:pPr>
        <w:autoSpaceDE w:val="0"/>
        <w:autoSpaceDN w:val="0"/>
        <w:jc w:val="center"/>
        <w:rPr>
          <w:rFonts w:ascii="宋体" w:hAnsi="宋体" w:cs="宋体"/>
          <w:b/>
          <w:spacing w:val="6"/>
          <w:sz w:val="32"/>
          <w:szCs w:val="32"/>
        </w:rPr>
      </w:pPr>
    </w:p>
    <w:p w14:paraId="585C5842">
      <w:pPr>
        <w:autoSpaceDE w:val="0"/>
        <w:autoSpaceDN w:val="0"/>
        <w:jc w:val="center"/>
        <w:rPr>
          <w:rFonts w:ascii="宋体" w:hAnsi="宋体" w:cs="宋体"/>
          <w:b/>
          <w:spacing w:val="6"/>
          <w:sz w:val="32"/>
          <w:szCs w:val="32"/>
        </w:rPr>
      </w:pPr>
    </w:p>
    <w:p w14:paraId="49CF0A6A">
      <w:pPr>
        <w:autoSpaceDE w:val="0"/>
        <w:autoSpaceDN w:val="0"/>
        <w:jc w:val="center"/>
        <w:rPr>
          <w:rFonts w:ascii="宋体" w:hAnsi="宋体" w:cs="宋体"/>
          <w:b/>
          <w:spacing w:val="6"/>
          <w:sz w:val="32"/>
          <w:szCs w:val="32"/>
        </w:rPr>
      </w:pPr>
    </w:p>
    <w:p w14:paraId="477529C6">
      <w:pPr>
        <w:autoSpaceDE w:val="0"/>
        <w:autoSpaceDN w:val="0"/>
        <w:jc w:val="center"/>
        <w:rPr>
          <w:rFonts w:ascii="宋体" w:hAnsi="宋体" w:cs="宋体"/>
          <w:b/>
          <w:spacing w:val="6"/>
          <w:sz w:val="32"/>
          <w:szCs w:val="32"/>
        </w:rPr>
      </w:pPr>
    </w:p>
    <w:p w14:paraId="73548596">
      <w:pPr>
        <w:autoSpaceDE w:val="0"/>
        <w:autoSpaceDN w:val="0"/>
        <w:jc w:val="center"/>
        <w:rPr>
          <w:rFonts w:ascii="宋体" w:hAnsi="宋体" w:cs="宋体"/>
          <w:b/>
          <w:spacing w:val="6"/>
          <w:sz w:val="32"/>
          <w:szCs w:val="32"/>
        </w:rPr>
      </w:pPr>
    </w:p>
    <w:p w14:paraId="369A85AA">
      <w:pPr>
        <w:autoSpaceDE w:val="0"/>
        <w:autoSpaceDN w:val="0"/>
        <w:jc w:val="center"/>
        <w:rPr>
          <w:rFonts w:ascii="宋体" w:hAnsi="宋体" w:cs="宋体"/>
          <w:b/>
          <w:spacing w:val="6"/>
          <w:sz w:val="32"/>
          <w:szCs w:val="32"/>
        </w:rPr>
      </w:pPr>
    </w:p>
    <w:p w14:paraId="63C601E2">
      <w:pPr>
        <w:autoSpaceDE w:val="0"/>
        <w:autoSpaceDN w:val="0"/>
        <w:jc w:val="center"/>
        <w:rPr>
          <w:rFonts w:ascii="宋体" w:hAnsi="宋体" w:cs="宋体"/>
          <w:b/>
          <w:spacing w:val="6"/>
          <w:sz w:val="32"/>
          <w:szCs w:val="32"/>
        </w:rPr>
      </w:pPr>
    </w:p>
    <w:p w14:paraId="7EFC59A9">
      <w:pPr>
        <w:autoSpaceDE w:val="0"/>
        <w:autoSpaceDN w:val="0"/>
        <w:jc w:val="center"/>
        <w:rPr>
          <w:rFonts w:ascii="宋体" w:hAnsi="宋体" w:cs="宋体"/>
          <w:b/>
          <w:spacing w:val="6"/>
          <w:sz w:val="32"/>
          <w:szCs w:val="32"/>
        </w:rPr>
      </w:pPr>
    </w:p>
    <w:p w14:paraId="45A289CB">
      <w:pPr>
        <w:autoSpaceDE w:val="0"/>
        <w:autoSpaceDN w:val="0"/>
        <w:jc w:val="center"/>
        <w:rPr>
          <w:rFonts w:ascii="宋体" w:hAnsi="宋体" w:cs="宋体"/>
          <w:b/>
          <w:spacing w:val="6"/>
          <w:sz w:val="32"/>
          <w:szCs w:val="32"/>
        </w:rPr>
      </w:pPr>
    </w:p>
    <w:p w14:paraId="4F798441">
      <w:pPr>
        <w:snapToGrid w:val="0"/>
        <w:spacing w:line="360" w:lineRule="auto"/>
        <w:ind w:firstLine="3666" w:firstLineChars="1100"/>
        <w:rPr>
          <w:rFonts w:ascii="宋体" w:hAnsi="宋体" w:cs="宋体"/>
          <w:b/>
          <w:spacing w:val="6"/>
          <w:sz w:val="32"/>
          <w:szCs w:val="32"/>
        </w:rPr>
      </w:pPr>
    </w:p>
    <w:p w14:paraId="404C8B9B">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489C4F44">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47A3A70F">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56E3248F">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宁波市生态环境局宁海分局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 xml:space="preserve">宁海县环保预警平台信创改造升级项目 </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DDBB16D">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 xml:space="preserve">宁海县环保预警平台信创改造升级项目 </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AB05838">
      <w:pPr>
        <w:spacing w:line="312" w:lineRule="auto"/>
        <w:ind w:firstLine="480" w:firstLineChars="200"/>
        <w:jc w:val="left"/>
        <w:rPr>
          <w:rFonts w:ascii="宋体" w:hAnsi="宋体" w:cs="宋体"/>
          <w:sz w:val="24"/>
        </w:rPr>
      </w:pPr>
      <w:r>
        <w:rPr>
          <w:rFonts w:hint="eastAsia" w:ascii="宋体" w:hAnsi="宋体" w:cs="宋体"/>
          <w:sz w:val="24"/>
        </w:rPr>
        <w:t>……</w:t>
      </w:r>
    </w:p>
    <w:p w14:paraId="63007D6E">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DC0B58">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7FFD8B1">
      <w:pPr>
        <w:spacing w:line="312" w:lineRule="auto"/>
        <w:ind w:right="1760"/>
        <w:jc w:val="right"/>
        <w:rPr>
          <w:rFonts w:ascii="宋体" w:hAnsi="宋体" w:cs="宋体"/>
          <w:sz w:val="24"/>
        </w:rPr>
      </w:pPr>
      <w:r>
        <w:rPr>
          <w:rFonts w:hint="eastAsia" w:ascii="宋体" w:hAnsi="宋体" w:cs="宋体"/>
          <w:sz w:val="24"/>
        </w:rPr>
        <w:t>投标人名称（电子签名）：</w:t>
      </w:r>
    </w:p>
    <w:p w14:paraId="4DED356E">
      <w:pPr>
        <w:spacing w:line="312" w:lineRule="auto"/>
        <w:ind w:right="1120" w:firstLine="4680" w:firstLineChars="1950"/>
        <w:rPr>
          <w:rFonts w:ascii="宋体" w:hAnsi="宋体" w:cs="宋体"/>
          <w:sz w:val="24"/>
        </w:rPr>
      </w:pPr>
      <w:r>
        <w:rPr>
          <w:rFonts w:hint="eastAsia" w:ascii="宋体" w:hAnsi="宋体" w:cs="宋体"/>
          <w:sz w:val="24"/>
        </w:rPr>
        <w:t>日 期：</w:t>
      </w:r>
    </w:p>
    <w:p w14:paraId="0C97D2DB">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28E70640">
      <w:pPr>
        <w:spacing w:line="312" w:lineRule="auto"/>
        <w:ind w:right="420"/>
        <w:rPr>
          <w:rFonts w:ascii="宋体" w:hAnsi="宋体" w:cs="宋体"/>
          <w:sz w:val="24"/>
        </w:rPr>
      </w:pPr>
      <w:r>
        <w:rPr>
          <w:rFonts w:hint="eastAsia" w:ascii="宋体" w:hAnsi="宋体" w:cs="宋体"/>
          <w:sz w:val="24"/>
        </w:rPr>
        <w:t xml:space="preserve">   注：</w:t>
      </w:r>
    </w:p>
    <w:p w14:paraId="39A0C2E9">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5E3A57">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B29CE8A">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0000000000000000000"/>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22634">
    <w:pPr>
      <w:pStyle w:val="41"/>
      <w:framePr w:wrap="around" w:vAnchor="text" w:hAnchor="margin" w:xAlign="right" w:y="1"/>
      <w:rPr>
        <w:rStyle w:val="73"/>
      </w:rPr>
    </w:pPr>
    <w:r>
      <w:fldChar w:fldCharType="begin"/>
    </w:r>
    <w:r>
      <w:rPr>
        <w:rStyle w:val="73"/>
      </w:rPr>
      <w:instrText xml:space="preserve">PAGE  </w:instrText>
    </w:r>
    <w:r>
      <w:fldChar w:fldCharType="end"/>
    </w:r>
  </w:p>
  <w:p w14:paraId="18CEAE3E">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005CB">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2D521D">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22D521D">
                    <w:pPr>
                      <w:pStyle w:val="41"/>
                    </w:pPr>
                    <w:r>
                      <w:t xml:space="preserve">第 </w:t>
                    </w:r>
                    <w:r>
                      <w:fldChar w:fldCharType="begin"/>
                    </w:r>
                    <w:r>
                      <w:instrText xml:space="preserve"> PAGE  \* MERGEFORMAT </w:instrText>
                    </w:r>
                    <w:r>
                      <w:fldChar w:fldCharType="separate"/>
                    </w:r>
                    <w:r>
                      <w:t>72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378D">
    <w:pPr>
      <w:pStyle w:val="41"/>
      <w:framePr w:wrap="around" w:vAnchor="text" w:hAnchor="margin" w:xAlign="right" w:y="1"/>
      <w:rPr>
        <w:rStyle w:val="73"/>
      </w:rPr>
    </w:pPr>
    <w:r>
      <w:fldChar w:fldCharType="begin"/>
    </w:r>
    <w:r>
      <w:rPr>
        <w:rStyle w:val="73"/>
      </w:rPr>
      <w:instrText xml:space="preserve">PAGE  </w:instrText>
    </w:r>
    <w:r>
      <w:fldChar w:fldCharType="end"/>
    </w:r>
  </w:p>
  <w:p w14:paraId="2E7AAE0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77CD6">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30C89">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28D30C89">
                    <w:pPr>
                      <w:pStyle w:val="41"/>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4D4A">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B1CBC">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AB1CBC">
                    <w:pPr>
                      <w:pStyle w:val="4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87DA2">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79F4C">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A79F4C">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CA21">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1589">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9F81589">
                    <w:pPr>
                      <w:pStyle w:val="41"/>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6788">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0875A">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6F0875A">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51F58">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22BBC">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E622BBC">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8679">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8FE51">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38FE51">
                    <w:pPr>
                      <w:pStyle w:val="41"/>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2425">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8E85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4D8E850">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48529">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B8064">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F6B8064">
                    <w:pPr>
                      <w:pStyle w:val="4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58D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C7189">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D4293">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F7E55">
    <w:pPr>
      <w:pStyle w:val="42"/>
      <w:rPr>
        <w:rFonts w:ascii="仿宋_GB2312" w:eastAsia="仿宋_GB2312"/>
        <w:b/>
        <w:i/>
        <w:u w:val="single"/>
      </w:rPr>
    </w:pPr>
    <w:r>
      <w:t></w:t>
    </w:r>
    <w:r>
      <w:rPr>
        <w:rFonts w:hint="eastAsia"/>
      </w:rPr>
      <w:t xml:space="preserve">                                                   </w:t>
    </w:r>
    <w:r>
      <w:t>政府采购公开招标文件</w:t>
    </w:r>
  </w:p>
  <w:p w14:paraId="5F8777C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5254">
    <w:pPr>
      <w:pStyle w:val="42"/>
      <w:jc w:val="right"/>
    </w:pPr>
    <w:r>
      <w:t></w:t>
    </w:r>
    <w:r>
      <w:rPr>
        <w:rFonts w:hint="eastAsia"/>
      </w:rPr>
      <w:t xml:space="preserve">                 </w:t>
    </w:r>
    <w:r>
      <w:t xml:space="preserve">                                </w:t>
    </w: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2C01">
    <w:pPr>
      <w:pStyle w:val="42"/>
      <w:jc w:val="right"/>
    </w:pPr>
    <w:r>
      <w:rPr>
        <w:rFonts w:hint="eastAsia"/>
      </w:rPr>
      <w:t xml:space="preserve">                                  </w:t>
    </w:r>
  </w:p>
  <w:p w14:paraId="21E3C61E">
    <w:pPr>
      <w:pStyle w:val="42"/>
      <w:jc w:val="right"/>
      <w:rPr>
        <w:rFonts w:ascii="仿宋_GB2312" w:eastAsia="仿宋_GB2312"/>
        <w:b/>
        <w:i/>
        <w:u w:val="single"/>
      </w:rPr>
    </w:pPr>
    <w:r>
      <w:t>政府采购公开招标文件</w:t>
    </w:r>
  </w:p>
  <w:p w14:paraId="7DA7084F">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89AD">
    <w:pPr>
      <w:pStyle w:val="42"/>
      <w:jc w:val="right"/>
    </w:pPr>
    <w:r>
      <w:rPr>
        <w:rFonts w:hint="eastAsia"/>
      </w:rPr>
      <w:t xml:space="preserve">                                                                                                        政</w:t>
    </w:r>
    <w:r>
      <w:t>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3C179">
    <w:pPr>
      <w:pStyle w:val="42"/>
      <w:jc w:val="right"/>
      <w:rPr>
        <w:rFonts w:ascii="仿宋_GB2312" w:eastAsia="仿宋_GB2312"/>
        <w:b/>
        <w:i/>
        <w:iCs/>
        <w:u w:val="single"/>
      </w:rPr>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3AB4">
    <w:pPr>
      <w:pStyle w:val="42"/>
    </w:pPr>
    <w:r>
      <w:t></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1762"/>
    <w:multiLevelType w:val="singleLevel"/>
    <w:tmpl w:val="DD481762"/>
    <w:lvl w:ilvl="0" w:tentative="0">
      <w:start w:val="3"/>
      <w:numFmt w:val="chineseCounting"/>
      <w:suff w:val="space"/>
      <w:lvlText w:val="第%1部分"/>
      <w:lvlJc w:val="left"/>
      <w:rPr>
        <w:rFonts w:hint="eastAsia"/>
      </w:rPr>
    </w:lvl>
  </w:abstractNum>
  <w:abstractNum w:abstractNumId="1">
    <w:nsid w:val="F74E7DEF"/>
    <w:multiLevelType w:val="singleLevel"/>
    <w:tmpl w:val="F74E7DEF"/>
    <w:lvl w:ilvl="0" w:tentative="0">
      <w:start w:val="2"/>
      <w:numFmt w:val="chineseCounting"/>
      <w:suff w:val="nothing"/>
      <w:lvlText w:val="%1、"/>
      <w:lvlJc w:val="left"/>
      <w:pPr>
        <w:ind w:left="420"/>
      </w:pPr>
      <w:rPr>
        <w:rFonts w:hint="eastAsia"/>
      </w:rPr>
    </w:lvl>
  </w:abstractNum>
  <w:abstractNum w:abstractNumId="2">
    <w:nsid w:val="05634464"/>
    <w:multiLevelType w:val="singleLevel"/>
    <w:tmpl w:val="05634464"/>
    <w:lvl w:ilvl="0" w:tentative="0">
      <w:start w:val="1"/>
      <w:numFmt w:val="decimal"/>
      <w:lvlText w:val="%1."/>
      <w:lvlJc w:val="left"/>
      <w:pPr>
        <w:tabs>
          <w:tab w:val="left" w:pos="312"/>
        </w:tabs>
      </w:pPr>
    </w:lvl>
  </w:abstractNum>
  <w:abstractNum w:abstractNumId="3">
    <w:nsid w:val="090F1A5B"/>
    <w:multiLevelType w:val="singleLevel"/>
    <w:tmpl w:val="090F1A5B"/>
    <w:lvl w:ilvl="0" w:tentative="0">
      <w:start w:val="1"/>
      <w:numFmt w:val="decimal"/>
      <w:pStyle w:val="972"/>
      <w:suff w:val="nothing"/>
      <w:lvlText w:val="%1."/>
      <w:lvlJc w:val="left"/>
      <w:pPr>
        <w:tabs>
          <w:tab w:val="left" w:pos="420"/>
        </w:tabs>
        <w:ind w:left="425" w:hanging="425"/>
      </w:pPr>
      <w:rPr>
        <w:rFonts w:hint="default"/>
      </w:rPr>
    </w:lvl>
  </w:abstractNum>
  <w:abstractNum w:abstractNumId="4">
    <w:nsid w:val="4C609E47"/>
    <w:multiLevelType w:val="singleLevel"/>
    <w:tmpl w:val="4C609E47"/>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8758C"/>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47E3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1FF9"/>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C2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5E37"/>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20D"/>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A4F"/>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775"/>
    <w:rsid w:val="009A4C2C"/>
    <w:rsid w:val="009A4E60"/>
    <w:rsid w:val="009A4E69"/>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B34"/>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C9C"/>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53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23F"/>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183"/>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654"/>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7F9"/>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C1253"/>
    <w:rsid w:val="01DF6BF8"/>
    <w:rsid w:val="01EC2C57"/>
    <w:rsid w:val="025F0711"/>
    <w:rsid w:val="026B2E25"/>
    <w:rsid w:val="02824D4D"/>
    <w:rsid w:val="02AB78A7"/>
    <w:rsid w:val="02AC677F"/>
    <w:rsid w:val="02DC4B10"/>
    <w:rsid w:val="02DD76CE"/>
    <w:rsid w:val="02F36323"/>
    <w:rsid w:val="02F5619C"/>
    <w:rsid w:val="02FD2E8D"/>
    <w:rsid w:val="0326446A"/>
    <w:rsid w:val="032D5555"/>
    <w:rsid w:val="03300242"/>
    <w:rsid w:val="036634D2"/>
    <w:rsid w:val="03DD35E4"/>
    <w:rsid w:val="04076900"/>
    <w:rsid w:val="04085328"/>
    <w:rsid w:val="041A5A3B"/>
    <w:rsid w:val="042311BA"/>
    <w:rsid w:val="042B157A"/>
    <w:rsid w:val="046D67FB"/>
    <w:rsid w:val="047A6B49"/>
    <w:rsid w:val="048F763B"/>
    <w:rsid w:val="049F330E"/>
    <w:rsid w:val="04AA775C"/>
    <w:rsid w:val="04AF1889"/>
    <w:rsid w:val="04F66F48"/>
    <w:rsid w:val="05251E14"/>
    <w:rsid w:val="05551D4C"/>
    <w:rsid w:val="05A16594"/>
    <w:rsid w:val="05A7762D"/>
    <w:rsid w:val="05DB04A3"/>
    <w:rsid w:val="060E5941"/>
    <w:rsid w:val="06110FAF"/>
    <w:rsid w:val="061614DB"/>
    <w:rsid w:val="06493CA7"/>
    <w:rsid w:val="065A6178"/>
    <w:rsid w:val="066F1CF3"/>
    <w:rsid w:val="06930BB8"/>
    <w:rsid w:val="06DF3FC3"/>
    <w:rsid w:val="0721282E"/>
    <w:rsid w:val="07230354"/>
    <w:rsid w:val="07245D42"/>
    <w:rsid w:val="07264C62"/>
    <w:rsid w:val="0779354C"/>
    <w:rsid w:val="078400DD"/>
    <w:rsid w:val="07C57079"/>
    <w:rsid w:val="07DE0C67"/>
    <w:rsid w:val="08061376"/>
    <w:rsid w:val="0823202C"/>
    <w:rsid w:val="08452D77"/>
    <w:rsid w:val="08604CC0"/>
    <w:rsid w:val="086401F8"/>
    <w:rsid w:val="08751CAA"/>
    <w:rsid w:val="087E4C40"/>
    <w:rsid w:val="08A871D0"/>
    <w:rsid w:val="08C95DA1"/>
    <w:rsid w:val="08D66AD6"/>
    <w:rsid w:val="08DA33A3"/>
    <w:rsid w:val="08E80F13"/>
    <w:rsid w:val="08EB6C4F"/>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AE61D4E"/>
    <w:rsid w:val="0B30404E"/>
    <w:rsid w:val="0B3D575C"/>
    <w:rsid w:val="0B4C6C14"/>
    <w:rsid w:val="0B510CC2"/>
    <w:rsid w:val="0B547599"/>
    <w:rsid w:val="0B631A88"/>
    <w:rsid w:val="0B683D45"/>
    <w:rsid w:val="0B776D3D"/>
    <w:rsid w:val="0B7F3F11"/>
    <w:rsid w:val="0B884417"/>
    <w:rsid w:val="0BF6188C"/>
    <w:rsid w:val="0BF73C91"/>
    <w:rsid w:val="0C170175"/>
    <w:rsid w:val="0C571A41"/>
    <w:rsid w:val="0C5C1171"/>
    <w:rsid w:val="0C5E1CBC"/>
    <w:rsid w:val="0C615B50"/>
    <w:rsid w:val="0C8445DA"/>
    <w:rsid w:val="0C87121B"/>
    <w:rsid w:val="0C8C37F0"/>
    <w:rsid w:val="0C8D71F6"/>
    <w:rsid w:val="0CA84E57"/>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293C58"/>
    <w:rsid w:val="0E5604B2"/>
    <w:rsid w:val="0E602003"/>
    <w:rsid w:val="0E6D5D79"/>
    <w:rsid w:val="0E70439A"/>
    <w:rsid w:val="0E9D0089"/>
    <w:rsid w:val="0EB803EE"/>
    <w:rsid w:val="0EEC402C"/>
    <w:rsid w:val="0EF94D4B"/>
    <w:rsid w:val="0F182497"/>
    <w:rsid w:val="0F403A6D"/>
    <w:rsid w:val="0F4958DC"/>
    <w:rsid w:val="0F515DF7"/>
    <w:rsid w:val="0F596BA8"/>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716160"/>
    <w:rsid w:val="118963A1"/>
    <w:rsid w:val="11A67763"/>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270D58"/>
    <w:rsid w:val="143765EF"/>
    <w:rsid w:val="143E57C7"/>
    <w:rsid w:val="146D271E"/>
    <w:rsid w:val="14982588"/>
    <w:rsid w:val="149A5AD9"/>
    <w:rsid w:val="14A7619D"/>
    <w:rsid w:val="14B22D17"/>
    <w:rsid w:val="14DB7894"/>
    <w:rsid w:val="150536C3"/>
    <w:rsid w:val="150C1963"/>
    <w:rsid w:val="151447A0"/>
    <w:rsid w:val="1527235D"/>
    <w:rsid w:val="152F54BC"/>
    <w:rsid w:val="154A6454"/>
    <w:rsid w:val="15762120"/>
    <w:rsid w:val="15F416F5"/>
    <w:rsid w:val="15F61834"/>
    <w:rsid w:val="16A8729C"/>
    <w:rsid w:val="16B33777"/>
    <w:rsid w:val="16BC70A7"/>
    <w:rsid w:val="16C6339E"/>
    <w:rsid w:val="17260F0E"/>
    <w:rsid w:val="172E3A9E"/>
    <w:rsid w:val="172F2D79"/>
    <w:rsid w:val="17557BEF"/>
    <w:rsid w:val="17914E66"/>
    <w:rsid w:val="17B62FCE"/>
    <w:rsid w:val="17D349C1"/>
    <w:rsid w:val="17DD2B78"/>
    <w:rsid w:val="1830729E"/>
    <w:rsid w:val="1864152A"/>
    <w:rsid w:val="1870062C"/>
    <w:rsid w:val="18817102"/>
    <w:rsid w:val="18830A15"/>
    <w:rsid w:val="18852B28"/>
    <w:rsid w:val="188B5321"/>
    <w:rsid w:val="191001F6"/>
    <w:rsid w:val="194667FA"/>
    <w:rsid w:val="19932372"/>
    <w:rsid w:val="19A20DD5"/>
    <w:rsid w:val="19AE03F1"/>
    <w:rsid w:val="19EC0A79"/>
    <w:rsid w:val="1A071A03"/>
    <w:rsid w:val="1A1F16AE"/>
    <w:rsid w:val="1A3B5C77"/>
    <w:rsid w:val="1A8342DE"/>
    <w:rsid w:val="1A937E3D"/>
    <w:rsid w:val="1A984BAD"/>
    <w:rsid w:val="1AB8220E"/>
    <w:rsid w:val="1AE4166C"/>
    <w:rsid w:val="1AF06CFB"/>
    <w:rsid w:val="1AF11B8D"/>
    <w:rsid w:val="1B11359C"/>
    <w:rsid w:val="1B2A271F"/>
    <w:rsid w:val="1B446693"/>
    <w:rsid w:val="1B530544"/>
    <w:rsid w:val="1B544CE3"/>
    <w:rsid w:val="1B713184"/>
    <w:rsid w:val="1B844BEA"/>
    <w:rsid w:val="1BA209CF"/>
    <w:rsid w:val="1BB4777D"/>
    <w:rsid w:val="1BD75AB8"/>
    <w:rsid w:val="1C0459C2"/>
    <w:rsid w:val="1C1B3B4A"/>
    <w:rsid w:val="1C88086E"/>
    <w:rsid w:val="1C8F393E"/>
    <w:rsid w:val="1CFC1C64"/>
    <w:rsid w:val="1D266CE1"/>
    <w:rsid w:val="1D3963AF"/>
    <w:rsid w:val="1D4806BC"/>
    <w:rsid w:val="1D6A673C"/>
    <w:rsid w:val="1D9247AE"/>
    <w:rsid w:val="1DB567EC"/>
    <w:rsid w:val="1DC702CA"/>
    <w:rsid w:val="1DD51824"/>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75601E"/>
    <w:rsid w:val="1FC1466E"/>
    <w:rsid w:val="1FD52DD5"/>
    <w:rsid w:val="1FE868A9"/>
    <w:rsid w:val="1FF305BA"/>
    <w:rsid w:val="20034907"/>
    <w:rsid w:val="20173E4B"/>
    <w:rsid w:val="201E1C07"/>
    <w:rsid w:val="20344555"/>
    <w:rsid w:val="204E48BC"/>
    <w:rsid w:val="20745325"/>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982281"/>
    <w:rsid w:val="22BE6801"/>
    <w:rsid w:val="233500BF"/>
    <w:rsid w:val="23377FF7"/>
    <w:rsid w:val="236B425F"/>
    <w:rsid w:val="23836192"/>
    <w:rsid w:val="23901F29"/>
    <w:rsid w:val="239C0061"/>
    <w:rsid w:val="23B908A4"/>
    <w:rsid w:val="23E95BEF"/>
    <w:rsid w:val="23FD0064"/>
    <w:rsid w:val="244F60E9"/>
    <w:rsid w:val="245375B0"/>
    <w:rsid w:val="24594F5D"/>
    <w:rsid w:val="24642C0A"/>
    <w:rsid w:val="24B22173"/>
    <w:rsid w:val="24B95AD9"/>
    <w:rsid w:val="24BE24DA"/>
    <w:rsid w:val="24BF200A"/>
    <w:rsid w:val="24CF5825"/>
    <w:rsid w:val="24D663E6"/>
    <w:rsid w:val="24D77F2B"/>
    <w:rsid w:val="258B00E2"/>
    <w:rsid w:val="258D458C"/>
    <w:rsid w:val="259524B0"/>
    <w:rsid w:val="25A917A6"/>
    <w:rsid w:val="25BE27CC"/>
    <w:rsid w:val="25F74A5C"/>
    <w:rsid w:val="2628662C"/>
    <w:rsid w:val="262D45DE"/>
    <w:rsid w:val="2650413E"/>
    <w:rsid w:val="267741D5"/>
    <w:rsid w:val="26871DC8"/>
    <w:rsid w:val="26A53EF9"/>
    <w:rsid w:val="26A94201"/>
    <w:rsid w:val="26AC274F"/>
    <w:rsid w:val="26D11357"/>
    <w:rsid w:val="27044A29"/>
    <w:rsid w:val="271D34C8"/>
    <w:rsid w:val="276142BF"/>
    <w:rsid w:val="27783712"/>
    <w:rsid w:val="27907362"/>
    <w:rsid w:val="28333E1D"/>
    <w:rsid w:val="28454BD6"/>
    <w:rsid w:val="28455253"/>
    <w:rsid w:val="28551971"/>
    <w:rsid w:val="285B1C53"/>
    <w:rsid w:val="289F7086"/>
    <w:rsid w:val="28B94DA8"/>
    <w:rsid w:val="28C32028"/>
    <w:rsid w:val="28CC490F"/>
    <w:rsid w:val="28DE40AA"/>
    <w:rsid w:val="292623E5"/>
    <w:rsid w:val="29332221"/>
    <w:rsid w:val="29345E77"/>
    <w:rsid w:val="294C65AD"/>
    <w:rsid w:val="29806583"/>
    <w:rsid w:val="298B3C4C"/>
    <w:rsid w:val="29AB7821"/>
    <w:rsid w:val="29F26D24"/>
    <w:rsid w:val="29FD49A4"/>
    <w:rsid w:val="2A100EAB"/>
    <w:rsid w:val="2A15033F"/>
    <w:rsid w:val="2A1662C1"/>
    <w:rsid w:val="2A181417"/>
    <w:rsid w:val="2A1C7367"/>
    <w:rsid w:val="2A2815FA"/>
    <w:rsid w:val="2A322633"/>
    <w:rsid w:val="2A6D6092"/>
    <w:rsid w:val="2A7D76B4"/>
    <w:rsid w:val="2AD90BA6"/>
    <w:rsid w:val="2AEF599B"/>
    <w:rsid w:val="2B021058"/>
    <w:rsid w:val="2B437463"/>
    <w:rsid w:val="2B7807EE"/>
    <w:rsid w:val="2BA50BF7"/>
    <w:rsid w:val="2BBF00EC"/>
    <w:rsid w:val="2BC37CFD"/>
    <w:rsid w:val="2BD5237F"/>
    <w:rsid w:val="2BDA1A1F"/>
    <w:rsid w:val="2BE536CE"/>
    <w:rsid w:val="2BE758D9"/>
    <w:rsid w:val="2C09049E"/>
    <w:rsid w:val="2C0A653C"/>
    <w:rsid w:val="2C191F85"/>
    <w:rsid w:val="2CB72807"/>
    <w:rsid w:val="2CE82D6F"/>
    <w:rsid w:val="2D343236"/>
    <w:rsid w:val="2D5C23F2"/>
    <w:rsid w:val="2DBB4593"/>
    <w:rsid w:val="2DD15014"/>
    <w:rsid w:val="2DF72DE4"/>
    <w:rsid w:val="2E0220AF"/>
    <w:rsid w:val="2E4B082A"/>
    <w:rsid w:val="2E5D4E86"/>
    <w:rsid w:val="2E5D790B"/>
    <w:rsid w:val="2E855604"/>
    <w:rsid w:val="2E8822E7"/>
    <w:rsid w:val="2E9A3C18"/>
    <w:rsid w:val="2EBB0FEE"/>
    <w:rsid w:val="2EC63002"/>
    <w:rsid w:val="2EE20F19"/>
    <w:rsid w:val="2F0A6B38"/>
    <w:rsid w:val="2F946CCB"/>
    <w:rsid w:val="2FD25781"/>
    <w:rsid w:val="2FDC745C"/>
    <w:rsid w:val="2FE54AD9"/>
    <w:rsid w:val="2FED0547"/>
    <w:rsid w:val="2FFD7934"/>
    <w:rsid w:val="30252E9E"/>
    <w:rsid w:val="30733ACD"/>
    <w:rsid w:val="308C3862"/>
    <w:rsid w:val="309379D8"/>
    <w:rsid w:val="30A270F7"/>
    <w:rsid w:val="30A752A2"/>
    <w:rsid w:val="30DF1478"/>
    <w:rsid w:val="30EC586F"/>
    <w:rsid w:val="314550B7"/>
    <w:rsid w:val="317629D6"/>
    <w:rsid w:val="319C6071"/>
    <w:rsid w:val="31AB2B70"/>
    <w:rsid w:val="31AC537E"/>
    <w:rsid w:val="31D24182"/>
    <w:rsid w:val="31E3679B"/>
    <w:rsid w:val="31E732FD"/>
    <w:rsid w:val="32517576"/>
    <w:rsid w:val="32BE5C2C"/>
    <w:rsid w:val="32D878D0"/>
    <w:rsid w:val="32E91EB1"/>
    <w:rsid w:val="32FB6478"/>
    <w:rsid w:val="332206BD"/>
    <w:rsid w:val="33263B3F"/>
    <w:rsid w:val="336963EB"/>
    <w:rsid w:val="33816EEB"/>
    <w:rsid w:val="33C16FE7"/>
    <w:rsid w:val="33E347C2"/>
    <w:rsid w:val="33EB55CD"/>
    <w:rsid w:val="33EC4C02"/>
    <w:rsid w:val="340D2360"/>
    <w:rsid w:val="3410665D"/>
    <w:rsid w:val="34211214"/>
    <w:rsid w:val="342E63AB"/>
    <w:rsid w:val="34950E68"/>
    <w:rsid w:val="34986E94"/>
    <w:rsid w:val="34AF62C9"/>
    <w:rsid w:val="34CA155F"/>
    <w:rsid w:val="34CB4388"/>
    <w:rsid w:val="34F767F8"/>
    <w:rsid w:val="34FA6E12"/>
    <w:rsid w:val="354D7158"/>
    <w:rsid w:val="35860105"/>
    <w:rsid w:val="358D5588"/>
    <w:rsid w:val="35A02E2C"/>
    <w:rsid w:val="35D46B3A"/>
    <w:rsid w:val="35D92624"/>
    <w:rsid w:val="362F2B67"/>
    <w:rsid w:val="363A3B40"/>
    <w:rsid w:val="365302AE"/>
    <w:rsid w:val="36607A0A"/>
    <w:rsid w:val="366E227C"/>
    <w:rsid w:val="366F2E0D"/>
    <w:rsid w:val="367B6A5C"/>
    <w:rsid w:val="36A74ADA"/>
    <w:rsid w:val="36AC716F"/>
    <w:rsid w:val="36AD60D5"/>
    <w:rsid w:val="36B224F9"/>
    <w:rsid w:val="36E83F1F"/>
    <w:rsid w:val="36EC0CC9"/>
    <w:rsid w:val="373F410B"/>
    <w:rsid w:val="375112D2"/>
    <w:rsid w:val="37CF0CE0"/>
    <w:rsid w:val="37EE7094"/>
    <w:rsid w:val="382316B2"/>
    <w:rsid w:val="38296C89"/>
    <w:rsid w:val="383002EB"/>
    <w:rsid w:val="38586797"/>
    <w:rsid w:val="38AC78FA"/>
    <w:rsid w:val="38BC0149"/>
    <w:rsid w:val="38D87D1C"/>
    <w:rsid w:val="38EE74F9"/>
    <w:rsid w:val="39127E98"/>
    <w:rsid w:val="39636459"/>
    <w:rsid w:val="396B7F6C"/>
    <w:rsid w:val="399D36E6"/>
    <w:rsid w:val="39B417A9"/>
    <w:rsid w:val="39FC5695"/>
    <w:rsid w:val="3A006D8E"/>
    <w:rsid w:val="3A053765"/>
    <w:rsid w:val="3A0906C7"/>
    <w:rsid w:val="3A3651E5"/>
    <w:rsid w:val="3A414072"/>
    <w:rsid w:val="3A744481"/>
    <w:rsid w:val="3A8C7BEF"/>
    <w:rsid w:val="3A906246"/>
    <w:rsid w:val="3AA67A19"/>
    <w:rsid w:val="3B2349B7"/>
    <w:rsid w:val="3B414DE8"/>
    <w:rsid w:val="3B616CFF"/>
    <w:rsid w:val="3B6259F6"/>
    <w:rsid w:val="3B854A7A"/>
    <w:rsid w:val="3B976654"/>
    <w:rsid w:val="3BC01EFC"/>
    <w:rsid w:val="3BCA786A"/>
    <w:rsid w:val="3BD31E2F"/>
    <w:rsid w:val="3BF15831"/>
    <w:rsid w:val="3C105946"/>
    <w:rsid w:val="3C3D72AA"/>
    <w:rsid w:val="3C471448"/>
    <w:rsid w:val="3C5D7A5C"/>
    <w:rsid w:val="3C5F759A"/>
    <w:rsid w:val="3C6C525A"/>
    <w:rsid w:val="3CA1195A"/>
    <w:rsid w:val="3CCE23CB"/>
    <w:rsid w:val="3CD17D17"/>
    <w:rsid w:val="3CDF3C00"/>
    <w:rsid w:val="3D3C7F39"/>
    <w:rsid w:val="3D440F09"/>
    <w:rsid w:val="3D4504A0"/>
    <w:rsid w:val="3D4577DE"/>
    <w:rsid w:val="3D8734BB"/>
    <w:rsid w:val="3D9A11D4"/>
    <w:rsid w:val="3DA02CE4"/>
    <w:rsid w:val="3DA16D89"/>
    <w:rsid w:val="3DA364BE"/>
    <w:rsid w:val="3DA7225D"/>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4019356B"/>
    <w:rsid w:val="40592157"/>
    <w:rsid w:val="406E1CAE"/>
    <w:rsid w:val="40A0133A"/>
    <w:rsid w:val="40C31A53"/>
    <w:rsid w:val="40FF545D"/>
    <w:rsid w:val="410067C8"/>
    <w:rsid w:val="41265D6F"/>
    <w:rsid w:val="41727207"/>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5864F9"/>
    <w:rsid w:val="449101DD"/>
    <w:rsid w:val="44913E48"/>
    <w:rsid w:val="44DE1391"/>
    <w:rsid w:val="44EB409B"/>
    <w:rsid w:val="451B225C"/>
    <w:rsid w:val="452410C9"/>
    <w:rsid w:val="45317DFB"/>
    <w:rsid w:val="453C3A68"/>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354F5E"/>
    <w:rsid w:val="477B778F"/>
    <w:rsid w:val="478203EC"/>
    <w:rsid w:val="47B025FA"/>
    <w:rsid w:val="47FF0B70"/>
    <w:rsid w:val="4809698F"/>
    <w:rsid w:val="4811697D"/>
    <w:rsid w:val="484119AC"/>
    <w:rsid w:val="487A3E25"/>
    <w:rsid w:val="488B5503"/>
    <w:rsid w:val="48937E21"/>
    <w:rsid w:val="489A0361"/>
    <w:rsid w:val="48B94FF3"/>
    <w:rsid w:val="48E37AAB"/>
    <w:rsid w:val="48F30D2B"/>
    <w:rsid w:val="48FD4B4C"/>
    <w:rsid w:val="490A68E0"/>
    <w:rsid w:val="491055FE"/>
    <w:rsid w:val="49382AE4"/>
    <w:rsid w:val="49522853"/>
    <w:rsid w:val="495F5B3E"/>
    <w:rsid w:val="496F77D7"/>
    <w:rsid w:val="497654FD"/>
    <w:rsid w:val="49931DD2"/>
    <w:rsid w:val="49B64211"/>
    <w:rsid w:val="49E56AF9"/>
    <w:rsid w:val="49F6167F"/>
    <w:rsid w:val="4A0347A8"/>
    <w:rsid w:val="4A064FA0"/>
    <w:rsid w:val="4A16615C"/>
    <w:rsid w:val="4A4424D7"/>
    <w:rsid w:val="4A9D1E8F"/>
    <w:rsid w:val="4AB82D0F"/>
    <w:rsid w:val="4AEB7664"/>
    <w:rsid w:val="4AFD7C19"/>
    <w:rsid w:val="4B0567D1"/>
    <w:rsid w:val="4B236AAE"/>
    <w:rsid w:val="4B707271"/>
    <w:rsid w:val="4B846B63"/>
    <w:rsid w:val="4B9739F7"/>
    <w:rsid w:val="4BEE2503"/>
    <w:rsid w:val="4C245A30"/>
    <w:rsid w:val="4CA10244"/>
    <w:rsid w:val="4CB6685F"/>
    <w:rsid w:val="4CC367FE"/>
    <w:rsid w:val="4D077F3C"/>
    <w:rsid w:val="4D123355"/>
    <w:rsid w:val="4D2A3B31"/>
    <w:rsid w:val="4D312C52"/>
    <w:rsid w:val="4D4E12EF"/>
    <w:rsid w:val="4D5B64FE"/>
    <w:rsid w:val="4D7A4C4B"/>
    <w:rsid w:val="4D905305"/>
    <w:rsid w:val="4D964A72"/>
    <w:rsid w:val="4D9C1254"/>
    <w:rsid w:val="4DFF1E22"/>
    <w:rsid w:val="4E262CD9"/>
    <w:rsid w:val="4E623A63"/>
    <w:rsid w:val="4E793892"/>
    <w:rsid w:val="4E800872"/>
    <w:rsid w:val="4E867065"/>
    <w:rsid w:val="4EC569ED"/>
    <w:rsid w:val="4ED50EA1"/>
    <w:rsid w:val="4EEC050C"/>
    <w:rsid w:val="4F104EC3"/>
    <w:rsid w:val="4F47354A"/>
    <w:rsid w:val="4F486639"/>
    <w:rsid w:val="4F911C54"/>
    <w:rsid w:val="4FB07878"/>
    <w:rsid w:val="4FCB6A91"/>
    <w:rsid w:val="4FDA2B47"/>
    <w:rsid w:val="4FE625E0"/>
    <w:rsid w:val="5021480F"/>
    <w:rsid w:val="50962ECB"/>
    <w:rsid w:val="50A42E38"/>
    <w:rsid w:val="50A4577F"/>
    <w:rsid w:val="50B17876"/>
    <w:rsid w:val="50B73D1F"/>
    <w:rsid w:val="50BD5BC9"/>
    <w:rsid w:val="50C11EEE"/>
    <w:rsid w:val="50CB7C2C"/>
    <w:rsid w:val="50E97CFC"/>
    <w:rsid w:val="50FA4028"/>
    <w:rsid w:val="51025EB1"/>
    <w:rsid w:val="510D65B7"/>
    <w:rsid w:val="511157AB"/>
    <w:rsid w:val="5142540C"/>
    <w:rsid w:val="515052C4"/>
    <w:rsid w:val="518832C8"/>
    <w:rsid w:val="519D3C50"/>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4345C2"/>
    <w:rsid w:val="53544462"/>
    <w:rsid w:val="536D2676"/>
    <w:rsid w:val="5397158E"/>
    <w:rsid w:val="53CC1C78"/>
    <w:rsid w:val="54013861"/>
    <w:rsid w:val="54487265"/>
    <w:rsid w:val="544D6070"/>
    <w:rsid w:val="54605E1E"/>
    <w:rsid w:val="54677F89"/>
    <w:rsid w:val="54B3506A"/>
    <w:rsid w:val="54CA0D16"/>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F85AD5"/>
    <w:rsid w:val="55FD70E7"/>
    <w:rsid w:val="566B6D1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A10C5"/>
    <w:rsid w:val="58AE4F0C"/>
    <w:rsid w:val="58B85899"/>
    <w:rsid w:val="58BB257A"/>
    <w:rsid w:val="58E363A9"/>
    <w:rsid w:val="595E1678"/>
    <w:rsid w:val="596D5BD4"/>
    <w:rsid w:val="5978041C"/>
    <w:rsid w:val="597E3DD8"/>
    <w:rsid w:val="59E22D24"/>
    <w:rsid w:val="59F50429"/>
    <w:rsid w:val="59F80043"/>
    <w:rsid w:val="5A09252F"/>
    <w:rsid w:val="5A0B2778"/>
    <w:rsid w:val="5A2A7C7B"/>
    <w:rsid w:val="5A3E2560"/>
    <w:rsid w:val="5A5D3B6E"/>
    <w:rsid w:val="5A637A76"/>
    <w:rsid w:val="5A6D33BA"/>
    <w:rsid w:val="5A792B1F"/>
    <w:rsid w:val="5A874767"/>
    <w:rsid w:val="5AA85BE2"/>
    <w:rsid w:val="5AAD6F28"/>
    <w:rsid w:val="5AD63A24"/>
    <w:rsid w:val="5AD91278"/>
    <w:rsid w:val="5ADA0928"/>
    <w:rsid w:val="5AFF16B3"/>
    <w:rsid w:val="5B2829B8"/>
    <w:rsid w:val="5B2B529F"/>
    <w:rsid w:val="5B2E1A1D"/>
    <w:rsid w:val="5B50392E"/>
    <w:rsid w:val="5B843A1C"/>
    <w:rsid w:val="5B873E3F"/>
    <w:rsid w:val="5B9B762E"/>
    <w:rsid w:val="5BEF1907"/>
    <w:rsid w:val="5C02690E"/>
    <w:rsid w:val="5C196DA7"/>
    <w:rsid w:val="5C2A048C"/>
    <w:rsid w:val="5C340470"/>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D12E1"/>
    <w:rsid w:val="5F8D0B82"/>
    <w:rsid w:val="5FCC5339"/>
    <w:rsid w:val="5FE34A5B"/>
    <w:rsid w:val="5FFE1E36"/>
    <w:rsid w:val="60232584"/>
    <w:rsid w:val="607330CE"/>
    <w:rsid w:val="607A19E4"/>
    <w:rsid w:val="60825176"/>
    <w:rsid w:val="609F2AC4"/>
    <w:rsid w:val="60FA2EE8"/>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F40B65"/>
    <w:rsid w:val="62FC2CFE"/>
    <w:rsid w:val="63024505"/>
    <w:rsid w:val="63471762"/>
    <w:rsid w:val="635600A5"/>
    <w:rsid w:val="635B1DB5"/>
    <w:rsid w:val="63711FED"/>
    <w:rsid w:val="63880DDC"/>
    <w:rsid w:val="638D750D"/>
    <w:rsid w:val="63910123"/>
    <w:rsid w:val="63AC6CC0"/>
    <w:rsid w:val="64055776"/>
    <w:rsid w:val="64240056"/>
    <w:rsid w:val="643B41CE"/>
    <w:rsid w:val="643E143A"/>
    <w:rsid w:val="64491666"/>
    <w:rsid w:val="648B6EEF"/>
    <w:rsid w:val="64C158BF"/>
    <w:rsid w:val="64CE2EAA"/>
    <w:rsid w:val="64F34037"/>
    <w:rsid w:val="64F74C64"/>
    <w:rsid w:val="653C3090"/>
    <w:rsid w:val="65854376"/>
    <w:rsid w:val="658767BE"/>
    <w:rsid w:val="65892531"/>
    <w:rsid w:val="65E16D82"/>
    <w:rsid w:val="66195831"/>
    <w:rsid w:val="662E75B1"/>
    <w:rsid w:val="66342C2E"/>
    <w:rsid w:val="663E784C"/>
    <w:rsid w:val="668B6A45"/>
    <w:rsid w:val="66C13CC1"/>
    <w:rsid w:val="67011F07"/>
    <w:rsid w:val="672F3F24"/>
    <w:rsid w:val="673E055F"/>
    <w:rsid w:val="67551CE3"/>
    <w:rsid w:val="677E1BB2"/>
    <w:rsid w:val="67A22552"/>
    <w:rsid w:val="67B22DCC"/>
    <w:rsid w:val="67BE71AA"/>
    <w:rsid w:val="67CC6DC1"/>
    <w:rsid w:val="67D90273"/>
    <w:rsid w:val="67DE5875"/>
    <w:rsid w:val="67E55852"/>
    <w:rsid w:val="67EB1AB4"/>
    <w:rsid w:val="67FA1285"/>
    <w:rsid w:val="67FC1489"/>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E15D3"/>
    <w:rsid w:val="69627681"/>
    <w:rsid w:val="6977531D"/>
    <w:rsid w:val="69CC2BFF"/>
    <w:rsid w:val="69FD55B8"/>
    <w:rsid w:val="6A04125B"/>
    <w:rsid w:val="6A0B1C62"/>
    <w:rsid w:val="6A0C16F7"/>
    <w:rsid w:val="6A2406C8"/>
    <w:rsid w:val="6ADE0BD1"/>
    <w:rsid w:val="6AE96859"/>
    <w:rsid w:val="6B147746"/>
    <w:rsid w:val="6B24787C"/>
    <w:rsid w:val="6B4F325E"/>
    <w:rsid w:val="6B573233"/>
    <w:rsid w:val="6B5B6274"/>
    <w:rsid w:val="6B935D53"/>
    <w:rsid w:val="6BA7D32C"/>
    <w:rsid w:val="6BD5011D"/>
    <w:rsid w:val="6C196F71"/>
    <w:rsid w:val="6C226FCB"/>
    <w:rsid w:val="6C31226F"/>
    <w:rsid w:val="6C552F0B"/>
    <w:rsid w:val="6C847CB9"/>
    <w:rsid w:val="6C8C67B7"/>
    <w:rsid w:val="6C9B0980"/>
    <w:rsid w:val="6C9D744C"/>
    <w:rsid w:val="6CDA488F"/>
    <w:rsid w:val="6D167928"/>
    <w:rsid w:val="6D26299B"/>
    <w:rsid w:val="6D4772EC"/>
    <w:rsid w:val="6D564475"/>
    <w:rsid w:val="6D9078AF"/>
    <w:rsid w:val="6DAA3FEF"/>
    <w:rsid w:val="6DC0172B"/>
    <w:rsid w:val="6DCB690C"/>
    <w:rsid w:val="6DD41A5B"/>
    <w:rsid w:val="6DF43C2E"/>
    <w:rsid w:val="6DF51CA3"/>
    <w:rsid w:val="6E8335BD"/>
    <w:rsid w:val="6E8E12EF"/>
    <w:rsid w:val="6E972936"/>
    <w:rsid w:val="6ED24CBD"/>
    <w:rsid w:val="6ED446C5"/>
    <w:rsid w:val="6F1928EC"/>
    <w:rsid w:val="6F2A7D94"/>
    <w:rsid w:val="6F370FC4"/>
    <w:rsid w:val="6F700D66"/>
    <w:rsid w:val="6F815400"/>
    <w:rsid w:val="6F8331F1"/>
    <w:rsid w:val="6FAE1A09"/>
    <w:rsid w:val="6FD75BF8"/>
    <w:rsid w:val="707723D0"/>
    <w:rsid w:val="70F5661B"/>
    <w:rsid w:val="71360107"/>
    <w:rsid w:val="713B688E"/>
    <w:rsid w:val="71D43752"/>
    <w:rsid w:val="71EA0570"/>
    <w:rsid w:val="71F1796A"/>
    <w:rsid w:val="72154626"/>
    <w:rsid w:val="72262B5D"/>
    <w:rsid w:val="72283FF7"/>
    <w:rsid w:val="722E7212"/>
    <w:rsid w:val="723A0474"/>
    <w:rsid w:val="725923E4"/>
    <w:rsid w:val="726C71D7"/>
    <w:rsid w:val="72864BF7"/>
    <w:rsid w:val="729023FC"/>
    <w:rsid w:val="730147FD"/>
    <w:rsid w:val="730833A3"/>
    <w:rsid w:val="73816CB2"/>
    <w:rsid w:val="73C0646E"/>
    <w:rsid w:val="74212243"/>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EC08E6"/>
    <w:rsid w:val="76FA0980"/>
    <w:rsid w:val="76FD013A"/>
    <w:rsid w:val="77052AA4"/>
    <w:rsid w:val="77136511"/>
    <w:rsid w:val="77340A39"/>
    <w:rsid w:val="77351FD0"/>
    <w:rsid w:val="77472422"/>
    <w:rsid w:val="777D6368"/>
    <w:rsid w:val="777F31F2"/>
    <w:rsid w:val="77B8754F"/>
    <w:rsid w:val="77D1700D"/>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AB1D04"/>
    <w:rsid w:val="7ABA4368"/>
    <w:rsid w:val="7AC56286"/>
    <w:rsid w:val="7AD05746"/>
    <w:rsid w:val="7B257FFD"/>
    <w:rsid w:val="7B273D20"/>
    <w:rsid w:val="7B343476"/>
    <w:rsid w:val="7B5A2978"/>
    <w:rsid w:val="7B5A7E4C"/>
    <w:rsid w:val="7B613689"/>
    <w:rsid w:val="7B667AF9"/>
    <w:rsid w:val="7B7468F8"/>
    <w:rsid w:val="7BEE0103"/>
    <w:rsid w:val="7C0A0FE4"/>
    <w:rsid w:val="7C254906"/>
    <w:rsid w:val="7C384F6E"/>
    <w:rsid w:val="7C570EF7"/>
    <w:rsid w:val="7C590818"/>
    <w:rsid w:val="7C6D071B"/>
    <w:rsid w:val="7C7C10F6"/>
    <w:rsid w:val="7C853BEA"/>
    <w:rsid w:val="7C881368"/>
    <w:rsid w:val="7CE27788"/>
    <w:rsid w:val="7CF1729D"/>
    <w:rsid w:val="7D0C32F1"/>
    <w:rsid w:val="7D0F408D"/>
    <w:rsid w:val="7D284642"/>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8520A"/>
    <w:rsid w:val="7FBA3523"/>
    <w:rsid w:val="7FE42AA2"/>
    <w:rsid w:val="99FFF95A"/>
    <w:rsid w:val="BB7FA927"/>
    <w:rsid w:val="BCED548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935"/>
    <w:autoRedefine/>
    <w:qFormat/>
    <w:uiPriority w:val="0"/>
    <w:rPr>
      <w:lang w:val="zh-CN"/>
    </w:rPr>
  </w:style>
  <w:style w:type="paragraph" w:styleId="4">
    <w:name w:val="Body Text First Indent"/>
    <w:basedOn w:val="5"/>
    <w:next w:val="1"/>
    <w:link w:val="327"/>
    <w:autoRedefine/>
    <w:qFormat/>
    <w:uiPriority w:val="0"/>
    <w:pPr>
      <w:ind w:firstLine="420"/>
    </w:pPr>
    <w:rPr>
      <w:rFonts w:hAnsi="Calibri" w:cs="Times New Roman"/>
      <w:snapToGrid/>
      <w:szCs w:val="20"/>
    </w:rPr>
  </w:style>
  <w:style w:type="paragraph" w:styleId="5">
    <w:name w:val="Body Text"/>
    <w:basedOn w:val="1"/>
    <w:link w:val="435"/>
    <w:autoRedefine/>
    <w:qFormat/>
    <w:uiPriority w:val="0"/>
    <w:pPr>
      <w:autoSpaceDE w:val="0"/>
      <w:autoSpaceDN w:val="0"/>
      <w:spacing w:line="360" w:lineRule="auto"/>
    </w:pPr>
    <w:rPr>
      <w:rFonts w:ascii="宋体" w:hAnsi="Arial" w:cs="Arial"/>
      <w:snapToGrid w:val="0"/>
      <w:sz w:val="24"/>
      <w:szCs w:val="21"/>
      <w:lang w:val="zh-CN"/>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9"/>
    <w:link w:val="199"/>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Body Text Indent"/>
    <w:basedOn w:val="1"/>
    <w:next w:val="1"/>
    <w:link w:val="271"/>
    <w:autoRedefine/>
    <w:qFormat/>
    <w:uiPriority w:val="0"/>
    <w:pPr>
      <w:spacing w:line="480" w:lineRule="exact"/>
      <w:ind w:firstLine="480" w:firstLineChars="200"/>
    </w:pPr>
    <w:rPr>
      <w:rFonts w:ascii="宋体" w:hAnsi="宋体"/>
      <w:sz w:val="24"/>
    </w:rPr>
  </w:style>
  <w:style w:type="paragraph" w:styleId="20">
    <w:name w:val="caption"/>
    <w:basedOn w:val="1"/>
    <w:next w:val="1"/>
    <w:link w:val="235"/>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8"/>
    <w:autoRedefine/>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annotation text"/>
    <w:basedOn w:val="1"/>
    <w:link w:val="350"/>
    <w:autoRedefine/>
    <w:qFormat/>
    <w:uiPriority w:val="99"/>
    <w:pPr>
      <w:jc w:val="left"/>
    </w:pPr>
  </w:style>
  <w:style w:type="paragraph" w:styleId="25">
    <w:name w:val="Salutation"/>
    <w:basedOn w:val="1"/>
    <w:next w:val="1"/>
    <w:link w:val="304"/>
    <w:autoRedefine/>
    <w:qFormat/>
    <w:uiPriority w:val="0"/>
    <w:rPr>
      <w:rFonts w:ascii="仿宋_GB2312" w:eastAsia="仿宋_GB2312"/>
      <w:sz w:val="28"/>
      <w:szCs w:val="20"/>
    </w:rPr>
  </w:style>
  <w:style w:type="paragraph" w:styleId="26">
    <w:name w:val="Body Text 3"/>
    <w:basedOn w:val="1"/>
    <w:link w:val="336"/>
    <w:autoRedefine/>
    <w:qFormat/>
    <w:uiPriority w:val="0"/>
    <w:pPr>
      <w:jc w:val="center"/>
    </w:pPr>
    <w:rPr>
      <w:szCs w:val="20"/>
    </w:rPr>
  </w:style>
  <w:style w:type="paragraph" w:styleId="27">
    <w:name w:val="List Bullet 3"/>
    <w:basedOn w:val="1"/>
    <w:autoRedefine/>
    <w:unhideWhenUsed/>
    <w:qFormat/>
    <w:uiPriority w:val="0"/>
    <w:pPr>
      <w:snapToGrid w:val="0"/>
      <w:spacing w:line="360" w:lineRule="auto"/>
      <w:ind w:left="360" w:right="238" w:hanging="360"/>
      <w:contextualSpacing/>
    </w:pPr>
    <w:rPr>
      <w:sz w:val="24"/>
    </w:r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5"/>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33"/>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7"/>
    <w:autoRedefine/>
    <w:qFormat/>
    <w:uiPriority w:val="0"/>
    <w:pPr>
      <w:ind w:left="100" w:leftChars="2500"/>
    </w:pPr>
    <w:rPr>
      <w:rFonts w:ascii="宋体"/>
      <w:sz w:val="24"/>
      <w:szCs w:val="21"/>
      <w:lang w:val="zh-CN"/>
    </w:rPr>
  </w:style>
  <w:style w:type="paragraph" w:styleId="39">
    <w:name w:val="Body Text Indent 2"/>
    <w:basedOn w:val="1"/>
    <w:link w:val="314"/>
    <w:autoRedefine/>
    <w:qFormat/>
    <w:uiPriority w:val="0"/>
    <w:pPr>
      <w:spacing w:line="360" w:lineRule="auto"/>
      <w:ind w:firstLine="601"/>
      <w:textAlignment w:val="baseline"/>
    </w:pPr>
    <w:rPr>
      <w:rFonts w:ascii="宋体"/>
      <w:kern w:val="0"/>
      <w:sz w:val="28"/>
      <w:szCs w:val="20"/>
    </w:rPr>
  </w:style>
  <w:style w:type="paragraph" w:styleId="40">
    <w:name w:val="Balloon Text"/>
    <w:basedOn w:val="1"/>
    <w:link w:val="194"/>
    <w:autoRedefine/>
    <w:qFormat/>
    <w:uiPriority w:val="0"/>
    <w:rPr>
      <w:sz w:val="18"/>
      <w:szCs w:val="18"/>
    </w:rPr>
  </w:style>
  <w:style w:type="paragraph" w:styleId="41">
    <w:name w:val="footer"/>
    <w:basedOn w:val="1"/>
    <w:link w:val="389"/>
    <w:autoRedefine/>
    <w:qFormat/>
    <w:uiPriority w:val="99"/>
    <w:pPr>
      <w:tabs>
        <w:tab w:val="center" w:pos="4153"/>
        <w:tab w:val="right" w:pos="8306"/>
      </w:tabs>
      <w:snapToGrid w:val="0"/>
      <w:jc w:val="left"/>
    </w:pPr>
    <w:rPr>
      <w:sz w:val="18"/>
      <w:szCs w:val="18"/>
    </w:rPr>
  </w:style>
  <w:style w:type="paragraph" w:styleId="42">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link w:val="141"/>
    <w:autoRedefine/>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16"/>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81"/>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8"/>
    <w:autoRedefine/>
    <w:qFormat/>
    <w:uiPriority w:val="0"/>
    <w:pPr>
      <w:spacing w:after="120" w:line="480" w:lineRule="auto"/>
    </w:pPr>
  </w:style>
  <w:style w:type="paragraph" w:styleId="58">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4"/>
    <w:next w:val="24"/>
    <w:link w:val="104"/>
    <w:autoRedefine/>
    <w:qFormat/>
    <w:uiPriority w:val="0"/>
    <w:rPr>
      <w:b/>
      <w:bCs/>
    </w:rPr>
  </w:style>
  <w:style w:type="paragraph" w:styleId="62">
    <w:name w:val="Body Text First Indent 2"/>
    <w:basedOn w:val="19"/>
    <w:next w:val="1"/>
    <w:link w:val="129"/>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首行缩进 21"/>
    <w:basedOn w:val="1"/>
    <w:qFormat/>
    <w:uiPriority w:val="0"/>
    <w:pPr>
      <w:spacing w:after="120"/>
      <w:ind w:left="420" w:leftChars="200" w:firstLine="420"/>
    </w:pPr>
    <w:rPr>
      <w:rFonts w:cs="宋体"/>
      <w:color w:val="000000"/>
      <w:szCs w:val="21"/>
    </w:rPr>
  </w:style>
  <w:style w:type="character" w:customStyle="1" w:styleId="81">
    <w:name w:val="标题 1 字符"/>
    <w:autoRedefine/>
    <w:qFormat/>
    <w:uiPriority w:val="9"/>
    <w:rPr>
      <w:rFonts w:ascii="Arial" w:hAnsi="Arial" w:eastAsia="黑体" w:cs="Arial"/>
      <w:b/>
      <w:bCs/>
      <w:snapToGrid w:val="0"/>
      <w:kern w:val="44"/>
      <w:sz w:val="44"/>
      <w:szCs w:val="44"/>
    </w:rPr>
  </w:style>
  <w:style w:type="character" w:customStyle="1" w:styleId="82">
    <w:name w:val="标题 2 字符"/>
    <w:autoRedefine/>
    <w:qFormat/>
    <w:uiPriority w:val="1"/>
    <w:rPr>
      <w:rFonts w:ascii="仿宋_GB2312" w:hAnsi="Times New Roman" w:eastAsia="仿宋_GB2312" w:cs="Times New Roman"/>
      <w:b/>
      <w:kern w:val="2"/>
      <w:sz w:val="24"/>
      <w:lang w:val="zh-CN"/>
    </w:rPr>
  </w:style>
  <w:style w:type="paragraph" w:customStyle="1" w:styleId="83">
    <w:name w:val="正文1"/>
    <w:basedOn w:val="1"/>
    <w:autoRedefine/>
    <w:qFormat/>
    <w:uiPriority w:val="0"/>
    <w:pPr>
      <w:spacing w:line="318" w:lineRule="atLeast"/>
      <w:ind w:left="369" w:firstLine="369"/>
      <w:textAlignment w:val="baseline"/>
    </w:pPr>
    <w:rPr>
      <w:rFonts w:ascii="宋体"/>
      <w:szCs w:val="20"/>
    </w:rPr>
  </w:style>
  <w:style w:type="paragraph" w:customStyle="1" w:styleId="84">
    <w:name w:val="无间隔1"/>
    <w:link w:val="147"/>
    <w:autoRedefine/>
    <w:qFormat/>
    <w:uiPriority w:val="1"/>
    <w:rPr>
      <w:rFonts w:ascii="Times New Roman" w:hAnsi="Times New Roman" w:eastAsia="宋体" w:cs="Times New Roman"/>
      <w:sz w:val="22"/>
      <w:szCs w:val="22"/>
      <w:lang w:val="en-US" w:eastAsia="zh-CN" w:bidi="ar-SA"/>
    </w:rPr>
  </w:style>
  <w:style w:type="paragraph" w:customStyle="1" w:styleId="85">
    <w:name w:val="正文（缩进）"/>
    <w:basedOn w:val="1"/>
    <w:qFormat/>
    <w:uiPriority w:val="0"/>
    <w:pPr>
      <w:snapToGrid w:val="0"/>
      <w:spacing w:line="360" w:lineRule="auto"/>
      <w:ind w:firstLine="200" w:firstLineChars="200"/>
    </w:pPr>
    <w:rPr>
      <w:rFonts w:eastAsia="仿宋"/>
      <w:sz w:val="24"/>
      <w:lang w:val="zh-CN"/>
    </w:rPr>
  </w:style>
  <w:style w:type="paragraph" w:customStyle="1" w:styleId="86">
    <w:name w:val="_Style 3"/>
    <w:basedOn w:val="1"/>
    <w:autoRedefine/>
    <w:qFormat/>
    <w:uiPriority w:val="0"/>
    <w:pPr>
      <w:adjustRightInd/>
      <w:ind w:firstLine="420" w:firstLineChars="200"/>
    </w:pPr>
    <w:rPr>
      <w:rFonts w:eastAsia="仿宋_GB2312"/>
      <w:sz w:val="28"/>
    </w:rPr>
  </w:style>
  <w:style w:type="paragraph" w:customStyle="1" w:styleId="87">
    <w:name w:val="xl53"/>
    <w:basedOn w:val="1"/>
    <w:next w:val="1"/>
    <w:autoRedefine/>
    <w:qFormat/>
    <w:uiPriority w:val="0"/>
    <w:pPr>
      <w:spacing w:before="280" w:after="280" w:line="100" w:lineRule="exact"/>
      <w:jc w:val="center"/>
    </w:pPr>
    <w:rPr>
      <w:b/>
      <w:sz w:val="20"/>
    </w:rPr>
  </w:style>
  <w:style w:type="paragraph" w:customStyle="1" w:styleId="88">
    <w:name w:val="样式3"/>
    <w:basedOn w:val="35"/>
    <w:next w:val="1"/>
    <w:autoRedefine/>
    <w:qFormat/>
    <w:uiPriority w:val="0"/>
    <w:pPr>
      <w:tabs>
        <w:tab w:val="left" w:pos="2790"/>
        <w:tab w:val="left" w:pos="4230"/>
      </w:tabs>
      <w:spacing w:before="312" w:beforeLines="100"/>
      <w:jc w:val="left"/>
    </w:pPr>
  </w:style>
  <w:style w:type="paragraph" w:customStyle="1" w:styleId="89">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表格非标题文字 Char"/>
    <w:link w:val="91"/>
    <w:autoRedefine/>
    <w:qFormat/>
    <w:uiPriority w:val="0"/>
    <w:rPr>
      <w:rFonts w:ascii="Futura Bk" w:hAnsi="Futura Bk"/>
      <w:kern w:val="2"/>
      <w:sz w:val="18"/>
      <w:szCs w:val="21"/>
      <w:lang w:val="en-US" w:eastAsia="zh-CN" w:bidi="ar-SA"/>
    </w:rPr>
  </w:style>
  <w:style w:type="paragraph" w:customStyle="1" w:styleId="91">
    <w:name w:val="表格非标题文字"/>
    <w:link w:val="9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autoRedefine/>
    <w:qFormat/>
    <w:locked/>
    <w:uiPriority w:val="0"/>
    <w:rPr>
      <w:rFonts w:ascii="宋体" w:hAnsi="宋体"/>
      <w:sz w:val="24"/>
    </w:rPr>
  </w:style>
  <w:style w:type="paragraph" w:customStyle="1" w:styleId="93">
    <w:name w:val="*正文"/>
    <w:basedOn w:val="1"/>
    <w:link w:val="92"/>
    <w:autoRedefine/>
    <w:qFormat/>
    <w:uiPriority w:val="0"/>
    <w:pPr>
      <w:snapToGrid w:val="0"/>
      <w:spacing w:line="360" w:lineRule="auto"/>
      <w:ind w:firstLine="482"/>
      <w:jc w:val="left"/>
    </w:pPr>
    <w:rPr>
      <w:rFonts w:ascii="宋体" w:hAnsi="宋体"/>
      <w:kern w:val="0"/>
      <w:sz w:val="24"/>
      <w:szCs w:val="20"/>
    </w:rPr>
  </w:style>
  <w:style w:type="character" w:customStyle="1" w:styleId="94">
    <w:name w:val="Char Char71"/>
    <w:autoRedefine/>
    <w:semiHidden/>
    <w:qFormat/>
    <w:uiPriority w:val="0"/>
    <w:rPr>
      <w:rFonts w:eastAsia="宋体"/>
      <w:kern w:val="2"/>
      <w:sz w:val="21"/>
      <w:szCs w:val="24"/>
      <w:lang w:val="en-US" w:eastAsia="zh-CN" w:bidi="ar-SA"/>
    </w:rPr>
  </w:style>
  <w:style w:type="character" w:customStyle="1" w:styleId="95">
    <w:name w:val="Char Char6"/>
    <w:autoRedefine/>
    <w:qFormat/>
    <w:uiPriority w:val="0"/>
    <w:rPr>
      <w:rFonts w:eastAsia="宋体"/>
      <w:kern w:val="2"/>
      <w:sz w:val="21"/>
      <w:szCs w:val="24"/>
      <w:lang w:val="en-US" w:eastAsia="zh-CN" w:bidi="ar-SA"/>
    </w:rPr>
  </w:style>
  <w:style w:type="character" w:customStyle="1" w:styleId="96">
    <w:name w:val="正文缩进 Char"/>
    <w:autoRedefine/>
    <w:qFormat/>
    <w:uiPriority w:val="0"/>
    <w:rPr>
      <w:rFonts w:eastAsia="宋体"/>
      <w:kern w:val="2"/>
      <w:sz w:val="21"/>
      <w:lang w:val="en-US" w:eastAsia="zh-CN"/>
    </w:rPr>
  </w:style>
  <w:style w:type="character" w:customStyle="1" w:styleId="9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8">
    <w:name w:val="Char Char28"/>
    <w:autoRedefine/>
    <w:qFormat/>
    <w:uiPriority w:val="6"/>
    <w:rPr>
      <w:rFonts w:ascii="仿宋_GB2312" w:hAnsi="仿宋_GB2312" w:eastAsia="仿宋_GB2312"/>
      <w:kern w:val="1"/>
      <w:sz w:val="28"/>
    </w:rPr>
  </w:style>
  <w:style w:type="character" w:customStyle="1" w:styleId="9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autoRedefine/>
    <w:qFormat/>
    <w:uiPriority w:val="6"/>
    <w:rPr>
      <w:rFonts w:ascii="Times New Roman" w:hAnsi="Times New Roman" w:eastAsia="黑体" w:cs="Times New Roman"/>
      <w:b/>
      <w:kern w:val="0"/>
      <w:sz w:val="24"/>
      <w:szCs w:val="24"/>
    </w:rPr>
  </w:style>
  <w:style w:type="character" w:customStyle="1" w:styleId="101">
    <w:name w:val="U_正文 Char"/>
    <w:link w:val="102"/>
    <w:autoRedefine/>
    <w:qFormat/>
    <w:uiPriority w:val="0"/>
    <w:rPr>
      <w:sz w:val="24"/>
      <w:szCs w:val="24"/>
    </w:rPr>
  </w:style>
  <w:style w:type="paragraph" w:customStyle="1" w:styleId="102">
    <w:name w:val="U_正文"/>
    <w:basedOn w:val="1"/>
    <w:link w:val="101"/>
    <w:autoRedefine/>
    <w:qFormat/>
    <w:uiPriority w:val="0"/>
    <w:pPr>
      <w:adjustRightInd/>
      <w:spacing w:beforeLines="20" w:afterLines="20" w:line="300" w:lineRule="auto"/>
      <w:ind w:firstLine="200" w:firstLineChars="200"/>
    </w:pPr>
    <w:rPr>
      <w:kern w:val="0"/>
      <w:sz w:val="24"/>
    </w:rPr>
  </w:style>
  <w:style w:type="character" w:customStyle="1" w:styleId="103">
    <w:name w:val="HTML 地址 Char1"/>
    <w:autoRedefine/>
    <w:qFormat/>
    <w:uiPriority w:val="0"/>
    <w:rPr>
      <w:rFonts w:ascii="Times New Roman" w:hAnsi="Times New Roman" w:eastAsia="宋体" w:cs="Times New Roman"/>
      <w:i/>
      <w:iCs/>
      <w:szCs w:val="24"/>
    </w:rPr>
  </w:style>
  <w:style w:type="character" w:customStyle="1" w:styleId="104">
    <w:name w:val="批注主题 字符"/>
    <w:link w:val="61"/>
    <w:autoRedefine/>
    <w:qFormat/>
    <w:uiPriority w:val="0"/>
    <w:rPr>
      <w:b/>
      <w:bCs/>
      <w:kern w:val="2"/>
      <w:sz w:val="21"/>
      <w:szCs w:val="24"/>
    </w:rPr>
  </w:style>
  <w:style w:type="character" w:customStyle="1" w:styleId="105">
    <w:name w:val="Char Char51"/>
    <w:autoRedefine/>
    <w:qFormat/>
    <w:uiPriority w:val="0"/>
    <w:rPr>
      <w:rFonts w:ascii="宋体" w:hAnsi="Courier New" w:eastAsia="宋体"/>
      <w:kern w:val="2"/>
      <w:sz w:val="21"/>
      <w:lang w:val="en-US" w:eastAsia="zh-CN"/>
    </w:rPr>
  </w:style>
  <w:style w:type="character" w:customStyle="1" w:styleId="106">
    <w:name w:val="表正文 Char"/>
    <w:autoRedefine/>
    <w:qFormat/>
    <w:uiPriority w:val="0"/>
    <w:rPr>
      <w:rFonts w:ascii="宋体" w:eastAsia="宋体"/>
      <w:snapToGrid w:val="0"/>
      <w:color w:val="000000"/>
      <w:kern w:val="28"/>
      <w:sz w:val="28"/>
      <w:lang w:val="en-US" w:eastAsia="zh-CN" w:bidi="ar-SA"/>
    </w:rPr>
  </w:style>
  <w:style w:type="character" w:customStyle="1" w:styleId="107">
    <w:name w:val="Char Char34"/>
    <w:autoRedefine/>
    <w:qFormat/>
    <w:uiPriority w:val="6"/>
    <w:rPr>
      <w:b/>
      <w:kern w:val="1"/>
      <w:sz w:val="28"/>
      <w:szCs w:val="28"/>
    </w:rPr>
  </w:style>
  <w:style w:type="character" w:customStyle="1" w:styleId="10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autoRedefine/>
    <w:qFormat/>
    <w:uiPriority w:val="0"/>
    <w:rPr>
      <w:rFonts w:ascii="宋体" w:hAnsi="宋体" w:eastAsia="宋体"/>
      <w:kern w:val="2"/>
      <w:sz w:val="24"/>
      <w:lang w:bidi="ar-SA"/>
    </w:rPr>
  </w:style>
  <w:style w:type="paragraph" w:customStyle="1" w:styleId="110">
    <w:name w:val="哈哈正文"/>
    <w:basedOn w:val="1"/>
    <w:link w:val="109"/>
    <w:autoRedefine/>
    <w:qFormat/>
    <w:uiPriority w:val="0"/>
    <w:pPr>
      <w:adjustRightInd/>
      <w:spacing w:line="360" w:lineRule="auto"/>
      <w:ind w:firstLine="200" w:firstLineChars="200"/>
    </w:pPr>
    <w:rPr>
      <w:rFonts w:ascii="宋体" w:hAnsi="宋体"/>
      <w:sz w:val="24"/>
      <w:szCs w:val="20"/>
    </w:rPr>
  </w:style>
  <w:style w:type="character" w:customStyle="1" w:styleId="111">
    <w:name w:val="未处理的提及1"/>
    <w:autoRedefine/>
    <w:qFormat/>
    <w:uiPriority w:val="0"/>
    <w:rPr>
      <w:color w:val="808080"/>
      <w:shd w:val="clear" w:color="auto" w:fill="E6E6E6"/>
    </w:rPr>
  </w:style>
  <w:style w:type="character" w:customStyle="1" w:styleId="112">
    <w:name w:val="txt"/>
    <w:autoRedefine/>
    <w:qFormat/>
    <w:uiPriority w:val="0"/>
    <w:rPr>
      <w:rFonts w:ascii="仿宋_GB2312" w:eastAsia="微软雅黑"/>
      <w:b/>
      <w:kern w:val="2"/>
      <w:sz w:val="32"/>
      <w:szCs w:val="32"/>
      <w:lang w:val="en-US" w:eastAsia="zh-CN" w:bidi="ar-SA"/>
    </w:rPr>
  </w:style>
  <w:style w:type="character" w:customStyle="1" w:styleId="11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4">
    <w:name w:val="Char Char32"/>
    <w:autoRedefine/>
    <w:qFormat/>
    <w:uiPriority w:val="6"/>
    <w:rPr>
      <w:b/>
      <w:kern w:val="1"/>
      <w:sz w:val="24"/>
      <w:szCs w:val="24"/>
    </w:rPr>
  </w:style>
  <w:style w:type="character" w:customStyle="1" w:styleId="115">
    <w:name w:val="PI Char1"/>
    <w:autoRedefine/>
    <w:qFormat/>
    <w:uiPriority w:val="0"/>
    <w:rPr>
      <w:rFonts w:ascii="宋体" w:hAnsi="宋体"/>
      <w:kern w:val="2"/>
      <w:sz w:val="24"/>
      <w:szCs w:val="24"/>
    </w:rPr>
  </w:style>
  <w:style w:type="character" w:customStyle="1" w:styleId="116">
    <w:name w:val="tw4winTerm"/>
    <w:autoRedefine/>
    <w:qFormat/>
    <w:uiPriority w:val="0"/>
    <w:rPr>
      <w:color w:val="0000FF"/>
    </w:rPr>
  </w:style>
  <w:style w:type="character" w:customStyle="1" w:styleId="117">
    <w:name w:val="Footer Char"/>
    <w:autoRedefine/>
    <w:qFormat/>
    <w:locked/>
    <w:uiPriority w:val="0"/>
    <w:rPr>
      <w:rFonts w:eastAsia="宋体"/>
      <w:kern w:val="2"/>
      <w:sz w:val="18"/>
      <w:lang w:val="en-US" w:eastAsia="zh-CN" w:bidi="ar-SA"/>
    </w:rPr>
  </w:style>
  <w:style w:type="character" w:customStyle="1" w:styleId="118">
    <w:name w:val="普通文字 Char Char1"/>
    <w:autoRedefine/>
    <w:qFormat/>
    <w:uiPriority w:val="0"/>
    <w:rPr>
      <w:rFonts w:ascii="宋体" w:hAnsi="Courier New"/>
      <w:kern w:val="2"/>
      <w:sz w:val="21"/>
    </w:rPr>
  </w:style>
  <w:style w:type="character" w:customStyle="1" w:styleId="119">
    <w:name w:val="Char Char101"/>
    <w:autoRedefine/>
    <w:qFormat/>
    <w:uiPriority w:val="6"/>
    <w:rPr>
      <w:rFonts w:ascii="宋体" w:hAnsi="宋体"/>
      <w:kern w:val="2"/>
      <w:sz w:val="21"/>
      <w:szCs w:val="24"/>
      <w:lang w:val="en-US" w:eastAsia="zh-CN"/>
    </w:rPr>
  </w:style>
  <w:style w:type="character" w:customStyle="1" w:styleId="120">
    <w:name w:val="标题 4 Char"/>
    <w:autoRedefine/>
    <w:qFormat/>
    <w:uiPriority w:val="0"/>
    <w:rPr>
      <w:rFonts w:ascii="Arial" w:hAnsi="Arial" w:eastAsia="黑体"/>
      <w:b/>
      <w:kern w:val="2"/>
      <w:sz w:val="28"/>
    </w:rPr>
  </w:style>
  <w:style w:type="character" w:customStyle="1" w:styleId="121">
    <w:name w:val="链接"/>
    <w:autoRedefine/>
    <w:qFormat/>
    <w:uiPriority w:val="0"/>
    <w:rPr>
      <w:color w:val="0000FF"/>
      <w:sz w:val="21"/>
      <w:szCs w:val="21"/>
      <w:u w:val="single"/>
    </w:rPr>
  </w:style>
  <w:style w:type="character" w:customStyle="1" w:styleId="122">
    <w:name w:val="h4 Char"/>
    <w:autoRedefine/>
    <w:qFormat/>
    <w:uiPriority w:val="0"/>
    <w:rPr>
      <w:rFonts w:ascii="Arial" w:hAnsi="Arial" w:eastAsia="黑体"/>
      <w:b/>
      <w:bCs/>
      <w:kern w:val="2"/>
      <w:sz w:val="28"/>
      <w:szCs w:val="28"/>
      <w:lang w:val="zh-CN" w:eastAsia="zh-CN" w:bidi="ar-SA"/>
    </w:rPr>
  </w:style>
  <w:style w:type="character" w:customStyle="1" w:styleId="123">
    <w:name w:val="5正文 Char"/>
    <w:link w:val="124"/>
    <w:autoRedefine/>
    <w:qFormat/>
    <w:uiPriority w:val="0"/>
    <w:rPr>
      <w:rFonts w:ascii="仿宋_GB2312" w:hAnsi="微软雅黑" w:eastAsia="仿宋_GB2312"/>
      <w:sz w:val="28"/>
      <w:szCs w:val="21"/>
    </w:rPr>
  </w:style>
  <w:style w:type="paragraph" w:customStyle="1" w:styleId="124">
    <w:name w:val="5正文"/>
    <w:basedOn w:val="1"/>
    <w:link w:val="12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标题 3 字符"/>
    <w:autoRedefine/>
    <w:qFormat/>
    <w:uiPriority w:val="9"/>
    <w:rPr>
      <w:b/>
      <w:bCs/>
      <w:kern w:val="2"/>
      <w:sz w:val="32"/>
      <w:szCs w:val="32"/>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字符"/>
    <w:link w:val="62"/>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70"/>
    <w:autoRedefine/>
    <w:qFormat/>
    <w:uiPriority w:val="0"/>
    <w:rPr>
      <w:rFonts w:ascii="Arial" w:hAnsi="Arial" w:eastAsia="黑体" w:cs="Arial"/>
      <w:snapToGrid w:val="0"/>
      <w:kern w:val="0"/>
      <w:szCs w:val="21"/>
    </w:rPr>
  </w:style>
  <w:style w:type="character" w:customStyle="1" w:styleId="133">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 w:val="24"/>
      <w:szCs w:val="20"/>
    </w:rPr>
  </w:style>
  <w:style w:type="character" w:customStyle="1" w:styleId="140">
    <w:name w:val="Char Char24"/>
    <w:autoRedefine/>
    <w:qFormat/>
    <w:uiPriority w:val="6"/>
    <w:rPr>
      <w:kern w:val="1"/>
      <w:sz w:val="21"/>
    </w:rPr>
  </w:style>
  <w:style w:type="character" w:customStyle="1" w:styleId="141">
    <w:name w:val="副标题 字符"/>
    <w:link w:val="48"/>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84"/>
    <w:autoRedefine/>
    <w:qFormat/>
    <w:uiPriority w:val="1"/>
    <w:rPr>
      <w:sz w:val="22"/>
      <w:szCs w:val="22"/>
      <w:lang w:val="en-US" w:eastAsia="zh-CN" w:bidi="ar-SA"/>
    </w:rPr>
  </w:style>
  <w:style w:type="character" w:customStyle="1" w:styleId="148">
    <w:name w:val="样式7 Char"/>
    <w:autoRedefine/>
    <w:qFormat/>
    <w:uiPriority w:val="0"/>
    <w:rPr>
      <w:rFonts w:ascii="仿宋_GB2312" w:hAnsi="仿宋" w:eastAsia="仿宋_GB2312"/>
      <w:b/>
      <w:kern w:val="2"/>
      <w:sz w:val="24"/>
      <w:szCs w:val="24"/>
    </w:rPr>
  </w:style>
  <w:style w:type="character" w:customStyle="1" w:styleId="149">
    <w:name w:val="font12gray1"/>
    <w:autoRedefine/>
    <w:qFormat/>
    <w:uiPriority w:val="0"/>
    <w:rPr>
      <w:rFonts w:ascii="仿宋_GB2312" w:eastAsia="微软雅黑"/>
      <w:b/>
      <w:spacing w:val="300"/>
      <w:kern w:val="2"/>
      <w:sz w:val="18"/>
      <w:szCs w:val="18"/>
      <w:lang w:val="en-US" w:eastAsia="zh-CN" w:bidi="ar-SA"/>
    </w:rPr>
  </w:style>
  <w:style w:type="character" w:customStyle="1" w:styleId="150">
    <w:name w:val="Char Char7"/>
    <w:autoRedefine/>
    <w:semiHidden/>
    <w:qFormat/>
    <w:uiPriority w:val="0"/>
    <w:rPr>
      <w:rFonts w:eastAsia="宋体"/>
      <w:kern w:val="2"/>
      <w:sz w:val="21"/>
      <w:szCs w:val="24"/>
      <w:lang w:val="en-US" w:eastAsia="zh-CN" w:bidi="ar-SA"/>
    </w:rPr>
  </w:style>
  <w:style w:type="character" w:customStyle="1" w:styleId="151">
    <w:name w:val="表名 Char"/>
    <w:autoRedefine/>
    <w:qFormat/>
    <w:uiPriority w:val="0"/>
    <w:rPr>
      <w:rFonts w:eastAsia="宋体"/>
      <w:b/>
      <w:bCs/>
      <w:kern w:val="2"/>
      <w:sz w:val="24"/>
      <w:szCs w:val="24"/>
      <w:lang w:val="en-US" w:eastAsia="zh-CN" w:bidi="ar-SA"/>
    </w:rPr>
  </w:style>
  <w:style w:type="character" w:customStyle="1" w:styleId="152">
    <w:name w:val="Document Map Char"/>
    <w:autoRedefine/>
    <w:qFormat/>
    <w:locked/>
    <w:uiPriority w:val="0"/>
    <w:rPr>
      <w:rFonts w:eastAsia="宋体"/>
      <w:kern w:val="2"/>
      <w:sz w:val="21"/>
      <w:szCs w:val="24"/>
      <w:lang w:val="en-US" w:eastAsia="zh-CN" w:bidi="ar-SA"/>
    </w:rPr>
  </w:style>
  <w:style w:type="character" w:customStyle="1" w:styleId="153">
    <w:name w:val="font41"/>
    <w:autoRedefine/>
    <w:qFormat/>
    <w:uiPriority w:val="0"/>
    <w:rPr>
      <w:rFonts w:hint="eastAsia" w:ascii="仿宋_GB2312" w:eastAsia="仿宋_GB2312" w:cs="仿宋_GB2312"/>
      <w:color w:val="000000"/>
      <w:sz w:val="22"/>
      <w:szCs w:val="22"/>
      <w:u w:val="none"/>
    </w:rPr>
  </w:style>
  <w:style w:type="character" w:customStyle="1" w:styleId="154">
    <w:name w:val="标题 6 字符"/>
    <w:link w:val="10"/>
    <w:autoRedefine/>
    <w:qFormat/>
    <w:uiPriority w:val="0"/>
    <w:rPr>
      <w:rFonts w:ascii="Arial" w:hAnsi="Arial" w:eastAsia="黑体"/>
      <w:b/>
      <w:bCs/>
      <w:kern w:val="2"/>
      <w:sz w:val="24"/>
      <w:szCs w:val="24"/>
    </w:rPr>
  </w:style>
  <w:style w:type="character" w:customStyle="1" w:styleId="155">
    <w:name w:val="纯文本 Char_0"/>
    <w:link w:val="156"/>
    <w:autoRedefine/>
    <w:qFormat/>
    <w:uiPriority w:val="0"/>
    <w:rPr>
      <w:rFonts w:ascii="宋体" w:hAnsi="Courier New"/>
      <w:kern w:val="2"/>
      <w:sz w:val="21"/>
      <w:szCs w:val="21"/>
      <w:lang w:val="en-US" w:eastAsia="zh-CN"/>
    </w:rPr>
  </w:style>
  <w:style w:type="paragraph" w:customStyle="1" w:styleId="156">
    <w:name w:val="纯文本_0_0"/>
    <w:basedOn w:val="157"/>
    <w:link w:val="155"/>
    <w:autoRedefine/>
    <w:qFormat/>
    <w:uiPriority w:val="0"/>
    <w:rPr>
      <w:rFonts w:ascii="宋体" w:hAnsi="Courier New"/>
      <w:szCs w:val="21"/>
    </w:rPr>
  </w:style>
  <w:style w:type="paragraph" w:customStyle="1" w:styleId="15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autoRedefine/>
    <w:qFormat/>
    <w:locked/>
    <w:uiPriority w:val="0"/>
    <w:rPr>
      <w:rFonts w:eastAsia="宋体"/>
      <w:kern w:val="2"/>
      <w:sz w:val="18"/>
      <w:szCs w:val="18"/>
      <w:lang w:val="en-US" w:eastAsia="zh-CN" w:bidi="ar-SA"/>
    </w:rPr>
  </w:style>
  <w:style w:type="character" w:customStyle="1" w:styleId="159">
    <w:name w:val="正文 项目2 Char"/>
    <w:basedOn w:val="160"/>
    <w:autoRedefine/>
    <w:qFormat/>
    <w:uiPriority w:val="0"/>
    <w:rPr>
      <w:rFonts w:ascii="仿宋_GB2312" w:hAnsi="仿宋_GB2312" w:eastAsia="仿宋_GB2312"/>
      <w:kern w:val="2"/>
      <w:sz w:val="24"/>
      <w:lang w:bidi="ar-SA"/>
    </w:rPr>
  </w:style>
  <w:style w:type="character" w:customStyle="1" w:styleId="160">
    <w:name w:val="正文 项目 Char"/>
    <w:autoRedefine/>
    <w:qFormat/>
    <w:uiPriority w:val="0"/>
    <w:rPr>
      <w:rFonts w:ascii="仿宋_GB2312" w:hAnsi="仿宋_GB2312" w:eastAsia="仿宋_GB2312"/>
      <w:kern w:val="2"/>
      <w:sz w:val="24"/>
      <w:lang w:bidi="ar-SA"/>
    </w:rPr>
  </w:style>
  <w:style w:type="character" w:customStyle="1" w:styleId="161">
    <w:name w:val="h Char Char1"/>
    <w:autoRedefine/>
    <w:qFormat/>
    <w:uiPriority w:val="0"/>
    <w:rPr>
      <w:rFonts w:eastAsia="宋体"/>
      <w:kern w:val="2"/>
      <w:sz w:val="18"/>
      <w:szCs w:val="18"/>
      <w:lang w:val="en-US" w:eastAsia="zh-CN" w:bidi="ar-SA"/>
    </w:rPr>
  </w:style>
  <w:style w:type="character" w:customStyle="1" w:styleId="162">
    <w:name w:val="Char Char27"/>
    <w:autoRedefine/>
    <w:qFormat/>
    <w:uiPriority w:val="6"/>
    <w:rPr>
      <w:rFonts w:ascii="宋体" w:hAnsi="宋体" w:eastAsia="宋体"/>
      <w:color w:val="000000"/>
      <w:kern w:val="1"/>
      <w:sz w:val="28"/>
      <w:lang w:val="en-US" w:eastAsia="zh-CN" w:bidi="ar-SA"/>
    </w:rPr>
  </w:style>
  <w:style w:type="character" w:customStyle="1" w:styleId="163">
    <w:name w:val="px14"/>
    <w:autoRedefine/>
    <w:qFormat/>
    <w:uiPriority w:val="0"/>
    <w:rPr>
      <w:rFonts w:ascii="仿宋_GB2312" w:eastAsia="微软雅黑" w:cs="Times New Roman"/>
      <w:b/>
      <w:kern w:val="2"/>
      <w:sz w:val="32"/>
      <w:szCs w:val="32"/>
      <w:lang w:val="en-US" w:eastAsia="zh-CN" w:bidi="ar-SA"/>
    </w:rPr>
  </w:style>
  <w:style w:type="character" w:customStyle="1" w:styleId="164">
    <w:name w:val="HTML 预设格式 Char1"/>
    <w:autoRedefine/>
    <w:qFormat/>
    <w:uiPriority w:val="0"/>
    <w:rPr>
      <w:rFonts w:ascii="Courier New" w:hAnsi="Courier New" w:eastAsia="宋体" w:cs="Courier New"/>
      <w:sz w:val="20"/>
      <w:szCs w:val="20"/>
    </w:rPr>
  </w:style>
  <w:style w:type="character" w:customStyle="1" w:styleId="165">
    <w:name w:val="普通文字 Char1"/>
    <w:autoRedefine/>
    <w:qFormat/>
    <w:uiPriority w:val="0"/>
    <w:rPr>
      <w:rFonts w:ascii="宋体" w:hAnsi="Courier New" w:eastAsia="宋体"/>
      <w:kern w:val="2"/>
      <w:sz w:val="21"/>
      <w:lang w:val="en-US" w:eastAsia="zh-CN"/>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正文（绿盟科技） Char"/>
    <w:link w:val="168"/>
    <w:autoRedefine/>
    <w:qFormat/>
    <w:uiPriority w:val="0"/>
    <w:rPr>
      <w:rFonts w:ascii="Arial" w:hAnsi="Arial"/>
      <w:sz w:val="21"/>
      <w:szCs w:val="21"/>
    </w:rPr>
  </w:style>
  <w:style w:type="paragraph" w:customStyle="1" w:styleId="168">
    <w:name w:val="正文（绿盟科技）"/>
    <w:link w:val="167"/>
    <w:autoRedefine/>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autoRedefine/>
    <w:qFormat/>
    <w:uiPriority w:val="6"/>
    <w:rPr>
      <w:rFonts w:ascii="宋体" w:hAnsi="宋体"/>
      <w:i/>
      <w:sz w:val="24"/>
      <w:szCs w:val="24"/>
    </w:rPr>
  </w:style>
  <w:style w:type="character" w:customStyle="1" w:styleId="170">
    <w:name w:val="页脚 Char"/>
    <w:autoRedefine/>
    <w:qFormat/>
    <w:uiPriority w:val="0"/>
    <w:rPr>
      <w:rFonts w:eastAsia="仿宋_GB2312"/>
      <w:kern w:val="2"/>
      <w:sz w:val="18"/>
      <w:lang w:val="en-US" w:eastAsia="zh-CN"/>
    </w:rPr>
  </w:style>
  <w:style w:type="character" w:customStyle="1" w:styleId="171">
    <w:name w:val="批注主题 Char"/>
    <w:autoRedefine/>
    <w:qFormat/>
    <w:uiPriority w:val="0"/>
    <w:rPr>
      <w:rFonts w:eastAsia="宋体"/>
      <w:b/>
      <w:bCs/>
      <w:kern w:val="2"/>
      <w:sz w:val="21"/>
      <w:szCs w:val="24"/>
      <w:lang w:val="en-US" w:eastAsia="zh-CN" w:bidi="ar-SA"/>
    </w:rPr>
  </w:style>
  <w:style w:type="character" w:customStyle="1" w:styleId="172">
    <w:name w:val="Comment Text Char"/>
    <w:autoRedefine/>
    <w:qFormat/>
    <w:locked/>
    <w:uiPriority w:val="0"/>
    <w:rPr>
      <w:rFonts w:ascii="宋体" w:hAnsi="宋体" w:eastAsia="宋体"/>
      <w:kern w:val="2"/>
      <w:sz w:val="24"/>
      <w:lang w:val="en-US" w:eastAsia="zh-CN" w:bidi="ar-SA"/>
    </w:rPr>
  </w:style>
  <w:style w:type="character" w:customStyle="1" w:styleId="173">
    <w:name w:val="Char Char72"/>
    <w:autoRedefine/>
    <w:qFormat/>
    <w:uiPriority w:val="0"/>
    <w:rPr>
      <w:rFonts w:eastAsia="宋体"/>
      <w:kern w:val="2"/>
      <w:sz w:val="21"/>
      <w:szCs w:val="24"/>
      <w:lang w:val="en-US" w:eastAsia="zh-CN" w:bidi="ar-SA"/>
    </w:rPr>
  </w:style>
  <w:style w:type="character" w:customStyle="1" w:styleId="174">
    <w:name w:val="正文文本缩进 Char2"/>
    <w:autoRedefine/>
    <w:qFormat/>
    <w:uiPriority w:val="0"/>
    <w:rPr>
      <w:rFonts w:ascii="Times New Roman" w:hAnsi="Times New Roman" w:eastAsia="宋体" w:cs="Times New Roman"/>
      <w:snapToGrid w:val="0"/>
      <w:kern w:val="0"/>
      <w:szCs w:val="24"/>
    </w:rPr>
  </w:style>
  <w:style w:type="character" w:customStyle="1" w:styleId="175">
    <w:name w:val="样式2 Char"/>
    <w:autoRedefine/>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autoRedefine/>
    <w:qFormat/>
    <w:uiPriority w:val="0"/>
    <w:rPr>
      <w:sz w:val="32"/>
    </w:rPr>
  </w:style>
  <w:style w:type="paragraph" w:customStyle="1" w:styleId="177">
    <w:name w:val="表格名称"/>
    <w:basedOn w:val="6"/>
    <w:link w:val="17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autoRedefine/>
    <w:qFormat/>
    <w:uiPriority w:val="0"/>
    <w:rPr>
      <w:rFonts w:eastAsia="宋体"/>
      <w:b/>
      <w:sz w:val="24"/>
      <w:lang w:val="en-GB" w:eastAsia="zh-CN" w:bidi="ar-SA"/>
    </w:rPr>
  </w:style>
  <w:style w:type="character" w:customStyle="1" w:styleId="179">
    <w:name w:val="c7 style3"/>
    <w:autoRedefine/>
    <w:qFormat/>
    <w:uiPriority w:val="0"/>
  </w:style>
  <w:style w:type="character" w:customStyle="1" w:styleId="180">
    <w:name w:val="正文文本 3 Char1"/>
    <w:autoRedefine/>
    <w:semiHidden/>
    <w:qFormat/>
    <w:uiPriority w:val="99"/>
    <w:rPr>
      <w:rFonts w:ascii="Times New Roman" w:hAnsi="Times New Roman" w:eastAsia="宋体" w:cs="Times New Roman"/>
      <w:sz w:val="16"/>
      <w:szCs w:val="16"/>
    </w:rPr>
  </w:style>
  <w:style w:type="character" w:customStyle="1" w:styleId="181">
    <w:name w:val="tw4winInternal"/>
    <w:autoRedefine/>
    <w:qFormat/>
    <w:uiPriority w:val="0"/>
    <w:rPr>
      <w:rFonts w:ascii="Courier New" w:hAnsi="Courier New" w:cs="Courier New"/>
      <w:color w:val="FF0000"/>
      <w:lang w:val="en-US" w:eastAsia="zh-CN"/>
    </w:rPr>
  </w:style>
  <w:style w:type="character" w:customStyle="1" w:styleId="182">
    <w:name w:val="Char Char10"/>
    <w:autoRedefine/>
    <w:semiHidden/>
    <w:qFormat/>
    <w:uiPriority w:val="0"/>
    <w:rPr>
      <w:rFonts w:ascii="宋体" w:hAnsi="宋体"/>
      <w:kern w:val="2"/>
      <w:sz w:val="21"/>
      <w:szCs w:val="24"/>
      <w:lang w:val="en-US" w:eastAsia="zh-CN"/>
    </w:rPr>
  </w:style>
  <w:style w:type="character" w:customStyle="1" w:styleId="183">
    <w:name w:val="shadow11"/>
    <w:autoRedefine/>
    <w:qFormat/>
    <w:uiPriority w:val="0"/>
    <w:rPr>
      <w:color w:val="000000"/>
      <w:sz w:val="21"/>
    </w:rPr>
  </w:style>
  <w:style w:type="character" w:customStyle="1" w:styleId="184">
    <w:name w:val="正文非缩进 Char3"/>
    <w:autoRedefine/>
    <w:qFormat/>
    <w:uiPriority w:val="0"/>
    <w:rPr>
      <w:rFonts w:ascii="宋体" w:eastAsia="宋体"/>
      <w:snapToGrid w:val="0"/>
      <w:color w:val="000000"/>
      <w:kern w:val="28"/>
      <w:sz w:val="28"/>
      <w:lang w:val="en-US" w:eastAsia="zh-CN" w:bidi="ar-SA"/>
    </w:rPr>
  </w:style>
  <w:style w:type="character" w:customStyle="1" w:styleId="185">
    <w:name w:val="Char Char"/>
    <w:autoRedefine/>
    <w:qFormat/>
    <w:uiPriority w:val="0"/>
    <w:rPr>
      <w:rFonts w:ascii="宋体" w:hAnsi="Courier New" w:eastAsia="宋体"/>
      <w:kern w:val="2"/>
      <w:sz w:val="21"/>
      <w:lang w:val="en-US" w:eastAsia="zh-CN" w:bidi="ar-SA"/>
    </w:rPr>
  </w:style>
  <w:style w:type="character" w:customStyle="1" w:styleId="186">
    <w:name w:val="签名 Char1"/>
    <w:autoRedefine/>
    <w:qFormat/>
    <w:uiPriority w:val="0"/>
    <w:rPr>
      <w:rFonts w:ascii="Times New Roman" w:hAnsi="Times New Roman" w:eastAsia="宋体" w:cs="Times New Roman"/>
      <w:szCs w:val="24"/>
    </w:rPr>
  </w:style>
  <w:style w:type="character" w:customStyle="1" w:styleId="187">
    <w:name w:val="日期 字符"/>
    <w:link w:val="38"/>
    <w:autoRedefine/>
    <w:qFormat/>
    <w:uiPriority w:val="0"/>
    <w:rPr>
      <w:rFonts w:ascii="宋体"/>
      <w:kern w:val="2"/>
      <w:sz w:val="24"/>
      <w:szCs w:val="21"/>
      <w:lang w:val="zh-CN"/>
    </w:rPr>
  </w:style>
  <w:style w:type="character" w:customStyle="1" w:styleId="188">
    <w:name w:val="标题 9 字符"/>
    <w:link w:val="13"/>
    <w:autoRedefine/>
    <w:qFormat/>
    <w:uiPriority w:val="0"/>
    <w:rPr>
      <w:rFonts w:ascii="Arial" w:hAnsi="Arial" w:eastAsia="黑体"/>
      <w:kern w:val="2"/>
      <w:sz w:val="21"/>
      <w:szCs w:val="21"/>
    </w:rPr>
  </w:style>
  <w:style w:type="character" w:customStyle="1" w:styleId="189">
    <w:name w:val="Char Char18"/>
    <w:autoRedefine/>
    <w:qFormat/>
    <w:uiPriority w:val="6"/>
    <w:rPr>
      <w:rFonts w:ascii="宋体" w:hAnsi="宋体"/>
      <w:sz w:val="28"/>
    </w:rPr>
  </w:style>
  <w:style w:type="character" w:customStyle="1" w:styleId="190">
    <w:name w:val="批注文字 Char"/>
    <w:autoRedefine/>
    <w:qFormat/>
    <w:uiPriority w:val="99"/>
    <w:rPr>
      <w:kern w:val="2"/>
      <w:sz w:val="21"/>
      <w:szCs w:val="24"/>
    </w:rPr>
  </w:style>
  <w:style w:type="character" w:customStyle="1" w:styleId="191">
    <w:name w:val="Char Char22"/>
    <w:autoRedefine/>
    <w:qFormat/>
    <w:uiPriority w:val="6"/>
    <w:rPr>
      <w:rFonts w:ascii="宋体" w:hAnsi="宋体"/>
      <w:kern w:val="1"/>
      <w:sz w:val="24"/>
      <w:szCs w:val="24"/>
    </w:rPr>
  </w:style>
  <w:style w:type="character" w:customStyle="1" w:styleId="192">
    <w:name w:val="pt141"/>
    <w:autoRedefine/>
    <w:qFormat/>
    <w:uiPriority w:val="0"/>
    <w:rPr>
      <w:color w:val="330066"/>
      <w:sz w:val="22"/>
      <w:szCs w:val="22"/>
    </w:rPr>
  </w:style>
  <w:style w:type="character" w:customStyle="1" w:styleId="193">
    <w:name w:val="正文文本缩进 2 Char1"/>
    <w:autoRedefine/>
    <w:semiHidden/>
    <w:qFormat/>
    <w:uiPriority w:val="99"/>
    <w:rPr>
      <w:rFonts w:ascii="Times New Roman" w:hAnsi="Times New Roman" w:eastAsia="宋体" w:cs="Times New Roman"/>
      <w:szCs w:val="24"/>
    </w:rPr>
  </w:style>
  <w:style w:type="character" w:customStyle="1" w:styleId="194">
    <w:name w:val="批注框文本 字符1"/>
    <w:link w:val="40"/>
    <w:autoRedefine/>
    <w:qFormat/>
    <w:uiPriority w:val="0"/>
    <w:rPr>
      <w:kern w:val="2"/>
      <w:sz w:val="18"/>
      <w:szCs w:val="18"/>
    </w:rPr>
  </w:style>
  <w:style w:type="character" w:customStyle="1" w:styleId="195">
    <w:name w:val="Char Char611"/>
    <w:autoRedefine/>
    <w:qFormat/>
    <w:uiPriority w:val="0"/>
    <w:rPr>
      <w:rFonts w:eastAsia="宋体"/>
      <w:kern w:val="2"/>
      <w:sz w:val="21"/>
      <w:szCs w:val="24"/>
      <w:lang w:val="en-US" w:eastAsia="zh-CN" w:bidi="ar-SA"/>
    </w:rPr>
  </w:style>
  <w:style w:type="character" w:customStyle="1" w:styleId="196">
    <w:name w:val="highlight1"/>
    <w:autoRedefine/>
    <w:qFormat/>
    <w:uiPriority w:val="0"/>
    <w:rPr>
      <w:rFonts w:ascii="仿宋_GB2312" w:eastAsia="微软雅黑"/>
      <w:b/>
      <w:kern w:val="2"/>
      <w:sz w:val="23"/>
      <w:szCs w:val="23"/>
      <w:lang w:val="en-US" w:eastAsia="zh-CN" w:bidi="ar-SA"/>
    </w:rPr>
  </w:style>
  <w:style w:type="character" w:customStyle="1" w:styleId="197">
    <w:name w:val="my正文 Char"/>
    <w:link w:val="198"/>
    <w:autoRedefine/>
    <w:qFormat/>
    <w:locked/>
    <w:uiPriority w:val="0"/>
    <w:rPr>
      <w:rFonts w:ascii="Tahoma" w:hAnsi="Tahoma"/>
      <w:sz w:val="24"/>
      <w:szCs w:val="24"/>
    </w:rPr>
  </w:style>
  <w:style w:type="paragraph" w:customStyle="1" w:styleId="198">
    <w:name w:val="my正文"/>
    <w:basedOn w:val="1"/>
    <w:link w:val="197"/>
    <w:autoRedefine/>
    <w:qFormat/>
    <w:uiPriority w:val="0"/>
    <w:pPr>
      <w:adjustRightInd/>
      <w:spacing w:line="360" w:lineRule="auto"/>
      <w:ind w:firstLine="480" w:firstLineChars="200"/>
    </w:pPr>
    <w:rPr>
      <w:rFonts w:ascii="Tahoma" w:hAnsi="Tahoma"/>
      <w:kern w:val="0"/>
      <w:sz w:val="24"/>
    </w:rPr>
  </w:style>
  <w:style w:type="character" w:customStyle="1" w:styleId="199">
    <w:name w:val="正文缩进 字符2"/>
    <w:link w:val="18"/>
    <w:autoRedefine/>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autoRedefine/>
    <w:qFormat/>
    <w:uiPriority w:val="0"/>
    <w:rPr>
      <w:color w:val="0000FF"/>
      <w:sz w:val="21"/>
    </w:rPr>
  </w:style>
  <w:style w:type="character" w:customStyle="1" w:styleId="201">
    <w:name w:val="页眉 Char"/>
    <w:autoRedefine/>
    <w:qFormat/>
    <w:uiPriority w:val="0"/>
    <w:rPr>
      <w:rFonts w:eastAsia="仿宋_GB2312"/>
      <w:kern w:val="2"/>
      <w:sz w:val="18"/>
      <w:lang w:val="en-US" w:eastAsia="zh-CN"/>
    </w:rPr>
  </w:style>
  <w:style w:type="character" w:customStyle="1" w:styleId="202">
    <w:name w:val="FA正文 Char Char"/>
    <w:autoRedefine/>
    <w:qFormat/>
    <w:uiPriority w:val="0"/>
    <w:rPr>
      <w:rFonts w:hAnsi="宋体"/>
      <w:kern w:val="2"/>
      <w:sz w:val="24"/>
      <w:lang w:bidi="ar-SA"/>
    </w:rPr>
  </w:style>
  <w:style w:type="character" w:customStyle="1" w:styleId="203">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autoRedefine/>
    <w:qFormat/>
    <w:uiPriority w:val="0"/>
    <w:rPr>
      <w:rFonts w:ascii="宋体" w:hAnsi="宋体"/>
      <w:b/>
      <w:bCs/>
      <w:snapToGrid/>
      <w:sz w:val="28"/>
    </w:rPr>
  </w:style>
  <w:style w:type="paragraph" w:customStyle="1" w:styleId="205">
    <w:name w:val="3级"/>
    <w:basedOn w:val="206"/>
    <w:link w:val="204"/>
    <w:autoRedefine/>
    <w:qFormat/>
    <w:uiPriority w:val="0"/>
    <w:pPr>
      <w:ind w:left="0" w:right="466" w:firstLine="288"/>
    </w:pPr>
    <w:rPr>
      <w:rFonts w:hAnsi="宋体"/>
      <w:snapToGrid/>
    </w:rPr>
  </w:style>
  <w:style w:type="paragraph" w:customStyle="1" w:styleId="206">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autoRedefine/>
    <w:qFormat/>
    <w:uiPriority w:val="0"/>
    <w:rPr>
      <w:rFonts w:ascii="仿宋_GB2312" w:eastAsia="微软雅黑"/>
      <w:b/>
      <w:kern w:val="2"/>
      <w:sz w:val="32"/>
      <w:szCs w:val="32"/>
      <w:lang w:val="en-US" w:eastAsia="zh-CN" w:bidi="ar-SA"/>
    </w:rPr>
  </w:style>
  <w:style w:type="character" w:customStyle="1" w:styleId="208">
    <w:name w:val="文档结构图 字符"/>
    <w:link w:val="22"/>
    <w:autoRedefine/>
    <w:qFormat/>
    <w:uiPriority w:val="0"/>
    <w:rPr>
      <w:kern w:val="2"/>
      <w:sz w:val="21"/>
      <w:szCs w:val="24"/>
      <w:shd w:val="clear" w:color="auto" w:fill="000080"/>
    </w:rPr>
  </w:style>
  <w:style w:type="character" w:customStyle="1" w:styleId="209">
    <w:name w:val="H6 Char"/>
    <w:autoRedefine/>
    <w:qFormat/>
    <w:uiPriority w:val="0"/>
    <w:rPr>
      <w:rFonts w:ascii="Arial" w:hAnsi="Arial" w:eastAsia="黑体"/>
      <w:b/>
      <w:bCs/>
      <w:kern w:val="2"/>
      <w:sz w:val="24"/>
      <w:szCs w:val="24"/>
    </w:rPr>
  </w:style>
  <w:style w:type="character" w:customStyle="1" w:styleId="210">
    <w:name w:val="Char Char91"/>
    <w:autoRedefine/>
    <w:qFormat/>
    <w:uiPriority w:val="0"/>
    <w:rPr>
      <w:rFonts w:eastAsia="宋体"/>
      <w:kern w:val="2"/>
      <w:sz w:val="18"/>
      <w:szCs w:val="18"/>
      <w:lang w:val="en-US" w:eastAsia="zh-CN" w:bidi="ar-SA"/>
    </w:rPr>
  </w:style>
  <w:style w:type="character" w:customStyle="1" w:styleId="211">
    <w:name w:val="副标题 Char1"/>
    <w:autoRedefine/>
    <w:qFormat/>
    <w:uiPriority w:val="0"/>
    <w:rPr>
      <w:rFonts w:ascii="Cambria" w:hAnsi="Cambria" w:eastAsia="宋体" w:cs="Times New Roman"/>
      <w:b/>
      <w:bCs/>
      <w:snapToGrid w:val="0"/>
      <w:kern w:val="28"/>
      <w:sz w:val="32"/>
      <w:szCs w:val="32"/>
    </w:rPr>
  </w:style>
  <w:style w:type="character" w:customStyle="1" w:styleId="212">
    <w:name w:val="font61"/>
    <w:autoRedefine/>
    <w:qFormat/>
    <w:uiPriority w:val="0"/>
    <w:rPr>
      <w:rFonts w:hint="eastAsia" w:ascii="仿宋" w:hAnsi="仿宋" w:eastAsia="仿宋" w:cs="仿宋"/>
      <w:color w:val="000000"/>
      <w:sz w:val="20"/>
      <w:szCs w:val="20"/>
      <w:u w:val="none"/>
    </w:rPr>
  </w:style>
  <w:style w:type="character" w:customStyle="1" w:styleId="21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autoRedefine/>
    <w:qFormat/>
    <w:uiPriority w:val="0"/>
    <w:rPr>
      <w:rFonts w:eastAsia="宋体"/>
      <w:b/>
      <w:bCs/>
      <w:kern w:val="2"/>
      <w:sz w:val="21"/>
      <w:szCs w:val="24"/>
      <w:lang w:val="en-US" w:eastAsia="zh-CN" w:bidi="ar-SA"/>
    </w:rPr>
  </w:style>
  <w:style w:type="character" w:customStyle="1" w:styleId="215">
    <w:name w:val="标题 2 Char"/>
    <w:autoRedefine/>
    <w:qFormat/>
    <w:uiPriority w:val="0"/>
    <w:rPr>
      <w:rFonts w:ascii="Arial" w:hAnsi="Arial" w:eastAsia="黑体"/>
      <w:b/>
      <w:kern w:val="2"/>
      <w:sz w:val="32"/>
      <w:lang w:val="en-US" w:eastAsia="zh-CN"/>
    </w:rPr>
  </w:style>
  <w:style w:type="character" w:customStyle="1" w:styleId="216">
    <w:name w:val="maywed421"/>
    <w:autoRedefine/>
    <w:qFormat/>
    <w:uiPriority w:val="0"/>
    <w:rPr>
      <w:color w:val="366FB6"/>
      <w:u w:val="none"/>
    </w:rPr>
  </w:style>
  <w:style w:type="character" w:customStyle="1" w:styleId="217">
    <w:name w:val="正文文本缩进 Char"/>
    <w:autoRedefine/>
    <w:qFormat/>
    <w:uiPriority w:val="0"/>
    <w:rPr>
      <w:rFonts w:ascii="宋体" w:hAnsi="宋体"/>
      <w:kern w:val="2"/>
      <w:sz w:val="24"/>
      <w:szCs w:val="24"/>
    </w:rPr>
  </w:style>
  <w:style w:type="character" w:customStyle="1" w:styleId="218">
    <w:name w:val="Char Char102"/>
    <w:autoRedefine/>
    <w:semiHidden/>
    <w:qFormat/>
    <w:uiPriority w:val="0"/>
    <w:rPr>
      <w:rFonts w:ascii="宋体" w:hAnsi="宋体"/>
      <w:kern w:val="2"/>
      <w:sz w:val="21"/>
      <w:szCs w:val="24"/>
      <w:lang w:val="en-US" w:eastAsia="zh-CN"/>
    </w:rPr>
  </w:style>
  <w:style w:type="character" w:customStyle="1" w:styleId="219">
    <w:name w:val="页眉 Char1"/>
    <w:autoRedefine/>
    <w:qFormat/>
    <w:uiPriority w:val="0"/>
    <w:rPr>
      <w:rFonts w:eastAsia="宋体"/>
      <w:kern w:val="2"/>
      <w:sz w:val="18"/>
      <w:szCs w:val="18"/>
      <w:lang w:val="en-US" w:eastAsia="zh-CN" w:bidi="ar-SA"/>
    </w:rPr>
  </w:style>
  <w:style w:type="character" w:customStyle="1" w:styleId="220">
    <w:name w:val="md"/>
    <w:basedOn w:val="70"/>
    <w:autoRedefine/>
    <w:qFormat/>
    <w:uiPriority w:val="0"/>
    <w:rPr>
      <w:rFonts w:ascii="Arial" w:hAnsi="Arial" w:eastAsia="黑体" w:cs="Arial"/>
      <w:snapToGrid w:val="0"/>
      <w:kern w:val="0"/>
      <w:szCs w:val="21"/>
    </w:rPr>
  </w:style>
  <w:style w:type="character" w:customStyle="1" w:styleId="221">
    <w:name w:val="big1"/>
    <w:autoRedefine/>
    <w:qFormat/>
    <w:uiPriority w:val="0"/>
    <w:rPr>
      <w:rFonts w:hint="eastAsia" w:ascii="宋体" w:hAnsi="宋体" w:eastAsia="宋体"/>
      <w:color w:val="333333"/>
      <w:sz w:val="22"/>
      <w:szCs w:val="22"/>
    </w:rPr>
  </w:style>
  <w:style w:type="character" w:customStyle="1" w:styleId="222">
    <w:name w:val="Char Char311"/>
    <w:autoRedefine/>
    <w:qFormat/>
    <w:uiPriority w:val="0"/>
    <w:rPr>
      <w:rFonts w:eastAsia="宋体"/>
      <w:kern w:val="2"/>
      <w:sz w:val="21"/>
      <w:szCs w:val="24"/>
      <w:lang w:val="en-US" w:eastAsia="zh-CN" w:bidi="ar-SA"/>
    </w:rPr>
  </w:style>
  <w:style w:type="character" w:customStyle="1" w:styleId="223">
    <w:name w:val="Char Char81"/>
    <w:autoRedefine/>
    <w:qFormat/>
    <w:uiPriority w:val="6"/>
    <w:rPr>
      <w:rFonts w:eastAsia="宋体"/>
      <w:b/>
      <w:sz w:val="24"/>
      <w:lang w:val="en-GB" w:eastAsia="zh-CN"/>
    </w:rPr>
  </w:style>
  <w:style w:type="character" w:customStyle="1" w:styleId="224">
    <w:name w:val="样式3 Char"/>
    <w:basedOn w:val="175"/>
    <w:autoRedefine/>
    <w:qFormat/>
    <w:uiPriority w:val="0"/>
    <w:rPr>
      <w:rFonts w:ascii="仿宋_GB2312" w:hAnsi="仿宋" w:eastAsia="仿宋_GB2312" w:cs="仿宋_GB2312"/>
      <w:sz w:val="32"/>
      <w:szCs w:val="30"/>
      <w:lang w:val="zh-CN"/>
    </w:rPr>
  </w:style>
  <w:style w:type="character" w:customStyle="1" w:styleId="225">
    <w:name w:val="HTML 地址 字符"/>
    <w:link w:val="32"/>
    <w:autoRedefine/>
    <w:qFormat/>
    <w:uiPriority w:val="0"/>
    <w:rPr>
      <w:rFonts w:ascii="宋体" w:hAnsi="宋体"/>
      <w:i/>
      <w:iCs/>
      <w:sz w:val="24"/>
      <w:szCs w:val="24"/>
    </w:rPr>
  </w:style>
  <w:style w:type="character" w:customStyle="1" w:styleId="226">
    <w:name w:val="正文首行缩进 2 Char1"/>
    <w:autoRedefine/>
    <w:qFormat/>
    <w:uiPriority w:val="0"/>
    <w:rPr>
      <w:rFonts w:ascii="Times New Roman" w:hAnsi="Times New Roman" w:eastAsia="宋体" w:cs="Times New Roman"/>
      <w:kern w:val="2"/>
      <w:sz w:val="24"/>
      <w:szCs w:val="24"/>
    </w:rPr>
  </w:style>
  <w:style w:type="character" w:customStyle="1" w:styleId="227">
    <w:name w:val="副标题 Char2"/>
    <w:autoRedefine/>
    <w:qFormat/>
    <w:uiPriority w:val="0"/>
    <w:rPr>
      <w:rFonts w:ascii="Cambria" w:hAnsi="Cambria" w:eastAsia="宋体" w:cs="Times New Roman"/>
      <w:b/>
      <w:bCs/>
      <w:snapToGrid w:val="0"/>
      <w:kern w:val="28"/>
      <w:sz w:val="32"/>
      <w:szCs w:val="32"/>
    </w:rPr>
  </w:style>
  <w:style w:type="character" w:customStyle="1" w:styleId="228">
    <w:name w:val="标题4-dyf Char"/>
    <w:link w:val="229"/>
    <w:autoRedefine/>
    <w:qFormat/>
    <w:uiPriority w:val="0"/>
    <w:rPr>
      <w:rFonts w:ascii="Cambria" w:hAnsi="Cambria"/>
      <w:b/>
      <w:bCs/>
      <w:color w:val="000000"/>
      <w:kern w:val="2"/>
      <w:sz w:val="21"/>
      <w:szCs w:val="21"/>
    </w:rPr>
  </w:style>
  <w:style w:type="paragraph" w:customStyle="1" w:styleId="229">
    <w:name w:val="标题4-dyf"/>
    <w:basedOn w:val="8"/>
    <w:link w:val="22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autoRedefine/>
    <w:qFormat/>
    <w:uiPriority w:val="0"/>
    <w:rPr>
      <w:rFonts w:ascii="宋体" w:hAnsi="宋体" w:eastAsia="宋体"/>
      <w:color w:val="333333"/>
      <w:sz w:val="21"/>
      <w:szCs w:val="21"/>
      <w:u w:val="none"/>
    </w:rPr>
  </w:style>
  <w:style w:type="character" w:customStyle="1" w:styleId="231">
    <w:name w:val="冯 Char"/>
    <w:link w:val="232"/>
    <w:autoRedefine/>
    <w:qFormat/>
    <w:uiPriority w:val="0"/>
    <w:rPr>
      <w:rFonts w:ascii="宋体" w:hAnsi="宋体"/>
      <w:color w:val="000000"/>
      <w:sz w:val="24"/>
      <w:szCs w:val="24"/>
    </w:rPr>
  </w:style>
  <w:style w:type="paragraph" w:customStyle="1" w:styleId="232">
    <w:name w:val="冯"/>
    <w:basedOn w:val="1"/>
    <w:link w:val="23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autoRedefine/>
    <w:qFormat/>
    <w:locked/>
    <w:uiPriority w:val="0"/>
    <w:rPr>
      <w:rFonts w:eastAsia="宋体"/>
      <w:kern w:val="2"/>
      <w:sz w:val="18"/>
      <w:szCs w:val="18"/>
      <w:lang w:val="en-US" w:eastAsia="zh-CN" w:bidi="ar-SA"/>
    </w:rPr>
  </w:style>
  <w:style w:type="character" w:customStyle="1" w:styleId="234">
    <w:name w:val="Char Char12"/>
    <w:autoRedefine/>
    <w:qFormat/>
    <w:uiPriority w:val="0"/>
    <w:rPr>
      <w:rFonts w:ascii="仿宋_GB2312" w:eastAsia="仿宋_GB2312"/>
      <w:b/>
      <w:bCs/>
      <w:kern w:val="2"/>
      <w:sz w:val="24"/>
      <w:szCs w:val="24"/>
      <w:lang w:val="zh-CN" w:eastAsia="zh-CN" w:bidi="ar-SA"/>
    </w:rPr>
  </w:style>
  <w:style w:type="character" w:customStyle="1" w:styleId="235">
    <w:name w:val="题注 字符"/>
    <w:link w:val="20"/>
    <w:autoRedefine/>
    <w:qFormat/>
    <w:uiPriority w:val="0"/>
    <w:rPr>
      <w:b/>
      <w:kern w:val="2"/>
      <w:sz w:val="28"/>
    </w:rPr>
  </w:style>
  <w:style w:type="character" w:customStyle="1" w:styleId="236">
    <w:name w:val="普通文字 Char3"/>
    <w:autoRedefine/>
    <w:qFormat/>
    <w:uiPriority w:val="0"/>
    <w:rPr>
      <w:rFonts w:ascii="宋体" w:hAnsi="Courier New" w:eastAsia="宋体"/>
      <w:kern w:val="2"/>
      <w:sz w:val="21"/>
      <w:lang w:val="en-US" w:eastAsia="zh-CN" w:bidi="ar-SA"/>
    </w:rPr>
  </w:style>
  <w:style w:type="character" w:customStyle="1" w:styleId="237">
    <w:name w:val="公文正文 Char"/>
    <w:autoRedefine/>
    <w:qFormat/>
    <w:uiPriority w:val="0"/>
    <w:rPr>
      <w:rFonts w:ascii="仿宋_GB2312" w:eastAsia="仿宋_GB2312"/>
      <w:kern w:val="2"/>
      <w:sz w:val="24"/>
      <w:szCs w:val="24"/>
      <w:lang w:val="en-US" w:eastAsia="zh-CN" w:bidi="ar-SA"/>
    </w:rPr>
  </w:style>
  <w:style w:type="character" w:customStyle="1" w:styleId="238">
    <w:name w:val="正文首行缩进 Char Char Char Char Char"/>
    <w:autoRedefine/>
    <w:qFormat/>
    <w:uiPriority w:val="0"/>
    <w:rPr>
      <w:rFonts w:ascii="宋体"/>
      <w:kern w:val="2"/>
      <w:sz w:val="24"/>
      <w:lang w:val="zh-CN"/>
    </w:rPr>
  </w:style>
  <w:style w:type="character" w:customStyle="1" w:styleId="239">
    <w:name w:val="PI Char"/>
    <w:autoRedefine/>
    <w:qFormat/>
    <w:uiPriority w:val="0"/>
    <w:rPr>
      <w:rFonts w:ascii="宋体" w:hAnsi="宋体" w:eastAsia="宋体"/>
      <w:kern w:val="2"/>
      <w:sz w:val="24"/>
      <w:szCs w:val="24"/>
      <w:lang w:val="en-US" w:eastAsia="zh-CN" w:bidi="ar-SA"/>
    </w:rPr>
  </w:style>
  <w:style w:type="character" w:customStyle="1" w:styleId="240">
    <w:name w:val="Default Char"/>
    <w:link w:val="241"/>
    <w:autoRedefine/>
    <w:qFormat/>
    <w:uiPriority w:val="0"/>
    <w:rPr>
      <w:rFonts w:ascii="仿宋_GB2312" w:eastAsia="仿宋_GB2312" w:cs="仿宋_GB2312"/>
      <w:color w:val="000000"/>
      <w:sz w:val="24"/>
      <w:szCs w:val="24"/>
      <w:lang w:val="en-US" w:eastAsia="zh-CN" w:bidi="ar-SA"/>
    </w:rPr>
  </w:style>
  <w:style w:type="paragraph" w:customStyle="1" w:styleId="241">
    <w:name w:val="Default"/>
    <w:link w:val="24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19"/>
    <w:autoRedefine/>
    <w:qFormat/>
    <w:uiPriority w:val="0"/>
    <w:rPr>
      <w:rFonts w:ascii="宋体" w:hAnsi="宋体"/>
      <w:kern w:val="2"/>
      <w:sz w:val="24"/>
      <w:szCs w:val="24"/>
    </w:rPr>
  </w:style>
  <w:style w:type="character" w:customStyle="1" w:styleId="272">
    <w:name w:val="font0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3"/>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0"/>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9"/>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5"/>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8"/>
    <w:autoRedefine/>
    <w:qFormat/>
    <w:uiPriority w:val="0"/>
    <w:rPr>
      <w:rFonts w:ascii="黑体" w:hAnsi="Courier New" w:eastAsia="黑体"/>
    </w:rPr>
  </w:style>
  <w:style w:type="character" w:customStyle="1" w:styleId="308">
    <w:name w:val="正文文本 2 字符1"/>
    <w:link w:val="57"/>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8"/>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1"/>
    <w:autoRedefine/>
    <w:qFormat/>
    <w:uiPriority w:val="0"/>
    <w:rPr>
      <w:b/>
      <w:bCs/>
      <w:kern w:val="2"/>
      <w:sz w:val="24"/>
      <w:szCs w:val="24"/>
    </w:rPr>
  </w:style>
  <w:style w:type="character" w:customStyle="1" w:styleId="314">
    <w:name w:val="正文文本缩进 2 字符"/>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1"/>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首行缩进 字符"/>
    <w:link w:val="4"/>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8"/>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6"/>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4"/>
    <w:autoRedefine/>
    <w:qFormat/>
    <w:uiPriority w:val="99"/>
    <w:rPr>
      <w:kern w:val="2"/>
      <w:sz w:val="21"/>
      <w:szCs w:val="24"/>
    </w:rPr>
  </w:style>
  <w:style w:type="character" w:customStyle="1" w:styleId="351">
    <w:name w:val="签名 字符"/>
    <w:link w:val="43"/>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2"/>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4"/>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1"/>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2"/>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style36"/>
    <w:basedOn w:val="70"/>
    <w:autoRedefine/>
    <w:qFormat/>
    <w:uiPriority w:val="0"/>
    <w:rPr>
      <w:rFonts w:ascii="Arial" w:hAnsi="Arial" w:eastAsia="黑体" w:cs="Arial"/>
      <w:snapToGrid w:val="0"/>
      <w:kern w:val="0"/>
      <w:szCs w:val="21"/>
    </w:rPr>
  </w:style>
  <w:style w:type="character" w:customStyle="1" w:styleId="427">
    <w:name w:val="pt9"/>
    <w:autoRedefine/>
    <w:qFormat/>
    <w:uiPriority w:val="0"/>
    <w:rPr>
      <w:rFonts w:ascii="仿宋_GB2312" w:eastAsia="微软雅黑"/>
      <w:b/>
      <w:kern w:val="2"/>
      <w:sz w:val="32"/>
      <w:szCs w:val="32"/>
      <w:lang w:val="en-US" w:eastAsia="zh-CN" w:bidi="ar-SA"/>
    </w:rPr>
  </w:style>
  <w:style w:type="character" w:customStyle="1" w:styleId="428">
    <w:name w:val="DO_NOT_TRANSLATE"/>
    <w:autoRedefine/>
    <w:qFormat/>
    <w:uiPriority w:val="0"/>
    <w:rPr>
      <w:rFonts w:ascii="Courier New" w:hAnsi="Courier New" w:cs="Courier New"/>
      <w:color w:val="800000"/>
      <w:lang w:val="en-US" w:eastAsia="zh-CN"/>
    </w:rPr>
  </w:style>
  <w:style w:type="character" w:customStyle="1" w:styleId="429">
    <w:name w:val="标书1 Char1"/>
    <w:autoRedefine/>
    <w:qFormat/>
    <w:uiPriority w:val="0"/>
    <w:rPr>
      <w:rFonts w:eastAsia="宋体"/>
      <w:b/>
      <w:bCs/>
      <w:kern w:val="44"/>
      <w:sz w:val="44"/>
      <w:szCs w:val="44"/>
      <w:lang w:val="en-US" w:eastAsia="zh-CN" w:bidi="ar-SA"/>
    </w:rPr>
  </w:style>
  <w:style w:type="character" w:customStyle="1" w:styleId="430">
    <w:name w:val="页脚 字符"/>
    <w:autoRedefine/>
    <w:qFormat/>
    <w:uiPriority w:val="99"/>
    <w:rPr>
      <w:kern w:val="2"/>
      <w:sz w:val="18"/>
      <w:szCs w:val="18"/>
    </w:rPr>
  </w:style>
  <w:style w:type="character" w:customStyle="1" w:styleId="431">
    <w:name w:val="正文2 Char"/>
    <w:autoRedefine/>
    <w:qFormat/>
    <w:uiPriority w:val="0"/>
    <w:rPr>
      <w:rFonts w:eastAsia="宋体"/>
      <w:kern w:val="2"/>
      <w:sz w:val="24"/>
      <w:lang w:val="en-US" w:eastAsia="zh-CN" w:bidi="ar-SA"/>
    </w:rPr>
  </w:style>
  <w:style w:type="character" w:customStyle="1" w:styleId="432">
    <w:name w:val="Char Char21"/>
    <w:autoRedefine/>
    <w:qFormat/>
    <w:uiPriority w:val="6"/>
    <w:rPr>
      <w:rFonts w:ascii="宋体" w:hAnsi="宋体"/>
      <w:kern w:val="1"/>
      <w:sz w:val="24"/>
      <w:szCs w:val="21"/>
      <w:lang w:val="zh-CN"/>
    </w:rPr>
  </w:style>
  <w:style w:type="character" w:customStyle="1" w:styleId="433">
    <w:name w:val="样式 正文缩进 + 首行缩进:  2 字符 Char Char"/>
    <w:link w:val="434"/>
    <w:autoRedefine/>
    <w:qFormat/>
    <w:uiPriority w:val="0"/>
    <w:rPr>
      <w:rFonts w:cs="宋体"/>
      <w:kern w:val="2"/>
      <w:sz w:val="24"/>
    </w:rPr>
  </w:style>
  <w:style w:type="paragraph" w:customStyle="1" w:styleId="434">
    <w:name w:val="样式 正文缩进 + 首行缩进:  2 字符"/>
    <w:basedOn w:val="18"/>
    <w:link w:val="433"/>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5"/>
    <w:autoRedefine/>
    <w:qFormat/>
    <w:uiPriority w:val="0"/>
    <w:rPr>
      <w:rFonts w:ascii="宋体" w:hAnsi="Arial" w:eastAsia="宋体" w:cs="Arial"/>
      <w:snapToGrid w:val="0"/>
      <w:kern w:val="2"/>
      <w:sz w:val="24"/>
      <w:szCs w:val="21"/>
      <w:lang w:val="zh-CN" w:eastAsia="zh-CN" w:bidi="ar-SA"/>
    </w:rPr>
  </w:style>
  <w:style w:type="character" w:customStyle="1" w:styleId="436">
    <w:name w:val="gray6"/>
    <w:basedOn w:val="70"/>
    <w:autoRedefine/>
    <w:qFormat/>
    <w:uiPriority w:val="0"/>
    <w:rPr>
      <w:rFonts w:ascii="Arial" w:hAnsi="Arial" w:eastAsia="黑体" w:cs="Arial"/>
      <w:snapToGrid w:val="0"/>
      <w:kern w:val="0"/>
      <w:szCs w:val="21"/>
    </w:rPr>
  </w:style>
  <w:style w:type="character" w:customStyle="1" w:styleId="437">
    <w:name w:val="hui"/>
    <w:basedOn w:val="70"/>
    <w:autoRedefine/>
    <w:qFormat/>
    <w:uiPriority w:val="0"/>
    <w:rPr>
      <w:rFonts w:ascii="Arial" w:hAnsi="Arial" w:eastAsia="黑体" w:cs="Arial"/>
      <w:snapToGrid w:val="0"/>
      <w:kern w:val="0"/>
      <w:szCs w:val="21"/>
    </w:rPr>
  </w:style>
  <w:style w:type="character" w:customStyle="1" w:styleId="438">
    <w:name w:val="哈哈正文 Char Char"/>
    <w:autoRedefine/>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19"/>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autoRedefine/>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autoRedefine/>
    <w:qFormat/>
    <w:uiPriority w:val="0"/>
    <w:pPr>
      <w:spacing w:before="120" w:line="360" w:lineRule="auto"/>
      <w:ind w:firstLine="567"/>
    </w:pPr>
    <w:rPr>
      <w:rFonts w:ascii="Arial" w:hAnsi="Arial"/>
      <w:sz w:val="20"/>
      <w:szCs w:val="20"/>
    </w:rPr>
  </w:style>
  <w:style w:type="paragraph" w:customStyle="1" w:styleId="44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autoRedefine/>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autoRedefine/>
    <w:qFormat/>
    <w:uiPriority w:val="0"/>
    <w:pPr>
      <w:adjustRightInd/>
      <w:ind w:firstLine="200" w:firstLineChars="200"/>
    </w:pPr>
    <w:rPr>
      <w:rFonts w:ascii="Tahoma" w:hAnsi="Tahoma"/>
      <w:sz w:val="24"/>
      <w:szCs w:val="20"/>
    </w:rPr>
  </w:style>
  <w:style w:type="paragraph" w:customStyle="1" w:styleId="45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autoRedefine/>
    <w:qFormat/>
    <w:uiPriority w:val="0"/>
    <w:pPr>
      <w:tabs>
        <w:tab w:val="left" w:pos="360"/>
      </w:tabs>
    </w:pPr>
    <w:rPr>
      <w:sz w:val="24"/>
      <w:szCs w:val="20"/>
    </w:rPr>
  </w:style>
  <w:style w:type="paragraph" w:customStyle="1" w:styleId="461">
    <w:name w:val="Char Char11 Char Char Char"/>
    <w:basedOn w:val="1"/>
    <w:autoRedefine/>
    <w:qFormat/>
    <w:uiPriority w:val="0"/>
    <w:pPr>
      <w:spacing w:line="360" w:lineRule="auto"/>
    </w:pPr>
    <w:rPr>
      <w:szCs w:val="20"/>
    </w:rPr>
  </w:style>
  <w:style w:type="paragraph" w:customStyle="1" w:styleId="46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autoRedefine/>
    <w:qFormat/>
    <w:uiPriority w:val="0"/>
    <w:pPr>
      <w:tabs>
        <w:tab w:val="left" w:pos="840"/>
      </w:tabs>
      <w:ind w:left="840" w:hanging="420"/>
    </w:pPr>
    <w:rPr>
      <w:rFonts w:ascii="Tahoma" w:hAnsi="Tahoma"/>
      <w:sz w:val="24"/>
    </w:rPr>
  </w:style>
  <w:style w:type="paragraph" w:customStyle="1" w:styleId="46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autoRedefine/>
    <w:qFormat/>
    <w:uiPriority w:val="0"/>
    <w:pPr>
      <w:adjustRightInd/>
      <w:spacing w:before="156" w:line="360" w:lineRule="auto"/>
      <w:ind w:firstLine="510" w:firstLineChars="200"/>
    </w:pPr>
    <w:rPr>
      <w:sz w:val="24"/>
      <w:szCs w:val="20"/>
    </w:rPr>
  </w:style>
  <w:style w:type="paragraph" w:customStyle="1" w:styleId="470">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autoRedefine/>
    <w:qFormat/>
    <w:uiPriority w:val="0"/>
    <w:rPr>
      <w:rFonts w:ascii="仿宋_GB2312" w:eastAsia="仿宋_GB2312"/>
      <w:b/>
      <w:sz w:val="32"/>
      <w:szCs w:val="32"/>
    </w:rPr>
  </w:style>
  <w:style w:type="paragraph" w:customStyle="1" w:styleId="47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5">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6">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autoRedefine/>
    <w:qFormat/>
    <w:uiPriority w:val="0"/>
    <w:pPr>
      <w:keepNext/>
      <w:tabs>
        <w:tab w:val="left" w:pos="360"/>
      </w:tabs>
      <w:spacing w:before="0" w:after="0"/>
      <w:outlineLvl w:val="5"/>
    </w:pPr>
  </w:style>
  <w:style w:type="paragraph" w:customStyle="1" w:styleId="478">
    <w:name w:val="5级标题"/>
    <w:basedOn w:val="479"/>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1">
    <w:name w:val="Char2 Char Char"/>
    <w:basedOn w:val="1"/>
    <w:autoRedefine/>
    <w:qFormat/>
    <w:uiPriority w:val="0"/>
    <w:pPr>
      <w:adjustRightInd/>
    </w:pPr>
    <w:rPr>
      <w:rFonts w:ascii="Tahoma" w:hAnsi="Tahoma"/>
      <w:sz w:val="24"/>
      <w:szCs w:val="20"/>
    </w:rPr>
  </w:style>
  <w:style w:type="paragraph" w:customStyle="1" w:styleId="482">
    <w:name w:val="_Style 11"/>
    <w:basedOn w:val="1"/>
    <w:autoRedefine/>
    <w:qFormat/>
    <w:uiPriority w:val="34"/>
    <w:pPr>
      <w:adjustRightInd/>
      <w:ind w:firstLine="420" w:firstLineChars="200"/>
    </w:pPr>
    <w:rPr>
      <w:rFonts w:eastAsia="仿宋_GB2312"/>
      <w:sz w:val="28"/>
    </w:rPr>
  </w:style>
  <w:style w:type="paragraph" w:customStyle="1" w:styleId="483">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autoRedefine/>
    <w:qFormat/>
    <w:uiPriority w:val="0"/>
    <w:rPr>
      <w:rFonts w:ascii="Tahoma" w:hAnsi="Tahoma"/>
      <w:sz w:val="24"/>
      <w:szCs w:val="20"/>
    </w:rPr>
  </w:style>
  <w:style w:type="paragraph" w:customStyle="1" w:styleId="485">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autoRedefine/>
    <w:qFormat/>
    <w:uiPriority w:val="99"/>
    <w:rPr>
      <w:szCs w:val="22"/>
    </w:rPr>
  </w:style>
  <w:style w:type="paragraph" w:customStyle="1" w:styleId="488">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autoRedefine/>
    <w:qFormat/>
    <w:uiPriority w:val="6"/>
    <w:rPr>
      <w:rFonts w:ascii="Tahoma" w:hAnsi="Tahoma" w:cs="仿宋_GB2312"/>
      <w:sz w:val="24"/>
      <w:szCs w:val="20"/>
    </w:rPr>
  </w:style>
  <w:style w:type="paragraph" w:customStyle="1" w:styleId="490">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6"/>
    <w:autoRedefine/>
    <w:qFormat/>
    <w:uiPriority w:val="0"/>
    <w:pPr>
      <w:tabs>
        <w:tab w:val="left" w:pos="1260"/>
      </w:tabs>
      <w:ind w:left="1260" w:hanging="420"/>
    </w:pPr>
    <w:rPr>
      <w:rFonts w:ascii="Arial" w:hAnsi="Arial" w:eastAsia="黑体"/>
      <w:lang w:val="en-US"/>
    </w:rPr>
  </w:style>
  <w:style w:type="paragraph" w:customStyle="1" w:styleId="494">
    <w:name w:val="五级无标题条"/>
    <w:basedOn w:val="1"/>
    <w:autoRedefine/>
    <w:qFormat/>
    <w:uiPriority w:val="0"/>
    <w:pPr>
      <w:adjustRightInd/>
    </w:pPr>
  </w:style>
  <w:style w:type="paragraph" w:customStyle="1" w:styleId="495">
    <w:name w:val="Char5"/>
    <w:basedOn w:val="1"/>
    <w:autoRedefine/>
    <w:qFormat/>
    <w:uiPriority w:val="0"/>
    <w:rPr>
      <w:rFonts w:ascii="仿宋_GB2312" w:eastAsia="仿宋_GB2312"/>
      <w:b/>
      <w:sz w:val="32"/>
      <w:szCs w:val="32"/>
    </w:rPr>
  </w:style>
  <w:style w:type="paragraph" w:customStyle="1" w:styleId="496">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autoRedefine/>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autoRedefine/>
    <w:qFormat/>
    <w:uiPriority w:val="0"/>
    <w:rPr>
      <w:rFonts w:ascii="仿宋_GB2312" w:eastAsia="仿宋_GB2312"/>
      <w:b/>
      <w:sz w:val="32"/>
      <w:szCs w:val="32"/>
    </w:rPr>
  </w:style>
  <w:style w:type="paragraph" w:customStyle="1" w:styleId="500">
    <w:name w:val="数字标题3"/>
    <w:basedOn w:val="7"/>
    <w:next w:val="1"/>
    <w:autoRedefine/>
    <w:qFormat/>
    <w:uiPriority w:val="0"/>
    <w:pPr>
      <w:spacing w:line="240" w:lineRule="auto"/>
    </w:pPr>
    <w:rPr>
      <w:sz w:val="28"/>
      <w:szCs w:val="28"/>
    </w:rPr>
  </w:style>
  <w:style w:type="paragraph" w:customStyle="1" w:styleId="501">
    <w:name w:val="FA正文"/>
    <w:basedOn w:val="1"/>
    <w:autoRedefine/>
    <w:qFormat/>
    <w:uiPriority w:val="0"/>
    <w:pPr>
      <w:spacing w:line="360" w:lineRule="auto"/>
      <w:ind w:firstLine="480" w:firstLineChars="200"/>
    </w:pPr>
    <w:rPr>
      <w:rFonts w:hAnsi="宋体"/>
      <w:sz w:val="24"/>
      <w:szCs w:val="20"/>
    </w:rPr>
  </w:style>
  <w:style w:type="paragraph" w:customStyle="1" w:styleId="502">
    <w:name w:val="MM Topic 5"/>
    <w:basedOn w:val="9"/>
    <w:autoRedefine/>
    <w:qFormat/>
    <w:uiPriority w:val="0"/>
    <w:pPr>
      <w:tabs>
        <w:tab w:val="left" w:pos="2520"/>
      </w:tabs>
      <w:adjustRightInd/>
      <w:ind w:left="2520" w:hanging="420"/>
    </w:pPr>
  </w:style>
  <w:style w:type="paragraph" w:customStyle="1" w:styleId="503">
    <w:name w:val="Char Char Char Char Char Char Char Char Char Char1"/>
    <w:basedOn w:val="1"/>
    <w:autoRedefine/>
    <w:qFormat/>
    <w:uiPriority w:val="0"/>
    <w:rPr>
      <w:rFonts w:ascii="仿宋_GB2312" w:eastAsia="仿宋_GB2312"/>
      <w:b/>
      <w:sz w:val="32"/>
      <w:szCs w:val="32"/>
    </w:rPr>
  </w:style>
  <w:style w:type="paragraph" w:customStyle="1" w:styleId="50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autoRedefine/>
    <w:qFormat/>
    <w:uiPriority w:val="0"/>
    <w:rPr>
      <w:rFonts w:ascii="仿宋_GB2312" w:eastAsia="仿宋_GB2312"/>
      <w:b/>
      <w:sz w:val="32"/>
      <w:szCs w:val="32"/>
    </w:rPr>
  </w:style>
  <w:style w:type="paragraph" w:customStyle="1" w:styleId="507">
    <w:name w:val="Char2 Char Char Char1"/>
    <w:basedOn w:val="1"/>
    <w:autoRedefine/>
    <w:qFormat/>
    <w:uiPriority w:val="6"/>
    <w:rPr>
      <w:rFonts w:ascii="仿宋_GB2312" w:eastAsia="仿宋_GB2312"/>
      <w:b/>
      <w:sz w:val="32"/>
      <w:szCs w:val="32"/>
    </w:rPr>
  </w:style>
  <w:style w:type="paragraph" w:customStyle="1" w:styleId="508">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7"/>
    <w:autoRedefine/>
    <w:qFormat/>
    <w:uiPriority w:val="0"/>
    <w:pPr>
      <w:tabs>
        <w:tab w:val="left" w:pos="1680"/>
      </w:tabs>
      <w:adjustRightInd/>
      <w:ind w:left="1680" w:hanging="420"/>
    </w:pPr>
  </w:style>
  <w:style w:type="paragraph" w:customStyle="1" w:styleId="512">
    <w:name w:val="标准小四"/>
    <w:basedOn w:val="1"/>
    <w:autoRedefine/>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autoRedefine/>
    <w:qFormat/>
    <w:uiPriority w:val="0"/>
    <w:pPr>
      <w:adjustRightInd/>
      <w:snapToGrid w:val="0"/>
      <w:spacing w:line="300" w:lineRule="auto"/>
    </w:pPr>
    <w:rPr>
      <w:rFonts w:eastAsia="仿宋"/>
      <w:szCs w:val="21"/>
    </w:rPr>
  </w:style>
  <w:style w:type="paragraph" w:customStyle="1" w:styleId="5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autoRedefine/>
    <w:qFormat/>
    <w:uiPriority w:val="6"/>
    <w:pPr>
      <w:adjustRightInd/>
    </w:pPr>
    <w:rPr>
      <w:rFonts w:ascii="Tahoma" w:hAnsi="Tahoma"/>
      <w:sz w:val="24"/>
      <w:szCs w:val="20"/>
    </w:rPr>
  </w:style>
  <w:style w:type="paragraph" w:customStyle="1" w:styleId="517">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20">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4">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仿宋_GB2312" w:eastAsia="仿宋_GB2312"/>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仿宋_GB2312"/>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1"/>
    <w:next w:val="241"/>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1"/>
    <w:next w:val="241"/>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仿宋_GB2312" w:eastAsia="仿宋_GB2312"/>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仿宋_GB2312" w:eastAsia="仿宋_GB2312"/>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19"/>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仿宋_GB2312" w:eastAsia="仿宋_GB2312"/>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19"/>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仿宋_GB2312" w:eastAsia="仿宋_GB2312"/>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仿宋_GB2312" w:eastAsia="仿宋_GB2312"/>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3"/>
    <w:autoRedefine/>
    <w:qFormat/>
    <w:uiPriority w:val="0"/>
    <w:pPr>
      <w:tabs>
        <w:tab w:val="left" w:pos="840"/>
      </w:tabs>
      <w:adjustRightInd/>
      <w:ind w:left="840" w:hanging="420"/>
    </w:pPr>
  </w:style>
  <w:style w:type="paragraph" w:customStyle="1" w:styleId="629">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仿宋_GB2312"/>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仿宋_GB2312" w:eastAsia="仿宋_GB2312"/>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仿宋_GB2312" w:eastAsia="仿宋_GB2312"/>
      <w:b/>
      <w:sz w:val="32"/>
      <w:szCs w:val="32"/>
    </w:rPr>
  </w:style>
  <w:style w:type="paragraph" w:customStyle="1" w:styleId="705">
    <w:name w:val="正文缩进1"/>
    <w:basedOn w:val="1"/>
    <w:next w:val="19"/>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9"/>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仿宋_GB2312" w:eastAsia="仿宋_GB2312"/>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仿宋_GB2312" w:eastAsia="仿宋_GB2312"/>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autoRedefine/>
    <w:qFormat/>
    <w:uiPriority w:val="34"/>
    <w:pPr>
      <w:adjustRightInd/>
      <w:ind w:firstLine="420" w:firstLineChars="200"/>
    </w:pPr>
    <w:rPr>
      <w:rFonts w:eastAsia="仿宋_GB2312"/>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5"/>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19"/>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仿宋_GB2312" w:eastAsia="仿宋_GB2312"/>
      <w:b/>
      <w:sz w:val="32"/>
      <w:szCs w:val="32"/>
    </w:rPr>
  </w:style>
  <w:style w:type="paragraph" w:customStyle="1" w:styleId="789">
    <w:name w:val="Char111"/>
    <w:basedOn w:val="1"/>
    <w:autoRedefine/>
    <w:qFormat/>
    <w:uiPriority w:val="0"/>
    <w:rPr>
      <w:rFonts w:ascii="仿宋_GB2312" w:eastAsia="仿宋_GB2312"/>
      <w:b/>
      <w:sz w:val="32"/>
      <w:szCs w:val="32"/>
    </w:rPr>
  </w:style>
  <w:style w:type="paragraph" w:customStyle="1" w:styleId="790">
    <w:name w:val="标题3"/>
    <w:basedOn w:val="7"/>
    <w:next w:val="54"/>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仿宋_GB2312" w:eastAsia="仿宋_GB2312"/>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仿宋_GB2312" w:eastAsia="仿宋_GB2312"/>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仿宋_GB2312" w:eastAsia="仿宋_GB2312"/>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仿宋_GB2312"/>
      <w:sz w:val="24"/>
      <w:szCs w:val="20"/>
    </w:rPr>
  </w:style>
  <w:style w:type="paragraph" w:customStyle="1" w:styleId="843">
    <w:name w:val="正文11"/>
    <w:basedOn w:val="34"/>
    <w:autoRedefine/>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19"/>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2"/>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autoRedefine/>
    <w:qFormat/>
    <w:uiPriority w:val="0"/>
    <w:pPr>
      <w:tabs>
        <w:tab w:val="left" w:pos="1080"/>
      </w:tabs>
      <w:ind w:left="1080" w:hanging="1080"/>
    </w:pPr>
  </w:style>
  <w:style w:type="paragraph" w:customStyle="1" w:styleId="900">
    <w:name w:val="数字标题1"/>
    <w:basedOn w:val="3"/>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仿宋_GB2312"/>
      <w:sz w:val="28"/>
    </w:rPr>
  </w:style>
  <w:style w:type="paragraph" w:customStyle="1" w:styleId="90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autoRedefine/>
    <w:qFormat/>
    <w:uiPriority w:val="34"/>
    <w:pPr>
      <w:adjustRightInd/>
      <w:ind w:firstLine="420" w:firstLineChars="200"/>
    </w:pPr>
    <w:rPr>
      <w:rFonts w:eastAsia="仿宋_GB2312"/>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仿宋_GB2312"/>
      <w:sz w:val="28"/>
    </w:rPr>
  </w:style>
  <w:style w:type="paragraph" w:customStyle="1" w:styleId="917">
    <w:name w:val="正文 图"/>
    <w:basedOn w:val="448"/>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2"/>
    <w:autoRedefine/>
    <w:qFormat/>
    <w:uiPriority w:val="0"/>
    <w:rPr>
      <w:kern w:val="2"/>
      <w:sz w:val="21"/>
      <w:szCs w:val="24"/>
      <w:lang w:val="zh-CN"/>
    </w:rPr>
  </w:style>
  <w:style w:type="character" w:customStyle="1" w:styleId="936">
    <w:name w:val="无间隔 字符"/>
    <w:link w:val="487"/>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4"/>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WPSOffice手动目录 1"/>
    <w:autoRedefine/>
    <w:qFormat/>
    <w:uiPriority w:val="0"/>
    <w:rPr>
      <w:rFonts w:ascii="Times New Roman" w:hAnsi="Times New Roman" w:eastAsia="宋体" w:cs="Times New Roman"/>
      <w:lang w:val="en-US" w:eastAsia="zh-CN" w:bidi="ar-SA"/>
    </w:rPr>
  </w:style>
  <w:style w:type="paragraph" w:customStyle="1" w:styleId="969">
    <w:name w:val="正文空2格  1."/>
    <w:basedOn w:val="1"/>
    <w:autoRedefine/>
    <w:qFormat/>
    <w:uiPriority w:val="0"/>
    <w:pPr>
      <w:ind w:firstLine="480" w:firstLineChars="200"/>
    </w:pPr>
    <w:rPr>
      <w:rFonts w:cs="宋体"/>
      <w:sz w:val="28"/>
    </w:rPr>
  </w:style>
  <w:style w:type="paragraph" w:customStyle="1" w:styleId="970">
    <w:name w:val="正文-正文"/>
    <w:basedOn w:val="1"/>
    <w:autoRedefine/>
    <w:qFormat/>
    <w:uiPriority w:val="0"/>
    <w:rPr>
      <w:rFonts w:eastAsia="仿宋_GB2312"/>
      <w:sz w:val="28"/>
    </w:rPr>
  </w:style>
  <w:style w:type="paragraph" w:customStyle="1" w:styleId="971">
    <w:name w:val="段落正文"/>
    <w:basedOn w:val="1"/>
    <w:autoRedefine/>
    <w:qFormat/>
    <w:uiPriority w:val="0"/>
  </w:style>
  <w:style w:type="paragraph" w:customStyle="1" w:styleId="972">
    <w:name w:val="实施细则一级有序列表"/>
    <w:basedOn w:val="1"/>
    <w:qFormat/>
    <w:uiPriority w:val="0"/>
    <w:pPr>
      <w:numPr>
        <w:ilvl w:val="0"/>
        <w:numId w:val="1"/>
      </w:numPr>
      <w:spacing w:line="580" w:lineRule="exact"/>
      <w:ind w:left="0" w:firstLine="640" w:firstLineChars="200"/>
    </w:pPr>
    <w:rPr>
      <w:rFonts w:hint="eastAsia" w:ascii="仿宋_GB2312" w:hAnsi="仿宋_GB2312" w:eastAsia="仿宋_GB2312" w:cstheme="min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5609</Words>
  <Characters>6192</Characters>
  <Lines>414</Lines>
  <Paragraphs>116</Paragraphs>
  <TotalTime>2</TotalTime>
  <ScaleCrop>false</ScaleCrop>
  <LinksUpToDate>false</LinksUpToDate>
  <CharactersWithSpaces>6390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2025-05-09T00:06:00Z</dcterms:created>
  <dc:creator>玥</dc:creator>
  <cp:lastModifiedBy>WPS_1671501819</cp:lastModifiedBy>
  <cp:lastPrinted>2025-05-09T07:45:00Z</cp:lastPrinted>
  <dcterms:modified xsi:type="dcterms:W3CDTF">2025-05-13T01:18:27Z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A511869F7E334F968922C6819474D988_13</vt:lpwstr>
  </property>
  <property fmtid="{D5CDD505-2E9C-101B-9397-08002B2CF9AE}" pid="5" name="KSOTemplateDocerSaveRecord">
    <vt:lpwstr>eyJoZGlkIjoiMDNkYjc0ZWU4NzVhZTExMDM2ZmQxNjM0OTUwYzg1NTEiLCJ1c2VySWQiOiIxNDU5OTc4MTIwIn0=</vt:lpwstr>
  </property>
</Properties>
</file>