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2025-2026年度宁海县排水水质检测服务项目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：NBGJ2025-CG0016</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宁海县水利局</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2025</w:t>
      </w:r>
      <w:r>
        <w:rPr>
          <w:rFonts w:hint="eastAsia" w:ascii="宋体" w:hAnsi="宋体" w:eastAsia="宋体" w:cs="宋体"/>
          <w:bCs/>
          <w:sz w:val="32"/>
          <w:szCs w:val="32"/>
        </w:rPr>
        <w:t>年</w:t>
      </w:r>
      <w:r>
        <w:rPr>
          <w:rFonts w:hint="eastAsia" w:ascii="宋体" w:hAnsi="宋体" w:cs="宋体"/>
          <w:bCs/>
          <w:sz w:val="32"/>
          <w:szCs w:val="32"/>
          <w:lang w:val="en-US" w:eastAsia="zh-CN"/>
        </w:rPr>
        <w:t>4</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pStyle w:val="636"/>
        <w:rPr>
          <w:rFonts w:hint="eastAsia" w:ascii="宋体" w:hAnsi="宋体" w:eastAsia="宋体" w:cs="宋体"/>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360" w:lineRule="auto"/>
        <w:rPr>
          <w:rFonts w:hint="eastAsia" w:ascii="宋体" w:hAnsi="宋体" w:eastAsia="宋体" w:cs="宋体"/>
          <w:sz w:val="24"/>
        </w:rPr>
      </w:pPr>
    </w:p>
    <w:bookmarkEnd w:id="2"/>
    <w:p w14:paraId="7E86E460">
      <w:pPr>
        <w:adjustRightInd/>
        <w:spacing w:line="360" w:lineRule="auto"/>
        <w:jc w:val="center"/>
        <w:outlineLvl w:val="0"/>
        <w:rPr>
          <w:rFonts w:hint="eastAsia" w:ascii="宋体" w:hAnsi="宋体" w:eastAsia="宋体" w:cs="宋体"/>
          <w:b/>
          <w:sz w:val="36"/>
          <w:szCs w:val="20"/>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2025-2026年度宁海县排水水质检测服务项目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NBGJ2025-CG0016</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2025-2026年度宁海县排水水质检测服务项目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1500000元；</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1500000元；</w:t>
      </w:r>
      <w:r>
        <w:rPr>
          <w:rFonts w:hint="eastAsia" w:ascii="宋体" w:hAnsi="宋体" w:cs="宋体"/>
          <w:sz w:val="24"/>
          <w:lang w:val="en-US" w:eastAsia="zh-CN"/>
        </w:rPr>
        <w:t xml:space="preserve"> </w:t>
      </w:r>
    </w:p>
    <w:p w14:paraId="06F334B8">
      <w:pPr>
        <w:pStyle w:val="5"/>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5"/>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2025-2026年度宁海县排水水质检测服务项目</w:t>
      </w:r>
    </w:p>
    <w:p w14:paraId="20FDD1C8">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645488C1">
      <w:pPr>
        <w:pStyle w:val="5"/>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w:t>
      </w:r>
      <w:r>
        <w:rPr>
          <w:rFonts w:hint="eastAsia" w:hAnsi="宋体" w:cs="宋体"/>
          <w:sz w:val="24"/>
          <w:lang w:val="en-US" w:eastAsia="zh-CN"/>
        </w:rPr>
        <w:t>15</w:t>
      </w:r>
      <w:r>
        <w:rPr>
          <w:rFonts w:hint="eastAsia" w:ascii="宋体" w:hAnsi="宋体" w:cs="宋体"/>
          <w:sz w:val="24"/>
          <w:lang w:val="en-US" w:eastAsia="zh-CN"/>
        </w:rPr>
        <w:t>00000元；</w:t>
      </w:r>
      <w:r>
        <w:rPr>
          <w:rFonts w:hint="eastAsia" w:hAnsi="宋体" w:cs="宋体"/>
          <w:bCs/>
          <w:snapToGrid/>
          <w:color w:val="auto"/>
          <w:kern w:val="2"/>
          <w:sz w:val="24"/>
          <w:szCs w:val="24"/>
          <w:lang w:val="en-US" w:eastAsia="zh-CN"/>
        </w:rPr>
        <w:t xml:space="preserve"> </w:t>
      </w:r>
    </w:p>
    <w:p w14:paraId="7F136ABD">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0"/>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cs="宋体"/>
          <w:color w:val="auto"/>
          <w:kern w:val="0"/>
          <w:sz w:val="24"/>
          <w:lang w:val="en-US" w:eastAsia="zh-CN"/>
        </w:rPr>
        <w:t>2年，合同为一年一签，经政府采购计划批准并经采购人考核通过，双方同意后，续订下一年度合同；具体检测的时间以采购人通知为准</w:t>
      </w:r>
      <w:r>
        <w:rPr>
          <w:rFonts w:hint="eastAsia" w:ascii="宋体" w:hAnsi="宋体" w:eastAsia="宋体" w:cs="宋体"/>
          <w:bCs/>
          <w:szCs w:val="24"/>
        </w:rPr>
        <w:t>。</w:t>
      </w:r>
    </w:p>
    <w:p w14:paraId="45D2E635">
      <w:pPr>
        <w:pStyle w:val="5"/>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eastAsia="宋体" w:cs="宋体"/>
          <w:snapToGrid w:val="0"/>
          <w:kern w:val="28"/>
          <w:sz w:val="24"/>
          <w:szCs w:val="20"/>
        </w:rPr>
        <w:t>.落实政府采购政策需满足的资格要求：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15885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r>
        <w:rPr>
          <w:rFonts w:hint="eastAsia" w:ascii="宋体" w:hAnsi="宋体" w:eastAsia="宋体" w:cs="宋体"/>
          <w:sz w:val="24"/>
          <w:lang w:val="en-US" w:eastAsia="zh-CN"/>
        </w:rPr>
        <w:t>供应商</w:t>
      </w:r>
      <w:r>
        <w:rPr>
          <w:rFonts w:hint="eastAsia" w:ascii="宋体" w:hAnsi="宋体" w:eastAsia="宋体" w:cs="宋体"/>
          <w:kern w:val="2"/>
          <w:sz w:val="24"/>
          <w:szCs w:val="24"/>
        </w:rPr>
        <w:t>拥有中国计量认证“CMA”资质（资质认定的项目及范围应包含</w:t>
      </w:r>
      <w:r>
        <w:rPr>
          <w:rFonts w:hint="eastAsia" w:ascii="宋体" w:hAnsi="宋体" w:eastAsia="宋体" w:cs="宋体"/>
          <w:kern w:val="2"/>
          <w:sz w:val="24"/>
          <w:szCs w:val="24"/>
          <w:lang w:val="en-US" w:eastAsia="zh-CN"/>
        </w:rPr>
        <w:t>本项目需要</w:t>
      </w:r>
      <w:r>
        <w:rPr>
          <w:rFonts w:hint="eastAsia" w:ascii="宋体" w:hAnsi="宋体" w:eastAsia="宋体" w:cs="宋体"/>
          <w:kern w:val="2"/>
          <w:sz w:val="24"/>
          <w:szCs w:val="24"/>
        </w:rPr>
        <w:t>的所有项），并可出具正式检测报告</w:t>
      </w:r>
      <w:r>
        <w:rPr>
          <w:rFonts w:hint="eastAsia" w:ascii="宋体" w:hAnsi="宋体" w:eastAsia="宋体" w:cs="宋体"/>
          <w:sz w:val="24"/>
        </w:rPr>
        <w:t>。</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宁海县水利局</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val="en-US" w:eastAsia="zh-CN"/>
        </w:rPr>
        <w:t xml:space="preserve">吕先生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0574-59958083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 xml:space="preserve">陈学飞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 xml:space="preserve">0574-65556700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eastAsia="宋体" w:cs="宋体"/>
                <w:sz w:val="24"/>
              </w:rPr>
              <w:t>服务类。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B6BCB">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sz w:val="24"/>
                <w:u w:val="single"/>
                <w:lang w:eastAsia="zh-CN"/>
              </w:rPr>
              <w:t>污水检</w:t>
            </w:r>
            <w:r>
              <w:rPr>
                <w:rFonts w:hint="eastAsia" w:ascii="宋体" w:hAnsi="宋体" w:eastAsia="宋体" w:cs="宋体"/>
                <w:kern w:val="0"/>
                <w:sz w:val="24"/>
                <w:u w:val="single"/>
              </w:rPr>
              <w:t>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29F3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bCs/>
                <w:color w:val="auto"/>
                <w:sz w:val="24"/>
                <w:szCs w:val="24"/>
                <w:lang w:val="en-US" w:eastAsia="zh-CN"/>
              </w:rPr>
              <w:t>本项目检测报告综合单价最高限价600元/个，单价报价超过综合单价最高限价的，作无效标处理。</w:t>
            </w:r>
            <w:r>
              <w:rPr>
                <w:rFonts w:hint="eastAsia" w:ascii="宋体" w:hAnsi="宋体" w:eastAsia="宋体" w:cs="宋体"/>
                <w:kern w:val="0"/>
                <w:sz w:val="24"/>
                <w:lang w:val="zh-CN"/>
              </w:rPr>
              <w:t>投标文件中价格全部采用人民币报价。招标文件未列明，而投标人认为必需的费用也需列入报价。本项目投标报价包括但不仅限于：</w:t>
            </w:r>
            <w:r>
              <w:rPr>
                <w:rFonts w:hint="eastAsia" w:ascii="宋体" w:hAnsi="宋体" w:eastAsia="宋体" w:cs="宋体"/>
                <w:kern w:val="0"/>
                <w:sz w:val="24"/>
                <w:lang w:val="en-US" w:eastAsia="zh-CN"/>
              </w:rPr>
              <w:t>人员各类费用、交通费、</w:t>
            </w:r>
            <w:r>
              <w:rPr>
                <w:rFonts w:hint="eastAsia" w:ascii="宋体" w:hAnsi="宋体" w:eastAsia="宋体" w:cs="宋体"/>
                <w:kern w:val="0"/>
                <w:sz w:val="24"/>
                <w:lang w:val="zh-CN"/>
              </w:rPr>
              <w:t>检测</w:t>
            </w:r>
            <w:r>
              <w:rPr>
                <w:rFonts w:hint="eastAsia" w:ascii="宋体" w:hAnsi="宋体" w:eastAsia="宋体" w:cs="宋体"/>
                <w:kern w:val="0"/>
                <w:sz w:val="24"/>
                <w:lang w:val="en-US" w:eastAsia="zh-CN"/>
              </w:rPr>
              <w:t>费</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各类设备使用（拆装）费、采样费、</w:t>
            </w:r>
            <w:r>
              <w:rPr>
                <w:rFonts w:hint="eastAsia" w:ascii="宋体" w:hAnsi="宋体" w:eastAsia="宋体" w:cs="宋体"/>
                <w:kern w:val="0"/>
                <w:sz w:val="24"/>
                <w:lang w:val="zh-CN"/>
              </w:rPr>
              <w:t>检测成果</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结论报告</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出具</w:t>
            </w:r>
            <w:r>
              <w:rPr>
                <w:rFonts w:hint="eastAsia" w:ascii="宋体" w:hAnsi="宋体" w:eastAsia="宋体" w:cs="宋体"/>
                <w:kern w:val="0"/>
                <w:sz w:val="24"/>
                <w:lang w:val="en-US" w:eastAsia="zh-CN"/>
              </w:rPr>
              <w:t>费、管</w:t>
            </w:r>
            <w:r>
              <w:rPr>
                <w:rFonts w:hint="eastAsia" w:ascii="宋体" w:hAnsi="宋体" w:eastAsia="宋体" w:cs="宋体"/>
                <w:kern w:val="0"/>
                <w:sz w:val="24"/>
                <w:lang w:val="zh-CN"/>
              </w:rPr>
              <w:t>理费、利润、规费、税金</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中标服务费</w:t>
            </w:r>
            <w:r>
              <w:rPr>
                <w:rFonts w:hint="eastAsia" w:ascii="宋体" w:hAnsi="宋体" w:eastAsia="宋体" w:cs="宋体"/>
                <w:kern w:val="0"/>
                <w:sz w:val="24"/>
                <w:lang w:val="zh-CN"/>
              </w:rPr>
              <w:t>等各项应有费用。除采购内容变更允许调整费用外，其余费用一律不作调整。任何有选择性的报价将不予接受，</w:t>
            </w:r>
            <w:r>
              <w:rPr>
                <w:rFonts w:hint="eastAsia" w:ascii="宋体" w:hAnsi="宋体" w:eastAsia="宋体" w:cs="宋体"/>
                <w:kern w:val="0"/>
                <w:sz w:val="24"/>
                <w:lang w:val="zh-CN" w:eastAsia="zh-CN"/>
              </w:rPr>
              <w:t>每项工作</w:t>
            </w:r>
            <w:r>
              <w:rPr>
                <w:rFonts w:hint="eastAsia" w:ascii="宋体" w:hAnsi="宋体" w:eastAsia="宋体" w:cs="宋体"/>
                <w:kern w:val="0"/>
                <w:sz w:val="24"/>
                <w:lang w:val="zh-CN"/>
              </w:rPr>
              <w:t>只允许有一个报价。</w:t>
            </w:r>
          </w:p>
          <w:p w14:paraId="1E2ACECF">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B5CB9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A7B46B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352699C">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19B8426">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629"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33"/>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57275CA">
            <w:pPr>
              <w:pStyle w:val="33"/>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33"/>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33"/>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68C2AF70">
      <w:pPr>
        <w:snapToGrid w:val="0"/>
        <w:spacing w:line="360" w:lineRule="auto"/>
        <w:jc w:val="center"/>
        <w:rPr>
          <w:rFonts w:hint="eastAsia" w:ascii="宋体" w:hAnsi="宋体" w:eastAsia="宋体" w:cs="宋体"/>
          <w:b/>
          <w:sz w:val="32"/>
          <w:szCs w:val="20"/>
        </w:rPr>
      </w:pPr>
    </w:p>
    <w:p w14:paraId="56F99162">
      <w:pPr>
        <w:pStyle w:val="23"/>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23"/>
        <w:rPr>
          <w:rFonts w:hint="eastAsia" w:ascii="宋体" w:hAnsi="宋体" w:eastAsia="宋体" w:cs="宋体"/>
          <w:b/>
          <w:sz w:val="32"/>
          <w:szCs w:val="20"/>
        </w:rPr>
      </w:pPr>
    </w:p>
    <w:p w14:paraId="42B2C575">
      <w:pPr>
        <w:rPr>
          <w:rFonts w:hint="eastAsia" w:ascii="宋体" w:hAnsi="宋体" w:eastAsia="宋体" w:cs="宋体"/>
          <w:b/>
          <w:sz w:val="32"/>
          <w:szCs w:val="20"/>
        </w:rPr>
      </w:pPr>
    </w:p>
    <w:p w14:paraId="54DADDF8">
      <w:pPr>
        <w:pStyle w:val="23"/>
        <w:rPr>
          <w:rFonts w:hint="eastAsia" w:ascii="宋体" w:hAnsi="宋体" w:eastAsia="宋体" w:cs="宋体"/>
          <w:b/>
          <w:sz w:val="32"/>
          <w:szCs w:val="20"/>
        </w:rPr>
      </w:pPr>
    </w:p>
    <w:p w14:paraId="282B72E6">
      <w:pPr>
        <w:rPr>
          <w:rFonts w:hint="eastAsia" w:ascii="宋体" w:hAnsi="宋体" w:eastAsia="宋体" w:cs="宋体"/>
          <w:b/>
          <w:sz w:val="32"/>
          <w:szCs w:val="20"/>
        </w:rPr>
      </w:pPr>
    </w:p>
    <w:p w14:paraId="6FA11B65">
      <w:pPr>
        <w:pStyle w:val="23"/>
        <w:rPr>
          <w:rFonts w:hint="eastAsia" w:ascii="宋体" w:hAnsi="宋体" w:eastAsia="宋体" w:cs="宋体"/>
          <w:b/>
          <w:sz w:val="32"/>
          <w:szCs w:val="20"/>
        </w:rPr>
      </w:pPr>
    </w:p>
    <w:p w14:paraId="1D8F0A8B">
      <w:pPr>
        <w:rPr>
          <w:rFonts w:hint="eastAsia" w:ascii="宋体" w:hAnsi="宋体" w:eastAsia="宋体" w:cs="宋体"/>
          <w:b/>
          <w:sz w:val="32"/>
          <w:szCs w:val="20"/>
        </w:rPr>
      </w:pPr>
    </w:p>
    <w:p w14:paraId="47C94C67">
      <w:pPr>
        <w:pStyle w:val="23"/>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0" w:name="第三部分"/>
      <w:bookmarkStart w:id="11" w:name="_Toc164416483"/>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0"/>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0B8AA23D">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615BB995">
      <w:pPr>
        <w:pStyle w:val="130"/>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CF27A4">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33DB144">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30096C72">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57CA76B3">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623410DB">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668C9C2B">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7A958A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15.3直接提交备份投标文件的，投标人应于投标截止时间前在</w:t>
      </w:r>
      <w:r>
        <w:rPr>
          <w:rFonts w:hint="eastAsia" w:ascii="宋体" w:hAnsi="宋体" w:eastAsia="宋体" w:cs="宋体"/>
          <w:sz w:val="24"/>
        </w:rPr>
        <w:t>招标文件第二部分投标人须知前附表规定的备份投标文件送达地点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eastAsia="宋体" w:cs="宋体"/>
          <w:sz w:val="24"/>
        </w:rPr>
        <w:t>第二部分投标人须知前附表规定的备份投标文件送达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招标文件第二部分投标人须知前附表规定的备份投标文件送达地点；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59DD25C8">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6D5529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3C6517D8">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780F331">
      <w:pPr>
        <w:pStyle w:val="130"/>
        <w:spacing w:before="0"/>
        <w:ind w:firstLine="653"/>
        <w:rPr>
          <w:rFonts w:hint="eastAsia" w:ascii="宋体" w:hAnsi="宋体" w:eastAsia="宋体" w:cs="宋体"/>
          <w:b/>
          <w:sz w:val="32"/>
        </w:rPr>
      </w:pPr>
    </w:p>
    <w:p w14:paraId="78918D3C">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1B1A7AE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D5D18A9">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74229155">
      <w:pPr>
        <w:pStyle w:val="130"/>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5BD50BEA">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2F499765">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524DE5C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2E6059C7">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2F8D013F">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17B5C2CF">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0"/>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3D0D99">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0"/>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3"/>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0"/>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0"/>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0"/>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0"/>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0"/>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0"/>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5"/>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841989C">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4" w:name="_Hlt74707468"/>
      <w:bookmarkEnd w:id="14"/>
      <w:bookmarkStart w:id="15" w:name="_Hlt75236101"/>
      <w:bookmarkEnd w:id="15"/>
      <w:bookmarkStart w:id="16" w:name="_Hlt74730295"/>
      <w:bookmarkEnd w:id="16"/>
      <w:bookmarkStart w:id="17" w:name="_Hlt75236290"/>
      <w:bookmarkEnd w:id="17"/>
      <w:bookmarkStart w:id="18" w:name="_Hlt75236011"/>
      <w:bookmarkEnd w:id="18"/>
      <w:bookmarkStart w:id="19" w:name="_Hlt68072990"/>
      <w:bookmarkEnd w:id="19"/>
      <w:bookmarkStart w:id="20" w:name="_Hlt68403820"/>
      <w:bookmarkEnd w:id="20"/>
      <w:bookmarkStart w:id="21" w:name="_Hlt68057669"/>
      <w:bookmarkEnd w:id="21"/>
      <w:bookmarkStart w:id="22" w:name="_Hlt68073093"/>
      <w:bookmarkEnd w:id="22"/>
      <w:bookmarkStart w:id="23" w:name="_Hlt74714665"/>
      <w:bookmarkEnd w:id="23"/>
      <w:bookmarkStart w:id="24" w:name="_Hlt74729768"/>
      <w:bookmarkEnd w:id="24"/>
      <w:bookmarkStart w:id="25" w:name="_Hlt68072998"/>
      <w:bookmarkEnd w:id="25"/>
    </w:p>
    <w:bookmarkEnd w:id="10"/>
    <w:bookmarkEnd w:id="11"/>
    <w:p w14:paraId="2E670B3E">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14:paraId="236556C4">
      <w:pPr>
        <w:widowControl/>
        <w:adjustRightInd/>
        <w:spacing w:line="320" w:lineRule="exact"/>
        <w:jc w:val="center"/>
        <w:rPr>
          <w:rFonts w:hint="eastAsia" w:ascii="宋体" w:hAnsi="宋体" w:eastAsia="宋体" w:cs="宋体"/>
          <w:kern w:val="0"/>
          <w:sz w:val="24"/>
        </w:rPr>
      </w:pPr>
      <w:bookmarkStart w:id="27" w:name="_Toc24013"/>
      <w:r>
        <w:rPr>
          <w:rFonts w:hint="eastAsia" w:ascii="宋体" w:hAnsi="宋体" w:eastAsia="宋体" w:cs="宋体"/>
          <w:kern w:val="0"/>
          <w:sz w:val="24"/>
        </w:rPr>
        <w:t>前附表</w:t>
      </w:r>
      <w:bookmarkEnd w:id="27"/>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02B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792808B">
            <w:pPr>
              <w:adjustRightInd/>
              <w:spacing w:line="360" w:lineRule="auto"/>
              <w:jc w:val="center"/>
              <w:rPr>
                <w:rFonts w:hint="eastAsia" w:ascii="宋体" w:hAnsi="宋体" w:eastAsia="宋体" w:cs="宋体"/>
                <w:b/>
                <w:sz w:val="24"/>
              </w:rPr>
            </w:pPr>
            <w:bookmarkStart w:id="28" w:name="_Toc317685548"/>
            <w:bookmarkStart w:id="29" w:name="_Toc329697494"/>
            <w:r>
              <w:rPr>
                <w:rFonts w:hint="eastAsia" w:ascii="宋体" w:hAnsi="宋体" w:eastAsia="宋体" w:cs="宋体"/>
                <w:b/>
                <w:sz w:val="24"/>
              </w:rPr>
              <w:t>序号</w:t>
            </w:r>
          </w:p>
        </w:tc>
        <w:tc>
          <w:tcPr>
            <w:tcW w:w="2277" w:type="dxa"/>
            <w:vAlign w:val="center"/>
          </w:tcPr>
          <w:p w14:paraId="7400EFDF">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191" w:type="dxa"/>
            <w:vAlign w:val="center"/>
          </w:tcPr>
          <w:p w14:paraId="36785460">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388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C0DDD6">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45A5176D">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191" w:type="dxa"/>
            <w:vAlign w:val="center"/>
          </w:tcPr>
          <w:p w14:paraId="56377D7B">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29D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6434BC6">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35468423">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191" w:type="dxa"/>
            <w:vAlign w:val="center"/>
          </w:tcPr>
          <w:p w14:paraId="5D1DD953">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102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07F8EB">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277" w:type="dxa"/>
            <w:vAlign w:val="center"/>
          </w:tcPr>
          <w:p w14:paraId="7C486DE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191" w:type="dxa"/>
            <w:vAlign w:val="center"/>
          </w:tcPr>
          <w:p w14:paraId="662388C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478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68EF6D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277" w:type="dxa"/>
            <w:vAlign w:val="center"/>
          </w:tcPr>
          <w:p w14:paraId="24E6FAE3">
            <w:pPr>
              <w:adjustRightInd/>
              <w:spacing w:line="24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191" w:type="dxa"/>
            <w:vAlign w:val="center"/>
          </w:tcPr>
          <w:p w14:paraId="0FDDFC9E">
            <w:pPr>
              <w:adjustRightInd/>
              <w:spacing w:line="24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08F5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E8AA94">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277" w:type="dxa"/>
            <w:vAlign w:val="center"/>
          </w:tcPr>
          <w:p w14:paraId="68CFAB9C">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191" w:type="dxa"/>
          </w:tcPr>
          <w:p w14:paraId="15F0F0D8">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692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2134DE">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277" w:type="dxa"/>
            <w:vAlign w:val="center"/>
          </w:tcPr>
          <w:p w14:paraId="30FFC53F">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191" w:type="dxa"/>
          </w:tcPr>
          <w:p w14:paraId="14292245">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339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ADA46D3">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277" w:type="dxa"/>
            <w:vAlign w:val="center"/>
          </w:tcPr>
          <w:p w14:paraId="24B27B6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191" w:type="dxa"/>
            <w:vAlign w:val="center"/>
          </w:tcPr>
          <w:p w14:paraId="7DE13193">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75D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A85322">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277" w:type="dxa"/>
            <w:vAlign w:val="center"/>
          </w:tcPr>
          <w:p w14:paraId="2CC36C1C">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191" w:type="dxa"/>
            <w:vAlign w:val="center"/>
          </w:tcPr>
          <w:p w14:paraId="5577C7F7">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28D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EFCAB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277" w:type="dxa"/>
            <w:vAlign w:val="center"/>
          </w:tcPr>
          <w:p w14:paraId="3CF0A4FC">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191" w:type="dxa"/>
            <w:vAlign w:val="center"/>
          </w:tcPr>
          <w:p w14:paraId="38E0DB3A">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33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41179F">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277" w:type="dxa"/>
            <w:vAlign w:val="center"/>
          </w:tcPr>
          <w:p w14:paraId="2DE079AB">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191" w:type="dxa"/>
            <w:vAlign w:val="center"/>
          </w:tcPr>
          <w:p w14:paraId="7466126B">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BF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2449B9">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277" w:type="dxa"/>
            <w:vAlign w:val="center"/>
          </w:tcPr>
          <w:p w14:paraId="00B06377">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191" w:type="dxa"/>
            <w:vAlign w:val="center"/>
          </w:tcPr>
          <w:p w14:paraId="6D86A784">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00F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4D94C0">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277" w:type="dxa"/>
            <w:vAlign w:val="center"/>
          </w:tcPr>
          <w:p w14:paraId="4380D5E8">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191" w:type="dxa"/>
            <w:vAlign w:val="center"/>
          </w:tcPr>
          <w:p w14:paraId="579629BD">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463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5AD36D">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277" w:type="dxa"/>
            <w:vAlign w:val="center"/>
          </w:tcPr>
          <w:p w14:paraId="29800ACD">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191" w:type="dxa"/>
            <w:vAlign w:val="center"/>
          </w:tcPr>
          <w:p w14:paraId="5D7055A8">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1831D3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rPr>
        <w:br w:type="page"/>
      </w:r>
      <w:bookmarkEnd w:id="28"/>
      <w:bookmarkEnd w:id="29"/>
      <w:bookmarkStart w:id="30" w:name="_Toc460416338"/>
      <w:bookmarkStart w:id="31" w:name="_Toc460416593"/>
      <w:bookmarkStart w:id="32" w:name="_Toc515622163"/>
      <w:bookmarkStart w:id="33" w:name="_Toc460416642"/>
      <w:bookmarkStart w:id="34" w:name="_Toc460857893"/>
      <w:bookmarkStart w:id="35" w:name="_Toc135454805"/>
      <w:bookmarkStart w:id="36" w:name="_Toc135654398"/>
      <w:bookmarkStart w:id="37" w:name="_Toc159234952"/>
      <w:bookmarkStart w:id="38" w:name="_Toc156754846"/>
      <w:bookmarkStart w:id="39" w:name="_Toc135395646"/>
      <w:bookmarkStart w:id="40" w:name="_Toc135547150"/>
      <w:r>
        <w:rPr>
          <w:rFonts w:hint="eastAsia" w:ascii="宋体" w:hAnsi="宋体" w:cs="宋体"/>
          <w:b/>
          <w:bCs w:val="0"/>
          <w:szCs w:val="21"/>
          <w:lang w:val="en-US" w:eastAsia="zh-CN"/>
        </w:rPr>
        <w:t>一、</w:t>
      </w:r>
      <w:r>
        <w:rPr>
          <w:rFonts w:hint="eastAsia" w:ascii="宋体" w:hAnsi="宋体" w:eastAsia="宋体" w:cs="宋体"/>
          <w:b/>
          <w:bCs w:val="0"/>
          <w:color w:val="auto"/>
          <w:kern w:val="0"/>
          <w:sz w:val="24"/>
          <w:szCs w:val="24"/>
          <w:lang w:val="en-US" w:eastAsia="zh-CN"/>
        </w:rPr>
        <w:t>项目概况</w:t>
      </w:r>
    </w:p>
    <w:p w14:paraId="5ABCFB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本项目为</w:t>
      </w:r>
      <w:r>
        <w:rPr>
          <w:rFonts w:hint="eastAsia" w:ascii="宋体" w:hAnsi="宋体" w:eastAsia="宋体" w:cs="宋体"/>
          <w:color w:val="auto"/>
          <w:kern w:val="0"/>
          <w:sz w:val="24"/>
          <w:lang w:eastAsia="zh-CN"/>
        </w:rPr>
        <w:t>宁海县排水水质检测服务项目</w:t>
      </w:r>
      <w:r>
        <w:rPr>
          <w:rFonts w:hint="eastAsia" w:ascii="宋体" w:hAnsi="宋体" w:eastAsia="宋体" w:cs="宋体"/>
          <w:color w:val="auto"/>
          <w:kern w:val="0"/>
          <w:sz w:val="24"/>
          <w:szCs w:val="24"/>
          <w:lang w:val="en-US" w:eastAsia="zh-CN"/>
        </w:rPr>
        <w:t>，主要为对各排水户或排水口的检测与监督，范围包括整个宁海县域，具体以采购人或其他业主单位要求进行。</w:t>
      </w:r>
    </w:p>
    <w:p w14:paraId="452893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二、项目范围</w:t>
      </w:r>
    </w:p>
    <w:p w14:paraId="5A1B10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宁海县域内城镇污水处理厂、排水户以及采购人指定的水质监督检测。</w:t>
      </w:r>
    </w:p>
    <w:p w14:paraId="246410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本项目涉及的具体范围与任务量以采购人通知为准，供应商应积极配合采购人。</w:t>
      </w:r>
    </w:p>
    <w:p w14:paraId="501E4E7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kern w:val="0"/>
          <w:sz w:val="24"/>
          <w:szCs w:val="24"/>
          <w:lang w:val="en-US" w:eastAsia="zh-CN"/>
        </w:rPr>
      </w:pPr>
      <w:bookmarkStart w:id="41" w:name="_Toc486239818"/>
      <w:bookmarkStart w:id="42" w:name="_Toc25128"/>
      <w:r>
        <w:rPr>
          <w:rFonts w:hint="eastAsia" w:ascii="宋体" w:hAnsi="宋体" w:eastAsia="宋体" w:cs="宋体"/>
          <w:b/>
          <w:bCs/>
          <w:color w:val="auto"/>
          <w:kern w:val="0"/>
          <w:sz w:val="24"/>
          <w:szCs w:val="24"/>
          <w:lang w:val="en-US" w:eastAsia="zh-CN"/>
        </w:rPr>
        <w:t>三、项目工作</w:t>
      </w:r>
      <w:bookmarkEnd w:id="41"/>
      <w:r>
        <w:rPr>
          <w:rFonts w:hint="eastAsia" w:ascii="宋体" w:hAnsi="宋体" w:eastAsia="宋体" w:cs="宋体"/>
          <w:b/>
          <w:bCs/>
          <w:color w:val="auto"/>
          <w:kern w:val="0"/>
          <w:sz w:val="24"/>
          <w:szCs w:val="24"/>
          <w:lang w:val="en-US" w:eastAsia="zh-CN"/>
        </w:rPr>
        <w:t>内容</w:t>
      </w:r>
      <w:bookmarkEnd w:id="42"/>
      <w:r>
        <w:rPr>
          <w:rFonts w:hint="eastAsia" w:ascii="宋体" w:hAnsi="宋体" w:eastAsia="宋体" w:cs="宋体"/>
          <w:b/>
          <w:bCs/>
          <w:color w:val="auto"/>
          <w:kern w:val="0"/>
          <w:sz w:val="24"/>
          <w:szCs w:val="24"/>
          <w:lang w:val="en-US" w:eastAsia="zh-CN"/>
        </w:rPr>
        <w:t>及要求</w:t>
      </w:r>
    </w:p>
    <w:p w14:paraId="0B2BDE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任务表</w:t>
      </w:r>
    </w:p>
    <w:tbl>
      <w:tblPr>
        <w:tblStyle w:val="6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960"/>
        <w:gridCol w:w="1070"/>
        <w:gridCol w:w="2040"/>
        <w:gridCol w:w="1389"/>
        <w:gridCol w:w="2014"/>
      </w:tblGrid>
      <w:tr w14:paraId="222A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63" w:type="dxa"/>
            <w:tcBorders>
              <w:tl2br w:val="nil"/>
              <w:tr2bl w:val="nil"/>
            </w:tcBorders>
            <w:noWrap w:val="0"/>
            <w:tcMar>
              <w:left w:w="108" w:type="dxa"/>
              <w:right w:w="108" w:type="dxa"/>
            </w:tcMar>
            <w:vAlign w:val="center"/>
          </w:tcPr>
          <w:p w14:paraId="784A6E2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名称</w:t>
            </w:r>
          </w:p>
        </w:tc>
        <w:tc>
          <w:tcPr>
            <w:tcW w:w="1960" w:type="dxa"/>
            <w:tcBorders>
              <w:tl2br w:val="nil"/>
              <w:tr2bl w:val="nil"/>
            </w:tcBorders>
            <w:noWrap w:val="0"/>
            <w:tcMar>
              <w:left w:w="108" w:type="dxa"/>
              <w:right w:w="108" w:type="dxa"/>
            </w:tcMar>
            <w:vAlign w:val="center"/>
          </w:tcPr>
          <w:p w14:paraId="71DD549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检测分类</w:t>
            </w:r>
          </w:p>
        </w:tc>
        <w:tc>
          <w:tcPr>
            <w:tcW w:w="1070" w:type="dxa"/>
            <w:tcBorders>
              <w:tl2br w:val="nil"/>
              <w:tr2bl w:val="nil"/>
            </w:tcBorders>
            <w:noWrap w:val="0"/>
            <w:tcMar>
              <w:left w:w="108" w:type="dxa"/>
              <w:right w:w="108" w:type="dxa"/>
            </w:tcMar>
            <w:vAlign w:val="center"/>
          </w:tcPr>
          <w:p w14:paraId="78AEDAE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比例</w:t>
            </w:r>
          </w:p>
          <w:p w14:paraId="5ACFED8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（100%）</w:t>
            </w:r>
          </w:p>
        </w:tc>
        <w:tc>
          <w:tcPr>
            <w:tcW w:w="2040" w:type="dxa"/>
            <w:tcBorders>
              <w:tl2br w:val="nil"/>
              <w:tr2bl w:val="nil"/>
            </w:tcBorders>
            <w:noWrap w:val="0"/>
            <w:tcMar>
              <w:left w:w="108" w:type="dxa"/>
              <w:right w:w="108" w:type="dxa"/>
            </w:tcMar>
            <w:vAlign w:val="center"/>
          </w:tcPr>
          <w:p w14:paraId="352C88C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检测内容</w:t>
            </w:r>
          </w:p>
        </w:tc>
        <w:tc>
          <w:tcPr>
            <w:tcW w:w="1389" w:type="dxa"/>
            <w:tcBorders>
              <w:tl2br w:val="nil"/>
              <w:tr2bl w:val="nil"/>
            </w:tcBorders>
            <w:noWrap w:val="0"/>
            <w:tcMar>
              <w:left w:w="108" w:type="dxa"/>
              <w:right w:w="108" w:type="dxa"/>
            </w:tcMar>
            <w:vAlign w:val="center"/>
          </w:tcPr>
          <w:p w14:paraId="3BB9EBE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暂定</w:t>
            </w:r>
            <w:r>
              <w:rPr>
                <w:rFonts w:hint="eastAsia" w:ascii="宋体" w:hAnsi="宋体" w:eastAsia="宋体" w:cs="宋体"/>
                <w:color w:val="auto"/>
                <w:sz w:val="21"/>
                <w:szCs w:val="21"/>
                <w:lang w:eastAsia="zh-CN"/>
              </w:rPr>
              <w:t>数量</w:t>
            </w:r>
          </w:p>
          <w:p w14:paraId="0F40564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每年</w:t>
            </w:r>
            <w:r>
              <w:rPr>
                <w:rFonts w:hint="eastAsia" w:ascii="宋体" w:hAnsi="宋体" w:eastAsia="宋体" w:cs="宋体"/>
                <w:color w:val="auto"/>
                <w:sz w:val="21"/>
                <w:szCs w:val="21"/>
                <w:lang w:eastAsia="zh-CN"/>
              </w:rPr>
              <w:t>）</w:t>
            </w:r>
          </w:p>
        </w:tc>
        <w:tc>
          <w:tcPr>
            <w:tcW w:w="2014" w:type="dxa"/>
            <w:tcBorders>
              <w:tl2br w:val="nil"/>
              <w:tr2bl w:val="nil"/>
            </w:tcBorders>
            <w:noWrap w:val="0"/>
            <w:tcMar>
              <w:left w:w="108" w:type="dxa"/>
              <w:right w:w="108" w:type="dxa"/>
            </w:tcMar>
            <w:vAlign w:val="center"/>
          </w:tcPr>
          <w:p w14:paraId="380B572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单个检测报告</w:t>
            </w:r>
          </w:p>
          <w:p w14:paraId="78A586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最高限价</w:t>
            </w:r>
          </w:p>
          <w:p w14:paraId="0A0918C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（综合单价，元/个）</w:t>
            </w:r>
          </w:p>
        </w:tc>
      </w:tr>
      <w:tr w14:paraId="331C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63" w:type="dxa"/>
            <w:vMerge w:val="restart"/>
            <w:tcBorders>
              <w:tl2br w:val="nil"/>
              <w:tr2bl w:val="nil"/>
            </w:tcBorders>
            <w:noWrap w:val="0"/>
            <w:tcMar>
              <w:left w:w="108" w:type="dxa"/>
              <w:right w:w="108" w:type="dxa"/>
            </w:tcMar>
            <w:vAlign w:val="center"/>
          </w:tcPr>
          <w:p w14:paraId="28B721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排水</w:t>
            </w:r>
          </w:p>
          <w:p w14:paraId="435AAAF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检测</w:t>
            </w:r>
          </w:p>
        </w:tc>
        <w:tc>
          <w:tcPr>
            <w:tcW w:w="1960" w:type="dxa"/>
            <w:tcBorders>
              <w:tl2br w:val="nil"/>
              <w:tr2bl w:val="nil"/>
            </w:tcBorders>
            <w:noWrap w:val="0"/>
            <w:tcMar>
              <w:left w:w="108" w:type="dxa"/>
              <w:right w:w="108" w:type="dxa"/>
            </w:tcMar>
            <w:vAlign w:val="center"/>
          </w:tcPr>
          <w:p w14:paraId="4D63C02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一、低浓度生活类</w:t>
            </w:r>
          </w:p>
        </w:tc>
        <w:tc>
          <w:tcPr>
            <w:tcW w:w="1070" w:type="dxa"/>
            <w:tcBorders>
              <w:tl2br w:val="nil"/>
              <w:tr2bl w:val="nil"/>
            </w:tcBorders>
            <w:noWrap w:val="0"/>
            <w:tcMar>
              <w:left w:w="108" w:type="dxa"/>
              <w:right w:w="108" w:type="dxa"/>
            </w:tcMar>
            <w:vAlign w:val="center"/>
          </w:tcPr>
          <w:p w14:paraId="01F728D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p>
        </w:tc>
        <w:tc>
          <w:tcPr>
            <w:tcW w:w="2040" w:type="dxa"/>
            <w:vMerge w:val="restart"/>
            <w:tcBorders>
              <w:tl2br w:val="nil"/>
              <w:tr2bl w:val="nil"/>
            </w:tcBorders>
            <w:noWrap w:val="0"/>
            <w:tcMar>
              <w:left w:w="108" w:type="dxa"/>
              <w:right w:w="108" w:type="dxa"/>
            </w:tcMar>
            <w:vAlign w:val="center"/>
          </w:tcPr>
          <w:p w14:paraId="3ED682F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酸碱度PH、悬浮物SS、化学需氧量、氨氮、动植物油、石油类、阴负离子表面活性剂LAS、色度、重金属、氰化物、其他有机物等。（由</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lang w:eastAsia="zh-CN"/>
              </w:rPr>
              <w:t>根据排水户实际情况指定具体检测内容）。</w:t>
            </w:r>
          </w:p>
        </w:tc>
        <w:tc>
          <w:tcPr>
            <w:tcW w:w="1389" w:type="dxa"/>
            <w:vMerge w:val="restart"/>
            <w:tcBorders>
              <w:tl2br w:val="nil"/>
              <w:tr2bl w:val="nil"/>
            </w:tcBorders>
            <w:noWrap w:val="0"/>
            <w:tcMar>
              <w:left w:w="108" w:type="dxa"/>
              <w:right w:w="108" w:type="dxa"/>
            </w:tcMar>
            <w:vAlign w:val="center"/>
          </w:tcPr>
          <w:p w14:paraId="688B03C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1250</w:t>
            </w:r>
            <w:r>
              <w:rPr>
                <w:rFonts w:hint="eastAsia" w:ascii="宋体" w:hAnsi="宋体" w:eastAsia="宋体" w:cs="宋体"/>
                <w:color w:val="auto"/>
                <w:sz w:val="21"/>
                <w:szCs w:val="21"/>
                <w:lang w:val="en-US" w:eastAsia="zh-CN"/>
              </w:rPr>
              <w:t>个</w:t>
            </w:r>
          </w:p>
        </w:tc>
        <w:tc>
          <w:tcPr>
            <w:tcW w:w="2014" w:type="dxa"/>
            <w:vMerge w:val="restart"/>
            <w:tcBorders>
              <w:tl2br w:val="nil"/>
              <w:tr2bl w:val="nil"/>
            </w:tcBorders>
            <w:noWrap w:val="0"/>
            <w:tcMar>
              <w:left w:w="108" w:type="dxa"/>
              <w:right w:w="108" w:type="dxa"/>
            </w:tcMar>
            <w:vAlign w:val="center"/>
          </w:tcPr>
          <w:p w14:paraId="76AD2D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r>
      <w:tr w14:paraId="5333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63" w:type="dxa"/>
            <w:vMerge w:val="continue"/>
            <w:tcBorders>
              <w:tl2br w:val="nil"/>
              <w:tr2bl w:val="nil"/>
            </w:tcBorders>
            <w:noWrap w:val="0"/>
            <w:tcMar>
              <w:left w:w="108" w:type="dxa"/>
              <w:right w:w="108" w:type="dxa"/>
            </w:tcMar>
            <w:vAlign w:val="center"/>
          </w:tcPr>
          <w:p w14:paraId="52138AA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29FC5FF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二、高浓度生活类</w:t>
            </w:r>
          </w:p>
        </w:tc>
        <w:tc>
          <w:tcPr>
            <w:tcW w:w="1070" w:type="dxa"/>
            <w:tcBorders>
              <w:tl2br w:val="nil"/>
              <w:tr2bl w:val="nil"/>
            </w:tcBorders>
            <w:noWrap w:val="0"/>
            <w:tcMar>
              <w:left w:w="108" w:type="dxa"/>
              <w:right w:w="108" w:type="dxa"/>
            </w:tcMar>
            <w:vAlign w:val="center"/>
          </w:tcPr>
          <w:p w14:paraId="32A3E3A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2040" w:type="dxa"/>
            <w:vMerge w:val="continue"/>
            <w:tcBorders>
              <w:tl2br w:val="nil"/>
              <w:tr2bl w:val="nil"/>
            </w:tcBorders>
            <w:noWrap w:val="0"/>
            <w:tcMar>
              <w:left w:w="108" w:type="dxa"/>
              <w:right w:w="108" w:type="dxa"/>
            </w:tcMar>
            <w:vAlign w:val="center"/>
          </w:tcPr>
          <w:p w14:paraId="4B6E9EC8">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18EE110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24092F1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6193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3" w:type="dxa"/>
            <w:vMerge w:val="continue"/>
            <w:tcBorders>
              <w:tl2br w:val="nil"/>
              <w:tr2bl w:val="nil"/>
            </w:tcBorders>
            <w:noWrap w:val="0"/>
            <w:tcMar>
              <w:left w:w="108" w:type="dxa"/>
              <w:right w:w="108" w:type="dxa"/>
            </w:tcMar>
            <w:vAlign w:val="center"/>
          </w:tcPr>
          <w:p w14:paraId="4C7A4DD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5FD592C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三、餐饮类</w:t>
            </w:r>
          </w:p>
        </w:tc>
        <w:tc>
          <w:tcPr>
            <w:tcW w:w="1070" w:type="dxa"/>
            <w:tcBorders>
              <w:tl2br w:val="nil"/>
              <w:tr2bl w:val="nil"/>
            </w:tcBorders>
            <w:noWrap w:val="0"/>
            <w:tcMar>
              <w:left w:w="108" w:type="dxa"/>
              <w:right w:w="108" w:type="dxa"/>
            </w:tcMar>
            <w:vAlign w:val="center"/>
          </w:tcPr>
          <w:p w14:paraId="4CD704E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40%</w:t>
            </w:r>
          </w:p>
        </w:tc>
        <w:tc>
          <w:tcPr>
            <w:tcW w:w="2040" w:type="dxa"/>
            <w:vMerge w:val="continue"/>
            <w:tcBorders>
              <w:tl2br w:val="nil"/>
              <w:tr2bl w:val="nil"/>
            </w:tcBorders>
            <w:noWrap w:val="0"/>
            <w:tcMar>
              <w:left w:w="108" w:type="dxa"/>
              <w:right w:w="108" w:type="dxa"/>
            </w:tcMar>
            <w:vAlign w:val="center"/>
          </w:tcPr>
          <w:p w14:paraId="0B5BF42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0B89529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482CC69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5D4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3" w:type="dxa"/>
            <w:vMerge w:val="continue"/>
            <w:tcBorders>
              <w:tl2br w:val="nil"/>
              <w:tr2bl w:val="nil"/>
            </w:tcBorders>
            <w:noWrap w:val="0"/>
            <w:tcMar>
              <w:left w:w="108" w:type="dxa"/>
              <w:right w:w="108" w:type="dxa"/>
            </w:tcMar>
            <w:vAlign w:val="center"/>
          </w:tcPr>
          <w:p w14:paraId="1A5B253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71E46F6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四、医疗卫生类</w:t>
            </w:r>
          </w:p>
        </w:tc>
        <w:tc>
          <w:tcPr>
            <w:tcW w:w="1070" w:type="dxa"/>
            <w:tcBorders>
              <w:tl2br w:val="nil"/>
              <w:tr2bl w:val="nil"/>
            </w:tcBorders>
            <w:noWrap w:val="0"/>
            <w:tcMar>
              <w:left w:w="108" w:type="dxa"/>
              <w:right w:w="108" w:type="dxa"/>
            </w:tcMar>
            <w:vAlign w:val="center"/>
          </w:tcPr>
          <w:p w14:paraId="3937072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040" w:type="dxa"/>
            <w:vMerge w:val="continue"/>
            <w:tcBorders>
              <w:tl2br w:val="nil"/>
              <w:tr2bl w:val="nil"/>
            </w:tcBorders>
            <w:noWrap w:val="0"/>
            <w:tcMar>
              <w:left w:w="108" w:type="dxa"/>
              <w:right w:w="108" w:type="dxa"/>
            </w:tcMar>
            <w:vAlign w:val="center"/>
          </w:tcPr>
          <w:p w14:paraId="6691B48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6E1EE59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24B3C2F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2B7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3" w:type="dxa"/>
            <w:vMerge w:val="continue"/>
            <w:tcBorders>
              <w:tl2br w:val="nil"/>
              <w:tr2bl w:val="nil"/>
            </w:tcBorders>
            <w:noWrap w:val="0"/>
            <w:tcMar>
              <w:left w:w="108" w:type="dxa"/>
              <w:right w:w="108" w:type="dxa"/>
            </w:tcMar>
            <w:vAlign w:val="center"/>
          </w:tcPr>
          <w:p w14:paraId="6F1034C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525BB4C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五、建设工程类</w:t>
            </w:r>
          </w:p>
        </w:tc>
        <w:tc>
          <w:tcPr>
            <w:tcW w:w="1070" w:type="dxa"/>
            <w:tcBorders>
              <w:tl2br w:val="nil"/>
              <w:tr2bl w:val="nil"/>
            </w:tcBorders>
            <w:noWrap w:val="0"/>
            <w:tcMar>
              <w:left w:w="108" w:type="dxa"/>
              <w:right w:w="108" w:type="dxa"/>
            </w:tcMar>
            <w:vAlign w:val="center"/>
          </w:tcPr>
          <w:p w14:paraId="5370DDF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2040" w:type="dxa"/>
            <w:vMerge w:val="continue"/>
            <w:tcBorders>
              <w:tl2br w:val="nil"/>
              <w:tr2bl w:val="nil"/>
            </w:tcBorders>
            <w:noWrap w:val="0"/>
            <w:tcMar>
              <w:left w:w="108" w:type="dxa"/>
              <w:right w:w="108" w:type="dxa"/>
            </w:tcMar>
            <w:vAlign w:val="center"/>
          </w:tcPr>
          <w:p w14:paraId="133E6078">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553F9BC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3D7B8B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553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63" w:type="dxa"/>
            <w:vMerge w:val="continue"/>
            <w:tcBorders>
              <w:tl2br w:val="nil"/>
              <w:tr2bl w:val="nil"/>
            </w:tcBorders>
            <w:noWrap w:val="0"/>
            <w:tcMar>
              <w:left w:w="108" w:type="dxa"/>
              <w:right w:w="108" w:type="dxa"/>
            </w:tcMar>
            <w:vAlign w:val="center"/>
          </w:tcPr>
          <w:p w14:paraId="6CD0AA3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009243C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六、清洗类</w:t>
            </w:r>
          </w:p>
        </w:tc>
        <w:tc>
          <w:tcPr>
            <w:tcW w:w="1070" w:type="dxa"/>
            <w:tcBorders>
              <w:tl2br w:val="nil"/>
              <w:tr2bl w:val="nil"/>
            </w:tcBorders>
            <w:noWrap w:val="0"/>
            <w:tcMar>
              <w:left w:w="108" w:type="dxa"/>
              <w:right w:w="108" w:type="dxa"/>
            </w:tcMar>
            <w:vAlign w:val="center"/>
          </w:tcPr>
          <w:p w14:paraId="0A53467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040" w:type="dxa"/>
            <w:vMerge w:val="continue"/>
            <w:tcBorders>
              <w:tl2br w:val="nil"/>
              <w:tr2bl w:val="nil"/>
            </w:tcBorders>
            <w:noWrap w:val="0"/>
            <w:tcMar>
              <w:left w:w="108" w:type="dxa"/>
              <w:right w:w="108" w:type="dxa"/>
            </w:tcMar>
            <w:vAlign w:val="center"/>
          </w:tcPr>
          <w:p w14:paraId="6F5003A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76BC11C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76A5A0C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09DE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3" w:type="dxa"/>
            <w:vMerge w:val="continue"/>
            <w:tcBorders>
              <w:tl2br w:val="nil"/>
              <w:tr2bl w:val="nil"/>
            </w:tcBorders>
            <w:noWrap w:val="0"/>
            <w:tcMar>
              <w:left w:w="108" w:type="dxa"/>
              <w:right w:w="108" w:type="dxa"/>
            </w:tcMar>
            <w:vAlign w:val="center"/>
          </w:tcPr>
          <w:p w14:paraId="6F52F9E8">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65A6CD1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七、工业企业类</w:t>
            </w:r>
          </w:p>
        </w:tc>
        <w:tc>
          <w:tcPr>
            <w:tcW w:w="1070" w:type="dxa"/>
            <w:tcBorders>
              <w:tl2br w:val="nil"/>
              <w:tr2bl w:val="nil"/>
            </w:tcBorders>
            <w:noWrap w:val="0"/>
            <w:tcMar>
              <w:left w:w="108" w:type="dxa"/>
              <w:right w:w="108" w:type="dxa"/>
            </w:tcMar>
            <w:vAlign w:val="center"/>
          </w:tcPr>
          <w:p w14:paraId="2BA0425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w:t>
            </w:r>
          </w:p>
        </w:tc>
        <w:tc>
          <w:tcPr>
            <w:tcW w:w="2040" w:type="dxa"/>
            <w:vMerge w:val="continue"/>
            <w:tcBorders>
              <w:tl2br w:val="nil"/>
              <w:tr2bl w:val="nil"/>
            </w:tcBorders>
            <w:noWrap w:val="0"/>
            <w:tcMar>
              <w:left w:w="108" w:type="dxa"/>
              <w:right w:w="108" w:type="dxa"/>
            </w:tcMar>
            <w:vAlign w:val="center"/>
          </w:tcPr>
          <w:p w14:paraId="55D108B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61A34C9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7E4984B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r w14:paraId="55B2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3" w:type="dxa"/>
            <w:vMerge w:val="continue"/>
            <w:tcBorders>
              <w:tl2br w:val="nil"/>
              <w:tr2bl w:val="nil"/>
            </w:tcBorders>
            <w:noWrap w:val="0"/>
            <w:tcMar>
              <w:left w:w="108" w:type="dxa"/>
              <w:right w:w="108" w:type="dxa"/>
            </w:tcMar>
            <w:vAlign w:val="center"/>
          </w:tcPr>
          <w:p w14:paraId="00822EE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960" w:type="dxa"/>
            <w:tcBorders>
              <w:tl2br w:val="nil"/>
              <w:tr2bl w:val="nil"/>
            </w:tcBorders>
            <w:noWrap w:val="0"/>
            <w:tcMar>
              <w:left w:w="108" w:type="dxa"/>
              <w:right w:w="108" w:type="dxa"/>
            </w:tcMar>
            <w:vAlign w:val="center"/>
          </w:tcPr>
          <w:p w14:paraId="5302CEA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八、其他类</w:t>
            </w:r>
          </w:p>
        </w:tc>
        <w:tc>
          <w:tcPr>
            <w:tcW w:w="1070" w:type="dxa"/>
            <w:tcBorders>
              <w:tl2br w:val="nil"/>
              <w:tr2bl w:val="nil"/>
            </w:tcBorders>
            <w:noWrap w:val="0"/>
            <w:tcMar>
              <w:left w:w="108" w:type="dxa"/>
              <w:right w:w="108" w:type="dxa"/>
            </w:tcMar>
            <w:vAlign w:val="center"/>
          </w:tcPr>
          <w:p w14:paraId="731A56D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p>
        </w:tc>
        <w:tc>
          <w:tcPr>
            <w:tcW w:w="2040" w:type="dxa"/>
            <w:vMerge w:val="continue"/>
            <w:tcBorders>
              <w:tl2br w:val="nil"/>
              <w:tr2bl w:val="nil"/>
            </w:tcBorders>
            <w:noWrap w:val="0"/>
            <w:tcMar>
              <w:left w:w="108" w:type="dxa"/>
              <w:right w:w="108" w:type="dxa"/>
            </w:tcMar>
            <w:vAlign w:val="center"/>
          </w:tcPr>
          <w:p w14:paraId="7759DF6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1389" w:type="dxa"/>
            <w:vMerge w:val="continue"/>
            <w:tcBorders>
              <w:tl2br w:val="nil"/>
              <w:tr2bl w:val="nil"/>
            </w:tcBorders>
            <w:noWrap w:val="0"/>
            <w:tcMar>
              <w:left w:w="108" w:type="dxa"/>
              <w:right w:w="108" w:type="dxa"/>
            </w:tcMar>
            <w:vAlign w:val="center"/>
          </w:tcPr>
          <w:p w14:paraId="64BD5B4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c>
          <w:tcPr>
            <w:tcW w:w="2014" w:type="dxa"/>
            <w:vMerge w:val="continue"/>
            <w:tcBorders>
              <w:tl2br w:val="nil"/>
              <w:tr2bl w:val="nil"/>
            </w:tcBorders>
            <w:noWrap w:val="0"/>
            <w:tcMar>
              <w:left w:w="108" w:type="dxa"/>
              <w:right w:w="108" w:type="dxa"/>
            </w:tcMar>
            <w:vAlign w:val="center"/>
          </w:tcPr>
          <w:p w14:paraId="65FE2D2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宋体" w:hAnsi="宋体" w:eastAsia="宋体" w:cs="宋体"/>
                <w:color w:val="auto"/>
                <w:sz w:val="21"/>
                <w:szCs w:val="21"/>
                <w:highlight w:val="none"/>
              </w:rPr>
            </w:pPr>
          </w:p>
        </w:tc>
      </w:tr>
    </w:tbl>
    <w:p w14:paraId="5651056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1"/>
          <w:szCs w:val="21"/>
          <w:lang w:val="en-US" w:eastAsia="zh-CN"/>
        </w:rPr>
      </w:pPr>
    </w:p>
    <w:p w14:paraId="042DE71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注：1.本项目检测任务每年工作量暂定</w:t>
      </w:r>
      <w:r>
        <w:rPr>
          <w:rFonts w:hint="eastAsia" w:ascii="宋体" w:hAnsi="宋体" w:cs="宋体"/>
          <w:color w:val="auto"/>
          <w:kern w:val="0"/>
          <w:sz w:val="21"/>
          <w:szCs w:val="21"/>
          <w:lang w:val="en-US" w:eastAsia="zh-CN"/>
        </w:rPr>
        <w:t>1250</w:t>
      </w:r>
      <w:r>
        <w:rPr>
          <w:rFonts w:hint="eastAsia" w:ascii="宋体" w:hAnsi="宋体" w:eastAsia="宋体" w:cs="宋体"/>
          <w:color w:val="auto"/>
          <w:kern w:val="0"/>
          <w:sz w:val="21"/>
          <w:szCs w:val="21"/>
          <w:lang w:val="en-US" w:eastAsia="zh-CN"/>
        </w:rPr>
        <w:t>个，单个检测报告综合单价最高限价600元/个。</w:t>
      </w:r>
    </w:p>
    <w:p w14:paraId="37E78114">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2.供应商所报的检测报告的综合单价为检测（含所有检测分类项）与监督的平均价，中标成交后，上表八类中的任何一类检测均按供应商所报检测报告综合单价（即成交价）进行结算。</w:t>
      </w:r>
    </w:p>
    <w:p w14:paraId="3316D1D3">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3.采购人可根据排水户实际情况要求加测相关检测指标。</w:t>
      </w:r>
    </w:p>
    <w:p w14:paraId="5A9A079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0"/>
          <w:sz w:val="21"/>
          <w:szCs w:val="21"/>
          <w:lang w:val="en-US" w:eastAsia="zh-CN"/>
        </w:rPr>
      </w:pPr>
      <w:bookmarkStart w:id="43" w:name="_Toc3273"/>
    </w:p>
    <w:p w14:paraId="21AE226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w:t>
      </w:r>
      <w:bookmarkEnd w:id="43"/>
      <w:r>
        <w:rPr>
          <w:rFonts w:hint="eastAsia" w:ascii="宋体" w:hAnsi="宋体" w:eastAsia="宋体" w:cs="宋体"/>
          <w:b/>
          <w:bCs/>
          <w:color w:val="auto"/>
          <w:kern w:val="0"/>
          <w:sz w:val="24"/>
          <w:szCs w:val="24"/>
          <w:lang w:val="en-US" w:eastAsia="zh-CN"/>
        </w:rPr>
        <w:t>其他</w:t>
      </w:r>
    </w:p>
    <w:p w14:paraId="4092E3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1、投标文件中应全面介绍供应商自身的特点、优势，包括水质检测资质、实验室设备场地、实验室团队、主要工作业绩等。</w:t>
      </w:r>
    </w:p>
    <w:p w14:paraId="63FDE025">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2、本次水质检测工作水样采集采取供应商自行采取的形式进行，投标文件须详细叙述针对本项目检测服务的保证措施，包括相关设备、人员配置以及服务的时效性等。</w:t>
      </w:r>
    </w:p>
    <w:p w14:paraId="7E137A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p>
    <w:p w14:paraId="14F9D0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合同履行期间，供应商的报价不因市场因素和政策因素的变动而调整，但如采购人要求新增检测点位，其费用的调整根据新增检测点位的数量×投标综合单价作为计算依据，最终以签证认可的联系单为准，产生的费用计入发生期间所对应的月份中。</w:t>
      </w:r>
    </w:p>
    <w:p w14:paraId="01ACC0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4、为完成本项目所需的一切劳动力、材料、设备和服务由供应商自行组织，由此产生的一切费用由供应商承担。</w:t>
      </w:r>
    </w:p>
    <w:p w14:paraId="642485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要求采样之日起5个工作日内提供检测报告（经采购人同意延期的除外），报告内容须包含现场采样照片、采样点示意图；每月30号前提供电子版月报表，次月5日之前提供纸质版月报表并提供水质综合评价及原因分析（其中污水厂须单独提供原因分析）；每季度、每半年数据要求在下一个月份20日前上报；年度数据要求下一年度1月30日前上报，均须提供电子版及纸质版；检测报告份数按采购人要求提供；加测项目报告另行提供，一般为2份，但采购人可按具体需求要求增加报告数量。</w:t>
      </w:r>
    </w:p>
    <w:p w14:paraId="2E0F810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6、供应商应按要求每月、每季度、每半年、每年及时向采购人提供各类报表（月报表、季报表、半年报表、年报表均应以电子文档及纸质版的形式提供，报表中必须体现各项关键性指标内容）。</w:t>
      </w:r>
    </w:p>
    <w:p w14:paraId="4E5A66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7、月报表、季度报表及半年报表应至少包含以下内容：当月或当季度水质检测数据及相关数据统计分析结果、水质情况综合评价及分析等。</w:t>
      </w:r>
    </w:p>
    <w:p w14:paraId="078ABF6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年度报表：每年每个排水户的所有资料（应包括该年度河道养护前后的水质状况汇总、所有水质检测报告(具有CMA或重点实验室标志)、水质情况总体综合评价及分析等）需装订成册，交予采购人，以便采购人进行监督考核。</w:t>
      </w:r>
    </w:p>
    <w:p w14:paraId="322BC3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应急响应：供应商对于一般应急任务须在1小时内响应；特殊紧急任务必须在30分钟内响应，要求24小时内完成采样并提供常规检测数据。未响应一次扣除服务费2000元，情节严重造成不良影响的采购人有权单方面解除合同。</w:t>
      </w:r>
    </w:p>
    <w:p w14:paraId="338062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10、供应商为本项目配备的人员应不少于8人，在服务过程中如果有人员要变更须得经过采购人同意、备案。</w:t>
      </w:r>
    </w:p>
    <w:p w14:paraId="07F65B0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11、供应商必须为全体作业员工购买社保和人身意外保险，必须重视安全生产工作，确保全年不出安全生产责任事故。如发生安全生产责任事故或交通事故，由供应商承担一切责任及损失。</w:t>
      </w:r>
    </w:p>
    <w:p w14:paraId="6E57F1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12、检测项目如有分包的，应经采购人同意，如未经采购人同意擅自分包的直接解除合同。</w:t>
      </w:r>
    </w:p>
    <w:p w14:paraId="667746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服务组织实施方案：供应商须制定完整、可行、详细的水质检测实施方案，明确组织机构、人员配备（并明确针对本项目拟派的项目负责人，项目负责人要求为供应商单位人员，投标文件中须提供社保证明资料）、检测要求、质量标准、安全措施、奖惩措施、应急预案等。</w:t>
      </w:r>
    </w:p>
    <w:p w14:paraId="73F6867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kern w:val="0"/>
          <w:sz w:val="24"/>
          <w:szCs w:val="24"/>
          <w:lang w:val="en-US" w:eastAsia="zh-CN"/>
        </w:rPr>
      </w:pPr>
      <w:bookmarkStart w:id="44" w:name="_Toc509244949"/>
      <w:bookmarkStart w:id="45" w:name="_Toc34646909"/>
      <w:r>
        <w:rPr>
          <w:rFonts w:hint="eastAsia" w:ascii="宋体" w:hAnsi="宋体" w:eastAsia="宋体" w:cs="宋体"/>
          <w:b/>
          <w:bCs/>
          <w:color w:val="auto"/>
          <w:kern w:val="0"/>
          <w:sz w:val="24"/>
          <w:szCs w:val="24"/>
          <w:lang w:val="en-US" w:eastAsia="zh-CN"/>
        </w:rPr>
        <w:t>五、</w:t>
      </w:r>
      <w:bookmarkEnd w:id="44"/>
      <w:bookmarkEnd w:id="45"/>
      <w:r>
        <w:rPr>
          <w:rFonts w:hint="eastAsia" w:ascii="宋体" w:hAnsi="宋体" w:eastAsia="宋体" w:cs="宋体"/>
          <w:b/>
          <w:bCs/>
          <w:color w:val="auto"/>
          <w:kern w:val="0"/>
          <w:sz w:val="24"/>
          <w:szCs w:val="24"/>
          <w:lang w:val="en-US" w:eastAsia="zh-CN"/>
        </w:rPr>
        <w:t>相关标准</w:t>
      </w:r>
    </w:p>
    <w:p w14:paraId="12D11F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《城镇排水与污水处理条例》（中华人民共和国国务院令第641号）；</w:t>
      </w:r>
    </w:p>
    <w:p w14:paraId="16F6E5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《城市排水许可管理办法》建设部令第152号；</w:t>
      </w:r>
    </w:p>
    <w:p w14:paraId="4B9C7B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《宁波市城市排水和再生水利用条例》；</w:t>
      </w:r>
    </w:p>
    <w:p w14:paraId="369A01C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720" w:num="1"/>
          <w:titlePg/>
          <w:rtlGutter w:val="0"/>
          <w:docGrid w:linePitch="285" w:charSpace="0"/>
        </w:sectPr>
      </w:pPr>
      <w:r>
        <w:rPr>
          <w:rFonts w:hint="eastAsia" w:ascii="宋体" w:hAnsi="宋体" w:eastAsia="宋体" w:cs="宋体"/>
          <w:color w:val="auto"/>
          <w:kern w:val="0"/>
          <w:sz w:val="24"/>
          <w:szCs w:val="24"/>
          <w:lang w:val="en-US" w:eastAsia="zh-CN"/>
        </w:rPr>
        <w:t>《污水排入城镇下水道水质标准》（GB/T 31962-2015）。</w:t>
      </w:r>
    </w:p>
    <w:p w14:paraId="692D1516">
      <w:pPr>
        <w:keepNext/>
        <w:keepLines/>
        <w:spacing w:line="360" w:lineRule="auto"/>
        <w:jc w:val="left"/>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lang w:eastAsia="zh-CN"/>
        </w:rPr>
        <w:t>三</w:t>
      </w:r>
      <w:r>
        <w:rPr>
          <w:rFonts w:hint="eastAsia" w:ascii="宋体" w:hAnsi="宋体" w:eastAsia="宋体" w:cs="宋体"/>
          <w:b/>
          <w:bCs w:val="0"/>
          <w:kern w:val="44"/>
          <w:sz w:val="24"/>
          <w:szCs w:val="24"/>
          <w:highlight w:val="none"/>
        </w:rPr>
        <w:t>、商务要求</w:t>
      </w:r>
      <w:bookmarkEnd w:id="30"/>
      <w:bookmarkEnd w:id="31"/>
      <w:bookmarkEnd w:id="32"/>
      <w:bookmarkEnd w:id="33"/>
      <w:bookmarkEnd w:id="34"/>
    </w:p>
    <w:bookmarkEnd w:id="35"/>
    <w:bookmarkEnd w:id="36"/>
    <w:bookmarkEnd w:id="37"/>
    <w:bookmarkEnd w:id="38"/>
    <w:bookmarkEnd w:id="39"/>
    <w:bookmarkEnd w:id="40"/>
    <w:tbl>
      <w:tblPr>
        <w:tblStyle w:val="62"/>
        <w:tblW w:w="8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9"/>
        <w:gridCol w:w="6509"/>
      </w:tblGrid>
      <w:tr w14:paraId="5D6F7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1B51072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46" w:name="_Toc513103337"/>
            <w:r>
              <w:rPr>
                <w:rFonts w:hint="eastAsia" w:ascii="宋体" w:hAnsi="宋体" w:eastAsia="宋体" w:cs="宋体"/>
                <w:b/>
                <w:bCs/>
                <w:sz w:val="24"/>
                <w:szCs w:val="24"/>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6FEC03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260E0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58DB2E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A31B4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（1）服务期限</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lang w:val="en-US" w:eastAsia="zh-CN"/>
              </w:rPr>
              <w:t>自合同签订之日起2年；合同为一年一签，经政府采购计划批准并经采购人考核通过，双方同意后，续订下一年度合同。</w:t>
            </w:r>
          </w:p>
          <w:p w14:paraId="60CE698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（2）实施地点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宁海县域，具体以采购人通知为准</w:t>
            </w:r>
            <w:r>
              <w:rPr>
                <w:rFonts w:hint="eastAsia" w:ascii="宋体" w:hAnsi="宋体" w:eastAsia="宋体" w:cs="宋体"/>
                <w:sz w:val="24"/>
                <w:szCs w:val="24"/>
                <w:lang w:eastAsia="zh-CN"/>
              </w:rPr>
              <w:t>。</w:t>
            </w:r>
          </w:p>
        </w:tc>
      </w:tr>
      <w:tr w14:paraId="1B80E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3B0663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B5F364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合同签订并满足项目实施条件后，支付合同价的40%作为预付款；</w:t>
            </w:r>
          </w:p>
          <w:p w14:paraId="315E133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剩余款项</w:t>
            </w:r>
            <w:r>
              <w:rPr>
                <w:rFonts w:hint="eastAsia" w:ascii="宋体" w:hAnsi="宋体" w:eastAsia="宋体" w:cs="宋体"/>
                <w:color w:val="auto"/>
                <w:sz w:val="24"/>
                <w:szCs w:val="24"/>
                <w:lang w:eastAsia="zh-CN"/>
              </w:rPr>
              <w:t>根据供应商完成的工作成果</w:t>
            </w:r>
            <w:r>
              <w:rPr>
                <w:rFonts w:hint="eastAsia" w:ascii="宋体" w:hAnsi="宋体" w:eastAsia="宋体" w:cs="宋体"/>
                <w:color w:val="auto"/>
                <w:sz w:val="24"/>
                <w:szCs w:val="24"/>
                <w:lang w:val="en-US" w:eastAsia="zh-CN"/>
              </w:rPr>
              <w:t>并经</w:t>
            </w:r>
            <w:r>
              <w:rPr>
                <w:rFonts w:hint="eastAsia" w:ascii="宋体" w:hAnsi="宋体" w:eastAsia="宋体" w:cs="宋体"/>
                <w:color w:val="auto"/>
                <w:sz w:val="24"/>
                <w:szCs w:val="24"/>
                <w:lang w:eastAsia="zh-CN"/>
              </w:rPr>
              <w:t>采购人及其上级部门核查通过后</w:t>
            </w:r>
            <w:r>
              <w:rPr>
                <w:rFonts w:hint="eastAsia" w:ascii="宋体" w:hAnsi="宋体" w:eastAsia="宋体" w:cs="宋体"/>
                <w:color w:val="auto"/>
                <w:sz w:val="24"/>
                <w:szCs w:val="24"/>
                <w:lang w:val="en-US" w:eastAsia="zh-CN"/>
              </w:rPr>
              <w:t>按进度支付。</w:t>
            </w:r>
          </w:p>
          <w:p w14:paraId="6B5E2D7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宋体" w:hAnsi="宋体" w:eastAsia="宋体" w:cs="宋体"/>
                <w:color w:val="auto"/>
                <w:sz w:val="24"/>
                <w:szCs w:val="24"/>
                <w:lang w:eastAsia="zh-CN"/>
              </w:rPr>
              <w:t>注：如供应商未能按要求完成相关工作或</w:t>
            </w:r>
            <w:r>
              <w:rPr>
                <w:rFonts w:hint="eastAsia" w:ascii="宋体" w:hAnsi="宋体" w:eastAsia="宋体" w:cs="宋体"/>
                <w:color w:val="auto"/>
                <w:sz w:val="24"/>
                <w:szCs w:val="24"/>
                <w:lang w:val="en-US" w:eastAsia="zh-CN"/>
              </w:rPr>
              <w:t>提交成果存在</w:t>
            </w:r>
            <w:r>
              <w:rPr>
                <w:rFonts w:hint="eastAsia" w:ascii="宋体" w:hAnsi="宋体" w:eastAsia="宋体" w:cs="宋体"/>
                <w:color w:val="auto"/>
                <w:sz w:val="24"/>
                <w:szCs w:val="24"/>
                <w:lang w:eastAsia="zh-CN"/>
              </w:rPr>
              <w:t>弄虚作假的，采购人有权不支付任何费用，并没收其履约保证金。</w:t>
            </w:r>
          </w:p>
        </w:tc>
      </w:tr>
      <w:tr w14:paraId="63C3F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4447E5A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3、结算方式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D60C32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工作量</w:t>
            </w:r>
            <w:r>
              <w:rPr>
                <w:rFonts w:hint="eastAsia" w:ascii="宋体" w:hAnsi="宋体" w:eastAsia="宋体" w:cs="宋体"/>
                <w:color w:val="auto"/>
                <w:sz w:val="24"/>
                <w:szCs w:val="24"/>
                <w:lang w:eastAsia="zh-CN"/>
              </w:rPr>
              <w:t>按实计算，单价按</w:t>
            </w:r>
            <w:r>
              <w:rPr>
                <w:rFonts w:hint="eastAsia" w:ascii="宋体" w:hAnsi="宋体" w:eastAsia="宋体" w:cs="宋体"/>
                <w:color w:val="auto"/>
                <w:sz w:val="24"/>
                <w:szCs w:val="24"/>
                <w:lang w:val="en-US" w:eastAsia="zh-CN"/>
              </w:rPr>
              <w:t>中标成交单价计算，</w:t>
            </w:r>
            <w:r>
              <w:rPr>
                <w:rFonts w:hint="eastAsia" w:ascii="宋体" w:hAnsi="宋体" w:eastAsia="宋体" w:cs="宋体"/>
                <w:color w:val="auto"/>
                <w:sz w:val="24"/>
                <w:szCs w:val="24"/>
                <w:lang w:eastAsia="zh-CN"/>
              </w:rPr>
              <w:t>最终</w:t>
            </w:r>
            <w:r>
              <w:rPr>
                <w:rFonts w:hint="eastAsia" w:ascii="宋体" w:hAnsi="宋体" w:eastAsia="宋体" w:cs="宋体"/>
                <w:color w:val="auto"/>
                <w:sz w:val="24"/>
                <w:szCs w:val="24"/>
                <w:lang w:val="en-US" w:eastAsia="zh-CN"/>
              </w:rPr>
              <w:t>结算金额合计</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lang w:val="en-US" w:eastAsia="zh-CN"/>
              </w:rPr>
              <w:t>超过</w:t>
            </w:r>
            <w:r>
              <w:rPr>
                <w:rFonts w:hint="eastAsia" w:ascii="宋体" w:hAnsi="宋体" w:cs="宋体"/>
                <w:color w:val="auto"/>
                <w:sz w:val="24"/>
                <w:szCs w:val="24"/>
                <w:lang w:val="en-US" w:eastAsia="zh-CN"/>
              </w:rPr>
              <w:t>75</w:t>
            </w:r>
            <w:bookmarkStart w:id="420" w:name="_GoBack"/>
            <w:bookmarkEnd w:id="420"/>
            <w:r>
              <w:rPr>
                <w:rFonts w:hint="eastAsia" w:ascii="宋体" w:hAnsi="宋体" w:eastAsia="宋体" w:cs="宋体"/>
                <w:color w:val="auto"/>
                <w:sz w:val="24"/>
                <w:szCs w:val="24"/>
                <w:lang w:val="en-US" w:eastAsia="zh-CN"/>
              </w:rPr>
              <w:t>万元/年。</w:t>
            </w:r>
          </w:p>
        </w:tc>
      </w:tr>
      <w:tr w14:paraId="763A3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12E1CE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033028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5BC805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751C5B7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（3）履约保证金</w:t>
            </w:r>
            <w:r>
              <w:rPr>
                <w:rFonts w:hint="eastAsia" w:ascii="宋体" w:hAnsi="宋体" w:eastAsia="宋体" w:cs="宋体"/>
                <w:sz w:val="24"/>
                <w:szCs w:val="24"/>
                <w:lang w:eastAsia="zh-CN"/>
              </w:rPr>
              <w:t>在</w:t>
            </w:r>
            <w:r>
              <w:rPr>
                <w:rFonts w:hint="eastAsia" w:ascii="宋体" w:hAnsi="宋体" w:eastAsia="宋体" w:cs="宋体"/>
                <w:sz w:val="24"/>
                <w:szCs w:val="24"/>
              </w:rPr>
              <w:t>合同签订</w:t>
            </w:r>
            <w:r>
              <w:rPr>
                <w:rFonts w:hint="eastAsia" w:ascii="宋体" w:hAnsi="宋体" w:eastAsia="宋体" w:cs="宋体"/>
                <w:sz w:val="24"/>
                <w:szCs w:val="24"/>
                <w:lang w:eastAsia="zh-CN"/>
              </w:rPr>
              <w:t>前</w:t>
            </w:r>
            <w:r>
              <w:rPr>
                <w:rFonts w:hint="eastAsia" w:ascii="宋体" w:hAnsi="宋体" w:eastAsia="宋体" w:cs="宋体"/>
                <w:sz w:val="24"/>
                <w:szCs w:val="24"/>
              </w:rPr>
              <w:t>交至采购人。</w:t>
            </w:r>
          </w:p>
          <w:p w14:paraId="2DB7C39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（4）履约保证金的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6873236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791B9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31D7D745">
            <w:pPr>
              <w:keepNext w:val="0"/>
              <w:keepLines w:val="0"/>
              <w:pageBreakBefore w:val="0"/>
              <w:widowControl w:val="0"/>
              <w:tabs>
                <w:tab w:val="left" w:pos="3234"/>
              </w:tabs>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01DC76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在合同有效期内</w:t>
            </w:r>
            <w:r>
              <w:rPr>
                <w:rFonts w:hint="eastAsia" w:ascii="宋体" w:hAnsi="宋体" w:eastAsia="宋体" w:cs="宋体"/>
                <w:sz w:val="24"/>
                <w:szCs w:val="24"/>
                <w:lang w:eastAsia="zh-CN"/>
              </w:rPr>
              <w:t>，</w:t>
            </w:r>
            <w:r>
              <w:rPr>
                <w:rFonts w:hint="eastAsia" w:ascii="宋体" w:hAnsi="宋体" w:eastAsia="宋体" w:cs="宋体"/>
                <w:sz w:val="24"/>
                <w:szCs w:val="24"/>
              </w:rPr>
              <w:t>不得以任何理由终止合同</w:t>
            </w:r>
            <w:r>
              <w:rPr>
                <w:rFonts w:hint="eastAsia" w:ascii="宋体" w:hAnsi="宋体" w:eastAsia="宋体" w:cs="宋体"/>
                <w:sz w:val="24"/>
                <w:szCs w:val="24"/>
                <w:lang w:eastAsia="zh-CN"/>
              </w:rPr>
              <w:t>，</w:t>
            </w:r>
            <w:r>
              <w:rPr>
                <w:rFonts w:hint="eastAsia" w:ascii="宋体" w:hAnsi="宋体" w:eastAsia="宋体" w:cs="宋体"/>
                <w:sz w:val="24"/>
                <w:szCs w:val="24"/>
              </w:rPr>
              <w:t>确有特殊情况的，须提前向采购人提出书面申请</w:t>
            </w:r>
            <w:r>
              <w:rPr>
                <w:rFonts w:hint="eastAsia" w:ascii="宋体" w:hAnsi="宋体" w:eastAsia="宋体" w:cs="宋体"/>
                <w:sz w:val="24"/>
                <w:szCs w:val="24"/>
                <w:lang w:eastAsia="zh-CN"/>
              </w:rPr>
              <w:t>，</w:t>
            </w:r>
            <w:r>
              <w:rPr>
                <w:rFonts w:hint="eastAsia" w:ascii="宋体" w:hAnsi="宋体" w:eastAsia="宋体" w:cs="宋体"/>
                <w:sz w:val="24"/>
                <w:szCs w:val="24"/>
              </w:rPr>
              <w:t>经采购人同意后</w:t>
            </w:r>
            <w:r>
              <w:rPr>
                <w:rFonts w:hint="eastAsia" w:ascii="宋体" w:hAnsi="宋体" w:eastAsia="宋体" w:cs="宋体"/>
                <w:sz w:val="24"/>
                <w:szCs w:val="24"/>
                <w:lang w:eastAsia="zh-CN"/>
              </w:rPr>
              <w:t>，</w:t>
            </w:r>
            <w:r>
              <w:rPr>
                <w:rFonts w:hint="eastAsia" w:ascii="宋体" w:hAnsi="宋体" w:eastAsia="宋体" w:cs="宋体"/>
                <w:sz w:val="24"/>
                <w:szCs w:val="24"/>
              </w:rPr>
              <w:t>方可终止合同。</w:t>
            </w:r>
          </w:p>
          <w:p w14:paraId="23E29CF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因</w:t>
            </w:r>
            <w:r>
              <w:rPr>
                <w:rFonts w:hint="eastAsia" w:ascii="宋体" w:hAnsi="宋体" w:eastAsia="宋体" w:cs="宋体"/>
                <w:sz w:val="24"/>
                <w:szCs w:val="24"/>
                <w:lang w:eastAsia="zh-CN"/>
              </w:rPr>
              <w:t>供应商</w:t>
            </w:r>
            <w:r>
              <w:rPr>
                <w:rFonts w:hint="eastAsia" w:ascii="宋体" w:hAnsi="宋体" w:eastAsia="宋体" w:cs="宋体"/>
                <w:sz w:val="24"/>
                <w:szCs w:val="24"/>
              </w:rPr>
              <w:t>发生重大差错事故或未能按要求完成服务</w:t>
            </w:r>
            <w:r>
              <w:rPr>
                <w:rFonts w:hint="eastAsia" w:ascii="宋体" w:hAnsi="宋体" w:eastAsia="宋体" w:cs="宋体"/>
                <w:sz w:val="24"/>
                <w:szCs w:val="24"/>
                <w:lang w:eastAsia="zh-CN"/>
              </w:rPr>
              <w:t>或被发现存在弄虚作假情况的，</w:t>
            </w:r>
            <w:r>
              <w:rPr>
                <w:rFonts w:hint="eastAsia" w:ascii="宋体" w:hAnsi="宋体" w:eastAsia="宋体" w:cs="宋体"/>
                <w:sz w:val="24"/>
                <w:szCs w:val="24"/>
              </w:rPr>
              <w:t>采购人可有权</w:t>
            </w:r>
            <w:r>
              <w:rPr>
                <w:rFonts w:hint="eastAsia" w:ascii="宋体" w:hAnsi="宋体" w:eastAsia="宋体" w:cs="宋体"/>
                <w:sz w:val="24"/>
                <w:szCs w:val="24"/>
                <w:lang w:val="en-US" w:eastAsia="zh-CN"/>
              </w:rPr>
              <w:t>单方面解除</w:t>
            </w:r>
            <w:r>
              <w:rPr>
                <w:rFonts w:hint="eastAsia" w:ascii="宋体" w:hAnsi="宋体" w:eastAsia="宋体" w:cs="宋体"/>
                <w:sz w:val="24"/>
                <w:szCs w:val="24"/>
                <w:lang w:eastAsia="zh-CN"/>
              </w:rPr>
              <w:t>合同，供应商</w:t>
            </w:r>
            <w:r>
              <w:rPr>
                <w:rFonts w:hint="eastAsia" w:ascii="宋体" w:hAnsi="宋体" w:eastAsia="宋体" w:cs="宋体"/>
                <w:sz w:val="24"/>
                <w:szCs w:val="24"/>
              </w:rPr>
              <w:t>承担全部责任。</w:t>
            </w:r>
          </w:p>
        </w:tc>
      </w:tr>
      <w:bookmarkEnd w:id="46"/>
    </w:tbl>
    <w:p w14:paraId="06E3B3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66D91E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4ACEB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7F3451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0A2E93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4C787B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71898A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69621C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06317EC3">
      <w:pPr>
        <w:spacing w:line="360" w:lineRule="auto"/>
        <w:ind w:firstLine="2530" w:firstLineChars="700"/>
        <w:jc w:val="both"/>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7" w:name="_Toc184312132"/>
      <w:bookmarkEnd w:id="47"/>
      <w:bookmarkStart w:id="48" w:name="_Toc184310337"/>
      <w:bookmarkEnd w:id="48"/>
      <w:bookmarkStart w:id="49" w:name="_Toc184313293"/>
      <w:bookmarkEnd w:id="49"/>
      <w:bookmarkStart w:id="50" w:name="_Toc184314465"/>
      <w:bookmarkEnd w:id="50"/>
      <w:bookmarkStart w:id="51" w:name="_Toc184314419"/>
      <w:bookmarkEnd w:id="51"/>
      <w:bookmarkStart w:id="52" w:name="_Toc184312067"/>
      <w:bookmarkEnd w:id="52"/>
      <w:bookmarkStart w:id="53" w:name="_Toc184314444"/>
      <w:bookmarkEnd w:id="53"/>
      <w:bookmarkStart w:id="54" w:name="_Toc184312079"/>
      <w:bookmarkEnd w:id="54"/>
      <w:bookmarkStart w:id="55" w:name="_Toc184312069"/>
      <w:bookmarkEnd w:id="55"/>
      <w:bookmarkStart w:id="56" w:name="_Toc184308044"/>
      <w:bookmarkEnd w:id="56"/>
      <w:bookmarkStart w:id="57" w:name="_Toc184314473"/>
      <w:bookmarkEnd w:id="57"/>
      <w:bookmarkStart w:id="58" w:name="_Toc184313280"/>
      <w:bookmarkEnd w:id="58"/>
      <w:bookmarkStart w:id="59" w:name="_Toc184310313"/>
      <w:bookmarkEnd w:id="59"/>
      <w:bookmarkStart w:id="60" w:name="_Toc184312070"/>
      <w:bookmarkEnd w:id="60"/>
      <w:bookmarkStart w:id="61" w:name="_Toc184310272"/>
      <w:bookmarkEnd w:id="61"/>
      <w:bookmarkStart w:id="62" w:name="_Toc184310333"/>
      <w:bookmarkEnd w:id="62"/>
      <w:bookmarkStart w:id="63" w:name="_Toc184313255"/>
      <w:bookmarkEnd w:id="63"/>
      <w:bookmarkStart w:id="64" w:name="_Toc184313287"/>
      <w:bookmarkEnd w:id="64"/>
      <w:bookmarkStart w:id="65" w:name="_Toc184313266"/>
      <w:bookmarkEnd w:id="65"/>
      <w:bookmarkStart w:id="66" w:name="_Toc184308054"/>
      <w:bookmarkEnd w:id="66"/>
      <w:bookmarkStart w:id="67" w:name="_Toc184313302"/>
      <w:bookmarkEnd w:id="67"/>
      <w:bookmarkStart w:id="68" w:name="_Toc184312111"/>
      <w:bookmarkEnd w:id="68"/>
      <w:bookmarkStart w:id="69" w:name="_Toc184313254"/>
      <w:bookmarkEnd w:id="69"/>
      <w:bookmarkStart w:id="70" w:name="_Toc184313243"/>
      <w:bookmarkEnd w:id="70"/>
      <w:bookmarkStart w:id="71" w:name="_Toc184308042"/>
      <w:bookmarkEnd w:id="71"/>
      <w:bookmarkStart w:id="72" w:name="_Toc184313251"/>
      <w:bookmarkEnd w:id="72"/>
      <w:bookmarkStart w:id="73" w:name="_Toc184308094"/>
      <w:bookmarkEnd w:id="73"/>
      <w:bookmarkStart w:id="74" w:name="_Toc184308100"/>
      <w:bookmarkEnd w:id="74"/>
      <w:bookmarkStart w:id="75" w:name="_Toc184310323"/>
      <w:bookmarkEnd w:id="75"/>
      <w:bookmarkStart w:id="76" w:name="_Toc184312100"/>
      <w:bookmarkEnd w:id="76"/>
      <w:bookmarkStart w:id="77" w:name="_Toc184312121"/>
      <w:bookmarkEnd w:id="77"/>
      <w:bookmarkStart w:id="78" w:name="_Toc184313291"/>
      <w:bookmarkEnd w:id="78"/>
      <w:bookmarkStart w:id="79" w:name="_Toc184312112"/>
      <w:bookmarkEnd w:id="79"/>
      <w:bookmarkStart w:id="80" w:name="_Toc184314475"/>
      <w:bookmarkEnd w:id="80"/>
      <w:bookmarkStart w:id="81" w:name="_Toc184313282"/>
      <w:bookmarkEnd w:id="81"/>
      <w:bookmarkStart w:id="82" w:name="_Toc184313310"/>
      <w:bookmarkEnd w:id="82"/>
      <w:bookmarkStart w:id="83" w:name="_Toc184312081"/>
      <w:bookmarkEnd w:id="83"/>
      <w:bookmarkStart w:id="84" w:name="_Toc184313288"/>
      <w:bookmarkEnd w:id="84"/>
      <w:bookmarkStart w:id="85" w:name="_Toc184308036"/>
      <w:bookmarkEnd w:id="85"/>
      <w:bookmarkStart w:id="86" w:name="_Toc184310282"/>
      <w:bookmarkEnd w:id="86"/>
      <w:bookmarkStart w:id="87" w:name="_Toc184312076"/>
      <w:bookmarkEnd w:id="87"/>
      <w:bookmarkStart w:id="88" w:name="_Toc184312098"/>
      <w:bookmarkEnd w:id="88"/>
      <w:bookmarkStart w:id="89" w:name="_Toc184314414"/>
      <w:bookmarkEnd w:id="89"/>
      <w:bookmarkStart w:id="90" w:name="_Toc184308057"/>
      <w:bookmarkEnd w:id="90"/>
      <w:bookmarkStart w:id="91" w:name="_Toc184314439"/>
      <w:bookmarkEnd w:id="91"/>
      <w:bookmarkStart w:id="92" w:name="_Toc184308107"/>
      <w:bookmarkEnd w:id="92"/>
      <w:bookmarkStart w:id="93" w:name="_Toc184310299"/>
      <w:bookmarkEnd w:id="93"/>
      <w:bookmarkStart w:id="94" w:name="_Toc184308068"/>
      <w:bookmarkEnd w:id="94"/>
      <w:bookmarkStart w:id="95" w:name="_Toc184308105"/>
      <w:bookmarkEnd w:id="95"/>
      <w:bookmarkStart w:id="96" w:name="_Toc184310307"/>
      <w:bookmarkEnd w:id="96"/>
      <w:bookmarkStart w:id="97" w:name="_Toc184314467"/>
      <w:bookmarkEnd w:id="97"/>
      <w:bookmarkStart w:id="98" w:name="_Toc184310338"/>
      <w:bookmarkEnd w:id="98"/>
      <w:bookmarkStart w:id="99" w:name="_Toc184314421"/>
      <w:bookmarkEnd w:id="99"/>
      <w:bookmarkStart w:id="100" w:name="_Toc184308088"/>
      <w:bookmarkEnd w:id="100"/>
      <w:bookmarkStart w:id="101" w:name="_Toc184308040"/>
      <w:bookmarkEnd w:id="101"/>
      <w:bookmarkStart w:id="102" w:name="_Toc184312068"/>
      <w:bookmarkEnd w:id="102"/>
      <w:bookmarkStart w:id="103" w:name="_Toc184308061"/>
      <w:bookmarkEnd w:id="103"/>
      <w:bookmarkStart w:id="104" w:name="_Toc184314441"/>
      <w:bookmarkEnd w:id="104"/>
      <w:bookmarkStart w:id="105" w:name="_Toc184308076"/>
      <w:bookmarkEnd w:id="105"/>
      <w:bookmarkStart w:id="106" w:name="_Toc184308082"/>
      <w:bookmarkEnd w:id="106"/>
      <w:bookmarkStart w:id="107" w:name="_Toc184308046"/>
      <w:bookmarkEnd w:id="107"/>
      <w:bookmarkStart w:id="108" w:name="_Toc184313277"/>
      <w:bookmarkEnd w:id="108"/>
      <w:bookmarkStart w:id="109" w:name="_Toc184314480"/>
      <w:bookmarkEnd w:id="109"/>
      <w:bookmarkStart w:id="110" w:name="_Toc184310335"/>
      <w:bookmarkEnd w:id="110"/>
      <w:bookmarkStart w:id="111" w:name="_Toc184313262"/>
      <w:bookmarkEnd w:id="111"/>
      <w:bookmarkStart w:id="112" w:name="_Toc184314422"/>
      <w:bookmarkEnd w:id="112"/>
      <w:bookmarkStart w:id="113" w:name="_Toc184310289"/>
      <w:bookmarkEnd w:id="113"/>
      <w:bookmarkStart w:id="114" w:name="_Toc184308085"/>
      <w:bookmarkEnd w:id="114"/>
      <w:bookmarkStart w:id="115" w:name="_Toc184313283"/>
      <w:bookmarkEnd w:id="115"/>
      <w:bookmarkStart w:id="116" w:name="_Toc184314461"/>
      <w:bookmarkEnd w:id="116"/>
      <w:bookmarkStart w:id="117" w:name="_Toc184312123"/>
      <w:bookmarkEnd w:id="117"/>
      <w:bookmarkStart w:id="118" w:name="_Toc184313284"/>
      <w:bookmarkEnd w:id="118"/>
      <w:bookmarkStart w:id="119" w:name="_Toc184310281"/>
      <w:bookmarkEnd w:id="119"/>
      <w:bookmarkStart w:id="120" w:name="_Toc184314474"/>
      <w:bookmarkEnd w:id="120"/>
      <w:bookmarkStart w:id="121" w:name="_Toc184310276"/>
      <w:bookmarkEnd w:id="121"/>
      <w:bookmarkStart w:id="122" w:name="_Toc184310343"/>
      <w:bookmarkEnd w:id="122"/>
      <w:bookmarkStart w:id="123" w:name="_Toc184313296"/>
      <w:bookmarkEnd w:id="123"/>
      <w:bookmarkStart w:id="124" w:name="_Toc184308052"/>
      <w:bookmarkEnd w:id="124"/>
      <w:bookmarkStart w:id="125" w:name="_Toc184314446"/>
      <w:bookmarkEnd w:id="125"/>
      <w:bookmarkStart w:id="126" w:name="_Toc184310331"/>
      <w:bookmarkEnd w:id="126"/>
      <w:bookmarkStart w:id="127" w:name="_Toc184312136"/>
      <w:bookmarkEnd w:id="127"/>
      <w:bookmarkStart w:id="128" w:name="_Toc184314427"/>
      <w:bookmarkEnd w:id="128"/>
      <w:bookmarkStart w:id="129" w:name="_Toc184308059"/>
      <w:bookmarkEnd w:id="129"/>
      <w:bookmarkStart w:id="130" w:name="_Toc184308056"/>
      <w:bookmarkEnd w:id="130"/>
      <w:bookmarkStart w:id="131" w:name="_Toc184312083"/>
      <w:bookmarkEnd w:id="131"/>
      <w:bookmarkStart w:id="132" w:name="_Toc184312133"/>
      <w:bookmarkEnd w:id="132"/>
      <w:bookmarkStart w:id="133" w:name="_Toc184308043"/>
      <w:bookmarkEnd w:id="133"/>
      <w:bookmarkStart w:id="134" w:name="_Toc184314430"/>
      <w:bookmarkEnd w:id="134"/>
      <w:bookmarkStart w:id="135" w:name="_Toc184313289"/>
      <w:bookmarkEnd w:id="135"/>
      <w:bookmarkStart w:id="136" w:name="_Toc184313241"/>
      <w:bookmarkEnd w:id="136"/>
      <w:bookmarkStart w:id="137" w:name="_Toc184310300"/>
      <w:bookmarkEnd w:id="137"/>
      <w:bookmarkStart w:id="138" w:name="_Toc184310322"/>
      <w:bookmarkEnd w:id="138"/>
      <w:bookmarkStart w:id="139" w:name="_Toc184308065"/>
      <w:bookmarkEnd w:id="139"/>
      <w:bookmarkStart w:id="140" w:name="_Toc184314438"/>
      <w:bookmarkEnd w:id="140"/>
      <w:bookmarkStart w:id="141" w:name="_Toc184313285"/>
      <w:bookmarkEnd w:id="141"/>
      <w:bookmarkStart w:id="142" w:name="_Toc184310290"/>
      <w:bookmarkEnd w:id="142"/>
      <w:bookmarkStart w:id="143" w:name="_Toc184308074"/>
      <w:bookmarkEnd w:id="143"/>
      <w:bookmarkStart w:id="144" w:name="_Toc184310292"/>
      <w:bookmarkEnd w:id="144"/>
      <w:bookmarkStart w:id="145" w:name="_Toc184312114"/>
      <w:bookmarkEnd w:id="145"/>
      <w:bookmarkStart w:id="146" w:name="_Toc184310277"/>
      <w:bookmarkEnd w:id="146"/>
      <w:bookmarkStart w:id="147" w:name="_Toc184308093"/>
      <w:bookmarkEnd w:id="147"/>
      <w:bookmarkStart w:id="148" w:name="_Toc184310330"/>
      <w:bookmarkEnd w:id="148"/>
      <w:bookmarkStart w:id="149" w:name="_Toc184313297"/>
      <w:bookmarkEnd w:id="149"/>
      <w:bookmarkStart w:id="150" w:name="_Toc184313265"/>
      <w:bookmarkEnd w:id="150"/>
      <w:bookmarkStart w:id="151" w:name="_Toc184308039"/>
      <w:bookmarkEnd w:id="151"/>
      <w:bookmarkStart w:id="152" w:name="_Toc184312134"/>
      <w:bookmarkEnd w:id="152"/>
      <w:bookmarkStart w:id="153" w:name="_Toc184308045"/>
      <w:bookmarkEnd w:id="153"/>
      <w:bookmarkStart w:id="154" w:name="_Toc184313245"/>
      <w:bookmarkEnd w:id="154"/>
      <w:bookmarkStart w:id="155" w:name="_Toc184308037"/>
      <w:bookmarkEnd w:id="155"/>
      <w:bookmarkStart w:id="156" w:name="_Toc184312078"/>
      <w:bookmarkEnd w:id="156"/>
      <w:bookmarkStart w:id="157" w:name="_Toc184313300"/>
      <w:bookmarkEnd w:id="157"/>
      <w:bookmarkStart w:id="158" w:name="_Toc184312075"/>
      <w:bookmarkEnd w:id="158"/>
      <w:bookmarkStart w:id="159" w:name="_Toc184314449"/>
      <w:bookmarkEnd w:id="159"/>
      <w:bookmarkStart w:id="160" w:name="_Toc184313257"/>
      <w:bookmarkEnd w:id="160"/>
      <w:bookmarkStart w:id="161" w:name="_Toc184310317"/>
      <w:bookmarkEnd w:id="161"/>
      <w:bookmarkStart w:id="162" w:name="_Toc184314411"/>
      <w:bookmarkEnd w:id="162"/>
      <w:bookmarkStart w:id="163" w:name="_Toc184308090"/>
      <w:bookmarkEnd w:id="163"/>
      <w:bookmarkStart w:id="164" w:name="_Toc184314429"/>
      <w:bookmarkEnd w:id="164"/>
      <w:bookmarkStart w:id="165" w:name="_Toc184313273"/>
      <w:bookmarkEnd w:id="165"/>
      <w:bookmarkStart w:id="166" w:name="_Toc184310294"/>
      <w:bookmarkEnd w:id="166"/>
      <w:bookmarkStart w:id="167" w:name="_Toc184314471"/>
      <w:bookmarkEnd w:id="167"/>
      <w:bookmarkStart w:id="168" w:name="_Toc184308103"/>
      <w:bookmarkEnd w:id="168"/>
      <w:bookmarkStart w:id="169" w:name="_Toc184310275"/>
      <w:bookmarkEnd w:id="169"/>
      <w:bookmarkStart w:id="170" w:name="_Toc184312137"/>
      <w:bookmarkEnd w:id="170"/>
      <w:bookmarkStart w:id="171" w:name="_Toc184314425"/>
      <w:bookmarkEnd w:id="171"/>
      <w:bookmarkStart w:id="172" w:name="_Toc184314447"/>
      <w:bookmarkEnd w:id="172"/>
      <w:bookmarkStart w:id="173" w:name="_Toc184310284"/>
      <w:bookmarkEnd w:id="173"/>
      <w:bookmarkStart w:id="174" w:name="_Toc184313272"/>
      <w:bookmarkEnd w:id="174"/>
      <w:bookmarkStart w:id="175" w:name="_Toc184314482"/>
      <w:bookmarkEnd w:id="175"/>
      <w:bookmarkStart w:id="176" w:name="_Toc184308069"/>
      <w:bookmarkEnd w:id="176"/>
      <w:bookmarkStart w:id="177" w:name="_Toc184308067"/>
      <w:bookmarkEnd w:id="177"/>
      <w:bookmarkStart w:id="178" w:name="_Toc184310280"/>
      <w:bookmarkEnd w:id="178"/>
      <w:bookmarkStart w:id="179" w:name="_Toc184313294"/>
      <w:bookmarkEnd w:id="179"/>
      <w:bookmarkStart w:id="180" w:name="_Toc184312080"/>
      <w:bookmarkEnd w:id="180"/>
      <w:bookmarkStart w:id="181" w:name="_Toc184314431"/>
      <w:bookmarkEnd w:id="181"/>
      <w:bookmarkStart w:id="182" w:name="_Toc184313247"/>
      <w:bookmarkEnd w:id="182"/>
      <w:bookmarkStart w:id="183" w:name="_Toc184308099"/>
      <w:bookmarkEnd w:id="183"/>
      <w:bookmarkStart w:id="184" w:name="_Toc184312095"/>
      <w:bookmarkEnd w:id="184"/>
      <w:bookmarkStart w:id="185" w:name="_Toc184310326"/>
      <w:bookmarkEnd w:id="185"/>
      <w:bookmarkStart w:id="186" w:name="_Toc184312088"/>
      <w:bookmarkEnd w:id="186"/>
      <w:bookmarkStart w:id="187" w:name="_Toc184308055"/>
      <w:bookmarkEnd w:id="187"/>
      <w:bookmarkStart w:id="188" w:name="_Toc184310320"/>
      <w:bookmarkEnd w:id="188"/>
      <w:bookmarkStart w:id="189" w:name="_Toc184313309"/>
      <w:bookmarkEnd w:id="189"/>
      <w:bookmarkStart w:id="190" w:name="_Toc184308087"/>
      <w:bookmarkEnd w:id="190"/>
      <w:bookmarkStart w:id="191" w:name="_Toc184313240"/>
      <w:bookmarkEnd w:id="191"/>
      <w:bookmarkStart w:id="192" w:name="_Toc184310340"/>
      <w:bookmarkEnd w:id="192"/>
      <w:bookmarkStart w:id="193" w:name="_Toc184310293"/>
      <w:bookmarkEnd w:id="193"/>
      <w:bookmarkStart w:id="194" w:name="_Toc184314420"/>
      <w:bookmarkEnd w:id="194"/>
      <w:bookmarkStart w:id="195" w:name="_Toc184312125"/>
      <w:bookmarkEnd w:id="195"/>
      <w:bookmarkStart w:id="196" w:name="_Toc184314415"/>
      <w:bookmarkEnd w:id="196"/>
      <w:bookmarkStart w:id="197" w:name="_Toc184312116"/>
      <w:bookmarkEnd w:id="197"/>
      <w:bookmarkStart w:id="198" w:name="_Toc184313248"/>
      <w:bookmarkEnd w:id="198"/>
      <w:bookmarkStart w:id="199" w:name="_Toc184314448"/>
      <w:bookmarkEnd w:id="199"/>
      <w:bookmarkStart w:id="200" w:name="_Toc184308079"/>
      <w:bookmarkEnd w:id="200"/>
      <w:bookmarkStart w:id="201" w:name="_Toc184310298"/>
      <w:bookmarkEnd w:id="201"/>
      <w:bookmarkStart w:id="202" w:name="_Toc184310316"/>
      <w:bookmarkEnd w:id="202"/>
      <w:bookmarkStart w:id="203" w:name="_Toc184312102"/>
      <w:bookmarkEnd w:id="203"/>
      <w:bookmarkStart w:id="204" w:name="_Toc184314469"/>
      <w:bookmarkEnd w:id="204"/>
      <w:bookmarkStart w:id="205" w:name="_Toc184314468"/>
      <w:bookmarkEnd w:id="205"/>
      <w:bookmarkStart w:id="206" w:name="_Toc184314440"/>
      <w:bookmarkEnd w:id="206"/>
      <w:bookmarkStart w:id="207" w:name="_Toc184308091"/>
      <w:bookmarkEnd w:id="207"/>
      <w:bookmarkStart w:id="208" w:name="_Toc184312099"/>
      <w:bookmarkEnd w:id="208"/>
      <w:bookmarkStart w:id="209" w:name="_Toc184312071"/>
      <w:bookmarkEnd w:id="209"/>
      <w:bookmarkStart w:id="210" w:name="_Toc184312129"/>
      <w:bookmarkEnd w:id="210"/>
      <w:bookmarkStart w:id="211" w:name="_Toc184310311"/>
      <w:bookmarkEnd w:id="211"/>
      <w:bookmarkStart w:id="212" w:name="_Toc184313244"/>
      <w:bookmarkEnd w:id="212"/>
      <w:bookmarkStart w:id="213" w:name="_Toc184314413"/>
      <w:bookmarkEnd w:id="213"/>
      <w:bookmarkStart w:id="214" w:name="_Toc184308101"/>
      <w:bookmarkEnd w:id="214"/>
      <w:bookmarkStart w:id="215" w:name="_Toc184313304"/>
      <w:bookmarkEnd w:id="215"/>
      <w:bookmarkStart w:id="216" w:name="_Toc184310315"/>
      <w:bookmarkEnd w:id="216"/>
      <w:bookmarkStart w:id="217" w:name="_Toc184308084"/>
      <w:bookmarkEnd w:id="217"/>
      <w:bookmarkStart w:id="218" w:name="_Toc184313267"/>
      <w:bookmarkEnd w:id="218"/>
      <w:bookmarkStart w:id="219" w:name="_Toc184313246"/>
      <w:bookmarkEnd w:id="219"/>
      <w:bookmarkStart w:id="220" w:name="_Toc184308081"/>
      <w:bookmarkEnd w:id="220"/>
      <w:bookmarkStart w:id="221" w:name="_Toc184312117"/>
      <w:bookmarkEnd w:id="221"/>
      <w:bookmarkStart w:id="222" w:name="_Toc184313261"/>
      <w:bookmarkEnd w:id="222"/>
      <w:bookmarkStart w:id="223" w:name="_Toc184310312"/>
      <w:bookmarkEnd w:id="223"/>
      <w:bookmarkStart w:id="224" w:name="_Toc184314460"/>
      <w:bookmarkEnd w:id="224"/>
      <w:bookmarkStart w:id="225" w:name="_Toc184313264"/>
      <w:bookmarkEnd w:id="225"/>
      <w:bookmarkStart w:id="226" w:name="_Toc184314432"/>
      <w:bookmarkEnd w:id="226"/>
      <w:bookmarkStart w:id="227" w:name="_Toc184308053"/>
      <w:bookmarkEnd w:id="227"/>
      <w:bookmarkStart w:id="228" w:name="_Toc184312139"/>
      <w:bookmarkEnd w:id="228"/>
      <w:bookmarkStart w:id="229" w:name="_Toc184312077"/>
      <w:bookmarkEnd w:id="229"/>
      <w:bookmarkStart w:id="230" w:name="_Toc184313239"/>
      <w:bookmarkEnd w:id="230"/>
      <w:bookmarkStart w:id="231" w:name="_Toc184310341"/>
      <w:bookmarkEnd w:id="231"/>
      <w:bookmarkStart w:id="232" w:name="_Toc184314452"/>
      <w:bookmarkEnd w:id="232"/>
      <w:bookmarkStart w:id="233" w:name="_Toc184313303"/>
      <w:bookmarkEnd w:id="233"/>
      <w:bookmarkStart w:id="234" w:name="_Toc184310342"/>
      <w:bookmarkEnd w:id="234"/>
      <w:bookmarkStart w:id="235" w:name="_Toc184312091"/>
      <w:bookmarkEnd w:id="235"/>
      <w:bookmarkStart w:id="236" w:name="_Toc184314477"/>
      <w:bookmarkEnd w:id="236"/>
      <w:bookmarkStart w:id="237" w:name="_Toc184308049"/>
      <w:bookmarkEnd w:id="237"/>
      <w:bookmarkStart w:id="238" w:name="_Toc184308104"/>
      <w:bookmarkEnd w:id="238"/>
      <w:bookmarkStart w:id="239" w:name="_Toc184313286"/>
      <w:bookmarkEnd w:id="239"/>
      <w:bookmarkStart w:id="240" w:name="_Toc184308089"/>
      <w:bookmarkEnd w:id="240"/>
      <w:bookmarkStart w:id="241" w:name="_Toc184313279"/>
      <w:bookmarkEnd w:id="241"/>
      <w:bookmarkStart w:id="242" w:name="_Toc184308050"/>
      <w:bookmarkEnd w:id="242"/>
      <w:bookmarkStart w:id="243" w:name="_Toc184310305"/>
      <w:bookmarkEnd w:id="243"/>
      <w:bookmarkStart w:id="244" w:name="_Toc184310291"/>
      <w:bookmarkEnd w:id="244"/>
      <w:bookmarkStart w:id="245" w:name="_Toc184314418"/>
      <w:bookmarkEnd w:id="245"/>
      <w:bookmarkStart w:id="246" w:name="_Toc184310285"/>
      <w:bookmarkEnd w:id="246"/>
      <w:bookmarkStart w:id="247" w:name="_Toc184312107"/>
      <w:bookmarkEnd w:id="247"/>
      <w:bookmarkStart w:id="248" w:name="_Toc184312086"/>
      <w:bookmarkEnd w:id="248"/>
      <w:bookmarkStart w:id="249" w:name="_Toc184310287"/>
      <w:bookmarkEnd w:id="249"/>
      <w:bookmarkStart w:id="250" w:name="_Toc184310327"/>
      <w:bookmarkEnd w:id="250"/>
      <w:bookmarkStart w:id="251" w:name="_Toc184313292"/>
      <w:bookmarkEnd w:id="251"/>
      <w:bookmarkStart w:id="252" w:name="_Toc184310334"/>
      <w:bookmarkEnd w:id="252"/>
      <w:bookmarkStart w:id="253" w:name="_Toc184308070"/>
      <w:bookmarkEnd w:id="253"/>
      <w:bookmarkStart w:id="254" w:name="_Toc184310296"/>
      <w:bookmarkEnd w:id="254"/>
      <w:bookmarkStart w:id="255" w:name="_Toc184313290"/>
      <w:bookmarkEnd w:id="255"/>
      <w:bookmarkStart w:id="256" w:name="_Toc184310286"/>
      <w:bookmarkEnd w:id="256"/>
      <w:bookmarkStart w:id="257" w:name="_Toc184313249"/>
      <w:bookmarkEnd w:id="257"/>
      <w:bookmarkStart w:id="258" w:name="_Toc184310329"/>
      <w:bookmarkEnd w:id="258"/>
      <w:bookmarkStart w:id="259" w:name="_Toc184313278"/>
      <w:bookmarkEnd w:id="259"/>
      <w:bookmarkStart w:id="260" w:name="_Toc184313253"/>
      <w:bookmarkEnd w:id="260"/>
      <w:bookmarkStart w:id="261" w:name="_Toc184313263"/>
      <w:bookmarkEnd w:id="261"/>
      <w:bookmarkStart w:id="262" w:name="_Toc184310278"/>
      <w:bookmarkEnd w:id="262"/>
      <w:bookmarkStart w:id="263" w:name="_Toc184314423"/>
      <w:bookmarkEnd w:id="263"/>
      <w:bookmarkStart w:id="264" w:name="_Toc184314466"/>
      <w:bookmarkEnd w:id="264"/>
      <w:bookmarkStart w:id="265" w:name="_Toc184314454"/>
      <w:bookmarkEnd w:id="265"/>
      <w:bookmarkStart w:id="266" w:name="_Toc184313259"/>
      <w:bookmarkEnd w:id="266"/>
      <w:bookmarkStart w:id="267" w:name="_Toc184313306"/>
      <w:bookmarkEnd w:id="267"/>
      <w:bookmarkStart w:id="268" w:name="_Toc184310306"/>
      <w:bookmarkEnd w:id="268"/>
      <w:bookmarkStart w:id="269" w:name="_Toc184312082"/>
      <w:bookmarkEnd w:id="269"/>
      <w:bookmarkStart w:id="270" w:name="_Toc184313299"/>
      <w:bookmarkEnd w:id="270"/>
      <w:bookmarkStart w:id="271" w:name="_Toc184314428"/>
      <w:bookmarkEnd w:id="271"/>
      <w:bookmarkStart w:id="272" w:name="_Toc184312122"/>
      <w:bookmarkEnd w:id="272"/>
      <w:bookmarkStart w:id="273" w:name="_Toc184313271"/>
      <w:bookmarkEnd w:id="273"/>
      <w:bookmarkStart w:id="274" w:name="_Toc184312124"/>
      <w:bookmarkEnd w:id="274"/>
      <w:bookmarkStart w:id="275" w:name="_Toc184308106"/>
      <w:bookmarkEnd w:id="275"/>
      <w:bookmarkStart w:id="276" w:name="_Toc184310297"/>
      <w:bookmarkEnd w:id="276"/>
      <w:bookmarkStart w:id="277" w:name="_Toc184314450"/>
      <w:bookmarkEnd w:id="277"/>
      <w:bookmarkStart w:id="278" w:name="_Toc184312085"/>
      <w:bookmarkEnd w:id="278"/>
      <w:bookmarkStart w:id="279" w:name="_Toc184310344"/>
      <w:bookmarkEnd w:id="279"/>
      <w:bookmarkStart w:id="280" w:name="_Toc184308038"/>
      <w:bookmarkEnd w:id="280"/>
      <w:bookmarkStart w:id="281" w:name="_Toc184310339"/>
      <w:bookmarkEnd w:id="281"/>
      <w:bookmarkStart w:id="282" w:name="_Toc184308092"/>
      <w:bookmarkEnd w:id="282"/>
      <w:bookmarkStart w:id="283" w:name="_Toc184313276"/>
      <w:bookmarkEnd w:id="283"/>
      <w:bookmarkStart w:id="284" w:name="_Toc184314436"/>
      <w:bookmarkEnd w:id="284"/>
      <w:bookmarkStart w:id="285" w:name="_Toc184312135"/>
      <w:bookmarkEnd w:id="285"/>
      <w:bookmarkStart w:id="286" w:name="_Toc184312104"/>
      <w:bookmarkEnd w:id="286"/>
      <w:bookmarkStart w:id="287" w:name="_Toc184313274"/>
      <w:bookmarkEnd w:id="287"/>
      <w:bookmarkStart w:id="288" w:name="_Toc184312108"/>
      <w:bookmarkEnd w:id="288"/>
      <w:bookmarkStart w:id="289" w:name="_Toc184310301"/>
      <w:bookmarkEnd w:id="289"/>
      <w:bookmarkStart w:id="290" w:name="_Toc184310319"/>
      <w:bookmarkEnd w:id="290"/>
      <w:bookmarkStart w:id="291" w:name="_Toc184308086"/>
      <w:bookmarkEnd w:id="291"/>
      <w:bookmarkStart w:id="292" w:name="_Toc184308073"/>
      <w:bookmarkEnd w:id="292"/>
      <w:bookmarkStart w:id="293" w:name="_Toc184313242"/>
      <w:bookmarkEnd w:id="293"/>
      <w:bookmarkStart w:id="294" w:name="_Toc184310279"/>
      <w:bookmarkEnd w:id="294"/>
      <w:bookmarkStart w:id="295" w:name="_Toc184308097"/>
      <w:bookmarkEnd w:id="295"/>
      <w:bookmarkStart w:id="296" w:name="_Toc184312096"/>
      <w:bookmarkEnd w:id="296"/>
      <w:bookmarkStart w:id="297" w:name="_Toc184312113"/>
      <w:bookmarkEnd w:id="297"/>
      <w:bookmarkStart w:id="298" w:name="_Toc184314463"/>
      <w:bookmarkEnd w:id="298"/>
      <w:bookmarkStart w:id="299" w:name="_Toc184314426"/>
      <w:bookmarkEnd w:id="299"/>
      <w:bookmarkStart w:id="300" w:name="_Toc184310304"/>
      <w:bookmarkEnd w:id="300"/>
      <w:bookmarkStart w:id="301" w:name="_Toc184312109"/>
      <w:bookmarkEnd w:id="301"/>
      <w:bookmarkStart w:id="302" w:name="_Toc184314464"/>
      <w:bookmarkEnd w:id="302"/>
      <w:bookmarkStart w:id="303" w:name="_Toc184313268"/>
      <w:bookmarkEnd w:id="303"/>
      <w:bookmarkStart w:id="304" w:name="_Toc184314412"/>
      <w:bookmarkEnd w:id="304"/>
      <w:bookmarkStart w:id="305" w:name="_Toc184308083"/>
      <w:bookmarkEnd w:id="305"/>
      <w:bookmarkStart w:id="306" w:name="_Toc184310302"/>
      <w:bookmarkEnd w:id="306"/>
      <w:bookmarkStart w:id="307" w:name="_Toc184312138"/>
      <w:bookmarkEnd w:id="307"/>
      <w:bookmarkStart w:id="308" w:name="_Toc184308066"/>
      <w:bookmarkEnd w:id="308"/>
      <w:bookmarkStart w:id="309" w:name="_Toc184312127"/>
      <w:bookmarkEnd w:id="309"/>
      <w:bookmarkStart w:id="310" w:name="_Toc184313260"/>
      <w:bookmarkEnd w:id="310"/>
      <w:bookmarkStart w:id="311" w:name="_Toc184314455"/>
      <w:bookmarkEnd w:id="311"/>
      <w:bookmarkStart w:id="312" w:name="_Toc184314443"/>
      <w:bookmarkEnd w:id="312"/>
      <w:bookmarkStart w:id="313" w:name="_Toc184312126"/>
      <w:bookmarkEnd w:id="313"/>
      <w:bookmarkStart w:id="314" w:name="_Toc184312097"/>
      <w:bookmarkEnd w:id="314"/>
      <w:bookmarkStart w:id="315" w:name="_Toc184308071"/>
      <w:bookmarkEnd w:id="315"/>
      <w:bookmarkStart w:id="316" w:name="_Toc184308075"/>
      <w:bookmarkEnd w:id="316"/>
      <w:bookmarkStart w:id="317" w:name="_Toc184310273"/>
      <w:bookmarkEnd w:id="317"/>
      <w:bookmarkStart w:id="318" w:name="_Toc184312103"/>
      <w:bookmarkEnd w:id="318"/>
      <w:bookmarkStart w:id="319" w:name="_Toc184314462"/>
      <w:bookmarkEnd w:id="319"/>
      <w:bookmarkStart w:id="320" w:name="_Toc184308047"/>
      <w:bookmarkEnd w:id="320"/>
      <w:bookmarkStart w:id="321" w:name="_Toc184310309"/>
      <w:bookmarkEnd w:id="321"/>
      <w:bookmarkStart w:id="322" w:name="_Toc184313307"/>
      <w:bookmarkEnd w:id="322"/>
      <w:bookmarkStart w:id="323" w:name="_Toc184314476"/>
      <w:bookmarkEnd w:id="323"/>
      <w:bookmarkStart w:id="324" w:name="_Toc184308080"/>
      <w:bookmarkEnd w:id="324"/>
      <w:bookmarkStart w:id="325" w:name="_Toc184313250"/>
      <w:bookmarkEnd w:id="325"/>
      <w:bookmarkStart w:id="326" w:name="_Toc184312084"/>
      <w:bookmarkEnd w:id="326"/>
      <w:bookmarkStart w:id="327" w:name="_Toc184314472"/>
      <w:bookmarkEnd w:id="327"/>
      <w:bookmarkStart w:id="328" w:name="_Toc184312094"/>
      <w:bookmarkEnd w:id="328"/>
      <w:bookmarkStart w:id="329" w:name="_Toc184308098"/>
      <w:bookmarkEnd w:id="329"/>
      <w:bookmarkStart w:id="330" w:name="_Toc184312106"/>
      <w:bookmarkEnd w:id="330"/>
      <w:bookmarkStart w:id="331" w:name="_Toc184314434"/>
      <w:bookmarkEnd w:id="331"/>
      <w:bookmarkStart w:id="332" w:name="_Toc184312090"/>
      <w:bookmarkEnd w:id="332"/>
      <w:bookmarkStart w:id="333" w:name="_Toc184312130"/>
      <w:bookmarkEnd w:id="333"/>
      <w:bookmarkStart w:id="334" w:name="_Toc184313252"/>
      <w:bookmarkEnd w:id="334"/>
      <w:bookmarkStart w:id="335" w:name="_Toc184308063"/>
      <w:bookmarkEnd w:id="335"/>
      <w:bookmarkStart w:id="336" w:name="_Toc184314417"/>
      <w:bookmarkEnd w:id="336"/>
      <w:bookmarkStart w:id="337" w:name="_Toc184313270"/>
      <w:bookmarkEnd w:id="337"/>
      <w:bookmarkStart w:id="338" w:name="_Toc184308072"/>
      <w:bookmarkEnd w:id="338"/>
      <w:bookmarkStart w:id="339" w:name="_Toc184308064"/>
      <w:bookmarkEnd w:id="339"/>
      <w:bookmarkStart w:id="340" w:name="_Toc184310318"/>
      <w:bookmarkEnd w:id="340"/>
      <w:bookmarkStart w:id="341" w:name="_Toc184313308"/>
      <w:bookmarkEnd w:id="341"/>
      <w:bookmarkStart w:id="342" w:name="_Toc184312093"/>
      <w:bookmarkEnd w:id="342"/>
      <w:bookmarkStart w:id="343" w:name="_Toc184310336"/>
      <w:bookmarkEnd w:id="343"/>
      <w:bookmarkStart w:id="344" w:name="_Toc184310328"/>
      <w:bookmarkEnd w:id="344"/>
      <w:bookmarkStart w:id="345" w:name="_Toc184310332"/>
      <w:bookmarkEnd w:id="345"/>
      <w:bookmarkStart w:id="346" w:name="_Toc184314410"/>
      <w:bookmarkEnd w:id="346"/>
      <w:bookmarkStart w:id="347" w:name="_Toc184313256"/>
      <w:bookmarkEnd w:id="347"/>
      <w:bookmarkStart w:id="348" w:name="_Toc184312119"/>
      <w:bookmarkEnd w:id="348"/>
      <w:bookmarkStart w:id="349" w:name="_Toc184314416"/>
      <w:bookmarkEnd w:id="349"/>
      <w:bookmarkStart w:id="350" w:name="_Toc184312073"/>
      <w:bookmarkEnd w:id="350"/>
      <w:bookmarkStart w:id="351" w:name="_Toc184310321"/>
      <w:bookmarkEnd w:id="351"/>
      <w:bookmarkStart w:id="352" w:name="_Toc184312087"/>
      <w:bookmarkEnd w:id="352"/>
      <w:bookmarkStart w:id="353" w:name="_Toc184314459"/>
      <w:bookmarkEnd w:id="353"/>
      <w:bookmarkStart w:id="354" w:name="_Toc184308077"/>
      <w:bookmarkEnd w:id="354"/>
      <w:bookmarkStart w:id="355" w:name="_Toc184310314"/>
      <w:bookmarkEnd w:id="355"/>
      <w:bookmarkStart w:id="356" w:name="_Toc184313281"/>
      <w:bookmarkEnd w:id="356"/>
      <w:bookmarkStart w:id="357" w:name="_Toc184310295"/>
      <w:bookmarkEnd w:id="357"/>
      <w:bookmarkStart w:id="358" w:name="_Toc184312118"/>
      <w:bookmarkEnd w:id="358"/>
      <w:bookmarkStart w:id="359" w:name="_Toc184308096"/>
      <w:bookmarkEnd w:id="359"/>
      <w:bookmarkStart w:id="360" w:name="_Toc184310288"/>
      <w:bookmarkEnd w:id="360"/>
      <w:bookmarkStart w:id="361" w:name="_Toc184310303"/>
      <w:bookmarkEnd w:id="361"/>
      <w:bookmarkStart w:id="362" w:name="_Toc184312089"/>
      <w:bookmarkEnd w:id="362"/>
      <w:bookmarkStart w:id="363" w:name="_Toc184314442"/>
      <w:bookmarkEnd w:id="363"/>
      <w:bookmarkStart w:id="364" w:name="_Toc184314456"/>
      <w:bookmarkEnd w:id="364"/>
      <w:bookmarkStart w:id="365" w:name="_Toc184308048"/>
      <w:bookmarkEnd w:id="365"/>
      <w:bookmarkStart w:id="366" w:name="_Toc184314457"/>
      <w:bookmarkEnd w:id="366"/>
      <w:bookmarkStart w:id="367" w:name="_Toc184312092"/>
      <w:bookmarkEnd w:id="367"/>
      <w:bookmarkStart w:id="368" w:name="_Toc184313275"/>
      <w:bookmarkEnd w:id="368"/>
      <w:bookmarkStart w:id="369" w:name="_Toc184312115"/>
      <w:bookmarkEnd w:id="369"/>
      <w:bookmarkStart w:id="370" w:name="_Toc184312072"/>
      <w:bookmarkEnd w:id="370"/>
      <w:bookmarkStart w:id="371" w:name="_Toc184313301"/>
      <w:bookmarkEnd w:id="371"/>
      <w:bookmarkStart w:id="372" w:name="_Toc184308041"/>
      <w:bookmarkEnd w:id="372"/>
      <w:bookmarkStart w:id="373" w:name="_Toc184312110"/>
      <w:bookmarkEnd w:id="373"/>
      <w:bookmarkStart w:id="374" w:name="_Toc184308108"/>
      <w:bookmarkEnd w:id="374"/>
      <w:bookmarkStart w:id="375" w:name="_Toc184308102"/>
      <w:bookmarkEnd w:id="375"/>
      <w:bookmarkStart w:id="376" w:name="_Toc184314451"/>
      <w:bookmarkEnd w:id="376"/>
      <w:bookmarkStart w:id="377" w:name="_Toc184313269"/>
      <w:bookmarkEnd w:id="377"/>
      <w:bookmarkStart w:id="378" w:name="_Toc184310308"/>
      <w:bookmarkEnd w:id="378"/>
      <w:bookmarkStart w:id="379" w:name="_Toc184312105"/>
      <w:bookmarkEnd w:id="379"/>
      <w:bookmarkStart w:id="380" w:name="_Toc184314435"/>
      <w:bookmarkEnd w:id="380"/>
      <w:bookmarkStart w:id="381" w:name="_Toc184308051"/>
      <w:bookmarkEnd w:id="381"/>
      <w:bookmarkStart w:id="382" w:name="_Toc184314433"/>
      <w:bookmarkEnd w:id="382"/>
      <w:bookmarkStart w:id="383" w:name="_Toc184308078"/>
      <w:bookmarkEnd w:id="383"/>
      <w:bookmarkStart w:id="384" w:name="_Toc184308095"/>
      <w:bookmarkEnd w:id="384"/>
      <w:bookmarkStart w:id="385" w:name="_Toc184310325"/>
      <w:bookmarkEnd w:id="385"/>
      <w:bookmarkStart w:id="386" w:name="_Toc184308062"/>
      <w:bookmarkEnd w:id="386"/>
      <w:bookmarkStart w:id="387" w:name="_Toc184313295"/>
      <w:bookmarkEnd w:id="387"/>
      <w:bookmarkStart w:id="388" w:name="_Toc184310283"/>
      <w:bookmarkEnd w:id="388"/>
      <w:bookmarkStart w:id="389" w:name="_Toc184312120"/>
      <w:bookmarkEnd w:id="389"/>
      <w:bookmarkStart w:id="390" w:name="_Toc184312128"/>
      <w:bookmarkEnd w:id="390"/>
      <w:bookmarkStart w:id="391" w:name="_Toc184314458"/>
      <w:bookmarkEnd w:id="391"/>
      <w:bookmarkStart w:id="392" w:name="_Toc184312131"/>
      <w:bookmarkEnd w:id="392"/>
      <w:bookmarkStart w:id="393" w:name="_Toc184313298"/>
      <w:bookmarkEnd w:id="393"/>
      <w:bookmarkStart w:id="394" w:name="_Toc184313238"/>
      <w:bookmarkEnd w:id="394"/>
      <w:bookmarkStart w:id="395" w:name="_Toc184314478"/>
      <w:bookmarkEnd w:id="395"/>
      <w:bookmarkStart w:id="396" w:name="_Toc184314437"/>
      <w:bookmarkEnd w:id="396"/>
      <w:bookmarkStart w:id="397" w:name="_Toc184314470"/>
      <w:bookmarkEnd w:id="397"/>
      <w:bookmarkStart w:id="398" w:name="_Toc184310274"/>
      <w:bookmarkEnd w:id="398"/>
      <w:bookmarkStart w:id="399" w:name="_Toc184314479"/>
      <w:bookmarkEnd w:id="399"/>
      <w:bookmarkStart w:id="400" w:name="_Toc184314424"/>
      <w:bookmarkEnd w:id="400"/>
      <w:bookmarkStart w:id="401" w:name="_Toc184314481"/>
      <w:bookmarkEnd w:id="401"/>
      <w:bookmarkStart w:id="402" w:name="_Toc184314453"/>
      <w:bookmarkEnd w:id="402"/>
      <w:bookmarkStart w:id="403" w:name="_Toc184312101"/>
      <w:bookmarkEnd w:id="403"/>
      <w:bookmarkStart w:id="404" w:name="_Toc184310324"/>
      <w:bookmarkEnd w:id="404"/>
      <w:bookmarkStart w:id="405" w:name="_Toc184308060"/>
      <w:bookmarkEnd w:id="405"/>
      <w:bookmarkStart w:id="406" w:name="_Toc184314445"/>
      <w:bookmarkEnd w:id="406"/>
      <w:bookmarkStart w:id="407" w:name="_Toc184312074"/>
      <w:bookmarkEnd w:id="407"/>
      <w:bookmarkStart w:id="408" w:name="_Toc184313305"/>
      <w:bookmarkEnd w:id="408"/>
      <w:bookmarkStart w:id="409" w:name="_Toc184308058"/>
      <w:bookmarkEnd w:id="409"/>
      <w:bookmarkStart w:id="410" w:name="_Toc184313258"/>
      <w:bookmarkEnd w:id="410"/>
      <w:bookmarkStart w:id="411" w:name="_Toc184310310"/>
      <w:bookmarkEnd w:id="411"/>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294"/>
        <w:gridCol w:w="6643"/>
      </w:tblGrid>
      <w:tr w14:paraId="4427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6" w:type="dxa"/>
            <w:gridSpan w:val="3"/>
            <w:tcBorders>
              <w:left w:val="single" w:color="auto" w:sz="4" w:space="0"/>
              <w:right w:val="single" w:color="auto" w:sz="2" w:space="0"/>
            </w:tcBorders>
            <w:noWrap w:val="0"/>
            <w:vAlign w:val="center"/>
          </w:tcPr>
          <w:p w14:paraId="142991B0">
            <w:pPr>
              <w:spacing w:line="360" w:lineRule="exact"/>
              <w:ind w:left="0" w:leftChars="0" w:right="0" w:righ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评分项及分值</w:t>
            </w:r>
          </w:p>
        </w:tc>
      </w:tr>
      <w:tr w14:paraId="5B9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jc w:val="center"/>
        </w:trPr>
        <w:tc>
          <w:tcPr>
            <w:tcW w:w="999" w:type="dxa"/>
            <w:vMerge w:val="restart"/>
            <w:tcBorders>
              <w:left w:val="single" w:color="auto" w:sz="4" w:space="0"/>
              <w:right w:val="single" w:color="auto" w:sz="2" w:space="0"/>
            </w:tcBorders>
            <w:noWrap w:val="0"/>
            <w:vAlign w:val="center"/>
          </w:tcPr>
          <w:p w14:paraId="42D43918">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商</w:t>
            </w:r>
          </w:p>
          <w:p w14:paraId="003592C3">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务</w:t>
            </w:r>
          </w:p>
          <w:p w14:paraId="123EECDC">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技</w:t>
            </w:r>
          </w:p>
          <w:p w14:paraId="2B5E83CA">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术</w:t>
            </w:r>
          </w:p>
          <w:p w14:paraId="036C864D">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分</w:t>
            </w:r>
          </w:p>
          <w:p w14:paraId="0076765C">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0分）</w:t>
            </w:r>
          </w:p>
        </w:tc>
        <w:tc>
          <w:tcPr>
            <w:tcW w:w="1294" w:type="dxa"/>
            <w:vMerge w:val="restart"/>
            <w:tcBorders>
              <w:top w:val="single" w:color="auto" w:sz="2" w:space="0"/>
              <w:left w:val="single" w:color="auto" w:sz="2" w:space="0"/>
              <w:right w:val="single" w:color="auto" w:sz="4" w:space="0"/>
            </w:tcBorders>
            <w:noWrap w:val="0"/>
            <w:vAlign w:val="center"/>
          </w:tcPr>
          <w:p w14:paraId="56BC085C">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项目总体</w:t>
            </w:r>
          </w:p>
          <w:p w14:paraId="7F1981ED">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理解程度</w:t>
            </w:r>
          </w:p>
          <w:p w14:paraId="4CE696A8">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967F7F0">
            <w:pPr>
              <w:spacing w:line="360" w:lineRule="exact"/>
              <w:rPr>
                <w:rFonts w:hint="eastAsia" w:ascii="宋体" w:hAnsi="宋体" w:eastAsia="宋体" w:cs="宋体"/>
                <w:bCs/>
                <w:sz w:val="24"/>
                <w:lang w:eastAsia="zh-CN"/>
              </w:rPr>
            </w:pPr>
            <w:r>
              <w:rPr>
                <w:rFonts w:hint="eastAsia" w:ascii="宋体" w:hAnsi="宋体" w:eastAsia="宋体" w:cs="宋体"/>
                <w:bCs/>
                <w:sz w:val="24"/>
              </w:rPr>
              <w:t>对</w:t>
            </w:r>
            <w:r>
              <w:rPr>
                <w:rFonts w:hint="eastAsia" w:ascii="宋体" w:hAnsi="宋体" w:eastAsia="宋体" w:cs="宋体"/>
                <w:bCs/>
                <w:sz w:val="24"/>
                <w:lang w:val="en-US" w:eastAsia="zh-CN"/>
              </w:rPr>
              <w:t>本</w:t>
            </w:r>
            <w:r>
              <w:rPr>
                <w:rFonts w:hint="eastAsia" w:ascii="宋体" w:hAnsi="宋体" w:eastAsia="宋体" w:cs="宋体"/>
                <w:bCs/>
                <w:sz w:val="24"/>
              </w:rPr>
              <w:t>项目现有状况</w:t>
            </w:r>
            <w:r>
              <w:rPr>
                <w:rFonts w:hint="eastAsia" w:ascii="宋体" w:hAnsi="宋体" w:eastAsia="宋体" w:cs="宋体"/>
                <w:bCs/>
                <w:sz w:val="24"/>
                <w:lang w:eastAsia="zh-CN"/>
              </w:rPr>
              <w:t>的</w:t>
            </w:r>
            <w:r>
              <w:rPr>
                <w:rFonts w:hint="eastAsia" w:ascii="宋体" w:hAnsi="宋体" w:cs="宋体"/>
                <w:bCs/>
                <w:sz w:val="24"/>
                <w:lang w:val="en-US" w:eastAsia="zh-CN"/>
              </w:rPr>
              <w:t>了解、</w:t>
            </w:r>
            <w:r>
              <w:rPr>
                <w:rFonts w:hint="eastAsia" w:ascii="宋体" w:hAnsi="宋体" w:eastAsia="宋体" w:cs="宋体"/>
                <w:bCs/>
                <w:sz w:val="24"/>
              </w:rPr>
              <w:t>调研、分析程度</w:t>
            </w:r>
            <w:r>
              <w:rPr>
                <w:rFonts w:hint="eastAsia" w:ascii="宋体" w:hAnsi="宋体" w:eastAsia="宋体" w:cs="宋体"/>
                <w:bCs/>
                <w:sz w:val="24"/>
                <w:lang w:eastAsia="zh-CN"/>
              </w:rPr>
              <w:t>，</w:t>
            </w:r>
            <w:r>
              <w:rPr>
                <w:rFonts w:hint="eastAsia" w:ascii="宋体" w:hAnsi="宋体" w:eastAsia="宋体" w:cs="宋体"/>
                <w:bCs/>
                <w:sz w:val="24"/>
              </w:rPr>
              <w:t>由评委综合评议打分</w:t>
            </w:r>
            <w:r>
              <w:rPr>
                <w:rFonts w:hint="eastAsia" w:ascii="宋体" w:hAnsi="宋体" w:eastAsia="宋体" w:cs="宋体"/>
                <w:bCs/>
                <w:sz w:val="24"/>
                <w:lang w:eastAsia="zh-CN"/>
              </w:rPr>
              <w:t>：</w:t>
            </w:r>
          </w:p>
          <w:p w14:paraId="5DD10DEF">
            <w:pPr>
              <w:spacing w:line="36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了解透彻、调研到位，分析合理的，得2分；</w:t>
            </w:r>
          </w:p>
          <w:p w14:paraId="42A07BFC">
            <w:pPr>
              <w:spacing w:line="360" w:lineRule="exact"/>
              <w:rPr>
                <w:rFonts w:hint="default" w:ascii="宋体" w:hAnsi="宋体" w:cs="宋体"/>
                <w:color w:val="auto"/>
                <w:sz w:val="24"/>
                <w:szCs w:val="24"/>
                <w:lang w:val="en-US" w:eastAsia="zh-CN"/>
              </w:rPr>
            </w:pPr>
            <w:r>
              <w:rPr>
                <w:rFonts w:hint="eastAsia" w:ascii="宋体" w:hAnsi="宋体" w:eastAsia="宋体" w:cs="宋体"/>
                <w:bCs/>
                <w:sz w:val="24"/>
                <w:lang w:val="en-US" w:eastAsia="zh-CN"/>
              </w:rPr>
              <w:t>了解透彻性一般、调研程度一般，分析较合理的，得</w:t>
            </w:r>
            <w:r>
              <w:rPr>
                <w:rFonts w:hint="eastAsia" w:ascii="宋体" w:hAnsi="宋体" w:cs="宋体"/>
                <w:bCs/>
                <w:sz w:val="24"/>
                <w:lang w:val="en-US" w:eastAsia="zh-CN"/>
              </w:rPr>
              <w:t>1</w:t>
            </w:r>
            <w:r>
              <w:rPr>
                <w:rFonts w:hint="eastAsia" w:ascii="宋体" w:hAnsi="宋体" w:eastAsia="宋体" w:cs="宋体"/>
                <w:bCs/>
                <w:sz w:val="24"/>
                <w:lang w:val="en-US" w:eastAsia="zh-CN"/>
              </w:rPr>
              <w:t>分。</w:t>
            </w:r>
          </w:p>
        </w:tc>
      </w:tr>
      <w:tr w14:paraId="2C6B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999" w:type="dxa"/>
            <w:vMerge w:val="continue"/>
            <w:tcBorders>
              <w:left w:val="single" w:color="auto" w:sz="4" w:space="0"/>
              <w:right w:val="single" w:color="auto" w:sz="2" w:space="0"/>
            </w:tcBorders>
            <w:noWrap w:val="0"/>
            <w:vAlign w:val="center"/>
          </w:tcPr>
          <w:p w14:paraId="54379B77">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41DDFDA">
            <w:pPr>
              <w:spacing w:line="360" w:lineRule="exact"/>
              <w:ind w:left="0" w:leftChars="0" w:right="0" w:rightChars="0" w:firstLine="0" w:firstLineChars="0"/>
              <w:jc w:val="center"/>
              <w:rPr>
                <w:rFonts w:hint="eastAsia" w:ascii="宋体" w:hAnsi="宋体" w:cs="宋体"/>
                <w:color w:val="auto"/>
                <w:sz w:val="24"/>
                <w:szCs w:val="24"/>
                <w:lang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99035F1">
            <w:pPr>
              <w:spacing w:line="360" w:lineRule="exac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对本</w:t>
            </w:r>
            <w:r>
              <w:rPr>
                <w:rFonts w:hint="eastAsia" w:ascii="宋体" w:hAnsi="宋体" w:cs="宋体"/>
                <w:color w:val="auto"/>
                <w:sz w:val="24"/>
                <w:szCs w:val="24"/>
                <w:lang w:eastAsia="zh-CN"/>
              </w:rPr>
              <w:t>项目工作范围、</w:t>
            </w:r>
            <w:r>
              <w:rPr>
                <w:rFonts w:hint="eastAsia" w:ascii="宋体" w:hAnsi="宋体" w:cs="宋体"/>
                <w:color w:val="auto"/>
                <w:sz w:val="24"/>
                <w:szCs w:val="24"/>
                <w:lang w:val="en-US" w:eastAsia="zh-CN"/>
              </w:rPr>
              <w:t>内容及要求、应配合与承诺的内容是否全面理解并体现，</w:t>
            </w:r>
            <w:r>
              <w:rPr>
                <w:rFonts w:hint="eastAsia" w:ascii="宋体" w:hAnsi="宋体" w:eastAsia="宋体" w:cs="宋体"/>
                <w:bCs/>
                <w:sz w:val="24"/>
              </w:rPr>
              <w:t>由评委综合评议打分</w:t>
            </w:r>
            <w:r>
              <w:rPr>
                <w:rFonts w:hint="eastAsia" w:ascii="宋体" w:hAnsi="宋体" w:eastAsia="宋体" w:cs="宋体"/>
                <w:bCs/>
                <w:sz w:val="24"/>
                <w:lang w:eastAsia="zh-CN"/>
              </w:rPr>
              <w:t>（</w:t>
            </w:r>
            <w:r>
              <w:rPr>
                <w:rFonts w:hint="eastAsia" w:ascii="宋体" w:hAnsi="宋体" w:cs="宋体"/>
                <w:bCs/>
                <w:sz w:val="24"/>
                <w:lang w:val="en-US" w:eastAsia="zh-CN"/>
              </w:rPr>
              <w:t>3</w:t>
            </w:r>
            <w:r>
              <w:rPr>
                <w:rFonts w:hint="eastAsia" w:ascii="宋体" w:hAnsi="宋体" w:eastAsia="宋体" w:cs="宋体"/>
                <w:bCs/>
                <w:sz w:val="24"/>
                <w:lang w:val="en-US" w:eastAsia="zh-CN"/>
              </w:rPr>
              <w:t>分</w:t>
            </w:r>
            <w:r>
              <w:rPr>
                <w:rFonts w:hint="eastAsia" w:ascii="宋体" w:hAnsi="宋体" w:eastAsia="宋体" w:cs="宋体"/>
                <w:bCs/>
                <w:sz w:val="24"/>
                <w:lang w:eastAsia="zh-CN"/>
              </w:rPr>
              <w:t>）</w:t>
            </w:r>
          </w:p>
        </w:tc>
      </w:tr>
      <w:tr w14:paraId="1AD0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344DB939">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2C8B7FE0">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w:t>
            </w:r>
          </w:p>
          <w:p w14:paraId="21C6040F">
            <w:pPr>
              <w:spacing w:line="360" w:lineRule="exact"/>
              <w:ind w:left="0" w:leftChars="0" w:right="0" w:rightChars="0" w:firstLine="0" w:firstLineChars="0"/>
              <w:jc w:val="center"/>
              <w:rPr>
                <w:rFonts w:hint="eastAsia"/>
                <w:color w:val="auto"/>
                <w:kern w:val="2"/>
                <w:sz w:val="21"/>
                <w:lang w:val="en-US" w:eastAsia="zh-CN" w:bidi="ar-SA"/>
              </w:rPr>
            </w:pPr>
            <w:r>
              <w:rPr>
                <w:rFonts w:hint="eastAsia" w:ascii="宋体" w:hAnsi="宋体" w:cs="宋体"/>
                <w:color w:val="auto"/>
                <w:sz w:val="24"/>
                <w:szCs w:val="24"/>
                <w:lang w:val="en-US" w:eastAsia="zh-CN"/>
              </w:rPr>
              <w:t>（20分）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99FBA72">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w:t>
            </w:r>
            <w:r>
              <w:rPr>
                <w:rFonts w:hint="eastAsia" w:ascii="宋体" w:hAnsi="宋体" w:cs="宋体"/>
                <w:color w:val="auto"/>
                <w:sz w:val="24"/>
                <w:szCs w:val="24"/>
                <w:lang w:eastAsia="zh-CN"/>
              </w:rPr>
              <w:t>实施</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从</w:t>
            </w:r>
            <w:r>
              <w:rPr>
                <w:rFonts w:hint="eastAsia" w:ascii="宋体" w:hAnsi="宋体" w:cs="宋体"/>
                <w:color w:val="auto"/>
                <w:sz w:val="24"/>
                <w:szCs w:val="24"/>
                <w:lang w:val="en-US" w:eastAsia="zh-CN"/>
              </w:rPr>
              <w:t>完整性、</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针对性、</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p>
          <w:p w14:paraId="2F35A90C">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实施方案完整、科学、合理、针对性强、可行性强的，得4分；</w:t>
            </w:r>
          </w:p>
          <w:p w14:paraId="0BA3EFE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实施方案较完整、科学、合理、针对性较强、可行性较强的，得3分；</w:t>
            </w:r>
          </w:p>
          <w:p w14:paraId="0C70581B">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实施方案完整性一般、科学、合理、针对性一般、可行性一般的，得2分；</w:t>
            </w:r>
          </w:p>
          <w:p w14:paraId="4AFF7CE1">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实施方案完整性差、科学、合理、针对性差、可行性差的，得1分；</w:t>
            </w:r>
          </w:p>
          <w:p w14:paraId="1B112B78">
            <w:pPr>
              <w:spacing w:line="360" w:lineRule="exact"/>
              <w:rPr>
                <w:rFonts w:hint="eastAsia" w:ascii="宋体" w:hAnsi="宋体" w:cs="宋体"/>
                <w:color w:val="auto"/>
                <w:sz w:val="24"/>
                <w:lang w:val="en-US" w:eastAsia="zh-CN"/>
              </w:rPr>
            </w:pPr>
            <w:r>
              <w:rPr>
                <w:rFonts w:hint="eastAsia" w:ascii="宋体" w:hAnsi="宋体" w:cs="宋体"/>
                <w:color w:val="auto"/>
                <w:sz w:val="24"/>
                <w:szCs w:val="24"/>
                <w:lang w:val="en-US" w:eastAsia="zh-CN"/>
              </w:rPr>
              <w:t>其余不得分。</w:t>
            </w:r>
          </w:p>
        </w:tc>
      </w:tr>
      <w:tr w14:paraId="0946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999" w:type="dxa"/>
            <w:vMerge w:val="continue"/>
            <w:tcBorders>
              <w:left w:val="single" w:color="auto" w:sz="4" w:space="0"/>
              <w:right w:val="single" w:color="auto" w:sz="2" w:space="0"/>
            </w:tcBorders>
            <w:noWrap w:val="0"/>
            <w:vAlign w:val="center"/>
          </w:tcPr>
          <w:p w14:paraId="229C0BB6">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4E25EBDE">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2FCBDEE">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项目采样方案，采样的点位选择、操作流程、留样方式等是否符合项目及相关规范要求，从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p>
          <w:p w14:paraId="7ABFAC5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方案完整、科学、合理、针对性强、可行性强的，得4分；</w:t>
            </w:r>
          </w:p>
          <w:p w14:paraId="313049BE">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方案较完整、科学、合理、针对性较强、可行性较强的，得3分；</w:t>
            </w:r>
          </w:p>
          <w:p w14:paraId="0FCE5CA4">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方案完整性一般、科学、合理、针对性一般、可行性一般的，得2分；</w:t>
            </w:r>
          </w:p>
          <w:p w14:paraId="39421AF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方案完整性差、科学、合理、针对性差、可行性差的，得1分；</w:t>
            </w:r>
          </w:p>
          <w:p w14:paraId="7B8A96C0">
            <w:pPr>
              <w:spacing w:line="360" w:lineRule="exact"/>
              <w:rPr>
                <w:rFonts w:hint="eastAsia" w:ascii="宋体" w:hAnsi="宋体" w:cs="宋体"/>
                <w:color w:val="auto"/>
                <w:sz w:val="24"/>
                <w:lang w:val="en-US" w:eastAsia="zh-CN"/>
              </w:rPr>
            </w:pPr>
            <w:r>
              <w:rPr>
                <w:rFonts w:hint="eastAsia" w:ascii="宋体" w:hAnsi="宋体" w:cs="宋体"/>
                <w:color w:val="auto"/>
                <w:sz w:val="24"/>
                <w:szCs w:val="24"/>
                <w:lang w:val="en-US" w:eastAsia="zh-CN"/>
              </w:rPr>
              <w:t>其余不得分。</w:t>
            </w:r>
          </w:p>
        </w:tc>
      </w:tr>
      <w:tr w14:paraId="3F6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14:paraId="4A5523F1">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2B895C81">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00C9ACC7">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项目检测方案，检测方法是否合理、检测流程是否严谨、试剂耗材是否齐全、检测时间是否符合项目需求，从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p>
          <w:p w14:paraId="09A8FFB6">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检测方案完整、科学、合理、针对性强、可行性强的，得4分；</w:t>
            </w:r>
          </w:p>
          <w:p w14:paraId="7832462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检测方案较完整、科学、合理、针对性较强、可行性较强的，得3分；</w:t>
            </w:r>
          </w:p>
          <w:p w14:paraId="2DA133A8">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检测方案完整性一般、科学、合理、针对性一般、可行性一般的，得2分；</w:t>
            </w:r>
          </w:p>
          <w:p w14:paraId="383F43F1">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检测方案完整性差、科学、合理、针对性差、可行性差的，得1分；</w:t>
            </w:r>
          </w:p>
          <w:p w14:paraId="792DFD59">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val="en-US" w:eastAsia="zh-CN"/>
              </w:rPr>
              <w:t>其余不得分。</w:t>
            </w:r>
          </w:p>
        </w:tc>
      </w:tr>
      <w:tr w14:paraId="7233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1" w:hRule="atLeast"/>
          <w:jc w:val="center"/>
        </w:trPr>
        <w:tc>
          <w:tcPr>
            <w:tcW w:w="999" w:type="dxa"/>
            <w:vMerge w:val="continue"/>
            <w:tcBorders>
              <w:left w:val="single" w:color="auto" w:sz="4" w:space="0"/>
              <w:right w:val="single" w:color="auto" w:sz="2" w:space="0"/>
            </w:tcBorders>
            <w:noWrap w:val="0"/>
            <w:vAlign w:val="center"/>
          </w:tcPr>
          <w:p w14:paraId="66356258">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53AC72A">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2E53F1A">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val="en-US" w:eastAsia="zh-CN"/>
              </w:rPr>
              <w:t>检测报告出具，检测报告内容是否详实、是否突出重点、逻辑是否严密、表述是否完整、是否真实反应检测结果，从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p>
          <w:p w14:paraId="18472B89">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检测报告内容完整、科学、合理、针对性强、可行性强的，得4分；</w:t>
            </w:r>
          </w:p>
          <w:p w14:paraId="24AF6994">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检测报告内容较完整、科学、合理、针对性较强、可行性较强的，得3分；</w:t>
            </w:r>
          </w:p>
          <w:p w14:paraId="78B3DFBB">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检测报告内容完整性一般、科学、合理、针对性一般、可行性一般的，得2分；</w:t>
            </w:r>
          </w:p>
          <w:p w14:paraId="3A98FB2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检测报告内容完整性差、科学、合理、针对性差、可行性差的，得1分；</w:t>
            </w:r>
          </w:p>
          <w:p w14:paraId="4C42FABD">
            <w:pPr>
              <w:spacing w:line="360" w:lineRule="exact"/>
              <w:rPr>
                <w:rFonts w:hint="eastAsia" w:ascii="宋体" w:hAnsi="宋体" w:cs="宋体"/>
                <w:color w:val="auto"/>
                <w:sz w:val="24"/>
                <w:lang w:val="en-US" w:eastAsia="zh-CN"/>
              </w:rPr>
            </w:pPr>
            <w:r>
              <w:rPr>
                <w:rFonts w:hint="eastAsia" w:ascii="宋体" w:hAnsi="宋体" w:cs="宋体"/>
                <w:color w:val="auto"/>
                <w:sz w:val="24"/>
                <w:szCs w:val="24"/>
                <w:lang w:val="en-US" w:eastAsia="zh-CN"/>
              </w:rPr>
              <w:t>其余不得分。</w:t>
            </w:r>
          </w:p>
        </w:tc>
      </w:tr>
      <w:tr w14:paraId="563F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999" w:type="dxa"/>
            <w:vMerge w:val="continue"/>
            <w:tcBorders>
              <w:left w:val="single" w:color="auto" w:sz="4" w:space="0"/>
              <w:right w:val="single" w:color="auto" w:sz="2" w:space="0"/>
            </w:tcBorders>
            <w:noWrap w:val="0"/>
            <w:vAlign w:val="center"/>
          </w:tcPr>
          <w:p w14:paraId="2656E6C7">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759E6B43">
            <w:pPr>
              <w:spacing w:line="360" w:lineRule="exact"/>
              <w:ind w:left="0" w:leftChars="0" w:right="0" w:rightChars="0" w:firstLine="0" w:firstLineChars="0"/>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F721D3C">
            <w:pPr>
              <w:spacing w:line="36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根据</w:t>
            </w:r>
            <w:r>
              <w:rPr>
                <w:rFonts w:hint="eastAsia" w:ascii="宋体" w:hAnsi="宋体" w:cs="宋体"/>
                <w:color w:val="auto"/>
                <w:sz w:val="24"/>
                <w:szCs w:val="24"/>
                <w:lang w:val="en-US" w:eastAsia="zh-CN"/>
              </w:rPr>
              <w:t>样品保存方案，检测样品保存方法、保存流程、保存环境是否合理、严谨、符合项目及相关规范要求，从</w:t>
            </w:r>
            <w:r>
              <w:rPr>
                <w:rFonts w:hint="eastAsia" w:ascii="宋体" w:hAnsi="宋体" w:eastAsia="宋体" w:cs="宋体"/>
                <w:color w:val="auto"/>
                <w:sz w:val="24"/>
                <w:szCs w:val="24"/>
                <w:lang w:val="en-US" w:eastAsia="zh-CN"/>
              </w:rPr>
              <w:t>科学性、合理性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可行性出发</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r>
      <w:tr w14:paraId="73D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999" w:type="dxa"/>
            <w:vMerge w:val="continue"/>
            <w:tcBorders>
              <w:left w:val="single" w:color="auto" w:sz="4" w:space="0"/>
              <w:right w:val="single" w:color="auto" w:sz="2" w:space="0"/>
            </w:tcBorders>
            <w:noWrap w:val="0"/>
            <w:vAlign w:val="center"/>
          </w:tcPr>
          <w:p w14:paraId="6FDDE9DD">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557FA6E4">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val="en-US" w:eastAsia="zh-CN"/>
              </w:rPr>
              <w:t>质量</w:t>
            </w:r>
            <w:r>
              <w:rPr>
                <w:rFonts w:hint="eastAsia" w:ascii="宋体" w:hAnsi="宋体" w:cs="宋体"/>
                <w:color w:val="auto"/>
                <w:sz w:val="24"/>
                <w:szCs w:val="24"/>
                <w:lang w:eastAsia="zh-CN"/>
              </w:rPr>
              <w:t>保证</w:t>
            </w:r>
          </w:p>
          <w:p w14:paraId="4F52C894">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措施</w:t>
            </w:r>
          </w:p>
          <w:p w14:paraId="457D1CE2">
            <w:pPr>
              <w:spacing w:line="360" w:lineRule="exact"/>
              <w:ind w:left="0" w:leftChars="0" w:right="0" w:rightChars="0" w:firstLine="0" w:firstLineChars="0"/>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163C453A">
            <w:pPr>
              <w:spacing w:line="360" w:lineRule="exact"/>
              <w:rPr>
                <w:rFonts w:hint="eastAsia" w:ascii="宋体" w:hAnsi="宋体" w:cs="宋体"/>
                <w:color w:val="auto"/>
                <w:sz w:val="24"/>
                <w:szCs w:val="24"/>
                <w:lang w:eastAsia="zh-CN"/>
              </w:rPr>
            </w:pPr>
            <w:r>
              <w:rPr>
                <w:rFonts w:hint="eastAsia" w:ascii="宋体" w:hAnsi="宋体" w:eastAsia="宋体" w:cs="宋体"/>
                <w:sz w:val="24"/>
                <w:szCs w:val="24"/>
                <w:lang w:val="en-US" w:eastAsia="zh-CN"/>
              </w:rPr>
              <w:t>根据供应商针对本项目实施拟定的相关质量保障措施，从合理性、科学性、可行性出发进行综合评议</w:t>
            </w:r>
            <w:r>
              <w:rPr>
                <w:rFonts w:hint="eastAsia" w:ascii="宋体" w:hAnsi="宋体" w:cs="宋体"/>
                <w:color w:val="auto"/>
                <w:sz w:val="24"/>
                <w:szCs w:val="24"/>
                <w:lang w:eastAsia="zh-CN"/>
              </w:rPr>
              <w:t>：</w:t>
            </w:r>
          </w:p>
          <w:p w14:paraId="05CA3787">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保证措施完整、科学、合理、针对性强、可行性强的，得4分；</w:t>
            </w:r>
          </w:p>
          <w:p w14:paraId="4ACA3BB3">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保证措施较完整、科学、合理、针对性较强、可行性较强的，得3分；</w:t>
            </w:r>
          </w:p>
          <w:p w14:paraId="4614F59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保证措施完整性一般、科学、合理、针对性一般、可行性一般的，得2分；</w:t>
            </w:r>
          </w:p>
          <w:p w14:paraId="5F357E16">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保证措施完整性差、科学、合理、针对性差、可行性差的，得1分；</w:t>
            </w:r>
          </w:p>
          <w:p w14:paraId="44145A8A">
            <w:pPr>
              <w:pStyle w:val="24"/>
              <w:ind w:firstLine="0"/>
              <w:rPr>
                <w:rFonts w:hint="eastAsia"/>
                <w:lang w:val="en-US" w:eastAsia="zh-CN"/>
              </w:rPr>
            </w:pPr>
            <w:r>
              <w:rPr>
                <w:rFonts w:hint="eastAsia" w:ascii="宋体" w:hAnsi="宋体" w:cs="宋体"/>
                <w:color w:val="auto"/>
                <w:sz w:val="24"/>
                <w:szCs w:val="24"/>
                <w:lang w:val="en-US" w:eastAsia="zh-CN"/>
              </w:rPr>
              <w:t>其余不得分。</w:t>
            </w:r>
          </w:p>
        </w:tc>
      </w:tr>
      <w:tr w14:paraId="64F5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0" w:hRule="atLeast"/>
          <w:jc w:val="center"/>
        </w:trPr>
        <w:tc>
          <w:tcPr>
            <w:tcW w:w="999" w:type="dxa"/>
            <w:vMerge w:val="continue"/>
            <w:tcBorders>
              <w:left w:val="single" w:color="auto" w:sz="4" w:space="0"/>
              <w:right w:val="single" w:color="auto" w:sz="2" w:space="0"/>
            </w:tcBorders>
            <w:noWrap w:val="0"/>
            <w:vAlign w:val="center"/>
          </w:tcPr>
          <w:p w14:paraId="4FFF1228">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5EB8AF49">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进度保证</w:t>
            </w:r>
          </w:p>
          <w:p w14:paraId="315F2FD1">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措施</w:t>
            </w:r>
          </w:p>
          <w:p w14:paraId="0CCF752E">
            <w:pPr>
              <w:spacing w:line="360" w:lineRule="exact"/>
              <w:ind w:left="0" w:leftChars="0" w:right="0" w:rightChars="0" w:firstLine="0" w:firstLineChars="0"/>
              <w:jc w:val="center"/>
              <w:rPr>
                <w:rFonts w:hint="eastAsia"/>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15E3EFB">
            <w:pPr>
              <w:spacing w:line="360" w:lineRule="exact"/>
              <w:rPr>
                <w:rFonts w:hint="eastAsia" w:ascii="宋体" w:hAnsi="宋体" w:cs="宋体"/>
                <w:color w:val="auto"/>
                <w:sz w:val="24"/>
                <w:szCs w:val="24"/>
                <w:lang w:val="en-US" w:eastAsia="zh-CN"/>
              </w:rPr>
            </w:pPr>
            <w:r>
              <w:rPr>
                <w:rFonts w:hint="eastAsia" w:ascii="宋体" w:hAnsi="宋体" w:eastAsia="宋体" w:cs="宋体"/>
                <w:sz w:val="24"/>
                <w:szCs w:val="24"/>
                <w:lang w:val="en-US" w:eastAsia="zh-CN"/>
              </w:rPr>
              <w:t>根据供应商针对本项目实施拟定的相关进度保障措施，从合理性、科学性、可行性出发进行综合评议：</w:t>
            </w:r>
          </w:p>
          <w:p w14:paraId="7AEF704A">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保障措施完整、科学、合理、针对性强、可行性强的，得4分；</w:t>
            </w:r>
          </w:p>
          <w:p w14:paraId="2955F5F2">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保障措施较完整、科学、合理、针对性较强、可行性较强的，得3分；</w:t>
            </w:r>
          </w:p>
          <w:p w14:paraId="1B27B765">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保障措施完整性一般、科学、合理、针对性一般、可行性一般的，得2分；</w:t>
            </w:r>
          </w:p>
          <w:p w14:paraId="11BA633E">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保障措施完整性差、科学、合理、针对性差、可行性差的，得1分；</w:t>
            </w:r>
          </w:p>
          <w:p w14:paraId="4633A5E8">
            <w:pPr>
              <w:pStyle w:val="24"/>
              <w:ind w:firstLine="0"/>
              <w:rPr>
                <w:rFonts w:hint="eastAsia"/>
                <w:lang w:val="en-US" w:eastAsia="zh-CN"/>
              </w:rPr>
            </w:pPr>
            <w:r>
              <w:rPr>
                <w:rFonts w:hint="eastAsia" w:ascii="宋体" w:hAnsi="宋体" w:cs="宋体"/>
                <w:color w:val="auto"/>
                <w:sz w:val="24"/>
                <w:szCs w:val="24"/>
                <w:lang w:val="en-US" w:eastAsia="zh-CN"/>
              </w:rPr>
              <w:t>其余不得分。</w:t>
            </w:r>
          </w:p>
        </w:tc>
      </w:tr>
      <w:tr w14:paraId="0880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0A1D3F12">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5E7558C5">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应急保障和安全作业</w:t>
            </w:r>
          </w:p>
          <w:p w14:paraId="5E61AA46">
            <w:pPr>
              <w:spacing w:line="360" w:lineRule="exact"/>
              <w:ind w:left="0" w:leftChars="0" w:right="0" w:rightChars="0" w:firstLine="0" w:firstLineChars="0"/>
              <w:jc w:val="center"/>
              <w:rPr>
                <w:rFonts w:hint="eastAsia"/>
                <w:lang w:eastAsia="zh-CN"/>
              </w:rPr>
            </w:pPr>
            <w:r>
              <w:rPr>
                <w:rFonts w:hint="eastAsia" w:ascii="宋体" w:hAnsi="宋体" w:cs="宋体"/>
                <w:color w:val="auto"/>
                <w:sz w:val="24"/>
                <w:szCs w:val="24"/>
                <w:lang w:val="en-US" w:eastAsia="zh-CN"/>
              </w:rPr>
              <w:t>（4分）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67A6590">
            <w:pPr>
              <w:spacing w:line="360" w:lineRule="exact"/>
              <w:ind w:left="0" w:leftChars="0" w:right="0" w:righ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根据供应商针对本项目实施拟定的应急和安全管理措施，</w:t>
            </w:r>
            <w:r>
              <w:rPr>
                <w:rFonts w:hint="eastAsia" w:ascii="宋体" w:hAnsi="宋体" w:cs="宋体"/>
                <w:sz w:val="24"/>
                <w:szCs w:val="24"/>
                <w:lang w:val="en-US" w:eastAsia="zh-CN"/>
              </w:rPr>
              <w:t>从</w:t>
            </w:r>
            <w:r>
              <w:rPr>
                <w:rFonts w:hint="eastAsia" w:ascii="宋体" w:hAnsi="宋体" w:eastAsia="宋体" w:cs="宋体"/>
                <w:sz w:val="24"/>
                <w:szCs w:val="24"/>
                <w:lang w:val="en-US" w:eastAsia="zh-CN"/>
              </w:rPr>
              <w:t>作业人员安全保障</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安全管理制度、安全责任落实</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安全文明作业培训教育、应急预案、安全标准管理</w:t>
            </w:r>
            <w:r>
              <w:rPr>
                <w:rFonts w:hint="eastAsia" w:ascii="宋体" w:hAnsi="宋体" w:cs="宋体"/>
                <w:sz w:val="24"/>
                <w:szCs w:val="24"/>
                <w:lang w:val="en-US" w:eastAsia="zh-CN"/>
              </w:rPr>
              <w:t>等方面出发，内容</w:t>
            </w:r>
            <w:r>
              <w:rPr>
                <w:rFonts w:hint="eastAsia" w:ascii="宋体" w:hAnsi="宋体" w:eastAsia="宋体" w:cs="宋体"/>
                <w:sz w:val="24"/>
                <w:szCs w:val="24"/>
                <w:lang w:val="en-US" w:eastAsia="zh-CN"/>
              </w:rPr>
              <w:t>是否详尽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重点是否突出、是否具有针对性、是否合理可行进行综合评议</w:t>
            </w:r>
            <w:r>
              <w:rPr>
                <w:rFonts w:hint="eastAsia" w:ascii="宋体" w:hAnsi="宋体" w:cs="宋体"/>
                <w:color w:val="auto"/>
                <w:sz w:val="24"/>
                <w:szCs w:val="24"/>
                <w:lang w:val="en-US" w:eastAsia="zh-CN"/>
              </w:rPr>
              <w:t>（4分）</w:t>
            </w:r>
            <w:r>
              <w:rPr>
                <w:rFonts w:hint="eastAsia" w:ascii="宋体" w:hAnsi="宋体" w:eastAsia="宋体" w:cs="宋体"/>
                <w:sz w:val="24"/>
                <w:szCs w:val="24"/>
                <w:lang w:val="en-US" w:eastAsia="zh-CN"/>
              </w:rPr>
              <w:t>。</w:t>
            </w:r>
          </w:p>
        </w:tc>
      </w:tr>
      <w:tr w14:paraId="6956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0" w:hRule="atLeast"/>
          <w:jc w:val="center"/>
        </w:trPr>
        <w:tc>
          <w:tcPr>
            <w:tcW w:w="999" w:type="dxa"/>
            <w:vMerge w:val="continue"/>
            <w:tcBorders>
              <w:left w:val="single" w:color="auto" w:sz="4" w:space="0"/>
              <w:right w:val="single" w:color="auto" w:sz="2" w:space="0"/>
            </w:tcBorders>
            <w:noWrap w:val="0"/>
            <w:textDirection w:val="tbRlV"/>
            <w:vAlign w:val="center"/>
          </w:tcPr>
          <w:p w14:paraId="661951F0">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71F77ABB">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重难点分析</w:t>
            </w:r>
          </w:p>
          <w:p w14:paraId="72947116">
            <w:pPr>
              <w:spacing w:line="360" w:lineRule="exact"/>
              <w:ind w:left="0" w:leftChars="0" w:right="0" w:rightChars="0" w:firstLine="0" w:firstLineChars="0"/>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5分</w:t>
            </w:r>
            <w:r>
              <w:rPr>
                <w:rFonts w:hint="eastAsia" w:ascii="宋体" w:hAnsi="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3B42C3F">
            <w:pPr>
              <w:spacing w:line="360" w:lineRule="exact"/>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供应商针对其提出</w:t>
            </w:r>
            <w:r>
              <w:rPr>
                <w:rFonts w:hint="eastAsia" w:ascii="宋体" w:hAnsi="宋体" w:cs="宋体"/>
                <w:color w:val="auto"/>
                <w:sz w:val="24"/>
                <w:szCs w:val="24"/>
                <w:lang w:eastAsia="zh-CN"/>
              </w:rPr>
              <w:t>重、难点问题的</w:t>
            </w:r>
            <w:r>
              <w:rPr>
                <w:rFonts w:hint="eastAsia" w:ascii="宋体" w:hAnsi="宋体" w:eastAsia="宋体" w:cs="宋体"/>
                <w:color w:val="auto"/>
                <w:sz w:val="24"/>
                <w:szCs w:val="24"/>
                <w:lang w:val="en-US" w:eastAsia="zh-CN"/>
              </w:rPr>
              <w:t>解决方法、措施等是否具有针对性、是否合理可行进行综合评议（</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0984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999" w:type="dxa"/>
            <w:vMerge w:val="continue"/>
            <w:tcBorders>
              <w:left w:val="single" w:color="auto" w:sz="4" w:space="0"/>
              <w:right w:val="single" w:color="auto" w:sz="2" w:space="0"/>
            </w:tcBorders>
            <w:noWrap w:val="0"/>
            <w:textDirection w:val="tbRlV"/>
            <w:vAlign w:val="center"/>
          </w:tcPr>
          <w:p w14:paraId="37CFD162">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42C10203">
            <w:pPr>
              <w:spacing w:line="360" w:lineRule="exact"/>
              <w:ind w:left="0" w:leftChars="0" w:right="0" w:righ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合理化建议</w:t>
            </w:r>
          </w:p>
          <w:p w14:paraId="2FF62C0C">
            <w:pPr>
              <w:spacing w:line="360" w:lineRule="exact"/>
              <w:ind w:left="0" w:leftChars="0" w:right="0" w:rightChars="0"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009CB45">
            <w:pPr>
              <w:spacing w:line="360" w:lineRule="exact"/>
              <w:ind w:left="0" w:leftChars="0" w:right="0" w:rightChars="0" w:firstLine="0" w:firstLineChars="0"/>
              <w:jc w:val="both"/>
              <w:rPr>
                <w:rFonts w:hint="eastAsia" w:ascii="宋体" w:hAnsi="宋体" w:cs="宋体"/>
                <w:color w:val="auto"/>
                <w:sz w:val="24"/>
                <w:szCs w:val="24"/>
                <w:lang w:val="en-US" w:eastAsia="zh-CN"/>
              </w:rPr>
            </w:pPr>
            <w:r>
              <w:rPr>
                <w:rFonts w:hint="eastAsia" w:ascii="宋体" w:hAnsi="宋体" w:cs="宋体"/>
                <w:color w:val="auto"/>
                <w:sz w:val="24"/>
                <w:szCs w:val="24"/>
                <w:lang w:eastAsia="zh-CN"/>
              </w:rPr>
              <w:t>根据供应商针对本项目提出的有助于项目</w:t>
            </w:r>
            <w:r>
              <w:rPr>
                <w:rFonts w:hint="eastAsia" w:ascii="宋体" w:hAnsi="宋体" w:cs="宋体"/>
                <w:color w:val="auto"/>
                <w:sz w:val="24"/>
                <w:szCs w:val="24"/>
                <w:lang w:val="en-US" w:eastAsia="zh-CN"/>
              </w:rPr>
              <w:t>管理和</w:t>
            </w:r>
            <w:r>
              <w:rPr>
                <w:rFonts w:hint="eastAsia" w:ascii="宋体" w:hAnsi="宋体" w:cs="宋体"/>
                <w:color w:val="auto"/>
                <w:sz w:val="24"/>
                <w:szCs w:val="24"/>
                <w:lang w:eastAsia="zh-CN"/>
              </w:rPr>
              <w:t>实施的合理化建议</w:t>
            </w:r>
            <w:r>
              <w:rPr>
                <w:rFonts w:hint="eastAsia" w:ascii="宋体" w:hAnsi="宋体" w:cs="宋体"/>
                <w:color w:val="auto"/>
                <w:sz w:val="24"/>
                <w:szCs w:val="24"/>
                <w:lang w:val="en-US" w:eastAsia="zh-CN"/>
              </w:rPr>
              <w:t>或创新、其他服务承诺等</w:t>
            </w:r>
            <w:r>
              <w:rPr>
                <w:rFonts w:hint="eastAsia" w:ascii="宋体" w:hAnsi="宋体" w:cs="宋体"/>
                <w:color w:val="auto"/>
                <w:sz w:val="24"/>
                <w:szCs w:val="24"/>
                <w:lang w:eastAsia="zh-CN"/>
              </w:rPr>
              <w:t>进行综合评议（</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分）。</w:t>
            </w:r>
          </w:p>
        </w:tc>
      </w:tr>
      <w:tr w14:paraId="3BB2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6" w:hRule="atLeast"/>
          <w:jc w:val="center"/>
        </w:trPr>
        <w:tc>
          <w:tcPr>
            <w:tcW w:w="999" w:type="dxa"/>
            <w:vMerge w:val="continue"/>
            <w:tcBorders>
              <w:left w:val="single" w:color="auto" w:sz="4" w:space="0"/>
              <w:right w:val="single" w:color="auto" w:sz="2" w:space="0"/>
            </w:tcBorders>
            <w:noWrap w:val="0"/>
            <w:textDirection w:val="tbRlV"/>
            <w:vAlign w:val="center"/>
          </w:tcPr>
          <w:p w14:paraId="549EBA7D">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17983E71">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服务便捷性、时效性及相关承诺（4分）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BE7C32D">
            <w:pPr>
              <w:spacing w:line="360" w:lineRule="exact"/>
              <w:ind w:left="0" w:leftChars="0" w:right="0" w:righ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根据供应商提供的服务便捷性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时效性及</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情况（服务机构</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设置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上门取样</w:t>
            </w:r>
            <w:r>
              <w:rPr>
                <w:rFonts w:hint="eastAsia" w:ascii="宋体" w:hAnsi="宋体" w:eastAsia="宋体" w:cs="宋体"/>
                <w:color w:val="auto"/>
                <w:sz w:val="24"/>
                <w:szCs w:val="24"/>
                <w:lang w:eastAsia="zh-CN"/>
              </w:rPr>
              <w:t>响应时间</w:t>
            </w:r>
            <w:r>
              <w:rPr>
                <w:rFonts w:hint="eastAsia" w:ascii="宋体" w:hAnsi="宋体" w:cs="宋体"/>
                <w:color w:val="auto"/>
                <w:sz w:val="24"/>
                <w:szCs w:val="24"/>
                <w:lang w:val="en-US" w:eastAsia="zh-CN"/>
              </w:rPr>
              <w:t>、取样后送达实验室时间、报告出具时间</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应急响应时间、</w:t>
            </w:r>
            <w:r>
              <w:rPr>
                <w:rFonts w:hint="eastAsia" w:ascii="宋体" w:hAnsi="宋体" w:eastAsia="宋体" w:cs="宋体"/>
                <w:color w:val="auto"/>
                <w:sz w:val="24"/>
                <w:szCs w:val="24"/>
                <w:lang w:val="en-US" w:eastAsia="zh-CN"/>
              </w:rPr>
              <w:t>增值</w:t>
            </w:r>
            <w:r>
              <w:rPr>
                <w:rFonts w:hint="eastAsia" w:ascii="宋体" w:hAnsi="宋体" w:eastAsia="宋体" w:cs="宋体"/>
                <w:color w:val="auto"/>
                <w:sz w:val="24"/>
                <w:szCs w:val="24"/>
                <w:lang w:eastAsia="zh-CN"/>
              </w:rPr>
              <w:t>服务和</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承诺等），</w:t>
            </w:r>
            <w:r>
              <w:rPr>
                <w:rFonts w:hint="eastAsia" w:ascii="宋体" w:hAnsi="宋体" w:eastAsia="宋体" w:cs="宋体"/>
                <w:color w:val="auto"/>
                <w:sz w:val="24"/>
                <w:szCs w:val="24"/>
                <w:lang w:val="en-US" w:eastAsia="zh-CN"/>
              </w:rPr>
              <w:t>从</w:t>
            </w:r>
            <w:r>
              <w:rPr>
                <w:rFonts w:hint="eastAsia" w:ascii="宋体" w:hAnsi="宋体" w:eastAsia="宋体" w:cs="宋体"/>
                <w:color w:val="auto"/>
                <w:sz w:val="24"/>
                <w:szCs w:val="24"/>
                <w:lang w:eastAsia="zh-CN"/>
              </w:rPr>
              <w:t>合理性、完整性进行综合评议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9C1CDBC">
            <w:pPr>
              <w:spacing w:line="360" w:lineRule="exact"/>
              <w:ind w:left="0" w:leftChars="0" w:right="0" w:rightChars="0" w:firstLine="0" w:firstLineChars="0"/>
              <w:jc w:val="both"/>
              <w:rPr>
                <w:rFonts w:hint="eastAsia" w:ascii="宋体" w:hAnsi="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lang w:eastAsia="zh-CN"/>
              </w:rPr>
              <w:t>提供相关证明资料，复印件加盖公章</w:t>
            </w:r>
            <w:r>
              <w:rPr>
                <w:rFonts w:hint="eastAsia" w:ascii="宋体" w:hAnsi="宋体" w:eastAsia="宋体" w:cs="宋体"/>
                <w:color w:val="auto"/>
                <w:sz w:val="24"/>
                <w:szCs w:val="24"/>
                <w:lang w:val="en-US" w:eastAsia="zh-CN"/>
              </w:rPr>
              <w:t>做入投标文件</w:t>
            </w:r>
            <w:r>
              <w:rPr>
                <w:rFonts w:hint="eastAsia" w:ascii="宋体" w:hAnsi="宋体" w:eastAsia="宋体" w:cs="宋体"/>
                <w:color w:val="auto"/>
                <w:sz w:val="24"/>
                <w:szCs w:val="24"/>
                <w:lang w:eastAsia="zh-CN"/>
              </w:rPr>
              <w:t>。）</w:t>
            </w:r>
          </w:p>
        </w:tc>
      </w:tr>
      <w:tr w14:paraId="467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2" w:hRule="atLeast"/>
          <w:jc w:val="center"/>
        </w:trPr>
        <w:tc>
          <w:tcPr>
            <w:tcW w:w="999" w:type="dxa"/>
            <w:vMerge w:val="continue"/>
            <w:tcBorders>
              <w:left w:val="single" w:color="auto" w:sz="4" w:space="0"/>
              <w:right w:val="single" w:color="auto" w:sz="2" w:space="0"/>
            </w:tcBorders>
            <w:noWrap w:val="0"/>
            <w:textDirection w:val="tbRlV"/>
            <w:vAlign w:val="center"/>
          </w:tcPr>
          <w:p w14:paraId="07094E07">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72297BD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D8F4484">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根据上述</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出具相关</w:t>
            </w:r>
            <w:r>
              <w:rPr>
                <w:rFonts w:hint="eastAsia" w:ascii="宋体" w:hAnsi="宋体" w:cs="宋体"/>
                <w:color w:val="auto"/>
                <w:sz w:val="24"/>
                <w:szCs w:val="24"/>
                <w:lang w:val="en-US" w:eastAsia="zh-CN"/>
              </w:rPr>
              <w:t>书面</w:t>
            </w:r>
            <w:r>
              <w:rPr>
                <w:rFonts w:hint="eastAsia" w:ascii="宋体" w:hAnsi="宋体" w:eastAsia="宋体" w:cs="宋体"/>
                <w:color w:val="auto"/>
                <w:sz w:val="24"/>
                <w:szCs w:val="24"/>
                <w:lang w:val="en-US" w:eastAsia="zh-CN"/>
              </w:rPr>
              <w:t>承诺的得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，承诺书需包括各节点响应时间，相关保证及惩处，格式自拟</w:t>
            </w:r>
            <w:r>
              <w:rPr>
                <w:rFonts w:hint="eastAsia" w:ascii="宋体" w:hAnsi="宋体" w:eastAsia="宋体" w:cs="宋体"/>
                <w:color w:val="auto"/>
                <w:sz w:val="24"/>
                <w:szCs w:val="24"/>
                <w:lang w:val="en-US" w:eastAsia="zh-CN"/>
              </w:rPr>
              <w:t>。</w:t>
            </w:r>
          </w:p>
          <w:p w14:paraId="5486EE15">
            <w:pPr>
              <w:spacing w:line="360" w:lineRule="exact"/>
              <w:ind w:left="0" w:leftChars="0" w:right="0" w:rightChars="0" w:firstLine="0" w:firstLineChars="0"/>
              <w:jc w:val="both"/>
              <w:rPr>
                <w:rFonts w:hint="default"/>
                <w:lang w:val="en-US"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原件</w:t>
            </w:r>
            <w:r>
              <w:rPr>
                <w:rFonts w:hint="eastAsia" w:ascii="宋体" w:hAnsi="宋体" w:eastAsia="宋体" w:cs="宋体"/>
                <w:color w:val="auto"/>
                <w:sz w:val="24"/>
                <w:szCs w:val="24"/>
                <w:lang w:val="en-US" w:eastAsia="zh-CN"/>
              </w:rPr>
              <w:t>做入投标文件</w:t>
            </w:r>
            <w:r>
              <w:rPr>
                <w:rFonts w:hint="eastAsia" w:ascii="宋体" w:hAnsi="宋体" w:eastAsia="宋体" w:cs="宋体"/>
                <w:color w:val="auto"/>
                <w:sz w:val="24"/>
                <w:szCs w:val="24"/>
                <w:lang w:eastAsia="zh-CN"/>
              </w:rPr>
              <w:t>。）</w:t>
            </w:r>
          </w:p>
        </w:tc>
      </w:tr>
      <w:tr w14:paraId="56C2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5" w:hRule="atLeast"/>
          <w:jc w:val="center"/>
        </w:trPr>
        <w:tc>
          <w:tcPr>
            <w:tcW w:w="999" w:type="dxa"/>
            <w:vMerge w:val="continue"/>
            <w:tcBorders>
              <w:left w:val="single" w:color="auto" w:sz="4" w:space="0"/>
              <w:right w:val="single" w:color="auto" w:sz="2" w:space="0"/>
            </w:tcBorders>
            <w:noWrap w:val="0"/>
            <w:vAlign w:val="center"/>
          </w:tcPr>
          <w:p w14:paraId="267F48A3">
            <w:pPr>
              <w:spacing w:line="360" w:lineRule="exact"/>
              <w:rPr>
                <w:rFonts w:hint="eastAsia" w:ascii="宋体" w:hAnsi="宋体" w:cs="宋体"/>
                <w:color w:val="000000"/>
                <w:sz w:val="24"/>
                <w:szCs w:val="24"/>
              </w:rPr>
            </w:pPr>
          </w:p>
        </w:tc>
        <w:tc>
          <w:tcPr>
            <w:tcW w:w="1294" w:type="dxa"/>
            <w:vMerge w:val="restart"/>
            <w:tcBorders>
              <w:top w:val="single" w:color="auto" w:sz="2" w:space="0"/>
              <w:left w:val="single" w:color="auto" w:sz="2" w:space="0"/>
              <w:right w:val="single" w:color="auto" w:sz="4" w:space="0"/>
            </w:tcBorders>
            <w:noWrap w:val="0"/>
            <w:vAlign w:val="center"/>
          </w:tcPr>
          <w:p w14:paraId="44DDA531">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拟派</w:t>
            </w:r>
          </w:p>
          <w:p w14:paraId="55130ED3">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人员</w:t>
            </w:r>
          </w:p>
          <w:p w14:paraId="46A8FED3">
            <w:pPr>
              <w:spacing w:line="36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实力</w:t>
            </w:r>
          </w:p>
          <w:p w14:paraId="69FE113E">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c>
          <w:tcPr>
            <w:tcW w:w="6643" w:type="dxa"/>
            <w:tcBorders>
              <w:top w:val="single" w:color="auto" w:sz="2" w:space="0"/>
              <w:left w:val="single" w:color="auto" w:sz="4" w:space="0"/>
              <w:right w:val="single" w:color="auto" w:sz="2" w:space="0"/>
            </w:tcBorders>
            <w:noWrap w:val="0"/>
            <w:vAlign w:val="center"/>
          </w:tcPr>
          <w:p w14:paraId="037F6BB9">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拟派本项目的项目负责人具备环保类中级工程师职称的得1分，具备环保类高级工程师职称的得2分（不重复得分）。</w:t>
            </w:r>
          </w:p>
          <w:p w14:paraId="4C17E934">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（提供项目负责人开标时间前近3个月的社保证明或劳动人事部门出示的相关在册人员的证明材料；提供能证明项目负责人满足上述条件的证明资料，未提供的不得分。）</w:t>
            </w:r>
          </w:p>
        </w:tc>
      </w:tr>
      <w:tr w14:paraId="3E02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23" w:hRule="atLeast"/>
          <w:jc w:val="center"/>
        </w:trPr>
        <w:tc>
          <w:tcPr>
            <w:tcW w:w="999" w:type="dxa"/>
            <w:vMerge w:val="continue"/>
            <w:tcBorders>
              <w:left w:val="single" w:color="auto" w:sz="4" w:space="0"/>
              <w:right w:val="single" w:color="auto" w:sz="2" w:space="0"/>
            </w:tcBorders>
            <w:noWrap w:val="0"/>
            <w:vAlign w:val="center"/>
          </w:tcPr>
          <w:p w14:paraId="5AEF1275">
            <w:pPr>
              <w:spacing w:line="360" w:lineRule="exact"/>
            </w:pPr>
          </w:p>
        </w:tc>
        <w:tc>
          <w:tcPr>
            <w:tcW w:w="1294" w:type="dxa"/>
            <w:vMerge w:val="continue"/>
            <w:tcBorders>
              <w:left w:val="single" w:color="auto" w:sz="2" w:space="0"/>
              <w:right w:val="single" w:color="auto" w:sz="4" w:space="0"/>
            </w:tcBorders>
            <w:noWrap w:val="0"/>
            <w:vAlign w:val="center"/>
          </w:tcPr>
          <w:p w14:paraId="22942735">
            <w:pPr>
              <w:spacing w:line="360" w:lineRule="exact"/>
            </w:pPr>
          </w:p>
        </w:tc>
        <w:tc>
          <w:tcPr>
            <w:tcW w:w="6643" w:type="dxa"/>
            <w:tcBorders>
              <w:top w:val="single" w:color="auto" w:sz="2" w:space="0"/>
              <w:left w:val="single" w:color="auto" w:sz="4" w:space="0"/>
              <w:right w:val="single" w:color="auto" w:sz="2" w:space="0"/>
            </w:tcBorders>
            <w:noWrap w:val="0"/>
            <w:vAlign w:val="center"/>
          </w:tcPr>
          <w:p w14:paraId="77B71C1D">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根据拟派本项目的其他项目组成员，成员中每有一人具有</w:t>
            </w:r>
            <w:r>
              <w:rPr>
                <w:rFonts w:hint="eastAsia" w:ascii="宋体" w:hAnsi="宋体" w:eastAsia="宋体" w:cs="宋体"/>
                <w:sz w:val="24"/>
                <w:szCs w:val="24"/>
                <w:lang w:val="en-US" w:eastAsia="zh-CN"/>
              </w:rPr>
              <w:t>环保类中级及以上工程师职称的得0.5分，最多得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7AEB8C9E">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其他项目组成员</w:t>
            </w:r>
            <w:r>
              <w:rPr>
                <w:rFonts w:hint="eastAsia" w:ascii="宋体" w:hAnsi="宋体" w:eastAsia="宋体" w:cs="宋体"/>
                <w:color w:val="auto"/>
                <w:sz w:val="24"/>
                <w:szCs w:val="24"/>
                <w:lang w:val="en-US" w:eastAsia="zh-CN"/>
              </w:rPr>
              <w:t>开标时间前近3个月的社保证明或劳动人事部门出示的相关在册人员的证明材料；提供能证明项目</w:t>
            </w:r>
            <w:r>
              <w:rPr>
                <w:rFonts w:hint="eastAsia" w:ascii="宋体" w:hAnsi="宋体" w:cs="宋体"/>
                <w:color w:val="auto"/>
                <w:sz w:val="24"/>
                <w:szCs w:val="24"/>
                <w:lang w:val="en-US" w:eastAsia="zh-CN"/>
              </w:rPr>
              <w:t>组成员</w:t>
            </w:r>
            <w:r>
              <w:rPr>
                <w:rFonts w:hint="eastAsia" w:ascii="宋体" w:hAnsi="宋体" w:eastAsia="宋体" w:cs="宋体"/>
                <w:color w:val="auto"/>
                <w:sz w:val="24"/>
                <w:szCs w:val="24"/>
                <w:lang w:val="en-US" w:eastAsia="zh-CN"/>
              </w:rPr>
              <w:t>满足上述条件的证明资料，未提供的不得分。）</w:t>
            </w:r>
          </w:p>
        </w:tc>
      </w:tr>
      <w:tr w14:paraId="6F7E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0" w:hRule="atLeast"/>
          <w:jc w:val="center"/>
        </w:trPr>
        <w:tc>
          <w:tcPr>
            <w:tcW w:w="999" w:type="dxa"/>
            <w:vMerge w:val="continue"/>
            <w:tcBorders>
              <w:left w:val="single" w:color="auto" w:sz="4" w:space="0"/>
              <w:right w:val="single" w:color="auto" w:sz="2" w:space="0"/>
            </w:tcBorders>
            <w:noWrap w:val="0"/>
            <w:vAlign w:val="center"/>
          </w:tcPr>
          <w:p w14:paraId="39C1444E">
            <w:pPr>
              <w:spacing w:line="360" w:lineRule="exact"/>
              <w:rPr>
                <w:rFonts w:hint="eastAsia" w:ascii="宋体" w:hAnsi="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5A312A31">
            <w:pPr>
              <w:spacing w:line="36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拟投入</w:t>
            </w:r>
          </w:p>
          <w:p w14:paraId="53B176D5">
            <w:pPr>
              <w:spacing w:line="36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检测设备</w:t>
            </w:r>
          </w:p>
          <w:p w14:paraId="05839B3C">
            <w:pPr>
              <w:spacing w:line="36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能力</w:t>
            </w:r>
          </w:p>
          <w:p w14:paraId="7F31ED1D">
            <w:pPr>
              <w:spacing w:line="360" w:lineRule="exact"/>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noWrap w:val="0"/>
            <w:vAlign w:val="center"/>
          </w:tcPr>
          <w:p w14:paraId="65425602">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供应商具备以下</w:t>
            </w:r>
            <w:r>
              <w:rPr>
                <w:rFonts w:hint="eastAsia" w:ascii="宋体" w:hAnsi="宋体" w:cs="宋体"/>
                <w:color w:val="auto"/>
                <w:sz w:val="24"/>
                <w:szCs w:val="24"/>
                <w:lang w:val="en-US" w:eastAsia="zh-CN"/>
              </w:rPr>
              <w:t>检测</w:t>
            </w:r>
            <w:r>
              <w:rPr>
                <w:rFonts w:hint="eastAsia" w:ascii="宋体" w:hAnsi="宋体" w:eastAsia="宋体" w:cs="宋体"/>
                <w:color w:val="auto"/>
                <w:sz w:val="24"/>
                <w:szCs w:val="24"/>
                <w:lang w:val="en-US" w:eastAsia="zh-CN"/>
              </w:rPr>
              <w:t>设备的：电感耦合等离子体发射光谱仪、气相色谱质谱仪、液相色谱仪、离子色谱仪，每种得1分，最高得4分。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提供能清晰显示购买人为投标人的设备购入发票，复印件加盖公章做入投标文件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未提供</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不得分。</w:t>
            </w:r>
            <w:r>
              <w:rPr>
                <w:rFonts w:hint="eastAsia" w:ascii="宋体" w:hAnsi="宋体" w:cs="宋体"/>
                <w:color w:val="auto"/>
                <w:sz w:val="24"/>
                <w:szCs w:val="24"/>
                <w:lang w:val="en-US" w:eastAsia="zh-CN"/>
              </w:rPr>
              <w:t>）</w:t>
            </w:r>
          </w:p>
        </w:tc>
      </w:tr>
      <w:tr w14:paraId="19C6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3" w:hRule="atLeast"/>
          <w:jc w:val="center"/>
        </w:trPr>
        <w:tc>
          <w:tcPr>
            <w:tcW w:w="999" w:type="dxa"/>
            <w:vMerge w:val="continue"/>
            <w:tcBorders>
              <w:left w:val="single" w:color="auto" w:sz="4" w:space="0"/>
              <w:right w:val="single" w:color="auto" w:sz="2" w:space="0"/>
            </w:tcBorders>
            <w:noWrap w:val="0"/>
            <w:vAlign w:val="center"/>
          </w:tcPr>
          <w:p w14:paraId="47AC30D9">
            <w:pPr>
              <w:spacing w:line="360" w:lineRule="exact"/>
              <w:rPr>
                <w:rFonts w:hint="eastAsia" w:ascii="宋体" w:hAnsi="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9107B44">
            <w:pPr>
              <w:spacing w:line="360" w:lineRule="exact"/>
              <w:jc w:val="center"/>
              <w:rPr>
                <w:rFonts w:hint="eastAsia" w:ascii="宋体" w:hAnsi="宋体" w:cs="宋体"/>
                <w:color w:val="auto"/>
                <w:sz w:val="24"/>
                <w:szCs w:val="24"/>
                <w:lang w:val="en-US" w:eastAsia="zh-CN"/>
              </w:rPr>
            </w:pPr>
          </w:p>
        </w:tc>
        <w:tc>
          <w:tcPr>
            <w:tcW w:w="6643" w:type="dxa"/>
            <w:tcBorders>
              <w:top w:val="single" w:color="auto" w:sz="2" w:space="0"/>
              <w:left w:val="single" w:color="auto" w:sz="4" w:space="0"/>
              <w:right w:val="single" w:color="auto" w:sz="2" w:space="0"/>
            </w:tcBorders>
            <w:noWrap w:val="0"/>
            <w:vAlign w:val="center"/>
          </w:tcPr>
          <w:p w14:paraId="0AAEAC1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投标人为本项目配备的其他相关设备</w:t>
            </w:r>
            <w:r>
              <w:rPr>
                <w:rFonts w:hint="eastAsia" w:ascii="宋体" w:hAnsi="宋体" w:cs="宋体"/>
                <w:color w:val="auto"/>
                <w:sz w:val="24"/>
                <w:szCs w:val="24"/>
                <w:lang w:val="en-US" w:eastAsia="zh-CN"/>
              </w:rPr>
              <w:t>，符合本</w:t>
            </w:r>
            <w:r>
              <w:rPr>
                <w:rFonts w:hint="eastAsia" w:ascii="宋体" w:hAnsi="宋体" w:eastAsia="宋体" w:cs="宋体"/>
                <w:color w:val="auto"/>
                <w:sz w:val="24"/>
                <w:szCs w:val="24"/>
                <w:lang w:val="en-US" w:eastAsia="zh-CN"/>
              </w:rPr>
              <w:t>项目使用需求</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得1分。</w:t>
            </w:r>
          </w:p>
          <w:p w14:paraId="32E71231">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提供能清晰显示购买人为投标人的设备购入发票，复印件加盖公章做入投标文件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未提供</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不得分。</w:t>
            </w:r>
            <w:r>
              <w:rPr>
                <w:rFonts w:hint="eastAsia" w:ascii="宋体" w:hAnsi="宋体" w:cs="宋体"/>
                <w:color w:val="auto"/>
                <w:sz w:val="24"/>
                <w:szCs w:val="24"/>
                <w:lang w:val="en-US" w:eastAsia="zh-CN"/>
              </w:rPr>
              <w:t>）</w:t>
            </w:r>
          </w:p>
        </w:tc>
      </w:tr>
      <w:tr w14:paraId="79C5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0" w:hRule="atLeast"/>
          <w:jc w:val="center"/>
        </w:trPr>
        <w:tc>
          <w:tcPr>
            <w:tcW w:w="999" w:type="dxa"/>
            <w:vMerge w:val="continue"/>
            <w:tcBorders>
              <w:left w:val="single" w:color="auto" w:sz="4" w:space="0"/>
              <w:right w:val="single" w:color="auto" w:sz="2" w:space="0"/>
            </w:tcBorders>
            <w:noWrap w:val="0"/>
            <w:vAlign w:val="center"/>
          </w:tcPr>
          <w:p w14:paraId="1794CE63">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617E43C6">
            <w:pPr>
              <w:widowControl/>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拟投入车辆情况（3）</w:t>
            </w:r>
          </w:p>
        </w:tc>
        <w:tc>
          <w:tcPr>
            <w:tcW w:w="6643" w:type="dxa"/>
            <w:tcBorders>
              <w:top w:val="single" w:color="auto" w:sz="2" w:space="0"/>
              <w:left w:val="single" w:color="auto" w:sz="4" w:space="0"/>
              <w:right w:val="single" w:color="auto" w:sz="2" w:space="0"/>
            </w:tcBorders>
            <w:noWrap w:val="0"/>
            <w:vAlign w:val="center"/>
          </w:tcPr>
          <w:p w14:paraId="693578BE">
            <w:pPr>
              <w:widowControl/>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拟派本项目的车辆投入情况</w:t>
            </w:r>
            <w:r>
              <w:rPr>
                <w:rFonts w:hint="eastAsia" w:ascii="宋体" w:hAnsi="宋体" w:eastAsia="宋体" w:cs="宋体"/>
                <w:color w:val="000000"/>
                <w:sz w:val="24"/>
                <w:szCs w:val="24"/>
              </w:rPr>
              <w:t>，现场采样车辆数量</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（含）辆以上的，得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p w14:paraId="193E766B">
            <w:pPr>
              <w:widowControl/>
              <w:spacing w:line="360" w:lineRule="exact"/>
              <w:rPr>
                <w:rFonts w:hint="eastAsia" w:ascii="宋体" w:hAnsi="宋体" w:cs="宋体"/>
                <w:color w:val="000000"/>
                <w:sz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en-US" w:eastAsia="zh-CN"/>
              </w:rPr>
              <w:t>车辆为投标人自有的，提供行驶证抬头为投标人的</w:t>
            </w:r>
            <w:r>
              <w:rPr>
                <w:rFonts w:hint="eastAsia" w:ascii="宋体" w:hAnsi="宋体" w:eastAsia="宋体" w:cs="宋体"/>
                <w:color w:val="000000"/>
                <w:sz w:val="24"/>
                <w:szCs w:val="24"/>
              </w:rPr>
              <w:t>复印件加盖公章</w:t>
            </w:r>
            <w:r>
              <w:rPr>
                <w:rFonts w:hint="eastAsia" w:ascii="宋体" w:hAnsi="宋体" w:cs="宋体"/>
                <w:color w:val="000000"/>
                <w:sz w:val="24"/>
                <w:szCs w:val="24"/>
                <w:lang w:eastAsia="zh-CN"/>
              </w:rPr>
              <w:t>。</w:t>
            </w:r>
          </w:p>
        </w:tc>
      </w:tr>
      <w:tr w14:paraId="543D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jc w:val="center"/>
        </w:trPr>
        <w:tc>
          <w:tcPr>
            <w:tcW w:w="999" w:type="dxa"/>
            <w:vMerge w:val="continue"/>
            <w:tcBorders>
              <w:left w:val="single" w:color="auto" w:sz="4" w:space="0"/>
              <w:right w:val="single" w:color="auto" w:sz="2" w:space="0"/>
            </w:tcBorders>
            <w:noWrap w:val="0"/>
            <w:vAlign w:val="center"/>
          </w:tcPr>
          <w:p w14:paraId="30E951B3">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38FD14DC">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报告样式</w:t>
            </w:r>
          </w:p>
          <w:p w14:paraId="31C1BD81">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（3分）</w:t>
            </w:r>
          </w:p>
        </w:tc>
        <w:tc>
          <w:tcPr>
            <w:tcW w:w="6643" w:type="dxa"/>
            <w:tcBorders>
              <w:top w:val="single" w:color="auto" w:sz="2" w:space="0"/>
              <w:left w:val="single" w:color="auto" w:sz="4" w:space="0"/>
              <w:right w:val="single" w:color="auto" w:sz="2" w:space="0"/>
            </w:tcBorders>
            <w:noWrap w:val="0"/>
            <w:vAlign w:val="center"/>
          </w:tcPr>
          <w:p w14:paraId="3AA0F6FC">
            <w:pPr>
              <w:widowControl/>
              <w:spacing w:line="36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提供检测分类中前七类内的任一检测报告样本一份（检测项目含酸碱度PH、悬浮物SS、化学需氧量、氨氮、动植物油等等），从科学性、全面性以及与本项目契合度等进行综合评议（3分）。</w:t>
            </w:r>
          </w:p>
        </w:tc>
      </w:tr>
      <w:tr w14:paraId="20B4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5" w:hRule="atLeast"/>
          <w:jc w:val="center"/>
        </w:trPr>
        <w:tc>
          <w:tcPr>
            <w:tcW w:w="999" w:type="dxa"/>
            <w:vMerge w:val="continue"/>
            <w:tcBorders>
              <w:left w:val="single" w:color="auto" w:sz="4" w:space="0"/>
              <w:right w:val="single" w:color="auto" w:sz="2" w:space="0"/>
            </w:tcBorders>
            <w:noWrap w:val="0"/>
            <w:vAlign w:val="center"/>
          </w:tcPr>
          <w:p w14:paraId="088EC764">
            <w:pPr>
              <w:spacing w:line="360" w:lineRule="exact"/>
              <w:rPr>
                <w:rFonts w:hint="eastAsia" w:ascii="宋体" w:hAnsi="宋体" w:cs="宋体"/>
                <w:color w:val="000000"/>
                <w:sz w:val="24"/>
                <w:szCs w:val="24"/>
              </w:rPr>
            </w:pPr>
          </w:p>
        </w:tc>
        <w:tc>
          <w:tcPr>
            <w:tcW w:w="1294" w:type="dxa"/>
            <w:tcBorders>
              <w:left w:val="single" w:color="auto" w:sz="2" w:space="0"/>
              <w:right w:val="single" w:color="auto" w:sz="4" w:space="0"/>
            </w:tcBorders>
            <w:noWrap w:val="0"/>
            <w:vAlign w:val="center"/>
          </w:tcPr>
          <w:p w14:paraId="1BDE387A">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企业</w:t>
            </w:r>
          </w:p>
          <w:p w14:paraId="73E4C0FF">
            <w:pPr>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实力</w:t>
            </w:r>
          </w:p>
          <w:p w14:paraId="28CFB5C5">
            <w:pPr>
              <w:spacing w:line="360" w:lineRule="exact"/>
              <w:jc w:val="center"/>
              <w:rPr>
                <w:rFonts w:hint="eastAsia"/>
                <w:kern w:val="2"/>
                <w:sz w:val="21"/>
                <w:lang w:val="en-US" w:eastAsia="zh-CN" w:bidi="ar-SA"/>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3分</w:t>
            </w:r>
            <w:r>
              <w:rPr>
                <w:rFonts w:hint="eastAsia" w:ascii="宋体" w:hAnsi="宋体" w:cs="宋体"/>
                <w:color w:val="000000"/>
                <w:sz w:val="24"/>
                <w:szCs w:val="24"/>
                <w:lang w:eastAsia="zh-CN"/>
              </w:rPr>
              <w:t>）</w:t>
            </w:r>
          </w:p>
        </w:tc>
        <w:tc>
          <w:tcPr>
            <w:tcW w:w="6643" w:type="dxa"/>
            <w:tcBorders>
              <w:top w:val="single" w:color="auto" w:sz="2" w:space="0"/>
              <w:left w:val="single" w:color="auto" w:sz="4" w:space="0"/>
              <w:right w:val="single" w:color="auto" w:sz="2" w:space="0"/>
            </w:tcBorders>
            <w:noWrap w:val="0"/>
            <w:vAlign w:val="center"/>
          </w:tcPr>
          <w:p w14:paraId="77010E11">
            <w:pPr>
              <w:widowControl/>
              <w:spacing w:line="360" w:lineRule="exac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①</w:t>
            </w:r>
            <w:r>
              <w:rPr>
                <w:rFonts w:hint="eastAsia" w:ascii="宋体" w:hAnsi="宋体" w:eastAsia="宋体" w:cs="宋体"/>
                <w:color w:val="000000"/>
                <w:sz w:val="24"/>
                <w:szCs w:val="24"/>
                <w:lang w:val="en-US" w:eastAsia="zh-CN"/>
              </w:rPr>
              <w:t>具有CNAS（中国合格评定国家认可委员会）</w:t>
            </w:r>
            <w:r>
              <w:rPr>
                <w:rFonts w:hint="eastAsia" w:ascii="宋体" w:hAnsi="宋体" w:cs="宋体"/>
                <w:color w:val="000000"/>
                <w:sz w:val="24"/>
                <w:szCs w:val="24"/>
                <w:lang w:val="en-US" w:eastAsia="zh-CN"/>
              </w:rPr>
              <w:t>实验室认可证书</w:t>
            </w:r>
            <w:r>
              <w:rPr>
                <w:rFonts w:hint="eastAsia" w:ascii="宋体" w:hAnsi="宋体" w:eastAsia="宋体" w:cs="宋体"/>
                <w:color w:val="000000"/>
                <w:sz w:val="24"/>
                <w:szCs w:val="24"/>
                <w:lang w:val="en-US" w:eastAsia="zh-CN"/>
              </w:rPr>
              <w:t>的得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79091DF8">
            <w:pPr>
              <w:widowControl/>
              <w:spacing w:line="360" w:lineRule="exac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②</w:t>
            </w:r>
            <w:r>
              <w:rPr>
                <w:rFonts w:hint="eastAsia" w:ascii="宋体" w:hAnsi="宋体" w:eastAsia="宋体" w:cs="宋体"/>
                <w:color w:val="000000"/>
                <w:sz w:val="24"/>
                <w:szCs w:val="24"/>
                <w:lang w:val="en-US" w:eastAsia="zh-CN"/>
              </w:rPr>
              <w:t>具有ISO9001质量管理体系认证的得1分。</w:t>
            </w:r>
          </w:p>
          <w:p w14:paraId="78C4B98F">
            <w:pPr>
              <w:widowControl/>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rPr>
              <w:t>（提供资质证书或认证证书等证明资料，复印件并加盖公章做入投标文件，未提供的不得分。）</w:t>
            </w:r>
          </w:p>
        </w:tc>
      </w:tr>
      <w:tr w14:paraId="38AB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jc w:val="center"/>
        </w:trPr>
        <w:tc>
          <w:tcPr>
            <w:tcW w:w="999" w:type="dxa"/>
            <w:vMerge w:val="continue"/>
            <w:tcBorders>
              <w:left w:val="single" w:color="auto" w:sz="4" w:space="0"/>
              <w:right w:val="single" w:color="auto" w:sz="2" w:space="0"/>
            </w:tcBorders>
            <w:noWrap w:val="0"/>
            <w:vAlign w:val="center"/>
          </w:tcPr>
          <w:p w14:paraId="479DA629">
            <w:pPr>
              <w:spacing w:line="360" w:lineRule="exact"/>
              <w:rPr>
                <w:rFonts w:hint="eastAsia" w:ascii="宋体" w:hAnsi="宋体" w:cs="宋体"/>
                <w:color w:val="000000"/>
                <w:sz w:val="24"/>
                <w:szCs w:val="24"/>
              </w:rPr>
            </w:pPr>
          </w:p>
        </w:tc>
        <w:tc>
          <w:tcPr>
            <w:tcW w:w="1294" w:type="dxa"/>
            <w:tcBorders>
              <w:top w:val="single" w:color="auto" w:sz="2" w:space="0"/>
              <w:left w:val="single" w:color="auto" w:sz="2" w:space="0"/>
              <w:right w:val="single" w:color="auto" w:sz="4" w:space="0"/>
            </w:tcBorders>
            <w:noWrap w:val="0"/>
            <w:vAlign w:val="center"/>
          </w:tcPr>
          <w:p w14:paraId="75414C5F">
            <w:pPr>
              <w:widowControl/>
              <w:spacing w:line="360" w:lineRule="exact"/>
              <w:ind w:left="0" w:leftChars="0" w:right="0" w:rightChars="0" w:firstLine="0" w:firstLineChars="0"/>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业绩</w:t>
            </w:r>
          </w:p>
          <w:p w14:paraId="127E476B">
            <w:pPr>
              <w:widowControl/>
              <w:spacing w:line="360" w:lineRule="exact"/>
              <w:ind w:left="0" w:leftChars="0" w:right="0" w:righ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1分</w:t>
            </w:r>
            <w:r>
              <w:rPr>
                <w:rFonts w:hint="eastAsia" w:ascii="宋体" w:hAnsi="宋体" w:cs="宋体"/>
                <w:color w:val="000000"/>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CFC64FA">
            <w:pPr>
              <w:widowControl/>
              <w:spacing w:line="360" w:lineRule="exact"/>
              <w:rPr>
                <w:rFonts w:hint="eastAsia" w:ascii="宋体" w:hAnsi="宋体" w:cs="宋体"/>
                <w:color w:val="000000"/>
                <w:kern w:val="2"/>
                <w:sz w:val="24"/>
                <w:szCs w:val="24"/>
                <w:lang w:val="en-US" w:eastAsia="zh-CN" w:bidi="ar-SA"/>
              </w:rPr>
            </w:pPr>
            <w:r>
              <w:rPr>
                <w:rFonts w:hint="eastAsia" w:ascii="宋体" w:hAnsi="宋体" w:cs="宋体"/>
                <w:color w:val="000000"/>
                <w:sz w:val="24"/>
                <w:szCs w:val="24"/>
              </w:rPr>
              <w:t>自20</w:t>
            </w:r>
            <w:r>
              <w:rPr>
                <w:rFonts w:hint="eastAsia" w:ascii="宋体" w:hAnsi="宋体" w:cs="宋体"/>
                <w:color w:val="000000"/>
                <w:sz w:val="24"/>
                <w:szCs w:val="24"/>
                <w:lang w:val="en-US" w:eastAsia="zh-CN"/>
              </w:rPr>
              <w:t>20</w:t>
            </w:r>
            <w:r>
              <w:rPr>
                <w:rFonts w:hint="eastAsia" w:ascii="宋体" w:hAnsi="宋体" w:cs="宋体"/>
                <w:color w:val="000000"/>
                <w:sz w:val="24"/>
                <w:szCs w:val="24"/>
              </w:rPr>
              <w:t>年1月1日起（以合同签订时间为准），</w:t>
            </w:r>
            <w:r>
              <w:rPr>
                <w:rFonts w:hint="eastAsia" w:ascii="宋体" w:hAnsi="宋体" w:cs="宋体"/>
                <w:color w:val="000000"/>
                <w:sz w:val="24"/>
                <w:szCs w:val="24"/>
                <w:lang w:val="en-US" w:eastAsia="zh-CN"/>
              </w:rPr>
              <w:t>承接过或已承接</w:t>
            </w:r>
            <w:r>
              <w:rPr>
                <w:rFonts w:hint="eastAsia" w:ascii="宋体" w:hAnsi="宋体" w:cs="宋体"/>
                <w:color w:val="000000"/>
                <w:sz w:val="24"/>
                <w:szCs w:val="24"/>
              </w:rPr>
              <w:t>类似“</w:t>
            </w:r>
            <w:r>
              <w:rPr>
                <w:rFonts w:hint="eastAsia" w:ascii="宋体" w:hAnsi="宋体" w:cs="宋体"/>
                <w:color w:val="000000"/>
                <w:sz w:val="24"/>
                <w:szCs w:val="24"/>
                <w:lang w:val="en-US" w:eastAsia="zh-CN"/>
              </w:rPr>
              <w:t>水质监督检测</w:t>
            </w:r>
            <w:r>
              <w:rPr>
                <w:rFonts w:hint="eastAsia" w:ascii="宋体" w:hAnsi="宋体" w:cs="宋体"/>
                <w:color w:val="000000"/>
                <w:sz w:val="24"/>
                <w:szCs w:val="24"/>
              </w:rPr>
              <w:t>”服务项目的，每个得</w:t>
            </w:r>
            <w:r>
              <w:rPr>
                <w:rFonts w:hint="eastAsia" w:ascii="宋体" w:hAnsi="宋体" w:cs="宋体"/>
                <w:color w:val="000000"/>
                <w:sz w:val="24"/>
                <w:szCs w:val="24"/>
                <w:lang w:val="en-US" w:eastAsia="zh-CN"/>
              </w:rPr>
              <w:t>0.5</w:t>
            </w:r>
            <w:r>
              <w:rPr>
                <w:rFonts w:hint="eastAsia" w:ascii="宋体" w:hAnsi="宋体" w:cs="宋体"/>
                <w:color w:val="000000"/>
                <w:sz w:val="24"/>
                <w:szCs w:val="24"/>
              </w:rPr>
              <w:t>分，最高得</w:t>
            </w:r>
            <w:r>
              <w:rPr>
                <w:rFonts w:hint="eastAsia" w:ascii="宋体" w:hAnsi="宋体" w:cs="宋体"/>
                <w:color w:val="000000"/>
                <w:sz w:val="24"/>
                <w:szCs w:val="24"/>
                <w:lang w:val="en-US" w:eastAsia="zh-CN"/>
              </w:rPr>
              <w:t>1</w:t>
            </w:r>
            <w:r>
              <w:rPr>
                <w:rFonts w:hint="eastAsia" w:ascii="宋体" w:hAnsi="宋体" w:cs="宋体"/>
                <w:color w:val="000000"/>
                <w:sz w:val="24"/>
                <w:szCs w:val="24"/>
              </w:rPr>
              <w:t>分。（</w:t>
            </w:r>
            <w:r>
              <w:rPr>
                <w:rFonts w:hint="eastAsia" w:ascii="宋体" w:hAnsi="宋体" w:cs="宋体"/>
                <w:color w:val="000000"/>
                <w:sz w:val="24"/>
                <w:szCs w:val="24"/>
                <w:lang w:val="en-US" w:eastAsia="zh-CN"/>
              </w:rPr>
              <w:t>中标通知书与</w:t>
            </w:r>
            <w:r>
              <w:rPr>
                <w:rFonts w:hint="eastAsia" w:ascii="宋体" w:hAnsi="宋体" w:cs="宋体"/>
                <w:color w:val="000000"/>
                <w:sz w:val="24"/>
                <w:szCs w:val="24"/>
              </w:rPr>
              <w:t>合同</w:t>
            </w:r>
            <w:r>
              <w:rPr>
                <w:rFonts w:hint="eastAsia" w:ascii="宋体" w:hAnsi="宋体" w:cs="宋体"/>
                <w:color w:val="000000"/>
                <w:sz w:val="24"/>
                <w:szCs w:val="24"/>
                <w:lang w:eastAsia="zh-CN"/>
              </w:rPr>
              <w:t>的</w:t>
            </w:r>
            <w:r>
              <w:rPr>
                <w:rFonts w:hint="eastAsia" w:ascii="宋体" w:hAnsi="宋体" w:cs="宋体"/>
                <w:color w:val="000000"/>
                <w:sz w:val="24"/>
                <w:szCs w:val="24"/>
              </w:rPr>
              <w:t>复印件加盖公章做入投标文件，未提供的不得分）</w:t>
            </w:r>
          </w:p>
        </w:tc>
      </w:tr>
      <w:tr w14:paraId="19F1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atLeast"/>
          <w:jc w:val="center"/>
        </w:trPr>
        <w:tc>
          <w:tcPr>
            <w:tcW w:w="999" w:type="dxa"/>
            <w:tcBorders>
              <w:left w:val="single" w:color="auto" w:sz="4" w:space="0"/>
              <w:right w:val="single" w:color="auto" w:sz="2" w:space="0"/>
            </w:tcBorders>
            <w:noWrap w:val="0"/>
            <w:vAlign w:val="center"/>
          </w:tcPr>
          <w:p w14:paraId="1133BDD6">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价</w:t>
            </w:r>
          </w:p>
          <w:p w14:paraId="6BD9A46C">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格</w:t>
            </w:r>
          </w:p>
          <w:p w14:paraId="795968A7">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分</w:t>
            </w:r>
          </w:p>
          <w:p w14:paraId="46974A99">
            <w:pPr>
              <w:spacing w:line="360" w:lineRule="exact"/>
              <w:jc w:val="center"/>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0分）</w:t>
            </w:r>
          </w:p>
        </w:tc>
        <w:tc>
          <w:tcPr>
            <w:tcW w:w="7937" w:type="dxa"/>
            <w:gridSpan w:val="2"/>
            <w:tcBorders>
              <w:top w:val="single" w:color="auto" w:sz="2" w:space="0"/>
              <w:left w:val="single" w:color="auto" w:sz="2" w:space="0"/>
              <w:bottom w:val="single" w:color="auto" w:sz="2" w:space="0"/>
              <w:right w:val="single" w:color="auto" w:sz="2" w:space="0"/>
            </w:tcBorders>
            <w:noWrap w:val="0"/>
            <w:vAlign w:val="center"/>
          </w:tcPr>
          <w:p w14:paraId="0C3EFD37">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7FFE6846">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14:paraId="53F29ACD">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3F9B5833">
            <w:pPr>
              <w:widowControl/>
              <w:spacing w:line="360" w:lineRule="exact"/>
              <w:rPr>
                <w:rFonts w:hint="eastAsia"/>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rPr>
              <w:t>×100</w:t>
            </w:r>
          </w:p>
        </w:tc>
      </w:tr>
      <w:tr w14:paraId="054F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8936" w:type="dxa"/>
            <w:gridSpan w:val="3"/>
            <w:tcBorders>
              <w:top w:val="single" w:color="auto" w:sz="4" w:space="0"/>
              <w:left w:val="single" w:color="auto" w:sz="4" w:space="0"/>
              <w:bottom w:val="single" w:color="auto" w:sz="4" w:space="0"/>
              <w:right w:val="single" w:color="auto" w:sz="2" w:space="0"/>
            </w:tcBorders>
            <w:noWrap w:val="0"/>
            <w:vAlign w:val="center"/>
          </w:tcPr>
          <w:p w14:paraId="2A69CE3E">
            <w:pPr>
              <w:spacing w:line="320" w:lineRule="exact"/>
              <w:jc w:val="center"/>
              <w:rPr>
                <w:color w:val="000000"/>
                <w:szCs w:val="21"/>
              </w:rPr>
            </w:pPr>
            <w:r>
              <w:rPr>
                <w:rFonts w:hint="eastAsia" w:ascii="宋体" w:hAnsi="宋体" w:cs="宋体"/>
                <w:color w:val="000000"/>
                <w:sz w:val="24"/>
                <w:szCs w:val="24"/>
              </w:rPr>
              <w:t>总分（100分）</w:t>
            </w:r>
          </w:p>
        </w:tc>
      </w:tr>
    </w:tbl>
    <w:p w14:paraId="6C9EF355">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投标人编制投标文件（商务技术文件部分）时，建议按此目录（序号和内容）提供评标标准相应的商务技术资料。小数点后保留一位数。</w:t>
      </w:r>
    </w:p>
    <w:p w14:paraId="6CBDCF89">
      <w:pPr>
        <w:snapToGrid w:val="0"/>
        <w:spacing w:line="360" w:lineRule="auto"/>
        <w:rPr>
          <w:rFonts w:hint="eastAsia" w:ascii="宋体" w:hAnsi="宋体" w:eastAsia="宋体" w:cs="宋体"/>
          <w:b/>
          <w:sz w:val="32"/>
        </w:rPr>
      </w:pPr>
    </w:p>
    <w:p w14:paraId="5428961A">
      <w:pPr>
        <w:snapToGrid w:val="0"/>
        <w:spacing w:line="360" w:lineRule="auto"/>
        <w:rPr>
          <w:rFonts w:hint="eastAsia" w:ascii="宋体" w:hAnsi="宋体" w:eastAsia="宋体" w:cs="宋体"/>
          <w:b/>
          <w:sz w:val="32"/>
        </w:rPr>
      </w:pP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w:t>
      </w:r>
      <w:r>
        <w:rPr>
          <w:rFonts w:hint="eastAsia" w:ascii="宋体" w:hAnsi="宋体" w:cs="宋体"/>
          <w:kern w:val="0"/>
          <w:sz w:val="24"/>
          <w:lang w:val="en-US" w:eastAsia="zh-CN"/>
        </w:rPr>
        <w:t>第一名</w:t>
      </w:r>
      <w:r>
        <w:rPr>
          <w:rFonts w:hint="eastAsia" w:ascii="宋体" w:hAnsi="宋体" w:eastAsia="宋体" w:cs="宋体"/>
          <w:kern w:val="0"/>
          <w:sz w:val="24"/>
        </w:rPr>
        <w:t>的投标人为中标候选人的评标方法。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0"/>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45C4C070">
      <w:pPr>
        <w:pStyle w:val="130"/>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6B1795">
      <w:pPr>
        <w:pStyle w:val="130"/>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758ACF1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90AE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1774AA">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68393EA9">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5"/>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5"/>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7EB5F4CE">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5"/>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534DFB7F">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5"/>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5"/>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5"/>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12" w:name="第五部分"/>
      <w:bookmarkStart w:id="413" w:name="_Toc86217003"/>
    </w:p>
    <w:p w14:paraId="35FF5467">
      <w:pPr>
        <w:pStyle w:val="23"/>
        <w:rPr>
          <w:rFonts w:hint="eastAsia" w:ascii="宋体" w:hAnsi="宋体" w:eastAsia="宋体" w:cs="宋体"/>
        </w:rPr>
      </w:pPr>
    </w:p>
    <w:p w14:paraId="455C3F79">
      <w:pPr>
        <w:pStyle w:val="23"/>
        <w:rPr>
          <w:rFonts w:hint="eastAsia" w:ascii="宋体" w:hAnsi="宋体" w:eastAsia="宋体" w:cs="宋体"/>
        </w:rPr>
        <w:sectPr>
          <w:footerReference r:id="rId9" w:type="default"/>
          <w:pgSz w:w="11907" w:h="16840"/>
          <w:pgMar w:top="1474" w:right="1814" w:bottom="1474" w:left="1814" w:header="851" w:footer="851" w:gutter="0"/>
          <w:pgNumType w:fmt="decimal"/>
          <w:cols w:space="720" w:num="1"/>
        </w:sect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EB21EF0">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2025-2026年度宁海县排水水质检测服务项目</w:t>
      </w:r>
    </w:p>
    <w:p w14:paraId="61342684">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4DC7289E">
      <w:pPr>
        <w:adjustRightInd/>
        <w:snapToGrid w:val="0"/>
        <w:spacing w:before="156" w:after="156" w:line="360" w:lineRule="auto"/>
        <w:jc w:val="center"/>
        <w:rPr>
          <w:rFonts w:hint="eastAsia" w:ascii="宋体" w:hAnsi="宋体" w:eastAsia="宋体" w:cs="宋体"/>
          <w:b/>
          <w:sz w:val="36"/>
          <w:szCs w:val="36"/>
        </w:rPr>
      </w:pPr>
    </w:p>
    <w:p w14:paraId="5E8B15A5">
      <w:pPr>
        <w:adjustRightInd/>
        <w:snapToGrid w:val="0"/>
        <w:spacing w:before="156" w:after="156" w:line="360" w:lineRule="auto"/>
        <w:jc w:val="center"/>
        <w:rPr>
          <w:rFonts w:hint="eastAsia" w:ascii="宋体" w:hAnsi="宋体" w:eastAsia="宋体" w:cs="宋体"/>
          <w:b/>
          <w:sz w:val="36"/>
          <w:szCs w:val="36"/>
        </w:rPr>
      </w:pPr>
    </w:p>
    <w:p w14:paraId="06E38DDA">
      <w:pPr>
        <w:adjustRightInd/>
        <w:snapToGrid w:val="0"/>
        <w:spacing w:before="156" w:after="156" w:line="360" w:lineRule="auto"/>
        <w:jc w:val="center"/>
        <w:rPr>
          <w:rFonts w:hint="eastAsia" w:ascii="宋体" w:hAnsi="宋体" w:eastAsia="宋体" w:cs="宋体"/>
          <w:b/>
          <w:sz w:val="36"/>
          <w:szCs w:val="36"/>
        </w:rPr>
      </w:pPr>
    </w:p>
    <w:p w14:paraId="5650C50B">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甲方（发包人）：</w:t>
      </w:r>
      <w:r>
        <w:rPr>
          <w:rFonts w:hint="eastAsia" w:ascii="宋体" w:hAnsi="宋体" w:cs="宋体"/>
          <w:sz w:val="32"/>
          <w:szCs w:val="32"/>
          <w:lang w:eastAsia="zh-CN"/>
        </w:rPr>
        <w:t>宁海县水利局</w:t>
      </w:r>
    </w:p>
    <w:p w14:paraId="714446AF">
      <w:pPr>
        <w:adjustRightInd/>
        <w:spacing w:line="360" w:lineRule="auto"/>
        <w:ind w:firstLine="800" w:firstLineChars="250"/>
        <w:rPr>
          <w:rFonts w:hint="eastAsia" w:ascii="宋体" w:hAnsi="宋体" w:eastAsia="宋体" w:cs="宋体"/>
          <w:sz w:val="32"/>
          <w:szCs w:val="32"/>
        </w:rPr>
      </w:pPr>
    </w:p>
    <w:p w14:paraId="29394340">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乙方（承包人）：</w:t>
      </w:r>
      <w:r>
        <w:rPr>
          <w:rFonts w:hint="eastAsia" w:ascii="宋体" w:hAnsi="宋体" w:eastAsia="宋体" w:cs="宋体"/>
          <w:sz w:val="32"/>
          <w:szCs w:val="32"/>
          <w:u w:val="single"/>
        </w:rPr>
        <w:t xml:space="preserve">                       </w:t>
      </w:r>
    </w:p>
    <w:p w14:paraId="31E6BE50">
      <w:pPr>
        <w:adjustRightInd/>
        <w:spacing w:line="360" w:lineRule="auto"/>
        <w:rPr>
          <w:rFonts w:hint="eastAsia" w:ascii="宋体" w:hAnsi="宋体" w:eastAsia="宋体" w:cs="宋体"/>
          <w:sz w:val="32"/>
          <w:szCs w:val="32"/>
        </w:rPr>
      </w:pPr>
    </w:p>
    <w:p w14:paraId="48CF9E4E">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签署日期：202</w:t>
      </w:r>
      <w:r>
        <w:rPr>
          <w:rFonts w:hint="eastAsia" w:ascii="宋体" w:hAnsi="宋体" w:cs="宋体"/>
          <w:sz w:val="32"/>
          <w:szCs w:val="32"/>
          <w:lang w:val="en-US" w:eastAsia="zh-CN"/>
        </w:rPr>
        <w:t>5</w:t>
      </w:r>
      <w:r>
        <w:rPr>
          <w:rFonts w:hint="eastAsia" w:ascii="宋体" w:hAnsi="宋体" w:eastAsia="宋体" w:cs="宋体"/>
          <w:sz w:val="32"/>
          <w:szCs w:val="32"/>
        </w:rPr>
        <w:t xml:space="preserve">年     月     日 </w:t>
      </w:r>
    </w:p>
    <w:p w14:paraId="07077EC5">
      <w:pPr>
        <w:adjustRightInd/>
        <w:jc w:val="center"/>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cs="宋体"/>
          <w:b/>
          <w:sz w:val="28"/>
          <w:szCs w:val="28"/>
          <w:lang w:eastAsia="zh-CN"/>
        </w:rPr>
        <w:t>2025-2026年度宁海县排水水质检测服务项目</w:t>
      </w:r>
      <w:r>
        <w:rPr>
          <w:rFonts w:hint="eastAsia" w:ascii="宋体" w:hAnsi="宋体" w:eastAsia="宋体" w:cs="宋体"/>
          <w:b/>
          <w:sz w:val="28"/>
          <w:szCs w:val="28"/>
        </w:rPr>
        <w:t>采购合同</w:t>
      </w:r>
    </w:p>
    <w:p w14:paraId="235AFDB0">
      <w:pPr>
        <w:adjustRightInd/>
        <w:spacing w:line="360" w:lineRule="auto"/>
        <w:rPr>
          <w:rFonts w:hint="eastAsia" w:ascii="宋体" w:hAnsi="宋体" w:eastAsia="宋体" w:cs="宋体"/>
          <w:b/>
          <w:sz w:val="28"/>
          <w:szCs w:val="28"/>
        </w:rPr>
      </w:pPr>
    </w:p>
    <w:p w14:paraId="2F467501">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2025-2026年度宁海县排水水质检测服务项目</w:t>
      </w:r>
      <w:r>
        <w:rPr>
          <w:rFonts w:hint="eastAsia" w:ascii="宋体" w:hAnsi="宋体" w:eastAsia="宋体" w:cs="宋体"/>
          <w:sz w:val="24"/>
        </w:rPr>
        <w:t xml:space="preserve">      项目编号：</w:t>
      </w:r>
    </w:p>
    <w:p w14:paraId="10CEB55A">
      <w:pPr>
        <w:adjustRightInd/>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（以下简称甲方）</w:t>
      </w:r>
    </w:p>
    <w:p w14:paraId="28168FED">
      <w:pPr>
        <w:adjustRightInd/>
        <w:spacing w:line="360" w:lineRule="auto"/>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（以下简称乙方）</w:t>
      </w:r>
    </w:p>
    <w:p w14:paraId="193B75D4">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根据《中华人民共和国政府采购法》、《中华人民共和国政府采购法实施条例》、《政府采购货物和服务招标投标管理办法》等法律法规，</w:t>
      </w:r>
      <w:r>
        <w:rPr>
          <w:rFonts w:hint="eastAsia" w:ascii="宋体" w:hAnsi="宋体" w:eastAsia="宋体" w:cs="宋体"/>
          <w:sz w:val="24"/>
          <w:u w:val="single"/>
        </w:rPr>
        <w:t>项目名称（项目编号：）</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日，在宁波市宁海县公共资源交易中心进行公开招标，经结果公告确定由乙方中标。按照《中华人民共和国民法典》的有关规定，在自愿、平等、公平、诚信的基础上，经双方协商一致，签订本合同。</w:t>
      </w:r>
    </w:p>
    <w:p w14:paraId="194A9858">
      <w:pPr>
        <w:spacing w:line="360" w:lineRule="auto"/>
        <w:ind w:firstLine="480" w:firstLineChars="200"/>
        <w:rPr>
          <w:rFonts w:hint="eastAsia" w:ascii="宋体" w:hAnsi="宋体" w:eastAsia="宋体" w:cs="宋体"/>
          <w:sz w:val="24"/>
        </w:rPr>
      </w:pPr>
      <w:r>
        <w:rPr>
          <w:rFonts w:hint="eastAsia" w:ascii="宋体" w:hAnsi="宋体" w:eastAsia="宋体" w:cs="宋体"/>
          <w:sz w:val="24"/>
        </w:rPr>
        <w:t>下述文件作为附件，是合同的一部分，并与本合同一起阅读和解释：</w:t>
      </w:r>
    </w:p>
    <w:p w14:paraId="1EF99500">
      <w:pPr>
        <w:spacing w:line="360" w:lineRule="auto"/>
        <w:ind w:firstLine="480" w:firstLineChars="200"/>
        <w:rPr>
          <w:rFonts w:hint="eastAsia" w:ascii="宋体" w:hAnsi="宋体" w:eastAsia="宋体" w:cs="宋体"/>
          <w:sz w:val="24"/>
        </w:rPr>
      </w:pPr>
      <w:r>
        <w:rPr>
          <w:rFonts w:hint="eastAsia" w:ascii="宋体" w:hAnsi="宋体" w:eastAsia="宋体" w:cs="宋体"/>
          <w:sz w:val="24"/>
        </w:rPr>
        <w:t>a.采购文件；</w:t>
      </w:r>
    </w:p>
    <w:p w14:paraId="6342F5B3">
      <w:pPr>
        <w:spacing w:line="360" w:lineRule="auto"/>
        <w:ind w:firstLine="480" w:firstLineChars="200"/>
        <w:rPr>
          <w:rFonts w:hint="eastAsia" w:ascii="宋体" w:hAnsi="宋体" w:eastAsia="宋体" w:cs="宋体"/>
          <w:sz w:val="24"/>
        </w:rPr>
      </w:pPr>
      <w:r>
        <w:rPr>
          <w:rFonts w:hint="eastAsia" w:ascii="宋体" w:hAnsi="宋体" w:eastAsia="宋体" w:cs="宋体"/>
          <w:sz w:val="24"/>
        </w:rPr>
        <w:t>b.投标文件及澄清文件；</w:t>
      </w:r>
    </w:p>
    <w:p w14:paraId="0B242E71">
      <w:pPr>
        <w:spacing w:line="360" w:lineRule="auto"/>
        <w:ind w:firstLine="480" w:firstLineChars="200"/>
        <w:rPr>
          <w:rFonts w:hint="eastAsia" w:ascii="宋体" w:hAnsi="宋体" w:eastAsia="宋体" w:cs="宋体"/>
          <w:sz w:val="24"/>
        </w:rPr>
      </w:pPr>
      <w:r>
        <w:rPr>
          <w:rFonts w:hint="eastAsia" w:ascii="宋体" w:hAnsi="宋体" w:eastAsia="宋体" w:cs="宋体"/>
          <w:sz w:val="24"/>
        </w:rPr>
        <w:t>c.中标通知书；</w:t>
      </w:r>
    </w:p>
    <w:p w14:paraId="19EE4678">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上述文件与合同若有不一致之处，优先次序第一应为合同、第二应为附件(附件的优先次序为 c,b,a)。</w:t>
      </w:r>
    </w:p>
    <w:p w14:paraId="5E513BD2">
      <w:pPr>
        <w:spacing w:line="360" w:lineRule="auto"/>
        <w:rPr>
          <w:rFonts w:hint="eastAsia" w:ascii="宋体" w:hAnsi="宋体" w:eastAsia="宋体" w:cs="宋体"/>
          <w:b/>
          <w:sz w:val="24"/>
        </w:rPr>
      </w:pPr>
      <w:r>
        <w:rPr>
          <w:rFonts w:hint="eastAsia" w:ascii="宋体" w:hAnsi="宋体" w:eastAsia="宋体" w:cs="宋体"/>
          <w:b/>
          <w:sz w:val="24"/>
        </w:rPr>
        <w:t>一、项目名称、服务期限、服务内容</w:t>
      </w:r>
    </w:p>
    <w:p w14:paraId="64260AE0">
      <w:pPr>
        <w:spacing w:line="360" w:lineRule="auto"/>
        <w:rPr>
          <w:rFonts w:hint="eastAsia" w:ascii="宋体" w:hAnsi="宋体" w:eastAsia="宋体" w:cs="宋体"/>
          <w:bCs/>
          <w:sz w:val="24"/>
        </w:rPr>
      </w:pPr>
      <w:r>
        <w:rPr>
          <w:rFonts w:hint="eastAsia" w:ascii="宋体" w:hAnsi="宋体" w:eastAsia="宋体" w:cs="宋体"/>
          <w:bCs/>
          <w:sz w:val="24"/>
        </w:rPr>
        <w:t>1.1项目名称：</w:t>
      </w:r>
    </w:p>
    <w:p w14:paraId="7563123F">
      <w:pPr>
        <w:spacing w:line="360" w:lineRule="auto"/>
        <w:rPr>
          <w:rFonts w:hint="eastAsia" w:ascii="宋体" w:hAnsi="宋体" w:eastAsia="宋体" w:cs="宋体"/>
          <w:bCs/>
          <w:sz w:val="24"/>
        </w:rPr>
      </w:pPr>
      <w:r>
        <w:rPr>
          <w:rFonts w:hint="eastAsia" w:ascii="宋体" w:hAnsi="宋体" w:eastAsia="宋体" w:cs="宋体"/>
          <w:bCs/>
          <w:sz w:val="24"/>
        </w:rPr>
        <w:t>1.2服务期限：</w:t>
      </w:r>
    </w:p>
    <w:p w14:paraId="3063FF8D">
      <w:pPr>
        <w:spacing w:line="360" w:lineRule="auto"/>
        <w:rPr>
          <w:rFonts w:hint="eastAsia" w:ascii="宋体" w:hAnsi="宋体" w:eastAsia="宋体" w:cs="宋体"/>
          <w:sz w:val="24"/>
        </w:rPr>
      </w:pPr>
      <w:r>
        <w:rPr>
          <w:rFonts w:hint="eastAsia" w:ascii="宋体" w:hAnsi="宋体" w:eastAsia="宋体" w:cs="宋体"/>
          <w:sz w:val="24"/>
        </w:rPr>
        <w:t>1.3服务内容：</w:t>
      </w:r>
    </w:p>
    <w:p w14:paraId="72331850">
      <w:pPr>
        <w:spacing w:line="360" w:lineRule="auto"/>
        <w:rPr>
          <w:rFonts w:hint="eastAsia" w:ascii="宋体" w:hAnsi="宋体" w:eastAsia="宋体" w:cs="宋体"/>
          <w:b/>
          <w:sz w:val="24"/>
        </w:rPr>
      </w:pPr>
      <w:r>
        <w:rPr>
          <w:rFonts w:hint="eastAsia" w:ascii="宋体" w:hAnsi="宋体" w:eastAsia="宋体" w:cs="宋体"/>
          <w:b/>
          <w:sz w:val="24"/>
        </w:rPr>
        <w:t>二、合同金额</w:t>
      </w:r>
    </w:p>
    <w:p w14:paraId="6A065B96">
      <w:pPr>
        <w:spacing w:line="360" w:lineRule="auto"/>
        <w:ind w:left="410" w:hanging="410" w:hangingChars="171"/>
        <w:rPr>
          <w:rFonts w:hint="eastAsia" w:ascii="宋体" w:hAnsi="宋体" w:eastAsia="宋体" w:cs="宋体"/>
          <w:sz w:val="24"/>
        </w:rPr>
      </w:pPr>
      <w:r>
        <w:rPr>
          <w:rFonts w:hint="eastAsia" w:ascii="宋体" w:hAnsi="宋体" w:eastAsia="宋体" w:cs="宋体"/>
          <w:sz w:val="24"/>
        </w:rPr>
        <w:t>2.1本合同金额为（大写）：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元）</w:t>
      </w:r>
      <w:r>
        <w:rPr>
          <w:rFonts w:hint="eastAsia" w:ascii="宋体" w:hAnsi="宋体" w:eastAsia="宋体" w:cs="宋体"/>
          <w:sz w:val="24"/>
        </w:rPr>
        <w:t>人民币。</w:t>
      </w:r>
    </w:p>
    <w:p w14:paraId="5DE90CB0">
      <w:pPr>
        <w:spacing w:line="360" w:lineRule="auto"/>
        <w:ind w:left="416" w:hanging="410" w:hangingChars="170"/>
        <w:rPr>
          <w:rFonts w:hint="eastAsia" w:ascii="宋体" w:hAnsi="宋体" w:eastAsia="宋体" w:cs="宋体"/>
          <w:b/>
          <w:sz w:val="24"/>
        </w:rPr>
      </w:pPr>
      <w:r>
        <w:rPr>
          <w:rFonts w:hint="eastAsia" w:ascii="宋体" w:hAnsi="宋体" w:eastAsia="宋体" w:cs="宋体"/>
          <w:b/>
          <w:sz w:val="24"/>
        </w:rPr>
        <w:t>三、履约保证金</w:t>
      </w:r>
    </w:p>
    <w:p w14:paraId="7F81FB18">
      <w:pPr>
        <w:adjustRightInd/>
        <w:spacing w:line="360" w:lineRule="auto"/>
        <w:rPr>
          <w:rFonts w:hint="eastAsia" w:ascii="宋体" w:hAnsi="宋体" w:eastAsia="宋体" w:cs="宋体"/>
          <w:sz w:val="24"/>
        </w:rPr>
      </w:pPr>
      <w:r>
        <w:rPr>
          <w:rFonts w:hint="eastAsia" w:ascii="宋体" w:hAnsi="宋体" w:eastAsia="宋体" w:cs="宋体"/>
          <w:sz w:val="24"/>
        </w:rPr>
        <w:t>3.1履约保证金金额：</w:t>
      </w:r>
    </w:p>
    <w:p w14:paraId="1A759B68">
      <w:pPr>
        <w:adjustRightInd/>
        <w:spacing w:line="360" w:lineRule="auto"/>
        <w:rPr>
          <w:rFonts w:hint="eastAsia" w:ascii="宋体" w:hAnsi="宋体" w:eastAsia="宋体" w:cs="宋体"/>
          <w:sz w:val="24"/>
        </w:rPr>
      </w:pPr>
      <w:r>
        <w:rPr>
          <w:rFonts w:hint="eastAsia" w:ascii="宋体" w:hAnsi="宋体" w:eastAsia="宋体" w:cs="宋体"/>
          <w:sz w:val="24"/>
        </w:rPr>
        <w:t>3.2履约保证金形式：</w:t>
      </w:r>
    </w:p>
    <w:p w14:paraId="271A8984">
      <w:pPr>
        <w:adjustRightInd/>
        <w:spacing w:line="360" w:lineRule="auto"/>
        <w:rPr>
          <w:rFonts w:hint="eastAsia" w:ascii="宋体" w:hAnsi="宋体" w:eastAsia="宋体" w:cs="宋体"/>
          <w:sz w:val="24"/>
        </w:rPr>
      </w:pPr>
      <w:r>
        <w:rPr>
          <w:rFonts w:hint="eastAsia" w:ascii="宋体" w:hAnsi="宋体" w:eastAsia="宋体" w:cs="宋体"/>
          <w:sz w:val="24"/>
        </w:rPr>
        <w:t>3.3担保收件人：</w:t>
      </w:r>
    </w:p>
    <w:p w14:paraId="4FB63487">
      <w:pPr>
        <w:adjustRightInd/>
        <w:spacing w:line="360" w:lineRule="auto"/>
        <w:rPr>
          <w:rFonts w:hint="eastAsia" w:ascii="宋体" w:hAnsi="宋体" w:eastAsia="宋体" w:cs="宋体"/>
          <w:sz w:val="24"/>
        </w:rPr>
      </w:pPr>
      <w:r>
        <w:rPr>
          <w:rFonts w:hint="eastAsia" w:ascii="宋体" w:hAnsi="宋体" w:eastAsia="宋体" w:cs="宋体"/>
          <w:sz w:val="24"/>
        </w:rPr>
        <w:t>3.4履约保证金的退取：</w:t>
      </w:r>
    </w:p>
    <w:p w14:paraId="27A72CF2">
      <w:pPr>
        <w:adjustRightInd/>
        <w:spacing w:line="360" w:lineRule="auto"/>
        <w:rPr>
          <w:rFonts w:hint="eastAsia" w:ascii="宋体" w:hAnsi="宋体" w:eastAsia="宋体" w:cs="宋体"/>
          <w:b/>
          <w:sz w:val="24"/>
        </w:rPr>
      </w:pPr>
      <w:r>
        <w:rPr>
          <w:rFonts w:hint="eastAsia" w:ascii="宋体" w:hAnsi="宋体" w:eastAsia="宋体" w:cs="宋体"/>
          <w:b/>
          <w:sz w:val="24"/>
        </w:rPr>
        <w:t>四、转包或分包</w:t>
      </w:r>
    </w:p>
    <w:p w14:paraId="75388641">
      <w:pPr>
        <w:adjustRightInd/>
        <w:spacing w:line="360" w:lineRule="auto"/>
        <w:rPr>
          <w:rFonts w:hint="eastAsia" w:ascii="宋体" w:hAnsi="宋体" w:eastAsia="宋体" w:cs="宋体"/>
          <w:sz w:val="24"/>
        </w:rPr>
      </w:pPr>
      <w:r>
        <w:rPr>
          <w:rFonts w:hint="eastAsia" w:ascii="宋体" w:hAnsi="宋体" w:eastAsia="宋体" w:cs="宋体"/>
          <w:sz w:val="24"/>
        </w:rPr>
        <w:t>4.1本合同范围的服务，应由乙方直接提供，不得转让他人；</w:t>
      </w:r>
    </w:p>
    <w:p w14:paraId="621E8528">
      <w:pPr>
        <w:adjustRightInd/>
        <w:spacing w:line="360" w:lineRule="auto"/>
        <w:rPr>
          <w:rFonts w:hint="eastAsia" w:ascii="宋体" w:hAnsi="宋体" w:eastAsia="宋体" w:cs="宋体"/>
          <w:sz w:val="24"/>
        </w:rPr>
      </w:pPr>
      <w:r>
        <w:rPr>
          <w:rFonts w:hint="eastAsia" w:ascii="宋体" w:hAnsi="宋体" w:eastAsia="宋体" w:cs="宋体"/>
          <w:sz w:val="24"/>
        </w:rPr>
        <w:t>4.2 除非得到甲方的书面同意，乙方不得部分分包给他人。甲方有绝对权力阻止分包。</w:t>
      </w:r>
    </w:p>
    <w:p w14:paraId="2ED4096D">
      <w:pPr>
        <w:adjustRightInd/>
        <w:spacing w:line="360" w:lineRule="auto"/>
        <w:rPr>
          <w:rFonts w:hint="eastAsia" w:ascii="宋体" w:hAnsi="宋体" w:eastAsia="宋体" w:cs="宋体"/>
          <w:sz w:val="24"/>
        </w:rPr>
      </w:pPr>
      <w:r>
        <w:rPr>
          <w:rFonts w:hint="eastAsia" w:ascii="宋体" w:hAnsi="宋体" w:eastAsia="宋体" w:cs="宋体"/>
          <w:sz w:val="24"/>
        </w:rPr>
        <w:t>4.3如有转让和未经甲方同意的分包行为，甲方有权给予终止合同。</w:t>
      </w:r>
    </w:p>
    <w:p w14:paraId="6DCC4644">
      <w:pPr>
        <w:spacing w:line="360" w:lineRule="auto"/>
        <w:rPr>
          <w:rFonts w:hint="eastAsia" w:ascii="宋体" w:hAnsi="宋体" w:eastAsia="宋体" w:cs="宋体"/>
          <w:b/>
          <w:sz w:val="24"/>
        </w:rPr>
      </w:pPr>
      <w:r>
        <w:rPr>
          <w:rFonts w:hint="eastAsia" w:ascii="宋体" w:hAnsi="宋体" w:eastAsia="宋体" w:cs="宋体"/>
          <w:b/>
          <w:sz w:val="24"/>
        </w:rPr>
        <w:t>五、合同付款方法</w:t>
      </w:r>
    </w:p>
    <w:p w14:paraId="74889A11">
      <w:pPr>
        <w:adjustRightInd/>
        <w:spacing w:line="360" w:lineRule="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1.</w:t>
      </w:r>
      <w:r>
        <w:rPr>
          <w:rFonts w:hint="eastAsia" w:ascii="宋体" w:hAnsi="宋体" w:eastAsia="宋体" w:cs="宋体"/>
          <w:sz w:val="24"/>
          <w:lang w:eastAsia="zh-CN"/>
        </w:rPr>
        <w:t>预付款：</w:t>
      </w:r>
      <w:r>
        <w:rPr>
          <w:rFonts w:hint="eastAsia" w:ascii="宋体" w:hAnsi="宋体" w:eastAsia="宋体" w:cs="宋体"/>
          <w:sz w:val="24"/>
          <w:lang w:val="en-US" w:eastAsia="zh-CN"/>
        </w:rPr>
        <w:t>合同签订生效且具备实施条件后7个工作日内，</w:t>
      </w:r>
      <w:r>
        <w:rPr>
          <w:rFonts w:hint="eastAsia" w:ascii="宋体" w:hAnsi="宋体" w:cs="宋体"/>
          <w:sz w:val="24"/>
          <w:lang w:val="en-US" w:eastAsia="zh-CN"/>
        </w:rPr>
        <w:t>甲方</w:t>
      </w:r>
      <w:r>
        <w:rPr>
          <w:rFonts w:hint="eastAsia" w:ascii="宋体" w:hAnsi="宋体" w:eastAsia="宋体" w:cs="宋体"/>
          <w:sz w:val="24"/>
          <w:lang w:val="en-US" w:eastAsia="zh-CN"/>
        </w:rPr>
        <w:t>向</w:t>
      </w:r>
      <w:r>
        <w:rPr>
          <w:rFonts w:hint="eastAsia" w:ascii="宋体" w:hAnsi="宋体" w:cs="宋体"/>
          <w:sz w:val="24"/>
          <w:lang w:val="en-US" w:eastAsia="zh-CN"/>
        </w:rPr>
        <w:t>乙方</w:t>
      </w:r>
      <w:r>
        <w:rPr>
          <w:rFonts w:hint="eastAsia" w:ascii="宋体" w:hAnsi="宋体" w:eastAsia="宋体" w:cs="宋体"/>
          <w:sz w:val="24"/>
          <w:lang w:val="en-US" w:eastAsia="zh-CN"/>
        </w:rPr>
        <w:t>支付合同总金额的</w:t>
      </w:r>
      <w:r>
        <w:rPr>
          <w:rFonts w:hint="eastAsia" w:ascii="宋体" w:hAnsi="宋体" w:cs="宋体"/>
          <w:sz w:val="24"/>
          <w:lang w:val="en-US" w:eastAsia="zh-CN"/>
        </w:rPr>
        <w:t>4</w:t>
      </w:r>
      <w:r>
        <w:rPr>
          <w:rFonts w:hint="eastAsia" w:ascii="宋体" w:hAnsi="宋体" w:eastAsia="宋体" w:cs="宋体"/>
          <w:sz w:val="24"/>
          <w:lang w:val="en-US" w:eastAsia="zh-CN"/>
        </w:rPr>
        <w:t>0%作为预付款；</w:t>
      </w:r>
    </w:p>
    <w:p w14:paraId="088E7828">
      <w:pPr>
        <w:adjustRightInd/>
        <w:spacing w:line="360" w:lineRule="auto"/>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2.进度款：合同正常履行服务期间按实际产生费用结算，进度款每个季度的首月15日前结算1次。项目结算款应当优先从预付款中抵扣，预付款抵扣完之前，</w:t>
      </w:r>
      <w:r>
        <w:rPr>
          <w:rFonts w:hint="eastAsia" w:ascii="宋体" w:hAnsi="宋体" w:cs="宋体"/>
          <w:sz w:val="24"/>
          <w:lang w:val="en-US" w:eastAsia="zh-CN"/>
        </w:rPr>
        <w:t>甲方</w:t>
      </w:r>
      <w:r>
        <w:rPr>
          <w:rFonts w:hint="eastAsia" w:ascii="宋体" w:hAnsi="宋体" w:eastAsia="宋体" w:cs="宋体"/>
          <w:sz w:val="24"/>
          <w:lang w:val="en-US" w:eastAsia="zh-CN"/>
        </w:rPr>
        <w:t>无需向</w:t>
      </w:r>
      <w:r>
        <w:rPr>
          <w:rFonts w:hint="eastAsia" w:ascii="宋体" w:hAnsi="宋体" w:cs="宋体"/>
          <w:sz w:val="24"/>
          <w:lang w:val="en-US" w:eastAsia="zh-CN"/>
        </w:rPr>
        <w:t>乙方</w:t>
      </w:r>
      <w:r>
        <w:rPr>
          <w:rFonts w:hint="eastAsia" w:ascii="宋体" w:hAnsi="宋体" w:eastAsia="宋体" w:cs="宋体"/>
          <w:sz w:val="24"/>
          <w:lang w:val="en-US" w:eastAsia="zh-CN"/>
        </w:rPr>
        <w:t>另行支付其他服务费。</w:t>
      </w:r>
    </w:p>
    <w:p w14:paraId="508056CC">
      <w:pPr>
        <w:adjustRightInd/>
        <w:spacing w:line="360" w:lineRule="auto"/>
        <w:rPr>
          <w:rFonts w:hint="eastAsia" w:ascii="宋体" w:hAnsi="宋体" w:eastAsia="宋体" w:cs="宋体"/>
          <w:b/>
          <w:sz w:val="24"/>
        </w:rPr>
      </w:pPr>
      <w:r>
        <w:rPr>
          <w:rFonts w:hint="eastAsia" w:ascii="宋体" w:hAnsi="宋体" w:eastAsia="宋体" w:cs="宋体"/>
          <w:b/>
          <w:sz w:val="24"/>
        </w:rPr>
        <w:t>六、税</w:t>
      </w:r>
    </w:p>
    <w:p w14:paraId="62A31D44">
      <w:pPr>
        <w:adjustRightInd/>
        <w:spacing w:line="360" w:lineRule="auto"/>
        <w:rPr>
          <w:rFonts w:hint="eastAsia" w:ascii="宋体" w:hAnsi="宋体" w:eastAsia="宋体" w:cs="宋体"/>
          <w:sz w:val="24"/>
        </w:rPr>
      </w:pPr>
      <w:r>
        <w:rPr>
          <w:rFonts w:hint="eastAsia" w:ascii="宋体" w:hAnsi="宋体" w:eastAsia="宋体" w:cs="宋体"/>
          <w:sz w:val="24"/>
        </w:rPr>
        <w:t>6.1本合同执行中相关的一切税费均由乙方负担。</w:t>
      </w:r>
    </w:p>
    <w:p w14:paraId="1F5D6D62">
      <w:pPr>
        <w:spacing w:line="360" w:lineRule="auto"/>
        <w:ind w:left="418" w:hanging="412" w:hangingChars="171"/>
        <w:rPr>
          <w:rFonts w:hint="eastAsia" w:ascii="宋体" w:hAnsi="宋体" w:eastAsia="宋体" w:cs="宋体"/>
          <w:sz w:val="24"/>
        </w:rPr>
      </w:pPr>
      <w:r>
        <w:rPr>
          <w:rFonts w:hint="eastAsia" w:ascii="宋体" w:hAnsi="宋体" w:eastAsia="宋体" w:cs="宋体"/>
          <w:b/>
          <w:sz w:val="24"/>
        </w:rPr>
        <w:t>七、完成质量要求</w:t>
      </w:r>
    </w:p>
    <w:p w14:paraId="6D162EEB">
      <w:pPr>
        <w:spacing w:line="360" w:lineRule="auto"/>
        <w:rPr>
          <w:rFonts w:hint="eastAsia" w:ascii="宋体" w:hAnsi="宋体" w:eastAsia="宋体" w:cs="宋体"/>
          <w:sz w:val="24"/>
        </w:rPr>
      </w:pPr>
      <w:r>
        <w:rPr>
          <w:rFonts w:hint="eastAsia" w:ascii="宋体" w:hAnsi="宋体" w:eastAsia="宋体" w:cs="宋体"/>
          <w:sz w:val="24"/>
        </w:rPr>
        <w:t>7.1 服务期间乙方不得随意更换项目负责人，如有特殊情况需要更换，须经甲方同意确认。</w:t>
      </w:r>
    </w:p>
    <w:p w14:paraId="1BDF8274">
      <w:pPr>
        <w:spacing w:line="360" w:lineRule="auto"/>
        <w:rPr>
          <w:rFonts w:hint="eastAsia" w:ascii="宋体" w:hAnsi="宋体" w:eastAsia="宋体" w:cs="宋体"/>
          <w:sz w:val="24"/>
        </w:rPr>
      </w:pPr>
      <w:r>
        <w:rPr>
          <w:rFonts w:hint="eastAsia" w:ascii="宋体" w:hAnsi="宋体" w:eastAsia="宋体" w:cs="宋体"/>
          <w:sz w:val="24"/>
        </w:rPr>
        <w:t>7.2服务期间，乙方须配备足够的人员和设备。</w:t>
      </w:r>
    </w:p>
    <w:p w14:paraId="29C2B1EB">
      <w:pPr>
        <w:adjustRightInd/>
        <w:spacing w:line="360" w:lineRule="auto"/>
        <w:rPr>
          <w:rFonts w:hint="eastAsia" w:ascii="宋体" w:hAnsi="宋体" w:eastAsia="宋体" w:cs="宋体"/>
          <w:sz w:val="24"/>
        </w:rPr>
      </w:pPr>
      <w:r>
        <w:rPr>
          <w:rFonts w:hint="eastAsia" w:ascii="宋体" w:hAnsi="宋体" w:eastAsia="宋体" w:cs="宋体"/>
          <w:sz w:val="24"/>
        </w:rPr>
        <w:t>7.3合同执行过程中，乙方如有弄虚作假行为，甲方有权单方面解除合同并没收全部履约保证金，由此引起的所以损失由乙方承担。</w:t>
      </w:r>
    </w:p>
    <w:p w14:paraId="2C9BD149">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八、违约责任</w:t>
      </w:r>
    </w:p>
    <w:p w14:paraId="66376981">
      <w:pPr>
        <w:spacing w:line="360" w:lineRule="auto"/>
        <w:rPr>
          <w:rFonts w:hint="eastAsia" w:ascii="宋体" w:hAnsi="宋体" w:eastAsia="宋体" w:cs="宋体"/>
          <w:sz w:val="24"/>
        </w:rPr>
      </w:pPr>
      <w:r>
        <w:rPr>
          <w:rFonts w:hint="eastAsia" w:ascii="宋体" w:hAnsi="宋体" w:eastAsia="宋体" w:cs="宋体"/>
          <w:sz w:val="24"/>
        </w:rPr>
        <w:t>8.1 甲方无正当理由拒收接受服务的，甲方向乙方偿付合同款项百分之五作为违约金。</w:t>
      </w:r>
    </w:p>
    <w:p w14:paraId="1EC85452">
      <w:pPr>
        <w:spacing w:line="360" w:lineRule="auto"/>
        <w:rPr>
          <w:rFonts w:hint="eastAsia" w:ascii="宋体" w:hAnsi="宋体" w:eastAsia="宋体" w:cs="宋体"/>
          <w:sz w:val="24"/>
        </w:rPr>
      </w:pPr>
      <w:r>
        <w:rPr>
          <w:rFonts w:hint="eastAsia" w:ascii="宋体" w:hAnsi="宋体" w:eastAsia="宋体" w:cs="宋体"/>
          <w:sz w:val="24"/>
        </w:rPr>
        <w:t>8.2 甲方无故逾期验收和办理款项支付手续的，甲方应按逾期付款总额每日万分之五向乙方支付违约金。</w:t>
      </w:r>
    </w:p>
    <w:p w14:paraId="62D17C30">
      <w:pPr>
        <w:spacing w:line="360" w:lineRule="auto"/>
        <w:rPr>
          <w:rFonts w:hint="eastAsia" w:ascii="宋体" w:hAnsi="宋体" w:eastAsia="宋体" w:cs="宋体"/>
          <w:sz w:val="24"/>
        </w:rPr>
      </w:pPr>
      <w:r>
        <w:rPr>
          <w:rFonts w:hint="eastAsia" w:ascii="宋体" w:hAnsi="宋体" w:eastAsia="宋体" w:cs="宋体"/>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C66AB94">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九、不可抗力事件处理</w:t>
      </w:r>
    </w:p>
    <w:p w14:paraId="6AE5257F">
      <w:pPr>
        <w:spacing w:line="360" w:lineRule="auto"/>
        <w:rPr>
          <w:rFonts w:hint="eastAsia" w:ascii="宋体" w:hAnsi="宋体" w:eastAsia="宋体" w:cs="宋体"/>
          <w:sz w:val="24"/>
        </w:rPr>
      </w:pPr>
      <w:r>
        <w:rPr>
          <w:rFonts w:hint="eastAsia" w:ascii="宋体" w:hAnsi="宋体" w:eastAsia="宋体" w:cs="宋体"/>
          <w:sz w:val="24"/>
        </w:rPr>
        <w:t>9.1 在合同有效期内，任何一方因不可抗力事件导致不能履行合同，则合同履行期可延长，其延长期与不可抗力影响期相同。</w:t>
      </w:r>
    </w:p>
    <w:p w14:paraId="3ED6B695">
      <w:pPr>
        <w:spacing w:line="360" w:lineRule="auto"/>
        <w:rPr>
          <w:rFonts w:hint="eastAsia" w:ascii="宋体" w:hAnsi="宋体" w:eastAsia="宋体" w:cs="宋体"/>
          <w:sz w:val="24"/>
        </w:rPr>
      </w:pPr>
      <w:r>
        <w:rPr>
          <w:rFonts w:hint="eastAsia" w:ascii="宋体" w:hAnsi="宋体" w:eastAsia="宋体" w:cs="宋体"/>
          <w:sz w:val="24"/>
        </w:rPr>
        <w:t>9.2 不可抗力事件发生后，应立即通知对方，并寄送有关权威机构出具的证明。</w:t>
      </w:r>
    </w:p>
    <w:p w14:paraId="761E01BC">
      <w:pPr>
        <w:spacing w:line="360" w:lineRule="auto"/>
        <w:rPr>
          <w:rFonts w:hint="eastAsia" w:ascii="宋体" w:hAnsi="宋体" w:eastAsia="宋体" w:cs="宋体"/>
          <w:sz w:val="24"/>
        </w:rPr>
      </w:pPr>
      <w:r>
        <w:rPr>
          <w:rFonts w:hint="eastAsia" w:ascii="宋体" w:hAnsi="宋体" w:eastAsia="宋体" w:cs="宋体"/>
          <w:sz w:val="24"/>
        </w:rPr>
        <w:t>9.3 不可抗力事件延续120天以上，双方应通过友好协商，确定是否继续履行合同。</w:t>
      </w:r>
    </w:p>
    <w:p w14:paraId="188CE4AD">
      <w:pPr>
        <w:spacing w:line="360" w:lineRule="auto"/>
        <w:rPr>
          <w:rFonts w:hint="eastAsia" w:ascii="宋体" w:hAnsi="宋体" w:eastAsia="宋体" w:cs="宋体"/>
          <w:b/>
          <w:sz w:val="24"/>
        </w:rPr>
      </w:pPr>
      <w:r>
        <w:rPr>
          <w:rFonts w:hint="eastAsia" w:ascii="宋体" w:hAnsi="宋体" w:eastAsia="宋体" w:cs="宋体"/>
          <w:b/>
          <w:sz w:val="24"/>
        </w:rPr>
        <w:t>十、诉讼</w:t>
      </w:r>
    </w:p>
    <w:p w14:paraId="3C4CDEB9">
      <w:pPr>
        <w:spacing w:line="360" w:lineRule="auto"/>
        <w:rPr>
          <w:rFonts w:hint="eastAsia" w:ascii="宋体" w:hAnsi="宋体" w:eastAsia="宋体" w:cs="宋体"/>
          <w:sz w:val="24"/>
        </w:rPr>
      </w:pPr>
      <w:r>
        <w:rPr>
          <w:rFonts w:hint="eastAsia" w:ascii="宋体" w:hAnsi="宋体" w:eastAsia="宋体" w:cs="宋体"/>
          <w:sz w:val="24"/>
        </w:rPr>
        <w:t>10.1 双方在执行合同中所发生的一切争议，应通过协商解决。如协商不成，可向合同签订地法院起诉。</w:t>
      </w:r>
    </w:p>
    <w:p w14:paraId="14FC18FC">
      <w:pPr>
        <w:spacing w:line="360" w:lineRule="auto"/>
        <w:rPr>
          <w:rFonts w:hint="eastAsia" w:ascii="宋体" w:hAnsi="宋体" w:eastAsia="宋体" w:cs="宋体"/>
          <w:b/>
          <w:sz w:val="24"/>
        </w:rPr>
      </w:pPr>
      <w:r>
        <w:rPr>
          <w:rFonts w:hint="eastAsia" w:ascii="宋体" w:hAnsi="宋体" w:eastAsia="宋体" w:cs="宋体"/>
          <w:b/>
          <w:sz w:val="24"/>
        </w:rPr>
        <w:t>十一、合同生效及其它</w:t>
      </w:r>
    </w:p>
    <w:p w14:paraId="5156F5B5">
      <w:pPr>
        <w:spacing w:line="360" w:lineRule="auto"/>
        <w:rPr>
          <w:rFonts w:hint="eastAsia" w:ascii="宋体" w:hAnsi="宋体" w:eastAsia="宋体" w:cs="宋体"/>
          <w:sz w:val="24"/>
        </w:rPr>
      </w:pPr>
      <w:r>
        <w:rPr>
          <w:rFonts w:hint="eastAsia" w:ascii="宋体" w:hAnsi="宋体" w:eastAsia="宋体" w:cs="宋体"/>
          <w:sz w:val="24"/>
        </w:rPr>
        <w:t>11.1 合同经双方法定代表人或授权委托代理人签字并加盖单位公章后生效。</w:t>
      </w:r>
    </w:p>
    <w:p w14:paraId="3DE0DA32">
      <w:pPr>
        <w:spacing w:line="360" w:lineRule="auto"/>
        <w:rPr>
          <w:rFonts w:hint="eastAsia" w:ascii="宋体" w:hAnsi="宋体" w:eastAsia="宋体" w:cs="宋体"/>
          <w:sz w:val="24"/>
        </w:rPr>
      </w:pPr>
      <w:r>
        <w:rPr>
          <w:rFonts w:hint="eastAsia" w:ascii="宋体" w:hAnsi="宋体" w:eastAsia="宋体" w:cs="宋体"/>
          <w:sz w:val="24"/>
        </w:rPr>
        <w:t>11.2合同执行中涉及采购资金和采购内容修改或补充的，须经财政部门审批，并签书面补充协议报政府采购监督管理部门备案，方可作为主合同不可分割的一部分。</w:t>
      </w:r>
    </w:p>
    <w:p w14:paraId="6B1FECDC">
      <w:pPr>
        <w:spacing w:line="360" w:lineRule="auto"/>
        <w:rPr>
          <w:rFonts w:hint="eastAsia" w:ascii="宋体" w:hAnsi="宋体" w:eastAsia="宋体" w:cs="宋体"/>
          <w:sz w:val="24"/>
        </w:rPr>
      </w:pPr>
      <w:r>
        <w:rPr>
          <w:rFonts w:hint="eastAsia" w:ascii="宋体" w:hAnsi="宋体" w:eastAsia="宋体" w:cs="宋体"/>
          <w:sz w:val="24"/>
        </w:rPr>
        <w:t>11.3本合同未尽事宜，遵照《中华人民共和国民法典》有关条文、补充协议、投标承诺、投标文件、采购文件及补充执行。</w:t>
      </w:r>
    </w:p>
    <w:p w14:paraId="64E027DA">
      <w:pPr>
        <w:spacing w:line="360" w:lineRule="auto"/>
        <w:rPr>
          <w:rFonts w:hint="eastAsia" w:ascii="宋体" w:hAnsi="宋体" w:eastAsia="宋体" w:cs="宋体"/>
          <w:sz w:val="24"/>
        </w:rPr>
      </w:pPr>
      <w:r>
        <w:rPr>
          <w:rFonts w:hint="eastAsia" w:ascii="宋体" w:hAnsi="宋体" w:eastAsia="宋体" w:cs="宋体"/>
          <w:sz w:val="24"/>
        </w:rPr>
        <w:t>11.4本合同正本一式   份，甲乙双方各执  份；副本  份，甲乙双方各执  份。合同正副本具有同等法律效力。</w:t>
      </w:r>
    </w:p>
    <w:p w14:paraId="1E317DA4">
      <w:pPr>
        <w:adjustRightInd/>
        <w:rPr>
          <w:rFonts w:hint="eastAsia" w:ascii="宋体" w:hAnsi="宋体" w:eastAsia="宋体" w:cs="宋体"/>
          <w:sz w:val="24"/>
        </w:rPr>
      </w:pPr>
    </w:p>
    <w:p w14:paraId="6B3BF563">
      <w:pPr>
        <w:spacing w:line="360" w:lineRule="auto"/>
        <w:jc w:val="left"/>
        <w:rPr>
          <w:rFonts w:hint="eastAsia" w:ascii="宋体" w:hAnsi="宋体" w:eastAsia="宋体" w:cs="宋体"/>
          <w:kern w:val="0"/>
          <w:sz w:val="24"/>
          <w:lang w:bidi="ar"/>
        </w:rPr>
      </w:pPr>
    </w:p>
    <w:p w14:paraId="274D4359">
      <w:pPr>
        <w:spacing w:line="360" w:lineRule="auto"/>
        <w:jc w:val="left"/>
        <w:rPr>
          <w:rFonts w:hint="eastAsia" w:ascii="宋体" w:hAnsi="宋体" w:eastAsia="宋体" w:cs="宋体"/>
          <w:kern w:val="0"/>
          <w:sz w:val="24"/>
          <w:lang w:bidi="ar"/>
        </w:rPr>
      </w:pPr>
    </w:p>
    <w:p w14:paraId="0D0D8D7F">
      <w:pPr>
        <w:spacing w:line="360" w:lineRule="auto"/>
        <w:jc w:val="left"/>
        <w:rPr>
          <w:rFonts w:hint="eastAsia" w:ascii="宋体" w:hAnsi="宋体" w:eastAsia="宋体" w:cs="宋体"/>
          <w:kern w:val="0"/>
          <w:sz w:val="24"/>
          <w:lang w:bidi="ar"/>
        </w:rPr>
      </w:pPr>
    </w:p>
    <w:p w14:paraId="0F12B62A">
      <w:pPr>
        <w:spacing w:line="360" w:lineRule="auto"/>
        <w:jc w:val="left"/>
        <w:rPr>
          <w:rFonts w:hint="eastAsia" w:ascii="宋体" w:hAnsi="宋体" w:eastAsia="宋体" w:cs="宋体"/>
          <w:kern w:val="0"/>
          <w:sz w:val="24"/>
          <w:lang w:bidi="ar"/>
        </w:rPr>
      </w:pPr>
    </w:p>
    <w:p w14:paraId="0B1EC5E3">
      <w:pPr>
        <w:spacing w:line="360" w:lineRule="auto"/>
        <w:jc w:val="left"/>
        <w:rPr>
          <w:rFonts w:hint="eastAsia" w:ascii="宋体" w:hAnsi="宋体" w:eastAsia="宋体" w:cs="宋体"/>
          <w:kern w:val="0"/>
          <w:sz w:val="24"/>
          <w:lang w:bidi="ar"/>
        </w:rPr>
      </w:pPr>
    </w:p>
    <w:p w14:paraId="73E4F3FA">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甲方：(公章)                               乙方：(公章)</w:t>
      </w:r>
    </w:p>
    <w:p w14:paraId="5A0789C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地址：                                     地址：</w:t>
      </w:r>
    </w:p>
    <w:p w14:paraId="36F548F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法定代表人：(签字)                         法定代表人：(签字)</w:t>
      </w:r>
    </w:p>
    <w:p w14:paraId="02CAD725">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委托代理人：(签字)                         委托代理人：(签字)</w:t>
      </w:r>
    </w:p>
    <w:p w14:paraId="26BF8E39">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电话：                                     电话：</w:t>
      </w:r>
    </w:p>
    <w:p w14:paraId="6302F2CB">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传真：                                     传真：</w:t>
      </w:r>
    </w:p>
    <w:p w14:paraId="74AF0CB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开户银行：                                 开户银行：</w:t>
      </w:r>
    </w:p>
    <w:p w14:paraId="52AD09DE">
      <w:pPr>
        <w:spacing w:line="360" w:lineRule="auto"/>
        <w:jc w:val="left"/>
        <w:rPr>
          <w:rFonts w:hint="eastAsia" w:ascii="宋体" w:hAnsi="宋体" w:eastAsia="宋体" w:cs="宋体"/>
          <w:kern w:val="0"/>
          <w:sz w:val="24"/>
        </w:rPr>
      </w:pPr>
      <w:r>
        <w:rPr>
          <w:rFonts w:hint="eastAsia" w:ascii="宋体" w:hAnsi="宋体" w:cs="宋体"/>
          <w:kern w:val="0"/>
          <w:sz w:val="24"/>
          <w:lang w:eastAsia="zh-CN" w:bidi="ar"/>
        </w:rPr>
        <w:t>账号</w:t>
      </w:r>
      <w:r>
        <w:rPr>
          <w:rFonts w:hint="eastAsia" w:ascii="宋体" w:hAnsi="宋体" w:eastAsia="宋体" w:cs="宋体"/>
          <w:kern w:val="0"/>
          <w:sz w:val="24"/>
          <w:lang w:bidi="ar"/>
        </w:rPr>
        <w:t xml:space="preserve">：                                     </w:t>
      </w:r>
      <w:r>
        <w:rPr>
          <w:rFonts w:hint="eastAsia" w:ascii="宋体" w:hAnsi="宋体" w:cs="宋体"/>
          <w:kern w:val="0"/>
          <w:sz w:val="24"/>
          <w:lang w:eastAsia="zh-CN" w:bidi="ar"/>
        </w:rPr>
        <w:t>账号</w:t>
      </w:r>
      <w:r>
        <w:rPr>
          <w:rFonts w:hint="eastAsia" w:ascii="宋体" w:hAnsi="宋体" w:eastAsia="宋体" w:cs="宋体"/>
          <w:kern w:val="0"/>
          <w:sz w:val="24"/>
          <w:lang w:bidi="ar"/>
        </w:rPr>
        <w:t>：</w:t>
      </w:r>
    </w:p>
    <w:p w14:paraId="71E3828E">
      <w:pPr>
        <w:widowControl/>
        <w:adjustRightInd/>
        <w:spacing w:line="360" w:lineRule="auto"/>
        <w:jc w:val="left"/>
        <w:rPr>
          <w:rFonts w:hint="eastAsia" w:ascii="宋体" w:hAnsi="宋体" w:eastAsia="宋体" w:cs="宋体"/>
          <w:sz w:val="24"/>
        </w:rPr>
      </w:pPr>
      <w:r>
        <w:rPr>
          <w:rFonts w:hint="eastAsia" w:ascii="宋体" w:hAnsi="宋体" w:eastAsia="宋体" w:cs="宋体"/>
          <w:sz w:val="24"/>
          <w:lang w:bidi="ar"/>
        </w:rPr>
        <w:t>邮政编码：                                 邮政编码：</w:t>
      </w:r>
    </w:p>
    <w:p w14:paraId="5511C03F">
      <w:pPr>
        <w:spacing w:line="360" w:lineRule="auto"/>
        <w:rPr>
          <w:rFonts w:hint="eastAsia" w:ascii="宋体" w:hAnsi="宋体" w:eastAsia="宋体" w:cs="宋体"/>
          <w:sz w:val="24"/>
        </w:rPr>
      </w:pPr>
    </w:p>
    <w:p w14:paraId="48A7C76F">
      <w:pPr>
        <w:spacing w:line="360" w:lineRule="auto"/>
        <w:rPr>
          <w:rFonts w:hint="eastAsia" w:ascii="宋体" w:hAnsi="宋体" w:eastAsia="宋体" w:cs="宋体"/>
          <w:sz w:val="24"/>
        </w:rPr>
      </w:pPr>
    </w:p>
    <w:p w14:paraId="26232389">
      <w:pPr>
        <w:widowControl/>
        <w:overflowPunct w:val="0"/>
        <w:autoSpaceDE w:val="0"/>
        <w:autoSpaceDN w:val="0"/>
        <w:spacing w:line="320" w:lineRule="exact"/>
        <w:jc w:val="left"/>
        <w:rPr>
          <w:rFonts w:hint="eastAsia" w:ascii="宋体" w:hAnsi="宋体" w:eastAsia="宋体" w:cs="宋体"/>
          <w:kern w:val="0"/>
          <w:sz w:val="24"/>
        </w:rPr>
      </w:pPr>
    </w:p>
    <w:p w14:paraId="6EE2D5D3">
      <w:pPr>
        <w:widowControl/>
        <w:adjustRightInd/>
        <w:jc w:val="center"/>
        <w:rPr>
          <w:rFonts w:hint="eastAsia" w:ascii="宋体" w:hAnsi="宋体" w:eastAsia="宋体" w:cs="宋体"/>
          <w:b/>
          <w:sz w:val="36"/>
          <w:szCs w:val="20"/>
        </w:rPr>
      </w:pPr>
    </w:p>
    <w:p w14:paraId="0A3C110F">
      <w:pPr>
        <w:widowControl/>
        <w:adjustRightInd/>
        <w:jc w:val="center"/>
        <w:rPr>
          <w:rFonts w:hint="eastAsia" w:ascii="宋体" w:hAnsi="宋体" w:eastAsia="宋体" w:cs="宋体"/>
          <w:b/>
          <w:sz w:val="36"/>
          <w:szCs w:val="20"/>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CE86F9E">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412"/>
      <w:r>
        <w:rPr>
          <w:rFonts w:hint="eastAsia" w:ascii="宋体" w:hAnsi="宋体" w:eastAsia="宋体" w:cs="宋体"/>
          <w:b/>
          <w:sz w:val="36"/>
          <w:szCs w:val="20"/>
        </w:rPr>
        <w:t xml:space="preserve"> </w:t>
      </w:r>
      <w:bookmarkEnd w:id="413"/>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14" w:name="_Hlk101257010"/>
      <w:r>
        <w:rPr>
          <w:rFonts w:hint="eastAsia" w:ascii="宋体" w:hAnsi="宋体" w:eastAsia="宋体" w:cs="宋体"/>
          <w:sz w:val="24"/>
        </w:rPr>
        <w:t>（如果有)</w:t>
      </w:r>
      <w:bookmarkEnd w:id="414"/>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43F068F3">
      <w:pPr>
        <w:jc w:val="center"/>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46FD3D52">
      <w:pPr>
        <w:autoSpaceDE w:val="0"/>
        <w:autoSpaceDN w:val="0"/>
        <w:spacing w:line="360" w:lineRule="auto"/>
        <w:jc w:val="center"/>
        <w:rPr>
          <w:rFonts w:hint="eastAsia" w:ascii="宋体" w:hAnsi="宋体" w:eastAsia="宋体" w:cs="宋体"/>
          <w:b/>
          <w:kern w:val="0"/>
          <w:sz w:val="32"/>
          <w:szCs w:val="32"/>
          <w:lang w:val="zh-CN"/>
        </w:rPr>
      </w:pPr>
    </w:p>
    <w:p w14:paraId="33D24795">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0586A4C9">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48"/>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303CADD2">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4A46244">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1F51EDBD">
      <w:pPr>
        <w:pStyle w:val="23"/>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73532C6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268EF10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FDE615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48D5E203">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2025-2026年度宁海县排水水质检测服务项目</w:t>
      </w:r>
      <w:r>
        <w:rPr>
          <w:rFonts w:hint="eastAsia" w:ascii="宋体" w:hAnsi="宋体" w:eastAsia="宋体" w:cs="宋体"/>
          <w:kern w:val="0"/>
          <w:sz w:val="24"/>
          <w:lang w:val="zh-CN"/>
        </w:rPr>
        <w:t>【招标编号：</w:t>
      </w:r>
      <w:r>
        <w:rPr>
          <w:rFonts w:hint="eastAsia" w:ascii="宋体" w:hAnsi="宋体" w:cs="宋体"/>
          <w:sz w:val="24"/>
          <w:lang w:eastAsia="zh-CN"/>
        </w:rPr>
        <w:t>NBGJ2025-CG0016</w:t>
      </w:r>
      <w:r>
        <w:rPr>
          <w:rFonts w:hint="eastAsia" w:ascii="宋体" w:hAnsi="宋体" w:eastAsia="宋体" w:cs="宋体"/>
          <w:sz w:val="24"/>
        </w:rPr>
        <w:t>】的实施</w:t>
      </w:r>
      <w:r>
        <w:rPr>
          <w:rFonts w:hint="eastAsia" w:ascii="宋体" w:hAnsi="宋体" w:eastAsia="宋体" w:cs="宋体"/>
          <w:kern w:val="0"/>
          <w:sz w:val="24"/>
          <w:lang w:val="zh-CN"/>
        </w:rPr>
        <w:t>。</w:t>
      </w:r>
    </w:p>
    <w:p w14:paraId="5B3306D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CE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4BC31A70">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14C9B259">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216132B8">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3664" w:type="dxa"/>
            <w:vAlign w:val="center"/>
          </w:tcPr>
          <w:p w14:paraId="00A465D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65D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E772AA7">
            <w:pPr>
              <w:adjustRightInd/>
              <w:snapToGrid w:val="0"/>
              <w:spacing w:line="360" w:lineRule="auto"/>
              <w:jc w:val="center"/>
              <w:rPr>
                <w:rFonts w:hint="eastAsia" w:ascii="宋体" w:hAnsi="宋体" w:eastAsia="宋体" w:cs="宋体"/>
                <w:sz w:val="24"/>
              </w:rPr>
            </w:pPr>
          </w:p>
        </w:tc>
        <w:tc>
          <w:tcPr>
            <w:tcW w:w="3499" w:type="dxa"/>
            <w:vAlign w:val="center"/>
          </w:tcPr>
          <w:p w14:paraId="438B27E6">
            <w:pPr>
              <w:adjustRightInd/>
              <w:snapToGrid w:val="0"/>
              <w:spacing w:line="360" w:lineRule="auto"/>
              <w:jc w:val="center"/>
              <w:rPr>
                <w:rFonts w:hint="eastAsia" w:ascii="宋体" w:hAnsi="宋体" w:eastAsia="宋体" w:cs="宋体"/>
                <w:sz w:val="24"/>
              </w:rPr>
            </w:pPr>
          </w:p>
        </w:tc>
        <w:tc>
          <w:tcPr>
            <w:tcW w:w="3581" w:type="dxa"/>
            <w:vAlign w:val="center"/>
          </w:tcPr>
          <w:p w14:paraId="4690EE76">
            <w:pPr>
              <w:adjustRightInd/>
              <w:snapToGrid w:val="0"/>
              <w:spacing w:line="360" w:lineRule="auto"/>
              <w:rPr>
                <w:rFonts w:hint="eastAsia" w:ascii="宋体" w:hAnsi="宋体" w:eastAsia="宋体" w:cs="宋体"/>
                <w:sz w:val="24"/>
              </w:rPr>
            </w:pPr>
          </w:p>
        </w:tc>
        <w:tc>
          <w:tcPr>
            <w:tcW w:w="3664" w:type="dxa"/>
            <w:vAlign w:val="center"/>
          </w:tcPr>
          <w:p w14:paraId="33A48D62">
            <w:pPr>
              <w:adjustRightInd/>
              <w:snapToGrid w:val="0"/>
              <w:spacing w:line="360" w:lineRule="auto"/>
              <w:jc w:val="center"/>
              <w:rPr>
                <w:rFonts w:hint="eastAsia" w:ascii="宋体" w:hAnsi="宋体" w:eastAsia="宋体" w:cs="宋体"/>
                <w:sz w:val="24"/>
              </w:rPr>
            </w:pPr>
          </w:p>
        </w:tc>
      </w:tr>
      <w:tr w14:paraId="1EA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461DC5C0">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2190CC12">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3198FF61">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D5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A4CB4A9">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7ECA7903">
            <w:pPr>
              <w:adjustRightInd/>
              <w:snapToGrid w:val="0"/>
              <w:spacing w:line="360" w:lineRule="auto"/>
              <w:jc w:val="center"/>
              <w:rPr>
                <w:rFonts w:hint="eastAsia" w:ascii="宋体" w:hAnsi="宋体" w:eastAsia="宋体" w:cs="宋体"/>
                <w:sz w:val="24"/>
              </w:rPr>
            </w:pPr>
          </w:p>
        </w:tc>
      </w:tr>
    </w:tbl>
    <w:p w14:paraId="406C5176">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96E643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D44780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0E8CFE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3、特别提示：采购代理机构将对项目名称和项目编号，中标人名称、地址和中标金额，主要中标标的名称、服务范围、服务要求、服务时间、服务标准等予以公示。</w:t>
      </w:r>
    </w:p>
    <w:p w14:paraId="7C4998C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29C858">
      <w:pPr>
        <w:spacing w:line="360" w:lineRule="auto"/>
        <w:ind w:firstLine="482" w:firstLineChars="200"/>
        <w:rPr>
          <w:rFonts w:hint="eastAsia" w:ascii="宋体" w:hAnsi="宋体" w:eastAsia="宋体" w:cs="宋体"/>
          <w:b/>
          <w:kern w:val="0"/>
          <w:sz w:val="24"/>
        </w:rPr>
      </w:pPr>
    </w:p>
    <w:p w14:paraId="352C2E8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774A7FE">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334E518">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591AD7CC">
      <w:pPr>
        <w:widowControl/>
        <w:spacing w:line="360" w:lineRule="auto"/>
        <w:ind w:firstLine="120" w:firstLineChars="50"/>
        <w:jc w:val="left"/>
        <w:rPr>
          <w:rFonts w:hint="eastAsia" w:ascii="宋体" w:hAnsi="宋体" w:eastAsia="宋体" w:cs="宋体"/>
          <w:b/>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411B32E8">
      <w:pPr>
        <w:pStyle w:val="23"/>
        <w:rPr>
          <w:rFonts w:hint="eastAsia" w:ascii="宋体" w:hAnsi="宋体" w:eastAsia="宋体" w:cs="宋体"/>
        </w:rPr>
      </w:pPr>
    </w:p>
    <w:p w14:paraId="0D398297">
      <w:pPr>
        <w:adjustRightInd/>
        <w:jc w:val="center"/>
        <w:rPr>
          <w:rFonts w:hint="eastAsia" w:ascii="宋体" w:hAnsi="宋体" w:eastAsia="宋体" w:cs="宋体"/>
          <w:b/>
          <w:sz w:val="32"/>
          <w:szCs w:val="32"/>
        </w:rPr>
      </w:pPr>
      <w:r>
        <w:rPr>
          <w:rFonts w:hint="eastAsia" w:ascii="宋体" w:hAnsi="宋体" w:eastAsia="宋体" w:cs="宋体"/>
          <w:b/>
          <w:sz w:val="32"/>
          <w:szCs w:val="32"/>
        </w:rPr>
        <w:t>三、投标报价明细表</w:t>
      </w:r>
    </w:p>
    <w:p w14:paraId="73E97C7B">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26A443A">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我方承诺按照如下投标报价明细表的价格完成</w:t>
      </w:r>
      <w:r>
        <w:rPr>
          <w:rFonts w:hint="eastAsia" w:ascii="宋体" w:hAnsi="宋体" w:cs="宋体"/>
          <w:sz w:val="24"/>
          <w:lang w:eastAsia="zh-CN"/>
        </w:rPr>
        <w:t>2025-2026年度宁海县排水水质检测服务项目</w:t>
      </w:r>
      <w:r>
        <w:rPr>
          <w:rFonts w:hint="eastAsia" w:ascii="宋体" w:hAnsi="宋体" w:eastAsia="宋体" w:cs="宋体"/>
          <w:kern w:val="0"/>
          <w:sz w:val="24"/>
          <w:lang w:val="zh-CN"/>
        </w:rPr>
        <w:t>【招标编号：</w:t>
      </w:r>
      <w:r>
        <w:rPr>
          <w:rFonts w:hint="eastAsia" w:ascii="宋体" w:hAnsi="宋体" w:cs="宋体"/>
          <w:sz w:val="24"/>
          <w:lang w:eastAsia="zh-CN"/>
        </w:rPr>
        <w:t>NBGJ2025-CG0016</w:t>
      </w:r>
      <w:r>
        <w:rPr>
          <w:rFonts w:hint="eastAsia" w:ascii="宋体" w:hAnsi="宋体" w:eastAsia="宋体" w:cs="宋体"/>
          <w:sz w:val="24"/>
        </w:rPr>
        <w:t>】的实施</w:t>
      </w:r>
      <w:r>
        <w:rPr>
          <w:rFonts w:hint="eastAsia" w:ascii="宋体" w:hAnsi="宋体" w:eastAsia="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4D4071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42B72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20297A4">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7DC76C4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6F099A3">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B93C7C1">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金额（元）</w:t>
            </w:r>
          </w:p>
        </w:tc>
      </w:tr>
      <w:tr w14:paraId="5692BE7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841F2C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3703FF0D">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18DF55B3">
            <w:pPr>
              <w:adjustRightInd/>
              <w:snapToGrid w:val="0"/>
              <w:spacing w:before="50" w:after="50" w:line="360" w:lineRule="auto"/>
              <w:jc w:val="center"/>
              <w:rPr>
                <w:rFonts w:hint="default" w:ascii="宋体" w:hAnsi="宋体" w:eastAsia="宋体" w:cs="宋体"/>
                <w:spacing w:val="20"/>
                <w:sz w:val="24"/>
                <w:lang w:val="en-US" w:eastAsia="zh-CN"/>
              </w:rPr>
            </w:pPr>
          </w:p>
        </w:tc>
        <w:tc>
          <w:tcPr>
            <w:tcW w:w="1253" w:type="dxa"/>
            <w:tcBorders>
              <w:top w:val="single" w:color="auto" w:sz="4" w:space="0"/>
              <w:left w:val="nil"/>
              <w:bottom w:val="single" w:color="auto" w:sz="4" w:space="0"/>
              <w:right w:val="single" w:color="auto" w:sz="4" w:space="0"/>
            </w:tcBorders>
          </w:tcPr>
          <w:p w14:paraId="43648250">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439C1A7E">
            <w:pPr>
              <w:adjustRightInd/>
              <w:snapToGrid w:val="0"/>
              <w:spacing w:before="50" w:after="50" w:line="360" w:lineRule="auto"/>
              <w:jc w:val="center"/>
              <w:rPr>
                <w:rFonts w:hint="eastAsia" w:ascii="宋体" w:hAnsi="宋体" w:eastAsia="宋体" w:cs="宋体"/>
                <w:spacing w:val="20"/>
                <w:sz w:val="24"/>
              </w:rPr>
            </w:pPr>
          </w:p>
        </w:tc>
      </w:tr>
      <w:tr w14:paraId="1CAA045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2B6459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695841DC">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65FDC505">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3A8C78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213B3B6D">
            <w:pPr>
              <w:adjustRightInd/>
              <w:snapToGrid w:val="0"/>
              <w:spacing w:before="50" w:after="50" w:line="360" w:lineRule="auto"/>
              <w:jc w:val="center"/>
              <w:rPr>
                <w:rFonts w:hint="eastAsia" w:ascii="宋体" w:hAnsi="宋体" w:eastAsia="宋体" w:cs="宋体"/>
                <w:spacing w:val="20"/>
                <w:sz w:val="24"/>
              </w:rPr>
            </w:pPr>
          </w:p>
        </w:tc>
      </w:tr>
      <w:tr w14:paraId="3036855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0AE5B9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9DB0681">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332D201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6B8CF8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5D5DBDCA">
            <w:pPr>
              <w:adjustRightInd/>
              <w:snapToGrid w:val="0"/>
              <w:spacing w:before="50" w:after="50" w:line="360" w:lineRule="auto"/>
              <w:jc w:val="center"/>
              <w:rPr>
                <w:rFonts w:hint="eastAsia" w:ascii="宋体" w:hAnsi="宋体" w:eastAsia="宋体" w:cs="宋体"/>
                <w:spacing w:val="20"/>
                <w:sz w:val="24"/>
              </w:rPr>
            </w:pPr>
          </w:p>
        </w:tc>
      </w:tr>
      <w:tr w14:paraId="00C1DA7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0AD0DC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AA31E90">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8117D45">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653918E">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DA771CF">
            <w:pPr>
              <w:adjustRightInd/>
              <w:snapToGrid w:val="0"/>
              <w:spacing w:before="50" w:after="50" w:line="360" w:lineRule="auto"/>
              <w:jc w:val="center"/>
              <w:rPr>
                <w:rFonts w:hint="eastAsia" w:ascii="宋体" w:hAnsi="宋体" w:eastAsia="宋体" w:cs="宋体"/>
                <w:spacing w:val="20"/>
                <w:sz w:val="24"/>
              </w:rPr>
            </w:pPr>
          </w:p>
        </w:tc>
      </w:tr>
      <w:tr w14:paraId="341807C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6F6F20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1F056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133082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E538DC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B43E261">
            <w:pPr>
              <w:adjustRightInd/>
              <w:snapToGrid w:val="0"/>
              <w:spacing w:before="50" w:after="50" w:line="360" w:lineRule="auto"/>
              <w:jc w:val="center"/>
              <w:rPr>
                <w:rFonts w:hint="eastAsia" w:ascii="宋体" w:hAnsi="宋体" w:eastAsia="宋体" w:cs="宋体"/>
                <w:spacing w:val="20"/>
                <w:sz w:val="24"/>
              </w:rPr>
            </w:pPr>
          </w:p>
        </w:tc>
      </w:tr>
      <w:tr w14:paraId="6E7E08F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E63BC04">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B7C5549">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2C16A6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5CC2B47E">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AF74AE8">
            <w:pPr>
              <w:adjustRightInd/>
              <w:snapToGrid w:val="0"/>
              <w:spacing w:before="50" w:after="50" w:line="360" w:lineRule="auto"/>
              <w:jc w:val="center"/>
              <w:rPr>
                <w:rFonts w:hint="eastAsia" w:ascii="宋体" w:hAnsi="宋体" w:eastAsia="宋体" w:cs="宋体"/>
                <w:spacing w:val="20"/>
                <w:sz w:val="24"/>
              </w:rPr>
            </w:pPr>
          </w:p>
        </w:tc>
      </w:tr>
      <w:tr w14:paraId="5470032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5561C29">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11FA7BB8">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7F50298">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7CF457B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5ECE908">
            <w:pPr>
              <w:adjustRightInd/>
              <w:snapToGrid w:val="0"/>
              <w:spacing w:before="50" w:after="50" w:line="360" w:lineRule="auto"/>
              <w:jc w:val="center"/>
              <w:rPr>
                <w:rFonts w:hint="eastAsia" w:ascii="宋体" w:hAnsi="宋体" w:eastAsia="宋体" w:cs="宋体"/>
                <w:spacing w:val="20"/>
                <w:sz w:val="24"/>
              </w:rPr>
            </w:pPr>
          </w:p>
        </w:tc>
      </w:tr>
      <w:tr w14:paraId="32076A2A">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69123CD3">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7B94EA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4CC5DCEB">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3A33A193">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4AE38DB">
            <w:pPr>
              <w:adjustRightInd/>
              <w:snapToGrid w:val="0"/>
              <w:spacing w:before="50" w:after="50" w:line="360" w:lineRule="auto"/>
              <w:jc w:val="center"/>
              <w:rPr>
                <w:rFonts w:hint="eastAsia" w:ascii="宋体" w:hAnsi="宋体" w:eastAsia="宋体" w:cs="宋体"/>
                <w:spacing w:val="20"/>
                <w:sz w:val="24"/>
              </w:rPr>
            </w:pPr>
          </w:p>
        </w:tc>
      </w:tr>
      <w:tr w14:paraId="68C4A56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18EBDF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08F80EB2">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635E52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060323F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67A4C148">
            <w:pPr>
              <w:adjustRightInd/>
              <w:snapToGrid w:val="0"/>
              <w:spacing w:before="50" w:after="50" w:line="360" w:lineRule="auto"/>
              <w:jc w:val="center"/>
              <w:rPr>
                <w:rFonts w:hint="eastAsia" w:ascii="宋体" w:hAnsi="宋体" w:eastAsia="宋体" w:cs="宋体"/>
                <w:spacing w:val="20"/>
                <w:sz w:val="24"/>
              </w:rPr>
            </w:pPr>
          </w:p>
        </w:tc>
      </w:tr>
      <w:tr w14:paraId="441C18D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0CD845A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ADE993C">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77F5BF5F">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E302E66">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9EB64F2">
            <w:pPr>
              <w:adjustRightInd/>
              <w:snapToGrid w:val="0"/>
              <w:spacing w:before="50" w:after="50" w:line="360" w:lineRule="auto"/>
              <w:jc w:val="center"/>
              <w:rPr>
                <w:rFonts w:hint="eastAsia" w:ascii="宋体" w:hAnsi="宋体" w:eastAsia="宋体" w:cs="宋体"/>
                <w:spacing w:val="20"/>
                <w:sz w:val="24"/>
              </w:rPr>
            </w:pPr>
          </w:p>
        </w:tc>
      </w:tr>
      <w:tr w14:paraId="47B5BB5E">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4493DFFE">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F247E1">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5D18FAF">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FBDF898">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3180B82">
            <w:pPr>
              <w:adjustRightInd/>
              <w:snapToGrid w:val="0"/>
              <w:spacing w:before="50" w:after="50" w:line="360" w:lineRule="auto"/>
              <w:jc w:val="center"/>
              <w:rPr>
                <w:rFonts w:hint="eastAsia" w:ascii="宋体" w:hAnsi="宋体" w:eastAsia="宋体" w:cs="宋体"/>
                <w:spacing w:val="20"/>
                <w:sz w:val="24"/>
              </w:rPr>
            </w:pPr>
          </w:p>
        </w:tc>
      </w:tr>
      <w:tr w14:paraId="1C4962C7">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D73E32B">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rPr>
              <w:t>投标总价</w:t>
            </w:r>
          </w:p>
        </w:tc>
        <w:tc>
          <w:tcPr>
            <w:tcW w:w="1432" w:type="dxa"/>
            <w:tcBorders>
              <w:top w:val="single" w:color="auto" w:sz="4" w:space="0"/>
              <w:left w:val="nil"/>
              <w:bottom w:val="single" w:color="auto" w:sz="4" w:space="0"/>
              <w:right w:val="single" w:color="auto" w:sz="4" w:space="0"/>
            </w:tcBorders>
          </w:tcPr>
          <w:p w14:paraId="3FF8DB8D">
            <w:pPr>
              <w:adjustRightInd/>
              <w:snapToGrid w:val="0"/>
              <w:spacing w:before="50" w:after="50" w:line="360" w:lineRule="auto"/>
              <w:jc w:val="center"/>
              <w:rPr>
                <w:rFonts w:hint="eastAsia" w:ascii="宋体" w:hAnsi="宋体" w:eastAsia="宋体" w:cs="宋体"/>
                <w:spacing w:val="20"/>
                <w:sz w:val="24"/>
              </w:rPr>
            </w:pPr>
          </w:p>
        </w:tc>
      </w:tr>
    </w:tbl>
    <w:p w14:paraId="2BC764F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BC31DFD">
      <w:pPr>
        <w:adjustRightInd/>
        <w:rPr>
          <w:rFonts w:hint="eastAsia" w:ascii="宋体" w:hAnsi="宋体" w:eastAsia="宋体" w:cs="宋体"/>
        </w:rPr>
      </w:pPr>
    </w:p>
    <w:p w14:paraId="72370D94">
      <w:pPr>
        <w:adjustRightInd/>
        <w:jc w:val="center"/>
        <w:rPr>
          <w:rFonts w:hint="eastAsia" w:ascii="宋体" w:hAnsi="宋体" w:eastAsia="宋体" w:cs="宋体"/>
          <w:b/>
          <w:sz w:val="32"/>
          <w:szCs w:val="32"/>
        </w:rPr>
        <w:sectPr>
          <w:pgSz w:w="11906" w:h="16838"/>
          <w:pgMar w:top="1276" w:right="1418" w:bottom="1247" w:left="1418" w:header="851" w:footer="992" w:gutter="0"/>
          <w:pgNumType w:fmt="decimal"/>
          <w:cols w:space="720" w:num="1"/>
          <w:titlePg/>
          <w:docGrid w:linePitch="312" w:charSpace="0"/>
        </w:sectPr>
      </w:pPr>
    </w:p>
    <w:p w14:paraId="26F1A969">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415" w:name="OLE_LINK13"/>
      <w:bookmarkStart w:id="416" w:name="OLE_LINK14"/>
      <w:r>
        <w:rPr>
          <w:rFonts w:hint="eastAsia" w:ascii="宋体" w:hAnsi="宋体" w:eastAsia="宋体" w:cs="宋体"/>
          <w:b/>
          <w:spacing w:val="6"/>
          <w:sz w:val="32"/>
          <w:szCs w:val="32"/>
        </w:rPr>
        <w:t>残疾人福利性单位声明函</w:t>
      </w:r>
    </w:p>
    <w:bookmarkEnd w:id="415"/>
    <w:bookmarkEnd w:id="416"/>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2025-2026年度宁海县排水水质检测服务项目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275AE570">
      <w:pPr>
        <w:spacing w:line="360" w:lineRule="auto"/>
        <w:jc w:val="left"/>
        <w:rPr>
          <w:rFonts w:hint="eastAsia" w:ascii="宋体" w:hAnsi="宋体" w:eastAsia="宋体" w:cs="宋体"/>
          <w:b/>
          <w:spacing w:val="6"/>
          <w:sz w:val="32"/>
          <w:szCs w:val="32"/>
        </w:rPr>
      </w:pPr>
    </w:p>
    <w:p w14:paraId="11EDE923">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7AB019C2">
      <w:pPr>
        <w:autoSpaceDE w:val="0"/>
        <w:autoSpaceDN w:val="0"/>
        <w:jc w:val="center"/>
        <w:rPr>
          <w:rFonts w:hint="eastAsia" w:ascii="宋体" w:hAnsi="宋体" w:eastAsia="宋体" w:cs="宋体"/>
          <w:b/>
          <w:spacing w:val="6"/>
          <w:sz w:val="32"/>
          <w:szCs w:val="32"/>
        </w:rPr>
      </w:pPr>
    </w:p>
    <w:p w14:paraId="2E116C82">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宁海县水利局</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附件6：</w:t>
      </w:r>
      <w:r>
        <w:rPr>
          <w:rFonts w:hint="eastAsia" w:ascii="宋体" w:hAnsi="宋体" w:eastAsia="宋体" w:cs="宋体"/>
          <w:b/>
          <w:kern w:val="0"/>
          <w:sz w:val="32"/>
          <w:szCs w:val="32"/>
          <w:lang w:val="zh-CN"/>
        </w:rPr>
        <w:t>联合协议</w:t>
      </w: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lang w:eastAsia="zh-CN"/>
        </w:rPr>
        <w:t>2025-2026年度宁海县排水水质检测服务项目</w:t>
      </w:r>
      <w:r>
        <w:rPr>
          <w:rFonts w:hint="eastAsia" w:ascii="宋体" w:hAnsi="宋体" w:eastAsia="宋体" w:cs="宋体"/>
          <w:sz w:val="24"/>
        </w:rPr>
        <w:t>【招标编号：</w:t>
      </w:r>
      <w:r>
        <w:rPr>
          <w:rFonts w:hint="eastAsia" w:ascii="宋体" w:hAnsi="宋体" w:cs="宋体"/>
          <w:sz w:val="24"/>
          <w:lang w:eastAsia="zh-CN"/>
        </w:rPr>
        <w:t>NBGJ2025-CG0016</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17" w:name="_Hlk101131882"/>
      <w:r>
        <w:rPr>
          <w:rFonts w:hint="eastAsia" w:ascii="宋体" w:hAnsi="宋体" w:eastAsia="宋体" w:cs="宋体"/>
          <w:kern w:val="0"/>
          <w:sz w:val="24"/>
          <w:u w:val="single"/>
        </w:rPr>
        <w:t>联合体成员X,……</w:t>
      </w:r>
      <w:bookmarkEnd w:id="417"/>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18"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18"/>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19"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19"/>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24A0928D">
      <w:pPr>
        <w:spacing w:line="360" w:lineRule="auto"/>
        <w:jc w:val="center"/>
        <w:rPr>
          <w:rFonts w:hint="eastAsia" w:ascii="宋体" w:hAnsi="宋体" w:eastAsia="宋体" w:cs="宋体"/>
          <w:sz w:val="24"/>
          <w:u w:val="single"/>
        </w:rPr>
      </w:pPr>
    </w:p>
    <w:p w14:paraId="7441AF2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B021CBE">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宁海县水利局</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2025-2026年度宁海县排水水质检测服务项目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EFAC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4F5D7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FF5CC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C661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D7EBB0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E5A3345">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55AF51A1">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79ACC9A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9338F59">
      <w:pPr>
        <w:spacing w:line="360" w:lineRule="auto"/>
        <w:ind w:right="420"/>
        <w:rPr>
          <w:rFonts w:hint="eastAsia" w:ascii="宋体" w:hAnsi="宋体" w:eastAsia="宋体" w:cs="宋体"/>
          <w:sz w:val="24"/>
        </w:rPr>
      </w:pPr>
    </w:p>
    <w:p w14:paraId="2458CAA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5DDBE5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DFA3CD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D16FA0">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5A189913">
      <w:pPr>
        <w:pStyle w:val="23"/>
        <w:rPr>
          <w:rFonts w:hint="eastAsia" w:ascii="宋体" w:hAnsi="宋体" w:eastAsia="宋体" w:cs="宋体"/>
        </w:rPr>
      </w:pPr>
    </w:p>
    <w:p w14:paraId="0DB408BF">
      <w:pPr>
        <w:pStyle w:val="3"/>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40"/>
      <w:framePr w:wrap="around" w:vAnchor="text" w:hAnchor="margin" w:xAlign="right" w:y="1"/>
      <w:rPr>
        <w:rStyle w:val="72"/>
      </w:rPr>
    </w:pPr>
    <w:r>
      <w:fldChar w:fldCharType="begin"/>
    </w:r>
    <w:r>
      <w:rPr>
        <w:rStyle w:val="72"/>
      </w:rPr>
      <w:instrText xml:space="preserve">PAGE  </w:instrText>
    </w:r>
    <w:r>
      <w:fldChar w:fldCharType="end"/>
    </w:r>
  </w:p>
  <w:p w14:paraId="09A01404">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40"/>
                    </w:pPr>
                    <w:r>
                      <w:fldChar w:fldCharType="begin"/>
                    </w:r>
                    <w:r>
                      <w:instrText xml:space="preserve"> PAGE  \* MERGEFORMAT </w:instrText>
                    </w:r>
                    <w:r>
                      <w:fldChar w:fldCharType="separate"/>
                    </w:r>
                    <w:r>
                      <w:t>56</w:t>
                    </w:r>
                    <w:r>
                      <w:fldChar w:fldCharType="end"/>
                    </w:r>
                  </w:p>
                </w:txbxContent>
              </v:textbox>
            </v:shape>
          </w:pict>
        </mc:Fallback>
      </mc:AlternateContent>
    </w:r>
  </w:p>
  <w:p w14:paraId="544D045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40"/>
                    </w:pPr>
                    <w:r>
                      <w:fldChar w:fldCharType="begin"/>
                    </w:r>
                    <w:r>
                      <w:instrText xml:space="preserve"> PAGE  \* MERGEFORMAT </w:instrText>
                    </w:r>
                    <w:r>
                      <w:fldChar w:fldCharType="separate"/>
                    </w:r>
                    <w:r>
                      <w:t>54</w:t>
                    </w:r>
                    <w:r>
                      <w:fldChar w:fldCharType="end"/>
                    </w:r>
                  </w:p>
                </w:txbxContent>
              </v:textbox>
            </v:shape>
          </w:pict>
        </mc:Fallback>
      </mc:AlternateContent>
    </w:r>
  </w:p>
  <w:p w14:paraId="45A952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2A3">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6FF0">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3C6FF0">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2F1">
    <w:pPr>
      <w:pStyle w:val="40"/>
      <w:framePr w:wrap="around" w:vAnchor="text" w:hAnchor="margin" w:xAlign="right" w:y="1"/>
      <w:rPr>
        <w:rStyle w:val="72"/>
      </w:rPr>
    </w:pPr>
    <w:r>
      <w:fldChar w:fldCharType="begin"/>
    </w:r>
    <w:r>
      <w:rPr>
        <w:rStyle w:val="72"/>
      </w:rPr>
      <w:instrText xml:space="preserve">PAGE  </w:instrText>
    </w:r>
    <w:r>
      <w:fldChar w:fldCharType="end"/>
    </w:r>
  </w:p>
  <w:p w14:paraId="555F2804">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61">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334">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CA334">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C4F8">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B905">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AB905">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06CB">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A1A2">
                          <w:pPr>
                            <w:pStyle w:val="4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11A1A2">
                    <w:pPr>
                      <w:pStyle w:val="40"/>
                    </w:pPr>
                    <w:r>
                      <w:fldChar w:fldCharType="begin"/>
                    </w:r>
                    <w:r>
                      <w:instrText xml:space="preserve"> PAGE  \* MERGEFORMAT </w:instrText>
                    </w:r>
                    <w:r>
                      <w:fldChar w:fldCharType="separate"/>
                    </w:r>
                    <w:r>
                      <w:t>40</w:t>
                    </w:r>
                    <w:r>
                      <w:fldChar w:fldCharType="end"/>
                    </w:r>
                  </w:p>
                </w:txbxContent>
              </v:textbox>
            </v:shape>
          </w:pict>
        </mc:Fallback>
      </mc:AlternateContent>
    </w:r>
  </w:p>
  <w:p w14:paraId="65A3F5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855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555">
                          <w:pPr>
                            <w:pStyle w:val="4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ED6555">
                    <w:pPr>
                      <w:pStyle w:val="40"/>
                    </w:pPr>
                    <w:r>
                      <w:fldChar w:fldCharType="begin"/>
                    </w:r>
                    <w:r>
                      <w:instrText xml:space="preserve"> PAGE  \* MERGEFORMAT </w:instrText>
                    </w:r>
                    <w:r>
                      <w:fldChar w:fldCharType="separate"/>
                    </w:r>
                    <w:r>
                      <w:t>39</w:t>
                    </w:r>
                    <w:r>
                      <w:fldChar w:fldCharType="end"/>
                    </w:r>
                  </w:p>
                </w:txbxContent>
              </v:textbox>
            </v:shape>
          </w:pict>
        </mc:Fallback>
      </mc:AlternateContent>
    </w:r>
  </w:p>
  <w:p w14:paraId="4C7388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40"/>
                    </w:pPr>
                    <w:r>
                      <w:fldChar w:fldCharType="begin"/>
                    </w:r>
                    <w:r>
                      <w:instrText xml:space="preserve"> PAGE  \* MERGEFORMAT </w:instrText>
                    </w:r>
                    <w:r>
                      <w:fldChar w:fldCharType="separate"/>
                    </w:r>
                    <w:r>
                      <w:t>52</w:t>
                    </w:r>
                    <w:r>
                      <w:fldChar w:fldCharType="end"/>
                    </w:r>
                  </w:p>
                </w:txbxContent>
              </v:textbox>
            </v:shape>
          </w:pict>
        </mc:Fallback>
      </mc:AlternateContent>
    </w:r>
  </w:p>
  <w:p w14:paraId="766046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40"/>
                    </w:pPr>
                    <w:r>
                      <w:fldChar w:fldCharType="begin"/>
                    </w:r>
                    <w:r>
                      <w:instrText xml:space="preserve"> PAGE  \* MERGEFORMAT </w:instrText>
                    </w:r>
                    <w:r>
                      <w:fldChar w:fldCharType="separate"/>
                    </w:r>
                    <w:r>
                      <w:t>51</w:t>
                    </w:r>
                    <w:r>
                      <w:fldChar w:fldCharType="end"/>
                    </w:r>
                  </w:p>
                </w:txbxContent>
              </v:textbox>
            </v:shape>
          </w:pict>
        </mc:Fallback>
      </mc:AlternateContent>
    </w:r>
  </w:p>
  <w:p w14:paraId="769AF5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1"/>
      <w:pBdr>
        <w:bottom w:val="none" w:color="auto" w:sz="0" w:space="4"/>
      </w:pBdr>
      <w:jc w:val="right"/>
    </w:pPr>
    <w:r>
      <w:t></w:t>
    </w:r>
    <w:r>
      <w:rPr>
        <w:rFonts w:hint="eastAsia"/>
      </w:rPr>
      <w:t xml:space="preserve">            </w:t>
    </w:r>
  </w:p>
  <w:p w14:paraId="6E008076">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8E1">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335">
    <w:pPr>
      <w:pStyle w:val="41"/>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64F0B66">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A1E">
    <w:pPr>
      <w:pStyle w:val="41"/>
      <w:pBdr>
        <w:bottom w:val="none" w:color="auto" w:sz="0" w:space="1"/>
      </w:pBdr>
    </w:pPr>
    <w:r>
      <w:t></w:t>
    </w:r>
    <w:r>
      <w:rPr>
        <w:rFonts w:hint="eastAsia"/>
      </w:rPr>
      <w:t xml:space="preserve">         </w:t>
    </w:r>
  </w:p>
  <w:p w14:paraId="095EB396">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1"/>
      <w:rPr>
        <w:rFonts w:ascii="仿宋_GB2312" w:eastAsia="仿宋_GB2312"/>
        <w:b/>
        <w:i/>
        <w:u w:val="single"/>
      </w:rPr>
    </w:pPr>
    <w:r>
      <w:t></w:t>
    </w:r>
    <w:r>
      <w:rPr>
        <w:rFonts w:hint="eastAsia"/>
      </w:rPr>
      <w:t xml:space="preserve">                                                   </w:t>
    </w:r>
    <w:r>
      <w:t>政府采购公开招标文件</w:t>
    </w:r>
  </w:p>
  <w:p w14:paraId="302AD92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1"/>
      <w:jc w:val="right"/>
    </w:pPr>
    <w:r>
      <w:rPr>
        <w:rFonts w:hint="eastAsia"/>
      </w:rPr>
      <w:t xml:space="preserve">                                  </w:t>
    </w:r>
  </w:p>
  <w:p w14:paraId="22291498">
    <w:pPr>
      <w:pStyle w:val="41"/>
      <w:jc w:val="right"/>
      <w:rPr>
        <w:rFonts w:ascii="仿宋_GB2312" w:eastAsia="仿宋_GB2312"/>
        <w:b/>
        <w:i/>
        <w:u w:val="single"/>
      </w:rPr>
    </w:pPr>
    <w:r>
      <w:t>政府采购公开招标文件</w:t>
    </w:r>
  </w:p>
  <w:p w14:paraId="49A87C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03E">
    <w:pPr>
      <w:pStyle w:val="41"/>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8846DF"/>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3FC12C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9030F5"/>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0212A8"/>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813AF1"/>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F23E8A"/>
    <w:rsid w:val="29F26D24"/>
    <w:rsid w:val="2A15033F"/>
    <w:rsid w:val="2A1662C1"/>
    <w:rsid w:val="2A1C7367"/>
    <w:rsid w:val="2A2815FA"/>
    <w:rsid w:val="2A6D6092"/>
    <w:rsid w:val="2A7D76B4"/>
    <w:rsid w:val="2B021058"/>
    <w:rsid w:val="2B437463"/>
    <w:rsid w:val="2B7807EE"/>
    <w:rsid w:val="2B9B1BD7"/>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693E16"/>
    <w:rsid w:val="319C6071"/>
    <w:rsid w:val="31A744BA"/>
    <w:rsid w:val="31AC537E"/>
    <w:rsid w:val="31D24182"/>
    <w:rsid w:val="31E3679B"/>
    <w:rsid w:val="31E732FD"/>
    <w:rsid w:val="322067D3"/>
    <w:rsid w:val="32517576"/>
    <w:rsid w:val="32BE5C2C"/>
    <w:rsid w:val="32FB6478"/>
    <w:rsid w:val="33260961"/>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E46B2D"/>
    <w:rsid w:val="363A3B40"/>
    <w:rsid w:val="365302AE"/>
    <w:rsid w:val="36607A0A"/>
    <w:rsid w:val="366E227C"/>
    <w:rsid w:val="366F2E0D"/>
    <w:rsid w:val="367B6A5C"/>
    <w:rsid w:val="36A74ADA"/>
    <w:rsid w:val="36AD60D5"/>
    <w:rsid w:val="36AE3E82"/>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02650"/>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11BC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981108"/>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3736EF"/>
    <w:rsid w:val="50962ECB"/>
    <w:rsid w:val="50A42E38"/>
    <w:rsid w:val="50A4577F"/>
    <w:rsid w:val="50B17876"/>
    <w:rsid w:val="50B73D1F"/>
    <w:rsid w:val="50BD5BC9"/>
    <w:rsid w:val="50C11EEE"/>
    <w:rsid w:val="50E97CFC"/>
    <w:rsid w:val="50FA4028"/>
    <w:rsid w:val="510D65B7"/>
    <w:rsid w:val="511157AB"/>
    <w:rsid w:val="5142540C"/>
    <w:rsid w:val="515E4D2F"/>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97158E"/>
    <w:rsid w:val="54013861"/>
    <w:rsid w:val="542E6D86"/>
    <w:rsid w:val="54487265"/>
    <w:rsid w:val="544D6070"/>
    <w:rsid w:val="54605E1E"/>
    <w:rsid w:val="54B3506A"/>
    <w:rsid w:val="54CA0D16"/>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F0140"/>
    <w:rsid w:val="61421856"/>
    <w:rsid w:val="615227C4"/>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BFF487F"/>
    <w:rsid w:val="7C0A0FE4"/>
    <w:rsid w:val="7C254906"/>
    <w:rsid w:val="7C590818"/>
    <w:rsid w:val="7C6D071B"/>
    <w:rsid w:val="7C7C10F6"/>
    <w:rsid w:val="7C8430A7"/>
    <w:rsid w:val="7C853BEA"/>
    <w:rsid w:val="7C881368"/>
    <w:rsid w:val="7CB34BB4"/>
    <w:rsid w:val="7CE27788"/>
    <w:rsid w:val="7D0C32F1"/>
    <w:rsid w:val="7D0F408D"/>
    <w:rsid w:val="7D491C6C"/>
    <w:rsid w:val="7D5429C0"/>
    <w:rsid w:val="7D6E6D43"/>
    <w:rsid w:val="7DB57A34"/>
    <w:rsid w:val="7DE60973"/>
    <w:rsid w:val="7DEA63CB"/>
    <w:rsid w:val="7DEF0916"/>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19966</Words>
  <Characters>21189</Characters>
  <Lines>286</Lines>
  <Paragraphs>80</Paragraphs>
  <TotalTime>4</TotalTime>
  <ScaleCrop>false</ScaleCrop>
  <LinksUpToDate>false</LinksUpToDate>
  <CharactersWithSpaces>21594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2024-03-01T08:45:00Z</cp:lastPrinted>
  <dcterms:modified xsi:type="dcterms:W3CDTF">2025-04-24T02:06:51Z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0C140FEC94844A27B67A261619B64F55_13</vt:lpwstr>
  </property>
  <property fmtid="{D5CDD505-2E9C-101B-9397-08002B2CF9AE}" pid="5" name="KSOTemplateDocerSaveRecord">
    <vt:lpwstr>eyJoZGlkIjoiYmM0MjNjODhlMmFmNWE2MDI2MDM4YTY5MWYzZTZhNTMiLCJ1c2VySWQiOiIyOTYzOTYwNTEifQ==</vt:lpwstr>
  </property>
</Properties>
</file>