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BCA5D">
      <w:pPr>
        <w:shd w:val="clear" w:color="auto" w:fill="auto"/>
        <w:wordWrap/>
        <w:spacing w:after="120"/>
        <w:ind w:left="0" w:leftChars="0"/>
        <w:jc w:val="right"/>
        <w:rPr>
          <w:rFonts w:hint="eastAsia" w:ascii="仿宋" w:hAnsi="仿宋" w:eastAsia="仿宋" w:cs="仿宋"/>
          <w:b/>
          <w:color w:val="auto"/>
          <w:kern w:val="0"/>
          <w:sz w:val="22"/>
          <w:szCs w:val="44"/>
          <w:highlight w:val="none"/>
        </w:rPr>
      </w:pPr>
      <w:bookmarkStart w:id="0" w:name="_Toc10458_WPSOffice_Type1"/>
    </w:p>
    <w:p w14:paraId="71A68AF9">
      <w:pPr>
        <w:shd w:val="clear" w:color="auto" w:fill="auto"/>
        <w:wordWrap w:val="0"/>
        <w:spacing w:after="120"/>
        <w:ind w:left="0" w:leftChars="0"/>
        <w:jc w:val="right"/>
        <w:rPr>
          <w:rFonts w:hint="eastAsia" w:ascii="仿宋" w:hAnsi="仿宋" w:eastAsia="仿宋" w:cs="仿宋"/>
          <w:b/>
          <w:color w:val="auto"/>
          <w:kern w:val="0"/>
          <w:sz w:val="22"/>
          <w:szCs w:val="44"/>
          <w:highlight w:val="none"/>
          <w:lang w:val="en-US" w:eastAsia="zh-CN"/>
        </w:rPr>
      </w:pPr>
      <w:r>
        <w:rPr>
          <w:rFonts w:hint="eastAsia" w:ascii="仿宋" w:hAnsi="仿宋" w:eastAsia="仿宋" w:cs="仿宋"/>
          <w:b/>
          <w:color w:val="auto"/>
          <w:kern w:val="0"/>
          <w:sz w:val="22"/>
          <w:szCs w:val="44"/>
          <w:highlight w:val="none"/>
          <w:lang w:val="en-US" w:eastAsia="zh-CN"/>
        </w:rPr>
        <w:t xml:space="preserve"> </w:t>
      </w:r>
    </w:p>
    <w:p w14:paraId="38364A7A">
      <w:pPr>
        <w:spacing w:line="360" w:lineRule="auto"/>
        <w:jc w:val="center"/>
        <w:rPr>
          <w:rFonts w:hint="eastAsia" w:ascii="Times New Roman" w:hAnsi="Times New Roman" w:eastAsia="仿宋" w:cs="仿宋"/>
          <w:b/>
          <w:color w:val="auto"/>
          <w:sz w:val="72"/>
          <w:highlight w:val="none"/>
          <w:lang w:val="en-US" w:eastAsia="zh-CN"/>
        </w:rPr>
      </w:pPr>
    </w:p>
    <w:p w14:paraId="2C53A5EE">
      <w:pPr>
        <w:pStyle w:val="11"/>
        <w:rPr>
          <w:rFonts w:hint="eastAsia"/>
          <w:color w:val="auto"/>
          <w:highlight w:val="none"/>
          <w:lang w:val="en-US" w:eastAsia="zh-CN"/>
        </w:rPr>
      </w:pPr>
    </w:p>
    <w:p w14:paraId="798C972D">
      <w:pPr>
        <w:spacing w:line="360" w:lineRule="auto"/>
        <w:jc w:val="center"/>
        <w:rPr>
          <w:rFonts w:hint="eastAsia" w:ascii="Times New Roman" w:hAnsi="Times New Roman" w:eastAsia="仿宋" w:cs="仿宋"/>
          <w:b/>
          <w:color w:val="auto"/>
          <w:sz w:val="72"/>
          <w:highlight w:val="none"/>
        </w:rPr>
      </w:pPr>
      <w:r>
        <w:rPr>
          <w:rFonts w:hint="eastAsia" w:ascii="Times New Roman" w:hAnsi="Times New Roman" w:eastAsia="仿宋" w:cs="仿宋"/>
          <w:b/>
          <w:color w:val="auto"/>
          <w:sz w:val="72"/>
          <w:highlight w:val="none"/>
          <w:lang w:val="en-US" w:eastAsia="zh-CN"/>
        </w:rPr>
        <w:t>竞争性磋商</w:t>
      </w:r>
      <w:r>
        <w:rPr>
          <w:rFonts w:hint="eastAsia" w:ascii="Times New Roman" w:hAnsi="Times New Roman" w:eastAsia="仿宋" w:cs="仿宋"/>
          <w:b/>
          <w:color w:val="auto"/>
          <w:sz w:val="72"/>
          <w:highlight w:val="none"/>
        </w:rPr>
        <w:t>文件</w:t>
      </w:r>
    </w:p>
    <w:p w14:paraId="40D777FB">
      <w:pPr>
        <w:spacing w:line="360" w:lineRule="auto"/>
        <w:jc w:val="center"/>
        <w:rPr>
          <w:rFonts w:hint="eastAsia" w:ascii="Times New Roman" w:hAnsi="Times New Roman" w:eastAsia="仿宋" w:cs="仿宋"/>
          <w:b/>
          <w:color w:val="auto"/>
          <w:sz w:val="72"/>
          <w:highlight w:val="none"/>
        </w:rPr>
      </w:pPr>
      <w:r>
        <w:rPr>
          <w:rFonts w:hint="eastAsia" w:ascii="Times New Roman" w:hAnsi="Times New Roman" w:eastAsia="仿宋" w:cs="仿宋"/>
          <w:b/>
          <w:color w:val="auto"/>
          <w:sz w:val="60"/>
          <w:szCs w:val="18"/>
          <w:highlight w:val="none"/>
          <w:lang w:eastAsia="zh-CN"/>
        </w:rPr>
        <w:t>（</w:t>
      </w:r>
      <w:r>
        <w:rPr>
          <w:rFonts w:hint="eastAsia" w:ascii="Times New Roman" w:hAnsi="Times New Roman" w:eastAsia="仿宋" w:cs="仿宋"/>
          <w:b/>
          <w:color w:val="auto"/>
          <w:sz w:val="60"/>
          <w:szCs w:val="18"/>
          <w:highlight w:val="none"/>
          <w:lang w:val="en-US" w:eastAsia="zh-CN"/>
        </w:rPr>
        <w:t>全册）</w:t>
      </w:r>
    </w:p>
    <w:p w14:paraId="3708BAD2">
      <w:pPr>
        <w:rPr>
          <w:rFonts w:hint="eastAsia" w:ascii="Times New Roman" w:hAnsi="Times New Roman" w:eastAsia="仿宋" w:cs="仿宋"/>
          <w:color w:val="auto"/>
          <w:highlight w:val="none"/>
        </w:rPr>
      </w:pPr>
    </w:p>
    <w:p w14:paraId="016C9AEE">
      <w:pPr>
        <w:pStyle w:val="12"/>
        <w:rPr>
          <w:rFonts w:hint="eastAsia" w:ascii="Times New Roman" w:hAnsi="Times New Roman" w:eastAsia="仿宋" w:cs="仿宋"/>
          <w:color w:val="auto"/>
          <w:highlight w:val="none"/>
        </w:rPr>
      </w:pPr>
    </w:p>
    <w:p w14:paraId="1522DEE4">
      <w:pPr>
        <w:rPr>
          <w:rFonts w:hint="eastAsia" w:ascii="Times New Roman" w:hAnsi="Times New Roman" w:eastAsia="仿宋" w:cs="仿宋"/>
          <w:color w:val="auto"/>
          <w:highlight w:val="none"/>
        </w:rPr>
      </w:pPr>
    </w:p>
    <w:p w14:paraId="490065AF">
      <w:pPr>
        <w:rPr>
          <w:rFonts w:hint="eastAsia" w:ascii="Times New Roman" w:hAnsi="Times New Roman" w:eastAsia="仿宋" w:cs="仿宋"/>
          <w:color w:val="auto"/>
          <w:highlight w:val="none"/>
        </w:rPr>
      </w:pPr>
    </w:p>
    <w:p w14:paraId="03B55D0F">
      <w:pPr>
        <w:pStyle w:val="12"/>
        <w:rPr>
          <w:rFonts w:hint="eastAsia" w:ascii="Times New Roman" w:hAnsi="Times New Roman" w:eastAsia="仿宋" w:cs="仿宋"/>
          <w:color w:val="auto"/>
          <w:highlight w:val="none"/>
        </w:rPr>
      </w:pPr>
    </w:p>
    <w:p w14:paraId="64C83D85">
      <w:pPr>
        <w:rPr>
          <w:rFonts w:hint="eastAsia" w:ascii="Times New Roman" w:hAnsi="Times New Roman" w:eastAsia="仿宋"/>
          <w:color w:val="auto"/>
          <w:highlight w:val="none"/>
        </w:rPr>
      </w:pPr>
    </w:p>
    <w:p w14:paraId="2EAE431A">
      <w:pPr>
        <w:pStyle w:val="12"/>
        <w:snapToGrid w:val="0"/>
        <w:spacing w:before="300" w:beforeAutospacing="0" w:after="300" w:afterAutospacing="0" w:line="480" w:lineRule="auto"/>
        <w:ind w:firstLine="534" w:firstLineChars="200"/>
        <w:rPr>
          <w:rFonts w:hint="eastAsia" w:ascii="Times New Roman" w:hAnsi="Times New Roman" w:eastAsia="仿宋" w:cs="仿宋"/>
          <w:b/>
          <w:bCs/>
          <w:color w:val="auto"/>
          <w:w w:val="95"/>
          <w:sz w:val="28"/>
          <w:szCs w:val="28"/>
          <w:highlight w:val="none"/>
          <w:lang w:eastAsia="zh-CN"/>
        </w:rPr>
      </w:pPr>
      <w:r>
        <w:rPr>
          <w:rFonts w:hint="eastAsia" w:ascii="Times New Roman" w:hAnsi="Times New Roman" w:eastAsia="仿宋" w:cs="仿宋"/>
          <w:b/>
          <w:bCs/>
          <w:color w:val="auto"/>
          <w:w w:val="95"/>
          <w:sz w:val="28"/>
          <w:szCs w:val="28"/>
          <w:highlight w:val="none"/>
          <w:lang w:val="en-US" w:eastAsia="zh-CN"/>
        </w:rPr>
        <w:t>项目</w:t>
      </w:r>
      <w:r>
        <w:rPr>
          <w:rFonts w:hint="eastAsia" w:ascii="Times New Roman" w:hAnsi="Times New Roman" w:eastAsia="仿宋" w:cs="仿宋"/>
          <w:b/>
          <w:bCs/>
          <w:color w:val="auto"/>
          <w:w w:val="95"/>
          <w:sz w:val="28"/>
          <w:szCs w:val="28"/>
          <w:highlight w:val="none"/>
        </w:rPr>
        <w:t>编号：NSCG[2025]0142号</w:t>
      </w:r>
    </w:p>
    <w:p w14:paraId="4EBD9E84">
      <w:pPr>
        <w:pStyle w:val="12"/>
        <w:snapToGrid w:val="0"/>
        <w:spacing w:before="300" w:beforeAutospacing="0" w:after="300" w:afterAutospacing="0" w:line="480" w:lineRule="auto"/>
        <w:ind w:firstLine="534" w:firstLineChars="200"/>
        <w:rPr>
          <w:rFonts w:hint="eastAsia" w:ascii="Times New Roman" w:hAnsi="Times New Roman" w:eastAsia="仿宋" w:cs="仿宋"/>
          <w:b/>
          <w:bCs/>
          <w:color w:val="auto"/>
          <w:w w:val="95"/>
          <w:sz w:val="28"/>
          <w:szCs w:val="28"/>
          <w:highlight w:val="none"/>
          <w:lang w:eastAsia="zh-CN"/>
        </w:rPr>
      </w:pPr>
      <w:r>
        <w:rPr>
          <w:rFonts w:hint="eastAsia" w:ascii="Times New Roman" w:hAnsi="Times New Roman" w:eastAsia="仿宋" w:cs="仿宋"/>
          <w:b/>
          <w:bCs/>
          <w:color w:val="auto"/>
          <w:w w:val="95"/>
          <w:sz w:val="28"/>
          <w:szCs w:val="28"/>
          <w:highlight w:val="none"/>
        </w:rPr>
        <w:t>项目名称：</w:t>
      </w:r>
      <w:r>
        <w:rPr>
          <w:rFonts w:hint="eastAsia" w:ascii="Times New Roman" w:hAnsi="Times New Roman" w:eastAsia="仿宋" w:cs="仿宋"/>
          <w:b/>
          <w:bCs/>
          <w:color w:val="auto"/>
          <w:w w:val="95"/>
          <w:sz w:val="28"/>
          <w:szCs w:val="28"/>
          <w:highlight w:val="none"/>
          <w:lang w:val="en-US" w:eastAsia="zh-CN"/>
        </w:rPr>
        <w:t>江北区公路与运输管理中心8小时外路网服务外包项目</w:t>
      </w:r>
    </w:p>
    <w:p w14:paraId="4379F847">
      <w:pPr>
        <w:pStyle w:val="12"/>
        <w:snapToGrid w:val="0"/>
        <w:spacing w:before="300" w:beforeAutospacing="0" w:after="300" w:afterAutospacing="0" w:line="480" w:lineRule="auto"/>
        <w:ind w:firstLine="534" w:firstLineChars="200"/>
        <w:rPr>
          <w:rFonts w:hint="eastAsia" w:ascii="Times New Roman" w:hAnsi="Times New Roman" w:eastAsia="仿宋" w:cs="仿宋"/>
          <w:b/>
          <w:bCs/>
          <w:color w:val="auto"/>
          <w:w w:val="95"/>
          <w:sz w:val="28"/>
          <w:szCs w:val="28"/>
          <w:highlight w:val="none"/>
          <w:lang w:eastAsia="zh-CN"/>
        </w:rPr>
      </w:pPr>
      <w:r>
        <w:rPr>
          <w:rFonts w:hint="eastAsia" w:ascii="Times New Roman" w:hAnsi="Times New Roman" w:eastAsia="仿宋" w:cs="仿宋"/>
          <w:b/>
          <w:bCs/>
          <w:color w:val="auto"/>
          <w:w w:val="95"/>
          <w:sz w:val="28"/>
          <w:szCs w:val="28"/>
          <w:highlight w:val="none"/>
        </w:rPr>
        <w:t>采购</w:t>
      </w:r>
      <w:r>
        <w:rPr>
          <w:rFonts w:hint="eastAsia" w:ascii="Times New Roman" w:hAnsi="Times New Roman" w:eastAsia="仿宋" w:cs="仿宋"/>
          <w:b/>
          <w:bCs/>
          <w:color w:val="auto"/>
          <w:w w:val="95"/>
          <w:sz w:val="28"/>
          <w:szCs w:val="28"/>
          <w:highlight w:val="none"/>
          <w:lang w:val="en-US" w:eastAsia="zh-CN"/>
        </w:rPr>
        <w:t>人</w:t>
      </w:r>
      <w:r>
        <w:rPr>
          <w:rFonts w:hint="eastAsia" w:ascii="Times New Roman" w:hAnsi="Times New Roman" w:eastAsia="仿宋" w:cs="仿宋"/>
          <w:b/>
          <w:bCs/>
          <w:color w:val="auto"/>
          <w:w w:val="95"/>
          <w:sz w:val="28"/>
          <w:szCs w:val="28"/>
          <w:highlight w:val="none"/>
        </w:rPr>
        <w:t>：</w:t>
      </w:r>
      <w:r>
        <w:rPr>
          <w:rFonts w:hint="eastAsia" w:ascii="Times New Roman" w:hAnsi="Times New Roman" w:eastAsia="仿宋" w:cs="仿宋"/>
          <w:b/>
          <w:bCs/>
          <w:color w:val="auto"/>
          <w:w w:val="95"/>
          <w:sz w:val="28"/>
          <w:szCs w:val="28"/>
          <w:highlight w:val="none"/>
          <w:lang w:eastAsia="zh-CN"/>
        </w:rPr>
        <w:t>宁波市江北区公路与运输管理中心</w:t>
      </w:r>
      <w:bookmarkStart w:id="183" w:name="_GoBack"/>
      <w:bookmarkEnd w:id="183"/>
    </w:p>
    <w:p w14:paraId="733587D4">
      <w:pPr>
        <w:pStyle w:val="12"/>
        <w:snapToGrid w:val="0"/>
        <w:spacing w:before="300" w:beforeAutospacing="0" w:after="300" w:afterAutospacing="0" w:line="480" w:lineRule="auto"/>
        <w:ind w:firstLine="534" w:firstLineChars="200"/>
        <w:rPr>
          <w:rFonts w:hint="eastAsia" w:ascii="Times New Roman" w:hAnsi="Times New Roman" w:eastAsia="仿宋" w:cs="仿宋"/>
          <w:b/>
          <w:bCs/>
          <w:color w:val="auto"/>
          <w:w w:val="95"/>
          <w:sz w:val="28"/>
          <w:szCs w:val="28"/>
          <w:highlight w:val="none"/>
        </w:rPr>
      </w:pPr>
      <w:r>
        <w:rPr>
          <w:rFonts w:hint="eastAsia" w:ascii="Times New Roman" w:hAnsi="Times New Roman" w:eastAsia="仿宋" w:cs="仿宋"/>
          <w:b/>
          <w:bCs/>
          <w:color w:val="auto"/>
          <w:w w:val="95"/>
          <w:sz w:val="28"/>
          <w:szCs w:val="28"/>
          <w:highlight w:val="none"/>
        </w:rPr>
        <w:t>采购代理机构：宁波安全三江工程咨询招标代理有限公司</w:t>
      </w:r>
    </w:p>
    <w:p w14:paraId="1F2FB077">
      <w:pPr>
        <w:pStyle w:val="12"/>
        <w:snapToGrid w:val="0"/>
        <w:spacing w:before="300" w:beforeAutospacing="0" w:after="300" w:afterAutospacing="0" w:line="480" w:lineRule="auto"/>
        <w:ind w:firstLine="3739" w:firstLineChars="1400"/>
        <w:jc w:val="both"/>
        <w:rPr>
          <w:rFonts w:hint="eastAsia" w:ascii="Times New Roman" w:hAnsi="Times New Roman" w:eastAsia="仿宋" w:cs="仿宋"/>
          <w:b/>
          <w:bCs/>
          <w:color w:val="auto"/>
          <w:w w:val="95"/>
          <w:sz w:val="32"/>
          <w:szCs w:val="32"/>
          <w:highlight w:val="none"/>
        </w:rPr>
      </w:pPr>
      <w:r>
        <w:rPr>
          <w:rFonts w:hint="eastAsia" w:ascii="Times New Roman" w:hAnsi="Times New Roman" w:eastAsia="仿宋" w:cs="仿宋"/>
          <w:b/>
          <w:bCs/>
          <w:color w:val="auto"/>
          <w:w w:val="95"/>
          <w:sz w:val="28"/>
          <w:szCs w:val="28"/>
          <w:highlight w:val="none"/>
          <w:lang w:val="en-US" w:eastAsia="zh-CN"/>
        </w:rPr>
        <w:t>2025</w:t>
      </w:r>
      <w:r>
        <w:rPr>
          <w:rFonts w:hint="eastAsia" w:ascii="Times New Roman" w:hAnsi="Times New Roman" w:eastAsia="仿宋" w:cs="仿宋"/>
          <w:b/>
          <w:bCs/>
          <w:color w:val="auto"/>
          <w:w w:val="95"/>
          <w:sz w:val="28"/>
          <w:szCs w:val="28"/>
          <w:highlight w:val="none"/>
        </w:rPr>
        <w:t>年</w:t>
      </w:r>
      <w:r>
        <w:rPr>
          <w:rFonts w:hint="eastAsia" w:ascii="Times New Roman" w:hAnsi="Times New Roman" w:eastAsia="仿宋" w:cs="仿宋"/>
          <w:b/>
          <w:bCs/>
          <w:color w:val="auto"/>
          <w:w w:val="95"/>
          <w:sz w:val="28"/>
          <w:szCs w:val="28"/>
          <w:highlight w:val="none"/>
          <w:lang w:val="en-US" w:eastAsia="zh-CN"/>
        </w:rPr>
        <w:t>5</w:t>
      </w:r>
      <w:r>
        <w:rPr>
          <w:rFonts w:hint="eastAsia" w:ascii="Times New Roman" w:hAnsi="Times New Roman" w:eastAsia="仿宋" w:cs="仿宋"/>
          <w:b/>
          <w:bCs/>
          <w:color w:val="auto"/>
          <w:w w:val="95"/>
          <w:sz w:val="28"/>
          <w:szCs w:val="28"/>
          <w:highlight w:val="none"/>
        </w:rPr>
        <w:t>月</w:t>
      </w:r>
    </w:p>
    <w:p w14:paraId="3CEC59C4">
      <w:pPr>
        <w:pStyle w:val="12"/>
        <w:snapToGrid w:val="0"/>
        <w:ind w:firstLine="0" w:firstLineChars="0"/>
        <w:jc w:val="center"/>
        <w:rPr>
          <w:rFonts w:hint="eastAsia" w:eastAsia="宋体"/>
          <w:color w:val="auto"/>
          <w:highlight w:val="none"/>
          <w:lang w:eastAsia="zh-CN"/>
        </w:rPr>
        <w:sectPr>
          <w:headerReference r:id="rId3" w:type="default"/>
          <w:pgSz w:w="11907" w:h="16840"/>
          <w:pgMar w:top="1134" w:right="1474" w:bottom="1134" w:left="1474" w:header="850" w:footer="1134" w:gutter="0"/>
          <w:pgNumType w:start="1"/>
          <w:cols w:space="720" w:num="1"/>
          <w:docGrid w:linePitch="285" w:charSpace="0"/>
        </w:sectPr>
      </w:pPr>
    </w:p>
    <w:p w14:paraId="238469F4">
      <w:pPr>
        <w:pStyle w:val="12"/>
        <w:snapToGrid w:val="0"/>
        <w:ind w:firstLine="0" w:firstLineChars="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14:paraId="3E4280DE">
      <w:pPr>
        <w:pStyle w:val="12"/>
        <w:snapToGrid w:val="0"/>
        <w:spacing w:line="480" w:lineRule="auto"/>
        <w:ind w:firstLine="0" w:firstLineChars="0"/>
        <w:jc w:val="center"/>
        <w:rPr>
          <w:rFonts w:hint="eastAsia" w:ascii="仿宋" w:hAnsi="仿宋" w:eastAsia="仿宋" w:cs="仿宋"/>
          <w:b/>
          <w:bCs/>
          <w:color w:val="auto"/>
          <w:sz w:val="28"/>
          <w:szCs w:val="28"/>
          <w:highlight w:val="none"/>
        </w:rPr>
      </w:pPr>
    </w:p>
    <w:bookmarkEnd w:id="0"/>
    <w:p w14:paraId="2B8029BF">
      <w:pPr>
        <w:pStyle w:val="18"/>
        <w:tabs>
          <w:tab w:val="right" w:leader="dot" w:pos="8959"/>
        </w:tabs>
        <w:spacing w:line="480" w:lineRule="auto"/>
        <w:rPr>
          <w:rFonts w:hint="eastAsia" w:ascii="仿宋" w:hAnsi="仿宋" w:eastAsia="仿宋" w:cs="仿宋"/>
          <w:b/>
          <w:bCs w:val="0"/>
          <w:color w:val="auto"/>
          <w:sz w:val="28"/>
          <w:szCs w:val="28"/>
          <w:highlight w:val="none"/>
          <w:lang w:val="en-US" w:eastAsia="zh-CN"/>
        </w:rPr>
      </w:pPr>
      <w:bookmarkStart w:id="1" w:name="_Toc5146_WPSOffice_Level1"/>
      <w:bookmarkStart w:id="2" w:name="_Toc6280_WPSOffice_Level1"/>
      <w:bookmarkStart w:id="3" w:name="_Toc14037_WPSOffice_Level1"/>
      <w:bookmarkStart w:id="4" w:name="_Toc31291_WPSOffice_Level1"/>
      <w:bookmarkStart w:id="5" w:name="_Toc28522_WPSOffice_Level1"/>
      <w:bookmarkStart w:id="6" w:name="_Toc23270_WPSOffice_Level1"/>
      <w:bookmarkStart w:id="7" w:name="_Toc14898_WPSOffice_Level1"/>
      <w:bookmarkStart w:id="8" w:name="_Toc1480_WPSOffice_Level1"/>
      <w:bookmarkStart w:id="9" w:name="_Toc500502069"/>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TOC \o "1-3" \h \u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 HYPERLINK \l _Toc28544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t>第一部分  采购公告</w:t>
      </w:r>
      <w:r>
        <w:rPr>
          <w:rFonts w:hint="eastAsia" w:ascii="仿宋" w:hAnsi="仿宋" w:eastAsia="仿宋" w:cs="仿宋"/>
          <w:b/>
          <w:bCs w:val="0"/>
          <w:color w:val="auto"/>
          <w:sz w:val="28"/>
          <w:szCs w:val="28"/>
          <w:highlight w:val="none"/>
          <w:lang w:val="en-US" w:eastAsia="zh-CN"/>
        </w:rPr>
        <w:tab/>
      </w:r>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 PAGEREF _Toc28544 \h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lang w:val="en-US" w:eastAsia="zh-CN"/>
        </w:rPr>
        <w:fldChar w:fldCharType="end"/>
      </w:r>
      <w:r>
        <w:rPr>
          <w:rFonts w:hint="eastAsia" w:ascii="仿宋" w:hAnsi="仿宋" w:eastAsia="仿宋" w:cs="仿宋"/>
          <w:b/>
          <w:bCs w:val="0"/>
          <w:color w:val="auto"/>
          <w:sz w:val="28"/>
          <w:szCs w:val="28"/>
          <w:highlight w:val="none"/>
          <w:lang w:val="en-US" w:eastAsia="zh-CN"/>
        </w:rPr>
        <w:fldChar w:fldCharType="end"/>
      </w:r>
    </w:p>
    <w:p w14:paraId="46102EAF">
      <w:pPr>
        <w:pStyle w:val="18"/>
        <w:tabs>
          <w:tab w:val="right" w:leader="dot" w:pos="8959"/>
        </w:tabs>
        <w:spacing w:line="48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 HYPERLINK \l _Toc14631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t>第二部分  采购内容及要求</w:t>
      </w:r>
      <w:r>
        <w:rPr>
          <w:rFonts w:hint="eastAsia" w:ascii="仿宋" w:hAnsi="仿宋" w:eastAsia="仿宋" w:cs="仿宋"/>
          <w:b/>
          <w:bCs w:val="0"/>
          <w:color w:val="auto"/>
          <w:sz w:val="28"/>
          <w:szCs w:val="28"/>
          <w:highlight w:val="none"/>
          <w:lang w:val="en-US" w:eastAsia="zh-CN"/>
        </w:rPr>
        <w:tab/>
      </w:r>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 PAGEREF _Toc14631 \h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t>3</w:t>
      </w:r>
      <w:r>
        <w:rPr>
          <w:rFonts w:hint="eastAsia" w:ascii="仿宋" w:hAnsi="仿宋" w:eastAsia="仿宋" w:cs="仿宋"/>
          <w:b/>
          <w:bCs w:val="0"/>
          <w:color w:val="auto"/>
          <w:sz w:val="28"/>
          <w:szCs w:val="28"/>
          <w:highlight w:val="none"/>
          <w:lang w:val="en-US" w:eastAsia="zh-CN"/>
        </w:rPr>
        <w:fldChar w:fldCharType="end"/>
      </w:r>
      <w:r>
        <w:rPr>
          <w:rFonts w:hint="eastAsia" w:ascii="仿宋" w:hAnsi="仿宋" w:eastAsia="仿宋" w:cs="仿宋"/>
          <w:b/>
          <w:bCs w:val="0"/>
          <w:color w:val="auto"/>
          <w:sz w:val="28"/>
          <w:szCs w:val="28"/>
          <w:highlight w:val="none"/>
          <w:lang w:val="en-US" w:eastAsia="zh-CN"/>
        </w:rPr>
        <w:fldChar w:fldCharType="end"/>
      </w:r>
    </w:p>
    <w:p w14:paraId="1EB43B59">
      <w:pPr>
        <w:pStyle w:val="18"/>
        <w:tabs>
          <w:tab w:val="right" w:leader="dot" w:pos="8959"/>
        </w:tabs>
        <w:spacing w:line="48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 HYPERLINK \l _Toc4379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t>第三部分  竞争性磋商须知</w:t>
      </w:r>
      <w:r>
        <w:rPr>
          <w:rFonts w:hint="eastAsia" w:ascii="仿宋" w:hAnsi="仿宋" w:eastAsia="仿宋" w:cs="仿宋"/>
          <w:b/>
          <w:bCs w:val="0"/>
          <w:color w:val="auto"/>
          <w:sz w:val="28"/>
          <w:szCs w:val="28"/>
          <w:highlight w:val="none"/>
          <w:lang w:val="en-US" w:eastAsia="zh-CN"/>
        </w:rPr>
        <w:tab/>
      </w:r>
      <w:r>
        <w:rPr>
          <w:rFonts w:hint="eastAsia" w:ascii="仿宋" w:hAnsi="仿宋" w:eastAsia="仿宋" w:cs="仿宋"/>
          <w:b/>
          <w:bCs w:val="0"/>
          <w:color w:val="auto"/>
          <w:sz w:val="28"/>
          <w:szCs w:val="28"/>
          <w:highlight w:val="none"/>
          <w:lang w:val="en-US" w:eastAsia="zh-CN"/>
        </w:rPr>
        <w:t>7</w:t>
      </w:r>
      <w:r>
        <w:rPr>
          <w:rFonts w:hint="eastAsia" w:ascii="仿宋" w:hAnsi="仿宋" w:eastAsia="仿宋" w:cs="仿宋"/>
          <w:b/>
          <w:bCs w:val="0"/>
          <w:color w:val="auto"/>
          <w:sz w:val="28"/>
          <w:szCs w:val="28"/>
          <w:highlight w:val="none"/>
          <w:lang w:val="en-US" w:eastAsia="zh-CN"/>
        </w:rPr>
        <w:fldChar w:fldCharType="end"/>
      </w:r>
    </w:p>
    <w:p w14:paraId="7C760382">
      <w:pPr>
        <w:pStyle w:val="18"/>
        <w:tabs>
          <w:tab w:val="right" w:leader="dot" w:pos="8959"/>
        </w:tabs>
        <w:spacing w:line="48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 HYPERLINK \l _Toc693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t>第四部分  评定成交的标准</w:t>
      </w:r>
      <w:r>
        <w:rPr>
          <w:rFonts w:hint="eastAsia" w:ascii="仿宋" w:hAnsi="仿宋" w:eastAsia="仿宋" w:cs="仿宋"/>
          <w:b/>
          <w:bCs w:val="0"/>
          <w:color w:val="auto"/>
          <w:sz w:val="28"/>
          <w:szCs w:val="28"/>
          <w:highlight w:val="none"/>
          <w:lang w:val="en-US" w:eastAsia="zh-CN"/>
        </w:rPr>
        <w:tab/>
      </w:r>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 PAGEREF _Toc693 \h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t>16</w:t>
      </w:r>
      <w:r>
        <w:rPr>
          <w:rFonts w:hint="eastAsia" w:ascii="仿宋" w:hAnsi="仿宋" w:eastAsia="仿宋" w:cs="仿宋"/>
          <w:b/>
          <w:bCs w:val="0"/>
          <w:color w:val="auto"/>
          <w:sz w:val="28"/>
          <w:szCs w:val="28"/>
          <w:highlight w:val="none"/>
          <w:lang w:val="en-US" w:eastAsia="zh-CN"/>
        </w:rPr>
        <w:fldChar w:fldCharType="end"/>
      </w:r>
      <w:r>
        <w:rPr>
          <w:rFonts w:hint="eastAsia" w:ascii="仿宋" w:hAnsi="仿宋" w:eastAsia="仿宋" w:cs="仿宋"/>
          <w:b/>
          <w:bCs w:val="0"/>
          <w:color w:val="auto"/>
          <w:sz w:val="28"/>
          <w:szCs w:val="28"/>
          <w:highlight w:val="none"/>
          <w:lang w:val="en-US" w:eastAsia="zh-CN"/>
        </w:rPr>
        <w:fldChar w:fldCharType="end"/>
      </w:r>
    </w:p>
    <w:p w14:paraId="124F457B">
      <w:pPr>
        <w:pStyle w:val="18"/>
        <w:tabs>
          <w:tab w:val="right" w:leader="dot" w:pos="8959"/>
        </w:tabs>
        <w:spacing w:line="480" w:lineRule="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 HYPERLINK \l _Toc14578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t>第五部分  合同条款和格式</w:t>
      </w:r>
      <w:r>
        <w:rPr>
          <w:rFonts w:hint="eastAsia" w:ascii="仿宋" w:hAnsi="仿宋" w:eastAsia="仿宋" w:cs="仿宋"/>
          <w:b/>
          <w:bCs w:val="0"/>
          <w:color w:val="auto"/>
          <w:sz w:val="28"/>
          <w:szCs w:val="28"/>
          <w:highlight w:val="none"/>
          <w:lang w:val="en-US" w:eastAsia="zh-CN"/>
        </w:rPr>
        <w:tab/>
      </w:r>
      <w:r>
        <w:rPr>
          <w:rFonts w:hint="eastAsia" w:ascii="仿宋" w:hAnsi="仿宋" w:eastAsia="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lang w:val="en-US" w:eastAsia="zh-CN"/>
        </w:rPr>
        <w:fldChar w:fldCharType="end"/>
      </w:r>
      <w:r>
        <w:rPr>
          <w:rFonts w:hint="eastAsia" w:ascii="仿宋" w:hAnsi="仿宋" w:eastAsia="仿宋" w:cs="仿宋"/>
          <w:b/>
          <w:bCs w:val="0"/>
          <w:color w:val="auto"/>
          <w:sz w:val="28"/>
          <w:szCs w:val="28"/>
          <w:highlight w:val="none"/>
          <w:lang w:val="en-US" w:eastAsia="zh-CN"/>
        </w:rPr>
        <w:t>1</w:t>
      </w:r>
    </w:p>
    <w:p w14:paraId="5943BFEC">
      <w:pPr>
        <w:pStyle w:val="18"/>
        <w:tabs>
          <w:tab w:val="right" w:leader="dot" w:pos="8959"/>
        </w:tabs>
        <w:spacing w:line="480" w:lineRule="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fldChar w:fldCharType="begin"/>
      </w:r>
      <w:r>
        <w:rPr>
          <w:rFonts w:hint="eastAsia" w:ascii="仿宋" w:hAnsi="仿宋" w:eastAsia="仿宋" w:cs="仿宋"/>
          <w:b/>
          <w:bCs w:val="0"/>
          <w:color w:val="auto"/>
          <w:sz w:val="28"/>
          <w:szCs w:val="28"/>
          <w:highlight w:val="none"/>
          <w:lang w:val="en-US" w:eastAsia="zh-CN"/>
        </w:rPr>
        <w:instrText xml:space="preserve"> HYPERLINK \l _Toc20172 </w:instrText>
      </w:r>
      <w:r>
        <w:rPr>
          <w:rFonts w:hint="eastAsia" w:ascii="仿宋" w:hAnsi="仿宋" w:eastAsia="仿宋" w:cs="仿宋"/>
          <w:b/>
          <w:bCs w:val="0"/>
          <w:color w:val="auto"/>
          <w:sz w:val="28"/>
          <w:szCs w:val="28"/>
          <w:highlight w:val="none"/>
          <w:lang w:val="en-US" w:eastAsia="zh-CN"/>
        </w:rPr>
        <w:fldChar w:fldCharType="separate"/>
      </w:r>
      <w:r>
        <w:rPr>
          <w:rFonts w:hint="eastAsia" w:ascii="仿宋" w:hAnsi="仿宋" w:eastAsia="仿宋" w:cs="仿宋"/>
          <w:b/>
          <w:bCs w:val="0"/>
          <w:color w:val="auto"/>
          <w:sz w:val="28"/>
          <w:szCs w:val="28"/>
          <w:highlight w:val="none"/>
          <w:lang w:val="en-US" w:eastAsia="zh-CN"/>
        </w:rPr>
        <w:t>第六部分  附件（格式）</w:t>
      </w:r>
      <w:r>
        <w:rPr>
          <w:rFonts w:hint="eastAsia" w:ascii="仿宋" w:hAnsi="仿宋" w:eastAsia="仿宋" w:cs="仿宋"/>
          <w:b/>
          <w:bCs w:val="0"/>
          <w:color w:val="auto"/>
          <w:sz w:val="28"/>
          <w:szCs w:val="28"/>
          <w:highlight w:val="none"/>
          <w:lang w:val="en-US" w:eastAsia="zh-CN"/>
        </w:rPr>
        <w:tab/>
      </w:r>
      <w:r>
        <w:rPr>
          <w:rFonts w:hint="eastAsia" w:ascii="仿宋" w:hAnsi="仿宋" w:eastAsia="仿宋" w:cs="仿宋"/>
          <w:b/>
          <w:bCs w:val="0"/>
          <w:color w:val="auto"/>
          <w:sz w:val="28"/>
          <w:szCs w:val="28"/>
          <w:highlight w:val="none"/>
          <w:lang w:val="en-US" w:eastAsia="zh-CN"/>
        </w:rPr>
        <w:t>2</w:t>
      </w:r>
      <w:r>
        <w:rPr>
          <w:rFonts w:hint="eastAsia" w:ascii="仿宋" w:hAnsi="仿宋" w:eastAsia="仿宋" w:cs="仿宋"/>
          <w:b/>
          <w:bCs w:val="0"/>
          <w:color w:val="auto"/>
          <w:sz w:val="28"/>
          <w:szCs w:val="28"/>
          <w:highlight w:val="none"/>
          <w:lang w:val="en-US" w:eastAsia="zh-CN"/>
        </w:rPr>
        <w:fldChar w:fldCharType="end"/>
      </w:r>
      <w:r>
        <w:rPr>
          <w:rFonts w:hint="eastAsia" w:ascii="仿宋" w:hAnsi="仿宋" w:eastAsia="仿宋" w:cs="仿宋"/>
          <w:b/>
          <w:bCs w:val="0"/>
          <w:color w:val="auto"/>
          <w:sz w:val="28"/>
          <w:szCs w:val="28"/>
          <w:highlight w:val="none"/>
          <w:lang w:val="en-US" w:eastAsia="zh-CN"/>
        </w:rPr>
        <w:t>3</w:t>
      </w:r>
    </w:p>
    <w:p w14:paraId="07545654">
      <w:pPr>
        <w:pStyle w:val="18"/>
        <w:tabs>
          <w:tab w:val="right" w:leader="dot" w:pos="8959"/>
        </w:tabs>
        <w:spacing w:line="480" w:lineRule="auto"/>
        <w:rPr>
          <w:rFonts w:ascii="宋体" w:hAnsi="宋体" w:cs="宋体"/>
          <w:color w:val="auto"/>
          <w:sz w:val="30"/>
          <w:szCs w:val="30"/>
          <w:highlight w:val="none"/>
        </w:rPr>
        <w:sectPr>
          <w:pgSz w:w="11907" w:h="16840"/>
          <w:pgMar w:top="1134" w:right="1474" w:bottom="1134" w:left="1474" w:header="1134" w:footer="1134" w:gutter="0"/>
          <w:pgNumType w:start="1"/>
          <w:cols w:space="720" w:num="1"/>
          <w:docGrid w:linePitch="285" w:charSpace="0"/>
        </w:sectPr>
      </w:pPr>
      <w:r>
        <w:rPr>
          <w:rFonts w:hint="eastAsia" w:ascii="仿宋" w:hAnsi="仿宋" w:eastAsia="仿宋" w:cs="仿宋"/>
          <w:b/>
          <w:bCs w:val="0"/>
          <w:color w:val="auto"/>
          <w:sz w:val="28"/>
          <w:szCs w:val="28"/>
          <w:highlight w:val="none"/>
          <w:lang w:val="en-US" w:eastAsia="zh-CN"/>
        </w:rPr>
        <w:fldChar w:fldCharType="end"/>
      </w:r>
    </w:p>
    <w:p w14:paraId="2EA2DD1A">
      <w:pPr>
        <w:spacing w:line="480" w:lineRule="auto"/>
        <w:jc w:val="center"/>
        <w:rPr>
          <w:rFonts w:hint="eastAsia" w:ascii="仿宋" w:hAnsi="仿宋" w:eastAsia="仿宋" w:cs="仿宋"/>
          <w:b w:val="0"/>
          <w:color w:val="auto"/>
          <w:sz w:val="28"/>
          <w:szCs w:val="28"/>
          <w:highlight w:val="none"/>
        </w:rPr>
      </w:pPr>
      <w:bookmarkStart w:id="10" w:name="_Toc28544"/>
      <w:r>
        <w:rPr>
          <w:rStyle w:val="61"/>
          <w:rFonts w:hint="eastAsia" w:ascii="仿宋" w:hAnsi="仿宋" w:eastAsia="仿宋" w:cs="仿宋"/>
          <w:b/>
          <w:bCs/>
          <w:color w:val="auto"/>
          <w:sz w:val="28"/>
          <w:szCs w:val="28"/>
          <w:highlight w:val="none"/>
        </w:rPr>
        <w:t xml:space="preserve">第一部分  </w:t>
      </w:r>
      <w:r>
        <w:rPr>
          <w:rStyle w:val="61"/>
          <w:rFonts w:hint="eastAsia" w:ascii="仿宋" w:hAnsi="仿宋" w:eastAsia="仿宋" w:cs="仿宋"/>
          <w:b/>
          <w:bCs w:val="0"/>
          <w:color w:val="auto"/>
          <w:sz w:val="28"/>
          <w:szCs w:val="28"/>
          <w:highlight w:val="none"/>
        </w:rPr>
        <w:t>采购公告</w:t>
      </w:r>
      <w:bookmarkEnd w:id="10"/>
    </w:p>
    <w:p w14:paraId="390EAC1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宁波安全三江工程咨询招标代理有限公司</w:t>
      </w:r>
      <w:r>
        <w:rPr>
          <w:rFonts w:hint="eastAsia" w:ascii="仿宋" w:hAnsi="仿宋" w:eastAsia="仿宋" w:cs="仿宋"/>
          <w:color w:val="auto"/>
          <w:szCs w:val="21"/>
          <w:highlight w:val="none"/>
        </w:rPr>
        <w:t>受</w:t>
      </w:r>
      <w:r>
        <w:rPr>
          <w:rFonts w:hint="eastAsia" w:ascii="仿宋" w:hAnsi="仿宋" w:eastAsia="仿宋" w:cs="仿宋"/>
          <w:color w:val="auto"/>
          <w:szCs w:val="21"/>
          <w:highlight w:val="none"/>
          <w:u w:val="single"/>
          <w:lang w:eastAsia="zh-CN"/>
        </w:rPr>
        <w:t>宁波市江北区公路与运输管理中心</w:t>
      </w:r>
      <w:r>
        <w:rPr>
          <w:rFonts w:hint="eastAsia" w:ascii="仿宋" w:hAnsi="仿宋" w:eastAsia="仿宋" w:cs="仿宋"/>
          <w:color w:val="auto"/>
          <w:szCs w:val="21"/>
          <w:highlight w:val="none"/>
        </w:rPr>
        <w:t>委托，就</w:t>
      </w:r>
      <w:r>
        <w:rPr>
          <w:rFonts w:hint="eastAsia" w:ascii="仿宋" w:hAnsi="仿宋" w:eastAsia="仿宋" w:cs="仿宋"/>
          <w:color w:val="auto"/>
          <w:szCs w:val="21"/>
          <w:highlight w:val="none"/>
          <w:u w:val="single"/>
          <w:lang w:eastAsia="zh-CN"/>
        </w:rPr>
        <w:t>江北区公路与运输管理中心8小时外路网服务外包项目</w:t>
      </w:r>
      <w:r>
        <w:rPr>
          <w:rFonts w:hint="eastAsia" w:ascii="仿宋" w:hAnsi="仿宋" w:eastAsia="仿宋" w:cs="仿宋"/>
          <w:color w:val="auto"/>
          <w:szCs w:val="21"/>
          <w:highlight w:val="none"/>
        </w:rPr>
        <w:t>进行竞争性磋商采购，现邀请合格供应商参加响应报价。</w:t>
      </w:r>
    </w:p>
    <w:p w14:paraId="2253E63E">
      <w:pPr>
        <w:spacing w:line="360" w:lineRule="auto"/>
        <w:ind w:firstLine="422" w:firstLineChars="200"/>
        <w:rPr>
          <w:rFonts w:hint="eastAsia" w:ascii="仿宋" w:hAnsi="仿宋" w:eastAsia="仿宋" w:cs="仿宋"/>
          <w:color w:val="auto"/>
          <w:szCs w:val="21"/>
          <w:highlight w:val="none"/>
          <w:lang w:val="en-US"/>
        </w:rPr>
      </w:pPr>
      <w:r>
        <w:rPr>
          <w:rFonts w:hint="eastAsia" w:ascii="仿宋" w:hAnsi="仿宋" w:eastAsia="仿宋" w:cs="仿宋"/>
          <w:b/>
          <w:bCs/>
          <w:color w:val="auto"/>
          <w:kern w:val="2"/>
          <w:sz w:val="21"/>
          <w:szCs w:val="21"/>
          <w:highlight w:val="none"/>
          <w:lang w:val="en-US" w:eastAsia="zh-CN" w:bidi="ar-SA"/>
        </w:rPr>
        <w:t>一、</w:t>
      </w:r>
      <w:r>
        <w:rPr>
          <w:rFonts w:hint="eastAsia" w:ascii="仿宋" w:hAnsi="仿宋" w:eastAsia="仿宋" w:cs="仿宋"/>
          <w:b/>
          <w:bCs/>
          <w:color w:val="auto"/>
          <w:szCs w:val="21"/>
          <w:highlight w:val="none"/>
        </w:rPr>
        <w:t>项目</w:t>
      </w:r>
      <w:r>
        <w:rPr>
          <w:rFonts w:hint="eastAsia" w:ascii="仿宋" w:hAnsi="仿宋" w:eastAsia="仿宋" w:cs="仿宋"/>
          <w:b/>
          <w:bCs/>
          <w:color w:val="auto"/>
          <w:szCs w:val="21"/>
          <w:highlight w:val="none"/>
          <w:lang w:eastAsia="zh-CN"/>
        </w:rPr>
        <w:t>编号</w:t>
      </w:r>
      <w:r>
        <w:rPr>
          <w:rFonts w:hint="eastAsia" w:ascii="仿宋" w:hAnsi="仿宋" w:eastAsia="仿宋" w:cs="仿宋"/>
          <w:b/>
          <w:bCs/>
          <w:color w:val="auto"/>
          <w:szCs w:val="21"/>
          <w:highlight w:val="none"/>
        </w:rPr>
        <w:t>：</w:t>
      </w:r>
    </w:p>
    <w:p w14:paraId="2FE9C329">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二、项目概况：</w:t>
      </w:r>
    </w:p>
    <w:tbl>
      <w:tblPr>
        <w:tblStyle w:val="25"/>
        <w:tblW w:w="907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154"/>
        <w:gridCol w:w="2194"/>
        <w:gridCol w:w="2410"/>
        <w:gridCol w:w="3313"/>
      </w:tblGrid>
      <w:tr w14:paraId="3CC198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jc w:val="center"/>
        </w:trPr>
        <w:tc>
          <w:tcPr>
            <w:tcW w:w="636" w:type="pct"/>
            <w:tcBorders>
              <w:bottom w:val="single" w:color="auto" w:sz="4" w:space="0"/>
              <w:right w:val="single" w:color="auto" w:sz="4" w:space="0"/>
            </w:tcBorders>
            <w:tcMar>
              <w:top w:w="15" w:type="dxa"/>
              <w:left w:w="15" w:type="dxa"/>
              <w:right w:w="15" w:type="dxa"/>
            </w:tcMar>
            <w:vAlign w:val="center"/>
          </w:tcPr>
          <w:p w14:paraId="09482F97">
            <w:pPr>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子包号</w:t>
            </w:r>
          </w:p>
        </w:tc>
        <w:tc>
          <w:tcPr>
            <w:tcW w:w="1209" w:type="pct"/>
            <w:tcBorders>
              <w:left w:val="single" w:color="auto" w:sz="4" w:space="0"/>
              <w:bottom w:val="single" w:color="auto" w:sz="4" w:space="0"/>
              <w:right w:val="single" w:color="auto" w:sz="4" w:space="0"/>
            </w:tcBorders>
            <w:tcMar>
              <w:top w:w="15" w:type="dxa"/>
              <w:left w:w="15" w:type="dxa"/>
              <w:right w:w="15" w:type="dxa"/>
            </w:tcMar>
            <w:vAlign w:val="center"/>
          </w:tcPr>
          <w:p w14:paraId="4D63159D">
            <w:pPr>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服务内容</w:t>
            </w:r>
          </w:p>
        </w:tc>
        <w:tc>
          <w:tcPr>
            <w:tcW w:w="1328" w:type="pct"/>
            <w:tcBorders>
              <w:left w:val="single" w:color="auto" w:sz="4" w:space="0"/>
              <w:bottom w:val="single" w:color="auto" w:sz="4" w:space="0"/>
              <w:right w:val="single" w:color="auto" w:sz="4" w:space="0"/>
            </w:tcBorders>
            <w:tcMar>
              <w:top w:w="15" w:type="dxa"/>
              <w:left w:w="15" w:type="dxa"/>
              <w:right w:w="15" w:type="dxa"/>
            </w:tcMar>
            <w:vAlign w:val="center"/>
          </w:tcPr>
          <w:p w14:paraId="53D6B5B9">
            <w:pPr>
              <w:widowControl/>
              <w:snapToGrid w:val="0"/>
              <w:spacing w:line="240" w:lineRule="auto"/>
              <w:jc w:val="center"/>
              <w:textAlignment w:val="center"/>
              <w:rPr>
                <w:rFonts w:hint="eastAsia" w:ascii="仿宋" w:hAnsi="仿宋" w:eastAsia="仿宋" w:cs="仿宋"/>
                <w:color w:val="auto"/>
                <w:szCs w:val="21"/>
                <w:highlight w:val="none"/>
                <w:lang w:eastAsia="zh-CN"/>
              </w:rPr>
            </w:pPr>
            <w:r>
              <w:rPr>
                <w:rFonts w:hint="eastAsia" w:ascii="仿宋" w:hAnsi="仿宋" w:eastAsia="仿宋" w:cs="仿宋"/>
                <w:bCs/>
                <w:color w:val="auto"/>
                <w:kern w:val="0"/>
                <w:szCs w:val="21"/>
                <w:highlight w:val="none"/>
              </w:rPr>
              <w:t>预算金额</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最高限价</w:t>
            </w:r>
            <w:r>
              <w:rPr>
                <w:rFonts w:hint="eastAsia" w:ascii="仿宋" w:hAnsi="仿宋" w:eastAsia="仿宋" w:cs="仿宋"/>
                <w:bCs/>
                <w:color w:val="auto"/>
                <w:kern w:val="0"/>
                <w:szCs w:val="21"/>
                <w:highlight w:val="none"/>
                <w:lang w:eastAsia="zh-CN"/>
              </w:rPr>
              <w:t>）</w:t>
            </w:r>
          </w:p>
        </w:tc>
        <w:tc>
          <w:tcPr>
            <w:tcW w:w="1825" w:type="pct"/>
            <w:tcBorders>
              <w:left w:val="single" w:color="auto" w:sz="4" w:space="0"/>
              <w:bottom w:val="single" w:color="auto" w:sz="4" w:space="0"/>
              <w:right w:val="single" w:color="auto" w:sz="4" w:space="0"/>
            </w:tcBorders>
            <w:tcMar>
              <w:top w:w="15" w:type="dxa"/>
              <w:left w:w="15" w:type="dxa"/>
              <w:right w:w="15" w:type="dxa"/>
            </w:tcMar>
            <w:vAlign w:val="center"/>
          </w:tcPr>
          <w:p w14:paraId="635E98E4">
            <w:pPr>
              <w:snapToGrid w:val="0"/>
              <w:spacing w:line="240" w:lineRule="auto"/>
              <w:jc w:val="center"/>
              <w:rPr>
                <w:rFonts w:hint="eastAsia" w:ascii="仿宋" w:hAnsi="仿宋" w:eastAsia="仿宋" w:cs="仿宋"/>
                <w:bCs/>
                <w:color w:val="auto"/>
                <w:kern w:val="0"/>
                <w:szCs w:val="21"/>
                <w:highlight w:val="none"/>
              </w:rPr>
            </w:pPr>
            <w:r>
              <w:rPr>
                <w:rFonts w:hint="eastAsia" w:ascii="仿宋" w:hAnsi="仿宋" w:eastAsia="仿宋" w:cs="仿宋"/>
                <w:color w:val="auto"/>
                <w:szCs w:val="21"/>
                <w:highlight w:val="none"/>
              </w:rPr>
              <w:t>服务期限</w:t>
            </w:r>
          </w:p>
        </w:tc>
      </w:tr>
      <w:tr w14:paraId="153335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jc w:val="center"/>
        </w:trPr>
        <w:tc>
          <w:tcPr>
            <w:tcW w:w="63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12AD60">
            <w:pPr>
              <w:snapToGrid w:val="0"/>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w:t>
            </w:r>
          </w:p>
        </w:tc>
        <w:tc>
          <w:tcPr>
            <w:tcW w:w="1209"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87EB85">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江北区公路与运输管理中心8小时外路网服务外包项目</w:t>
            </w:r>
          </w:p>
        </w:tc>
        <w:tc>
          <w:tcPr>
            <w:tcW w:w="1328"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F6BB172">
            <w:pPr>
              <w:spacing w:line="36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200000元</w:t>
            </w:r>
          </w:p>
        </w:tc>
        <w:tc>
          <w:tcPr>
            <w:tcW w:w="1825"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2778D7A">
            <w:pPr>
              <w:spacing w:line="36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自合同签订之日起一年</w:t>
            </w:r>
          </w:p>
        </w:tc>
      </w:tr>
    </w:tbl>
    <w:p w14:paraId="29DC467A">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三</w:t>
      </w:r>
      <w:r>
        <w:rPr>
          <w:rFonts w:hint="eastAsia" w:ascii="仿宋" w:hAnsi="仿宋" w:eastAsia="仿宋" w:cs="仿宋"/>
          <w:b/>
          <w:bCs/>
          <w:color w:val="auto"/>
          <w:szCs w:val="21"/>
          <w:highlight w:val="none"/>
        </w:rPr>
        <w:t>、供应商资格要求：</w:t>
      </w:r>
    </w:p>
    <w:p w14:paraId="784BF308">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w:t>
      </w:r>
      <w:r>
        <w:rPr>
          <w:rFonts w:hint="eastAsia" w:ascii="仿宋" w:hAnsi="仿宋" w:eastAsia="仿宋" w:cs="仿宋"/>
          <w:color w:val="auto"/>
          <w:kern w:val="58"/>
          <w:szCs w:val="21"/>
          <w:highlight w:val="none"/>
        </w:rPr>
        <w:t>供应商应具有独立承担民事责任的能力</w:t>
      </w:r>
      <w:r>
        <w:rPr>
          <w:rFonts w:hint="eastAsia" w:ascii="仿宋" w:hAnsi="仿宋" w:eastAsia="仿宋" w:cs="仿宋"/>
          <w:color w:val="auto"/>
          <w:kern w:val="58"/>
          <w:szCs w:val="21"/>
          <w:highlight w:val="none"/>
          <w:lang w:eastAsia="zh-CN"/>
        </w:rPr>
        <w:t>，在人员、设备、资金等方面有完成本项目的能力。</w:t>
      </w:r>
    </w:p>
    <w:p w14:paraId="0BAFB27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2、供应商不得为失信被执行人。采购人（代理机构）将对响应供应商失信信息进行查询（具体以磋商当天“信用中国”网站</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"http://www.creditchina.gov.cn/" </w:instrText>
      </w:r>
      <w:r>
        <w:rPr>
          <w:rFonts w:hint="eastAsia" w:ascii="仿宋" w:hAnsi="仿宋" w:eastAsia="仿宋" w:cs="仿宋"/>
          <w:color w:val="auto"/>
          <w:szCs w:val="21"/>
          <w:highlight w:val="none"/>
        </w:rPr>
        <w:fldChar w:fldCharType="separate"/>
      </w:r>
      <w:r>
        <w:rPr>
          <w:rStyle w:val="30"/>
          <w:rFonts w:hint="eastAsia" w:ascii="仿宋" w:hAnsi="仿宋" w:eastAsia="仿宋" w:cs="仿宋"/>
          <w:color w:val="auto"/>
          <w:szCs w:val="21"/>
          <w:highlight w:val="none"/>
        </w:rPr>
        <w:t>www.creditchina.gov.cn</w:t>
      </w:r>
      <w:r>
        <w:rPr>
          <w:rStyle w:val="30"/>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查询为准），若为失信被执行人，磋商小组将否决其报价。若在磋商开始当天因不可抗力事件导致无法查询且一时无法恢复查询的，可在成交结果公示期间对成交候选人进行事后查询，若成交候选人为失信被执行人的，采购人将依法取消其成交资格。</w:t>
      </w:r>
    </w:p>
    <w:p w14:paraId="0577ACB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3、不接受联合体磋商响应报价。</w:t>
      </w:r>
    </w:p>
    <w:p w14:paraId="485D150A">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四、</w:t>
      </w:r>
      <w:r>
        <w:rPr>
          <w:rFonts w:hint="eastAsia" w:ascii="仿宋" w:hAnsi="仿宋" w:eastAsia="仿宋" w:cs="仿宋"/>
          <w:b/>
          <w:bCs/>
          <w:color w:val="auto"/>
          <w:szCs w:val="21"/>
          <w:highlight w:val="none"/>
          <w:lang w:val="en-US" w:eastAsia="zh-CN"/>
        </w:rPr>
        <w:t>磋商</w:t>
      </w:r>
      <w:r>
        <w:rPr>
          <w:rFonts w:hint="eastAsia" w:ascii="仿宋" w:hAnsi="仿宋" w:eastAsia="仿宋" w:cs="仿宋"/>
          <w:b/>
          <w:bCs/>
          <w:color w:val="auto"/>
          <w:szCs w:val="21"/>
          <w:highlight w:val="none"/>
        </w:rPr>
        <w:t>文件</w:t>
      </w:r>
      <w:r>
        <w:rPr>
          <w:rFonts w:hint="eastAsia" w:ascii="仿宋" w:hAnsi="仿宋" w:eastAsia="仿宋" w:cs="仿宋"/>
          <w:b/>
          <w:bCs/>
          <w:color w:val="auto"/>
          <w:szCs w:val="21"/>
          <w:highlight w:val="none"/>
          <w:lang w:val="en-US" w:eastAsia="zh-CN"/>
        </w:rPr>
        <w:t>的发售</w:t>
      </w:r>
      <w:r>
        <w:rPr>
          <w:rFonts w:hint="eastAsia" w:ascii="仿宋" w:hAnsi="仿宋" w:eastAsia="仿宋" w:cs="仿宋"/>
          <w:b/>
          <w:bCs/>
          <w:color w:val="auto"/>
          <w:szCs w:val="21"/>
          <w:highlight w:val="none"/>
        </w:rPr>
        <w:t>：</w:t>
      </w:r>
    </w:p>
    <w:p w14:paraId="72863285">
      <w:pPr>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售价：每</w:t>
      </w:r>
      <w:r>
        <w:rPr>
          <w:rFonts w:hint="eastAsia" w:ascii="仿宋" w:hAnsi="仿宋" w:eastAsia="仿宋" w:cs="仿宋"/>
          <w:color w:val="auto"/>
          <w:sz w:val="21"/>
          <w:szCs w:val="21"/>
          <w:highlight w:val="none"/>
          <w:lang w:val="en-US" w:eastAsia="zh-CN"/>
        </w:rPr>
        <w:t>份5</w:t>
      </w:r>
      <w:r>
        <w:rPr>
          <w:rFonts w:hint="eastAsia" w:ascii="仿宋" w:hAnsi="仿宋" w:eastAsia="仿宋" w:cs="仿宋"/>
          <w:color w:val="auto"/>
          <w:sz w:val="21"/>
          <w:szCs w:val="21"/>
          <w:highlight w:val="none"/>
        </w:rPr>
        <w:t>00元人民币，售后不退。</w:t>
      </w:r>
      <w:r>
        <w:rPr>
          <w:rFonts w:hint="eastAsia" w:ascii="仿宋" w:hAnsi="仿宋" w:eastAsia="仿宋" w:cs="仿宋"/>
          <w:b/>
          <w:bCs/>
          <w:color w:val="auto"/>
          <w:sz w:val="21"/>
          <w:szCs w:val="21"/>
          <w:highlight w:val="none"/>
        </w:rPr>
        <w:t>潜在</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须在</w:t>
      </w:r>
      <w:r>
        <w:rPr>
          <w:rFonts w:hint="eastAsia" w:ascii="仿宋" w:hAnsi="仿宋" w:eastAsia="仿宋" w:cs="仿宋"/>
          <w:b/>
          <w:bCs/>
          <w:color w:val="auto"/>
          <w:sz w:val="21"/>
          <w:szCs w:val="21"/>
          <w:highlight w:val="none"/>
          <w:lang w:eastAsia="zh-CN"/>
        </w:rPr>
        <w:t>采购文件</w:t>
      </w:r>
      <w:r>
        <w:rPr>
          <w:rFonts w:hint="eastAsia" w:ascii="仿宋" w:hAnsi="仿宋" w:eastAsia="仿宋" w:cs="仿宋"/>
          <w:b/>
          <w:bCs/>
          <w:color w:val="auto"/>
          <w:sz w:val="21"/>
          <w:szCs w:val="21"/>
          <w:highlight w:val="none"/>
        </w:rPr>
        <w:t>发售期内（自发布之日起至202</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年</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月</w:t>
      </w:r>
      <w:r>
        <w:rPr>
          <w:rFonts w:hint="eastAsia" w:ascii="仿宋" w:hAnsi="仿宋" w:eastAsia="仿宋" w:cs="仿宋"/>
          <w:b/>
          <w:bCs/>
          <w:color w:val="auto"/>
          <w:sz w:val="21"/>
          <w:szCs w:val="21"/>
          <w:highlight w:val="none"/>
          <w:lang w:val="en-US" w:eastAsia="zh-CN"/>
        </w:rPr>
        <w:t>9</w:t>
      </w:r>
      <w:r>
        <w:rPr>
          <w:rFonts w:hint="eastAsia" w:ascii="仿宋" w:hAnsi="仿宋" w:eastAsia="仿宋" w:cs="仿宋"/>
          <w:b/>
          <w:bCs/>
          <w:color w:val="auto"/>
          <w:sz w:val="21"/>
          <w:szCs w:val="21"/>
          <w:highlight w:val="none"/>
        </w:rPr>
        <w:t>日16:</w:t>
      </w:r>
      <w:r>
        <w:rPr>
          <w:rFonts w:hint="eastAsia" w:ascii="仿宋" w:hAnsi="仿宋" w:eastAsia="仿宋" w:cs="仿宋"/>
          <w:b/>
          <w:bCs/>
          <w:color w:val="auto"/>
          <w:sz w:val="21"/>
          <w:szCs w:val="21"/>
          <w:highlight w:val="none"/>
          <w:lang w:val="en-US" w:eastAsia="zh-CN"/>
        </w:rPr>
        <w:t>0</w:t>
      </w:r>
      <w:r>
        <w:rPr>
          <w:rFonts w:hint="eastAsia" w:ascii="仿宋" w:hAnsi="仿宋" w:eastAsia="仿宋" w:cs="仿宋"/>
          <w:b/>
          <w:bCs/>
          <w:color w:val="auto"/>
          <w:sz w:val="21"/>
          <w:szCs w:val="21"/>
          <w:highlight w:val="none"/>
        </w:rPr>
        <w:t>0）进行购买，未购买</w:t>
      </w:r>
      <w:r>
        <w:rPr>
          <w:rFonts w:hint="eastAsia" w:ascii="仿宋" w:hAnsi="仿宋" w:eastAsia="仿宋" w:cs="仿宋"/>
          <w:b/>
          <w:bCs/>
          <w:color w:val="auto"/>
          <w:sz w:val="21"/>
          <w:szCs w:val="21"/>
          <w:highlight w:val="none"/>
          <w:lang w:eastAsia="zh-CN"/>
        </w:rPr>
        <w:t>采购文件</w:t>
      </w:r>
      <w:r>
        <w:rPr>
          <w:rFonts w:hint="eastAsia" w:ascii="仿宋" w:hAnsi="仿宋" w:eastAsia="仿宋" w:cs="仿宋"/>
          <w:b/>
          <w:bCs/>
          <w:color w:val="auto"/>
          <w:sz w:val="21"/>
          <w:szCs w:val="21"/>
          <w:highlight w:val="none"/>
        </w:rPr>
        <w:t>的投标将被拒绝</w:t>
      </w:r>
      <w:r>
        <w:rPr>
          <w:rFonts w:hint="eastAsia" w:ascii="仿宋" w:hAnsi="仿宋" w:eastAsia="仿宋" w:cs="仿宋"/>
          <w:color w:val="auto"/>
          <w:sz w:val="21"/>
          <w:szCs w:val="21"/>
          <w:highlight w:val="none"/>
        </w:rPr>
        <w:t>。发售期限届满后，获取</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的潜在投标人不足的，招标人可以顺延提供期限并予公告，也可以重新招标。</w:t>
      </w:r>
    </w:p>
    <w:p w14:paraId="7EE8D68D">
      <w:pPr>
        <w:pageBreakBefore w:val="0"/>
        <w:kinsoku/>
        <w:wordWrap/>
        <w:overflowPunct/>
        <w:topLinePunct w:val="0"/>
        <w:autoSpaceDE/>
        <w:autoSpaceDN/>
        <w:bidi w:val="0"/>
        <w:adjustRightInd/>
        <w:spacing w:line="400" w:lineRule="exact"/>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发售方式：凡有意参加投标者，请将</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购买费用汇入我公司以下账户，并在</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发售截止时间前将“</w:t>
      </w:r>
      <w:r>
        <w:rPr>
          <w:rFonts w:hint="eastAsia" w:ascii="仿宋" w:hAnsi="仿宋" w:eastAsia="仿宋" w:cs="仿宋"/>
          <w:b/>
          <w:bCs/>
          <w:color w:val="auto"/>
          <w:sz w:val="21"/>
          <w:szCs w:val="21"/>
          <w:highlight w:val="none"/>
        </w:rPr>
        <w:t>汇款凭证（须备注项目编号，详见公告）”和“投标</w:t>
      </w:r>
      <w:r>
        <w:rPr>
          <w:rFonts w:hint="eastAsia" w:ascii="仿宋" w:hAnsi="仿宋" w:eastAsia="仿宋" w:cs="仿宋"/>
          <w:b/>
          <w:bCs/>
          <w:color w:val="auto"/>
          <w:sz w:val="21"/>
          <w:szCs w:val="21"/>
          <w:highlight w:val="none"/>
          <w:lang w:val="en-US" w:eastAsia="zh-CN"/>
        </w:rPr>
        <w:t>人报名表</w:t>
      </w:r>
      <w:r>
        <w:rPr>
          <w:rFonts w:hint="eastAsia" w:ascii="仿宋" w:hAnsi="仿宋" w:eastAsia="仿宋" w:cs="仿宋"/>
          <w:b/>
          <w:bCs/>
          <w:color w:val="auto"/>
          <w:sz w:val="21"/>
          <w:szCs w:val="21"/>
          <w:highlight w:val="none"/>
        </w:rPr>
        <w:t>（翻阅</w:t>
      </w:r>
      <w:r>
        <w:rPr>
          <w:rFonts w:hint="eastAsia" w:ascii="仿宋" w:hAnsi="仿宋" w:eastAsia="仿宋" w:cs="仿宋"/>
          <w:b/>
          <w:bCs/>
          <w:color w:val="auto"/>
          <w:sz w:val="21"/>
          <w:szCs w:val="21"/>
          <w:highlight w:val="none"/>
          <w:lang w:eastAsia="zh-CN"/>
        </w:rPr>
        <w:t>采购文件</w:t>
      </w:r>
      <w:r>
        <w:rPr>
          <w:rFonts w:hint="eastAsia" w:ascii="仿宋" w:hAnsi="仿宋" w:eastAsia="仿宋" w:cs="仿宋"/>
          <w:b/>
          <w:bCs/>
          <w:color w:val="auto"/>
          <w:sz w:val="21"/>
          <w:szCs w:val="21"/>
          <w:highlight w:val="none"/>
        </w:rPr>
        <w:t>最后一页）</w:t>
      </w:r>
      <w:r>
        <w:rPr>
          <w:rFonts w:hint="eastAsia" w:ascii="仿宋" w:hAnsi="仿宋" w:eastAsia="仿宋" w:cs="仿宋"/>
          <w:color w:val="auto"/>
          <w:sz w:val="21"/>
          <w:szCs w:val="21"/>
          <w:highlight w:val="none"/>
        </w:rPr>
        <w:t>”发送至</w:t>
      </w:r>
      <w:r>
        <w:rPr>
          <w:rFonts w:hint="eastAsia" w:ascii="仿宋" w:hAnsi="仿宋" w:eastAsia="仿宋" w:cs="仿宋"/>
          <w:color w:val="auto"/>
          <w:sz w:val="21"/>
          <w:szCs w:val="21"/>
          <w:highlight w:val="none"/>
          <w:u w:val="single"/>
        </w:rPr>
        <w:t xml:space="preserve"> 471945203@qq.com </w:t>
      </w:r>
      <w:r>
        <w:rPr>
          <w:rFonts w:hint="eastAsia" w:ascii="仿宋" w:hAnsi="仿宋" w:eastAsia="仿宋" w:cs="仿宋"/>
          <w:color w:val="auto"/>
          <w:sz w:val="21"/>
          <w:szCs w:val="21"/>
          <w:highlight w:val="none"/>
        </w:rPr>
        <w:t>邮箱中。</w:t>
      </w:r>
    </w:p>
    <w:p w14:paraId="52EBB300">
      <w:pPr>
        <w:pageBreakBefore w:val="0"/>
        <w:kinsoku/>
        <w:wordWrap/>
        <w:overflowPunct/>
        <w:topLinePunct w:val="0"/>
        <w:autoSpaceDE/>
        <w:autoSpaceDN/>
        <w:bidi w:val="0"/>
        <w:adjustRightInd/>
        <w:spacing w:line="400" w:lineRule="exact"/>
        <w:ind w:left="420" w:leftChars="200"/>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账户名称：宁波安全三江工程咨询招标代理有限公司</w:t>
      </w:r>
      <w:r>
        <w:rPr>
          <w:rFonts w:hint="eastAsia" w:ascii="仿宋" w:hAnsi="仿宋" w:eastAsia="仿宋" w:cs="仿宋"/>
          <w:b/>
          <w:bCs/>
          <w:color w:val="auto"/>
          <w:sz w:val="21"/>
          <w:szCs w:val="21"/>
          <w:highlight w:val="none"/>
        </w:rPr>
        <w:br w:type="textWrapping"/>
      </w:r>
      <w:r>
        <w:rPr>
          <w:rFonts w:hint="eastAsia" w:ascii="仿宋" w:hAnsi="仿宋" w:eastAsia="仿宋" w:cs="仿宋"/>
          <w:b/>
          <w:bCs/>
          <w:color w:val="auto"/>
          <w:sz w:val="21"/>
          <w:szCs w:val="21"/>
          <w:highlight w:val="none"/>
        </w:rPr>
        <w:t>开户银行：中国农业银行宁波市江北</w:t>
      </w:r>
      <w:r>
        <w:rPr>
          <w:rFonts w:hint="eastAsia" w:ascii="仿宋" w:hAnsi="仿宋" w:eastAsia="仿宋" w:cs="仿宋"/>
          <w:b/>
          <w:bCs/>
          <w:color w:val="auto"/>
          <w:sz w:val="21"/>
          <w:szCs w:val="21"/>
          <w:highlight w:val="none"/>
          <w:lang w:val="en-US" w:eastAsia="zh-CN"/>
        </w:rPr>
        <w:t>分</w:t>
      </w:r>
      <w:r>
        <w:rPr>
          <w:rFonts w:hint="eastAsia" w:ascii="仿宋" w:hAnsi="仿宋" w:eastAsia="仿宋" w:cs="仿宋"/>
          <w:b/>
          <w:bCs/>
          <w:color w:val="auto"/>
          <w:sz w:val="21"/>
          <w:szCs w:val="21"/>
          <w:highlight w:val="none"/>
        </w:rPr>
        <w:t>行</w:t>
      </w:r>
      <w:r>
        <w:rPr>
          <w:rFonts w:hint="eastAsia" w:ascii="仿宋" w:hAnsi="仿宋" w:eastAsia="仿宋" w:cs="仿宋"/>
          <w:b/>
          <w:bCs/>
          <w:color w:val="auto"/>
          <w:sz w:val="21"/>
          <w:szCs w:val="21"/>
          <w:highlight w:val="none"/>
        </w:rPr>
        <w:br w:type="textWrapping"/>
      </w:r>
      <w:r>
        <w:rPr>
          <w:rFonts w:hint="eastAsia" w:ascii="仿宋" w:hAnsi="仿宋" w:eastAsia="仿宋" w:cs="仿宋"/>
          <w:b/>
          <w:bCs/>
          <w:color w:val="auto"/>
          <w:sz w:val="21"/>
          <w:szCs w:val="21"/>
          <w:highlight w:val="none"/>
        </w:rPr>
        <w:t xml:space="preserve">银行账号：39102001040018504 </w:t>
      </w:r>
    </w:p>
    <w:p w14:paraId="421F944B">
      <w:pPr>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3.我公司将会按贵单位的汇入金额开具相应的电子发票（报名截止后统一发送），并发送至贵单位提供的电子邮箱中。</w:t>
      </w:r>
    </w:p>
    <w:p w14:paraId="6DD3B1B9">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五</w:t>
      </w:r>
      <w:r>
        <w:rPr>
          <w:rFonts w:hint="eastAsia" w:ascii="仿宋" w:hAnsi="仿宋" w:eastAsia="仿宋" w:cs="仿宋"/>
          <w:b/>
          <w:bCs/>
          <w:color w:val="auto"/>
          <w:szCs w:val="21"/>
          <w:highlight w:val="none"/>
        </w:rPr>
        <w:t>、磋商响应截止时间：</w:t>
      </w:r>
      <w:r>
        <w:rPr>
          <w:rFonts w:hint="eastAsia" w:ascii="仿宋" w:hAnsi="仿宋" w:eastAsia="仿宋" w:cs="仿宋"/>
          <w:color w:val="auto"/>
          <w:szCs w:val="21"/>
          <w:highlight w:val="none"/>
          <w:u w:val="single"/>
          <w:lang w:eastAsia="zh-CN"/>
        </w:rPr>
        <w:t>2025年</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lang w:eastAsia="zh-CN"/>
        </w:rPr>
        <w:t>月</w:t>
      </w:r>
      <w:r>
        <w:rPr>
          <w:rFonts w:hint="eastAsia" w:ascii="仿宋" w:hAnsi="仿宋" w:eastAsia="仿宋" w:cs="仿宋"/>
          <w:color w:val="auto"/>
          <w:szCs w:val="21"/>
          <w:highlight w:val="none"/>
          <w:u w:val="single"/>
          <w:lang w:val="en-US" w:eastAsia="zh-CN"/>
        </w:rPr>
        <w:t>12</w:t>
      </w:r>
      <w:r>
        <w:rPr>
          <w:rFonts w:hint="eastAsia" w:ascii="仿宋" w:hAnsi="仿宋" w:eastAsia="仿宋" w:cs="仿宋"/>
          <w:color w:val="auto"/>
          <w:szCs w:val="21"/>
          <w:highlight w:val="none"/>
          <w:u w:val="single"/>
          <w:lang w:eastAsia="zh-CN"/>
        </w:rPr>
        <w:t>日14时</w:t>
      </w:r>
      <w:r>
        <w:rPr>
          <w:rFonts w:hint="eastAsia" w:ascii="仿宋" w:hAnsi="仿宋" w:eastAsia="仿宋" w:cs="仿宋"/>
          <w:color w:val="auto"/>
          <w:szCs w:val="21"/>
          <w:highlight w:val="none"/>
          <w:u w:val="single"/>
          <w:lang w:val="en-US" w:eastAsia="zh-CN"/>
        </w:rPr>
        <w:t>00</w:t>
      </w:r>
      <w:r>
        <w:rPr>
          <w:rFonts w:hint="eastAsia" w:ascii="仿宋" w:hAnsi="仿宋" w:eastAsia="仿宋" w:cs="仿宋"/>
          <w:color w:val="auto"/>
          <w:szCs w:val="21"/>
          <w:highlight w:val="none"/>
          <w:u w:val="single"/>
          <w:lang w:eastAsia="zh-CN"/>
        </w:rPr>
        <w:t>分</w:t>
      </w:r>
      <w:r>
        <w:rPr>
          <w:rFonts w:hint="eastAsia" w:ascii="仿宋" w:hAnsi="仿宋" w:eastAsia="仿宋" w:cs="仿宋"/>
          <w:color w:val="auto"/>
          <w:szCs w:val="21"/>
          <w:highlight w:val="none"/>
        </w:rPr>
        <w:t>（北京时间）</w:t>
      </w:r>
    </w:p>
    <w:p w14:paraId="35AA9905">
      <w:pPr>
        <w:widowControl/>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六</w:t>
      </w:r>
      <w:r>
        <w:rPr>
          <w:rFonts w:hint="eastAsia" w:ascii="仿宋" w:hAnsi="仿宋" w:eastAsia="仿宋" w:cs="仿宋"/>
          <w:b/>
          <w:bCs/>
          <w:color w:val="auto"/>
          <w:szCs w:val="21"/>
          <w:highlight w:val="none"/>
        </w:rPr>
        <w:t>、磋商</w:t>
      </w:r>
      <w:r>
        <w:rPr>
          <w:rFonts w:hint="eastAsia" w:ascii="仿宋" w:hAnsi="仿宋" w:eastAsia="仿宋" w:cs="仿宋"/>
          <w:b/>
          <w:bCs/>
          <w:color w:val="auto"/>
          <w:szCs w:val="21"/>
          <w:highlight w:val="none"/>
          <w:lang w:val="en-US" w:eastAsia="zh-CN"/>
        </w:rPr>
        <w:t>响应文件递交地点</w:t>
      </w:r>
      <w:r>
        <w:rPr>
          <w:rFonts w:hint="eastAsia" w:ascii="仿宋" w:hAnsi="仿宋" w:eastAsia="仿宋" w:cs="仿宋"/>
          <w:b/>
          <w:bCs/>
          <w:color w:val="auto"/>
          <w:szCs w:val="21"/>
          <w:highlight w:val="none"/>
        </w:rPr>
        <w:t>：</w:t>
      </w:r>
      <w:r>
        <w:rPr>
          <w:rFonts w:hint="eastAsia" w:ascii="仿宋" w:hAnsi="仿宋" w:eastAsia="仿宋" w:cs="仿宋"/>
          <w:b w:val="0"/>
          <w:bCs w:val="0"/>
          <w:color w:val="auto"/>
          <w:szCs w:val="21"/>
          <w:highlight w:val="none"/>
        </w:rPr>
        <w:t>宁波市江北区新义路218号凯德上江邑5楼</w:t>
      </w:r>
      <w:r>
        <w:rPr>
          <w:rFonts w:hint="eastAsia" w:ascii="仿宋" w:hAnsi="仿宋" w:eastAsia="仿宋" w:cs="仿宋"/>
          <w:color w:val="auto"/>
          <w:szCs w:val="21"/>
          <w:highlight w:val="none"/>
        </w:rPr>
        <w:t>。逾期送达或未密封的响应文件将予以拒收（或作无效响应文件处理）。</w:t>
      </w:r>
    </w:p>
    <w:p w14:paraId="34D4F67D">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七</w:t>
      </w:r>
      <w:r>
        <w:rPr>
          <w:rFonts w:hint="eastAsia" w:ascii="仿宋" w:hAnsi="仿宋" w:eastAsia="仿宋" w:cs="仿宋"/>
          <w:b/>
          <w:bCs/>
          <w:color w:val="auto"/>
          <w:szCs w:val="21"/>
          <w:highlight w:val="none"/>
        </w:rPr>
        <w:t>、磋商开始时间：</w:t>
      </w:r>
      <w:r>
        <w:rPr>
          <w:rFonts w:hint="eastAsia" w:ascii="仿宋" w:hAnsi="仿宋" w:eastAsia="仿宋" w:cs="仿宋"/>
          <w:color w:val="auto"/>
          <w:szCs w:val="21"/>
          <w:highlight w:val="none"/>
          <w:u w:val="single"/>
          <w:lang w:eastAsia="zh-CN"/>
        </w:rPr>
        <w:t>2025年</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lang w:eastAsia="zh-CN"/>
        </w:rPr>
        <w:t>月</w:t>
      </w:r>
      <w:r>
        <w:rPr>
          <w:rFonts w:hint="eastAsia" w:ascii="仿宋" w:hAnsi="仿宋" w:eastAsia="仿宋" w:cs="仿宋"/>
          <w:color w:val="auto"/>
          <w:szCs w:val="21"/>
          <w:highlight w:val="none"/>
          <w:u w:val="single"/>
          <w:lang w:val="en-US" w:eastAsia="zh-CN"/>
        </w:rPr>
        <w:t>12</w:t>
      </w:r>
      <w:r>
        <w:rPr>
          <w:rFonts w:hint="eastAsia" w:ascii="仿宋" w:hAnsi="仿宋" w:eastAsia="仿宋" w:cs="仿宋"/>
          <w:color w:val="auto"/>
          <w:szCs w:val="21"/>
          <w:highlight w:val="none"/>
          <w:u w:val="single"/>
          <w:lang w:eastAsia="zh-CN"/>
        </w:rPr>
        <w:t>日14时</w:t>
      </w:r>
      <w:r>
        <w:rPr>
          <w:rFonts w:hint="eastAsia" w:ascii="仿宋" w:hAnsi="仿宋" w:eastAsia="仿宋" w:cs="仿宋"/>
          <w:color w:val="auto"/>
          <w:szCs w:val="21"/>
          <w:highlight w:val="none"/>
          <w:u w:val="single"/>
          <w:lang w:val="en-US" w:eastAsia="zh-CN"/>
        </w:rPr>
        <w:t>00</w:t>
      </w:r>
      <w:r>
        <w:rPr>
          <w:rFonts w:hint="eastAsia" w:ascii="仿宋" w:hAnsi="仿宋" w:eastAsia="仿宋" w:cs="仿宋"/>
          <w:color w:val="auto"/>
          <w:szCs w:val="21"/>
          <w:highlight w:val="none"/>
          <w:u w:val="single"/>
          <w:lang w:eastAsia="zh-CN"/>
        </w:rPr>
        <w:t>分</w:t>
      </w:r>
      <w:r>
        <w:rPr>
          <w:rFonts w:hint="eastAsia" w:ascii="仿宋" w:hAnsi="仿宋" w:eastAsia="仿宋" w:cs="仿宋"/>
          <w:color w:val="auto"/>
          <w:szCs w:val="21"/>
          <w:highlight w:val="none"/>
        </w:rPr>
        <w:t>（北京时间）</w:t>
      </w:r>
    </w:p>
    <w:p w14:paraId="367A7B2C">
      <w:pPr>
        <w:widowControl/>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八</w:t>
      </w:r>
      <w:r>
        <w:rPr>
          <w:rFonts w:hint="eastAsia" w:ascii="仿宋" w:hAnsi="仿宋" w:eastAsia="仿宋" w:cs="仿宋"/>
          <w:b/>
          <w:bCs/>
          <w:color w:val="auto"/>
          <w:szCs w:val="21"/>
          <w:highlight w:val="none"/>
        </w:rPr>
        <w:t>、磋商地点：</w:t>
      </w:r>
      <w:r>
        <w:rPr>
          <w:rFonts w:hint="eastAsia" w:ascii="仿宋" w:hAnsi="仿宋" w:eastAsia="仿宋" w:cs="仿宋"/>
          <w:b w:val="0"/>
          <w:bCs w:val="0"/>
          <w:color w:val="auto"/>
          <w:szCs w:val="21"/>
          <w:highlight w:val="none"/>
        </w:rPr>
        <w:t>宁波市江北区新义路218号凯德上江邑5楼</w:t>
      </w:r>
      <w:r>
        <w:rPr>
          <w:rFonts w:hint="eastAsia" w:ascii="仿宋" w:hAnsi="仿宋" w:eastAsia="仿宋" w:cs="仿宋"/>
          <w:color w:val="auto"/>
          <w:szCs w:val="21"/>
          <w:highlight w:val="none"/>
        </w:rPr>
        <w:t>。</w:t>
      </w:r>
    </w:p>
    <w:p w14:paraId="1D248440">
      <w:pPr>
        <w:spacing w:line="360" w:lineRule="auto"/>
        <w:ind w:left="420" w:leftChars="200"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九</w:t>
      </w:r>
      <w:r>
        <w:rPr>
          <w:rFonts w:hint="eastAsia" w:ascii="仿宋" w:hAnsi="仿宋" w:eastAsia="仿宋" w:cs="仿宋"/>
          <w:b/>
          <w:bCs/>
          <w:color w:val="auto"/>
          <w:szCs w:val="21"/>
          <w:highlight w:val="none"/>
        </w:rPr>
        <w:t>、其他注意事项：</w:t>
      </w:r>
    </w:p>
    <w:p w14:paraId="604B186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1、单位负责人为同一人或者存在直接控股、管理关系的不同供应商，不得参加同一标项的磋商响应；</w:t>
      </w:r>
    </w:p>
    <w:p w14:paraId="50952C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2、为本项目提供整体设计、规范编制或者项目管理、监理、检测等服务的供应商，不得再参加本项目的磋商响应。</w:t>
      </w:r>
    </w:p>
    <w:p w14:paraId="10F1EDA2">
      <w:pPr>
        <w:spacing w:line="360" w:lineRule="auto"/>
        <w:ind w:left="420" w:leftChars="200"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十、发布媒体：</w:t>
      </w:r>
    </w:p>
    <w:p w14:paraId="0401D1E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本次采购活动有关信息在“</w:t>
      </w:r>
      <w:r>
        <w:rPr>
          <w:rFonts w:hint="eastAsia" w:ascii="仿宋" w:hAnsi="仿宋" w:eastAsia="仿宋" w:cs="仿宋"/>
          <w:color w:val="auto"/>
          <w:szCs w:val="21"/>
          <w:highlight w:val="none"/>
          <w:lang w:eastAsia="zh-CN"/>
        </w:rPr>
        <w:t>浙江政府采购网</w:t>
      </w:r>
      <w:r>
        <w:rPr>
          <w:rFonts w:hint="eastAsia" w:ascii="仿宋" w:hAnsi="仿宋" w:eastAsia="仿宋" w:cs="仿宋"/>
          <w:color w:val="auto"/>
          <w:szCs w:val="21"/>
          <w:highlight w:val="none"/>
        </w:rPr>
        <w:t>（https://zfcg.czt.zj.gov.cn/）”上公布，公布信息视同送达所有潜在</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w:t>
      </w:r>
    </w:p>
    <w:p w14:paraId="15BDAAD0">
      <w:pPr>
        <w:spacing w:line="360" w:lineRule="auto"/>
        <w:ind w:left="420" w:leftChars="200" w:firstLine="0" w:firstLineChars="0"/>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十</w:t>
      </w:r>
      <w:r>
        <w:rPr>
          <w:rFonts w:hint="eastAsia" w:ascii="仿宋" w:hAnsi="仿宋" w:eastAsia="仿宋" w:cs="仿宋"/>
          <w:b/>
          <w:bCs/>
          <w:color w:val="auto"/>
          <w:szCs w:val="21"/>
          <w:highlight w:val="none"/>
          <w:lang w:val="en-US" w:eastAsia="zh-CN"/>
        </w:rPr>
        <w:t>一</w:t>
      </w:r>
      <w:r>
        <w:rPr>
          <w:rFonts w:hint="eastAsia" w:ascii="仿宋" w:hAnsi="仿宋" w:eastAsia="仿宋" w:cs="仿宋"/>
          <w:b/>
          <w:bCs/>
          <w:color w:val="auto"/>
          <w:szCs w:val="21"/>
          <w:highlight w:val="none"/>
        </w:rPr>
        <w:t>、联系方式</w:t>
      </w:r>
      <w:r>
        <w:rPr>
          <w:rFonts w:hint="eastAsia" w:ascii="仿宋" w:hAnsi="仿宋" w:eastAsia="仿宋" w:cs="仿宋"/>
          <w:b/>
          <w:bCs/>
          <w:color w:val="auto"/>
          <w:szCs w:val="21"/>
          <w:highlight w:val="none"/>
          <w:lang w:eastAsia="zh-CN"/>
        </w:rPr>
        <w:t>：</w:t>
      </w:r>
    </w:p>
    <w:p w14:paraId="34A7F1AB">
      <w:pPr>
        <w:pStyle w:val="21"/>
        <w:spacing w:before="0" w:beforeAutospacing="0" w:after="0" w:afterAutospacing="0" w:line="360" w:lineRule="auto"/>
        <w:ind w:firstLine="420" w:firstLineChars="200"/>
        <w:rPr>
          <w:rFonts w:hint="eastAsia" w:ascii="仿宋" w:hAnsi="仿宋" w:eastAsia="仿宋" w:cs="仿宋"/>
          <w:color w:val="auto"/>
          <w:szCs w:val="21"/>
          <w:highlight w:val="none"/>
        </w:rPr>
      </w:pPr>
      <w:r>
        <w:rPr>
          <w:rFonts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宁波市江北区公路与运输管理中心</w:t>
      </w:r>
    </w:p>
    <w:p w14:paraId="51C2791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采购代理机构：宁波安全三江工程咨询招标代理有限公司</w:t>
      </w:r>
    </w:p>
    <w:p w14:paraId="490C086C">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地址：宁波市江北区新义路218号凯德上江邑5楼</w:t>
      </w:r>
    </w:p>
    <w:p w14:paraId="3E4DD59E">
      <w:pPr>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联系人：</w:t>
      </w:r>
      <w:r>
        <w:rPr>
          <w:rFonts w:hint="eastAsia" w:ascii="仿宋" w:hAnsi="仿宋" w:eastAsia="仿宋" w:cs="仿宋"/>
          <w:color w:val="auto"/>
          <w:szCs w:val="21"/>
          <w:highlight w:val="none"/>
          <w:lang w:val="en-US" w:eastAsia="zh-CN"/>
        </w:rPr>
        <w:t>陆轩宇、孙洁、刘瑜</w:t>
      </w:r>
    </w:p>
    <w:p w14:paraId="0D86520F">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联系电话：</w:t>
      </w:r>
      <w:bookmarkStart w:id="11" w:name="_Toc29920_WPSOffice_Level2"/>
      <w:r>
        <w:rPr>
          <w:rFonts w:hint="eastAsia" w:ascii="仿宋" w:hAnsi="仿宋" w:eastAsia="仿宋" w:cs="仿宋"/>
          <w:color w:val="auto"/>
          <w:szCs w:val="21"/>
          <w:highlight w:val="none"/>
        </w:rPr>
        <w:t>0574-</w:t>
      </w:r>
      <w:r>
        <w:rPr>
          <w:rFonts w:hint="eastAsia" w:ascii="仿宋" w:hAnsi="仿宋" w:eastAsia="仿宋" w:cs="仿宋"/>
          <w:color w:val="auto"/>
          <w:szCs w:val="21"/>
          <w:highlight w:val="none"/>
          <w:lang w:eastAsia="zh-CN"/>
        </w:rPr>
        <w:t>87730719</w:t>
      </w:r>
    </w:p>
    <w:p w14:paraId="4FBD028A">
      <w:pPr>
        <w:rPr>
          <w:rFonts w:hint="eastAsia" w:ascii="宋体" w:hAnsi="宋体" w:cs="宋体"/>
          <w:b/>
          <w:bCs/>
          <w:color w:val="auto"/>
          <w:sz w:val="32"/>
          <w:highlight w:val="none"/>
          <w:lang w:val="en-US" w:eastAsia="zh-CN"/>
        </w:rPr>
      </w:pPr>
      <w:r>
        <w:rPr>
          <w:rFonts w:ascii="宋体" w:hAnsi="宋体" w:cs="宋体"/>
          <w:b/>
          <w:bCs/>
          <w:color w:val="auto"/>
          <w:sz w:val="32"/>
          <w:highlight w:val="none"/>
        </w:rPr>
        <w:br w:type="page"/>
      </w:r>
      <w:bookmarkEnd w:id="11"/>
    </w:p>
    <w:p w14:paraId="34BBE4CC">
      <w:pPr>
        <w:pStyle w:val="3"/>
        <w:spacing w:line="360" w:lineRule="auto"/>
        <w:outlineLvl w:val="0"/>
        <w:rPr>
          <w:rStyle w:val="62"/>
          <w:rFonts w:hint="eastAsia" w:ascii="仿宋" w:hAnsi="仿宋" w:eastAsia="仿宋" w:cs="仿宋"/>
          <w:b/>
          <w:bCs w:val="0"/>
          <w:color w:val="auto"/>
          <w:sz w:val="21"/>
          <w:szCs w:val="21"/>
          <w:highlight w:val="none"/>
        </w:rPr>
      </w:pPr>
      <w:bookmarkStart w:id="12" w:name="_Toc14631"/>
      <w:bookmarkStart w:id="13" w:name="_Toc731"/>
      <w:r>
        <w:rPr>
          <w:rStyle w:val="62"/>
          <w:rFonts w:hint="eastAsia" w:ascii="仿宋" w:hAnsi="仿宋" w:eastAsia="仿宋" w:cs="仿宋"/>
          <w:b/>
          <w:bCs w:val="0"/>
          <w:color w:val="auto"/>
          <w:sz w:val="28"/>
          <w:szCs w:val="28"/>
          <w:highlight w:val="none"/>
        </w:rPr>
        <w:t>第</w:t>
      </w:r>
      <w:r>
        <w:rPr>
          <w:rStyle w:val="62"/>
          <w:rFonts w:hint="eastAsia" w:ascii="仿宋" w:hAnsi="仿宋" w:eastAsia="仿宋" w:cs="仿宋"/>
          <w:b/>
          <w:bCs w:val="0"/>
          <w:color w:val="auto"/>
          <w:sz w:val="28"/>
          <w:szCs w:val="28"/>
          <w:highlight w:val="none"/>
          <w:lang w:val="en-US" w:eastAsia="zh-CN"/>
        </w:rPr>
        <w:t>二</w:t>
      </w:r>
      <w:r>
        <w:rPr>
          <w:rFonts w:hint="eastAsia" w:ascii="仿宋" w:hAnsi="仿宋" w:eastAsia="仿宋" w:cs="仿宋"/>
          <w:color w:val="auto"/>
          <w:sz w:val="28"/>
          <w:szCs w:val="28"/>
          <w:highlight w:val="none"/>
        </w:rPr>
        <w:t>部分</w:t>
      </w:r>
      <w:r>
        <w:rPr>
          <w:rFonts w:hint="eastAsia" w:ascii="仿宋" w:hAnsi="仿宋" w:eastAsia="仿宋" w:cs="仿宋"/>
          <w:color w:val="auto"/>
          <w:sz w:val="28"/>
          <w:szCs w:val="28"/>
          <w:highlight w:val="none"/>
          <w:lang w:val="en-US" w:eastAsia="zh-CN"/>
        </w:rPr>
        <w:t xml:space="preserve">  </w:t>
      </w:r>
      <w:r>
        <w:rPr>
          <w:rStyle w:val="62"/>
          <w:rFonts w:hint="eastAsia" w:ascii="仿宋" w:hAnsi="仿宋" w:eastAsia="仿宋" w:cs="仿宋"/>
          <w:b/>
          <w:bCs w:val="0"/>
          <w:color w:val="auto"/>
          <w:sz w:val="28"/>
          <w:szCs w:val="28"/>
          <w:highlight w:val="none"/>
        </w:rPr>
        <w:t>采购内容及要求</w:t>
      </w:r>
      <w:bookmarkEnd w:id="12"/>
      <w:bookmarkEnd w:id="13"/>
    </w:p>
    <w:p w14:paraId="504E1F97">
      <w:pPr>
        <w:spacing w:line="440" w:lineRule="exact"/>
        <w:rPr>
          <w:rFonts w:hint="eastAsia" w:ascii="仿宋" w:hAnsi="仿宋" w:eastAsia="仿宋" w:cs="仿宋"/>
          <w:b/>
          <w:color w:val="auto"/>
          <w:sz w:val="21"/>
          <w:szCs w:val="21"/>
          <w:highlight w:val="none"/>
        </w:rPr>
      </w:pPr>
      <w:bookmarkStart w:id="14" w:name="_Toc490748571"/>
      <w:r>
        <w:rPr>
          <w:rFonts w:hint="eastAsia" w:ascii="仿宋" w:hAnsi="仿宋" w:eastAsia="仿宋" w:cs="仿宋"/>
          <w:b/>
          <w:color w:val="auto"/>
          <w:sz w:val="21"/>
          <w:szCs w:val="21"/>
          <w:highlight w:val="none"/>
        </w:rPr>
        <w:t>一、项目内容、范围</w:t>
      </w:r>
    </w:p>
    <w:tbl>
      <w:tblPr>
        <w:tblStyle w:val="25"/>
        <w:tblW w:w="0" w:type="auto"/>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7"/>
        <w:gridCol w:w="7908"/>
      </w:tblGrid>
      <w:tr w14:paraId="16CEC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7" w:type="dxa"/>
            <w:tcBorders>
              <w:top w:val="single" w:color="auto" w:sz="4" w:space="0"/>
              <w:left w:val="single" w:color="auto" w:sz="4" w:space="0"/>
              <w:bottom w:val="single" w:color="auto" w:sz="4" w:space="0"/>
              <w:right w:val="single" w:color="auto" w:sz="4" w:space="0"/>
            </w:tcBorders>
            <w:noWrap w:val="0"/>
            <w:vAlign w:val="center"/>
          </w:tcPr>
          <w:p w14:paraId="2B17475F">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outlineLvl w:val="0"/>
              <w:rPr>
                <w:rFonts w:hint="eastAsia" w:ascii="仿宋" w:hAnsi="仿宋" w:eastAsia="仿宋" w:cs="仿宋"/>
                <w:b w:val="0"/>
                <w:bCs/>
                <w:color w:val="auto"/>
                <w:sz w:val="21"/>
                <w:szCs w:val="21"/>
                <w:highlight w:val="none"/>
                <w:lang w:val="en-US" w:eastAsia="zh-CN"/>
              </w:rPr>
            </w:pPr>
            <w:bookmarkStart w:id="15" w:name="_Toc7164305"/>
            <w:bookmarkStart w:id="16" w:name="_Toc69293474"/>
            <w:r>
              <w:rPr>
                <w:rFonts w:hint="eastAsia" w:ascii="仿宋" w:hAnsi="仿宋" w:eastAsia="仿宋" w:cs="仿宋"/>
                <w:b w:val="0"/>
                <w:bCs/>
                <w:color w:val="auto"/>
                <w:sz w:val="21"/>
                <w:szCs w:val="21"/>
                <w:highlight w:val="none"/>
                <w:lang w:val="en-US" w:eastAsia="zh-CN"/>
              </w:rPr>
              <w:t>服务项目</w:t>
            </w:r>
            <w:bookmarkEnd w:id="15"/>
            <w:bookmarkEnd w:id="16"/>
          </w:p>
        </w:tc>
        <w:tc>
          <w:tcPr>
            <w:tcW w:w="7908" w:type="dxa"/>
            <w:tcBorders>
              <w:top w:val="single" w:color="auto" w:sz="4" w:space="0"/>
              <w:left w:val="single" w:color="auto" w:sz="4" w:space="0"/>
              <w:bottom w:val="single" w:color="auto" w:sz="4" w:space="0"/>
              <w:right w:val="single" w:color="auto" w:sz="4" w:space="0"/>
            </w:tcBorders>
            <w:noWrap w:val="0"/>
            <w:vAlign w:val="center"/>
          </w:tcPr>
          <w:p w14:paraId="1D966AA6">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outlineLvl w:val="0"/>
              <w:rPr>
                <w:rFonts w:hint="eastAsia" w:ascii="仿宋" w:hAnsi="仿宋" w:eastAsia="仿宋" w:cs="仿宋"/>
                <w:color w:val="auto"/>
                <w:sz w:val="21"/>
                <w:szCs w:val="21"/>
                <w:highlight w:val="none"/>
                <w:lang w:val="en-US" w:eastAsia="zh-CN"/>
              </w:rPr>
            </w:pPr>
            <w:bookmarkStart w:id="17" w:name="_Toc7164306"/>
            <w:bookmarkStart w:id="18" w:name="_Toc69293475"/>
            <w:r>
              <w:rPr>
                <w:rFonts w:hint="eastAsia" w:ascii="仿宋" w:hAnsi="仿宋" w:eastAsia="仿宋" w:cs="仿宋"/>
                <w:color w:val="auto"/>
                <w:sz w:val="21"/>
                <w:szCs w:val="21"/>
                <w:highlight w:val="none"/>
                <w:lang w:val="en-US" w:eastAsia="zh-CN"/>
              </w:rPr>
              <w:t>路网服务</w:t>
            </w:r>
            <w:bookmarkEnd w:id="17"/>
            <w:bookmarkEnd w:id="18"/>
          </w:p>
        </w:tc>
      </w:tr>
      <w:tr w14:paraId="6BC3F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7" w:type="dxa"/>
            <w:tcBorders>
              <w:top w:val="single" w:color="auto" w:sz="4" w:space="0"/>
              <w:left w:val="single" w:color="auto" w:sz="4" w:space="0"/>
              <w:bottom w:val="single" w:color="auto" w:sz="4" w:space="0"/>
              <w:right w:val="single" w:color="auto" w:sz="4" w:space="0"/>
            </w:tcBorders>
            <w:noWrap w:val="0"/>
            <w:vAlign w:val="center"/>
          </w:tcPr>
          <w:p w14:paraId="20E28E20">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outlineLvl w:val="0"/>
              <w:rPr>
                <w:rFonts w:hint="eastAsia" w:ascii="仿宋" w:hAnsi="仿宋" w:eastAsia="仿宋" w:cs="仿宋"/>
                <w:b w:val="0"/>
                <w:bCs/>
                <w:color w:val="auto"/>
                <w:sz w:val="21"/>
                <w:szCs w:val="21"/>
                <w:highlight w:val="none"/>
                <w:lang w:val="en-US" w:eastAsia="zh-CN"/>
              </w:rPr>
            </w:pPr>
            <w:bookmarkStart w:id="19" w:name="_Toc7164307"/>
            <w:bookmarkStart w:id="20" w:name="_Toc69293476"/>
            <w:r>
              <w:rPr>
                <w:rFonts w:hint="eastAsia" w:ascii="仿宋" w:hAnsi="仿宋" w:eastAsia="仿宋" w:cs="仿宋"/>
                <w:b w:val="0"/>
                <w:bCs/>
                <w:color w:val="auto"/>
                <w:sz w:val="21"/>
                <w:szCs w:val="21"/>
                <w:highlight w:val="none"/>
                <w:lang w:val="en-US" w:eastAsia="zh-CN"/>
              </w:rPr>
              <w:t>服务内容</w:t>
            </w:r>
            <w:bookmarkEnd w:id="19"/>
            <w:bookmarkEnd w:id="20"/>
          </w:p>
        </w:tc>
        <w:tc>
          <w:tcPr>
            <w:tcW w:w="7908" w:type="dxa"/>
            <w:tcBorders>
              <w:top w:val="single" w:color="auto" w:sz="4" w:space="0"/>
              <w:left w:val="single" w:color="auto" w:sz="4" w:space="0"/>
              <w:bottom w:val="single" w:color="auto" w:sz="4" w:space="0"/>
              <w:right w:val="single" w:color="auto" w:sz="4" w:space="0"/>
            </w:tcBorders>
            <w:noWrap w:val="0"/>
            <w:vAlign w:val="center"/>
          </w:tcPr>
          <w:p w14:paraId="64F4B72D">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负责管理区公路运输中心路网指挥大厅日常工作具体详见服务需求</w:t>
            </w:r>
          </w:p>
        </w:tc>
      </w:tr>
      <w:tr w14:paraId="73A53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7" w:type="dxa"/>
            <w:tcBorders>
              <w:top w:val="single" w:color="auto" w:sz="4" w:space="0"/>
              <w:left w:val="single" w:color="auto" w:sz="4" w:space="0"/>
              <w:bottom w:val="single" w:color="auto" w:sz="4" w:space="0"/>
              <w:right w:val="single" w:color="auto" w:sz="4" w:space="0"/>
            </w:tcBorders>
            <w:noWrap w:val="0"/>
            <w:vAlign w:val="center"/>
          </w:tcPr>
          <w:p w14:paraId="2E8B94FD">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outlineLvl w:val="0"/>
              <w:rPr>
                <w:rFonts w:hint="eastAsia" w:ascii="仿宋" w:hAnsi="仿宋" w:eastAsia="仿宋" w:cs="仿宋"/>
                <w:b w:val="0"/>
                <w:bCs/>
                <w:color w:val="auto"/>
                <w:sz w:val="21"/>
                <w:szCs w:val="21"/>
                <w:highlight w:val="none"/>
                <w:lang w:val="en-US" w:eastAsia="zh-CN"/>
              </w:rPr>
            </w:pPr>
            <w:bookmarkStart w:id="21" w:name="_Toc7164308"/>
            <w:bookmarkStart w:id="22" w:name="_Toc69293477"/>
            <w:r>
              <w:rPr>
                <w:rFonts w:hint="eastAsia" w:ascii="仿宋" w:hAnsi="仿宋" w:eastAsia="仿宋" w:cs="仿宋"/>
                <w:b w:val="0"/>
                <w:bCs/>
                <w:color w:val="auto"/>
                <w:sz w:val="21"/>
                <w:szCs w:val="21"/>
                <w:highlight w:val="none"/>
                <w:lang w:val="en-US" w:eastAsia="zh-CN"/>
              </w:rPr>
              <w:t>服务人数</w:t>
            </w:r>
            <w:bookmarkEnd w:id="21"/>
            <w:bookmarkEnd w:id="22"/>
            <w:bookmarkStart w:id="23" w:name="_Toc7164309"/>
            <w:bookmarkStart w:id="24" w:name="_Toc69293478"/>
            <w:r>
              <w:rPr>
                <w:rFonts w:hint="eastAsia" w:ascii="仿宋" w:hAnsi="仿宋" w:eastAsia="仿宋" w:cs="仿宋"/>
                <w:b w:val="0"/>
                <w:bCs/>
                <w:color w:val="auto"/>
                <w:sz w:val="21"/>
                <w:szCs w:val="21"/>
                <w:highlight w:val="none"/>
                <w:lang w:val="en-US" w:eastAsia="zh-CN"/>
              </w:rPr>
              <w:t>及工作要求</w:t>
            </w:r>
            <w:bookmarkEnd w:id="23"/>
            <w:bookmarkEnd w:id="24"/>
          </w:p>
        </w:tc>
        <w:tc>
          <w:tcPr>
            <w:tcW w:w="7908" w:type="dxa"/>
            <w:tcBorders>
              <w:top w:val="single" w:color="auto" w:sz="4" w:space="0"/>
              <w:left w:val="single" w:color="auto" w:sz="4" w:space="0"/>
              <w:bottom w:val="single" w:color="auto" w:sz="4" w:space="0"/>
              <w:right w:val="single" w:color="auto" w:sz="4" w:space="0"/>
            </w:tcBorders>
            <w:noWrap w:val="0"/>
            <w:vAlign w:val="center"/>
          </w:tcPr>
          <w:p w14:paraId="15F58C04">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1.人员配备：每班至少1人，学历大专及以上，年龄35岁以下。 另须配备计算机相关专业人员1名，应对突发事件。                 </w:t>
            </w:r>
          </w:p>
          <w:p w14:paraId="0808710B">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2.所提供人员必须统一服装。</w:t>
            </w:r>
          </w:p>
          <w:p w14:paraId="744CE7C9">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3.工作要求：完成值守期间日常工作，以及处理突发事件，并对处理结果承担相应责任。</w:t>
            </w:r>
          </w:p>
        </w:tc>
      </w:tr>
      <w:tr w14:paraId="1A87E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7" w:type="dxa"/>
            <w:tcBorders>
              <w:top w:val="single" w:color="auto" w:sz="4" w:space="0"/>
              <w:left w:val="single" w:color="auto" w:sz="4" w:space="0"/>
              <w:bottom w:val="single" w:color="auto" w:sz="4" w:space="0"/>
              <w:right w:val="single" w:color="auto" w:sz="4" w:space="0"/>
            </w:tcBorders>
            <w:noWrap w:val="0"/>
            <w:vAlign w:val="center"/>
          </w:tcPr>
          <w:p w14:paraId="179A9D98">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outlineLvl w:val="0"/>
              <w:rPr>
                <w:rFonts w:hint="eastAsia" w:ascii="仿宋" w:hAnsi="仿宋" w:eastAsia="仿宋" w:cs="仿宋"/>
                <w:b w:val="0"/>
                <w:bCs/>
                <w:color w:val="auto"/>
                <w:sz w:val="21"/>
                <w:szCs w:val="21"/>
                <w:highlight w:val="none"/>
                <w:lang w:val="en-US" w:eastAsia="zh-CN"/>
              </w:rPr>
            </w:pPr>
            <w:bookmarkStart w:id="25" w:name="_Toc69293479"/>
            <w:bookmarkStart w:id="26" w:name="_Toc7164310"/>
            <w:r>
              <w:rPr>
                <w:rFonts w:hint="eastAsia" w:ascii="仿宋" w:hAnsi="仿宋" w:eastAsia="仿宋" w:cs="仿宋"/>
                <w:b w:val="0"/>
                <w:bCs/>
                <w:color w:val="auto"/>
                <w:sz w:val="21"/>
                <w:szCs w:val="21"/>
                <w:highlight w:val="none"/>
                <w:lang w:val="en-US" w:eastAsia="zh-CN"/>
              </w:rPr>
              <w:t>服务时间要求</w:t>
            </w:r>
            <w:bookmarkEnd w:id="25"/>
            <w:bookmarkEnd w:id="26"/>
          </w:p>
        </w:tc>
        <w:tc>
          <w:tcPr>
            <w:tcW w:w="7908" w:type="dxa"/>
            <w:tcBorders>
              <w:top w:val="single" w:color="auto" w:sz="4" w:space="0"/>
              <w:left w:val="single" w:color="auto" w:sz="4" w:space="0"/>
              <w:bottom w:val="single" w:color="auto" w:sz="4" w:space="0"/>
              <w:right w:val="single" w:color="auto" w:sz="4" w:space="0"/>
            </w:tcBorders>
            <w:noWrap w:val="0"/>
            <w:vAlign w:val="center"/>
          </w:tcPr>
          <w:p w14:paraId="7DFC4CD6">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1、工作日8小时外。2、双休日。3、法定节假日</w:t>
            </w:r>
          </w:p>
        </w:tc>
      </w:tr>
      <w:tr w14:paraId="6DEC6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5D7DCBFC">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outlineLvl w:val="0"/>
              <w:rPr>
                <w:rFonts w:hint="eastAsia" w:ascii="仿宋" w:hAnsi="仿宋" w:eastAsia="仿宋" w:cs="仿宋"/>
                <w:b w:val="0"/>
                <w:bCs/>
                <w:color w:val="auto"/>
                <w:sz w:val="21"/>
                <w:szCs w:val="21"/>
                <w:highlight w:val="none"/>
                <w:lang w:val="en-US" w:eastAsia="zh-CN"/>
              </w:rPr>
            </w:pPr>
            <w:bookmarkStart w:id="27" w:name="_Toc7164311"/>
            <w:bookmarkStart w:id="28" w:name="_Toc69293480"/>
            <w:r>
              <w:rPr>
                <w:rFonts w:hint="eastAsia" w:ascii="仿宋" w:hAnsi="仿宋" w:eastAsia="仿宋" w:cs="仿宋"/>
                <w:b w:val="0"/>
                <w:bCs/>
                <w:color w:val="auto"/>
                <w:sz w:val="21"/>
                <w:szCs w:val="21"/>
                <w:highlight w:val="none"/>
                <w:lang w:val="en-US" w:eastAsia="zh-CN"/>
              </w:rPr>
              <w:t>本项目采购预算价</w:t>
            </w:r>
            <w:bookmarkEnd w:id="27"/>
            <w:bookmarkEnd w:id="28"/>
          </w:p>
        </w:tc>
        <w:tc>
          <w:tcPr>
            <w:tcW w:w="7908" w:type="dxa"/>
            <w:tcBorders>
              <w:top w:val="single" w:color="auto" w:sz="4" w:space="0"/>
              <w:left w:val="single" w:color="auto" w:sz="4" w:space="0"/>
              <w:bottom w:val="single" w:color="auto" w:sz="4" w:space="0"/>
              <w:right w:val="single" w:color="auto" w:sz="4" w:space="0"/>
            </w:tcBorders>
            <w:noWrap w:val="0"/>
            <w:vAlign w:val="center"/>
          </w:tcPr>
          <w:p w14:paraId="35F47DB5">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采购预算价：20万元，投标报价超过采购预算价的作无效标处理。</w:t>
            </w:r>
          </w:p>
        </w:tc>
      </w:tr>
    </w:tbl>
    <w:p w14:paraId="734AB9FC">
      <w:pPr>
        <w:spacing w:line="440" w:lineRule="exact"/>
        <w:ind w:firstLine="422" w:firstLineChars="200"/>
        <w:rPr>
          <w:rFonts w:hint="eastAsia" w:ascii="仿宋" w:hAnsi="仿宋" w:eastAsia="仿宋" w:cs="仿宋"/>
          <w:b/>
          <w:color w:val="auto"/>
          <w:sz w:val="21"/>
          <w:szCs w:val="21"/>
          <w:highlight w:val="none"/>
        </w:rPr>
      </w:pPr>
    </w:p>
    <w:p w14:paraId="130B1BEB">
      <w:pPr>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二、商务要求表</w:t>
      </w:r>
    </w:p>
    <w:tbl>
      <w:tblPr>
        <w:tblStyle w:val="25"/>
        <w:tblW w:w="9617"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916"/>
      </w:tblGrid>
      <w:tr w14:paraId="3D2A6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noWrap w:val="0"/>
            <w:vAlign w:val="center"/>
          </w:tcPr>
          <w:p w14:paraId="7ED85A48">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outlineLvl w:val="0"/>
              <w:rPr>
                <w:rFonts w:hint="eastAsia" w:ascii="仿宋" w:hAnsi="仿宋" w:eastAsia="仿宋" w:cs="仿宋"/>
                <w:color w:val="auto"/>
                <w:sz w:val="21"/>
                <w:szCs w:val="21"/>
                <w:highlight w:val="none"/>
                <w:lang w:val="en-US" w:eastAsia="zh-CN"/>
              </w:rPr>
            </w:pPr>
            <w:bookmarkStart w:id="29" w:name="_Toc7164312"/>
            <w:bookmarkStart w:id="30" w:name="_Toc69293481"/>
            <w:r>
              <w:rPr>
                <w:rFonts w:hint="eastAsia" w:ascii="仿宋" w:hAnsi="仿宋" w:eastAsia="仿宋" w:cs="仿宋"/>
                <w:color w:val="auto"/>
                <w:sz w:val="21"/>
                <w:szCs w:val="21"/>
                <w:highlight w:val="none"/>
                <w:lang w:val="en-US" w:eastAsia="zh-CN"/>
              </w:rPr>
              <w:t>服务期限</w:t>
            </w:r>
            <w:bookmarkEnd w:id="29"/>
            <w:bookmarkEnd w:id="30"/>
          </w:p>
        </w:tc>
        <w:tc>
          <w:tcPr>
            <w:tcW w:w="7916" w:type="dxa"/>
            <w:tcBorders>
              <w:top w:val="single" w:color="auto" w:sz="4" w:space="0"/>
              <w:left w:val="single" w:color="auto" w:sz="4" w:space="0"/>
              <w:bottom w:val="single" w:color="auto" w:sz="4" w:space="0"/>
              <w:right w:val="single" w:color="auto" w:sz="4" w:space="0"/>
            </w:tcBorders>
            <w:noWrap w:val="0"/>
            <w:vAlign w:val="center"/>
          </w:tcPr>
          <w:p w14:paraId="14DB3F81">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自合同签订之日起一年。</w:t>
            </w:r>
          </w:p>
        </w:tc>
      </w:tr>
      <w:tr w14:paraId="06DBA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noWrap w:val="0"/>
            <w:vAlign w:val="center"/>
          </w:tcPr>
          <w:p w14:paraId="61DE965F">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outlineLvl w:val="0"/>
              <w:rPr>
                <w:rFonts w:hint="eastAsia" w:ascii="仿宋" w:hAnsi="仿宋" w:eastAsia="仿宋" w:cs="仿宋"/>
                <w:color w:val="auto"/>
                <w:sz w:val="21"/>
                <w:szCs w:val="21"/>
                <w:highlight w:val="none"/>
                <w:lang w:val="en-US" w:eastAsia="zh-CN"/>
              </w:rPr>
            </w:pPr>
            <w:bookmarkStart w:id="31" w:name="_Toc7164313"/>
            <w:bookmarkStart w:id="32" w:name="_Toc69293482"/>
            <w:r>
              <w:rPr>
                <w:rFonts w:hint="eastAsia" w:ascii="仿宋" w:hAnsi="仿宋" w:eastAsia="仿宋" w:cs="仿宋"/>
                <w:color w:val="auto"/>
                <w:sz w:val="21"/>
                <w:szCs w:val="21"/>
                <w:highlight w:val="none"/>
                <w:lang w:val="en-US" w:eastAsia="zh-CN"/>
              </w:rPr>
              <w:t>付款</w:t>
            </w:r>
            <w:bookmarkEnd w:id="31"/>
            <w:bookmarkEnd w:id="32"/>
            <w:r>
              <w:rPr>
                <w:rFonts w:hint="eastAsia" w:ascii="仿宋" w:hAnsi="仿宋" w:eastAsia="仿宋" w:cs="仿宋"/>
                <w:color w:val="auto"/>
                <w:sz w:val="21"/>
                <w:szCs w:val="21"/>
                <w:highlight w:val="none"/>
                <w:lang w:val="en-US" w:eastAsia="zh-CN"/>
              </w:rPr>
              <w:t>方式</w:t>
            </w:r>
          </w:p>
        </w:tc>
        <w:tc>
          <w:tcPr>
            <w:tcW w:w="7916" w:type="dxa"/>
            <w:tcBorders>
              <w:top w:val="single" w:color="auto" w:sz="4" w:space="0"/>
              <w:left w:val="single" w:color="auto" w:sz="4" w:space="0"/>
              <w:bottom w:val="single" w:color="auto" w:sz="4" w:space="0"/>
              <w:right w:val="single" w:color="auto" w:sz="4" w:space="0"/>
            </w:tcBorders>
            <w:noWrap w:val="0"/>
            <w:vAlign w:val="center"/>
          </w:tcPr>
          <w:p w14:paraId="13F5BEA3">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1、按季结算，合同签订后第二个季度起，每个季度首月25日之前支付合同总价的25%</w:t>
            </w:r>
            <w:r>
              <w:rPr>
                <w:rFonts w:hint="eastAsia" w:ascii="仿宋" w:hAnsi="仿宋" w:eastAsia="仿宋" w:cs="仿宋"/>
                <w:color w:val="auto"/>
                <w:sz w:val="21"/>
                <w:szCs w:val="21"/>
                <w:highlight w:val="none"/>
                <w:lang w:val="en-US" w:eastAsia="zh-CN"/>
              </w:rPr>
              <w:t>-考核扣减费用</w:t>
            </w:r>
            <w:r>
              <w:rPr>
                <w:rFonts w:hint="eastAsia" w:ascii="仿宋" w:hAnsi="仿宋" w:eastAsia="仿宋" w:cs="仿宋"/>
                <w:color w:val="auto"/>
                <w:sz w:val="21"/>
                <w:szCs w:val="21"/>
                <w:highlight w:val="none"/>
                <w:lang w:val="en-US" w:eastAsia="zh-CN"/>
              </w:rPr>
              <w:t>；以此类推。</w:t>
            </w:r>
          </w:p>
          <w:p w14:paraId="0B8924B0">
            <w:pPr>
              <w:pStyle w:val="12"/>
              <w:keepNext w:val="0"/>
              <w:keepLines w:val="0"/>
              <w:suppressLineNumbers w:val="0"/>
              <w:snapToGrid w:val="0"/>
              <w:spacing w:before="0" w:beforeLines="0" w:beforeAutospacing="0" w:after="0" w:afterLines="0" w:afterAutospacing="0" w:line="440" w:lineRule="exact"/>
              <w:ind w:left="0" w:leftChars="0" w:right="0" w:firstLine="0" w:firstLineChars="0"/>
              <w:jc w:val="both"/>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2、服务期满后25个日历天内，支付剩余合同总价扣除考核总扣款金额后的款项。</w:t>
            </w:r>
          </w:p>
        </w:tc>
      </w:tr>
      <w:bookmarkEnd w:id="14"/>
    </w:tbl>
    <w:p w14:paraId="035A2166">
      <w:pPr>
        <w:snapToGrid w:val="0"/>
        <w:spacing w:line="440" w:lineRule="exact"/>
        <w:rPr>
          <w:rFonts w:hint="eastAsia" w:ascii="仿宋" w:hAnsi="仿宋" w:eastAsia="仿宋" w:cs="仿宋"/>
          <w:color w:val="auto"/>
          <w:sz w:val="21"/>
          <w:szCs w:val="21"/>
          <w:highlight w:val="none"/>
        </w:rPr>
      </w:pPr>
    </w:p>
    <w:p w14:paraId="38D3DD91">
      <w:pPr>
        <w:pStyle w:val="12"/>
        <w:snapToGrid w:val="0"/>
        <w:spacing w:before="0" w:beforeLines="0" w:after="0" w:afterLines="0" w:line="440" w:lineRule="exact"/>
        <w:ind w:left="0" w:leftChars="0" w:firstLine="0" w:firstLineChars="0"/>
        <w:outlineLvl w:val="0"/>
        <w:rPr>
          <w:rFonts w:hint="eastAsia" w:ascii="仿宋" w:hAnsi="仿宋" w:eastAsia="仿宋" w:cs="仿宋"/>
          <w:b/>
          <w:color w:val="auto"/>
          <w:sz w:val="21"/>
          <w:szCs w:val="21"/>
          <w:highlight w:val="none"/>
        </w:rPr>
      </w:pPr>
      <w:bookmarkStart w:id="33" w:name="_Toc69293486"/>
      <w:bookmarkStart w:id="34" w:name="_Toc7164317"/>
      <w:r>
        <w:rPr>
          <w:rFonts w:hint="eastAsia" w:ascii="仿宋" w:hAnsi="仿宋" w:eastAsia="仿宋" w:cs="仿宋"/>
          <w:b/>
          <w:color w:val="auto"/>
          <w:sz w:val="21"/>
          <w:szCs w:val="21"/>
          <w:highlight w:val="none"/>
        </w:rPr>
        <w:t>三、服务需求</w:t>
      </w:r>
      <w:bookmarkEnd w:id="33"/>
      <w:bookmarkEnd w:id="34"/>
    </w:p>
    <w:p w14:paraId="547CFDEA">
      <w:pPr>
        <w:pStyle w:val="12"/>
        <w:snapToGrid w:val="0"/>
        <w:spacing w:before="0" w:beforeLines="0" w:after="0" w:afterLines="0" w:line="440" w:lineRule="exact"/>
        <w:ind w:firstLine="420" w:firstLineChars="200"/>
        <w:outlineLvl w:val="0"/>
        <w:rPr>
          <w:rFonts w:hint="eastAsia" w:ascii="仿宋" w:hAnsi="仿宋" w:eastAsia="仿宋" w:cs="仿宋"/>
          <w:color w:val="auto"/>
          <w:sz w:val="21"/>
          <w:szCs w:val="21"/>
          <w:highlight w:val="none"/>
        </w:rPr>
      </w:pPr>
      <w:bookmarkStart w:id="35" w:name="_Toc7164318"/>
      <w:bookmarkStart w:id="36" w:name="_Toc69293487"/>
      <w:r>
        <w:rPr>
          <w:rFonts w:hint="eastAsia" w:ascii="仿宋" w:hAnsi="仿宋" w:eastAsia="仿宋" w:cs="仿宋"/>
          <w:color w:val="auto"/>
          <w:sz w:val="21"/>
          <w:szCs w:val="21"/>
          <w:highlight w:val="none"/>
        </w:rPr>
        <w:t>认真贯彻各项规章制度，完成上级下达的各项工作任务。路网</w:t>
      </w:r>
      <w:r>
        <w:rPr>
          <w:rFonts w:hint="eastAsia" w:ascii="仿宋" w:hAnsi="仿宋" w:eastAsia="仿宋" w:cs="仿宋"/>
          <w:color w:val="auto"/>
          <w:sz w:val="21"/>
          <w:szCs w:val="21"/>
          <w:highlight w:val="none"/>
          <w:lang w:eastAsia="zh-CN"/>
        </w:rPr>
        <w:t>指挥大厅</w:t>
      </w:r>
      <w:r>
        <w:rPr>
          <w:rFonts w:hint="eastAsia" w:ascii="仿宋" w:hAnsi="仿宋" w:eastAsia="仿宋" w:cs="仿宋"/>
          <w:color w:val="auto"/>
          <w:sz w:val="21"/>
          <w:szCs w:val="21"/>
          <w:highlight w:val="none"/>
        </w:rPr>
        <w:t>实行全年无休(工作时间周一至周五除白天8小时外，周末双休日及法定节假日为24小时全天候)工作方式，三班二运作值守，每班至少1人及以上。完成值守期间日常工作，以及处理突发事件，并对处理结果承担相应责任。</w:t>
      </w:r>
      <w:bookmarkEnd w:id="35"/>
      <w:bookmarkEnd w:id="36"/>
    </w:p>
    <w:tbl>
      <w:tblPr>
        <w:tblStyle w:val="25"/>
        <w:tblW w:w="9636" w:type="dxa"/>
        <w:jc w:val="center"/>
        <w:tblLayout w:type="fixed"/>
        <w:tblCellMar>
          <w:top w:w="0" w:type="dxa"/>
          <w:left w:w="108" w:type="dxa"/>
          <w:bottom w:w="0" w:type="dxa"/>
          <w:right w:w="108" w:type="dxa"/>
        </w:tblCellMar>
      </w:tblPr>
      <w:tblGrid>
        <w:gridCol w:w="1716"/>
        <w:gridCol w:w="7920"/>
      </w:tblGrid>
      <w:tr w14:paraId="72BF95B7">
        <w:tblPrEx>
          <w:tblCellMar>
            <w:top w:w="0" w:type="dxa"/>
            <w:left w:w="108" w:type="dxa"/>
            <w:bottom w:w="0" w:type="dxa"/>
            <w:right w:w="108" w:type="dxa"/>
          </w:tblCellMar>
        </w:tblPrEx>
        <w:trPr>
          <w:trHeight w:val="600" w:hRule="atLeast"/>
          <w:jc w:val="center"/>
        </w:trPr>
        <w:tc>
          <w:tcPr>
            <w:tcW w:w="963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25B7958">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bCs/>
                <w:color w:val="auto"/>
                <w:kern w:val="0"/>
                <w:sz w:val="21"/>
                <w:szCs w:val="21"/>
                <w:highlight w:val="none"/>
              </w:rPr>
            </w:pPr>
            <w:r>
              <w:rPr>
                <w:rFonts w:hint="eastAsia" w:ascii="仿宋" w:hAnsi="仿宋" w:eastAsia="仿宋" w:cs="仿宋"/>
                <w:bCs/>
                <w:color w:val="auto"/>
                <w:kern w:val="0"/>
                <w:sz w:val="21"/>
                <w:szCs w:val="21"/>
                <w:highlight w:val="none"/>
              </w:rPr>
              <w:t>路网</w:t>
            </w:r>
            <w:r>
              <w:rPr>
                <w:rFonts w:hint="eastAsia" w:ascii="仿宋" w:hAnsi="仿宋" w:eastAsia="仿宋" w:cs="仿宋"/>
                <w:bCs/>
                <w:color w:val="auto"/>
                <w:kern w:val="0"/>
                <w:sz w:val="21"/>
                <w:szCs w:val="21"/>
                <w:highlight w:val="none"/>
                <w:lang w:eastAsia="zh-CN"/>
              </w:rPr>
              <w:t>指挥大厅</w:t>
            </w:r>
            <w:r>
              <w:rPr>
                <w:rFonts w:hint="eastAsia" w:ascii="仿宋" w:hAnsi="仿宋" w:eastAsia="仿宋" w:cs="仿宋"/>
                <w:bCs/>
                <w:color w:val="auto"/>
                <w:kern w:val="0"/>
                <w:sz w:val="21"/>
                <w:szCs w:val="21"/>
                <w:highlight w:val="none"/>
              </w:rPr>
              <w:t>岗位职责及工作内容</w:t>
            </w:r>
          </w:p>
        </w:tc>
      </w:tr>
      <w:tr w14:paraId="50B05FB4">
        <w:tblPrEx>
          <w:tblCellMar>
            <w:top w:w="0" w:type="dxa"/>
            <w:left w:w="108" w:type="dxa"/>
            <w:bottom w:w="0" w:type="dxa"/>
            <w:right w:w="108" w:type="dxa"/>
          </w:tblCellMar>
        </w:tblPrEx>
        <w:trPr>
          <w:trHeight w:val="440" w:hRule="atLeast"/>
          <w:jc w:val="center"/>
        </w:trPr>
        <w:tc>
          <w:tcPr>
            <w:tcW w:w="963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3FFB97B">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b/>
                <w:bCs/>
                <w:color w:val="auto"/>
                <w:kern w:val="0"/>
                <w:sz w:val="21"/>
                <w:szCs w:val="21"/>
                <w:highlight w:val="none"/>
              </w:rPr>
            </w:pPr>
          </w:p>
        </w:tc>
      </w:tr>
      <w:tr w14:paraId="3AC49277">
        <w:tblPrEx>
          <w:tblCellMar>
            <w:top w:w="0" w:type="dxa"/>
            <w:left w:w="108" w:type="dxa"/>
            <w:bottom w:w="0" w:type="dxa"/>
            <w:right w:w="108" w:type="dxa"/>
          </w:tblCellMar>
        </w:tblPrEx>
        <w:trPr>
          <w:trHeight w:val="510" w:hRule="atLeast"/>
          <w:jc w:val="center"/>
        </w:trPr>
        <w:tc>
          <w:tcPr>
            <w:tcW w:w="1716" w:type="dxa"/>
            <w:tcBorders>
              <w:top w:val="nil"/>
              <w:left w:val="single" w:color="auto" w:sz="4" w:space="0"/>
              <w:bottom w:val="single" w:color="auto" w:sz="4" w:space="0"/>
              <w:right w:val="single" w:color="auto" w:sz="4" w:space="0"/>
            </w:tcBorders>
            <w:noWrap w:val="0"/>
            <w:vAlign w:val="center"/>
          </w:tcPr>
          <w:p w14:paraId="61C7FAD9">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岗位分类</w:t>
            </w:r>
          </w:p>
        </w:tc>
        <w:tc>
          <w:tcPr>
            <w:tcW w:w="7920" w:type="dxa"/>
            <w:tcBorders>
              <w:top w:val="single" w:color="auto" w:sz="4" w:space="0"/>
              <w:left w:val="nil"/>
              <w:bottom w:val="single" w:color="auto" w:sz="4" w:space="0"/>
              <w:right w:val="single" w:color="auto" w:sz="4" w:space="0"/>
            </w:tcBorders>
            <w:noWrap w:val="0"/>
            <w:vAlign w:val="center"/>
          </w:tcPr>
          <w:p w14:paraId="2E5A3692">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工作内容</w:t>
            </w:r>
          </w:p>
        </w:tc>
      </w:tr>
      <w:tr w14:paraId="5BAD582D">
        <w:tblPrEx>
          <w:tblCellMar>
            <w:top w:w="0" w:type="dxa"/>
            <w:left w:w="108" w:type="dxa"/>
            <w:bottom w:w="0" w:type="dxa"/>
            <w:right w:w="108" w:type="dxa"/>
          </w:tblCellMar>
        </w:tblPrEx>
        <w:trPr>
          <w:trHeight w:val="410" w:hRule="atLeast"/>
          <w:jc w:val="center"/>
        </w:trPr>
        <w:tc>
          <w:tcPr>
            <w:tcW w:w="1716" w:type="dxa"/>
            <w:vMerge w:val="restart"/>
            <w:tcBorders>
              <w:top w:val="single" w:color="auto" w:sz="4" w:space="0"/>
              <w:left w:val="single" w:color="auto" w:sz="4" w:space="0"/>
              <w:bottom w:val="single" w:color="auto" w:sz="4" w:space="0"/>
              <w:right w:val="single" w:color="auto" w:sz="4" w:space="0"/>
            </w:tcBorders>
            <w:noWrap w:val="0"/>
            <w:vAlign w:val="center"/>
          </w:tcPr>
          <w:p w14:paraId="5C7AAD0A">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日常管理</w:t>
            </w:r>
          </w:p>
        </w:tc>
        <w:tc>
          <w:tcPr>
            <w:tcW w:w="7920" w:type="dxa"/>
            <w:tcBorders>
              <w:top w:val="single" w:color="auto" w:sz="4" w:space="0"/>
              <w:left w:val="single" w:color="auto" w:sz="4" w:space="0"/>
              <w:bottom w:val="single" w:color="auto" w:sz="4" w:space="0"/>
              <w:right w:val="single" w:color="auto" w:sz="4" w:space="0"/>
            </w:tcBorders>
            <w:noWrap w:val="0"/>
            <w:vAlign w:val="center"/>
          </w:tcPr>
          <w:p w14:paraId="3C1F68B1">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1、全天</w:t>
            </w:r>
            <w:r>
              <w:rPr>
                <w:rFonts w:hint="eastAsia" w:ascii="仿宋" w:hAnsi="仿宋" w:eastAsia="仿宋" w:cs="仿宋"/>
                <w:color w:val="auto"/>
                <w:kern w:val="0"/>
                <w:sz w:val="21"/>
                <w:szCs w:val="21"/>
                <w:highlight w:val="none"/>
                <w:lang w:eastAsia="zh-CN"/>
              </w:rPr>
              <w:t>动态实时监控江北区</w:t>
            </w:r>
            <w:r>
              <w:rPr>
                <w:rFonts w:hint="eastAsia" w:ascii="仿宋" w:hAnsi="仿宋" w:eastAsia="仿宋" w:cs="仿宋"/>
                <w:color w:val="auto"/>
                <w:kern w:val="0"/>
                <w:sz w:val="21"/>
                <w:szCs w:val="21"/>
                <w:highlight w:val="none"/>
              </w:rPr>
              <w:t>域内</w:t>
            </w:r>
            <w:r>
              <w:rPr>
                <w:rFonts w:hint="eastAsia" w:ascii="仿宋" w:hAnsi="仿宋" w:eastAsia="仿宋" w:cs="仿宋"/>
                <w:color w:val="auto"/>
                <w:kern w:val="0"/>
                <w:sz w:val="21"/>
                <w:szCs w:val="21"/>
                <w:highlight w:val="none"/>
                <w:lang w:eastAsia="zh-CN"/>
              </w:rPr>
              <w:t>公路</w:t>
            </w:r>
            <w:r>
              <w:rPr>
                <w:rFonts w:hint="eastAsia" w:ascii="仿宋" w:hAnsi="仿宋" w:eastAsia="仿宋" w:cs="仿宋"/>
                <w:color w:val="auto"/>
                <w:kern w:val="0"/>
                <w:sz w:val="21"/>
                <w:szCs w:val="21"/>
                <w:highlight w:val="none"/>
              </w:rPr>
              <w:t>动静态情况</w:t>
            </w:r>
            <w:r>
              <w:rPr>
                <w:rFonts w:hint="eastAsia" w:ascii="仿宋" w:hAnsi="仿宋" w:eastAsia="仿宋" w:cs="仿宋"/>
                <w:color w:val="auto"/>
                <w:kern w:val="0"/>
                <w:sz w:val="21"/>
                <w:szCs w:val="21"/>
                <w:highlight w:val="none"/>
                <w:lang w:eastAsia="zh-CN"/>
              </w:rPr>
              <w:t>，查看</w:t>
            </w:r>
            <w:r>
              <w:rPr>
                <w:rFonts w:hint="eastAsia" w:ascii="仿宋" w:hAnsi="仿宋" w:eastAsia="仿宋" w:cs="仿宋"/>
                <w:color w:val="auto"/>
                <w:kern w:val="0"/>
                <w:sz w:val="21"/>
                <w:szCs w:val="21"/>
                <w:highlight w:val="none"/>
              </w:rPr>
              <w:t>数字公路平台路网监控系统、交通流量系统</w:t>
            </w:r>
            <w:r>
              <w:rPr>
                <w:rFonts w:hint="eastAsia" w:ascii="仿宋" w:hAnsi="仿宋" w:eastAsia="仿宋" w:cs="仿宋"/>
                <w:color w:val="auto"/>
                <w:kern w:val="0"/>
                <w:sz w:val="21"/>
                <w:szCs w:val="21"/>
                <w:highlight w:val="none"/>
                <w:lang w:eastAsia="zh-CN"/>
              </w:rPr>
              <w:t>、数字治超系统</w:t>
            </w:r>
            <w:r>
              <w:rPr>
                <w:rFonts w:hint="eastAsia" w:ascii="仿宋" w:hAnsi="仿宋" w:eastAsia="仿宋" w:cs="仿宋"/>
                <w:color w:val="auto"/>
                <w:kern w:val="0"/>
                <w:sz w:val="21"/>
                <w:szCs w:val="21"/>
                <w:highlight w:val="none"/>
              </w:rPr>
              <w:t>等</w:t>
            </w:r>
            <w:r>
              <w:rPr>
                <w:rFonts w:hint="eastAsia" w:ascii="仿宋" w:hAnsi="仿宋" w:eastAsia="仿宋" w:cs="仿宋"/>
                <w:color w:val="auto"/>
                <w:kern w:val="0"/>
                <w:sz w:val="21"/>
                <w:szCs w:val="21"/>
                <w:highlight w:val="none"/>
                <w:lang w:eastAsia="zh-CN"/>
              </w:rPr>
              <w:t>数字公路</w:t>
            </w:r>
            <w:r>
              <w:rPr>
                <w:rFonts w:hint="eastAsia" w:ascii="仿宋" w:hAnsi="仿宋" w:eastAsia="仿宋" w:cs="仿宋"/>
                <w:color w:val="auto"/>
                <w:kern w:val="0"/>
                <w:sz w:val="21"/>
                <w:szCs w:val="21"/>
                <w:highlight w:val="none"/>
              </w:rPr>
              <w:t>相关软硬件是否正常运行并记录</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如遇不正常运行情况需联系</w:t>
            </w:r>
            <w:r>
              <w:rPr>
                <w:rFonts w:hint="eastAsia" w:ascii="仿宋" w:hAnsi="仿宋" w:eastAsia="仿宋" w:cs="仿宋"/>
                <w:color w:val="auto"/>
                <w:kern w:val="0"/>
                <w:sz w:val="21"/>
                <w:szCs w:val="21"/>
                <w:highlight w:val="none"/>
                <w:lang w:eastAsia="zh-CN"/>
              </w:rPr>
              <w:t>对应科室</w:t>
            </w:r>
            <w:r>
              <w:rPr>
                <w:rFonts w:hint="eastAsia" w:ascii="仿宋" w:hAnsi="仿宋" w:eastAsia="仿宋" w:cs="仿宋"/>
                <w:color w:val="auto"/>
                <w:kern w:val="0"/>
                <w:sz w:val="21"/>
                <w:szCs w:val="21"/>
                <w:highlight w:val="none"/>
              </w:rPr>
              <w:t>人员并记录</w:t>
            </w:r>
            <w:r>
              <w:rPr>
                <w:rFonts w:hint="eastAsia" w:ascii="仿宋" w:hAnsi="仿宋" w:eastAsia="仿宋" w:cs="仿宋"/>
                <w:color w:val="auto"/>
                <w:kern w:val="0"/>
                <w:sz w:val="21"/>
                <w:szCs w:val="21"/>
                <w:highlight w:val="none"/>
                <w:lang w:eastAsia="zh-CN"/>
              </w:rPr>
              <w:t>。</w:t>
            </w:r>
          </w:p>
        </w:tc>
      </w:tr>
      <w:tr w14:paraId="79790087">
        <w:tblPrEx>
          <w:tblCellMar>
            <w:top w:w="0" w:type="dxa"/>
            <w:left w:w="108" w:type="dxa"/>
            <w:bottom w:w="0" w:type="dxa"/>
            <w:right w:w="108" w:type="dxa"/>
          </w:tblCellMar>
        </w:tblPrEx>
        <w:trPr>
          <w:trHeight w:val="861" w:hRule="atLeast"/>
          <w:jc w:val="center"/>
        </w:trPr>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14:paraId="59C0EE1B">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14:paraId="4661A5E1">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eastAsia="zh-CN"/>
              </w:rPr>
              <w:t>全天</w:t>
            </w:r>
            <w:r>
              <w:rPr>
                <w:rFonts w:hint="eastAsia" w:ascii="仿宋" w:hAnsi="仿宋" w:eastAsia="仿宋" w:cs="仿宋"/>
                <w:color w:val="auto"/>
                <w:kern w:val="0"/>
                <w:sz w:val="21"/>
                <w:szCs w:val="21"/>
                <w:highlight w:val="none"/>
                <w:lang w:val="en-US" w:eastAsia="zh-CN"/>
              </w:rPr>
              <w:t>24小时</w:t>
            </w:r>
            <w:r>
              <w:rPr>
                <w:rFonts w:hint="eastAsia" w:ascii="仿宋" w:hAnsi="仿宋" w:eastAsia="仿宋" w:cs="仿宋"/>
                <w:color w:val="auto"/>
                <w:kern w:val="0"/>
                <w:sz w:val="21"/>
                <w:szCs w:val="21"/>
                <w:highlight w:val="none"/>
              </w:rPr>
              <w:t>接听全区公路路网电话</w:t>
            </w:r>
            <w:r>
              <w:rPr>
                <w:rFonts w:hint="eastAsia" w:ascii="仿宋" w:hAnsi="仿宋" w:eastAsia="仿宋" w:cs="仿宋"/>
                <w:color w:val="auto"/>
                <w:kern w:val="0"/>
                <w:sz w:val="21"/>
                <w:szCs w:val="21"/>
                <w:highlight w:val="none"/>
                <w:lang w:eastAsia="zh-CN"/>
              </w:rPr>
              <w:t>、值班电话、</w:t>
            </w:r>
            <w:r>
              <w:rPr>
                <w:rFonts w:hint="eastAsia" w:ascii="仿宋" w:hAnsi="仿宋" w:eastAsia="仿宋" w:cs="仿宋"/>
                <w:color w:val="auto"/>
                <w:kern w:val="0"/>
                <w:sz w:val="21"/>
                <w:szCs w:val="21"/>
                <w:highlight w:val="none"/>
                <w:lang w:val="en-US" w:eastAsia="zh-CN"/>
              </w:rPr>
              <w:t>应急电话</w:t>
            </w:r>
            <w:r>
              <w:rPr>
                <w:rFonts w:hint="eastAsia" w:ascii="仿宋" w:hAnsi="仿宋" w:eastAsia="仿宋" w:cs="仿宋"/>
                <w:color w:val="auto"/>
                <w:kern w:val="0"/>
                <w:sz w:val="21"/>
                <w:szCs w:val="21"/>
                <w:highlight w:val="none"/>
              </w:rPr>
              <w:t>，记录相关信息并且第一时间通知相关值班人员，按要求记录现场人员反馈情况及事后处理情况</w:t>
            </w:r>
            <w:r>
              <w:rPr>
                <w:rFonts w:hint="eastAsia" w:ascii="仿宋" w:hAnsi="仿宋" w:eastAsia="仿宋" w:cs="仿宋"/>
                <w:color w:val="auto"/>
                <w:kern w:val="0"/>
                <w:sz w:val="21"/>
                <w:szCs w:val="21"/>
                <w:highlight w:val="none"/>
                <w:lang w:eastAsia="zh-CN"/>
              </w:rPr>
              <w:t>。</w:t>
            </w:r>
          </w:p>
        </w:tc>
      </w:tr>
      <w:tr w14:paraId="1BE24AB4">
        <w:tblPrEx>
          <w:tblCellMar>
            <w:top w:w="0" w:type="dxa"/>
            <w:left w:w="108" w:type="dxa"/>
            <w:bottom w:w="0" w:type="dxa"/>
            <w:right w:w="108" w:type="dxa"/>
          </w:tblCellMar>
        </w:tblPrEx>
        <w:trPr>
          <w:trHeight w:val="604" w:hRule="atLeast"/>
          <w:jc w:val="center"/>
        </w:trPr>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14:paraId="180531A9">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14:paraId="7D4BE267">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val="en-US" w:eastAsia="zh-CN"/>
              </w:rPr>
              <w:t>负责为公众提供公路出行信息，包括每日计划性施工信息报送和可变情报板的信息发布管理工作等。</w:t>
            </w:r>
          </w:p>
        </w:tc>
      </w:tr>
      <w:tr w14:paraId="621F32D1">
        <w:tblPrEx>
          <w:tblCellMar>
            <w:top w:w="0" w:type="dxa"/>
            <w:left w:w="108" w:type="dxa"/>
            <w:bottom w:w="0" w:type="dxa"/>
            <w:right w:w="108" w:type="dxa"/>
          </w:tblCellMar>
        </w:tblPrEx>
        <w:trPr>
          <w:trHeight w:val="533" w:hRule="atLeast"/>
          <w:jc w:val="center"/>
        </w:trPr>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14:paraId="30C4DA99">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14:paraId="4DDF9272">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kern w:val="0"/>
                <w:sz w:val="21"/>
                <w:szCs w:val="21"/>
                <w:highlight w:val="none"/>
                <w:lang w:val="en-US" w:eastAsia="zh-CN"/>
              </w:rPr>
              <w:t>负责及时处理宁波市城市运行管理服务平台（智慧城管）</w:t>
            </w:r>
            <w:r>
              <w:rPr>
                <w:rFonts w:hint="eastAsia" w:ascii="仿宋" w:hAnsi="仿宋" w:eastAsia="仿宋" w:cs="仿宋"/>
                <w:color w:val="auto"/>
                <w:kern w:val="0"/>
                <w:sz w:val="21"/>
                <w:szCs w:val="21"/>
                <w:highlight w:val="none"/>
                <w:lang w:val="en-US" w:eastAsia="zh-CN"/>
              </w:rPr>
              <w:t>等省市区其他平台</w:t>
            </w:r>
            <w:r>
              <w:rPr>
                <w:rFonts w:hint="eastAsia" w:ascii="仿宋" w:hAnsi="仿宋" w:eastAsia="仿宋" w:cs="仿宋"/>
                <w:color w:val="auto"/>
                <w:kern w:val="0"/>
                <w:sz w:val="21"/>
                <w:szCs w:val="21"/>
                <w:highlight w:val="none"/>
                <w:lang w:val="en-US" w:eastAsia="zh-CN"/>
              </w:rPr>
              <w:t>转办案件，通知相关人员处理并记录办理情况。</w:t>
            </w:r>
          </w:p>
        </w:tc>
      </w:tr>
      <w:tr w14:paraId="1B010D98">
        <w:tblPrEx>
          <w:tblCellMar>
            <w:top w:w="0" w:type="dxa"/>
            <w:left w:w="108" w:type="dxa"/>
            <w:bottom w:w="0" w:type="dxa"/>
            <w:right w:w="108" w:type="dxa"/>
          </w:tblCellMar>
        </w:tblPrEx>
        <w:trPr>
          <w:trHeight w:val="429" w:hRule="atLeast"/>
          <w:jc w:val="center"/>
        </w:trPr>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14:paraId="12DC57D5">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14:paraId="314FA6D0">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5、交接班细则：交接班过程告知交接班人员本班工作中出现的问题及未解决的问题。交班人员记录接班人员需</w:t>
            </w:r>
            <w:r>
              <w:rPr>
                <w:rFonts w:hint="eastAsia" w:ascii="仿宋" w:hAnsi="仿宋" w:eastAsia="仿宋" w:cs="仿宋"/>
                <w:bCs/>
                <w:color w:val="auto"/>
                <w:kern w:val="0"/>
                <w:sz w:val="21"/>
                <w:szCs w:val="21"/>
                <w:highlight w:val="none"/>
              </w:rPr>
              <w:t>签名核实交接班表内记录情况</w:t>
            </w:r>
            <w:r>
              <w:rPr>
                <w:rFonts w:hint="eastAsia" w:ascii="仿宋" w:hAnsi="仿宋" w:eastAsia="仿宋" w:cs="仿宋"/>
                <w:color w:val="auto"/>
                <w:kern w:val="0"/>
                <w:sz w:val="21"/>
                <w:szCs w:val="21"/>
                <w:highlight w:val="none"/>
              </w:rPr>
              <w:t>。</w:t>
            </w:r>
          </w:p>
        </w:tc>
      </w:tr>
      <w:tr w14:paraId="2DC910A3">
        <w:tblPrEx>
          <w:tblCellMar>
            <w:top w:w="0" w:type="dxa"/>
            <w:left w:w="108" w:type="dxa"/>
            <w:bottom w:w="0" w:type="dxa"/>
            <w:right w:w="108" w:type="dxa"/>
          </w:tblCellMar>
        </w:tblPrEx>
        <w:trPr>
          <w:trHeight w:val="467" w:hRule="atLeast"/>
          <w:jc w:val="center"/>
        </w:trPr>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14:paraId="7C44938F">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14:paraId="19C29F51">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6、熟悉江北区范围内公路情况。</w:t>
            </w:r>
          </w:p>
        </w:tc>
      </w:tr>
      <w:tr w14:paraId="45263D34">
        <w:tblPrEx>
          <w:tblCellMar>
            <w:top w:w="0" w:type="dxa"/>
            <w:left w:w="108" w:type="dxa"/>
            <w:bottom w:w="0" w:type="dxa"/>
            <w:right w:w="108" w:type="dxa"/>
          </w:tblCellMar>
        </w:tblPrEx>
        <w:trPr>
          <w:trHeight w:val="447" w:hRule="atLeast"/>
          <w:jc w:val="center"/>
        </w:trPr>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14:paraId="0C11C7C6">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14:paraId="0C673FC5">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7、完成领导交办的其他工作。</w:t>
            </w:r>
          </w:p>
        </w:tc>
      </w:tr>
      <w:tr w14:paraId="235C6653">
        <w:tblPrEx>
          <w:tblCellMar>
            <w:top w:w="0" w:type="dxa"/>
            <w:left w:w="108" w:type="dxa"/>
            <w:bottom w:w="0" w:type="dxa"/>
            <w:right w:w="108" w:type="dxa"/>
          </w:tblCellMar>
        </w:tblPrEx>
        <w:trPr>
          <w:trHeight w:val="399" w:hRule="atLeast"/>
          <w:jc w:val="center"/>
        </w:trPr>
        <w:tc>
          <w:tcPr>
            <w:tcW w:w="1716" w:type="dxa"/>
            <w:vMerge w:val="restart"/>
            <w:tcBorders>
              <w:top w:val="single" w:color="auto" w:sz="4" w:space="0"/>
              <w:left w:val="single" w:color="auto" w:sz="4" w:space="0"/>
              <w:bottom w:val="single" w:color="auto" w:sz="4" w:space="0"/>
              <w:right w:val="single" w:color="auto" w:sz="4" w:space="0"/>
            </w:tcBorders>
            <w:noWrap w:val="0"/>
            <w:vAlign w:val="center"/>
          </w:tcPr>
          <w:p w14:paraId="048AC234">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信息管理</w:t>
            </w:r>
          </w:p>
        </w:tc>
        <w:tc>
          <w:tcPr>
            <w:tcW w:w="7920" w:type="dxa"/>
            <w:tcBorders>
              <w:top w:val="single" w:color="auto" w:sz="4" w:space="0"/>
              <w:left w:val="nil"/>
              <w:bottom w:val="single" w:color="auto" w:sz="4" w:space="0"/>
              <w:right w:val="single" w:color="auto" w:sz="4" w:space="0"/>
            </w:tcBorders>
            <w:noWrap w:val="0"/>
            <w:vAlign w:val="center"/>
          </w:tcPr>
          <w:p w14:paraId="11C001EF">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1、负责起草编写路网</w:t>
            </w:r>
            <w:r>
              <w:rPr>
                <w:rFonts w:hint="eastAsia" w:ascii="仿宋" w:hAnsi="仿宋" w:eastAsia="仿宋" w:cs="仿宋"/>
                <w:color w:val="auto"/>
                <w:kern w:val="0"/>
                <w:sz w:val="21"/>
                <w:szCs w:val="21"/>
                <w:highlight w:val="none"/>
                <w:lang w:eastAsia="zh-CN"/>
              </w:rPr>
              <w:t>信息科</w:t>
            </w:r>
            <w:r>
              <w:rPr>
                <w:rFonts w:hint="eastAsia" w:ascii="仿宋" w:hAnsi="仿宋" w:eastAsia="仿宋" w:cs="仿宋"/>
                <w:color w:val="auto"/>
                <w:kern w:val="0"/>
                <w:sz w:val="21"/>
                <w:szCs w:val="21"/>
                <w:highlight w:val="none"/>
              </w:rPr>
              <w:t>日常汇报材料、每月数据上报工作、每月月报等。</w:t>
            </w:r>
          </w:p>
        </w:tc>
      </w:tr>
      <w:tr w14:paraId="5723C541">
        <w:tblPrEx>
          <w:tblCellMar>
            <w:top w:w="0" w:type="dxa"/>
            <w:left w:w="108" w:type="dxa"/>
            <w:bottom w:w="0" w:type="dxa"/>
            <w:right w:w="108" w:type="dxa"/>
          </w:tblCellMar>
        </w:tblPrEx>
        <w:trPr>
          <w:trHeight w:val="632" w:hRule="atLeast"/>
          <w:jc w:val="center"/>
        </w:trPr>
        <w:tc>
          <w:tcPr>
            <w:tcW w:w="1716" w:type="dxa"/>
            <w:vMerge w:val="continue"/>
            <w:tcBorders>
              <w:top w:val="nil"/>
              <w:left w:val="single" w:color="auto" w:sz="4" w:space="0"/>
              <w:bottom w:val="single" w:color="auto" w:sz="4" w:space="0"/>
              <w:right w:val="single" w:color="auto" w:sz="4" w:space="0"/>
            </w:tcBorders>
            <w:noWrap w:val="0"/>
            <w:vAlign w:val="center"/>
          </w:tcPr>
          <w:p w14:paraId="74A049B1">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p>
        </w:tc>
        <w:tc>
          <w:tcPr>
            <w:tcW w:w="7920" w:type="dxa"/>
            <w:tcBorders>
              <w:top w:val="single" w:color="auto" w:sz="4" w:space="0"/>
              <w:left w:val="nil"/>
              <w:bottom w:val="single" w:color="auto" w:sz="4" w:space="0"/>
              <w:right w:val="single" w:color="auto" w:sz="4" w:space="0"/>
            </w:tcBorders>
            <w:noWrap w:val="0"/>
            <w:vAlign w:val="center"/>
          </w:tcPr>
          <w:p w14:paraId="6E80B624">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2、路网</w:t>
            </w:r>
            <w:r>
              <w:rPr>
                <w:rFonts w:hint="eastAsia" w:ascii="仿宋" w:hAnsi="仿宋" w:eastAsia="仿宋" w:cs="仿宋"/>
                <w:color w:val="auto"/>
                <w:kern w:val="0"/>
                <w:sz w:val="21"/>
                <w:szCs w:val="21"/>
                <w:highlight w:val="none"/>
                <w:lang w:eastAsia="zh-CN"/>
              </w:rPr>
              <w:t>指挥大厅</w:t>
            </w:r>
            <w:r>
              <w:rPr>
                <w:rFonts w:hint="eastAsia" w:ascii="仿宋" w:hAnsi="仿宋" w:eastAsia="仿宋" w:cs="仿宋"/>
                <w:color w:val="auto"/>
                <w:kern w:val="0"/>
                <w:sz w:val="21"/>
                <w:szCs w:val="21"/>
                <w:highlight w:val="none"/>
              </w:rPr>
              <w:t>对采集的各种信息应做好接收和记录工作。特别重大、重大突发事件或其它需向上级单位报道的信息经领导审批后由路网</w:t>
            </w:r>
            <w:r>
              <w:rPr>
                <w:rFonts w:hint="eastAsia" w:ascii="仿宋" w:hAnsi="仿宋" w:eastAsia="仿宋" w:cs="仿宋"/>
                <w:color w:val="auto"/>
                <w:kern w:val="0"/>
                <w:sz w:val="21"/>
                <w:szCs w:val="21"/>
                <w:highlight w:val="none"/>
                <w:lang w:eastAsia="zh-CN"/>
              </w:rPr>
              <w:t>信息科</w:t>
            </w:r>
            <w:r>
              <w:rPr>
                <w:rFonts w:hint="eastAsia" w:ascii="仿宋" w:hAnsi="仿宋" w:eastAsia="仿宋" w:cs="仿宋"/>
                <w:color w:val="auto"/>
                <w:kern w:val="0"/>
                <w:sz w:val="21"/>
                <w:szCs w:val="21"/>
                <w:highlight w:val="none"/>
              </w:rPr>
              <w:t>立即报送，时间按上级单位文件要求。</w:t>
            </w:r>
          </w:p>
        </w:tc>
      </w:tr>
      <w:tr w14:paraId="6540FAC2">
        <w:tblPrEx>
          <w:tblCellMar>
            <w:top w:w="0" w:type="dxa"/>
            <w:left w:w="108" w:type="dxa"/>
            <w:bottom w:w="0" w:type="dxa"/>
            <w:right w:w="108" w:type="dxa"/>
          </w:tblCellMar>
        </w:tblPrEx>
        <w:trPr>
          <w:trHeight w:val="585" w:hRule="atLeast"/>
          <w:jc w:val="center"/>
        </w:trPr>
        <w:tc>
          <w:tcPr>
            <w:tcW w:w="1716" w:type="dxa"/>
            <w:vMerge w:val="continue"/>
            <w:tcBorders>
              <w:top w:val="nil"/>
              <w:left w:val="single" w:color="auto" w:sz="4" w:space="0"/>
              <w:bottom w:val="single" w:color="auto" w:sz="4" w:space="0"/>
              <w:right w:val="single" w:color="auto" w:sz="4" w:space="0"/>
            </w:tcBorders>
            <w:noWrap w:val="0"/>
            <w:vAlign w:val="center"/>
          </w:tcPr>
          <w:p w14:paraId="344E9CBD">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p>
        </w:tc>
        <w:tc>
          <w:tcPr>
            <w:tcW w:w="7920" w:type="dxa"/>
            <w:tcBorders>
              <w:top w:val="single" w:color="auto" w:sz="4" w:space="0"/>
              <w:left w:val="nil"/>
              <w:bottom w:val="single" w:color="auto" w:sz="4" w:space="0"/>
              <w:right w:val="single" w:color="auto" w:sz="4" w:space="0"/>
            </w:tcBorders>
            <w:noWrap w:val="0"/>
            <w:vAlign w:val="center"/>
          </w:tcPr>
          <w:p w14:paraId="01C33974">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3、详细记录设备故障的具体情况、损坏程度、采取措施、更换耗材及备件情况；设备耗材和备件统一由路网</w:t>
            </w:r>
            <w:r>
              <w:rPr>
                <w:rFonts w:hint="eastAsia" w:ascii="仿宋" w:hAnsi="仿宋" w:eastAsia="仿宋" w:cs="仿宋"/>
                <w:color w:val="auto"/>
                <w:kern w:val="0"/>
                <w:sz w:val="21"/>
                <w:szCs w:val="21"/>
                <w:highlight w:val="none"/>
                <w:lang w:eastAsia="zh-CN"/>
              </w:rPr>
              <w:t>信息科</w:t>
            </w:r>
            <w:r>
              <w:rPr>
                <w:rFonts w:hint="eastAsia" w:ascii="仿宋" w:hAnsi="仿宋" w:eastAsia="仿宋" w:cs="仿宋"/>
                <w:color w:val="auto"/>
                <w:kern w:val="0"/>
                <w:sz w:val="21"/>
                <w:szCs w:val="21"/>
                <w:highlight w:val="none"/>
              </w:rPr>
              <w:t>发放、保管、调配。</w:t>
            </w:r>
          </w:p>
        </w:tc>
      </w:tr>
      <w:tr w14:paraId="1B59972D">
        <w:tblPrEx>
          <w:tblCellMar>
            <w:top w:w="0" w:type="dxa"/>
            <w:left w:w="108" w:type="dxa"/>
            <w:bottom w:w="0" w:type="dxa"/>
            <w:right w:w="108" w:type="dxa"/>
          </w:tblCellMar>
        </w:tblPrEx>
        <w:trPr>
          <w:trHeight w:val="675" w:hRule="atLeast"/>
          <w:jc w:val="center"/>
        </w:trPr>
        <w:tc>
          <w:tcPr>
            <w:tcW w:w="1716" w:type="dxa"/>
            <w:vMerge w:val="restart"/>
            <w:tcBorders>
              <w:top w:val="nil"/>
              <w:left w:val="single" w:color="auto" w:sz="4" w:space="0"/>
              <w:right w:val="single" w:color="auto" w:sz="4" w:space="0"/>
            </w:tcBorders>
            <w:noWrap w:val="0"/>
            <w:vAlign w:val="center"/>
          </w:tcPr>
          <w:p w14:paraId="233B2572">
            <w:pPr>
              <w:keepNext w:val="0"/>
              <w:keepLines w:val="0"/>
              <w:widowControl/>
              <w:suppressLineNumbers w:val="0"/>
              <w:spacing w:before="0" w:beforeAutospacing="0" w:after="0" w:afterAutospacing="0" w:line="440" w:lineRule="exact"/>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人员管理</w:t>
            </w:r>
          </w:p>
        </w:tc>
        <w:tc>
          <w:tcPr>
            <w:tcW w:w="7920" w:type="dxa"/>
            <w:tcBorders>
              <w:top w:val="single" w:color="auto" w:sz="4" w:space="0"/>
              <w:left w:val="nil"/>
              <w:bottom w:val="single" w:color="auto" w:sz="4" w:space="0"/>
              <w:right w:val="single" w:color="auto" w:sz="4" w:space="0"/>
            </w:tcBorders>
            <w:noWrap w:val="0"/>
            <w:vAlign w:val="center"/>
          </w:tcPr>
          <w:p w14:paraId="2EB1604D">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1、定期召开工作例会，传达、学习上级有关文件精神，安排工作任务，督办工作进度，总结经验教训，改进工作方法。</w:t>
            </w:r>
          </w:p>
        </w:tc>
      </w:tr>
      <w:tr w14:paraId="12C8897A">
        <w:tblPrEx>
          <w:tblCellMar>
            <w:top w:w="0" w:type="dxa"/>
            <w:left w:w="108" w:type="dxa"/>
            <w:bottom w:w="0" w:type="dxa"/>
            <w:right w:w="108" w:type="dxa"/>
          </w:tblCellMar>
        </w:tblPrEx>
        <w:trPr>
          <w:trHeight w:val="525" w:hRule="atLeast"/>
          <w:jc w:val="center"/>
        </w:trPr>
        <w:tc>
          <w:tcPr>
            <w:tcW w:w="1716" w:type="dxa"/>
            <w:vMerge w:val="continue"/>
            <w:tcBorders>
              <w:left w:val="single" w:color="auto" w:sz="4" w:space="0"/>
              <w:right w:val="single" w:color="auto" w:sz="4" w:space="0"/>
            </w:tcBorders>
            <w:noWrap w:val="0"/>
            <w:vAlign w:val="center"/>
          </w:tcPr>
          <w:p w14:paraId="3B96C06C">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p>
        </w:tc>
        <w:tc>
          <w:tcPr>
            <w:tcW w:w="7920" w:type="dxa"/>
            <w:tcBorders>
              <w:top w:val="single" w:color="auto" w:sz="4" w:space="0"/>
              <w:left w:val="nil"/>
              <w:bottom w:val="single" w:color="auto" w:sz="4" w:space="0"/>
              <w:right w:val="single" w:color="auto" w:sz="4" w:space="0"/>
            </w:tcBorders>
            <w:noWrap w:val="0"/>
            <w:vAlign w:val="center"/>
          </w:tcPr>
          <w:p w14:paraId="4DE8469E">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2、全面掌握职工状况，组织实施政治思想、业务技术等培训和学习，不断提高职工素质。</w:t>
            </w:r>
          </w:p>
        </w:tc>
      </w:tr>
      <w:tr w14:paraId="6DFEC654">
        <w:tblPrEx>
          <w:tblCellMar>
            <w:top w:w="0" w:type="dxa"/>
            <w:left w:w="108" w:type="dxa"/>
            <w:bottom w:w="0" w:type="dxa"/>
            <w:right w:w="108" w:type="dxa"/>
          </w:tblCellMar>
        </w:tblPrEx>
        <w:trPr>
          <w:trHeight w:val="525" w:hRule="atLeast"/>
          <w:jc w:val="center"/>
        </w:trPr>
        <w:tc>
          <w:tcPr>
            <w:tcW w:w="1716" w:type="dxa"/>
            <w:vMerge w:val="continue"/>
            <w:tcBorders>
              <w:left w:val="single" w:color="auto" w:sz="4" w:space="0"/>
              <w:bottom w:val="single" w:color="auto" w:sz="4" w:space="0"/>
              <w:right w:val="single" w:color="auto" w:sz="4" w:space="0"/>
            </w:tcBorders>
            <w:noWrap w:val="0"/>
            <w:vAlign w:val="center"/>
          </w:tcPr>
          <w:p w14:paraId="62621652">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p>
        </w:tc>
        <w:tc>
          <w:tcPr>
            <w:tcW w:w="7920" w:type="dxa"/>
            <w:tcBorders>
              <w:top w:val="single" w:color="auto" w:sz="4" w:space="0"/>
              <w:left w:val="nil"/>
              <w:bottom w:val="single" w:color="auto" w:sz="4" w:space="0"/>
              <w:right w:val="single" w:color="auto" w:sz="4" w:space="0"/>
            </w:tcBorders>
            <w:noWrap w:val="0"/>
            <w:vAlign w:val="center"/>
          </w:tcPr>
          <w:p w14:paraId="109BB10B">
            <w:pPr>
              <w:keepNext w:val="0"/>
              <w:keepLines w:val="0"/>
              <w:widowControl/>
              <w:suppressLineNumbers w:val="0"/>
              <w:spacing w:before="0" w:beforeAutospacing="0" w:after="0" w:afterAutospacing="0" w:line="440" w:lineRule="exact"/>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3、如在工作过程中业主方认为配备的工作人员不适合此岗位，中标人须无条件更换人员。</w:t>
            </w:r>
          </w:p>
        </w:tc>
      </w:tr>
    </w:tbl>
    <w:p w14:paraId="4DE5B1B7">
      <w:pPr>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四</w:t>
      </w:r>
      <w:r>
        <w:rPr>
          <w:rFonts w:hint="eastAsia" w:ascii="仿宋" w:hAnsi="仿宋" w:eastAsia="仿宋" w:cs="仿宋"/>
          <w:b/>
          <w:color w:val="auto"/>
          <w:sz w:val="21"/>
          <w:szCs w:val="21"/>
          <w:highlight w:val="none"/>
        </w:rPr>
        <w:t>、投标价格组成：</w:t>
      </w:r>
    </w:p>
    <w:p w14:paraId="783A514A">
      <w:pPr>
        <w:spacing w:line="440" w:lineRule="exact"/>
        <w:ind w:firstLine="525" w:firstLineChars="2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本项目投标总价须包含完成合同期内外包服务所需的所有费用。</w:t>
      </w:r>
    </w:p>
    <w:p w14:paraId="1C317BD5">
      <w:pPr>
        <w:spacing w:line="440" w:lineRule="exact"/>
        <w:rPr>
          <w:rFonts w:hint="eastAsia" w:ascii="仿宋" w:hAnsi="仿宋" w:eastAsia="仿宋" w:cs="仿宋"/>
          <w:b/>
          <w:color w:val="auto"/>
          <w:sz w:val="21"/>
          <w:szCs w:val="21"/>
          <w:highlight w:val="none"/>
        </w:rPr>
      </w:pPr>
      <w:bookmarkStart w:id="37" w:name="_Toc227406177"/>
      <w:r>
        <w:rPr>
          <w:rFonts w:hint="eastAsia" w:ascii="仿宋" w:hAnsi="仿宋" w:eastAsia="仿宋" w:cs="仿宋"/>
          <w:b/>
          <w:color w:val="auto"/>
          <w:sz w:val="21"/>
          <w:szCs w:val="21"/>
          <w:highlight w:val="none"/>
          <w:lang w:val="en-US" w:eastAsia="zh-CN"/>
        </w:rPr>
        <w:t>五</w:t>
      </w:r>
      <w:r>
        <w:rPr>
          <w:rFonts w:hint="eastAsia" w:ascii="仿宋" w:hAnsi="仿宋" w:eastAsia="仿宋" w:cs="仿宋"/>
          <w:b/>
          <w:color w:val="auto"/>
          <w:sz w:val="21"/>
          <w:szCs w:val="21"/>
          <w:highlight w:val="none"/>
        </w:rPr>
        <w:t>、其他要求</w:t>
      </w:r>
      <w:bookmarkEnd w:id="37"/>
    </w:p>
    <w:p w14:paraId="1A71E09E">
      <w:pPr>
        <w:spacing w:line="440" w:lineRule="exact"/>
        <w:ind w:firstLine="525" w:firstLineChars="2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（投标人至少应做出如下承诺）</w:t>
      </w:r>
    </w:p>
    <w:p w14:paraId="40773FA6">
      <w:pPr>
        <w:spacing w:line="440" w:lineRule="exact"/>
        <w:ind w:firstLine="525" w:firstLineChars="2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1、不允许联合体投标，中标单位不得合包、转包或分包。</w:t>
      </w:r>
    </w:p>
    <w:p w14:paraId="5DF32886">
      <w:pPr>
        <w:spacing w:line="440" w:lineRule="exact"/>
        <w:ind w:firstLine="525" w:firstLineChars="2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2、投标人必须提供书面的服务外包方案。</w:t>
      </w:r>
    </w:p>
    <w:p w14:paraId="7D984E7A">
      <w:pPr>
        <w:spacing w:line="440" w:lineRule="exact"/>
        <w:ind w:firstLine="525" w:firstLineChars="2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3、考核办法见宁波市江北区公路</w:t>
      </w:r>
      <w:r>
        <w:rPr>
          <w:rFonts w:hint="eastAsia" w:ascii="仿宋" w:hAnsi="仿宋" w:eastAsia="仿宋" w:cs="仿宋"/>
          <w:color w:val="auto"/>
          <w:sz w:val="21"/>
          <w:szCs w:val="21"/>
          <w:highlight w:val="none"/>
          <w:lang w:eastAsia="zh-CN"/>
        </w:rPr>
        <w:t>与运输管理中心</w:t>
      </w:r>
      <w:r>
        <w:rPr>
          <w:rFonts w:hint="eastAsia" w:ascii="仿宋" w:hAnsi="仿宋" w:eastAsia="仿宋" w:cs="仿宋"/>
          <w:color w:val="auto"/>
          <w:sz w:val="21"/>
          <w:szCs w:val="21"/>
          <w:highlight w:val="none"/>
        </w:rPr>
        <w:t>考核办法。</w:t>
      </w:r>
    </w:p>
    <w:p w14:paraId="21FA12DA">
      <w:pPr>
        <w:spacing w:line="440" w:lineRule="exact"/>
        <w:jc w:val="center"/>
        <w:rPr>
          <w:rFonts w:hint="eastAsia" w:ascii="仿宋" w:hAnsi="仿宋" w:eastAsia="仿宋" w:cs="仿宋"/>
          <w:b/>
          <w:color w:val="auto"/>
          <w:sz w:val="21"/>
          <w:szCs w:val="21"/>
          <w:highlight w:val="none"/>
        </w:rPr>
      </w:pPr>
    </w:p>
    <w:p w14:paraId="19431D9A">
      <w:pPr>
        <w:spacing w:line="440" w:lineRule="exact"/>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宁波市江北区公路</w:t>
      </w:r>
      <w:r>
        <w:rPr>
          <w:rFonts w:hint="eastAsia" w:ascii="仿宋" w:hAnsi="仿宋" w:eastAsia="仿宋" w:cs="仿宋"/>
          <w:b/>
          <w:color w:val="auto"/>
          <w:sz w:val="21"/>
          <w:szCs w:val="21"/>
          <w:highlight w:val="none"/>
          <w:lang w:eastAsia="zh-CN"/>
        </w:rPr>
        <w:t>与运输管理中心</w:t>
      </w:r>
      <w:r>
        <w:rPr>
          <w:rFonts w:hint="eastAsia" w:ascii="仿宋" w:hAnsi="仿宋" w:eastAsia="仿宋" w:cs="仿宋"/>
          <w:b/>
          <w:color w:val="auto"/>
          <w:sz w:val="21"/>
          <w:szCs w:val="21"/>
          <w:highlight w:val="none"/>
        </w:rPr>
        <w:t>考核办法</w:t>
      </w:r>
    </w:p>
    <w:tbl>
      <w:tblPr>
        <w:tblStyle w:val="25"/>
        <w:tblW w:w="96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383"/>
        <w:gridCol w:w="6000"/>
        <w:gridCol w:w="900"/>
        <w:gridCol w:w="864"/>
      </w:tblGrid>
      <w:tr w14:paraId="0562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124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3E4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考核内容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723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考核标准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990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标准分</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C3C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得分</w:t>
            </w:r>
          </w:p>
        </w:tc>
      </w:tr>
      <w:tr w14:paraId="68A2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E80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91E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重点考核内容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53F8">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江北区域内公路动静态监管监测情况进行考核，出现没有按业务科室要求完成的，每起扣2分；工作不到位导致本单位被省、市、区通报的每次扣5分，若公路异常核查不到位出现遗漏引起交通事故或投诉的每次扣5分；若江北区域内公路出现重大安全隐患，服务工作人员2小时内没有发现的，扣12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3C70">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90A7">
            <w:pPr>
              <w:jc w:val="left"/>
              <w:rPr>
                <w:rFonts w:hint="eastAsia" w:ascii="仿宋" w:hAnsi="仿宋" w:eastAsia="仿宋" w:cs="仿宋"/>
                <w:i w:val="0"/>
                <w:iCs w:val="0"/>
                <w:color w:val="000000"/>
                <w:sz w:val="21"/>
                <w:szCs w:val="21"/>
                <w:highlight w:val="none"/>
                <w:u w:val="none"/>
              </w:rPr>
            </w:pPr>
          </w:p>
        </w:tc>
      </w:tr>
      <w:tr w14:paraId="2495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A06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E95E">
            <w:pPr>
              <w:jc w:val="center"/>
              <w:rPr>
                <w:rFonts w:hint="eastAsia" w:ascii="仿宋" w:hAnsi="仿宋" w:eastAsia="仿宋" w:cs="仿宋"/>
                <w:i w:val="0"/>
                <w:iCs w:val="0"/>
                <w:color w:val="000000"/>
                <w:sz w:val="21"/>
                <w:szCs w:val="21"/>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9DE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数字公路、数字治超动态监测工作任务的完成情况进行考核，出现没有按业务科室要求完成的情况，每起扣2分；工作不到位导致本单位被省、市、区通报的每次扣5分；若设施设备、数据出现故障、异常等情况，服务工作人员30分钟内没有发现并登记汇报的，每次扣5分，若2小时内没发现并登记汇报的，扣12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9391">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1123">
            <w:pPr>
              <w:jc w:val="left"/>
              <w:rPr>
                <w:rFonts w:hint="eastAsia" w:ascii="仿宋" w:hAnsi="仿宋" w:eastAsia="仿宋" w:cs="仿宋"/>
                <w:i w:val="0"/>
                <w:iCs w:val="0"/>
                <w:color w:val="000000"/>
                <w:sz w:val="21"/>
                <w:szCs w:val="21"/>
                <w:highlight w:val="none"/>
                <w:u w:val="none"/>
              </w:rPr>
            </w:pPr>
          </w:p>
        </w:tc>
      </w:tr>
      <w:tr w14:paraId="3353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E0A8">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3</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17D6">
            <w:pPr>
              <w:jc w:val="center"/>
              <w:rPr>
                <w:rFonts w:hint="eastAsia" w:ascii="仿宋" w:hAnsi="仿宋" w:eastAsia="仿宋" w:cs="仿宋"/>
                <w:i w:val="0"/>
                <w:iCs w:val="0"/>
                <w:color w:val="000000"/>
                <w:sz w:val="21"/>
                <w:szCs w:val="21"/>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0033">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路网电话、值班电话、应急电话、城运转办电话等接听工作进行考核，未接听电话、未满足热线电话服务要求的，每次扣2分；来电人诉求合理，因处理不当，引发群众重复来电的每次扣5分；因漏接值班查岗电话、未回电等导致本单位被省、市、区通报的，扣12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7ED8">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C458">
            <w:pPr>
              <w:jc w:val="left"/>
              <w:rPr>
                <w:rFonts w:hint="eastAsia" w:ascii="仿宋" w:hAnsi="仿宋" w:eastAsia="仿宋" w:cs="仿宋"/>
                <w:i w:val="0"/>
                <w:iCs w:val="0"/>
                <w:color w:val="000000"/>
                <w:sz w:val="21"/>
                <w:szCs w:val="21"/>
                <w:highlight w:val="none"/>
                <w:u w:val="none"/>
              </w:rPr>
            </w:pPr>
          </w:p>
        </w:tc>
      </w:tr>
      <w:tr w14:paraId="03AE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99A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4</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997A">
            <w:pPr>
              <w:jc w:val="center"/>
              <w:rPr>
                <w:rFonts w:hint="eastAsia" w:ascii="仿宋" w:hAnsi="仿宋" w:eastAsia="仿宋" w:cs="仿宋"/>
                <w:i w:val="0"/>
                <w:iCs w:val="0"/>
                <w:color w:val="000000"/>
                <w:sz w:val="21"/>
                <w:szCs w:val="21"/>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32F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信息收集上报发布相关工作任务的完成情况进行考核，出现没有按业务科室要求完成的情况，每起扣2分；未按应急响应要求上报通阻信息，或延迟报送相关信息的，每次扣5分；未上报信息、信息上报不及时等导致本单位被省、市、区通报的，扣12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681B">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8517">
            <w:pPr>
              <w:jc w:val="left"/>
              <w:rPr>
                <w:rFonts w:hint="eastAsia" w:ascii="仿宋" w:hAnsi="仿宋" w:eastAsia="仿宋" w:cs="仿宋"/>
                <w:i w:val="0"/>
                <w:iCs w:val="0"/>
                <w:color w:val="000000"/>
                <w:sz w:val="21"/>
                <w:szCs w:val="21"/>
                <w:highlight w:val="none"/>
                <w:u w:val="none"/>
              </w:rPr>
            </w:pPr>
          </w:p>
        </w:tc>
      </w:tr>
      <w:tr w14:paraId="508D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939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D211">
            <w:pPr>
              <w:jc w:val="center"/>
              <w:rPr>
                <w:rFonts w:hint="eastAsia" w:ascii="仿宋" w:hAnsi="仿宋" w:eastAsia="仿宋" w:cs="仿宋"/>
                <w:i w:val="0"/>
                <w:iCs w:val="0"/>
                <w:color w:val="000000"/>
                <w:sz w:val="21"/>
                <w:szCs w:val="21"/>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75E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可变情报板的信息发布、安全管理进行考核，若出现信息发布不及时，每次扣2分；若因未根据单位要求信息发布不当被省、市、区通报的每次扣5分；若因人为原因出现可变情报板网络安全情况，并引发重大舆情的，扣12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748A">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B0AC">
            <w:pPr>
              <w:jc w:val="left"/>
              <w:rPr>
                <w:rFonts w:hint="eastAsia" w:ascii="仿宋" w:hAnsi="仿宋" w:eastAsia="仿宋" w:cs="仿宋"/>
                <w:i w:val="0"/>
                <w:iCs w:val="0"/>
                <w:color w:val="000000"/>
                <w:sz w:val="21"/>
                <w:szCs w:val="21"/>
                <w:highlight w:val="none"/>
                <w:u w:val="none"/>
              </w:rPr>
            </w:pPr>
          </w:p>
        </w:tc>
      </w:tr>
      <w:tr w14:paraId="34A6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61B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457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一般考核内容</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8C36">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对工作职责及日常工作任务的完成情况进行考核，没有按时按量完成的，扣5分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9128">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0011">
            <w:pPr>
              <w:jc w:val="left"/>
              <w:rPr>
                <w:rFonts w:hint="eastAsia" w:ascii="仿宋" w:hAnsi="仿宋" w:eastAsia="仿宋" w:cs="仿宋"/>
                <w:i w:val="0"/>
                <w:iCs w:val="0"/>
                <w:color w:val="000000"/>
                <w:sz w:val="21"/>
                <w:szCs w:val="21"/>
                <w:highlight w:val="none"/>
                <w:u w:val="none"/>
              </w:rPr>
            </w:pPr>
          </w:p>
        </w:tc>
      </w:tr>
      <w:tr w14:paraId="3357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B1A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7</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5E5F">
            <w:pPr>
              <w:jc w:val="center"/>
              <w:rPr>
                <w:rFonts w:hint="eastAsia" w:ascii="仿宋" w:hAnsi="仿宋" w:eastAsia="仿宋" w:cs="仿宋"/>
                <w:i w:val="0"/>
                <w:iCs w:val="0"/>
                <w:color w:val="000000"/>
                <w:sz w:val="21"/>
                <w:szCs w:val="21"/>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6A2C">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工作日报、周报、工作总结、各种台账等文件不及时上报、不完整的，扣5分；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5F0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F854">
            <w:pPr>
              <w:jc w:val="left"/>
              <w:rPr>
                <w:rFonts w:hint="eastAsia" w:ascii="仿宋" w:hAnsi="仿宋" w:eastAsia="仿宋" w:cs="仿宋"/>
                <w:i w:val="0"/>
                <w:iCs w:val="0"/>
                <w:color w:val="000000"/>
                <w:sz w:val="21"/>
                <w:szCs w:val="21"/>
                <w:highlight w:val="none"/>
                <w:u w:val="none"/>
              </w:rPr>
            </w:pPr>
          </w:p>
        </w:tc>
      </w:tr>
      <w:tr w14:paraId="5072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C68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8480">
            <w:pPr>
              <w:jc w:val="center"/>
              <w:rPr>
                <w:rFonts w:hint="eastAsia" w:ascii="仿宋" w:hAnsi="仿宋" w:eastAsia="仿宋" w:cs="仿宋"/>
                <w:i w:val="0"/>
                <w:iCs w:val="0"/>
                <w:color w:val="000000"/>
                <w:sz w:val="21"/>
                <w:szCs w:val="21"/>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178E">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值班人员因工作能力不足，不能单独完成相关工作的，扣5分；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FF66">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1ED2">
            <w:pPr>
              <w:jc w:val="left"/>
              <w:rPr>
                <w:rFonts w:hint="eastAsia" w:ascii="仿宋" w:hAnsi="仿宋" w:eastAsia="仿宋" w:cs="仿宋"/>
                <w:i w:val="0"/>
                <w:iCs w:val="0"/>
                <w:color w:val="000000"/>
                <w:sz w:val="21"/>
                <w:szCs w:val="21"/>
                <w:highlight w:val="none"/>
                <w:u w:val="none"/>
              </w:rPr>
            </w:pPr>
          </w:p>
        </w:tc>
      </w:tr>
      <w:tr w14:paraId="5B4D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AB3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ADFA">
            <w:pPr>
              <w:jc w:val="center"/>
              <w:rPr>
                <w:rFonts w:hint="eastAsia" w:ascii="仿宋" w:hAnsi="仿宋" w:eastAsia="仿宋" w:cs="仿宋"/>
                <w:i w:val="0"/>
                <w:iCs w:val="0"/>
                <w:color w:val="000000"/>
                <w:sz w:val="21"/>
                <w:szCs w:val="21"/>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C41F">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工作中人为原因发生错误或事故的，扣5分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A57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3C00">
            <w:pPr>
              <w:jc w:val="left"/>
              <w:rPr>
                <w:rFonts w:hint="eastAsia" w:ascii="仿宋" w:hAnsi="仿宋" w:eastAsia="仿宋" w:cs="仿宋"/>
                <w:i w:val="0"/>
                <w:iCs w:val="0"/>
                <w:color w:val="000000"/>
                <w:sz w:val="21"/>
                <w:szCs w:val="21"/>
                <w:highlight w:val="none"/>
                <w:u w:val="none"/>
              </w:rPr>
            </w:pPr>
          </w:p>
        </w:tc>
      </w:tr>
      <w:tr w14:paraId="3A99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B9E5">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10</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A73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工作纪律</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08D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有人员迟到早退的、着装不得体；扣5分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C54F">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44FB">
            <w:pPr>
              <w:jc w:val="left"/>
              <w:rPr>
                <w:rFonts w:hint="eastAsia" w:ascii="仿宋" w:hAnsi="仿宋" w:eastAsia="仿宋" w:cs="仿宋"/>
                <w:i w:val="0"/>
                <w:iCs w:val="0"/>
                <w:color w:val="000000"/>
                <w:sz w:val="21"/>
                <w:szCs w:val="21"/>
                <w:highlight w:val="none"/>
                <w:u w:val="none"/>
              </w:rPr>
            </w:pPr>
          </w:p>
        </w:tc>
      </w:tr>
      <w:tr w14:paraId="2DDD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9099">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11</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04F1">
            <w:pPr>
              <w:jc w:val="center"/>
              <w:rPr>
                <w:rFonts w:hint="eastAsia" w:ascii="仿宋" w:hAnsi="仿宋" w:eastAsia="仿宋" w:cs="仿宋"/>
                <w:i w:val="0"/>
                <w:iCs w:val="0"/>
                <w:color w:val="000000"/>
                <w:sz w:val="21"/>
                <w:szCs w:val="21"/>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CB77">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中心场所卫生情况较差、有无关工作物资堆放的；扣5分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C7E2">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8828">
            <w:pPr>
              <w:jc w:val="left"/>
              <w:rPr>
                <w:rFonts w:hint="eastAsia" w:ascii="仿宋" w:hAnsi="仿宋" w:eastAsia="仿宋" w:cs="仿宋"/>
                <w:i w:val="0"/>
                <w:iCs w:val="0"/>
                <w:color w:val="000000"/>
                <w:sz w:val="21"/>
                <w:szCs w:val="21"/>
                <w:highlight w:val="none"/>
                <w:u w:val="none"/>
              </w:rPr>
            </w:pPr>
          </w:p>
        </w:tc>
      </w:tr>
      <w:tr w14:paraId="5BE7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F9B4">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12</w:t>
            </w: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892F">
            <w:pPr>
              <w:jc w:val="center"/>
              <w:rPr>
                <w:rFonts w:hint="eastAsia" w:ascii="仿宋" w:hAnsi="仿宋" w:eastAsia="仿宋" w:cs="仿宋"/>
                <w:i w:val="0"/>
                <w:iCs w:val="0"/>
                <w:color w:val="000000"/>
                <w:sz w:val="21"/>
                <w:szCs w:val="21"/>
                <w:highlight w:val="none"/>
                <w:u w:val="none"/>
              </w:rPr>
            </w:pP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11C5">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未严格遵守政府机关单位的工作纪律；扣5分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830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7FB3">
            <w:pPr>
              <w:jc w:val="left"/>
              <w:rPr>
                <w:rFonts w:hint="eastAsia" w:ascii="仿宋" w:hAnsi="仿宋" w:eastAsia="仿宋" w:cs="仿宋"/>
                <w:i w:val="0"/>
                <w:iCs w:val="0"/>
                <w:color w:val="000000"/>
                <w:sz w:val="21"/>
                <w:szCs w:val="21"/>
                <w:highlight w:val="none"/>
                <w:u w:val="none"/>
              </w:rPr>
            </w:pPr>
          </w:p>
        </w:tc>
      </w:tr>
      <w:tr w14:paraId="64F2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66C3">
            <w:pPr>
              <w:keepNext w:val="0"/>
              <w:keepLines w:val="0"/>
              <w:widowControl/>
              <w:suppressLineNumbers w:val="0"/>
              <w:jc w:val="center"/>
              <w:textAlignment w:val="center"/>
              <w:rPr>
                <w:rFonts w:hint="default" w:ascii="仿宋" w:hAnsi="仿宋" w:eastAsia="仿宋" w:cs="仿宋"/>
                <w:i w:val="0"/>
                <w:iCs w:val="0"/>
                <w:color w:val="000000"/>
                <w:sz w:val="21"/>
                <w:szCs w:val="21"/>
                <w:highlight w:val="none"/>
                <w:u w:val="none"/>
                <w:lang w:val="en-US"/>
              </w:rPr>
            </w:pPr>
            <w:r>
              <w:rPr>
                <w:rFonts w:hint="eastAsia" w:ascii="仿宋" w:hAnsi="仿宋" w:eastAsia="仿宋" w:cs="仿宋"/>
                <w:i w:val="0"/>
                <w:iCs w:val="0"/>
                <w:color w:val="000000"/>
                <w:kern w:val="0"/>
                <w:sz w:val="21"/>
                <w:szCs w:val="21"/>
                <w:highlight w:val="none"/>
                <w:u w:val="none"/>
                <w:lang w:val="en-US" w:eastAsia="zh-CN" w:bidi="ar"/>
              </w:rPr>
              <w:t>13</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EDBB">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其他</w:t>
            </w:r>
          </w:p>
        </w:tc>
        <w:tc>
          <w:tcPr>
            <w:tcW w:w="6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916A">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其他未按规定执行的特殊应急情况，扣5分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5D85">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E5DE">
            <w:pPr>
              <w:jc w:val="left"/>
              <w:rPr>
                <w:rFonts w:hint="eastAsia" w:ascii="仿宋" w:hAnsi="仿宋" w:eastAsia="仿宋" w:cs="仿宋"/>
                <w:i w:val="0"/>
                <w:iCs w:val="0"/>
                <w:color w:val="000000"/>
                <w:sz w:val="21"/>
                <w:szCs w:val="21"/>
                <w:highlight w:val="none"/>
                <w:u w:val="none"/>
              </w:rPr>
            </w:pPr>
          </w:p>
        </w:tc>
      </w:tr>
      <w:tr w14:paraId="464C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96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CE1FB4">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考核按月打分，每季度取月平均分，季度考核总分为100分。考核得分90分以上为优良，80至89分为合格，70至79分为基本合格，70分以下为不合格。考核结果与年度外包服务费拨款、下个周期委托管理合同招标等相挂钩，考核为合格以上全额拨款，考核为基本合格的扣除运季度外包服务费额度10%，考核为不合格的，应按照要求进行整改，并扣除季度外包服务费额度30%，若整改不力或因监控不力造成路面重大安全事故的，扣除其季度外包服务费额度的50%，并取消其委托服务的资格，依法追究其法律责任。</w:t>
            </w:r>
          </w:p>
        </w:tc>
      </w:tr>
    </w:tbl>
    <w:p w14:paraId="7167203B">
      <w:pPr>
        <w:rPr>
          <w:rFonts w:hint="eastAsia" w:ascii="仿宋" w:hAnsi="仿宋" w:eastAsia="仿宋" w:cs="仿宋"/>
          <w:b/>
          <w:bCs/>
          <w:color w:val="auto"/>
          <w:sz w:val="28"/>
          <w:szCs w:val="28"/>
          <w:highlight w:val="none"/>
          <w:lang w:val="en-US" w:eastAsia="zh-CN"/>
        </w:rPr>
      </w:pPr>
    </w:p>
    <w:p w14:paraId="268458CB">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bookmarkStart w:id="38" w:name="_Toc4379"/>
    </w:p>
    <w:p w14:paraId="1895A72D">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p>
    <w:p w14:paraId="10BEBE6C">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p>
    <w:p w14:paraId="09B0F130">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p>
    <w:p w14:paraId="06E5046B">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p>
    <w:p w14:paraId="32609013">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p>
    <w:p w14:paraId="3D44461D">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p>
    <w:p w14:paraId="378ACF08">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p>
    <w:p w14:paraId="0227D3D7">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p>
    <w:p w14:paraId="573BB03B">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p>
    <w:p w14:paraId="6734606C">
      <w:pPr>
        <w:pStyle w:val="2"/>
        <w:rPr>
          <w:rFonts w:hint="eastAsia" w:ascii="仿宋" w:hAnsi="仿宋" w:eastAsia="仿宋" w:cs="仿宋"/>
          <w:b/>
          <w:bCs/>
          <w:color w:val="auto"/>
          <w:sz w:val="28"/>
          <w:szCs w:val="28"/>
          <w:highlight w:val="none"/>
          <w:lang w:val="en-US" w:eastAsia="zh-CN"/>
        </w:rPr>
      </w:pPr>
    </w:p>
    <w:p w14:paraId="33A5B8FA">
      <w:pPr>
        <w:rPr>
          <w:rFonts w:hint="eastAsia" w:ascii="仿宋" w:hAnsi="仿宋" w:eastAsia="仿宋" w:cs="仿宋"/>
          <w:b/>
          <w:bCs/>
          <w:color w:val="auto"/>
          <w:sz w:val="28"/>
          <w:szCs w:val="28"/>
          <w:highlight w:val="none"/>
          <w:lang w:val="en-US" w:eastAsia="zh-CN"/>
        </w:rPr>
      </w:pPr>
    </w:p>
    <w:p w14:paraId="65F6A5EB">
      <w:pPr>
        <w:pStyle w:val="2"/>
        <w:rPr>
          <w:rFonts w:hint="eastAsia"/>
          <w:highlight w:val="none"/>
          <w:lang w:val="en-US" w:eastAsia="zh-CN"/>
        </w:rPr>
      </w:pPr>
    </w:p>
    <w:p w14:paraId="1004FD8F">
      <w:pPr>
        <w:spacing w:beforeLines="50" w:line="360" w:lineRule="auto"/>
        <w:ind w:firstLine="562" w:firstLineChars="200"/>
        <w:jc w:val="center"/>
        <w:outlineLvl w:val="0"/>
        <w:rPr>
          <w:rFonts w:hint="eastAsia" w:ascii="仿宋" w:hAnsi="仿宋" w:eastAsia="仿宋" w:cs="仿宋"/>
          <w:b/>
          <w:bCs/>
          <w:color w:val="auto"/>
          <w:sz w:val="28"/>
          <w:szCs w:val="28"/>
          <w:highlight w:val="none"/>
          <w:lang w:val="en-US" w:eastAsia="zh-CN"/>
        </w:rPr>
      </w:pPr>
    </w:p>
    <w:p w14:paraId="7F8BFBBC">
      <w:pPr>
        <w:spacing w:beforeLines="50" w:line="360" w:lineRule="auto"/>
        <w:ind w:firstLine="562" w:firstLineChars="200"/>
        <w:jc w:val="center"/>
        <w:outlineLvl w:val="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 xml:space="preserve">第三部分  </w:t>
      </w:r>
      <w:r>
        <w:rPr>
          <w:rFonts w:hint="eastAsia" w:ascii="仿宋" w:hAnsi="仿宋" w:eastAsia="仿宋" w:cs="仿宋"/>
          <w:b/>
          <w:bCs/>
          <w:color w:val="auto"/>
          <w:sz w:val="28"/>
          <w:szCs w:val="28"/>
          <w:highlight w:val="none"/>
        </w:rPr>
        <w:t>竞争性磋商须知</w:t>
      </w:r>
      <w:bookmarkEnd w:id="38"/>
    </w:p>
    <w:p w14:paraId="761E056F">
      <w:pPr>
        <w:spacing w:line="360" w:lineRule="auto"/>
        <w:ind w:firstLine="422" w:firstLineChars="20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竞争性磋商须知前附表</w:t>
      </w:r>
    </w:p>
    <w:p w14:paraId="0A064B36">
      <w:pP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本部分各条款是关于本次竞争性磋商采购活动的具体说明和要求，如与竞争性磋商须知有矛盾的，应以此为准。</w:t>
      </w:r>
    </w:p>
    <w:tbl>
      <w:tblPr>
        <w:tblStyle w:val="25"/>
        <w:tblW w:w="4999" w:type="pct"/>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autofit"/>
        <w:tblCellMar>
          <w:top w:w="0" w:type="dxa"/>
          <w:left w:w="108" w:type="dxa"/>
          <w:bottom w:w="0" w:type="dxa"/>
          <w:right w:w="108" w:type="dxa"/>
        </w:tblCellMar>
      </w:tblPr>
      <w:tblGrid>
        <w:gridCol w:w="1179"/>
        <w:gridCol w:w="62"/>
        <w:gridCol w:w="8720"/>
      </w:tblGrid>
      <w:tr w14:paraId="2F707A1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bottom w:val="single" w:color="000000" w:sz="6" w:space="0"/>
            </w:tcBorders>
            <w:vAlign w:val="center"/>
          </w:tcPr>
          <w:p w14:paraId="79289C60">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条款号</w:t>
            </w:r>
          </w:p>
        </w:tc>
        <w:tc>
          <w:tcPr>
            <w:tcW w:w="4407" w:type="pct"/>
            <w:gridSpan w:val="2"/>
            <w:tcBorders>
              <w:bottom w:val="single" w:color="000000" w:sz="6" w:space="0"/>
            </w:tcBorders>
            <w:vAlign w:val="center"/>
          </w:tcPr>
          <w:p w14:paraId="7A84DAE3">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内      容</w:t>
            </w:r>
          </w:p>
        </w:tc>
      </w:tr>
      <w:tr w14:paraId="0EC0F51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000" w:type="pct"/>
            <w:gridSpan w:val="3"/>
            <w:tcBorders>
              <w:top w:val="nil"/>
              <w:bottom w:val="single" w:color="auto" w:sz="4" w:space="0"/>
            </w:tcBorders>
            <w:vAlign w:val="center"/>
          </w:tcPr>
          <w:p w14:paraId="05AA2E45">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说          明</w:t>
            </w:r>
          </w:p>
        </w:tc>
      </w:tr>
      <w:tr w14:paraId="49BC2E1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29FE9A2F">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w:t>
            </w:r>
          </w:p>
        </w:tc>
        <w:tc>
          <w:tcPr>
            <w:tcW w:w="4407" w:type="pct"/>
            <w:gridSpan w:val="2"/>
            <w:tcBorders>
              <w:top w:val="single" w:color="auto" w:sz="4" w:space="0"/>
              <w:bottom w:val="single" w:color="auto" w:sz="4" w:space="0"/>
            </w:tcBorders>
            <w:vAlign w:val="center"/>
          </w:tcPr>
          <w:p w14:paraId="4458BD02">
            <w:pPr>
              <w:spacing w:line="360" w:lineRule="exact"/>
              <w:rPr>
                <w:rFonts w:hint="eastAsia" w:ascii="仿宋" w:hAnsi="仿宋" w:eastAsia="仿宋" w:cs="仿宋"/>
                <w:color w:val="auto"/>
                <w:spacing w:val="6"/>
                <w:sz w:val="21"/>
                <w:szCs w:val="21"/>
                <w:highlight w:val="none"/>
                <w:shd w:val="clear" w:color="auto" w:fill="FFFFFF"/>
                <w:lang w:val="en-US" w:eastAsia="zh-CN"/>
              </w:rPr>
            </w:pPr>
            <w:r>
              <w:rPr>
                <w:rFonts w:hint="eastAsia" w:ascii="仿宋" w:hAnsi="仿宋" w:eastAsia="仿宋" w:cs="仿宋"/>
                <w:color w:val="auto"/>
                <w:spacing w:val="6"/>
                <w:sz w:val="21"/>
                <w:szCs w:val="21"/>
                <w:highlight w:val="none"/>
                <w:shd w:val="clear" w:color="auto" w:fill="FFFFFF"/>
                <w:lang w:val="en-US"/>
              </w:rPr>
              <w:t>采购人：</w:t>
            </w:r>
            <w:r>
              <w:rPr>
                <w:rFonts w:hint="eastAsia" w:ascii="仿宋" w:hAnsi="仿宋" w:eastAsia="仿宋" w:cs="仿宋"/>
                <w:color w:val="auto"/>
                <w:spacing w:val="6"/>
                <w:sz w:val="21"/>
                <w:szCs w:val="21"/>
                <w:highlight w:val="none"/>
                <w:shd w:val="clear" w:color="auto" w:fill="FFFFFF"/>
                <w:lang w:val="en-US" w:eastAsia="zh-CN"/>
              </w:rPr>
              <w:t>宁波市江北区公路与运输管理中心</w:t>
            </w:r>
          </w:p>
        </w:tc>
      </w:tr>
      <w:tr w14:paraId="7A9F85F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455085EA">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w:t>
            </w:r>
          </w:p>
        </w:tc>
        <w:tc>
          <w:tcPr>
            <w:tcW w:w="4407" w:type="pct"/>
            <w:gridSpan w:val="2"/>
            <w:tcBorders>
              <w:top w:val="single" w:color="auto" w:sz="4" w:space="0"/>
              <w:bottom w:val="single" w:color="auto" w:sz="4" w:space="0"/>
            </w:tcBorders>
            <w:vAlign w:val="center"/>
          </w:tcPr>
          <w:p w14:paraId="43DFCCC9">
            <w:pPr>
              <w:spacing w:line="360" w:lineRule="exact"/>
              <w:rPr>
                <w:rFonts w:hint="eastAsia" w:ascii="仿宋" w:hAnsi="仿宋" w:eastAsia="仿宋" w:cs="仿宋"/>
                <w:color w:val="auto"/>
                <w:spacing w:val="6"/>
                <w:sz w:val="21"/>
                <w:szCs w:val="21"/>
                <w:highlight w:val="none"/>
                <w:shd w:val="clear" w:color="auto" w:fill="FFFFFF"/>
                <w:lang w:val="en-US"/>
              </w:rPr>
            </w:pPr>
            <w:r>
              <w:rPr>
                <w:rFonts w:hint="eastAsia" w:ascii="仿宋" w:hAnsi="仿宋" w:eastAsia="仿宋" w:cs="仿宋"/>
                <w:color w:val="auto"/>
                <w:spacing w:val="6"/>
                <w:sz w:val="21"/>
                <w:szCs w:val="21"/>
                <w:highlight w:val="none"/>
                <w:shd w:val="clear" w:color="auto" w:fill="FFFFFF"/>
                <w:lang w:val="en-US" w:eastAsia="zh-CN"/>
              </w:rPr>
              <w:t>项目名称</w:t>
            </w:r>
            <w:r>
              <w:rPr>
                <w:rFonts w:hint="eastAsia" w:ascii="仿宋" w:hAnsi="仿宋" w:eastAsia="仿宋" w:cs="仿宋"/>
                <w:color w:val="auto"/>
                <w:spacing w:val="6"/>
                <w:sz w:val="21"/>
                <w:szCs w:val="21"/>
                <w:highlight w:val="none"/>
                <w:shd w:val="clear" w:color="auto" w:fill="FFFFFF"/>
                <w:lang w:val="en-US"/>
              </w:rPr>
              <w:t>：</w:t>
            </w:r>
            <w:r>
              <w:rPr>
                <w:rFonts w:hint="eastAsia" w:ascii="仿宋" w:hAnsi="仿宋" w:eastAsia="仿宋" w:cs="仿宋"/>
                <w:color w:val="auto"/>
                <w:spacing w:val="6"/>
                <w:sz w:val="21"/>
                <w:szCs w:val="21"/>
                <w:highlight w:val="none"/>
                <w:shd w:val="clear" w:color="auto" w:fill="FFFFFF"/>
                <w:lang w:val="zh-CN"/>
              </w:rPr>
              <w:t>江北区公路与运输管理中心8小时外路网服务外包项目</w:t>
            </w:r>
          </w:p>
        </w:tc>
      </w:tr>
      <w:tr w14:paraId="5AD3924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6D6F8999">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2.3</w:t>
            </w:r>
          </w:p>
        </w:tc>
        <w:tc>
          <w:tcPr>
            <w:tcW w:w="4407" w:type="pct"/>
            <w:gridSpan w:val="2"/>
            <w:tcBorders>
              <w:top w:val="single" w:color="auto" w:sz="4" w:space="0"/>
              <w:bottom w:val="single" w:color="auto" w:sz="4" w:space="0"/>
            </w:tcBorders>
            <w:vAlign w:val="center"/>
          </w:tcPr>
          <w:p w14:paraId="26F2C8E9">
            <w:pPr>
              <w:spacing w:line="24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合格的供应商来源：</w:t>
            </w:r>
            <w:r>
              <w:rPr>
                <w:rFonts w:hint="eastAsia" w:ascii="仿宋" w:hAnsi="仿宋" w:eastAsia="仿宋" w:cs="仿宋"/>
                <w:color w:val="auto"/>
                <w:szCs w:val="21"/>
                <w:highlight w:val="none"/>
                <w:u w:val="single"/>
              </w:rPr>
              <w:t>国内</w:t>
            </w:r>
          </w:p>
        </w:tc>
      </w:tr>
      <w:tr w14:paraId="069E5C7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25C5371F">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w:t>
            </w:r>
          </w:p>
        </w:tc>
        <w:tc>
          <w:tcPr>
            <w:tcW w:w="4407" w:type="pct"/>
            <w:gridSpan w:val="2"/>
            <w:tcBorders>
              <w:top w:val="single" w:color="auto" w:sz="4" w:space="0"/>
              <w:bottom w:val="single" w:color="auto" w:sz="4" w:space="0"/>
            </w:tcBorders>
            <w:vAlign w:val="center"/>
          </w:tcPr>
          <w:p w14:paraId="70C06A68">
            <w:pPr>
              <w:spacing w:line="24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采购代理机构名称：</w:t>
            </w:r>
            <w:r>
              <w:rPr>
                <w:rFonts w:hint="eastAsia" w:ascii="仿宋" w:hAnsi="仿宋" w:eastAsia="仿宋" w:cs="仿宋"/>
                <w:color w:val="auto"/>
                <w:szCs w:val="21"/>
                <w:highlight w:val="none"/>
                <w:u w:val="single"/>
                <w:lang w:eastAsia="zh-CN"/>
              </w:rPr>
              <w:t>宁波安全三江工程咨询招标代理有限公司</w:t>
            </w:r>
          </w:p>
        </w:tc>
      </w:tr>
      <w:tr w14:paraId="598B384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000" w:type="pct"/>
            <w:gridSpan w:val="3"/>
            <w:tcBorders>
              <w:top w:val="single" w:color="auto" w:sz="4" w:space="0"/>
              <w:bottom w:val="single" w:color="auto" w:sz="4" w:space="0"/>
            </w:tcBorders>
            <w:vAlign w:val="center"/>
          </w:tcPr>
          <w:p w14:paraId="3AACD321">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报  价  和  货  币</w:t>
            </w:r>
          </w:p>
        </w:tc>
      </w:tr>
      <w:tr w14:paraId="7B09123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48CDCB67">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★2.5</w:t>
            </w:r>
          </w:p>
        </w:tc>
        <w:tc>
          <w:tcPr>
            <w:tcW w:w="4407" w:type="pct"/>
            <w:gridSpan w:val="2"/>
            <w:tcBorders>
              <w:top w:val="single" w:color="auto" w:sz="4" w:space="0"/>
              <w:bottom w:val="single" w:color="auto" w:sz="4" w:space="0"/>
            </w:tcBorders>
            <w:vAlign w:val="center"/>
          </w:tcPr>
          <w:p w14:paraId="5EFDDD06">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磋商响应报价：包含完成合同期内外包服务所需的所有费用</w:t>
            </w:r>
            <w:r>
              <w:rPr>
                <w:rFonts w:hint="eastAsia" w:ascii="仿宋" w:hAnsi="仿宋" w:eastAsia="仿宋" w:cs="仿宋"/>
                <w:color w:val="auto"/>
                <w:spacing w:val="6"/>
                <w:sz w:val="21"/>
                <w:szCs w:val="21"/>
                <w:highlight w:val="none"/>
                <w:shd w:val="clear" w:color="auto" w:fill="FFFFFF"/>
                <w:lang w:val="en-US"/>
              </w:rPr>
              <w:t>。除非因特殊原因并经双方协商同意，供应商不得再要求追加任何费用。同时，除非合同条款中另有规定，否则，供应商所报价格在合同实施期间不因市场变化和政策因素而变动。</w:t>
            </w:r>
          </w:p>
          <w:p w14:paraId="41E14CB8">
            <w:pPr>
              <w:spacing w:line="360" w:lineRule="exac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本项目</w:t>
            </w:r>
            <w:r>
              <w:rPr>
                <w:rFonts w:hint="eastAsia" w:ascii="仿宋" w:hAnsi="仿宋" w:eastAsia="仿宋" w:cs="仿宋"/>
                <w:color w:val="auto"/>
                <w:szCs w:val="21"/>
                <w:highlight w:val="none"/>
                <w:lang w:val="en-US" w:eastAsia="zh-CN"/>
              </w:rPr>
              <w:t>预算金额</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最高限价</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为</w:t>
            </w:r>
            <w:r>
              <w:rPr>
                <w:rFonts w:hint="eastAsia" w:ascii="仿宋" w:hAnsi="仿宋" w:eastAsia="仿宋" w:cs="仿宋"/>
                <w:color w:val="auto"/>
                <w:szCs w:val="21"/>
                <w:highlight w:val="none"/>
                <w:lang w:val="en-US" w:eastAsia="zh-CN"/>
              </w:rPr>
              <w:t>200000元。</w:t>
            </w:r>
          </w:p>
          <w:p w14:paraId="6A0FBF60">
            <w:pPr>
              <w:spacing w:line="360" w:lineRule="exact"/>
              <w:rPr>
                <w:rFonts w:hint="eastAsia" w:ascii="仿宋" w:hAnsi="仿宋" w:eastAsia="仿宋" w:cs="仿宋"/>
                <w:b/>
                <w:i/>
                <w:color w:val="auto"/>
                <w:szCs w:val="21"/>
                <w:highlight w:val="none"/>
                <w:u w:val="single"/>
              </w:rPr>
            </w:pPr>
            <w:r>
              <w:rPr>
                <w:rFonts w:hint="eastAsia" w:ascii="仿宋" w:hAnsi="仿宋" w:eastAsia="仿宋" w:cs="仿宋"/>
                <w:b/>
                <w:bCs/>
                <w:color w:val="auto"/>
                <w:szCs w:val="21"/>
                <w:highlight w:val="none"/>
                <w:lang w:val="en-US" w:eastAsia="zh-CN"/>
              </w:rPr>
              <w:t>响应报价超过预算金额</w:t>
            </w:r>
            <w:r>
              <w:rPr>
                <w:rFonts w:hint="eastAsia" w:ascii="仿宋" w:hAnsi="仿宋" w:eastAsia="仿宋" w:cs="仿宋"/>
                <w:b/>
                <w:bCs/>
                <w:color w:val="auto"/>
                <w:kern w:val="0"/>
                <w:szCs w:val="21"/>
                <w:highlight w:val="none"/>
                <w:lang w:eastAsia="zh-CN"/>
              </w:rPr>
              <w:t>（</w:t>
            </w:r>
            <w:r>
              <w:rPr>
                <w:rFonts w:hint="eastAsia" w:ascii="仿宋" w:hAnsi="仿宋" w:eastAsia="仿宋" w:cs="仿宋"/>
                <w:b/>
                <w:bCs/>
                <w:color w:val="auto"/>
                <w:kern w:val="0"/>
                <w:szCs w:val="21"/>
                <w:highlight w:val="none"/>
                <w:lang w:val="en-US" w:eastAsia="zh-CN"/>
              </w:rPr>
              <w:t>最高限价</w:t>
            </w:r>
            <w:r>
              <w:rPr>
                <w:rFonts w:hint="eastAsia" w:ascii="仿宋" w:hAnsi="仿宋" w:eastAsia="仿宋" w:cs="仿宋"/>
                <w:b/>
                <w:bCs/>
                <w:color w:val="auto"/>
                <w:kern w:val="0"/>
                <w:szCs w:val="21"/>
                <w:highlight w:val="none"/>
                <w:lang w:eastAsia="zh-CN"/>
              </w:rPr>
              <w:t>）</w:t>
            </w:r>
            <w:r>
              <w:rPr>
                <w:rFonts w:hint="eastAsia" w:ascii="仿宋" w:hAnsi="仿宋" w:eastAsia="仿宋" w:cs="仿宋"/>
                <w:b/>
                <w:bCs/>
                <w:color w:val="auto"/>
                <w:szCs w:val="21"/>
                <w:highlight w:val="none"/>
                <w:lang w:val="en-US" w:eastAsia="zh-CN"/>
              </w:rPr>
              <w:t>的将作无效响应处理。</w:t>
            </w:r>
          </w:p>
        </w:tc>
      </w:tr>
      <w:tr w14:paraId="264B28F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415E50EE">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★2.6</w:t>
            </w:r>
          </w:p>
        </w:tc>
        <w:tc>
          <w:tcPr>
            <w:tcW w:w="4407" w:type="pct"/>
            <w:gridSpan w:val="2"/>
            <w:tcBorders>
              <w:top w:val="single" w:color="auto" w:sz="4" w:space="0"/>
              <w:bottom w:val="single" w:color="auto" w:sz="4" w:space="0"/>
            </w:tcBorders>
            <w:vAlign w:val="center"/>
          </w:tcPr>
          <w:p w14:paraId="5DA12ABE">
            <w:pPr>
              <w:spacing w:line="360" w:lineRule="exact"/>
              <w:rPr>
                <w:rFonts w:hint="eastAsia" w:ascii="仿宋" w:hAnsi="仿宋" w:eastAsia="仿宋" w:cs="仿宋"/>
                <w:i/>
                <w:color w:val="auto"/>
                <w:szCs w:val="21"/>
                <w:highlight w:val="none"/>
                <w:lang w:eastAsia="zh-CN"/>
              </w:rPr>
            </w:pPr>
            <w:r>
              <w:rPr>
                <w:rFonts w:hint="eastAsia" w:ascii="仿宋" w:hAnsi="仿宋" w:eastAsia="仿宋" w:cs="仿宋"/>
                <w:color w:val="auto"/>
                <w:szCs w:val="21"/>
                <w:highlight w:val="none"/>
              </w:rPr>
              <w:t>报价货币：人民币</w:t>
            </w:r>
            <w:r>
              <w:rPr>
                <w:rFonts w:hint="eastAsia" w:ascii="仿宋" w:hAnsi="仿宋" w:eastAsia="仿宋" w:cs="仿宋"/>
                <w:color w:val="auto"/>
                <w:szCs w:val="21"/>
                <w:highlight w:val="none"/>
                <w:lang w:eastAsia="zh-CN"/>
              </w:rPr>
              <w:t>。</w:t>
            </w:r>
          </w:p>
        </w:tc>
      </w:tr>
      <w:tr w14:paraId="75C5F66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000" w:type="pct"/>
            <w:gridSpan w:val="3"/>
            <w:tcBorders>
              <w:top w:val="single" w:color="auto" w:sz="4" w:space="0"/>
              <w:bottom w:val="single" w:color="auto" w:sz="4" w:space="0"/>
            </w:tcBorders>
            <w:vAlign w:val="center"/>
          </w:tcPr>
          <w:p w14:paraId="7E69AA98">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报 价 书 的 编 制 和 递 交</w:t>
            </w:r>
          </w:p>
        </w:tc>
      </w:tr>
      <w:tr w14:paraId="75BC938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47064CB7">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★2.7</w:t>
            </w:r>
          </w:p>
        </w:tc>
        <w:tc>
          <w:tcPr>
            <w:tcW w:w="4407" w:type="pct"/>
            <w:gridSpan w:val="2"/>
            <w:tcBorders>
              <w:top w:val="single" w:color="auto" w:sz="4" w:space="0"/>
              <w:bottom w:val="single" w:color="auto" w:sz="4" w:space="0"/>
            </w:tcBorders>
            <w:vAlign w:val="center"/>
          </w:tcPr>
          <w:p w14:paraId="077CBEBB">
            <w:pPr>
              <w:spacing w:line="3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供应商资格要求：详见采购公告</w:t>
            </w:r>
            <w:r>
              <w:rPr>
                <w:rFonts w:hint="eastAsia" w:ascii="仿宋" w:hAnsi="仿宋" w:eastAsia="仿宋" w:cs="仿宋"/>
                <w:color w:val="auto"/>
                <w:szCs w:val="21"/>
                <w:highlight w:val="none"/>
                <w:lang w:eastAsia="zh-CN"/>
              </w:rPr>
              <w:t>。</w:t>
            </w:r>
          </w:p>
        </w:tc>
      </w:tr>
      <w:tr w14:paraId="718E0EF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000000" w:sz="6" w:space="0"/>
            </w:tcBorders>
            <w:vAlign w:val="center"/>
          </w:tcPr>
          <w:p w14:paraId="72F5A7F6">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2.8</w:t>
            </w:r>
          </w:p>
        </w:tc>
        <w:tc>
          <w:tcPr>
            <w:tcW w:w="4407" w:type="pct"/>
            <w:gridSpan w:val="2"/>
            <w:tcBorders>
              <w:top w:val="single" w:color="auto" w:sz="4" w:space="0"/>
              <w:bottom w:val="single" w:color="000000" w:sz="6" w:space="0"/>
            </w:tcBorders>
            <w:vAlign w:val="center"/>
          </w:tcPr>
          <w:p w14:paraId="1E3FA8F0">
            <w:pPr>
              <w:spacing w:line="240" w:lineRule="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rPr>
              <w:t>磋商保证金金额：</w:t>
            </w:r>
            <w:r>
              <w:rPr>
                <w:rFonts w:hint="eastAsia" w:ascii="仿宋" w:hAnsi="仿宋" w:eastAsia="仿宋" w:cs="仿宋"/>
                <w:b/>
                <w:bCs/>
                <w:color w:val="auto"/>
                <w:szCs w:val="21"/>
                <w:highlight w:val="none"/>
                <w:lang w:val="en-US" w:eastAsia="zh-CN"/>
              </w:rPr>
              <w:t>无。</w:t>
            </w:r>
          </w:p>
        </w:tc>
      </w:tr>
      <w:tr w14:paraId="590747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000000" w:sz="6" w:space="0"/>
            </w:tcBorders>
            <w:vAlign w:val="center"/>
          </w:tcPr>
          <w:p w14:paraId="7F2B09EE">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2.9</w:t>
            </w:r>
          </w:p>
        </w:tc>
        <w:tc>
          <w:tcPr>
            <w:tcW w:w="4407" w:type="pct"/>
            <w:gridSpan w:val="2"/>
            <w:tcBorders>
              <w:top w:val="single" w:color="auto" w:sz="4" w:space="0"/>
              <w:bottom w:val="single" w:color="000000" w:sz="6" w:space="0"/>
            </w:tcBorders>
            <w:vAlign w:val="center"/>
          </w:tcPr>
          <w:p w14:paraId="5179FE8A">
            <w:pPr>
              <w:autoSpaceDE w:val="0"/>
              <w:autoSpaceDN w:val="0"/>
              <w:adjustRightInd w:val="0"/>
              <w:spacing w:line="240" w:lineRule="auto"/>
              <w:jc w:val="left"/>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rPr>
              <w:t>磋商保证金形式：</w:t>
            </w:r>
            <w:r>
              <w:rPr>
                <w:rFonts w:hint="eastAsia" w:ascii="仿宋" w:hAnsi="仿宋" w:eastAsia="仿宋" w:cs="仿宋"/>
                <w:b/>
                <w:bCs/>
                <w:color w:val="auto"/>
                <w:szCs w:val="21"/>
                <w:highlight w:val="none"/>
                <w:lang w:val="en-US" w:eastAsia="zh-CN"/>
              </w:rPr>
              <w:t>/。</w:t>
            </w:r>
          </w:p>
        </w:tc>
      </w:tr>
      <w:tr w14:paraId="359B2AE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000000" w:sz="6" w:space="0"/>
            </w:tcBorders>
            <w:vAlign w:val="center"/>
          </w:tcPr>
          <w:p w14:paraId="432B8DC3">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★2.10</w:t>
            </w:r>
          </w:p>
        </w:tc>
        <w:tc>
          <w:tcPr>
            <w:tcW w:w="4407" w:type="pct"/>
            <w:gridSpan w:val="2"/>
            <w:tcBorders>
              <w:top w:val="single" w:color="auto" w:sz="4" w:space="0"/>
              <w:bottom w:val="single" w:color="000000" w:sz="6" w:space="0"/>
            </w:tcBorders>
            <w:vAlign w:val="center"/>
          </w:tcPr>
          <w:p w14:paraId="6E5D3353">
            <w:pPr>
              <w:spacing w:line="24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磋商响应文件的组成及要求：</w:t>
            </w:r>
            <w:r>
              <w:rPr>
                <w:rFonts w:hint="eastAsia" w:ascii="仿宋" w:hAnsi="仿宋" w:eastAsia="仿宋" w:cs="仿宋"/>
                <w:color w:val="auto"/>
                <w:szCs w:val="21"/>
                <w:highlight w:val="none"/>
              </w:rPr>
              <w:t>见“竞争性磋商须知”第1.6条款</w:t>
            </w:r>
          </w:p>
        </w:tc>
      </w:tr>
      <w:tr w14:paraId="7DEA5A8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000000" w:sz="6" w:space="0"/>
            </w:tcBorders>
            <w:vAlign w:val="center"/>
          </w:tcPr>
          <w:p w14:paraId="6F649064">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★2.11</w:t>
            </w:r>
          </w:p>
        </w:tc>
        <w:tc>
          <w:tcPr>
            <w:tcW w:w="4407" w:type="pct"/>
            <w:gridSpan w:val="2"/>
            <w:tcBorders>
              <w:top w:val="single" w:color="auto" w:sz="4" w:space="0"/>
              <w:bottom w:val="single" w:color="000000" w:sz="6" w:space="0"/>
            </w:tcBorders>
            <w:vAlign w:val="center"/>
          </w:tcPr>
          <w:p w14:paraId="0FC218D8">
            <w:pPr>
              <w:spacing w:line="36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报价的价格构成：</w:t>
            </w:r>
            <w:r>
              <w:rPr>
                <w:rFonts w:hint="eastAsia" w:ascii="仿宋" w:hAnsi="仿宋" w:eastAsia="仿宋" w:cs="仿宋"/>
                <w:b w:val="0"/>
                <w:bCs/>
                <w:color w:val="auto"/>
                <w:szCs w:val="21"/>
                <w:highlight w:val="none"/>
              </w:rPr>
              <w:t>包含完成合同期内外包服务所需的所有费用</w:t>
            </w:r>
            <w:r>
              <w:rPr>
                <w:rFonts w:hint="eastAsia" w:ascii="仿宋" w:hAnsi="仿宋" w:eastAsia="仿宋" w:cs="仿宋"/>
                <w:color w:val="auto"/>
                <w:szCs w:val="21"/>
                <w:highlight w:val="none"/>
              </w:rPr>
              <w:t>。</w:t>
            </w:r>
          </w:p>
        </w:tc>
      </w:tr>
      <w:tr w14:paraId="53F9677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000000" w:sz="6" w:space="0"/>
            </w:tcBorders>
            <w:vAlign w:val="center"/>
          </w:tcPr>
          <w:p w14:paraId="584DD2E7">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★2.12</w:t>
            </w:r>
          </w:p>
        </w:tc>
        <w:tc>
          <w:tcPr>
            <w:tcW w:w="4407" w:type="pct"/>
            <w:gridSpan w:val="2"/>
            <w:tcBorders>
              <w:top w:val="single" w:color="auto" w:sz="4" w:space="0"/>
              <w:bottom w:val="single" w:color="000000" w:sz="6" w:space="0"/>
            </w:tcBorders>
            <w:vAlign w:val="center"/>
          </w:tcPr>
          <w:p w14:paraId="06D6CDAF">
            <w:pPr>
              <w:spacing w:line="3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磋商有效期：</w:t>
            </w:r>
            <w:r>
              <w:rPr>
                <w:rFonts w:hint="eastAsia" w:ascii="仿宋" w:hAnsi="仿宋" w:eastAsia="仿宋" w:cs="仿宋"/>
                <w:color w:val="auto"/>
                <w:sz w:val="21"/>
                <w:szCs w:val="21"/>
                <w:highlight w:val="none"/>
              </w:rPr>
              <w:t>自接受磋商响应文件截止之日起</w:t>
            </w:r>
            <w:r>
              <w:rPr>
                <w:rFonts w:hint="eastAsia" w:ascii="仿宋" w:hAnsi="仿宋" w:eastAsia="仿宋" w:cs="仿宋"/>
                <w:color w:val="auto"/>
                <w:szCs w:val="21"/>
                <w:highlight w:val="none"/>
                <w:u w:val="single"/>
              </w:rPr>
              <w:t>60</w:t>
            </w:r>
            <w:r>
              <w:rPr>
                <w:rFonts w:hint="eastAsia" w:ascii="仿宋" w:hAnsi="仿宋" w:eastAsia="仿宋" w:cs="仿宋"/>
                <w:color w:val="auto"/>
                <w:szCs w:val="21"/>
                <w:highlight w:val="none"/>
              </w:rPr>
              <w:t>天</w:t>
            </w:r>
            <w:r>
              <w:rPr>
                <w:rFonts w:hint="eastAsia" w:ascii="仿宋" w:hAnsi="仿宋" w:eastAsia="仿宋" w:cs="仿宋"/>
                <w:color w:val="auto"/>
                <w:szCs w:val="21"/>
                <w:highlight w:val="none"/>
                <w:lang w:eastAsia="zh-CN"/>
              </w:rPr>
              <w:t>。</w:t>
            </w:r>
          </w:p>
        </w:tc>
      </w:tr>
      <w:tr w14:paraId="7F9EF59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right w:val="single" w:color="auto" w:sz="4" w:space="0"/>
            </w:tcBorders>
            <w:vAlign w:val="center"/>
          </w:tcPr>
          <w:p w14:paraId="193ABFE5">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★2.13</w:t>
            </w:r>
          </w:p>
        </w:tc>
        <w:tc>
          <w:tcPr>
            <w:tcW w:w="4407" w:type="pct"/>
            <w:gridSpan w:val="2"/>
            <w:tcBorders>
              <w:top w:val="single" w:color="auto" w:sz="4" w:space="0"/>
              <w:left w:val="single" w:color="auto" w:sz="4" w:space="0"/>
              <w:bottom w:val="single" w:color="auto" w:sz="4" w:space="0"/>
            </w:tcBorders>
            <w:vAlign w:val="center"/>
          </w:tcPr>
          <w:p w14:paraId="026878B7">
            <w:pPr>
              <w:spacing w:line="360" w:lineRule="exact"/>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磋商响应文件数量要求，正本：</w:t>
            </w:r>
            <w:r>
              <w:rPr>
                <w:rFonts w:hint="eastAsia" w:ascii="仿宋" w:hAnsi="仿宋" w:eastAsia="仿宋" w:cs="仿宋"/>
                <w:color w:val="auto"/>
                <w:szCs w:val="21"/>
                <w:highlight w:val="none"/>
                <w:u w:val="single"/>
              </w:rPr>
              <w:t>1</w:t>
            </w:r>
            <w:r>
              <w:rPr>
                <w:rFonts w:hint="eastAsia" w:ascii="仿宋" w:hAnsi="仿宋" w:eastAsia="仿宋" w:cs="仿宋"/>
                <w:color w:val="auto"/>
                <w:szCs w:val="21"/>
                <w:highlight w:val="none"/>
              </w:rPr>
              <w:t>份、副本：</w:t>
            </w:r>
            <w:r>
              <w:rPr>
                <w:rFonts w:hint="eastAsia" w:ascii="仿宋" w:hAnsi="仿宋" w:eastAsia="仿宋" w:cs="仿宋"/>
                <w:color w:val="auto"/>
                <w:szCs w:val="21"/>
                <w:highlight w:val="none"/>
                <w:u w:val="single"/>
                <w:lang w:val="en-US" w:eastAsia="zh-CN"/>
              </w:rPr>
              <w:t>2</w:t>
            </w:r>
            <w:r>
              <w:rPr>
                <w:rFonts w:hint="eastAsia" w:ascii="仿宋" w:hAnsi="仿宋" w:eastAsia="仿宋" w:cs="仿宋"/>
                <w:color w:val="auto"/>
                <w:szCs w:val="21"/>
                <w:highlight w:val="none"/>
              </w:rPr>
              <w:t>份</w:t>
            </w:r>
            <w:r>
              <w:rPr>
                <w:rFonts w:hint="eastAsia" w:ascii="仿宋" w:hAnsi="仿宋" w:eastAsia="仿宋" w:cs="仿宋"/>
                <w:color w:val="auto"/>
                <w:szCs w:val="21"/>
                <w:highlight w:val="none"/>
                <w:lang w:eastAsia="zh-CN"/>
              </w:rPr>
              <w:t>。</w:t>
            </w:r>
          </w:p>
        </w:tc>
      </w:tr>
      <w:tr w14:paraId="76A86DC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04CB2AD3">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2.14</w:t>
            </w:r>
          </w:p>
        </w:tc>
        <w:tc>
          <w:tcPr>
            <w:tcW w:w="4407" w:type="pct"/>
            <w:gridSpan w:val="2"/>
            <w:tcBorders>
              <w:top w:val="single" w:color="auto" w:sz="4" w:space="0"/>
              <w:bottom w:val="single" w:color="auto" w:sz="4" w:space="0"/>
            </w:tcBorders>
            <w:vAlign w:val="center"/>
          </w:tcPr>
          <w:p w14:paraId="7EA577F7">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磋商响应截止时间：</w:t>
            </w:r>
            <w:r>
              <w:rPr>
                <w:rFonts w:hint="eastAsia" w:ascii="仿宋" w:hAnsi="仿宋" w:eastAsia="仿宋" w:cs="仿宋"/>
                <w:color w:val="auto"/>
                <w:szCs w:val="21"/>
                <w:highlight w:val="none"/>
                <w:lang w:eastAsia="zh-CN"/>
              </w:rPr>
              <w:t>详见采购公告。</w:t>
            </w:r>
          </w:p>
          <w:p w14:paraId="745B9936">
            <w:pPr>
              <w:spacing w:line="3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磋商响应文件递交至：详见采购公告。</w:t>
            </w:r>
          </w:p>
        </w:tc>
      </w:tr>
      <w:tr w14:paraId="5181BB2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1FB92669">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2.15</w:t>
            </w:r>
          </w:p>
        </w:tc>
        <w:tc>
          <w:tcPr>
            <w:tcW w:w="4407" w:type="pct"/>
            <w:gridSpan w:val="2"/>
            <w:tcBorders>
              <w:top w:val="single" w:color="auto" w:sz="4" w:space="0"/>
              <w:bottom w:val="single" w:color="auto" w:sz="4" w:space="0"/>
            </w:tcBorders>
            <w:vAlign w:val="center"/>
          </w:tcPr>
          <w:p w14:paraId="5FE82355">
            <w:pPr>
              <w:spacing w:line="360" w:lineRule="exac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其他应注意的事项</w:t>
            </w:r>
            <w:r>
              <w:rPr>
                <w:rFonts w:hint="eastAsia" w:ascii="仿宋" w:hAnsi="仿宋" w:eastAsia="仿宋" w:cs="仿宋"/>
                <w:color w:val="auto"/>
                <w:szCs w:val="21"/>
                <w:highlight w:val="none"/>
              </w:rPr>
              <w:t>：</w:t>
            </w:r>
          </w:p>
          <w:p w14:paraId="51B89205">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各供应商应在磋商响应文件递交截止时间之前提交磋商响应文件；</w:t>
            </w:r>
          </w:p>
          <w:p w14:paraId="7FB4DC20">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在磋商过程中，磋商小组有可能要求供应商出具由供应商代表签字的书面澄清，该澄清应视为磋商响应文件的组成部分，具有相应的法律效力。</w:t>
            </w:r>
          </w:p>
          <w:p w14:paraId="3A1976C3">
            <w:pPr>
              <w:spacing w:line="360" w:lineRule="exact"/>
              <w:rPr>
                <w:rFonts w:hint="eastAsia" w:ascii="仿宋" w:hAnsi="仿宋" w:eastAsia="仿宋" w:cs="仿宋"/>
                <w:i/>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关于备选方案的约定：不允许有备选方案的磋商响应。</w:t>
            </w:r>
          </w:p>
        </w:tc>
      </w:tr>
      <w:tr w14:paraId="391EE2A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000" w:type="pct"/>
            <w:gridSpan w:val="3"/>
            <w:tcBorders>
              <w:top w:val="single" w:color="auto" w:sz="4" w:space="0"/>
              <w:bottom w:val="single" w:color="auto" w:sz="4" w:space="0"/>
            </w:tcBorders>
            <w:vAlign w:val="center"/>
          </w:tcPr>
          <w:p w14:paraId="744999F9">
            <w:pPr>
              <w:spacing w:line="36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商 务 条 款  </w:t>
            </w:r>
          </w:p>
        </w:tc>
      </w:tr>
      <w:tr w14:paraId="3760EE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right w:val="single" w:color="auto" w:sz="4" w:space="0"/>
            </w:tcBorders>
            <w:vAlign w:val="center"/>
          </w:tcPr>
          <w:p w14:paraId="4B2D2885">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2.16</w:t>
            </w:r>
          </w:p>
        </w:tc>
        <w:tc>
          <w:tcPr>
            <w:tcW w:w="4407" w:type="pct"/>
            <w:gridSpan w:val="2"/>
            <w:tcBorders>
              <w:top w:val="single" w:color="auto" w:sz="4" w:space="0"/>
              <w:left w:val="single" w:color="auto" w:sz="4" w:space="0"/>
              <w:bottom w:val="single" w:color="auto" w:sz="4" w:space="0"/>
            </w:tcBorders>
            <w:vAlign w:val="center"/>
          </w:tcPr>
          <w:p w14:paraId="2F1F8211">
            <w:pPr>
              <w:spacing w:line="3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履约保证金</w:t>
            </w:r>
            <w:r>
              <w:rPr>
                <w:rFonts w:hint="eastAsia" w:ascii="仿宋" w:hAnsi="仿宋" w:eastAsia="仿宋" w:cs="仿宋"/>
                <w:color w:val="auto"/>
                <w:szCs w:val="21"/>
                <w:highlight w:val="none"/>
                <w:lang w:eastAsia="zh-CN"/>
              </w:rPr>
              <w:t>：详见采购</w:t>
            </w:r>
            <w:r>
              <w:rPr>
                <w:rFonts w:hint="eastAsia" w:ascii="仿宋" w:hAnsi="仿宋" w:eastAsia="仿宋" w:cs="仿宋"/>
                <w:color w:val="auto"/>
                <w:szCs w:val="21"/>
                <w:highlight w:val="none"/>
                <w:lang w:val="en-US" w:eastAsia="zh-CN"/>
              </w:rPr>
              <w:t>内容及要求</w:t>
            </w:r>
            <w:r>
              <w:rPr>
                <w:rFonts w:hint="eastAsia" w:ascii="仿宋" w:hAnsi="仿宋" w:eastAsia="仿宋" w:cs="仿宋"/>
                <w:color w:val="auto"/>
                <w:szCs w:val="21"/>
                <w:highlight w:val="none"/>
                <w:lang w:eastAsia="zh-CN"/>
              </w:rPr>
              <w:t>商务要求。</w:t>
            </w:r>
          </w:p>
        </w:tc>
      </w:tr>
      <w:tr w14:paraId="0F3E3D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48B15931">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2.17</w:t>
            </w:r>
          </w:p>
        </w:tc>
        <w:tc>
          <w:tcPr>
            <w:tcW w:w="4407" w:type="pct"/>
            <w:gridSpan w:val="2"/>
            <w:tcBorders>
              <w:top w:val="single" w:color="auto" w:sz="4" w:space="0"/>
              <w:bottom w:val="single" w:color="auto" w:sz="4" w:space="0"/>
            </w:tcBorders>
            <w:vAlign w:val="center"/>
          </w:tcPr>
          <w:p w14:paraId="62EAB6C3">
            <w:pPr>
              <w:tabs>
                <w:tab w:val="left" w:pos="1134"/>
              </w:tabs>
              <w:spacing w:line="360" w:lineRule="exact"/>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rPr>
              <w:t>服务地点：采购人指定地点</w:t>
            </w:r>
            <w:r>
              <w:rPr>
                <w:rFonts w:hint="eastAsia" w:ascii="仿宋" w:hAnsi="仿宋" w:eastAsia="仿宋" w:cs="仿宋"/>
                <w:color w:val="auto"/>
                <w:szCs w:val="21"/>
                <w:highlight w:val="none"/>
                <w:lang w:eastAsia="zh-CN"/>
              </w:rPr>
              <w:t>。</w:t>
            </w:r>
          </w:p>
        </w:tc>
      </w:tr>
      <w:tr w14:paraId="0FFD3F9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411214CA">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2.18</w:t>
            </w:r>
          </w:p>
        </w:tc>
        <w:tc>
          <w:tcPr>
            <w:tcW w:w="4407" w:type="pct"/>
            <w:gridSpan w:val="2"/>
            <w:tcBorders>
              <w:top w:val="single" w:color="auto" w:sz="4" w:space="0"/>
              <w:bottom w:val="single" w:color="auto" w:sz="4" w:space="0"/>
            </w:tcBorders>
            <w:vAlign w:val="center"/>
          </w:tcPr>
          <w:p w14:paraId="173A0BDC">
            <w:pPr>
              <w:spacing w:line="3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服务期限：</w:t>
            </w:r>
            <w:r>
              <w:rPr>
                <w:rFonts w:hint="eastAsia" w:ascii="仿宋" w:hAnsi="仿宋" w:eastAsia="仿宋" w:cs="仿宋"/>
                <w:color w:val="auto"/>
                <w:szCs w:val="21"/>
                <w:highlight w:val="none"/>
                <w:lang w:val="en-US" w:eastAsia="zh-CN"/>
              </w:rPr>
              <w:t>详见采购公告。</w:t>
            </w:r>
          </w:p>
        </w:tc>
      </w:tr>
      <w:tr w14:paraId="09FBEBF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right w:val="single" w:color="auto" w:sz="4" w:space="0"/>
            </w:tcBorders>
            <w:vAlign w:val="center"/>
          </w:tcPr>
          <w:p w14:paraId="38D2A637">
            <w:pPr>
              <w:spacing w:line="36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2.19</w:t>
            </w:r>
          </w:p>
        </w:tc>
        <w:tc>
          <w:tcPr>
            <w:tcW w:w="4407" w:type="pct"/>
            <w:gridSpan w:val="2"/>
            <w:tcBorders>
              <w:top w:val="single" w:color="auto" w:sz="4" w:space="0"/>
              <w:left w:val="single" w:color="auto" w:sz="4" w:space="0"/>
              <w:bottom w:val="single" w:color="auto" w:sz="4" w:space="0"/>
            </w:tcBorders>
            <w:vAlign w:val="center"/>
          </w:tcPr>
          <w:p w14:paraId="749A0F1F">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付款方法和条件：</w:t>
            </w:r>
            <w:r>
              <w:rPr>
                <w:rFonts w:hint="eastAsia" w:ascii="仿宋" w:hAnsi="仿宋" w:eastAsia="仿宋" w:cs="仿宋"/>
                <w:color w:val="auto"/>
                <w:szCs w:val="21"/>
                <w:highlight w:val="none"/>
                <w:lang w:eastAsia="zh-CN"/>
              </w:rPr>
              <w:t>详见采购</w:t>
            </w:r>
            <w:r>
              <w:rPr>
                <w:rFonts w:hint="eastAsia" w:ascii="仿宋" w:hAnsi="仿宋" w:eastAsia="仿宋" w:cs="仿宋"/>
                <w:color w:val="auto"/>
                <w:szCs w:val="21"/>
                <w:highlight w:val="none"/>
                <w:lang w:val="en-US" w:eastAsia="zh-CN"/>
              </w:rPr>
              <w:t>内容及要求</w:t>
            </w:r>
            <w:r>
              <w:rPr>
                <w:rFonts w:hint="eastAsia" w:ascii="仿宋" w:hAnsi="仿宋" w:eastAsia="仿宋" w:cs="仿宋"/>
                <w:color w:val="auto"/>
                <w:szCs w:val="21"/>
                <w:highlight w:val="none"/>
                <w:lang w:eastAsia="zh-CN"/>
              </w:rPr>
              <w:t>商务要求。</w:t>
            </w:r>
          </w:p>
        </w:tc>
      </w:tr>
      <w:tr w14:paraId="66B90A1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000" w:type="pct"/>
            <w:gridSpan w:val="3"/>
            <w:tcBorders>
              <w:top w:val="single" w:color="auto" w:sz="4" w:space="0"/>
              <w:left w:val="single" w:color="000000" w:sz="12" w:space="0"/>
              <w:bottom w:val="single" w:color="auto" w:sz="4" w:space="0"/>
            </w:tcBorders>
            <w:vAlign w:val="center"/>
          </w:tcPr>
          <w:p w14:paraId="376C471A">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竞 争 性 磋 商 程 序</w:t>
            </w:r>
          </w:p>
        </w:tc>
      </w:tr>
      <w:tr w14:paraId="48FD0DD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left w:val="single" w:color="auto" w:sz="12" w:space="0"/>
              <w:bottom w:val="single" w:color="auto" w:sz="4" w:space="0"/>
              <w:right w:val="single" w:color="auto" w:sz="4" w:space="0"/>
            </w:tcBorders>
            <w:vAlign w:val="center"/>
          </w:tcPr>
          <w:p w14:paraId="35F29847">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2.21</w:t>
            </w:r>
          </w:p>
        </w:tc>
        <w:tc>
          <w:tcPr>
            <w:tcW w:w="4407" w:type="pct"/>
            <w:gridSpan w:val="2"/>
            <w:tcBorders>
              <w:top w:val="single" w:color="auto" w:sz="4" w:space="0"/>
              <w:left w:val="single" w:color="auto" w:sz="4" w:space="0"/>
              <w:bottom w:val="single" w:color="auto" w:sz="4" w:space="0"/>
            </w:tcBorders>
            <w:vAlign w:val="center"/>
          </w:tcPr>
          <w:p w14:paraId="6FC227A8">
            <w:pPr>
              <w:spacing w:line="360" w:lineRule="exact"/>
              <w:ind w:left="210" w:hanging="210" w:hanging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在采购过程中符合竞争要求的供应商不足三家只有两家的情况时，采购人有权继续按原采购方式进行，也可以重新开展采购活动。</w:t>
            </w:r>
          </w:p>
          <w:p w14:paraId="3018412A">
            <w:pPr>
              <w:spacing w:line="360" w:lineRule="exact"/>
              <w:ind w:left="210" w:hanging="210" w:hanging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竞争性磋商不进行公开唱价。磋商小组在开始磋商时间到后对供应商响应文件进行评审，判定其是否实质性响应磋商文件的要求；</w:t>
            </w:r>
          </w:p>
          <w:p w14:paraId="33A89DDD">
            <w:pPr>
              <w:spacing w:line="360" w:lineRule="exact"/>
              <w:ind w:left="210" w:hanging="210" w:hanging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未实质性响应磋商文件的供应商，磋商小组应当场告之，不再进入后续程序。磋商小组将与实质性响应磋商文件要求的供应商进行磋商；</w:t>
            </w:r>
          </w:p>
          <w:p w14:paraId="50635CA7">
            <w:pPr>
              <w:spacing w:line="360" w:lineRule="exact"/>
              <w:ind w:left="210" w:hanging="210" w:hanging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参加磋商的供应商在规定时间内提交最后报价（第二次报价），提交最后报价的供应商不足三家只有两家的情况时，采购人有权继续按原采购方式进行，也可以重新开展采购活动。如供应商只有一家的情况时，</w:t>
            </w:r>
            <w:r>
              <w:rPr>
                <w:rFonts w:hint="eastAsia" w:ascii="仿宋" w:hAnsi="仿宋" w:eastAsia="仿宋" w:cs="仿宋"/>
                <w:color w:val="auto"/>
                <w:szCs w:val="21"/>
                <w:highlight w:val="none"/>
                <w:lang w:val="en-US" w:eastAsia="zh-CN"/>
              </w:rPr>
              <w:t>采购人将</w:t>
            </w:r>
            <w:r>
              <w:rPr>
                <w:rFonts w:hint="eastAsia" w:ascii="仿宋" w:hAnsi="仿宋" w:eastAsia="仿宋" w:cs="仿宋"/>
                <w:color w:val="auto"/>
                <w:szCs w:val="21"/>
                <w:highlight w:val="none"/>
              </w:rPr>
              <w:t>终止磋商程序，重新开展采购活动。</w:t>
            </w:r>
          </w:p>
          <w:p w14:paraId="43DC630D">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磋商小组按照评定成交的标准确定成交候选人；</w:t>
            </w:r>
          </w:p>
          <w:p w14:paraId="03E59545">
            <w:pPr>
              <w:spacing w:line="360" w:lineRule="exact"/>
              <w:ind w:left="210" w:hanging="210" w:hanging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采购人确定成交供应商；</w:t>
            </w:r>
          </w:p>
          <w:p w14:paraId="77EB80DF">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采购人与成交供应商签订合同。</w:t>
            </w:r>
          </w:p>
        </w:tc>
      </w:tr>
      <w:tr w14:paraId="37F7957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000" w:type="pct"/>
            <w:gridSpan w:val="3"/>
            <w:tcBorders>
              <w:top w:val="single" w:color="auto" w:sz="4" w:space="0"/>
              <w:left w:val="single" w:color="000000" w:sz="12" w:space="0"/>
              <w:bottom w:val="single" w:color="auto" w:sz="4" w:space="0"/>
            </w:tcBorders>
            <w:vAlign w:val="center"/>
          </w:tcPr>
          <w:p w14:paraId="37D0CD0C">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竞 争 性 磋 商 其 它 约 定</w:t>
            </w:r>
          </w:p>
        </w:tc>
      </w:tr>
      <w:tr w14:paraId="599243A1">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left w:val="single" w:color="auto" w:sz="12" w:space="0"/>
              <w:bottom w:val="single" w:color="auto" w:sz="4" w:space="0"/>
              <w:right w:val="single" w:color="auto" w:sz="4" w:space="0"/>
            </w:tcBorders>
            <w:vAlign w:val="center"/>
          </w:tcPr>
          <w:p w14:paraId="5BC65442">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2.22</w:t>
            </w:r>
          </w:p>
        </w:tc>
        <w:tc>
          <w:tcPr>
            <w:tcW w:w="4407" w:type="pct"/>
            <w:gridSpan w:val="2"/>
            <w:tcBorders>
              <w:top w:val="single" w:color="auto" w:sz="4" w:space="0"/>
              <w:left w:val="single" w:color="auto" w:sz="4" w:space="0"/>
              <w:bottom w:val="single" w:color="auto" w:sz="4" w:space="0"/>
            </w:tcBorders>
            <w:vAlign w:val="center"/>
          </w:tcPr>
          <w:p w14:paraId="02DCB1BC">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磋商小组在磋商过程中，可以根据磋商文件和磋商情况实质性变动</w:t>
            </w:r>
            <w:r>
              <w:rPr>
                <w:rFonts w:hint="eastAsia" w:ascii="仿宋" w:hAnsi="仿宋" w:eastAsia="仿宋" w:cs="仿宋"/>
                <w:color w:val="auto"/>
                <w:szCs w:val="21"/>
                <w:highlight w:val="none"/>
                <w:u w:val="single"/>
                <w:lang w:val="en-US" w:eastAsia="zh-CN"/>
              </w:rPr>
              <w:t>采购内容及要求中的技术、服务及合同草案条款</w:t>
            </w:r>
            <w:r>
              <w:rPr>
                <w:rFonts w:hint="eastAsia" w:ascii="仿宋" w:hAnsi="仿宋" w:eastAsia="仿宋" w:cs="仿宋"/>
                <w:color w:val="auto"/>
                <w:szCs w:val="21"/>
                <w:highlight w:val="none"/>
              </w:rPr>
              <w:t>，但不得变动磋商文件中的其他内容。实质性变动的内容须经采购人代表确认同意。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供应商为自然人的，应当由本人签字并附身份证明。</w:t>
            </w:r>
          </w:p>
        </w:tc>
      </w:tr>
      <w:tr w14:paraId="0E7306F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000" w:type="pct"/>
            <w:gridSpan w:val="3"/>
            <w:tcBorders>
              <w:top w:val="single" w:color="auto" w:sz="4" w:space="0"/>
              <w:left w:val="single" w:color="000000" w:sz="12" w:space="0"/>
              <w:bottom w:val="single" w:color="auto" w:sz="4" w:space="0"/>
            </w:tcBorders>
            <w:vAlign w:val="center"/>
          </w:tcPr>
          <w:p w14:paraId="4E9D5E33">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授   予   合   同</w:t>
            </w:r>
          </w:p>
        </w:tc>
      </w:tr>
      <w:tr w14:paraId="1DC32AC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476BC1F7">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2.23</w:t>
            </w:r>
          </w:p>
        </w:tc>
        <w:tc>
          <w:tcPr>
            <w:tcW w:w="4407" w:type="pct"/>
            <w:gridSpan w:val="2"/>
            <w:tcBorders>
              <w:top w:val="single" w:color="auto" w:sz="4" w:space="0"/>
              <w:bottom w:val="single" w:color="auto" w:sz="4" w:space="0"/>
            </w:tcBorders>
            <w:vAlign w:val="center"/>
          </w:tcPr>
          <w:p w14:paraId="5D9857F9">
            <w:pPr>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按照磋商文件的规定、成交供应商的响应文件、成交通知书确定的内容签订合同。</w:t>
            </w:r>
          </w:p>
          <w:p w14:paraId="27A96F1F">
            <w:pPr>
              <w:spacing w:line="360" w:lineRule="exact"/>
              <w:rPr>
                <w:rFonts w:hint="eastAsia" w:ascii="仿宋" w:hAnsi="仿宋" w:eastAsia="仿宋" w:cs="仿宋"/>
                <w:i/>
                <w:color w:val="auto"/>
                <w:szCs w:val="21"/>
                <w:highlight w:val="none"/>
                <w:lang w:eastAsia="zh-CN"/>
              </w:rPr>
            </w:pPr>
            <w:r>
              <w:rPr>
                <w:rFonts w:hint="eastAsia" w:ascii="仿宋" w:hAnsi="仿宋" w:eastAsia="仿宋" w:cs="仿宋"/>
                <w:color w:val="auto"/>
                <w:szCs w:val="21"/>
                <w:highlight w:val="none"/>
              </w:rPr>
              <w:t>合同签订时间：成交通知书发出</w:t>
            </w:r>
            <w:r>
              <w:rPr>
                <w:rFonts w:hint="eastAsia" w:ascii="仿宋" w:hAnsi="仿宋" w:eastAsia="仿宋" w:cs="仿宋"/>
                <w:color w:val="auto"/>
                <w:szCs w:val="21"/>
                <w:highlight w:val="none"/>
                <w:u w:val="single"/>
              </w:rPr>
              <w:t>30</w:t>
            </w:r>
            <w:r>
              <w:rPr>
                <w:rFonts w:hint="eastAsia" w:ascii="仿宋" w:hAnsi="仿宋" w:eastAsia="仿宋" w:cs="仿宋"/>
                <w:color w:val="auto"/>
                <w:szCs w:val="21"/>
                <w:highlight w:val="none"/>
              </w:rPr>
              <w:t>日内</w:t>
            </w:r>
            <w:r>
              <w:rPr>
                <w:rFonts w:hint="eastAsia" w:ascii="仿宋" w:hAnsi="仿宋" w:eastAsia="仿宋" w:cs="仿宋"/>
                <w:color w:val="auto"/>
                <w:szCs w:val="21"/>
                <w:highlight w:val="none"/>
                <w:lang w:eastAsia="zh-CN"/>
              </w:rPr>
              <w:t>。</w:t>
            </w:r>
          </w:p>
        </w:tc>
      </w:tr>
      <w:tr w14:paraId="3ACEF6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92" w:type="pct"/>
            <w:tcBorders>
              <w:top w:val="single" w:color="auto" w:sz="4" w:space="0"/>
              <w:bottom w:val="single" w:color="auto" w:sz="4" w:space="0"/>
            </w:tcBorders>
            <w:vAlign w:val="center"/>
          </w:tcPr>
          <w:p w14:paraId="5A400C8B">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2.24</w:t>
            </w:r>
          </w:p>
        </w:tc>
        <w:tc>
          <w:tcPr>
            <w:tcW w:w="4407" w:type="pct"/>
            <w:gridSpan w:val="2"/>
            <w:tcBorders>
              <w:top w:val="single" w:color="auto" w:sz="4" w:space="0"/>
              <w:bottom w:val="single" w:color="auto" w:sz="4" w:space="0"/>
            </w:tcBorders>
            <w:vAlign w:val="center"/>
          </w:tcPr>
          <w:p w14:paraId="6B544F1B">
            <w:pPr>
              <w:spacing w:line="3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验收：采购人自行验收</w:t>
            </w:r>
            <w:r>
              <w:rPr>
                <w:rFonts w:hint="eastAsia" w:ascii="仿宋" w:hAnsi="仿宋" w:eastAsia="仿宋" w:cs="仿宋"/>
                <w:color w:val="auto"/>
                <w:szCs w:val="21"/>
                <w:highlight w:val="none"/>
                <w:lang w:eastAsia="zh-CN"/>
              </w:rPr>
              <w:t>。</w:t>
            </w:r>
          </w:p>
        </w:tc>
      </w:tr>
      <w:tr w14:paraId="6A728F7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5000" w:type="pct"/>
            <w:gridSpan w:val="3"/>
            <w:tcBorders>
              <w:top w:val="single" w:color="auto" w:sz="4" w:space="0"/>
              <w:bottom w:val="single" w:color="auto" w:sz="4" w:space="0"/>
            </w:tcBorders>
            <w:vAlign w:val="center"/>
          </w:tcPr>
          <w:p w14:paraId="67080650">
            <w:pPr>
              <w:spacing w:line="360" w:lineRule="exact"/>
              <w:jc w:val="center"/>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服  务  费</w:t>
            </w:r>
          </w:p>
        </w:tc>
      </w:tr>
      <w:tr w14:paraId="6CAFCCB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23" w:hRule="atLeast"/>
        </w:trPr>
        <w:tc>
          <w:tcPr>
            <w:tcW w:w="623" w:type="pct"/>
            <w:gridSpan w:val="2"/>
            <w:tcBorders>
              <w:top w:val="single" w:color="auto" w:sz="4" w:space="0"/>
              <w:bottom w:val="single" w:color="auto" w:sz="4" w:space="0"/>
              <w:right w:val="single" w:color="auto" w:sz="4" w:space="0"/>
            </w:tcBorders>
            <w:vAlign w:val="center"/>
          </w:tcPr>
          <w:p w14:paraId="65E09AC3">
            <w:pPr>
              <w:spacing w:line="36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2.25</w:t>
            </w:r>
          </w:p>
        </w:tc>
        <w:tc>
          <w:tcPr>
            <w:tcW w:w="4376" w:type="pct"/>
            <w:tcBorders>
              <w:top w:val="single" w:color="auto" w:sz="4" w:space="0"/>
              <w:left w:val="single" w:color="auto" w:sz="4" w:space="0"/>
              <w:bottom w:val="single" w:color="auto" w:sz="4" w:space="0"/>
            </w:tcBorders>
            <w:vAlign w:val="center"/>
          </w:tcPr>
          <w:p w14:paraId="611F1964">
            <w:pPr>
              <w:spacing w:line="360" w:lineRule="exac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招标服务费</w:t>
            </w:r>
            <w:r>
              <w:rPr>
                <w:rFonts w:hint="eastAsia" w:ascii="仿宋" w:hAnsi="仿宋" w:eastAsia="仿宋" w:cs="仿宋"/>
                <w:color w:val="auto"/>
                <w:szCs w:val="21"/>
                <w:highlight w:val="none"/>
              </w:rPr>
              <w:t>参照《宁波市招标（采购）代理服务收费指导意见》服务招标费率结合中介超市报价按人民币</w:t>
            </w:r>
            <w:r>
              <w:rPr>
                <w:rFonts w:hint="eastAsia" w:ascii="仿宋" w:hAnsi="仿宋" w:eastAsia="仿宋" w:cs="仿宋"/>
                <w:color w:val="auto"/>
                <w:szCs w:val="21"/>
                <w:highlight w:val="none"/>
                <w:u w:val="single"/>
                <w:lang w:val="en-US" w:eastAsia="zh-CN"/>
              </w:rPr>
              <w:t>2880</w:t>
            </w:r>
            <w:r>
              <w:rPr>
                <w:rFonts w:hint="eastAsia" w:ascii="仿宋" w:hAnsi="仿宋" w:eastAsia="仿宋" w:cs="仿宋"/>
                <w:color w:val="auto"/>
                <w:szCs w:val="21"/>
                <w:highlight w:val="none"/>
              </w:rPr>
              <w:t>元计取，由中标人支付，包含评审、复评等专家劳务费</w:t>
            </w:r>
            <w:r>
              <w:rPr>
                <w:rFonts w:hint="eastAsia" w:ascii="仿宋" w:hAnsi="仿宋" w:eastAsia="仿宋" w:cs="仿宋"/>
                <w:color w:val="auto"/>
                <w:szCs w:val="21"/>
                <w:highlight w:val="none"/>
                <w:lang w:eastAsia="zh-CN"/>
              </w:rPr>
              <w:t>。</w:t>
            </w:r>
          </w:p>
        </w:tc>
      </w:tr>
    </w:tbl>
    <w:p w14:paraId="249A21F7">
      <w:pPr>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注意：本表内打有“★”号的条款为“实质性要求”条款，磋商响应文件对这些条款的任何负偏离将视为没有对磋商文件的实质性要求做出响应，将被认定为无效响应。</w:t>
      </w:r>
    </w:p>
    <w:p w14:paraId="2526DF22">
      <w:pPr>
        <w:widowControl/>
        <w:jc w:val="left"/>
        <w:rPr>
          <w:rFonts w:ascii="宋体"/>
          <w:b/>
          <w:bCs/>
          <w:color w:val="auto"/>
          <w:kern w:val="0"/>
          <w:sz w:val="32"/>
          <w:szCs w:val="32"/>
          <w:highlight w:val="none"/>
        </w:rPr>
      </w:pPr>
      <w:r>
        <w:rPr>
          <w:color w:val="auto"/>
          <w:sz w:val="32"/>
          <w:szCs w:val="32"/>
          <w:highlight w:val="none"/>
        </w:rPr>
        <w:br w:type="page"/>
      </w:r>
    </w:p>
    <w:bookmarkEnd w:id="1"/>
    <w:bookmarkEnd w:id="2"/>
    <w:bookmarkEnd w:id="3"/>
    <w:bookmarkEnd w:id="4"/>
    <w:bookmarkEnd w:id="5"/>
    <w:bookmarkEnd w:id="6"/>
    <w:bookmarkEnd w:id="7"/>
    <w:bookmarkEnd w:id="8"/>
    <w:bookmarkEnd w:id="9"/>
    <w:p w14:paraId="29A12C35">
      <w:pPr>
        <w:spacing w:line="360" w:lineRule="auto"/>
        <w:ind w:firstLine="422" w:firstLineChars="200"/>
        <w:jc w:val="center"/>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竞争性磋商须知</w:t>
      </w:r>
    </w:p>
    <w:p w14:paraId="186D690C">
      <w:pPr>
        <w:spacing w:line="360" w:lineRule="auto"/>
        <w:ind w:left="1476" w:hanging="1476" w:hangingChars="700"/>
        <w:outlineLvl w:val="9"/>
        <w:rPr>
          <w:rFonts w:hint="eastAsia" w:ascii="仿宋" w:hAnsi="仿宋" w:eastAsia="仿宋" w:cs="仿宋"/>
          <w:b/>
          <w:bCs/>
          <w:iCs/>
          <w:color w:val="auto"/>
          <w:szCs w:val="21"/>
          <w:highlight w:val="none"/>
        </w:rPr>
      </w:pPr>
      <w:bookmarkStart w:id="39" w:name="_Toc11114_WPSOffice_Level2"/>
      <w:r>
        <w:rPr>
          <w:rFonts w:hint="eastAsia" w:ascii="仿宋" w:hAnsi="仿宋" w:eastAsia="仿宋" w:cs="仿宋"/>
          <w:b/>
          <w:bCs/>
          <w:iCs/>
          <w:color w:val="auto"/>
          <w:szCs w:val="21"/>
          <w:highlight w:val="none"/>
        </w:rPr>
        <w:t>1.1  适用范围和定义</w:t>
      </w:r>
      <w:bookmarkEnd w:id="39"/>
    </w:p>
    <w:p w14:paraId="56F391FF">
      <w:pPr>
        <w:spacing w:line="360" w:lineRule="auto"/>
        <w:ind w:left="-10" w:leftChars="-5"/>
        <w:outlineLvl w:val="9"/>
        <w:rPr>
          <w:rFonts w:hint="eastAsia" w:ascii="仿宋" w:hAnsi="仿宋" w:eastAsia="仿宋" w:cs="仿宋"/>
          <w:bCs/>
          <w:iCs/>
          <w:color w:val="auto"/>
          <w:szCs w:val="21"/>
          <w:highlight w:val="none"/>
        </w:rPr>
      </w:pPr>
      <w:r>
        <w:rPr>
          <w:rFonts w:hint="eastAsia" w:ascii="仿宋" w:hAnsi="仿宋" w:eastAsia="仿宋" w:cs="仿宋"/>
          <w:bCs/>
          <w:iCs/>
          <w:color w:val="auto"/>
          <w:szCs w:val="21"/>
          <w:highlight w:val="none"/>
        </w:rPr>
        <w:t>1.1.1 本次采购不属于政府采购法规定的政府采购项目，但本竞争性磋商文件参考政府采购的相关要求。</w:t>
      </w:r>
    </w:p>
    <w:p w14:paraId="2E71BDFA">
      <w:pPr>
        <w:spacing w:line="360" w:lineRule="auto"/>
        <w:ind w:left="1470" w:hanging="1470" w:hangingChars="700"/>
        <w:outlineLvl w:val="9"/>
        <w:rPr>
          <w:rFonts w:hint="eastAsia" w:ascii="仿宋" w:hAnsi="仿宋" w:eastAsia="仿宋" w:cs="仿宋"/>
          <w:bCs/>
          <w:iCs/>
          <w:color w:val="auto"/>
          <w:szCs w:val="21"/>
          <w:highlight w:val="none"/>
        </w:rPr>
      </w:pPr>
      <w:r>
        <w:rPr>
          <w:rFonts w:hint="eastAsia" w:ascii="仿宋" w:hAnsi="仿宋" w:eastAsia="仿宋" w:cs="仿宋"/>
          <w:bCs/>
          <w:iCs/>
          <w:color w:val="auto"/>
          <w:szCs w:val="21"/>
          <w:highlight w:val="none"/>
        </w:rPr>
        <w:t>1.1.2 定义</w:t>
      </w:r>
    </w:p>
    <w:p w14:paraId="15718460">
      <w:pPr>
        <w:spacing w:line="360" w:lineRule="auto"/>
        <w:ind w:left="1470" w:hanging="1470" w:hangingChars="700"/>
        <w:outlineLvl w:val="9"/>
        <w:rPr>
          <w:rFonts w:hint="eastAsia" w:ascii="仿宋" w:hAnsi="仿宋" w:eastAsia="仿宋" w:cs="仿宋"/>
          <w:bCs/>
          <w:iCs/>
          <w:color w:val="auto"/>
          <w:szCs w:val="21"/>
          <w:highlight w:val="none"/>
          <w:lang w:eastAsia="zh-CN"/>
        </w:rPr>
      </w:pPr>
      <w:r>
        <w:rPr>
          <w:rFonts w:hint="eastAsia" w:ascii="仿宋" w:hAnsi="仿宋" w:eastAsia="仿宋" w:cs="仿宋"/>
          <w:bCs/>
          <w:iCs/>
          <w:color w:val="auto"/>
          <w:szCs w:val="21"/>
          <w:highlight w:val="none"/>
        </w:rPr>
        <w:t>采购人：</w:t>
      </w:r>
      <w:r>
        <w:rPr>
          <w:rFonts w:hint="eastAsia" w:ascii="仿宋" w:hAnsi="仿宋" w:eastAsia="仿宋" w:cs="仿宋"/>
          <w:bCs/>
          <w:iCs/>
          <w:color w:val="auto"/>
          <w:szCs w:val="21"/>
          <w:highlight w:val="none"/>
          <w:lang w:eastAsia="zh-CN"/>
        </w:rPr>
        <w:t>宁波市江北区公路与运输管理中心</w:t>
      </w:r>
    </w:p>
    <w:p w14:paraId="1031F1D9">
      <w:pPr>
        <w:spacing w:line="360" w:lineRule="auto"/>
        <w:ind w:left="1470" w:hanging="1470" w:hangingChars="700"/>
        <w:outlineLvl w:val="9"/>
        <w:rPr>
          <w:rFonts w:hint="eastAsia" w:ascii="仿宋" w:hAnsi="仿宋" w:eastAsia="仿宋" w:cs="仿宋"/>
          <w:bCs/>
          <w:iCs/>
          <w:color w:val="auto"/>
          <w:szCs w:val="21"/>
          <w:highlight w:val="none"/>
        </w:rPr>
      </w:pPr>
      <w:r>
        <w:rPr>
          <w:rFonts w:hint="eastAsia" w:ascii="仿宋" w:hAnsi="仿宋" w:eastAsia="仿宋" w:cs="仿宋"/>
          <w:bCs/>
          <w:iCs/>
          <w:color w:val="auto"/>
          <w:szCs w:val="21"/>
          <w:highlight w:val="none"/>
        </w:rPr>
        <w:t>采购代理机构：宁波安全三江工程咨询招标代理有限公司</w:t>
      </w:r>
    </w:p>
    <w:p w14:paraId="5B363F5A">
      <w:pPr>
        <w:spacing w:line="360" w:lineRule="auto"/>
        <w:ind w:left="1470" w:hanging="1470" w:hangingChars="700"/>
        <w:outlineLvl w:val="9"/>
        <w:rPr>
          <w:rFonts w:hint="eastAsia" w:ascii="仿宋" w:hAnsi="仿宋" w:eastAsia="仿宋" w:cs="仿宋"/>
          <w:bCs/>
          <w:iCs/>
          <w:color w:val="auto"/>
          <w:szCs w:val="21"/>
          <w:highlight w:val="none"/>
        </w:rPr>
      </w:pPr>
      <w:r>
        <w:rPr>
          <w:rFonts w:hint="eastAsia" w:ascii="仿宋" w:hAnsi="仿宋" w:eastAsia="仿宋" w:cs="仿宋"/>
          <w:bCs/>
          <w:iCs/>
          <w:color w:val="auto"/>
          <w:szCs w:val="21"/>
          <w:highlight w:val="none"/>
        </w:rPr>
        <w:t>供应商：参加本次采购活动的供方主体。</w:t>
      </w:r>
    </w:p>
    <w:p w14:paraId="654CF056">
      <w:pPr>
        <w:spacing w:line="360" w:lineRule="auto"/>
        <w:ind w:left="-4" w:leftChars="-2"/>
        <w:outlineLvl w:val="9"/>
        <w:rPr>
          <w:rFonts w:hint="eastAsia" w:ascii="仿宋" w:hAnsi="仿宋" w:eastAsia="仿宋" w:cs="仿宋"/>
          <w:bCs/>
          <w:iCs/>
          <w:color w:val="auto"/>
          <w:szCs w:val="21"/>
          <w:highlight w:val="none"/>
        </w:rPr>
      </w:pPr>
      <w:r>
        <w:rPr>
          <w:rFonts w:hint="eastAsia" w:ascii="仿宋" w:hAnsi="仿宋" w:eastAsia="仿宋" w:cs="仿宋"/>
          <w:bCs/>
          <w:iCs/>
          <w:color w:val="auto"/>
          <w:szCs w:val="21"/>
          <w:highlight w:val="none"/>
        </w:rPr>
        <w:t>竞争性磋商小组/磋商小组：依法成立的负责本次竞争性磋商评审工作的</w:t>
      </w:r>
      <w:r>
        <w:rPr>
          <w:rFonts w:hint="eastAsia" w:ascii="仿宋" w:hAnsi="仿宋" w:eastAsia="仿宋" w:cs="仿宋"/>
          <w:bCs/>
          <w:iCs/>
          <w:color w:val="auto"/>
          <w:szCs w:val="21"/>
          <w:highlight w:val="none"/>
          <w:lang w:eastAsia="zh-CN"/>
        </w:rPr>
        <w:t>评审小组</w:t>
      </w:r>
      <w:r>
        <w:rPr>
          <w:rFonts w:hint="eastAsia" w:ascii="仿宋" w:hAnsi="仿宋" w:eastAsia="仿宋" w:cs="仿宋"/>
          <w:bCs/>
          <w:iCs/>
          <w:color w:val="auto"/>
          <w:szCs w:val="21"/>
          <w:highlight w:val="none"/>
        </w:rPr>
        <w:t>。</w:t>
      </w:r>
    </w:p>
    <w:p w14:paraId="5D648B29">
      <w:pPr>
        <w:spacing w:line="360" w:lineRule="auto"/>
        <w:outlineLvl w:val="9"/>
        <w:rPr>
          <w:rFonts w:hint="eastAsia" w:ascii="仿宋" w:hAnsi="仿宋" w:eastAsia="仿宋" w:cs="仿宋"/>
          <w:bCs/>
          <w:iCs/>
          <w:color w:val="auto"/>
          <w:szCs w:val="21"/>
          <w:highlight w:val="none"/>
        </w:rPr>
      </w:pPr>
      <w:r>
        <w:rPr>
          <w:rFonts w:hint="eastAsia" w:ascii="仿宋" w:hAnsi="仿宋" w:eastAsia="仿宋" w:cs="仿宋"/>
          <w:bCs/>
          <w:iCs/>
          <w:color w:val="auto"/>
          <w:szCs w:val="21"/>
          <w:highlight w:val="none"/>
        </w:rPr>
        <w:t>竞争性磋商文件/磋商文件/采购文件：采购人、采购代理机构或磋商小组制定的用于竞争性磋商采购活动的文件。</w:t>
      </w:r>
    </w:p>
    <w:p w14:paraId="4412305B">
      <w:pPr>
        <w:spacing w:line="360" w:lineRule="auto"/>
        <w:ind w:left="1470" w:hanging="1470" w:hangingChars="700"/>
        <w:outlineLvl w:val="9"/>
        <w:rPr>
          <w:rFonts w:hint="eastAsia" w:ascii="仿宋" w:hAnsi="仿宋" w:eastAsia="仿宋" w:cs="仿宋"/>
          <w:bCs/>
          <w:iCs/>
          <w:color w:val="auto"/>
          <w:szCs w:val="21"/>
          <w:highlight w:val="none"/>
        </w:rPr>
      </w:pPr>
      <w:r>
        <w:rPr>
          <w:rFonts w:hint="eastAsia" w:ascii="仿宋" w:hAnsi="仿宋" w:eastAsia="仿宋" w:cs="仿宋"/>
          <w:bCs/>
          <w:iCs/>
          <w:color w:val="auto"/>
          <w:szCs w:val="21"/>
          <w:highlight w:val="none"/>
        </w:rPr>
        <w:t>磋商响应文件/响应文件：供应商应采购文件要求编制的响应性文件。</w:t>
      </w:r>
    </w:p>
    <w:p w14:paraId="2CC14CC6">
      <w:pPr>
        <w:spacing w:line="360" w:lineRule="auto"/>
        <w:ind w:left="1470" w:hanging="1470" w:hangingChars="700"/>
        <w:outlineLvl w:val="9"/>
        <w:rPr>
          <w:rFonts w:hint="eastAsia" w:ascii="仿宋" w:hAnsi="仿宋" w:eastAsia="仿宋" w:cs="仿宋"/>
          <w:bCs/>
          <w:iCs/>
          <w:color w:val="auto"/>
          <w:szCs w:val="21"/>
          <w:highlight w:val="none"/>
        </w:rPr>
      </w:pPr>
    </w:p>
    <w:p w14:paraId="24F96229">
      <w:pPr>
        <w:spacing w:line="360" w:lineRule="auto"/>
        <w:outlineLvl w:val="9"/>
        <w:rPr>
          <w:rFonts w:hint="eastAsia" w:ascii="仿宋" w:hAnsi="仿宋" w:eastAsia="仿宋" w:cs="仿宋"/>
          <w:color w:val="auto"/>
          <w:szCs w:val="21"/>
          <w:highlight w:val="none"/>
        </w:rPr>
      </w:pPr>
      <w:bookmarkStart w:id="40" w:name="_Toc25025_WPSOffice_Level2"/>
      <w:r>
        <w:rPr>
          <w:rFonts w:hint="eastAsia" w:ascii="仿宋" w:hAnsi="仿宋" w:eastAsia="仿宋" w:cs="仿宋"/>
          <w:b/>
          <w:color w:val="auto"/>
          <w:szCs w:val="21"/>
          <w:highlight w:val="none"/>
        </w:rPr>
        <w:t>1.2  合格的供应商</w:t>
      </w:r>
      <w:bookmarkEnd w:id="40"/>
    </w:p>
    <w:p w14:paraId="4F6E3A0D">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1.2.1</w:t>
      </w:r>
      <w:r>
        <w:rPr>
          <w:rFonts w:hint="eastAsia" w:ascii="仿宋" w:hAnsi="仿宋" w:eastAsia="仿宋" w:cs="仿宋"/>
          <w:color w:val="auto"/>
          <w:szCs w:val="21"/>
          <w:highlight w:val="none"/>
        </w:rPr>
        <w:t>合格的供应商具体要求见</w:t>
      </w:r>
      <w:r>
        <w:rPr>
          <w:rFonts w:hint="eastAsia" w:ascii="仿宋" w:hAnsi="仿宋" w:eastAsia="仿宋" w:cs="仿宋"/>
          <w:color w:val="auto"/>
          <w:szCs w:val="21"/>
          <w:highlight w:val="none"/>
          <w:lang w:eastAsia="zh-CN"/>
        </w:rPr>
        <w:t>采购公告</w:t>
      </w:r>
      <w:r>
        <w:rPr>
          <w:rFonts w:hint="eastAsia" w:ascii="仿宋" w:hAnsi="仿宋" w:eastAsia="仿宋" w:cs="仿宋"/>
          <w:color w:val="auto"/>
          <w:szCs w:val="21"/>
          <w:highlight w:val="none"/>
        </w:rPr>
        <w:t>“供应商资格要求”。</w:t>
      </w:r>
    </w:p>
    <w:p w14:paraId="4A5E0E17">
      <w:pPr>
        <w:spacing w:line="360" w:lineRule="auto"/>
        <w:outlineLvl w:val="9"/>
        <w:rPr>
          <w:rFonts w:hint="eastAsia" w:ascii="仿宋" w:hAnsi="仿宋" w:eastAsia="仿宋" w:cs="仿宋"/>
          <w:color w:val="auto"/>
          <w:szCs w:val="21"/>
          <w:highlight w:val="none"/>
        </w:rPr>
      </w:pPr>
      <w:bookmarkStart w:id="41" w:name="_Toc25130_WPSOffice_Level2"/>
    </w:p>
    <w:p w14:paraId="65E56B98">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1.3 磋商费用</w:t>
      </w:r>
      <w:bookmarkEnd w:id="41"/>
    </w:p>
    <w:p w14:paraId="17DC36A3">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1.3.1</w:t>
      </w:r>
      <w:r>
        <w:rPr>
          <w:rFonts w:hint="eastAsia" w:ascii="仿宋" w:hAnsi="仿宋" w:eastAsia="仿宋" w:cs="仿宋"/>
          <w:color w:val="auto"/>
          <w:szCs w:val="21"/>
          <w:highlight w:val="none"/>
        </w:rPr>
        <w:t xml:space="preserve">  无论竞争性磋商过程和结果如何，供应商自行承担其参加本次磋商活动有关的全部费用。</w:t>
      </w:r>
    </w:p>
    <w:p w14:paraId="3C0805AE">
      <w:pPr>
        <w:spacing w:line="360" w:lineRule="auto"/>
        <w:outlineLvl w:val="9"/>
        <w:rPr>
          <w:rFonts w:hint="eastAsia" w:ascii="仿宋" w:hAnsi="仿宋" w:eastAsia="仿宋" w:cs="仿宋"/>
          <w:color w:val="auto"/>
          <w:szCs w:val="21"/>
          <w:highlight w:val="none"/>
        </w:rPr>
      </w:pPr>
    </w:p>
    <w:p w14:paraId="70061CE2">
      <w:pPr>
        <w:spacing w:line="360" w:lineRule="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1.4  磋商保证金</w:t>
      </w:r>
    </w:p>
    <w:p w14:paraId="080102DA">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1.4.1 </w:t>
      </w:r>
      <w:r>
        <w:rPr>
          <w:rFonts w:hint="eastAsia" w:ascii="仿宋" w:hAnsi="仿宋" w:eastAsia="仿宋" w:cs="仿宋"/>
          <w:color w:val="auto"/>
          <w:szCs w:val="21"/>
          <w:highlight w:val="none"/>
        </w:rPr>
        <w:t>供应商应按本采购文件要求交纳磋商保证金。供应商未按照磋商文件要求提交磋商保证金的，响应无效。</w:t>
      </w:r>
    </w:p>
    <w:p w14:paraId="7DC77BEC">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1.4.2 </w:t>
      </w:r>
      <w:r>
        <w:rPr>
          <w:rFonts w:hint="eastAsia" w:ascii="仿宋" w:hAnsi="仿宋" w:eastAsia="仿宋" w:cs="仿宋"/>
          <w:color w:val="auto"/>
          <w:szCs w:val="21"/>
          <w:highlight w:val="none"/>
        </w:rPr>
        <w:t>发生下列情形之一，磋商保证金将不予退还：</w:t>
      </w:r>
    </w:p>
    <w:p w14:paraId="3ADC2B0C">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（1）供应商在提交响应文件截止时间后撤回响应文件的；</w:t>
      </w:r>
    </w:p>
    <w:p w14:paraId="75C77F16">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（2）供应商在响应文件中提供虚假材料的；</w:t>
      </w:r>
    </w:p>
    <w:p w14:paraId="7E9D62E4">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（3）除因不可抗力或磋商文件认可的情形以外，成交供应商不与采购人签订合同的；</w:t>
      </w:r>
    </w:p>
    <w:p w14:paraId="3ADAC653">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（4）供应商与采购人、其他供应商或者采购代理机构恶意串通的；</w:t>
      </w:r>
    </w:p>
    <w:p w14:paraId="322EAC55">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（5）供应商不按本须知第</w:t>
      </w:r>
      <w:r>
        <w:rPr>
          <w:rFonts w:hint="eastAsia" w:ascii="仿宋" w:hAnsi="仿宋" w:eastAsia="仿宋" w:cs="仿宋"/>
          <w:b/>
          <w:color w:val="auto"/>
          <w:szCs w:val="21"/>
          <w:highlight w:val="none"/>
        </w:rPr>
        <w:t>1.16</w:t>
      </w:r>
      <w:r>
        <w:rPr>
          <w:rFonts w:hint="eastAsia" w:ascii="仿宋" w:hAnsi="仿宋" w:eastAsia="仿宋" w:cs="仿宋"/>
          <w:color w:val="auto"/>
          <w:szCs w:val="21"/>
          <w:highlight w:val="none"/>
        </w:rPr>
        <w:t>条规定提交履约保证金的。</w:t>
      </w:r>
    </w:p>
    <w:p w14:paraId="00E384B3">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（6）采购文件规定的其他情形。</w:t>
      </w:r>
    </w:p>
    <w:p w14:paraId="793F4A09">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1.4.3</w:t>
      </w:r>
      <w:r>
        <w:rPr>
          <w:rFonts w:hint="eastAsia" w:ascii="仿宋" w:hAnsi="仿宋" w:eastAsia="仿宋" w:cs="仿宋"/>
          <w:color w:val="auto"/>
          <w:szCs w:val="21"/>
          <w:highlight w:val="none"/>
        </w:rPr>
        <w:t>已提交响应文件的供应商，在提交最后报价之前，可以根据磋商情况退出磋商，但不得撤回响应文件，这种情况下，采购人、采购代理机构应当原款退还其磋商保证金。供应商退出磋商的须提交经法定代表人或授权代表人签字的书面声明。</w:t>
      </w:r>
    </w:p>
    <w:p w14:paraId="6CF56DCF">
      <w:pPr>
        <w:spacing w:line="360" w:lineRule="auto"/>
        <w:ind w:left="27" w:leftChars="13"/>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1.4.4 </w:t>
      </w:r>
      <w:r>
        <w:rPr>
          <w:rFonts w:hint="eastAsia" w:ascii="仿宋" w:hAnsi="仿宋" w:eastAsia="仿宋" w:cs="仿宋"/>
          <w:color w:val="auto"/>
          <w:szCs w:val="21"/>
          <w:highlight w:val="none"/>
        </w:rPr>
        <w:t>供应商在接到采购代理机构的通知后，应按照本采购文件第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部分规定前来办理保证金退款手续。对逾期办理者，采购代理机构不承担任何利息和“资金占用费”。</w:t>
      </w:r>
    </w:p>
    <w:p w14:paraId="438F303A">
      <w:pPr>
        <w:spacing w:line="360" w:lineRule="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1.4.5</w:t>
      </w:r>
      <w:r>
        <w:rPr>
          <w:rFonts w:hint="eastAsia" w:ascii="仿宋" w:hAnsi="仿宋" w:eastAsia="仿宋" w:cs="仿宋"/>
          <w:color w:val="auto"/>
          <w:szCs w:val="21"/>
          <w:highlight w:val="none"/>
        </w:rPr>
        <w:t xml:space="preserve"> 成交供应商不按本采购文件第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部分支付</w:t>
      </w:r>
      <w:r>
        <w:rPr>
          <w:rFonts w:hint="eastAsia" w:ascii="仿宋" w:hAnsi="仿宋" w:eastAsia="仿宋" w:cs="仿宋"/>
          <w:color w:val="auto"/>
          <w:szCs w:val="21"/>
          <w:highlight w:val="none"/>
          <w:lang w:val="en-US" w:eastAsia="zh-CN"/>
        </w:rPr>
        <w:t>代理</w:t>
      </w:r>
      <w:r>
        <w:rPr>
          <w:rFonts w:hint="eastAsia" w:ascii="仿宋" w:hAnsi="仿宋" w:eastAsia="仿宋" w:cs="仿宋"/>
          <w:color w:val="auto"/>
          <w:szCs w:val="21"/>
          <w:highlight w:val="none"/>
        </w:rPr>
        <w:t>服务费的,采购代理机构有权扣没其磋商保证金，并向其追索未付部分。</w:t>
      </w:r>
    </w:p>
    <w:p w14:paraId="59F29B18">
      <w:pPr>
        <w:spacing w:line="360" w:lineRule="auto"/>
        <w:outlineLvl w:val="9"/>
        <w:rPr>
          <w:rFonts w:hint="eastAsia" w:ascii="仿宋" w:hAnsi="仿宋" w:eastAsia="仿宋" w:cs="仿宋"/>
          <w:b/>
          <w:color w:val="auto"/>
          <w:szCs w:val="21"/>
          <w:highlight w:val="none"/>
        </w:rPr>
      </w:pPr>
    </w:p>
    <w:p w14:paraId="18AAF206">
      <w:pPr>
        <w:spacing w:line="360" w:lineRule="auto"/>
        <w:outlineLvl w:val="9"/>
        <w:rPr>
          <w:rFonts w:hint="eastAsia" w:ascii="仿宋" w:hAnsi="仿宋" w:eastAsia="仿宋" w:cs="仿宋"/>
          <w:color w:val="auto"/>
          <w:szCs w:val="21"/>
          <w:highlight w:val="none"/>
        </w:rPr>
      </w:pPr>
      <w:bookmarkStart w:id="42" w:name="_Toc29333_WPSOffice_Level2"/>
      <w:r>
        <w:rPr>
          <w:rFonts w:hint="eastAsia" w:ascii="仿宋" w:hAnsi="仿宋" w:eastAsia="仿宋" w:cs="仿宋"/>
          <w:b/>
          <w:color w:val="auto"/>
          <w:szCs w:val="21"/>
          <w:highlight w:val="none"/>
        </w:rPr>
        <w:t>1.5  磋商有效期和磋商文件的澄清和修改</w:t>
      </w:r>
      <w:bookmarkEnd w:id="42"/>
    </w:p>
    <w:p w14:paraId="70D93A74">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1.5.1</w:t>
      </w:r>
      <w:r>
        <w:rPr>
          <w:rFonts w:hint="eastAsia" w:ascii="仿宋" w:hAnsi="仿宋" w:eastAsia="仿宋" w:cs="仿宋"/>
          <w:color w:val="auto"/>
          <w:szCs w:val="21"/>
          <w:highlight w:val="none"/>
        </w:rPr>
        <w:t>磋商有效期从磋商响应文件递交截止时间之日起计算，磋商有效期要求见“</w:t>
      </w:r>
      <w:r>
        <w:rPr>
          <w:rFonts w:hint="eastAsia" w:ascii="仿宋" w:hAnsi="仿宋" w:eastAsia="仿宋" w:cs="仿宋"/>
          <w:color w:val="auto"/>
          <w:szCs w:val="21"/>
          <w:highlight w:val="none"/>
          <w:lang w:eastAsia="zh-CN"/>
        </w:rPr>
        <w:t>竞争性磋商须知前附表</w:t>
      </w:r>
      <w:r>
        <w:rPr>
          <w:rFonts w:hint="eastAsia" w:ascii="仿宋" w:hAnsi="仿宋" w:eastAsia="仿宋" w:cs="仿宋"/>
          <w:color w:val="auto"/>
          <w:szCs w:val="21"/>
          <w:highlight w:val="none"/>
        </w:rPr>
        <w:t>”。</w:t>
      </w:r>
    </w:p>
    <w:p w14:paraId="222CE904">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1.5.2 </w:t>
      </w:r>
      <w:r>
        <w:rPr>
          <w:rFonts w:hint="eastAsia" w:ascii="仿宋" w:hAnsi="仿宋" w:eastAsia="仿宋" w:cs="仿宋"/>
          <w:color w:val="auto"/>
          <w:szCs w:val="21"/>
          <w:highlight w:val="none"/>
        </w:rPr>
        <w:t>特殊情况下，采购人可与供应商协商延缓磋商有效期，这种要求和答复均以书面形式进行。</w:t>
      </w:r>
    </w:p>
    <w:p w14:paraId="39AB346F">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1.5.3 </w:t>
      </w:r>
      <w:r>
        <w:rPr>
          <w:rFonts w:hint="eastAsia" w:ascii="仿宋" w:hAnsi="仿宋" w:eastAsia="仿宋" w:cs="仿宋"/>
          <w:color w:val="auto"/>
          <w:szCs w:val="21"/>
          <w:highlight w:val="none"/>
        </w:rPr>
        <w:t>供应商可拒绝接受延期要求。供应商同意延长有效期的，不能修改磋商响应文件。</w:t>
      </w:r>
    </w:p>
    <w:p w14:paraId="5B82345C">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1.5.4</w:t>
      </w:r>
      <w:r>
        <w:rPr>
          <w:rFonts w:hint="eastAsia" w:ascii="仿宋" w:hAnsi="仿宋" w:eastAsia="仿宋" w:cs="仿宋"/>
          <w:color w:val="auto"/>
          <w:szCs w:val="21"/>
          <w:highlight w:val="none"/>
        </w:rPr>
        <w:t>在提交首次响应文件截止之日前，采购人、采购代理机构或者磋商小组可以对已发出的磋商文件进行必要的澄清或者修改。澄清或者修改的内容可能影响响应文件编制的，采购人、采购代理机构将在提交首次响应文件截止时间至少5日前，以书面形式通知所有获取磋商文件的供应商，不足5日的，采购人、采购代理机构将顺延提交首次响应文件的截止时间；澄清或者修改的内容不影响响应文件编制的，则不受5日的期限限制。澄清或者修改的内容作为磋商文件的组成部分，对所有报价供应商具有约束力。</w:t>
      </w:r>
    </w:p>
    <w:p w14:paraId="74029EA1">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1.5.5</w:t>
      </w:r>
      <w:r>
        <w:rPr>
          <w:rFonts w:hint="eastAsia" w:ascii="仿宋" w:hAnsi="仿宋" w:eastAsia="仿宋" w:cs="仿宋"/>
          <w:color w:val="auto"/>
          <w:szCs w:val="21"/>
          <w:highlight w:val="none"/>
        </w:rPr>
        <w:t>潜在供应商收到采购代理机构发出的磋商文件澄清或修改通知，或顺延提交首次响应文件截止时间通知后视为收悉，未及时浏览责任自负。</w:t>
      </w:r>
    </w:p>
    <w:p w14:paraId="28D33B83">
      <w:pPr>
        <w:spacing w:line="360" w:lineRule="auto"/>
        <w:outlineLvl w:val="9"/>
        <w:rPr>
          <w:rFonts w:hint="eastAsia" w:ascii="仿宋" w:hAnsi="仿宋" w:eastAsia="仿宋" w:cs="仿宋"/>
          <w:b/>
          <w:color w:val="auto"/>
          <w:szCs w:val="21"/>
          <w:highlight w:val="none"/>
        </w:rPr>
      </w:pPr>
    </w:p>
    <w:p w14:paraId="129EF897">
      <w:pPr>
        <w:spacing w:line="360" w:lineRule="auto"/>
        <w:outlineLvl w:val="9"/>
        <w:rPr>
          <w:rFonts w:hint="eastAsia" w:ascii="仿宋" w:hAnsi="仿宋" w:eastAsia="仿宋" w:cs="仿宋"/>
          <w:color w:val="auto"/>
          <w:szCs w:val="21"/>
          <w:highlight w:val="none"/>
          <w:u w:val="single"/>
        </w:rPr>
      </w:pPr>
      <w:r>
        <w:rPr>
          <w:rFonts w:hint="eastAsia" w:ascii="仿宋" w:hAnsi="仿宋" w:eastAsia="仿宋" w:cs="仿宋"/>
          <w:b/>
          <w:color w:val="auto"/>
          <w:szCs w:val="21"/>
          <w:highlight w:val="none"/>
        </w:rPr>
        <w:t>1.6 磋商响应文件的组成：</w:t>
      </w:r>
    </w:p>
    <w:p w14:paraId="7D9C836B">
      <w:pPr>
        <w:autoSpaceDE w:val="0"/>
        <w:autoSpaceDN w:val="0"/>
        <w:adjustRightInd w:val="0"/>
        <w:spacing w:line="360" w:lineRule="auto"/>
        <w:outlineLvl w:val="9"/>
        <w:rPr>
          <w:rFonts w:hint="eastAsia" w:ascii="仿宋" w:hAnsi="仿宋" w:eastAsia="仿宋" w:cs="仿宋"/>
          <w:color w:val="auto"/>
          <w:szCs w:val="21"/>
          <w:highlight w:val="none"/>
          <w:lang w:val="zh-CN"/>
        </w:rPr>
      </w:pPr>
      <w:bookmarkStart w:id="43" w:name="_Toc29953_WPSOffice_Level2"/>
      <w:r>
        <w:rPr>
          <w:rFonts w:hint="eastAsia" w:ascii="仿宋" w:hAnsi="仿宋" w:eastAsia="仿宋" w:cs="仿宋"/>
          <w:color w:val="auto"/>
          <w:szCs w:val="21"/>
          <w:highlight w:val="none"/>
          <w:lang w:val="zh-CN"/>
        </w:rPr>
        <w:t>磋商响应文件由报价文件和</w:t>
      </w:r>
      <w:r>
        <w:rPr>
          <w:rFonts w:hint="eastAsia" w:ascii="仿宋" w:hAnsi="仿宋" w:eastAsia="仿宋" w:cs="仿宋"/>
          <w:color w:val="auto"/>
          <w:szCs w:val="21"/>
          <w:highlight w:val="none"/>
        </w:rPr>
        <w:t>资信商务技术文件</w:t>
      </w:r>
      <w:r>
        <w:rPr>
          <w:rFonts w:hint="eastAsia" w:ascii="仿宋" w:hAnsi="仿宋" w:eastAsia="仿宋" w:cs="仿宋"/>
          <w:color w:val="auto"/>
          <w:szCs w:val="21"/>
          <w:highlight w:val="none"/>
          <w:lang w:val="zh-CN"/>
        </w:rPr>
        <w:t>组成，具体组成：</w:t>
      </w:r>
    </w:p>
    <w:p w14:paraId="4EAFF7A8">
      <w:pPr>
        <w:autoSpaceDE w:val="0"/>
        <w:autoSpaceDN w:val="0"/>
        <w:adjustRightInd w:val="0"/>
        <w:spacing w:line="360" w:lineRule="auto"/>
        <w:outlineLvl w:val="9"/>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磋商响应文件封面</w:t>
      </w:r>
    </w:p>
    <w:p w14:paraId="1E25BE2C">
      <w:pPr>
        <w:autoSpaceDE w:val="0"/>
        <w:autoSpaceDN w:val="0"/>
        <w:adjustRightInd w:val="0"/>
        <w:spacing w:line="360" w:lineRule="auto"/>
        <w:outlineLvl w:val="9"/>
        <w:rPr>
          <w:rFonts w:hint="eastAsia" w:ascii="仿宋" w:hAnsi="仿宋" w:eastAsia="仿宋" w:cs="仿宋"/>
          <w:b/>
          <w:color w:val="auto"/>
          <w:szCs w:val="21"/>
          <w:highlight w:val="none"/>
          <w:lang w:val="zh-CN"/>
        </w:rPr>
      </w:pPr>
      <w:r>
        <w:rPr>
          <w:rFonts w:hint="eastAsia" w:ascii="仿宋" w:hAnsi="仿宋" w:eastAsia="仿宋" w:cs="仿宋"/>
          <w:b/>
          <w:color w:val="auto"/>
          <w:szCs w:val="21"/>
          <w:highlight w:val="none"/>
          <w:lang w:val="zh-CN"/>
        </w:rPr>
        <w:t>1.6.1、报价文件</w:t>
      </w:r>
    </w:p>
    <w:p w14:paraId="45DB9761">
      <w:pPr>
        <w:pStyle w:val="11"/>
        <w:spacing w:line="36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（1）报价函（格式见第六部分附件）；</w:t>
      </w:r>
    </w:p>
    <w:p w14:paraId="673AE636">
      <w:pPr>
        <w:pStyle w:val="11"/>
        <w:spacing w:line="360" w:lineRule="auto"/>
        <w:ind w:firstLine="0"/>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磋商报价表</w:t>
      </w:r>
      <w:r>
        <w:rPr>
          <w:rFonts w:hint="eastAsia" w:ascii="仿宋" w:hAnsi="仿宋" w:eastAsia="仿宋" w:cs="仿宋"/>
          <w:color w:val="auto"/>
          <w:sz w:val="21"/>
          <w:szCs w:val="21"/>
          <w:highlight w:val="none"/>
        </w:rPr>
        <w:t>（格式见第六部分附件）</w:t>
      </w:r>
      <w:r>
        <w:rPr>
          <w:rFonts w:hint="eastAsia" w:ascii="仿宋" w:hAnsi="仿宋" w:eastAsia="仿宋" w:cs="仿宋"/>
          <w:color w:val="auto"/>
          <w:sz w:val="21"/>
          <w:szCs w:val="21"/>
          <w:highlight w:val="none"/>
          <w:lang w:eastAsia="zh-CN"/>
        </w:rPr>
        <w:t>；</w:t>
      </w:r>
    </w:p>
    <w:p w14:paraId="75073869">
      <w:pPr>
        <w:pStyle w:val="11"/>
        <w:spacing w:line="360" w:lineRule="auto"/>
        <w:ind w:firstLine="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分项报价表（格式见第六部分附件）；</w:t>
      </w:r>
    </w:p>
    <w:p w14:paraId="06B3091C">
      <w:pPr>
        <w:pStyle w:val="11"/>
        <w:spacing w:line="36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）供应商认为需要的提供的其他资料；</w:t>
      </w:r>
    </w:p>
    <w:p w14:paraId="3EE54C48">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1.6.2 </w:t>
      </w:r>
      <w:r>
        <w:rPr>
          <w:rFonts w:hint="eastAsia" w:ascii="仿宋" w:hAnsi="仿宋" w:eastAsia="仿宋" w:cs="仿宋"/>
          <w:b/>
          <w:bCs/>
          <w:color w:val="auto"/>
          <w:szCs w:val="21"/>
          <w:highlight w:val="none"/>
        </w:rPr>
        <w:t>资信商务技术文件</w:t>
      </w:r>
    </w:p>
    <w:p w14:paraId="142D2077">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★1.6.2.1</w:t>
      </w:r>
      <w:r>
        <w:rPr>
          <w:rFonts w:hint="eastAsia" w:ascii="仿宋" w:hAnsi="仿宋" w:eastAsia="仿宋" w:cs="仿宋"/>
          <w:color w:val="auto"/>
          <w:szCs w:val="21"/>
          <w:highlight w:val="none"/>
        </w:rPr>
        <w:t>资格证明文件（磋商文件第六部分附件（格式）有要求的必须按照格式要求提供，磋商文件未规定格式要求的，可以自行拟定格式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包含但不限于：</w:t>
      </w:r>
    </w:p>
    <w:p w14:paraId="35608156">
      <w:pPr>
        <w:pStyle w:val="11"/>
        <w:spacing w:line="36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（1）有效的企业法人营业执照（或事业法人登记证）、其他组织的营业执照或者民办非企业单位登记证书复印件（要求见第六部分附件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475EFE1D">
      <w:pPr>
        <w:spacing w:line="360" w:lineRule="auto"/>
        <w:ind w:left="0" w:leftChars="0" w:firstLine="0" w:firstLineChars="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（2）法定代表人授权书（供应商代表为非法定代表人时适用）或法定代表人身份证明（供应商代表为法定代表人时适用）（格式见第六部分</w:t>
      </w:r>
      <w:r>
        <w:rPr>
          <w:rFonts w:hint="eastAsia" w:ascii="仿宋" w:hAnsi="仿宋" w:eastAsia="仿宋" w:cs="仿宋"/>
          <w:color w:val="auto"/>
          <w:sz w:val="21"/>
          <w:szCs w:val="21"/>
          <w:highlight w:val="none"/>
        </w:rPr>
        <w:t>附件</w:t>
      </w:r>
      <w:r>
        <w:rPr>
          <w:rFonts w:hint="eastAsia" w:ascii="仿宋" w:hAnsi="仿宋" w:eastAsia="仿宋" w:cs="仿宋"/>
          <w:color w:val="auto"/>
          <w:szCs w:val="21"/>
          <w:highlight w:val="none"/>
        </w:rPr>
        <w:t>）；</w:t>
      </w:r>
    </w:p>
    <w:p w14:paraId="3F128049">
      <w:pPr>
        <w:spacing w:line="360" w:lineRule="auto"/>
        <w:ind w:firstLine="0" w:firstLineChars="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（3）供应商声明书（格式见第六部分</w:t>
      </w:r>
      <w:r>
        <w:rPr>
          <w:rFonts w:hint="eastAsia" w:ascii="仿宋" w:hAnsi="仿宋" w:eastAsia="仿宋" w:cs="仿宋"/>
          <w:color w:val="auto"/>
          <w:sz w:val="21"/>
          <w:szCs w:val="21"/>
          <w:highlight w:val="none"/>
        </w:rPr>
        <w:t>附件</w:t>
      </w:r>
      <w:r>
        <w:rPr>
          <w:rFonts w:hint="eastAsia" w:ascii="仿宋" w:hAnsi="仿宋" w:eastAsia="仿宋" w:cs="仿宋"/>
          <w:color w:val="auto"/>
          <w:szCs w:val="21"/>
          <w:highlight w:val="none"/>
        </w:rPr>
        <w:t>）；</w:t>
      </w:r>
    </w:p>
    <w:p w14:paraId="3E6F8908">
      <w:pPr>
        <w:spacing w:line="360" w:lineRule="auto"/>
        <w:ind w:firstLine="0" w:firstLineChars="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（4）供应商情况表（格式见第六部分</w:t>
      </w:r>
      <w:r>
        <w:rPr>
          <w:rFonts w:hint="eastAsia" w:ascii="仿宋" w:hAnsi="仿宋" w:eastAsia="仿宋" w:cs="仿宋"/>
          <w:color w:val="auto"/>
          <w:sz w:val="21"/>
          <w:szCs w:val="21"/>
          <w:highlight w:val="none"/>
        </w:rPr>
        <w:t>附件</w:t>
      </w:r>
      <w:r>
        <w:rPr>
          <w:rFonts w:hint="eastAsia" w:ascii="仿宋" w:hAnsi="仿宋" w:eastAsia="仿宋" w:cs="仿宋"/>
          <w:color w:val="auto"/>
          <w:szCs w:val="21"/>
          <w:highlight w:val="none"/>
        </w:rPr>
        <w:t>）；</w:t>
      </w:r>
    </w:p>
    <w:p w14:paraId="3BADC832">
      <w:pPr>
        <w:spacing w:line="360" w:lineRule="auto"/>
        <w:ind w:firstLine="0" w:firstLineChars="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（5）磋商文件中供应商特定资格条件要求的资格证明文件（如有见</w:t>
      </w:r>
      <w:r>
        <w:rPr>
          <w:rFonts w:hint="eastAsia" w:ascii="仿宋" w:hAnsi="仿宋" w:eastAsia="仿宋" w:cs="仿宋"/>
          <w:color w:val="auto"/>
          <w:szCs w:val="21"/>
          <w:highlight w:val="none"/>
          <w:lang w:val="en-US" w:eastAsia="zh-CN"/>
        </w:rPr>
        <w:t>采购公告</w:t>
      </w:r>
      <w:r>
        <w:rPr>
          <w:rFonts w:hint="eastAsia" w:ascii="仿宋" w:hAnsi="仿宋" w:eastAsia="仿宋" w:cs="仿宋"/>
          <w:color w:val="auto"/>
          <w:szCs w:val="21"/>
          <w:highlight w:val="none"/>
        </w:rPr>
        <w:t>，复印件加盖供应商公章)：</w:t>
      </w:r>
    </w:p>
    <w:p w14:paraId="59C3F9CA">
      <w:pPr>
        <w:spacing w:line="360" w:lineRule="auto"/>
        <w:ind w:left="0" w:leftChars="0" w:firstLine="0" w:firstLineChars="0"/>
        <w:outlineLvl w:val="9"/>
        <w:rPr>
          <w:rFonts w:hint="eastAsia" w:ascii="仿宋" w:hAnsi="仿宋" w:eastAsia="仿宋" w:cs="仿宋"/>
          <w:color w:val="auto"/>
          <w:szCs w:val="21"/>
          <w:highlight w:val="none"/>
        </w:rPr>
      </w:pPr>
      <w:r>
        <w:rPr>
          <w:rFonts w:hint="eastAsia" w:ascii="仿宋" w:hAnsi="仿宋" w:eastAsia="仿宋" w:cs="仿宋"/>
          <w:bCs/>
          <w:iCs/>
          <w:color w:val="auto"/>
          <w:szCs w:val="21"/>
          <w:highlight w:val="none"/>
        </w:rPr>
        <w:t>（6）</w:t>
      </w:r>
      <w:r>
        <w:rPr>
          <w:rFonts w:hint="eastAsia" w:ascii="仿宋" w:hAnsi="仿宋" w:eastAsia="仿宋" w:cs="仿宋"/>
          <w:iCs/>
          <w:color w:val="auto"/>
          <w:szCs w:val="21"/>
          <w:highlight w:val="none"/>
        </w:rPr>
        <w:t>供应商认为需要的提供的其他资料；</w:t>
      </w:r>
    </w:p>
    <w:p w14:paraId="7ABE23BA">
      <w:pPr>
        <w:spacing w:line="360" w:lineRule="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1.6.2.2 商务技术文件</w:t>
      </w:r>
    </w:p>
    <w:p w14:paraId="619C7C89">
      <w:pPr>
        <w:spacing w:line="360" w:lineRule="auto"/>
        <w:ind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（1）商务条款响应表（格式见第六部分附件）；</w:t>
      </w:r>
    </w:p>
    <w:p w14:paraId="5DE80355">
      <w:pPr>
        <w:spacing w:line="360" w:lineRule="auto"/>
        <w:ind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（2）技术要求响应表（格式见第六部分附件）；</w:t>
      </w:r>
    </w:p>
    <w:p w14:paraId="78D2C5F7">
      <w:pPr>
        <w:spacing w:line="360" w:lineRule="auto"/>
        <w:ind w:firstLine="0" w:firstLineChars="0"/>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（3）项目组主要成员情况表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格式见第六部分附件</w:t>
      </w:r>
      <w:r>
        <w:rPr>
          <w:rFonts w:hint="eastAsia" w:ascii="仿宋" w:hAnsi="仿宋" w:eastAsia="仿宋" w:cs="仿宋"/>
          <w:color w:val="auto"/>
          <w:szCs w:val="21"/>
          <w:highlight w:val="none"/>
          <w:lang w:eastAsia="zh-CN"/>
        </w:rPr>
        <w:t>）；</w:t>
      </w:r>
    </w:p>
    <w:p w14:paraId="6827475D">
      <w:pPr>
        <w:spacing w:line="360" w:lineRule="auto"/>
        <w:ind w:firstLine="0" w:firstLineChars="0"/>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类似业绩一览表（格式见第六部分附件）</w:t>
      </w:r>
      <w:r>
        <w:rPr>
          <w:rFonts w:hint="eastAsia" w:ascii="仿宋" w:hAnsi="仿宋" w:eastAsia="仿宋" w:cs="仿宋"/>
          <w:color w:val="auto"/>
          <w:szCs w:val="21"/>
          <w:highlight w:val="none"/>
          <w:lang w:eastAsia="zh-CN"/>
        </w:rPr>
        <w:t>；</w:t>
      </w:r>
    </w:p>
    <w:p w14:paraId="4C4CFD56">
      <w:pPr>
        <w:spacing w:line="360" w:lineRule="auto"/>
        <w:ind w:firstLine="0" w:firstLineChars="0"/>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）供应商</w:t>
      </w:r>
      <w:r>
        <w:rPr>
          <w:rFonts w:hint="eastAsia" w:ascii="仿宋" w:hAnsi="仿宋" w:eastAsia="仿宋" w:cs="仿宋"/>
          <w:color w:val="auto"/>
          <w:szCs w:val="21"/>
          <w:highlight w:val="none"/>
          <w:lang w:val="zh-CN"/>
        </w:rPr>
        <w:t>认为需要的提供的其他资料；</w:t>
      </w:r>
    </w:p>
    <w:p w14:paraId="2645E76F">
      <w:pPr>
        <w:spacing w:line="360" w:lineRule="auto"/>
        <w:ind w:left="106" w:leftChars="7" w:hanging="91" w:hangingChars="43"/>
        <w:outlineLvl w:val="9"/>
        <w:rPr>
          <w:rFonts w:hint="eastAsia" w:ascii="仿宋" w:hAnsi="仿宋" w:eastAsia="仿宋" w:cs="仿宋"/>
          <w:b/>
          <w:color w:val="auto"/>
          <w:szCs w:val="21"/>
          <w:highlight w:val="none"/>
        </w:rPr>
      </w:pPr>
    </w:p>
    <w:p w14:paraId="4E14E318">
      <w:pPr>
        <w:spacing w:line="360" w:lineRule="auto"/>
        <w:ind w:left="106" w:leftChars="7" w:hanging="91" w:hangingChars="43"/>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1.7. 磋商响应文件的编写、格式、签署及装订</w:t>
      </w:r>
      <w:bookmarkEnd w:id="43"/>
    </w:p>
    <w:p w14:paraId="44FA7A86">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1.7.1</w:t>
      </w:r>
      <w:r>
        <w:rPr>
          <w:rFonts w:hint="eastAsia" w:ascii="仿宋" w:hAnsi="仿宋" w:eastAsia="仿宋" w:cs="仿宋"/>
          <w:color w:val="auto"/>
          <w:szCs w:val="21"/>
          <w:highlight w:val="none"/>
        </w:rPr>
        <w:t>供应商应当按照磋商文件的要求编制响应文件，并对其提交的响应文件的真实性、合法性承担法律责任。</w:t>
      </w:r>
    </w:p>
    <w:p w14:paraId="10B987BF">
      <w:pPr>
        <w:spacing w:line="360" w:lineRule="auto"/>
        <w:ind w:left="17" w:leftChars="8"/>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1.7.2</w:t>
      </w:r>
      <w:r>
        <w:rPr>
          <w:rFonts w:hint="eastAsia" w:ascii="仿宋" w:hAnsi="仿宋" w:eastAsia="仿宋" w:cs="仿宋"/>
          <w:color w:val="auto"/>
          <w:szCs w:val="21"/>
          <w:highlight w:val="none"/>
        </w:rPr>
        <w:t xml:space="preserve"> 磋商响应文件按本须知</w:t>
      </w:r>
      <w:r>
        <w:rPr>
          <w:rFonts w:hint="eastAsia" w:ascii="仿宋" w:hAnsi="仿宋" w:eastAsia="仿宋" w:cs="仿宋"/>
          <w:b w:val="0"/>
          <w:bCs/>
          <w:color w:val="auto"/>
          <w:szCs w:val="21"/>
          <w:highlight w:val="none"/>
        </w:rPr>
        <w:t>1.6</w:t>
      </w:r>
      <w:r>
        <w:rPr>
          <w:rFonts w:hint="eastAsia" w:ascii="仿宋" w:hAnsi="仿宋" w:eastAsia="仿宋" w:cs="仿宋"/>
          <w:color w:val="auto"/>
          <w:szCs w:val="21"/>
          <w:highlight w:val="none"/>
        </w:rPr>
        <w:t>条款要求编制，装订成册</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磋商响应文件中需要加盖公章、法定代表人签字或授权代表人签字的应进行签署和盖章。</w:t>
      </w:r>
    </w:p>
    <w:p w14:paraId="0133DBB3">
      <w:pPr>
        <w:spacing w:line="360" w:lineRule="auto"/>
        <w:ind w:left="19" w:leftChars="9"/>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1.7.3 </w:t>
      </w:r>
      <w:r>
        <w:rPr>
          <w:rFonts w:hint="eastAsia" w:ascii="仿宋" w:hAnsi="仿宋" w:eastAsia="仿宋" w:cs="仿宋"/>
          <w:color w:val="auto"/>
          <w:szCs w:val="21"/>
          <w:highlight w:val="none"/>
        </w:rPr>
        <w:t>磋商响应文件语言：中文，当不同文字文本的解释发生异议的，以中文文本为准。</w:t>
      </w:r>
    </w:p>
    <w:p w14:paraId="6828E8E5">
      <w:pPr>
        <w:spacing w:line="360" w:lineRule="auto"/>
        <w:ind w:left="19" w:leftChars="9"/>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1.7.4 </w:t>
      </w:r>
      <w:r>
        <w:rPr>
          <w:rFonts w:hint="eastAsia" w:ascii="仿宋" w:hAnsi="仿宋" w:eastAsia="仿宋" w:cs="仿宋"/>
          <w:color w:val="auto"/>
          <w:szCs w:val="21"/>
          <w:highlight w:val="none"/>
          <w:lang w:eastAsia="zh-CN"/>
        </w:rPr>
        <w:t>磋商报价表</w:t>
      </w:r>
      <w:r>
        <w:rPr>
          <w:rFonts w:hint="eastAsia" w:ascii="仿宋" w:hAnsi="仿宋" w:eastAsia="仿宋" w:cs="仿宋"/>
          <w:color w:val="auto"/>
          <w:szCs w:val="21"/>
          <w:highlight w:val="none"/>
        </w:rPr>
        <w:t>应按格式完整填写，不得自行增减内容。</w:t>
      </w:r>
    </w:p>
    <w:p w14:paraId="140D579E">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1.7.5 </w:t>
      </w:r>
      <w:r>
        <w:rPr>
          <w:rFonts w:hint="eastAsia" w:ascii="仿宋" w:hAnsi="仿宋" w:eastAsia="仿宋" w:cs="仿宋"/>
          <w:color w:val="auto"/>
          <w:szCs w:val="21"/>
          <w:highlight w:val="none"/>
        </w:rPr>
        <w:t>磋商响应文件中所使用的计量单位，除磋商文件有特殊要求外，应采用国家法定计量单位。</w:t>
      </w:r>
    </w:p>
    <w:p w14:paraId="278EC295">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1.7.6 </w:t>
      </w:r>
      <w:r>
        <w:rPr>
          <w:rFonts w:hint="eastAsia" w:ascii="仿宋" w:hAnsi="仿宋" w:eastAsia="仿宋" w:cs="仿宋"/>
          <w:color w:val="auto"/>
          <w:szCs w:val="21"/>
          <w:highlight w:val="none"/>
        </w:rPr>
        <w:t>磋商响应文件正本一份、副本</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rPr>
        <w:t>份、正本须打印或墨水填写，在封面盖公章并注明“正本”字样。副本可以提交正本的复印件。若正本与副本不符，以正本为准。</w:t>
      </w:r>
    </w:p>
    <w:p w14:paraId="2397E2E4">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1.7.7</w:t>
      </w:r>
      <w:r>
        <w:rPr>
          <w:rFonts w:hint="eastAsia" w:ascii="仿宋" w:hAnsi="仿宋" w:eastAsia="仿宋" w:cs="仿宋"/>
          <w:color w:val="auto"/>
          <w:szCs w:val="21"/>
          <w:highlight w:val="none"/>
        </w:rPr>
        <w:t xml:space="preserve"> 磋商响应文件因模糊或表达不清楚所引起的后果由供应商负责。</w:t>
      </w:r>
    </w:p>
    <w:p w14:paraId="37BD616D">
      <w:pPr>
        <w:spacing w:line="360" w:lineRule="auto"/>
        <w:outlineLvl w:val="9"/>
        <w:rPr>
          <w:rFonts w:hint="eastAsia" w:ascii="仿宋" w:hAnsi="仿宋" w:eastAsia="仿宋" w:cs="仿宋"/>
          <w:color w:val="auto"/>
          <w:szCs w:val="21"/>
          <w:highlight w:val="none"/>
        </w:rPr>
      </w:pPr>
    </w:p>
    <w:p w14:paraId="6D254053">
      <w:pPr>
        <w:spacing w:line="360" w:lineRule="auto"/>
        <w:outlineLvl w:val="9"/>
        <w:rPr>
          <w:rFonts w:hint="eastAsia" w:ascii="仿宋" w:hAnsi="仿宋" w:eastAsia="仿宋" w:cs="仿宋"/>
          <w:color w:val="auto"/>
          <w:szCs w:val="21"/>
          <w:highlight w:val="none"/>
        </w:rPr>
      </w:pPr>
      <w:bookmarkStart w:id="44" w:name="_Toc8925_WPSOffice_Level2"/>
      <w:r>
        <w:rPr>
          <w:rFonts w:hint="eastAsia" w:ascii="仿宋" w:hAnsi="仿宋" w:eastAsia="仿宋" w:cs="仿宋"/>
          <w:b/>
          <w:color w:val="auto"/>
          <w:szCs w:val="21"/>
          <w:highlight w:val="none"/>
        </w:rPr>
        <w:t>1.8磋商响应文件的密封、标记和递送</w:t>
      </w:r>
      <w:bookmarkEnd w:id="44"/>
    </w:p>
    <w:p w14:paraId="316DE573">
      <w:pPr>
        <w:spacing w:line="360" w:lineRule="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1.8.1</w:t>
      </w:r>
      <w:r>
        <w:rPr>
          <w:rFonts w:hint="eastAsia" w:ascii="仿宋" w:hAnsi="仿宋" w:eastAsia="仿宋" w:cs="仿宋"/>
          <w:color w:val="auto"/>
          <w:szCs w:val="21"/>
          <w:highlight w:val="none"/>
        </w:rPr>
        <w:t xml:space="preserve"> 磋商响应文件递交时应密封完好，封口处必须盖有供应商单位公章或授权代表人签字。密封袋上注明项目编号、项目名称、供应商名称，并注明“磋商响应文件”字样。采购代理机构不接受未按规定密封的磋商响应文件。</w:t>
      </w:r>
    </w:p>
    <w:p w14:paraId="040D9AC2">
      <w:pPr>
        <w:spacing w:line="360" w:lineRule="auto"/>
        <w:ind w:left="926" w:hanging="823"/>
        <w:outlineLvl w:val="9"/>
        <w:rPr>
          <w:rFonts w:hint="eastAsia" w:ascii="仿宋" w:hAnsi="仿宋" w:eastAsia="仿宋" w:cs="仿宋"/>
          <w:color w:val="auto"/>
          <w:szCs w:val="21"/>
          <w:highlight w:val="none"/>
          <w:u w:val="double"/>
        </w:rPr>
      </w:pPr>
    </w:p>
    <w:p w14:paraId="268386AE">
      <w:pPr>
        <w:spacing w:line="360" w:lineRule="auto"/>
        <w:ind w:left="823" w:hanging="823"/>
        <w:outlineLvl w:val="9"/>
        <w:rPr>
          <w:rFonts w:hint="eastAsia" w:ascii="仿宋" w:hAnsi="仿宋" w:eastAsia="仿宋" w:cs="仿宋"/>
          <w:color w:val="auto"/>
          <w:szCs w:val="21"/>
          <w:highlight w:val="none"/>
          <w:u w:val="double"/>
        </w:rPr>
      </w:pPr>
      <w:bookmarkStart w:id="45" w:name="_Toc17731_WPSOffice_Level2"/>
      <w:r>
        <w:rPr>
          <w:rFonts w:hint="eastAsia" w:ascii="仿宋" w:hAnsi="仿宋" w:eastAsia="仿宋" w:cs="仿宋"/>
          <w:b/>
          <w:color w:val="auto"/>
          <w:szCs w:val="21"/>
          <w:highlight w:val="none"/>
        </w:rPr>
        <w:t>1.9接收磋商响应文件截止时间</w:t>
      </w:r>
      <w:bookmarkEnd w:id="45"/>
    </w:p>
    <w:p w14:paraId="218491DE">
      <w:pPr>
        <w:spacing w:line="360" w:lineRule="auto"/>
        <w:ind w:left="1"/>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1.9.1 </w:t>
      </w:r>
      <w:r>
        <w:rPr>
          <w:rFonts w:hint="eastAsia" w:ascii="仿宋" w:hAnsi="仿宋" w:eastAsia="仿宋" w:cs="仿宋"/>
          <w:color w:val="auto"/>
          <w:szCs w:val="21"/>
          <w:highlight w:val="none"/>
        </w:rPr>
        <w:t>接收磋商响应文件截止时间见本采购文件 “</w:t>
      </w:r>
      <w:r>
        <w:rPr>
          <w:rFonts w:hint="eastAsia" w:ascii="仿宋" w:hAnsi="仿宋" w:eastAsia="仿宋" w:cs="仿宋"/>
          <w:color w:val="auto"/>
          <w:szCs w:val="21"/>
          <w:highlight w:val="none"/>
          <w:lang w:eastAsia="zh-CN"/>
        </w:rPr>
        <w:t>竞争性磋商须知前附表</w:t>
      </w:r>
      <w:r>
        <w:rPr>
          <w:rFonts w:hint="eastAsia" w:ascii="仿宋" w:hAnsi="仿宋" w:eastAsia="仿宋" w:cs="仿宋"/>
          <w:color w:val="auto"/>
          <w:szCs w:val="21"/>
          <w:highlight w:val="none"/>
        </w:rPr>
        <w:t>”。供应商应当在磋商文件要求的截止时间前，将响应文件密封送达指定地点。在截止时间后送达的响应文件为无效文件，采购人、采购代理机构将拒收。</w:t>
      </w:r>
    </w:p>
    <w:p w14:paraId="39BE33AC">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1.9.2</w:t>
      </w:r>
      <w:r>
        <w:rPr>
          <w:rFonts w:hint="eastAsia" w:ascii="仿宋" w:hAnsi="仿宋" w:eastAsia="仿宋" w:cs="仿宋"/>
          <w:color w:val="auto"/>
          <w:szCs w:val="21"/>
          <w:highlight w:val="none"/>
        </w:rPr>
        <w:t xml:space="preserve"> 供应商在提交响应文件截止时间前，可以对所提交的响应文件进行补充、修改或者撤回，并书面通知采购人、采购代理机构。补充、修改的内容作为响应文件的组成部分，补充、修改的内容须法定代表人或授权代表人签字并在截止时间前密封提交。补充、修改的内容与响应文件不一致的，以补充、修改的内容为准。在截止时间之后,供应商不得对其磋商响应文件进行补充、修改和撤回。</w:t>
      </w:r>
    </w:p>
    <w:p w14:paraId="176B9102">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1.9.3</w:t>
      </w:r>
      <w:r>
        <w:rPr>
          <w:rFonts w:hint="eastAsia" w:ascii="仿宋" w:hAnsi="仿宋" w:eastAsia="仿宋" w:cs="仿宋"/>
          <w:color w:val="auto"/>
          <w:szCs w:val="21"/>
          <w:highlight w:val="none"/>
        </w:rPr>
        <w:t xml:space="preserve"> 采购人因故需推迟接收磋商响应文件截止时间和开始磋商时间的，采购代理机构应提前以书面（含传真）的形式通知所有磋商文件收受人。供应商应在收到通知后立即用传真方式向采购代理机构回复。在这种情况下，采购代理机构和潜在供应商相应的权利和义务将受到新的截止期的约束。</w:t>
      </w:r>
    </w:p>
    <w:p w14:paraId="0432E438">
      <w:pPr>
        <w:spacing w:line="360" w:lineRule="auto"/>
        <w:outlineLvl w:val="9"/>
        <w:rPr>
          <w:rFonts w:hint="eastAsia" w:ascii="仿宋" w:hAnsi="仿宋" w:eastAsia="仿宋" w:cs="仿宋"/>
          <w:color w:val="auto"/>
          <w:szCs w:val="21"/>
          <w:highlight w:val="none"/>
        </w:rPr>
      </w:pPr>
    </w:p>
    <w:p w14:paraId="234470C3">
      <w:pPr>
        <w:spacing w:line="360" w:lineRule="auto"/>
        <w:outlineLvl w:val="9"/>
        <w:rPr>
          <w:rFonts w:hint="eastAsia" w:ascii="仿宋" w:hAnsi="仿宋" w:eastAsia="仿宋" w:cs="仿宋"/>
          <w:b/>
          <w:bCs/>
          <w:color w:val="auto"/>
          <w:szCs w:val="21"/>
          <w:highlight w:val="none"/>
        </w:rPr>
      </w:pPr>
      <w:bookmarkStart w:id="46" w:name="_Toc500502070"/>
      <w:bookmarkStart w:id="47" w:name="_Toc22508"/>
      <w:bookmarkStart w:id="48" w:name="_Toc9243"/>
      <w:bookmarkStart w:id="49" w:name="_Toc98803715"/>
      <w:bookmarkStart w:id="50" w:name="_Toc12945_WPSOffice_Level2"/>
      <w:r>
        <w:rPr>
          <w:rFonts w:hint="eastAsia" w:ascii="仿宋" w:hAnsi="仿宋" w:eastAsia="仿宋" w:cs="仿宋"/>
          <w:b/>
          <w:bCs/>
          <w:color w:val="auto"/>
          <w:szCs w:val="21"/>
          <w:highlight w:val="none"/>
        </w:rPr>
        <w:t>1.10 竞争性磋商小组</w:t>
      </w:r>
      <w:bookmarkEnd w:id="46"/>
      <w:bookmarkEnd w:id="47"/>
      <w:bookmarkEnd w:id="48"/>
      <w:bookmarkEnd w:id="49"/>
      <w:bookmarkEnd w:id="50"/>
    </w:p>
    <w:p w14:paraId="0C6355BD">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1.10.1</w:t>
      </w:r>
      <w:r>
        <w:rPr>
          <w:rFonts w:hint="eastAsia" w:ascii="仿宋" w:hAnsi="仿宋" w:eastAsia="仿宋" w:cs="仿宋"/>
          <w:bCs/>
          <w:color w:val="auto"/>
          <w:szCs w:val="21"/>
          <w:highlight w:val="none"/>
        </w:rPr>
        <w:t>竞争性磋商小组</w:t>
      </w:r>
      <w:r>
        <w:rPr>
          <w:rFonts w:hint="eastAsia" w:ascii="仿宋" w:hAnsi="仿宋" w:eastAsia="仿宋" w:cs="仿宋"/>
          <w:color w:val="auto"/>
          <w:szCs w:val="21"/>
          <w:highlight w:val="none"/>
        </w:rPr>
        <w:t>由3人</w:t>
      </w:r>
      <w:r>
        <w:rPr>
          <w:rFonts w:hint="eastAsia" w:ascii="仿宋" w:hAnsi="仿宋" w:eastAsia="仿宋" w:cs="仿宋"/>
          <w:color w:val="auto"/>
          <w:szCs w:val="21"/>
          <w:highlight w:val="none"/>
          <w:lang w:val="en-US" w:eastAsia="zh-CN"/>
        </w:rPr>
        <w:t>及</w:t>
      </w:r>
      <w:r>
        <w:rPr>
          <w:rFonts w:hint="eastAsia" w:ascii="仿宋" w:hAnsi="仿宋" w:eastAsia="仿宋" w:cs="仿宋"/>
          <w:color w:val="auto"/>
          <w:szCs w:val="21"/>
          <w:highlight w:val="none"/>
        </w:rPr>
        <w:t>以上单数组成。评审专家将按规定在评审专家库中随机抽取。磋商小组成员名单在磋商结果确定之前依法保密。</w:t>
      </w:r>
    </w:p>
    <w:p w14:paraId="6C22411C">
      <w:pPr>
        <w:spacing w:line="360" w:lineRule="auto"/>
        <w:outlineLvl w:val="9"/>
        <w:rPr>
          <w:rFonts w:hint="eastAsia" w:ascii="仿宋" w:hAnsi="仿宋" w:eastAsia="仿宋" w:cs="仿宋"/>
          <w:bCs/>
          <w:color w:val="auto"/>
          <w:szCs w:val="21"/>
          <w:highlight w:val="none"/>
        </w:rPr>
      </w:pPr>
      <w:r>
        <w:rPr>
          <w:rFonts w:hint="eastAsia" w:ascii="仿宋" w:hAnsi="仿宋" w:eastAsia="仿宋" w:cs="仿宋"/>
          <w:b/>
          <w:bCs/>
          <w:color w:val="auto"/>
          <w:szCs w:val="21"/>
          <w:highlight w:val="none"/>
        </w:rPr>
        <w:t>1.10.2</w:t>
      </w:r>
      <w:r>
        <w:rPr>
          <w:rFonts w:hint="eastAsia" w:ascii="仿宋" w:hAnsi="仿宋" w:eastAsia="仿宋" w:cs="仿宋"/>
          <w:bCs/>
          <w:color w:val="auto"/>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12E82CA2">
      <w:pPr>
        <w:spacing w:line="360" w:lineRule="auto"/>
        <w:outlineLvl w:val="9"/>
        <w:rPr>
          <w:rFonts w:hint="eastAsia" w:ascii="仿宋" w:hAnsi="仿宋" w:eastAsia="仿宋" w:cs="仿宋"/>
          <w:bCs/>
          <w:color w:val="auto"/>
          <w:szCs w:val="21"/>
          <w:highlight w:val="none"/>
        </w:rPr>
      </w:pPr>
      <w:r>
        <w:rPr>
          <w:rFonts w:hint="eastAsia" w:ascii="仿宋" w:hAnsi="仿宋" w:eastAsia="仿宋" w:cs="仿宋"/>
          <w:b/>
          <w:bCs w:val="0"/>
          <w:color w:val="auto"/>
          <w:szCs w:val="21"/>
          <w:highlight w:val="none"/>
        </w:rPr>
        <w:t>1.10.3</w:t>
      </w:r>
      <w:r>
        <w:rPr>
          <w:rFonts w:hint="eastAsia" w:ascii="仿宋" w:hAnsi="仿宋" w:eastAsia="仿宋" w:cs="仿宋"/>
          <w:bCs/>
          <w:color w:val="auto"/>
          <w:szCs w:val="21"/>
          <w:highlight w:val="none"/>
        </w:rPr>
        <w:t>磋商小组所有成员应当集中与单一供应商分别进行磋商，并给予所有参加磋商的供应商平等的磋商机会。</w:t>
      </w:r>
    </w:p>
    <w:p w14:paraId="11200E99">
      <w:pPr>
        <w:spacing w:line="360" w:lineRule="auto"/>
        <w:outlineLvl w:val="9"/>
        <w:rPr>
          <w:rFonts w:hint="eastAsia" w:ascii="仿宋" w:hAnsi="仿宋" w:eastAsia="仿宋" w:cs="仿宋"/>
          <w:bCs/>
          <w:color w:val="auto"/>
          <w:szCs w:val="21"/>
          <w:highlight w:val="none"/>
        </w:rPr>
      </w:pPr>
    </w:p>
    <w:p w14:paraId="68AE6769">
      <w:pPr>
        <w:spacing w:line="360" w:lineRule="auto"/>
        <w:outlineLvl w:val="9"/>
        <w:rPr>
          <w:rFonts w:hint="eastAsia" w:ascii="仿宋" w:hAnsi="仿宋" w:eastAsia="仿宋" w:cs="仿宋"/>
          <w:b/>
          <w:bCs/>
          <w:color w:val="auto"/>
          <w:szCs w:val="21"/>
          <w:highlight w:val="none"/>
        </w:rPr>
      </w:pPr>
      <w:bookmarkStart w:id="51" w:name="_Toc9181_WPSOffice_Level2"/>
      <w:r>
        <w:rPr>
          <w:rFonts w:hint="eastAsia" w:ascii="仿宋" w:hAnsi="仿宋" w:eastAsia="仿宋" w:cs="仿宋"/>
          <w:b/>
          <w:bCs/>
          <w:color w:val="auto"/>
          <w:szCs w:val="21"/>
          <w:highlight w:val="none"/>
        </w:rPr>
        <w:t>1.11 竞争性磋商程序与评定成交的标准</w:t>
      </w:r>
      <w:bookmarkEnd w:id="51"/>
    </w:p>
    <w:p w14:paraId="0AB1070A">
      <w:pPr>
        <w:spacing w:line="360" w:lineRule="auto"/>
        <w:outlineLvl w:val="9"/>
        <w:rPr>
          <w:rFonts w:hint="eastAsia" w:ascii="仿宋" w:hAnsi="仿宋" w:eastAsia="仿宋" w:cs="仿宋"/>
          <w:bCs/>
          <w:color w:val="auto"/>
          <w:szCs w:val="21"/>
          <w:highlight w:val="none"/>
        </w:rPr>
      </w:pPr>
      <w:r>
        <w:rPr>
          <w:rFonts w:hint="eastAsia" w:ascii="仿宋" w:hAnsi="仿宋" w:eastAsia="仿宋" w:cs="仿宋"/>
          <w:b/>
          <w:bCs/>
          <w:color w:val="auto"/>
          <w:szCs w:val="21"/>
          <w:highlight w:val="none"/>
        </w:rPr>
        <w:t>1.11.1</w:t>
      </w:r>
      <w:r>
        <w:rPr>
          <w:rFonts w:hint="eastAsia" w:ascii="仿宋" w:hAnsi="仿宋" w:eastAsia="仿宋" w:cs="仿宋"/>
          <w:bCs/>
          <w:color w:val="auto"/>
          <w:szCs w:val="21"/>
          <w:highlight w:val="none"/>
        </w:rPr>
        <w:t>竞争性磋商程序见“</w:t>
      </w:r>
      <w:r>
        <w:rPr>
          <w:rFonts w:hint="eastAsia" w:ascii="仿宋" w:hAnsi="仿宋" w:eastAsia="仿宋" w:cs="仿宋"/>
          <w:bCs/>
          <w:color w:val="auto"/>
          <w:szCs w:val="21"/>
          <w:highlight w:val="none"/>
          <w:lang w:eastAsia="zh-CN"/>
        </w:rPr>
        <w:t>竞争性磋商须知前附表</w:t>
      </w:r>
      <w:r>
        <w:rPr>
          <w:rFonts w:hint="eastAsia" w:ascii="仿宋" w:hAnsi="仿宋" w:eastAsia="仿宋" w:cs="仿宋"/>
          <w:bCs/>
          <w:color w:val="auto"/>
          <w:szCs w:val="21"/>
          <w:highlight w:val="none"/>
        </w:rPr>
        <w:t>”。</w:t>
      </w:r>
    </w:p>
    <w:p w14:paraId="3A07EEE0">
      <w:pPr>
        <w:spacing w:line="360" w:lineRule="auto"/>
        <w:outlineLvl w:val="9"/>
        <w:rPr>
          <w:rFonts w:hint="eastAsia" w:ascii="仿宋" w:hAnsi="仿宋" w:eastAsia="仿宋" w:cs="仿宋"/>
          <w:bCs/>
          <w:color w:val="auto"/>
          <w:szCs w:val="21"/>
          <w:highlight w:val="none"/>
        </w:rPr>
      </w:pPr>
      <w:r>
        <w:rPr>
          <w:rFonts w:hint="eastAsia" w:ascii="仿宋" w:hAnsi="仿宋" w:eastAsia="仿宋" w:cs="仿宋"/>
          <w:b/>
          <w:bCs/>
          <w:color w:val="auto"/>
          <w:szCs w:val="21"/>
          <w:highlight w:val="none"/>
        </w:rPr>
        <w:t>1.11.2</w:t>
      </w:r>
      <w:r>
        <w:rPr>
          <w:rFonts w:hint="eastAsia" w:ascii="仿宋" w:hAnsi="仿宋" w:eastAsia="仿宋" w:cs="仿宋"/>
          <w:bCs/>
          <w:color w:val="auto"/>
          <w:szCs w:val="21"/>
          <w:highlight w:val="none"/>
        </w:rPr>
        <w:t>评定成交的标准见磋商文件第</w:t>
      </w:r>
      <w:r>
        <w:rPr>
          <w:rFonts w:hint="eastAsia" w:ascii="仿宋" w:hAnsi="仿宋" w:eastAsia="仿宋" w:cs="仿宋"/>
          <w:bCs/>
          <w:color w:val="auto"/>
          <w:szCs w:val="21"/>
          <w:highlight w:val="none"/>
          <w:lang w:val="en-US" w:eastAsia="zh-CN"/>
        </w:rPr>
        <w:t>四</w:t>
      </w:r>
      <w:r>
        <w:rPr>
          <w:rFonts w:hint="eastAsia" w:ascii="仿宋" w:hAnsi="仿宋" w:eastAsia="仿宋" w:cs="仿宋"/>
          <w:bCs/>
          <w:color w:val="auto"/>
          <w:szCs w:val="21"/>
          <w:highlight w:val="none"/>
        </w:rPr>
        <w:t>部分“评定成交的标准”。</w:t>
      </w:r>
    </w:p>
    <w:p w14:paraId="354E8D60">
      <w:pPr>
        <w:spacing w:line="360" w:lineRule="auto"/>
        <w:outlineLvl w:val="9"/>
        <w:rPr>
          <w:rFonts w:hint="eastAsia" w:ascii="仿宋" w:hAnsi="仿宋" w:eastAsia="仿宋" w:cs="仿宋"/>
          <w:b/>
          <w:color w:val="auto"/>
          <w:szCs w:val="21"/>
          <w:highlight w:val="none"/>
        </w:rPr>
      </w:pPr>
    </w:p>
    <w:p w14:paraId="19709798">
      <w:pPr>
        <w:spacing w:line="360" w:lineRule="auto"/>
        <w:outlineLvl w:val="9"/>
        <w:rPr>
          <w:rFonts w:hint="eastAsia" w:ascii="仿宋" w:hAnsi="仿宋" w:eastAsia="仿宋" w:cs="仿宋"/>
          <w:color w:val="auto"/>
          <w:szCs w:val="21"/>
          <w:highlight w:val="none"/>
        </w:rPr>
      </w:pPr>
      <w:bookmarkStart w:id="52" w:name="_Toc16453_WPSOffice_Level2"/>
      <w:r>
        <w:rPr>
          <w:rFonts w:hint="eastAsia" w:ascii="仿宋" w:hAnsi="仿宋" w:eastAsia="仿宋" w:cs="仿宋"/>
          <w:b/>
          <w:color w:val="auto"/>
          <w:szCs w:val="21"/>
          <w:highlight w:val="none"/>
        </w:rPr>
        <w:t>1.12 磋商响应文件的澄清</w:t>
      </w:r>
      <w:bookmarkEnd w:id="52"/>
    </w:p>
    <w:p w14:paraId="6F1255E9">
      <w:pPr>
        <w:spacing w:line="360" w:lineRule="auto"/>
        <w:ind w:left="15" w:leftChars="7"/>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1.12.1</w:t>
      </w:r>
      <w:r>
        <w:rPr>
          <w:rFonts w:hint="eastAsia" w:ascii="仿宋" w:hAnsi="仿宋" w:eastAsia="仿宋" w:cs="仿宋"/>
          <w:color w:val="auto"/>
          <w:szCs w:val="21"/>
          <w:highlight w:val="none"/>
        </w:rPr>
        <w:t xml:space="preserve"> 磋商小组在对响应文件的有效性、完整性和响应程度进行审查时，可以要求供应商对响应文件中含义不明确、同类问题表述不一致或者有明显文字和计算错误的内容等作出必要的澄清。供应商的澄清不得超出响应文件的范围或者改变响应文件的实质性内容。</w:t>
      </w:r>
    </w:p>
    <w:p w14:paraId="5193D050">
      <w:pPr>
        <w:spacing w:line="360" w:lineRule="auto"/>
        <w:ind w:left="15" w:leftChars="7"/>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1.12.2 </w:t>
      </w:r>
      <w:r>
        <w:rPr>
          <w:rFonts w:hint="eastAsia" w:ascii="仿宋" w:hAnsi="仿宋" w:eastAsia="仿宋" w:cs="仿宋"/>
          <w:color w:val="auto"/>
          <w:szCs w:val="21"/>
          <w:highlight w:val="none"/>
        </w:rPr>
        <w:t>磋商小组要求供应商澄清应当以书面形式作出。</w:t>
      </w:r>
    </w:p>
    <w:p w14:paraId="087F9B5F">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1.12.3</w:t>
      </w:r>
      <w:r>
        <w:rPr>
          <w:rFonts w:hint="eastAsia" w:ascii="仿宋" w:hAnsi="仿宋" w:eastAsia="仿宋" w:cs="仿宋"/>
          <w:color w:val="auto"/>
          <w:szCs w:val="21"/>
          <w:highlight w:val="none"/>
        </w:rPr>
        <w:t>供应商应对需要澄清的问题作书面回答，该书面澄清应当由法定代表人或其授权代表签字或者加盖公章。供应商为自然人的，应当由本人签字并附身份证明。书面澄清将作为响应文件内容的一部分，具有相应的法律效力。</w:t>
      </w:r>
    </w:p>
    <w:p w14:paraId="5ED76C5E">
      <w:pPr>
        <w:spacing w:line="360" w:lineRule="auto"/>
        <w:ind w:left="15" w:leftChars="7"/>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1.12.4</w:t>
      </w:r>
      <w:r>
        <w:rPr>
          <w:rFonts w:hint="eastAsia" w:ascii="仿宋" w:hAnsi="仿宋" w:eastAsia="仿宋" w:cs="仿宋"/>
          <w:color w:val="auto"/>
          <w:szCs w:val="21"/>
          <w:highlight w:val="none"/>
        </w:rPr>
        <w:t>供应商必须按照采购代理机构通知的时间、地点派技术和商务人员进行答疑和澄清。若供应商未响应澄清安排的通知到场进行答疑和澄清，将被视作自动放弃。</w:t>
      </w:r>
    </w:p>
    <w:p w14:paraId="01B5943E">
      <w:pPr>
        <w:spacing w:line="360" w:lineRule="auto"/>
        <w:ind w:left="103" w:hanging="102" w:hangingChars="49"/>
        <w:outlineLvl w:val="9"/>
        <w:rPr>
          <w:rFonts w:hint="eastAsia" w:ascii="仿宋" w:hAnsi="仿宋" w:eastAsia="仿宋" w:cs="仿宋"/>
          <w:bCs/>
          <w:color w:val="auto"/>
          <w:szCs w:val="21"/>
          <w:highlight w:val="none"/>
        </w:rPr>
      </w:pPr>
    </w:p>
    <w:p w14:paraId="392C7332">
      <w:pPr>
        <w:spacing w:line="360" w:lineRule="auto"/>
        <w:outlineLvl w:val="9"/>
        <w:rPr>
          <w:rFonts w:hint="eastAsia" w:ascii="仿宋" w:hAnsi="仿宋" w:eastAsia="仿宋" w:cs="仿宋"/>
          <w:b/>
          <w:bCs/>
          <w:color w:val="auto"/>
          <w:szCs w:val="21"/>
          <w:highlight w:val="none"/>
        </w:rPr>
      </w:pPr>
      <w:bookmarkStart w:id="53" w:name="_Toc1620_WPSOffice_Level2"/>
      <w:r>
        <w:rPr>
          <w:rFonts w:hint="eastAsia" w:ascii="仿宋" w:hAnsi="仿宋" w:eastAsia="仿宋" w:cs="仿宋"/>
          <w:b/>
          <w:bCs/>
          <w:color w:val="auto"/>
          <w:szCs w:val="21"/>
          <w:highlight w:val="none"/>
        </w:rPr>
        <w:t>1.13  成交结果通知</w:t>
      </w:r>
      <w:bookmarkEnd w:id="53"/>
    </w:p>
    <w:p w14:paraId="6B82517C">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 xml:space="preserve">1.13.1 </w:t>
      </w:r>
      <w:r>
        <w:rPr>
          <w:rFonts w:hint="eastAsia" w:ascii="仿宋" w:hAnsi="仿宋" w:eastAsia="仿宋" w:cs="仿宋"/>
          <w:color w:val="auto"/>
          <w:szCs w:val="21"/>
          <w:highlight w:val="none"/>
        </w:rPr>
        <w:t>磋商小组将根据“</w:t>
      </w:r>
      <w:r>
        <w:rPr>
          <w:rFonts w:hint="eastAsia" w:ascii="仿宋" w:hAnsi="仿宋" w:eastAsia="仿宋" w:cs="仿宋"/>
          <w:color w:val="auto"/>
          <w:kern w:val="0"/>
          <w:szCs w:val="21"/>
          <w:highlight w:val="none"/>
        </w:rPr>
        <w:t>评定成交的标准</w:t>
      </w:r>
      <w:r>
        <w:rPr>
          <w:rFonts w:hint="eastAsia" w:ascii="仿宋" w:hAnsi="仿宋" w:eastAsia="仿宋" w:cs="仿宋"/>
          <w:color w:val="auto"/>
          <w:szCs w:val="21"/>
          <w:highlight w:val="none"/>
        </w:rPr>
        <w:t>”确定的评标方法和原则进行评审。</w:t>
      </w:r>
    </w:p>
    <w:p w14:paraId="1BF4C697">
      <w:pPr>
        <w:spacing w:line="360" w:lineRule="auto"/>
        <w:outlineLvl w:val="9"/>
        <w:rPr>
          <w:rFonts w:hint="eastAsia" w:ascii="仿宋" w:hAnsi="仿宋" w:eastAsia="仿宋" w:cs="仿宋"/>
          <w:bCs/>
          <w:color w:val="auto"/>
          <w:szCs w:val="21"/>
          <w:highlight w:val="none"/>
        </w:rPr>
      </w:pPr>
      <w:r>
        <w:rPr>
          <w:rFonts w:hint="eastAsia" w:ascii="仿宋" w:hAnsi="仿宋" w:eastAsia="仿宋" w:cs="仿宋"/>
          <w:b/>
          <w:bCs/>
          <w:color w:val="auto"/>
          <w:szCs w:val="21"/>
          <w:highlight w:val="none"/>
        </w:rPr>
        <w:t xml:space="preserve">1.13.2 </w:t>
      </w:r>
      <w:r>
        <w:rPr>
          <w:rFonts w:hint="eastAsia" w:ascii="仿宋" w:hAnsi="仿宋" w:eastAsia="仿宋" w:cs="仿宋"/>
          <w:bCs/>
          <w:color w:val="auto"/>
          <w:szCs w:val="21"/>
          <w:highlight w:val="none"/>
        </w:rPr>
        <w:t>采购人确认评审结果后，采购代理机构将</w:t>
      </w:r>
      <w:r>
        <w:rPr>
          <w:rFonts w:hint="eastAsia" w:ascii="仿宋" w:hAnsi="仿宋" w:eastAsia="仿宋" w:cs="仿宋"/>
          <w:color w:val="auto"/>
          <w:szCs w:val="21"/>
          <w:highlight w:val="none"/>
        </w:rPr>
        <w:t>向成交供应商发出成交通知书，向其他供应商发出结果通知书。</w:t>
      </w:r>
    </w:p>
    <w:p w14:paraId="186E27E8">
      <w:pPr>
        <w:spacing w:line="360" w:lineRule="auto"/>
        <w:outlineLvl w:val="9"/>
        <w:rPr>
          <w:rFonts w:hint="eastAsia" w:ascii="仿宋" w:hAnsi="仿宋" w:eastAsia="仿宋" w:cs="仿宋"/>
          <w:bCs/>
          <w:color w:val="auto"/>
          <w:szCs w:val="21"/>
          <w:highlight w:val="none"/>
        </w:rPr>
      </w:pPr>
      <w:r>
        <w:rPr>
          <w:rFonts w:hint="eastAsia" w:ascii="仿宋" w:hAnsi="仿宋" w:eastAsia="仿宋" w:cs="仿宋"/>
          <w:b/>
          <w:bCs/>
          <w:color w:val="auto"/>
          <w:szCs w:val="21"/>
          <w:highlight w:val="none"/>
        </w:rPr>
        <w:t xml:space="preserve">1.13.3 </w:t>
      </w:r>
      <w:r>
        <w:rPr>
          <w:rFonts w:hint="eastAsia" w:ascii="仿宋" w:hAnsi="仿宋" w:eastAsia="仿宋" w:cs="仿宋"/>
          <w:bCs/>
          <w:color w:val="auto"/>
          <w:szCs w:val="21"/>
          <w:highlight w:val="none"/>
        </w:rPr>
        <w:t>确定成交通知书发出后，若成交供应商放弃成交，应当承担相应的法律责任，确定成交通知书对采购人和成交供应商具有同等法律效力。</w:t>
      </w:r>
    </w:p>
    <w:p w14:paraId="1D47FE88">
      <w:pPr>
        <w:spacing w:line="360" w:lineRule="auto"/>
        <w:ind w:left="19" w:leftChars="9"/>
        <w:outlineLvl w:val="9"/>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 xml:space="preserve">1.13.4 </w:t>
      </w:r>
      <w:r>
        <w:rPr>
          <w:rFonts w:hint="eastAsia" w:ascii="仿宋" w:hAnsi="仿宋" w:eastAsia="仿宋" w:cs="仿宋"/>
          <w:color w:val="auto"/>
          <w:szCs w:val="21"/>
          <w:highlight w:val="none"/>
        </w:rPr>
        <w:t>供应商若对成交结果有异议，可</w:t>
      </w:r>
      <w:r>
        <w:rPr>
          <w:rFonts w:hint="eastAsia" w:ascii="仿宋" w:hAnsi="仿宋" w:eastAsia="仿宋" w:cs="仿宋"/>
          <w:color w:val="auto"/>
          <w:szCs w:val="21"/>
          <w:highlight w:val="none"/>
          <w:lang w:val="en-US" w:eastAsia="zh-CN"/>
        </w:rPr>
        <w:t>在收到结果通知书后3日内</w:t>
      </w:r>
      <w:r>
        <w:rPr>
          <w:rFonts w:hint="eastAsia" w:ascii="仿宋" w:hAnsi="仿宋" w:eastAsia="仿宋" w:cs="仿宋"/>
          <w:color w:val="auto"/>
          <w:szCs w:val="21"/>
          <w:highlight w:val="none"/>
        </w:rPr>
        <w:t>向采购人或采购代理机构提出书面质疑，采购人将在收到质疑文件之日起7个工作日内书面答复。</w:t>
      </w:r>
    </w:p>
    <w:p w14:paraId="502FE035">
      <w:pPr>
        <w:spacing w:line="360" w:lineRule="auto"/>
        <w:outlineLvl w:val="9"/>
        <w:rPr>
          <w:rFonts w:hint="eastAsia" w:ascii="仿宋" w:hAnsi="仿宋" w:eastAsia="仿宋" w:cs="仿宋"/>
          <w:color w:val="auto"/>
          <w:szCs w:val="21"/>
          <w:highlight w:val="none"/>
        </w:rPr>
      </w:pPr>
    </w:p>
    <w:p w14:paraId="53E9B765">
      <w:pPr>
        <w:spacing w:line="360" w:lineRule="auto"/>
        <w:jc w:val="left"/>
        <w:outlineLvl w:val="9"/>
        <w:rPr>
          <w:rFonts w:hint="eastAsia" w:ascii="仿宋" w:hAnsi="仿宋" w:eastAsia="仿宋" w:cs="仿宋"/>
          <w:color w:val="auto"/>
          <w:szCs w:val="21"/>
          <w:highlight w:val="none"/>
        </w:rPr>
      </w:pPr>
      <w:bookmarkStart w:id="54" w:name="_Toc24000_WPSOffice_Level2"/>
      <w:r>
        <w:rPr>
          <w:rFonts w:hint="eastAsia" w:ascii="仿宋" w:hAnsi="仿宋" w:eastAsia="仿宋" w:cs="仿宋"/>
          <w:b/>
          <w:color w:val="auto"/>
          <w:szCs w:val="21"/>
          <w:highlight w:val="none"/>
        </w:rPr>
        <w:t>1.14 评审过程中无效磋商响应文件的认定：</w:t>
      </w:r>
      <w:bookmarkEnd w:id="54"/>
    </w:p>
    <w:p w14:paraId="7D3F70D7">
      <w:pPr>
        <w:spacing w:line="360" w:lineRule="auto"/>
        <w:jc w:val="left"/>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1.14.1有下列情形之一的磋商响应文件被认定没有实质性响应磋商文件要求，为无效磋商响应文件：</w:t>
      </w:r>
    </w:p>
    <w:p w14:paraId="5AB5FE05">
      <w:pPr>
        <w:numPr>
          <w:ilvl w:val="0"/>
          <w:numId w:val="0"/>
        </w:numPr>
        <w:spacing w:line="360" w:lineRule="auto"/>
        <w:ind w:firstLine="0" w:firstLineChars="0"/>
        <w:jc w:val="left"/>
        <w:outlineLvl w:val="9"/>
        <w:rPr>
          <w:rFonts w:hint="eastAsia" w:ascii="仿宋" w:hAnsi="仿宋" w:eastAsia="仿宋" w:cs="仿宋"/>
          <w:bCs/>
          <w:color w:val="auto"/>
          <w:szCs w:val="21"/>
          <w:highlight w:val="none"/>
        </w:rPr>
      </w:pPr>
      <w:r>
        <w:rPr>
          <w:rFonts w:hint="eastAsia" w:ascii="仿宋" w:hAnsi="仿宋" w:eastAsia="仿宋" w:cs="仿宋"/>
          <w:bCs/>
          <w:color w:val="auto"/>
          <w:kern w:val="2"/>
          <w:sz w:val="21"/>
          <w:szCs w:val="21"/>
          <w:highlight w:val="none"/>
          <w:lang w:val="en-US" w:eastAsia="zh-CN" w:bidi="ar-SA"/>
        </w:rPr>
        <w:t>（1）</w:t>
      </w:r>
      <w:r>
        <w:rPr>
          <w:rFonts w:hint="eastAsia" w:ascii="仿宋" w:hAnsi="仿宋" w:eastAsia="仿宋" w:cs="仿宋"/>
          <w:bCs/>
          <w:color w:val="auto"/>
          <w:szCs w:val="21"/>
          <w:highlight w:val="none"/>
        </w:rPr>
        <w:t>超出预算金额或最高限价的报价；</w:t>
      </w:r>
    </w:p>
    <w:p w14:paraId="31786829">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文件未按照磋商文件要求提供或不全或虽提供但格式、签署与盖章等不符合磋商文件要求的；</w:t>
      </w:r>
    </w:p>
    <w:p w14:paraId="33FB8F63">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rPr>
        <w:t>超出经营范围磋商响应的；</w:t>
      </w:r>
    </w:p>
    <w:p w14:paraId="7BC5AB63">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（4）</w:t>
      </w:r>
      <w:r>
        <w:rPr>
          <w:rFonts w:hint="eastAsia" w:ascii="仿宋" w:hAnsi="仿宋" w:eastAsia="仿宋" w:cs="仿宋"/>
          <w:color w:val="auto"/>
          <w:szCs w:val="21"/>
          <w:highlight w:val="none"/>
        </w:rPr>
        <w:t>磋商有效期不符合磋商文件要求的；</w:t>
      </w:r>
    </w:p>
    <w:p w14:paraId="4049D4F7">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szCs w:val="21"/>
          <w:highlight w:val="none"/>
        </w:rPr>
        <w:t>磋商响应文件数量不符合磋商文件要求的；</w:t>
      </w:r>
    </w:p>
    <w:p w14:paraId="70BB3D05">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（6）</w:t>
      </w:r>
      <w:r>
        <w:rPr>
          <w:rFonts w:hint="eastAsia" w:ascii="仿宋" w:hAnsi="仿宋" w:eastAsia="仿宋" w:cs="仿宋"/>
          <w:color w:val="auto"/>
          <w:szCs w:val="21"/>
          <w:highlight w:val="none"/>
        </w:rPr>
        <w:t>磋商响应文件的签署与盖章等不符合磋商文件要求的；</w:t>
      </w:r>
    </w:p>
    <w:p w14:paraId="1A3E62CD">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（7）</w:t>
      </w:r>
      <w:r>
        <w:rPr>
          <w:rFonts w:hint="eastAsia" w:ascii="仿宋" w:hAnsi="仿宋" w:eastAsia="仿宋" w:cs="仿宋"/>
          <w:color w:val="auto"/>
          <w:szCs w:val="21"/>
          <w:highlight w:val="none"/>
        </w:rPr>
        <w:t>磋商文件标注有“★”号的条款为“实质性要求”条款，磋商响应文件对这些条款有负偏离的；未标注有“★”号的条款负偏离达到或超过磋商文件规定数量的；上述偏离的认定由磋商小组进行评议；</w:t>
      </w:r>
    </w:p>
    <w:p w14:paraId="40CD9241">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（8）</w:t>
      </w:r>
      <w:r>
        <w:rPr>
          <w:rFonts w:hint="eastAsia" w:ascii="仿宋" w:hAnsi="仿宋" w:eastAsia="仿宋" w:cs="仿宋"/>
          <w:color w:val="auto"/>
          <w:szCs w:val="21"/>
          <w:highlight w:val="none"/>
        </w:rPr>
        <w:t>“商务条款响应表“或”</w:t>
      </w:r>
      <w:r>
        <w:rPr>
          <w:rFonts w:hint="eastAsia" w:ascii="仿宋" w:hAnsi="仿宋" w:eastAsia="仿宋" w:cs="仿宋"/>
          <w:color w:val="auto"/>
          <w:szCs w:val="21"/>
          <w:highlight w:val="none"/>
          <w:lang w:val="en-US" w:eastAsia="zh-CN"/>
        </w:rPr>
        <w:t>技术要求响应表</w:t>
      </w:r>
      <w:r>
        <w:rPr>
          <w:rFonts w:hint="eastAsia" w:ascii="仿宋" w:hAnsi="仿宋" w:eastAsia="仿宋" w:cs="仿宋"/>
          <w:color w:val="auto"/>
          <w:szCs w:val="21"/>
          <w:highlight w:val="none"/>
        </w:rPr>
        <w:t>“有缺项、漏项且磋商小组认定该缺项、漏项使得磋商响应文件没有对磋商文件的要求作出实质性响应的；</w:t>
      </w:r>
    </w:p>
    <w:p w14:paraId="7F8BFE8C">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（9）</w:t>
      </w:r>
      <w:r>
        <w:rPr>
          <w:rFonts w:hint="eastAsia" w:ascii="仿宋" w:hAnsi="仿宋" w:eastAsia="仿宋" w:cs="仿宋"/>
          <w:color w:val="auto"/>
          <w:szCs w:val="21"/>
          <w:highlight w:val="none"/>
        </w:rPr>
        <w:t>磋商响应文件有包含价格调整要求的或有采购人不能接受的其他条件的；</w:t>
      </w:r>
    </w:p>
    <w:p w14:paraId="2AEEE1FD">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（10）</w:t>
      </w:r>
      <w:r>
        <w:rPr>
          <w:rFonts w:hint="eastAsia" w:ascii="仿宋" w:hAnsi="仿宋" w:eastAsia="仿宋" w:cs="仿宋"/>
          <w:color w:val="auto"/>
          <w:szCs w:val="21"/>
          <w:highlight w:val="none"/>
        </w:rPr>
        <w:t>磋商小组经过审查，认定磋商响应文件虚假应标的；</w:t>
      </w:r>
    </w:p>
    <w:p w14:paraId="260DBE59">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（11）</w:t>
      </w:r>
      <w:r>
        <w:rPr>
          <w:rFonts w:hint="eastAsia" w:ascii="仿宋" w:hAnsi="仿宋" w:eastAsia="仿宋" w:cs="仿宋"/>
          <w:color w:val="auto"/>
          <w:szCs w:val="21"/>
          <w:highlight w:val="none"/>
        </w:rPr>
        <w:t>磋商响应文件有不符合国家法律、法规规定的。</w:t>
      </w:r>
    </w:p>
    <w:p w14:paraId="0B0DFCF3">
      <w:pPr>
        <w:spacing w:line="360" w:lineRule="auto"/>
        <w:jc w:val="left"/>
        <w:outlineLvl w:val="9"/>
        <w:rPr>
          <w:rFonts w:hint="eastAsia" w:ascii="仿宋" w:hAnsi="仿宋" w:eastAsia="仿宋" w:cs="仿宋"/>
          <w:color w:val="auto"/>
          <w:szCs w:val="21"/>
          <w:highlight w:val="none"/>
        </w:rPr>
      </w:pPr>
      <w:bookmarkStart w:id="55" w:name="_Toc500502071"/>
      <w:bookmarkStart w:id="56" w:name="_Toc6857"/>
      <w:bookmarkStart w:id="57" w:name="_Toc30988"/>
      <w:bookmarkStart w:id="58" w:name="_Toc98803716"/>
      <w:r>
        <w:rPr>
          <w:rFonts w:hint="eastAsia" w:ascii="仿宋" w:hAnsi="仿宋" w:eastAsia="仿宋" w:cs="仿宋"/>
          <w:b/>
          <w:color w:val="auto"/>
          <w:szCs w:val="21"/>
          <w:highlight w:val="none"/>
        </w:rPr>
        <w:t>1.14.2 磋商程序的终止：</w:t>
      </w:r>
      <w:bookmarkEnd w:id="55"/>
      <w:bookmarkEnd w:id="56"/>
      <w:bookmarkEnd w:id="57"/>
      <w:bookmarkEnd w:id="58"/>
    </w:p>
    <w:p w14:paraId="198AD1AF">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出现下列情形之一的，采购人或者采购代理机构将终止竞争性磋商采购程序，发布项目终止</w:t>
      </w:r>
      <w:r>
        <w:rPr>
          <w:rFonts w:hint="eastAsia" w:ascii="仿宋" w:hAnsi="仿宋" w:eastAsia="仿宋" w:cs="仿宋"/>
          <w:color w:val="auto"/>
          <w:szCs w:val="21"/>
          <w:highlight w:val="none"/>
          <w:lang w:val="en-US" w:eastAsia="zh-CN"/>
        </w:rPr>
        <w:t>通知</w:t>
      </w:r>
      <w:r>
        <w:rPr>
          <w:rFonts w:hint="eastAsia" w:ascii="仿宋" w:hAnsi="仿宋" w:eastAsia="仿宋" w:cs="仿宋"/>
          <w:color w:val="auto"/>
          <w:szCs w:val="21"/>
          <w:highlight w:val="none"/>
        </w:rPr>
        <w:t>并说明原因，重新开展采购活动：</w:t>
      </w:r>
    </w:p>
    <w:p w14:paraId="7A70F2C8">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Cs w:val="21"/>
          <w:highlight w:val="none"/>
        </w:rPr>
        <w:t>因情况变化，不再符合规定的竞争性磋商采购方式适用情形的；</w:t>
      </w:r>
    </w:p>
    <w:p w14:paraId="498CE0F2">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szCs w:val="21"/>
          <w:highlight w:val="none"/>
        </w:rPr>
        <w:t>出现影响采购公正的违法、违规行为的；</w:t>
      </w:r>
    </w:p>
    <w:p w14:paraId="407F36AE">
      <w:pPr>
        <w:numPr>
          <w:ilvl w:val="0"/>
          <w:numId w:val="0"/>
        </w:numPr>
        <w:spacing w:line="360" w:lineRule="auto"/>
        <w:ind w:left="0" w:leftChars="0" w:firstLine="0" w:firstLineChars="0"/>
        <w:jc w:val="left"/>
        <w:outlineLvl w:val="9"/>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（3）</w:t>
      </w:r>
      <w:r>
        <w:rPr>
          <w:rFonts w:hint="eastAsia" w:ascii="仿宋" w:hAnsi="仿宋" w:eastAsia="仿宋" w:cs="仿宋"/>
          <w:color w:val="auto"/>
          <w:szCs w:val="21"/>
          <w:highlight w:val="none"/>
        </w:rPr>
        <w:t>在采购过程中符合竞争要求的供应商只有一家供应商，采购人同意则转为单一来源采购。若采购人不同意，也可重新采购。</w:t>
      </w:r>
    </w:p>
    <w:p w14:paraId="7F483C1C">
      <w:pPr>
        <w:spacing w:line="360" w:lineRule="auto"/>
        <w:outlineLvl w:val="9"/>
        <w:rPr>
          <w:rFonts w:hint="eastAsia" w:ascii="仿宋" w:hAnsi="仿宋" w:eastAsia="仿宋" w:cs="仿宋"/>
          <w:color w:val="auto"/>
          <w:szCs w:val="21"/>
          <w:highlight w:val="none"/>
        </w:rPr>
      </w:pPr>
    </w:p>
    <w:p w14:paraId="47A2D97D">
      <w:pPr>
        <w:spacing w:line="360" w:lineRule="auto"/>
        <w:outlineLvl w:val="9"/>
        <w:rPr>
          <w:rFonts w:hint="eastAsia" w:ascii="仿宋" w:hAnsi="仿宋" w:eastAsia="仿宋" w:cs="仿宋"/>
          <w:color w:val="auto"/>
          <w:szCs w:val="21"/>
          <w:highlight w:val="none"/>
        </w:rPr>
      </w:pPr>
      <w:bookmarkStart w:id="59" w:name="_Toc10339_WPSOffice_Level2"/>
      <w:r>
        <w:rPr>
          <w:rFonts w:hint="eastAsia" w:ascii="仿宋" w:hAnsi="仿宋" w:eastAsia="仿宋" w:cs="仿宋"/>
          <w:b/>
          <w:color w:val="auto"/>
          <w:szCs w:val="21"/>
          <w:highlight w:val="none"/>
        </w:rPr>
        <w:t>1.15  签订合同</w:t>
      </w:r>
      <w:bookmarkEnd w:id="59"/>
    </w:p>
    <w:p w14:paraId="47D19B81">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1.15.1</w:t>
      </w:r>
      <w:r>
        <w:rPr>
          <w:rFonts w:hint="eastAsia" w:ascii="仿宋" w:hAnsi="仿宋" w:eastAsia="仿宋" w:cs="仿宋"/>
          <w:b w:val="0"/>
          <w:bCs/>
          <w:color w:val="auto"/>
          <w:szCs w:val="21"/>
          <w:highlight w:val="none"/>
        </w:rPr>
        <w:t>确定成交供应商在采购代理机构发出确定成交通知书之日起的30日内,</w:t>
      </w:r>
      <w:r>
        <w:rPr>
          <w:rFonts w:hint="eastAsia" w:ascii="仿宋" w:hAnsi="仿宋" w:eastAsia="仿宋" w:cs="仿宋"/>
          <w:color w:val="auto"/>
          <w:szCs w:val="21"/>
          <w:highlight w:val="none"/>
        </w:rPr>
        <w:t>应与采购人按照竞争性磋商文件和确定成交供应商的磋商响应文件的约定内容签订书面合同。否则按本须知第</w:t>
      </w:r>
      <w:r>
        <w:rPr>
          <w:rFonts w:hint="eastAsia" w:ascii="仿宋" w:hAnsi="仿宋" w:eastAsia="仿宋" w:cs="仿宋"/>
          <w:b/>
          <w:color w:val="auto"/>
          <w:szCs w:val="21"/>
          <w:highlight w:val="none"/>
        </w:rPr>
        <w:t>1.4</w:t>
      </w:r>
      <w:r>
        <w:rPr>
          <w:rFonts w:hint="eastAsia" w:ascii="仿宋" w:hAnsi="仿宋" w:eastAsia="仿宋" w:cs="仿宋"/>
          <w:color w:val="auto"/>
          <w:szCs w:val="21"/>
          <w:highlight w:val="none"/>
        </w:rPr>
        <w:t>条的规定处理。</w:t>
      </w:r>
    </w:p>
    <w:p w14:paraId="6043B794">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1.15.2 </w:t>
      </w:r>
      <w:r>
        <w:rPr>
          <w:rFonts w:hint="eastAsia" w:ascii="仿宋" w:hAnsi="仿宋" w:eastAsia="仿宋" w:cs="仿宋"/>
          <w:color w:val="auto"/>
          <w:szCs w:val="21"/>
          <w:highlight w:val="none"/>
        </w:rPr>
        <w:t>竞争性磋商文件、确定成交供应商的磋商响应文件及磋商过程中有关的澄清文件均应作为合同附件。</w:t>
      </w:r>
    </w:p>
    <w:p w14:paraId="464923C4">
      <w:pPr>
        <w:spacing w:line="360" w:lineRule="auto"/>
        <w:outlineLvl w:val="9"/>
        <w:rPr>
          <w:rFonts w:hint="eastAsia" w:ascii="仿宋" w:hAnsi="仿宋" w:eastAsia="仿宋" w:cs="仿宋"/>
          <w:color w:val="auto"/>
          <w:szCs w:val="21"/>
          <w:highlight w:val="none"/>
        </w:rPr>
      </w:pPr>
    </w:p>
    <w:p w14:paraId="19856409">
      <w:pPr>
        <w:spacing w:line="360" w:lineRule="auto"/>
        <w:outlineLvl w:val="9"/>
        <w:rPr>
          <w:rFonts w:hint="eastAsia" w:ascii="仿宋" w:hAnsi="仿宋" w:eastAsia="仿宋" w:cs="仿宋"/>
          <w:color w:val="auto"/>
          <w:szCs w:val="21"/>
          <w:highlight w:val="none"/>
        </w:rPr>
      </w:pPr>
      <w:bookmarkStart w:id="60" w:name="_Toc11440_WPSOffice_Level2"/>
      <w:r>
        <w:rPr>
          <w:rFonts w:hint="eastAsia" w:ascii="仿宋" w:hAnsi="仿宋" w:eastAsia="仿宋" w:cs="仿宋"/>
          <w:b/>
          <w:color w:val="auto"/>
          <w:szCs w:val="21"/>
          <w:highlight w:val="none"/>
        </w:rPr>
        <w:t>1.16  履约保证金（如有）</w:t>
      </w:r>
      <w:bookmarkEnd w:id="60"/>
    </w:p>
    <w:p w14:paraId="673CECE2">
      <w:pPr>
        <w:spacing w:line="360" w:lineRule="auto"/>
        <w:outlineLvl w:val="9"/>
        <w:rPr>
          <w:rFonts w:hint="eastAsia" w:ascii="仿宋" w:hAnsi="仿宋" w:eastAsia="仿宋" w:cs="仿宋"/>
          <w:color w:val="auto"/>
          <w:szCs w:val="21"/>
          <w:highlight w:val="none"/>
        </w:rPr>
      </w:pPr>
      <w:bookmarkStart w:id="61" w:name="_Toc11865_WPSOffice_Level2"/>
      <w:r>
        <w:rPr>
          <w:rFonts w:hint="eastAsia" w:ascii="仿宋" w:hAnsi="仿宋" w:eastAsia="仿宋" w:cs="仿宋"/>
          <w:b/>
          <w:color w:val="auto"/>
          <w:szCs w:val="21"/>
          <w:highlight w:val="none"/>
        </w:rPr>
        <w:t>1.16.1</w:t>
      </w:r>
      <w:r>
        <w:rPr>
          <w:rFonts w:hint="eastAsia" w:ascii="仿宋" w:hAnsi="仿宋" w:eastAsia="仿宋" w:cs="仿宋"/>
          <w:color w:val="auto"/>
          <w:szCs w:val="21"/>
          <w:highlight w:val="none"/>
        </w:rPr>
        <w:t>确定成交供应商在签订合同时，应向采购人提供履约保证金。（本采购文件“</w:t>
      </w:r>
      <w:r>
        <w:rPr>
          <w:rFonts w:hint="eastAsia" w:ascii="仿宋" w:hAnsi="仿宋" w:eastAsia="仿宋" w:cs="仿宋"/>
          <w:color w:val="auto"/>
          <w:szCs w:val="21"/>
          <w:highlight w:val="none"/>
          <w:lang w:eastAsia="zh-CN"/>
        </w:rPr>
        <w:t>竞争性磋商须知前附表</w:t>
      </w:r>
      <w:r>
        <w:rPr>
          <w:rFonts w:hint="eastAsia" w:ascii="仿宋" w:hAnsi="仿宋" w:eastAsia="仿宋" w:cs="仿宋"/>
          <w:color w:val="auto"/>
          <w:szCs w:val="21"/>
          <w:highlight w:val="none"/>
        </w:rPr>
        <w:t>”若另有规定，则从其规定）。</w:t>
      </w:r>
    </w:p>
    <w:p w14:paraId="3F4B36D2">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xml:space="preserve">1.16.2 </w:t>
      </w:r>
      <w:r>
        <w:rPr>
          <w:rFonts w:hint="eastAsia" w:ascii="仿宋" w:hAnsi="仿宋" w:eastAsia="仿宋" w:cs="仿宋"/>
          <w:color w:val="auto"/>
          <w:szCs w:val="21"/>
          <w:highlight w:val="none"/>
        </w:rPr>
        <w:t>确定成交供应商如不按本须知第</w:t>
      </w:r>
      <w:r>
        <w:rPr>
          <w:rFonts w:hint="eastAsia" w:ascii="仿宋" w:hAnsi="仿宋" w:eastAsia="仿宋" w:cs="仿宋"/>
          <w:b/>
          <w:color w:val="auto"/>
          <w:szCs w:val="21"/>
          <w:highlight w:val="none"/>
        </w:rPr>
        <w:t>1.16.1</w:t>
      </w:r>
      <w:r>
        <w:rPr>
          <w:rFonts w:hint="eastAsia" w:ascii="仿宋" w:hAnsi="仿宋" w:eastAsia="仿宋" w:cs="仿宋"/>
          <w:color w:val="auto"/>
          <w:szCs w:val="21"/>
          <w:highlight w:val="none"/>
        </w:rPr>
        <w:t>条的规定提交的，采购人有权按本须知第</w:t>
      </w:r>
      <w:r>
        <w:rPr>
          <w:rFonts w:hint="eastAsia" w:ascii="仿宋" w:hAnsi="仿宋" w:eastAsia="仿宋" w:cs="仿宋"/>
          <w:b/>
          <w:color w:val="auto"/>
          <w:szCs w:val="21"/>
          <w:highlight w:val="none"/>
        </w:rPr>
        <w:t>1.4.2</w:t>
      </w:r>
      <w:r>
        <w:rPr>
          <w:rFonts w:hint="eastAsia" w:ascii="仿宋" w:hAnsi="仿宋" w:eastAsia="仿宋" w:cs="仿宋"/>
          <w:color w:val="auto"/>
          <w:szCs w:val="21"/>
          <w:highlight w:val="none"/>
        </w:rPr>
        <w:t>条规定处理。</w:t>
      </w:r>
    </w:p>
    <w:p w14:paraId="60080A0A">
      <w:pPr>
        <w:spacing w:line="360" w:lineRule="auto"/>
        <w:outlineLvl w:val="9"/>
        <w:rPr>
          <w:rFonts w:hint="eastAsia" w:ascii="仿宋" w:hAnsi="仿宋" w:eastAsia="仿宋" w:cs="仿宋"/>
          <w:b/>
          <w:color w:val="auto"/>
          <w:szCs w:val="21"/>
          <w:highlight w:val="none"/>
        </w:rPr>
      </w:pPr>
    </w:p>
    <w:p w14:paraId="573C9EE8">
      <w:pPr>
        <w:spacing w:line="360" w:lineRule="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1.17 保密</w:t>
      </w:r>
      <w:bookmarkEnd w:id="61"/>
    </w:p>
    <w:p w14:paraId="16A3E421">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1.17.1</w:t>
      </w:r>
      <w:r>
        <w:rPr>
          <w:rFonts w:hint="eastAsia" w:ascii="仿宋" w:hAnsi="仿宋" w:eastAsia="仿宋" w:cs="仿宋"/>
          <w:color w:val="auto"/>
          <w:szCs w:val="21"/>
          <w:highlight w:val="none"/>
        </w:rPr>
        <w:t>成交结果发布之前，磋商小组名单应该保密。磋商小组成员、采购人和采购代理机构的有关参与人员应该对评审过程保密，不得向供应商或其他无关的人员透露。</w:t>
      </w:r>
    </w:p>
    <w:p w14:paraId="31273F62">
      <w:pPr>
        <w:spacing w:line="360" w:lineRule="auto"/>
        <w:outlineLvl w:val="9"/>
        <w:rPr>
          <w:rFonts w:hint="eastAsia" w:ascii="仿宋" w:hAnsi="仿宋" w:eastAsia="仿宋" w:cs="仿宋"/>
          <w:b/>
          <w:color w:val="auto"/>
          <w:szCs w:val="21"/>
          <w:highlight w:val="none"/>
        </w:rPr>
      </w:pPr>
      <w:bookmarkStart w:id="62" w:name="_Toc3100_WPSOffice_Level2"/>
    </w:p>
    <w:p w14:paraId="51F135AD">
      <w:pPr>
        <w:spacing w:line="360" w:lineRule="auto"/>
        <w:outlineLvl w:val="9"/>
        <w:rPr>
          <w:rFonts w:hint="eastAsia" w:ascii="仿宋" w:hAnsi="仿宋" w:eastAsia="仿宋" w:cs="仿宋"/>
          <w:color w:val="auto"/>
          <w:szCs w:val="21"/>
          <w:highlight w:val="none"/>
          <w:lang w:eastAsia="zh-CN"/>
        </w:rPr>
      </w:pPr>
      <w:r>
        <w:rPr>
          <w:rFonts w:hint="eastAsia" w:ascii="仿宋" w:hAnsi="仿宋" w:eastAsia="仿宋" w:cs="仿宋"/>
          <w:b/>
          <w:color w:val="auto"/>
          <w:szCs w:val="21"/>
          <w:highlight w:val="none"/>
        </w:rPr>
        <w:t xml:space="preserve">1.18 </w:t>
      </w:r>
      <w:bookmarkEnd w:id="62"/>
      <w:r>
        <w:rPr>
          <w:rFonts w:hint="eastAsia" w:ascii="仿宋" w:hAnsi="仿宋" w:eastAsia="仿宋" w:cs="仿宋"/>
          <w:b/>
          <w:color w:val="auto"/>
          <w:szCs w:val="21"/>
          <w:highlight w:val="none"/>
          <w:lang w:eastAsia="zh-CN"/>
        </w:rPr>
        <w:t>代理服务费</w:t>
      </w:r>
    </w:p>
    <w:p w14:paraId="2C1DF420">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1.18.1</w:t>
      </w:r>
      <w:r>
        <w:rPr>
          <w:rFonts w:hint="eastAsia" w:ascii="仿宋" w:hAnsi="仿宋" w:eastAsia="仿宋" w:cs="仿宋"/>
          <w:color w:val="auto"/>
          <w:szCs w:val="21"/>
          <w:highlight w:val="none"/>
        </w:rPr>
        <w:t>确定成交供应商应向采购代理机构支付</w:t>
      </w:r>
      <w:r>
        <w:rPr>
          <w:rFonts w:hint="eastAsia" w:ascii="仿宋" w:hAnsi="仿宋" w:eastAsia="仿宋" w:cs="仿宋"/>
          <w:color w:val="auto"/>
          <w:szCs w:val="21"/>
          <w:highlight w:val="none"/>
          <w:lang w:eastAsia="zh-CN"/>
        </w:rPr>
        <w:t>代理服务费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代理服务费</w:t>
      </w:r>
      <w:r>
        <w:rPr>
          <w:rFonts w:hint="eastAsia" w:ascii="仿宋" w:hAnsi="仿宋" w:eastAsia="仿宋" w:cs="仿宋"/>
          <w:color w:val="auto"/>
          <w:szCs w:val="21"/>
          <w:highlight w:val="none"/>
        </w:rPr>
        <w:t>的收费依据及相关规定载明在本采购文件第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部分。</w:t>
      </w:r>
    </w:p>
    <w:p w14:paraId="2E54C988">
      <w:pPr>
        <w:spacing w:line="360" w:lineRule="auto"/>
        <w:outlineLvl w:val="9"/>
        <w:rPr>
          <w:rFonts w:hint="eastAsia" w:ascii="仿宋" w:hAnsi="仿宋" w:eastAsia="仿宋" w:cs="仿宋"/>
          <w:b/>
          <w:color w:val="auto"/>
          <w:szCs w:val="21"/>
          <w:highlight w:val="none"/>
        </w:rPr>
      </w:pPr>
      <w:bookmarkStart w:id="63" w:name="_Toc24395_WPSOffice_Level2"/>
    </w:p>
    <w:bookmarkEnd w:id="63"/>
    <w:p w14:paraId="4BCCEF14">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1.19采购文件对供应商质疑的相关规定</w:t>
      </w:r>
    </w:p>
    <w:p w14:paraId="66975382">
      <w:pPr>
        <w:widowControl/>
        <w:spacing w:line="400" w:lineRule="exact"/>
        <w:ind w:firstLine="420" w:firstLineChars="200"/>
        <w:jc w:val="left"/>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供应商或其他利害人对采购活动合法合规性有疑问的，可向采购人或采购代理机构提出书面异议（质疑）。</w:t>
      </w:r>
    </w:p>
    <w:p w14:paraId="7D056E99">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供应商通过书面形式提交异议（质疑），采购人或采购代理机构应当在规定期限内负责供应商异议（质疑）答复。采购人委托采购代理机构采购的，采购代理机构在委托授权范围内作出答复。供应商提出的异议（质疑）超出采购人对采购代理机构委托授权范围的，采购代理机构应当告知供应商向采购人提出。</w:t>
      </w:r>
    </w:p>
    <w:p w14:paraId="4D8EF295">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供应商认为采购公告、采购文件、开启过程、成交候选供应商公示使自己的权益受到损害的，可向采购人或者采购代理机构提出异议（质疑），采购人或者采购代理机构应及时对公示中的采购行为按照本手册规定进行中止和恢复。</w:t>
      </w:r>
    </w:p>
    <w:p w14:paraId="5244542C">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（一）对采购公告有异议（质疑）的，应当在公示期间提出；</w:t>
      </w:r>
    </w:p>
    <w:p w14:paraId="1BA96D0D">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（二）对采购文件提出异议（质疑）的，应当在采购文件获取截止日之前提出；</w:t>
      </w:r>
    </w:p>
    <w:p w14:paraId="210CFC2C">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（三）对开标有异议（质疑）的，应当在开标期间提出；</w:t>
      </w:r>
    </w:p>
    <w:p w14:paraId="018E85F7">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（四）对结果有异议（质疑）的，应当在成交公示期间提出；</w:t>
      </w:r>
    </w:p>
    <w:p w14:paraId="671D930D">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提出异议（质疑）的供应商应当是参与所异议（质疑）项目采购活动的供应商。供应商已依法获取其可异议（质疑）的采购文件的，可以对该文件提出异议（质疑）。</w:t>
      </w:r>
    </w:p>
    <w:p w14:paraId="48DA8389">
      <w:pPr>
        <w:widowControl/>
        <w:spacing w:line="400" w:lineRule="exact"/>
        <w:ind w:firstLine="420" w:firstLineChars="200"/>
        <w:jc w:val="left"/>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供应商提交的异议（质疑）文件，若供应商为自然人，应当有本人签名；供应商为法人或者其他组织的，应当由法定代表人（企业负责人）、主要负责人，或者其授权代表签名或者盖章，并加盖公章。</w:t>
      </w:r>
    </w:p>
    <w:p w14:paraId="597E5B80">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异议（质疑）应当包括下列内容：</w:t>
      </w:r>
    </w:p>
    <w:p w14:paraId="4F96DE12">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（一）供应商的姓名或者名称、地址、邮编、联系人及联系电话；</w:t>
      </w:r>
    </w:p>
    <w:p w14:paraId="68FEF54E">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（二）具体、明确的异议（质疑）事项和与异议（质疑）事项相关的请求；</w:t>
      </w:r>
    </w:p>
    <w:p w14:paraId="323420F0">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（三）事实依据；</w:t>
      </w:r>
    </w:p>
    <w:p w14:paraId="3B236ECA">
      <w:pPr>
        <w:widowControl/>
        <w:spacing w:line="400" w:lineRule="exact"/>
        <w:ind w:firstLine="420" w:firstLineChars="200"/>
        <w:jc w:val="left"/>
        <w:rPr>
          <w:rFonts w:hint="eastAsia"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（四）必要的法律依据。</w:t>
      </w:r>
    </w:p>
    <w:p w14:paraId="3FF49142">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咨询（评审）专家应当配合采购人或者采购代理机构答复供应商的异议（质疑）。供应商对评审过程、中标或者成交结果提出异议（质疑）的，采购人或者采购代理机构可以组织原评审小组答复异议（质疑）。</w:t>
      </w:r>
    </w:p>
    <w:p w14:paraId="1A0BD3E9">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采购人、采购代理机构应当在收到异议（质疑）后三个工作日内作出答复。</w:t>
      </w:r>
    </w:p>
    <w:p w14:paraId="5CF07374">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异议（质疑）答复应当包括下列内容但答复的内容不得涉及商业秘密：</w:t>
      </w:r>
    </w:p>
    <w:p w14:paraId="0E4BCA69">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（一）异议（质疑）供应商的姓名或者名称；</w:t>
      </w:r>
    </w:p>
    <w:p w14:paraId="51EC2A97">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（二）收到异议（质疑）的日期、异议（质疑）项目名称及编号；</w:t>
      </w:r>
    </w:p>
    <w:p w14:paraId="5C4E19D3">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（三）异议（质疑）事项、异议（质疑）答复的具体内容、事实依据和法律依据；</w:t>
      </w:r>
    </w:p>
    <w:p w14:paraId="1EC15C95">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（四）告知异议（质疑）供应商依法投诉的权利；</w:t>
      </w:r>
    </w:p>
    <w:p w14:paraId="26647C64">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（五）异议（质疑）答复人名称及签章。</w:t>
      </w:r>
    </w:p>
    <w:p w14:paraId="6EA7005E">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采购人、采购代理机构认为供应商异议（质疑）不成立，或者成立但未对中标、成交结果构成影响的，继续开展采购活动；认为供应商异议（质疑）成立且影响或者可能影响中标、成交结果的，按照下列情况处理：</w:t>
      </w:r>
    </w:p>
    <w:p w14:paraId="4F76AADB">
      <w:pPr>
        <w:widowControl/>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（一）对采购文件提出的异议（质疑），依法通过澄清或者修改可以继续开展采购活动的，澄清或者修改采购文件后继续开展采购活动；否则应当修改采购文件后重新开展采购活动；</w:t>
      </w:r>
    </w:p>
    <w:p w14:paraId="51DAF51C">
      <w:pPr>
        <w:spacing w:line="400" w:lineRule="exact"/>
        <w:ind w:firstLine="420" w:firstLineChars="200"/>
        <w:jc w:val="left"/>
        <w:outlineLvl w:val="9"/>
        <w:rPr>
          <w:rFonts w:ascii="宋体" w:hAnsi="宋体"/>
          <w:color w:val="auto"/>
          <w:highlight w:val="none"/>
        </w:rPr>
      </w:pPr>
      <w:r>
        <w:rPr>
          <w:rFonts w:hint="eastAsia" w:ascii="仿宋" w:hAnsi="仿宋" w:eastAsia="仿宋" w:cs="仿宋"/>
          <w:color w:val="auto"/>
          <w:kern w:val="0"/>
          <w:szCs w:val="21"/>
          <w:highlight w:val="none"/>
          <w:lang w:bidi="ar"/>
        </w:rPr>
        <w:t>（二）对采购过程、成交结果提出的异议（质疑），可以根据采购文件的约定从合格的成交候选供应商中另行确定成交人，或者重新开展采购活动。</w:t>
      </w:r>
    </w:p>
    <w:p w14:paraId="77BD7B0B">
      <w:pPr>
        <w:outlineLvl w:val="9"/>
        <w:rPr>
          <w:rFonts w:hint="eastAsia" w:hAnsi="宋体" w:cs="宋体"/>
          <w:color w:val="auto"/>
          <w:highlight w:val="none"/>
        </w:rPr>
      </w:pPr>
      <w:bookmarkStart w:id="64" w:name="_Toc16460_WPSOffice_Level1"/>
      <w:bookmarkStart w:id="65" w:name="_Toc22499_WPSOffice_Level1"/>
      <w:bookmarkStart w:id="66" w:name="_Toc28403_WPSOffice_Level1"/>
      <w:bookmarkStart w:id="67" w:name="_Toc500502073"/>
      <w:bookmarkStart w:id="68" w:name="_Toc15347_WPSOffice_Level1"/>
      <w:bookmarkStart w:id="69" w:name="_Toc15261_WPSOffice_Level1"/>
      <w:bookmarkStart w:id="70" w:name="_Toc22972_WPSOffice_Level1"/>
      <w:bookmarkStart w:id="71" w:name="_Toc10672_WPSOffice_Level1"/>
      <w:bookmarkStart w:id="72" w:name="_Toc9356_WPSOffice_Level1"/>
      <w:r>
        <w:rPr>
          <w:rFonts w:hint="eastAsia" w:hAnsi="宋体" w:cs="宋体"/>
          <w:color w:val="auto"/>
          <w:highlight w:val="none"/>
        </w:rPr>
        <w:br w:type="page"/>
      </w:r>
    </w:p>
    <w:p w14:paraId="6B4AE3C8">
      <w:pPr>
        <w:pStyle w:val="3"/>
        <w:spacing w:line="360" w:lineRule="auto"/>
        <w:jc w:val="center"/>
        <w:outlineLvl w:val="0"/>
        <w:rPr>
          <w:rFonts w:hint="eastAsia" w:ascii="仿宋" w:hAnsi="仿宋" w:eastAsia="仿宋" w:cs="仿宋"/>
          <w:color w:val="auto"/>
          <w:sz w:val="28"/>
          <w:szCs w:val="28"/>
          <w:highlight w:val="none"/>
        </w:rPr>
      </w:pPr>
      <w:bookmarkStart w:id="73" w:name="_Toc693"/>
      <w:bookmarkStart w:id="74" w:name="_Toc2379"/>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 xml:space="preserve">部分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评定成交的标准</w:t>
      </w:r>
      <w:bookmarkEnd w:id="64"/>
      <w:bookmarkEnd w:id="65"/>
      <w:bookmarkEnd w:id="66"/>
      <w:bookmarkEnd w:id="67"/>
      <w:bookmarkEnd w:id="68"/>
      <w:bookmarkEnd w:id="69"/>
      <w:bookmarkEnd w:id="70"/>
      <w:bookmarkEnd w:id="71"/>
      <w:bookmarkEnd w:id="72"/>
      <w:bookmarkEnd w:id="73"/>
      <w:bookmarkEnd w:id="74"/>
    </w:p>
    <w:p w14:paraId="2F4CCDE1">
      <w:pPr>
        <w:spacing w:line="360" w:lineRule="auto"/>
        <w:ind w:firstLine="210" w:firstLineChars="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本评定成交的标准是对 “竞争性磋商须知”中相关条款的具体补充，如有矛盾，以本评定成交的标准为准。</w:t>
      </w:r>
    </w:p>
    <w:p w14:paraId="1568FAB9">
      <w:pPr>
        <w:spacing w:line="360" w:lineRule="auto"/>
        <w:ind w:firstLine="100"/>
        <w:outlineLvl w:val="9"/>
        <w:rPr>
          <w:rFonts w:hint="eastAsia" w:ascii="仿宋" w:hAnsi="仿宋" w:eastAsia="仿宋" w:cs="仿宋"/>
          <w:b/>
          <w:color w:val="auto"/>
          <w:szCs w:val="21"/>
          <w:highlight w:val="none"/>
        </w:rPr>
      </w:pPr>
    </w:p>
    <w:p w14:paraId="45AD8B05">
      <w:pPr>
        <w:spacing w:line="360" w:lineRule="auto"/>
        <w:ind w:firstLine="100"/>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●评定方法：综合评分法</w:t>
      </w:r>
    </w:p>
    <w:p w14:paraId="39E45EE7">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1、每位评委独立逐栏打分，每栏分值不得超出本栏规定的分值范围；</w:t>
      </w:r>
    </w:p>
    <w:p w14:paraId="4289A544">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2、各评委的综合评分的算术平均值（算术平均值以四舍五入方法保留小数后2位）为最终评定结果得分，评定结果按照综合得分由高到低顺序对有效磋商响应供应商进行排序；</w:t>
      </w:r>
    </w:p>
    <w:p w14:paraId="3FF74905">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3、在评审过程中，发现的价格计算错误按下述原则修正：</w:t>
      </w:r>
    </w:p>
    <w:p w14:paraId="0F241B78">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（1）磋商响应文件中</w:t>
      </w:r>
      <w:r>
        <w:rPr>
          <w:rFonts w:hint="eastAsia" w:ascii="仿宋" w:hAnsi="仿宋" w:eastAsia="仿宋" w:cs="仿宋"/>
          <w:color w:val="auto"/>
          <w:szCs w:val="21"/>
          <w:highlight w:val="none"/>
          <w:lang w:eastAsia="zh-CN"/>
        </w:rPr>
        <w:t>磋商报价表</w:t>
      </w:r>
      <w:r>
        <w:rPr>
          <w:rFonts w:hint="eastAsia" w:ascii="仿宋" w:hAnsi="仿宋" w:eastAsia="仿宋" w:cs="仿宋"/>
          <w:color w:val="auto"/>
          <w:szCs w:val="21"/>
          <w:highlight w:val="none"/>
        </w:rPr>
        <w:t>内容与磋商响应文件中分项报价表内容不一致的，以</w:t>
      </w:r>
      <w:r>
        <w:rPr>
          <w:rFonts w:hint="eastAsia" w:ascii="仿宋" w:hAnsi="仿宋" w:eastAsia="仿宋" w:cs="仿宋"/>
          <w:color w:val="auto"/>
          <w:szCs w:val="21"/>
          <w:highlight w:val="none"/>
          <w:lang w:eastAsia="zh-CN"/>
        </w:rPr>
        <w:t>磋商报价表</w:t>
      </w:r>
      <w:r>
        <w:rPr>
          <w:rFonts w:hint="eastAsia" w:ascii="仿宋" w:hAnsi="仿宋" w:eastAsia="仿宋" w:cs="仿宋"/>
          <w:color w:val="auto"/>
          <w:szCs w:val="21"/>
          <w:highlight w:val="none"/>
        </w:rPr>
        <w:t>为准；</w:t>
      </w:r>
    </w:p>
    <w:p w14:paraId="2BCC7B6E">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（2）磋商响应文件的大写金额和小写金额不一致的，以大写金额为准；</w:t>
      </w:r>
    </w:p>
    <w:p w14:paraId="39D3B2B1">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（3）单价金额小数点有明显错位的，应以总价为准，并修改单价；</w:t>
      </w:r>
    </w:p>
    <w:p w14:paraId="73B7FB63">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（4）总价金额与按单价汇总金额不一致的，以单价金额计算结果为准。</w:t>
      </w:r>
    </w:p>
    <w:p w14:paraId="12744E90">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上述顺序修正。修正后的价格若高于磋商报价，则成交价以磋商报价为准，评审价以修正后的价格为准；修正后的价格若低于磋商报价，则成交价以修正后价格为准，评审价以磋商报价为准。修正后的价格经供应商人确认后产生约束力，供应商人不确认的，其响应无效。</w:t>
      </w:r>
    </w:p>
    <w:p w14:paraId="10FEA064">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合格磋商响应供应商的评定得分为各项目汇总得分，成交候选资格按综合评定得分由高到低顺序排列，综合得分相同的，按报价由低到高顺序排列；综合得分且报价相同的，按技术得分由高到低顺序排列；综合得分、报价及技术分均相同的，现场抽签决定排序。</w:t>
      </w:r>
    </w:p>
    <w:p w14:paraId="275724FF">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5、成交候选供应商推荐原则：按照磋商结果排序，推荐排序第一、第二、第三名的供应商依次为第一、第二、第三成交候选供应商。</w:t>
      </w:r>
    </w:p>
    <w:p w14:paraId="11B2530E">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确定成交供应商：采购人根据确定成交报告中磋商小组推荐的成交候选供应商顺序（或磋商小组受采购人事先授权，按照评审结果排序直接确定供应商）确定1名成交供应商。排序第一成交候选供应商如拒绝与采购人签订合同的，或因不可抗力提出不能履行合同，采购人可以确定下一排序成交候选供应商为成交供应商，依此类推，直至排序第三成交候选供应商；采购人也可以重新组织采购。</w:t>
      </w:r>
    </w:p>
    <w:p w14:paraId="1FF482F8">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7、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39804F1F">
      <w:pPr>
        <w:spacing w:line="360" w:lineRule="auto"/>
        <w:ind w:firstLine="1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8、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7B5102D7">
      <w:pPr>
        <w:spacing w:line="360" w:lineRule="auto"/>
        <w:outlineLvl w:val="9"/>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 评审程序</w:t>
      </w:r>
    </w:p>
    <w:p w14:paraId="20E45F6B">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1、供应商在规定的响应文件提交的截止时间之前提交响应文件。</w:t>
      </w:r>
    </w:p>
    <w:p w14:paraId="1B150F05">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2、采购代理公司在现场公布项目名称，参加采购的供应商名称、响应文件正副本数量。</w:t>
      </w:r>
    </w:p>
    <w:p w14:paraId="55CE8253">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3、各供应商的报价不公开。</w:t>
      </w:r>
    </w:p>
    <w:p w14:paraId="6F2065B6">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4、磋商小组查阅各供应商的响应文件，进行资格审查和符合性检查，并判定无效响应文件；无效响应的供应商不再进入后续程序。</w:t>
      </w:r>
    </w:p>
    <w:p w14:paraId="543EDAE6">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磋商小组与各有效供应商进行磋商谈判；在谈判过程中，如有需要，可以根据谈判情况对采购文件的“项目要求”以及“合同条款”进行实质性变动，磋商小组将采购文件变更通知以书面形式通知各有效供应商，供应商根据变更通知的要求作响应文件的补充文件，该补充文件是响应文件的组成部分，具有相应的法律效力。</w:t>
      </w:r>
    </w:p>
    <w:p w14:paraId="1A188B78">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6、各有效供应商在规定时间内提交第二次报价（即最终报价），磋商小组以最终报价作为价格评议的标准。</w:t>
      </w:r>
    </w:p>
    <w:p w14:paraId="5839A2A7">
      <w:pPr>
        <w:spacing w:line="360" w:lineRule="auto"/>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7、磋商小组按照评定成交的标准，按综合得分由高至低对有效</w:t>
      </w:r>
      <w:r>
        <w:rPr>
          <w:rFonts w:hint="eastAsia" w:ascii="仿宋" w:hAnsi="仿宋" w:eastAsia="仿宋" w:cs="仿宋"/>
          <w:color w:val="auto"/>
          <w:szCs w:val="21"/>
          <w:highlight w:val="none"/>
          <w:lang w:eastAsia="zh-CN"/>
        </w:rPr>
        <w:t>供应商</w:t>
      </w:r>
      <w:r>
        <w:rPr>
          <w:rFonts w:hint="eastAsia" w:ascii="仿宋" w:hAnsi="仿宋" w:eastAsia="仿宋" w:cs="仿宋"/>
          <w:color w:val="auto"/>
          <w:szCs w:val="21"/>
          <w:highlight w:val="none"/>
        </w:rPr>
        <w:t>进行排序</w:t>
      </w:r>
      <w:r>
        <w:rPr>
          <w:rFonts w:hint="eastAsia" w:ascii="仿宋" w:hAnsi="仿宋" w:eastAsia="仿宋" w:cs="仿宋"/>
          <w:color w:val="auto"/>
          <w:szCs w:val="21"/>
          <w:highlight w:val="none"/>
          <w:lang w:eastAsia="zh-CN"/>
        </w:rPr>
        <w:t>。</w:t>
      </w:r>
    </w:p>
    <w:p w14:paraId="534FC72E">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8、采购人确定成交供应商。</w:t>
      </w:r>
    </w:p>
    <w:p w14:paraId="58ACF523">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9、采购人与成交供应商签订合同。</w:t>
      </w:r>
    </w:p>
    <w:p w14:paraId="0815360A">
      <w:pPr>
        <w:outlineLvl w:val="9"/>
        <w:rPr>
          <w:rFonts w:hint="eastAsia" w:ascii="宋体" w:hAnsi="宋体" w:cs="宋体"/>
          <w:b/>
          <w:color w:val="auto"/>
          <w:szCs w:val="21"/>
          <w:highlight w:val="none"/>
        </w:rPr>
      </w:pPr>
      <w:r>
        <w:rPr>
          <w:rFonts w:hint="eastAsia" w:ascii="宋体" w:hAnsi="宋体" w:cs="宋体"/>
          <w:b/>
          <w:color w:val="auto"/>
          <w:szCs w:val="21"/>
          <w:highlight w:val="none"/>
        </w:rPr>
        <w:br w:type="page"/>
      </w:r>
    </w:p>
    <w:p w14:paraId="561652FF">
      <w:pPr>
        <w:spacing w:afterLines="50" w:line="400" w:lineRule="exact"/>
        <w:jc w:val="center"/>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资格性审查表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4622"/>
        <w:gridCol w:w="3917"/>
      </w:tblGrid>
      <w:tr w14:paraId="0F65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1" w:type="pct"/>
            <w:vAlign w:val="center"/>
          </w:tcPr>
          <w:p w14:paraId="22B9F5FD">
            <w:pPr>
              <w:spacing w:line="300" w:lineRule="exact"/>
              <w:jc w:val="center"/>
              <w:outlineLvl w:val="9"/>
              <w:rPr>
                <w:rFonts w:hint="eastAsia" w:ascii="仿宋" w:hAnsi="仿宋" w:eastAsia="仿宋" w:cs="仿宋"/>
                <w:b/>
                <w:color w:val="auto"/>
                <w:szCs w:val="21"/>
                <w:highlight w:val="none"/>
              </w:rPr>
            </w:pPr>
            <w:r>
              <w:rPr>
                <w:rFonts w:hint="eastAsia" w:ascii="仿宋" w:hAnsi="仿宋" w:eastAsia="仿宋" w:cs="仿宋"/>
                <w:b/>
                <w:bCs/>
                <w:color w:val="auto"/>
                <w:szCs w:val="21"/>
                <w:highlight w:val="none"/>
              </w:rPr>
              <w:t>审查类别</w:t>
            </w:r>
          </w:p>
        </w:tc>
        <w:tc>
          <w:tcPr>
            <w:tcW w:w="2321" w:type="pct"/>
            <w:vAlign w:val="center"/>
          </w:tcPr>
          <w:p w14:paraId="5C58EFE7">
            <w:pPr>
              <w:spacing w:line="3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审查内容</w:t>
            </w:r>
          </w:p>
        </w:tc>
        <w:tc>
          <w:tcPr>
            <w:tcW w:w="1967" w:type="pct"/>
            <w:vAlign w:val="center"/>
          </w:tcPr>
          <w:p w14:paraId="0A35053F">
            <w:pPr>
              <w:spacing w:line="3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审查要求</w:t>
            </w:r>
          </w:p>
        </w:tc>
      </w:tr>
      <w:tr w14:paraId="0FA8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1" w:type="pct"/>
            <w:vMerge w:val="restart"/>
            <w:vAlign w:val="center"/>
          </w:tcPr>
          <w:p w14:paraId="4678AC15">
            <w:pPr>
              <w:spacing w:line="3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资格条件审查</w:t>
            </w:r>
          </w:p>
        </w:tc>
        <w:tc>
          <w:tcPr>
            <w:tcW w:w="2321" w:type="pct"/>
            <w:vAlign w:val="center"/>
          </w:tcPr>
          <w:p w14:paraId="0A5AED9B">
            <w:pPr>
              <w:spacing w:line="360" w:lineRule="exact"/>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供应商应具有独立承担民事责任的能力</w:t>
            </w:r>
            <w:r>
              <w:rPr>
                <w:rFonts w:hint="eastAsia" w:ascii="仿宋" w:hAnsi="仿宋" w:eastAsia="仿宋" w:cs="仿宋"/>
                <w:color w:val="auto"/>
                <w:szCs w:val="21"/>
                <w:highlight w:val="none"/>
                <w:lang w:eastAsia="zh-CN"/>
              </w:rPr>
              <w:t>，</w:t>
            </w:r>
            <w:r>
              <w:rPr>
                <w:rFonts w:hint="eastAsia" w:ascii="仿宋" w:hAnsi="仿宋" w:eastAsia="仿宋" w:cs="仿宋"/>
                <w:color w:val="auto"/>
                <w:kern w:val="58"/>
                <w:szCs w:val="21"/>
                <w:highlight w:val="none"/>
                <w:lang w:eastAsia="zh-CN"/>
              </w:rPr>
              <w:t>在人员、设备、资金等方面有完成本项目的能力</w:t>
            </w:r>
            <w:r>
              <w:rPr>
                <w:rFonts w:hint="eastAsia" w:ascii="仿宋" w:hAnsi="仿宋" w:eastAsia="仿宋" w:cs="仿宋"/>
                <w:color w:val="auto"/>
                <w:kern w:val="58"/>
                <w:szCs w:val="21"/>
                <w:highlight w:val="none"/>
              </w:rPr>
              <w:t>；</w:t>
            </w:r>
          </w:p>
        </w:tc>
        <w:tc>
          <w:tcPr>
            <w:tcW w:w="1967" w:type="pct"/>
            <w:vAlign w:val="center"/>
          </w:tcPr>
          <w:p w14:paraId="14B3A981">
            <w:pPr>
              <w:spacing w:line="36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有效的企业法人营业执照（或事业法人登记证）、其他组织的营业执照或者民办非企业单位登记证书复印件（复印件加盖公章）</w:t>
            </w:r>
          </w:p>
        </w:tc>
      </w:tr>
      <w:tr w14:paraId="2F1D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1" w:type="pct"/>
            <w:vMerge w:val="continue"/>
            <w:vAlign w:val="center"/>
          </w:tcPr>
          <w:p w14:paraId="01663F2B">
            <w:pPr>
              <w:spacing w:line="300" w:lineRule="exact"/>
              <w:jc w:val="center"/>
              <w:outlineLvl w:val="9"/>
              <w:rPr>
                <w:rFonts w:hint="eastAsia" w:ascii="仿宋" w:hAnsi="仿宋" w:eastAsia="仿宋" w:cs="仿宋"/>
                <w:color w:val="auto"/>
                <w:szCs w:val="21"/>
                <w:highlight w:val="none"/>
              </w:rPr>
            </w:pPr>
          </w:p>
        </w:tc>
        <w:tc>
          <w:tcPr>
            <w:tcW w:w="2321" w:type="pct"/>
            <w:vAlign w:val="center"/>
          </w:tcPr>
          <w:p w14:paraId="3B614530">
            <w:pPr>
              <w:spacing w:line="300" w:lineRule="exact"/>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响应供应商不得为失信被执行人。采购人（代理机构）将对响应供应商失信信息进行查询（具体以磋商当天“信用中国”网站</w:t>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"http://www.creditchina.gov.cn/" </w:instrText>
            </w:r>
            <w:r>
              <w:rPr>
                <w:rFonts w:hint="eastAsia" w:ascii="仿宋" w:hAnsi="仿宋" w:eastAsia="仿宋" w:cs="仿宋"/>
                <w:color w:val="auto"/>
                <w:szCs w:val="21"/>
                <w:highlight w:val="none"/>
              </w:rPr>
              <w:fldChar w:fldCharType="separate"/>
            </w:r>
            <w:r>
              <w:rPr>
                <w:rStyle w:val="30"/>
                <w:rFonts w:hint="eastAsia" w:ascii="仿宋" w:hAnsi="仿宋" w:eastAsia="仿宋" w:cs="仿宋"/>
                <w:color w:val="auto"/>
                <w:szCs w:val="21"/>
                <w:highlight w:val="none"/>
              </w:rPr>
              <w:t>www.creditchina.gov.cn</w:t>
            </w:r>
            <w:r>
              <w:rPr>
                <w:rStyle w:val="30"/>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查询为准），若为失信被执行人，磋商小组将否决其报价。若在磋商开始当天因不可抗力事件导致无法查询且一时无法恢复查询的，可在成交结果公示期间对成交候选人进行事后查询，若成交候选人为失信被执行人的，采购人将依法取消其成交资格。</w:t>
            </w:r>
          </w:p>
        </w:tc>
        <w:tc>
          <w:tcPr>
            <w:tcW w:w="1967" w:type="pct"/>
            <w:vAlign w:val="center"/>
          </w:tcPr>
          <w:p w14:paraId="3C8E5902">
            <w:pPr>
              <w:spacing w:line="300" w:lineRule="exact"/>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提供附件五 供应商声明书</w:t>
            </w:r>
          </w:p>
        </w:tc>
      </w:tr>
      <w:tr w14:paraId="28BD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1" w:type="pct"/>
            <w:vMerge w:val="continue"/>
            <w:vAlign w:val="center"/>
          </w:tcPr>
          <w:p w14:paraId="2C1395F6">
            <w:pPr>
              <w:spacing w:line="300" w:lineRule="exact"/>
              <w:jc w:val="center"/>
              <w:outlineLvl w:val="9"/>
              <w:rPr>
                <w:rFonts w:hint="eastAsia" w:ascii="仿宋" w:hAnsi="仿宋" w:eastAsia="仿宋" w:cs="仿宋"/>
                <w:color w:val="auto"/>
                <w:szCs w:val="21"/>
                <w:highlight w:val="none"/>
              </w:rPr>
            </w:pPr>
          </w:p>
        </w:tc>
        <w:tc>
          <w:tcPr>
            <w:tcW w:w="2321" w:type="pct"/>
            <w:vAlign w:val="center"/>
          </w:tcPr>
          <w:p w14:paraId="54E6BD97">
            <w:pPr>
              <w:spacing w:line="300" w:lineRule="exact"/>
              <w:jc w:val="left"/>
              <w:outlineLvl w:val="9"/>
              <w:rPr>
                <w:rFonts w:hint="eastAsia" w:ascii="仿宋" w:hAnsi="仿宋" w:eastAsia="仿宋" w:cs="仿宋"/>
                <w:color w:val="auto"/>
                <w:kern w:val="58"/>
                <w:szCs w:val="21"/>
                <w:highlight w:val="none"/>
              </w:rPr>
            </w:pPr>
            <w:r>
              <w:rPr>
                <w:rFonts w:hint="eastAsia" w:ascii="仿宋" w:hAnsi="仿宋" w:eastAsia="仿宋" w:cs="仿宋"/>
                <w:color w:val="auto"/>
                <w:szCs w:val="21"/>
                <w:highlight w:val="none"/>
              </w:rPr>
              <w:t>不接受联合体磋商响应报价</w:t>
            </w:r>
          </w:p>
        </w:tc>
        <w:tc>
          <w:tcPr>
            <w:tcW w:w="1967" w:type="pct"/>
            <w:vAlign w:val="center"/>
          </w:tcPr>
          <w:p w14:paraId="1152BDB9">
            <w:pPr>
              <w:spacing w:line="300" w:lineRule="exact"/>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提供附件五 供应商声明书</w:t>
            </w:r>
          </w:p>
        </w:tc>
      </w:tr>
    </w:tbl>
    <w:p w14:paraId="424C2934">
      <w:pPr>
        <w:spacing w:line="400" w:lineRule="exact"/>
        <w:ind w:firstLine="102"/>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注：1、本项目为资格后审，由评审小组对供应商的资格进行审查。资格审查不合格的供应商，不得进入下一步程序。</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采购文件要求供应商提供资格证明文件的，资格证明文件未提供或提供不齐全的，资格审查为不合格。</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上述资格审查内容中，任意一项不符合的，资格审查为不合格。</w:t>
      </w:r>
    </w:p>
    <w:p w14:paraId="65F92AE3">
      <w:pPr>
        <w:outlineLvl w:val="9"/>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14:paraId="66474073">
      <w:pPr>
        <w:spacing w:afterLines="50" w:line="400" w:lineRule="exact"/>
        <w:jc w:val="center"/>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符合性审查表</w:t>
      </w: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6067"/>
        <w:gridCol w:w="2489"/>
      </w:tblGrid>
      <w:tr w14:paraId="5C6F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pct"/>
            <w:vAlign w:val="center"/>
          </w:tcPr>
          <w:p w14:paraId="6089592B">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bCs/>
                <w:color w:val="auto"/>
                <w:szCs w:val="21"/>
                <w:highlight w:val="none"/>
              </w:rPr>
              <w:t>审查类别</w:t>
            </w:r>
          </w:p>
        </w:tc>
        <w:tc>
          <w:tcPr>
            <w:tcW w:w="3047" w:type="pct"/>
            <w:vAlign w:val="center"/>
          </w:tcPr>
          <w:p w14:paraId="134DDE57">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审查内容</w:t>
            </w:r>
          </w:p>
        </w:tc>
        <w:tc>
          <w:tcPr>
            <w:tcW w:w="1250" w:type="pct"/>
            <w:vAlign w:val="center"/>
          </w:tcPr>
          <w:p w14:paraId="55C7A7C5">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审查要求</w:t>
            </w:r>
          </w:p>
        </w:tc>
      </w:tr>
      <w:tr w14:paraId="4D32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pct"/>
            <w:vMerge w:val="restart"/>
            <w:vAlign w:val="center"/>
          </w:tcPr>
          <w:p w14:paraId="7C728E30">
            <w:pPr>
              <w:spacing w:line="400" w:lineRule="exact"/>
              <w:jc w:val="both"/>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3047" w:type="pct"/>
            <w:vAlign w:val="center"/>
          </w:tcPr>
          <w:p w14:paraId="496D7F12">
            <w:pPr>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报价函已提交并符合采购文件要求的；</w:t>
            </w:r>
          </w:p>
        </w:tc>
        <w:tc>
          <w:tcPr>
            <w:tcW w:w="1250" w:type="pct"/>
            <w:vAlign w:val="center"/>
          </w:tcPr>
          <w:p w14:paraId="63B6A09E">
            <w:pPr>
              <w:spacing w:line="400" w:lineRule="exact"/>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提供附件一 报价函</w:t>
            </w:r>
            <w:r>
              <w:rPr>
                <w:rFonts w:hint="eastAsia" w:ascii="仿宋" w:hAnsi="仿宋" w:eastAsia="仿宋" w:cs="仿宋"/>
                <w:color w:val="auto"/>
                <w:szCs w:val="21"/>
                <w:highlight w:val="none"/>
                <w:lang w:eastAsia="zh-CN"/>
              </w:rPr>
              <w:t>。</w:t>
            </w:r>
          </w:p>
        </w:tc>
      </w:tr>
      <w:tr w14:paraId="382F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pct"/>
            <w:vMerge w:val="continue"/>
          </w:tcPr>
          <w:p w14:paraId="24D047DA">
            <w:pPr>
              <w:spacing w:line="400" w:lineRule="exact"/>
              <w:ind w:firstLine="200"/>
              <w:outlineLvl w:val="9"/>
              <w:rPr>
                <w:rFonts w:hint="eastAsia" w:ascii="仿宋" w:hAnsi="仿宋" w:eastAsia="仿宋" w:cs="仿宋"/>
                <w:color w:val="auto"/>
                <w:szCs w:val="21"/>
                <w:highlight w:val="none"/>
              </w:rPr>
            </w:pPr>
          </w:p>
        </w:tc>
        <w:tc>
          <w:tcPr>
            <w:tcW w:w="3047" w:type="pct"/>
            <w:vAlign w:val="center"/>
          </w:tcPr>
          <w:p w14:paraId="1E618974">
            <w:pPr>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供应商按采购文件要求缴纳响应保证金的； </w:t>
            </w:r>
          </w:p>
        </w:tc>
        <w:tc>
          <w:tcPr>
            <w:tcW w:w="1250" w:type="pct"/>
            <w:vAlign w:val="center"/>
          </w:tcPr>
          <w:p w14:paraId="2268040A">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符合所述要求。</w:t>
            </w:r>
          </w:p>
        </w:tc>
      </w:tr>
      <w:tr w14:paraId="465B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pct"/>
            <w:vMerge w:val="continue"/>
          </w:tcPr>
          <w:p w14:paraId="3FA9FF34">
            <w:pPr>
              <w:spacing w:line="400" w:lineRule="exact"/>
              <w:ind w:firstLine="200"/>
              <w:outlineLvl w:val="9"/>
              <w:rPr>
                <w:rFonts w:hint="eastAsia" w:ascii="仿宋" w:hAnsi="仿宋" w:eastAsia="仿宋" w:cs="仿宋"/>
                <w:color w:val="auto"/>
                <w:szCs w:val="21"/>
                <w:highlight w:val="none"/>
              </w:rPr>
            </w:pPr>
          </w:p>
        </w:tc>
        <w:tc>
          <w:tcPr>
            <w:tcW w:w="3047" w:type="pct"/>
            <w:vAlign w:val="center"/>
          </w:tcPr>
          <w:p w14:paraId="409BE02D">
            <w:pPr>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按照采购文件规定要求签署、盖章且响应文件有法定代表人</w:t>
            </w:r>
            <w:r>
              <w:rPr>
                <w:rFonts w:hint="eastAsia" w:ascii="仿宋" w:hAnsi="仿宋" w:eastAsia="仿宋" w:cs="仿宋"/>
                <w:color w:val="auto"/>
                <w:szCs w:val="21"/>
                <w:highlight w:val="none"/>
                <w:lang w:eastAsia="zh-TW"/>
              </w:rPr>
              <w:t>签署本人姓名（或印盖本人姓名章）</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eastAsia="zh-TW"/>
              </w:rPr>
              <w:t>签署</w:t>
            </w:r>
            <w:r>
              <w:rPr>
                <w:rFonts w:hint="eastAsia" w:ascii="仿宋" w:hAnsi="仿宋" w:eastAsia="仿宋" w:cs="仿宋"/>
                <w:color w:val="auto"/>
                <w:szCs w:val="21"/>
                <w:highlight w:val="none"/>
              </w:rPr>
              <w:t>人有法定代表人有效授权书的；</w:t>
            </w:r>
          </w:p>
        </w:tc>
        <w:tc>
          <w:tcPr>
            <w:tcW w:w="1250" w:type="pct"/>
            <w:vAlign w:val="center"/>
          </w:tcPr>
          <w:p w14:paraId="6CF629D7">
            <w:pPr>
              <w:spacing w:line="400" w:lineRule="exact"/>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详见第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部分  竞争性磋商须知 1.7</w:t>
            </w:r>
            <w:r>
              <w:rPr>
                <w:rFonts w:hint="eastAsia" w:ascii="仿宋" w:hAnsi="仿宋" w:eastAsia="仿宋" w:cs="仿宋"/>
                <w:color w:val="auto"/>
                <w:szCs w:val="21"/>
                <w:highlight w:val="none"/>
                <w:lang w:eastAsia="zh-CN"/>
              </w:rPr>
              <w:t>。</w:t>
            </w:r>
          </w:p>
        </w:tc>
      </w:tr>
      <w:tr w14:paraId="36F3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pct"/>
            <w:vMerge w:val="continue"/>
          </w:tcPr>
          <w:p w14:paraId="3A5E1904">
            <w:pPr>
              <w:spacing w:line="400" w:lineRule="exact"/>
              <w:ind w:firstLine="200"/>
              <w:outlineLvl w:val="9"/>
              <w:rPr>
                <w:rFonts w:hint="eastAsia" w:ascii="仿宋" w:hAnsi="仿宋" w:eastAsia="仿宋" w:cs="仿宋"/>
                <w:color w:val="auto"/>
                <w:szCs w:val="21"/>
                <w:highlight w:val="none"/>
              </w:rPr>
            </w:pPr>
          </w:p>
        </w:tc>
        <w:tc>
          <w:tcPr>
            <w:tcW w:w="3047" w:type="pct"/>
            <w:vAlign w:val="center"/>
          </w:tcPr>
          <w:p w14:paraId="08490CAC">
            <w:pPr>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响应文件完全满足采购文件的实质性条款（即标注★号条款）无负偏离的；</w:t>
            </w:r>
          </w:p>
        </w:tc>
        <w:tc>
          <w:tcPr>
            <w:tcW w:w="1250" w:type="pct"/>
            <w:vAlign w:val="center"/>
          </w:tcPr>
          <w:p w14:paraId="35E38A24">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符合所述要求。</w:t>
            </w:r>
          </w:p>
        </w:tc>
      </w:tr>
      <w:tr w14:paraId="5D9B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pct"/>
            <w:vMerge w:val="continue"/>
          </w:tcPr>
          <w:p w14:paraId="5A47724A">
            <w:pPr>
              <w:spacing w:line="400" w:lineRule="exact"/>
              <w:ind w:firstLine="200"/>
              <w:outlineLvl w:val="9"/>
              <w:rPr>
                <w:rFonts w:hint="eastAsia" w:ascii="仿宋" w:hAnsi="仿宋" w:eastAsia="仿宋" w:cs="仿宋"/>
                <w:color w:val="auto"/>
                <w:szCs w:val="21"/>
                <w:highlight w:val="none"/>
              </w:rPr>
            </w:pPr>
          </w:p>
        </w:tc>
        <w:tc>
          <w:tcPr>
            <w:tcW w:w="3047" w:type="pct"/>
            <w:vAlign w:val="center"/>
          </w:tcPr>
          <w:p w14:paraId="0428C9B1">
            <w:pPr>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响应报价没有超过采购预算或最高限价的</w:t>
            </w:r>
          </w:p>
        </w:tc>
        <w:tc>
          <w:tcPr>
            <w:tcW w:w="1250" w:type="pct"/>
            <w:vAlign w:val="center"/>
          </w:tcPr>
          <w:p w14:paraId="469207AB">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符合所述要求。</w:t>
            </w:r>
          </w:p>
        </w:tc>
      </w:tr>
      <w:tr w14:paraId="0F1C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pct"/>
            <w:vMerge w:val="continue"/>
          </w:tcPr>
          <w:p w14:paraId="0112586E">
            <w:pPr>
              <w:spacing w:line="400" w:lineRule="exact"/>
              <w:ind w:firstLine="200"/>
              <w:outlineLvl w:val="9"/>
              <w:rPr>
                <w:rFonts w:hint="eastAsia" w:ascii="仿宋" w:hAnsi="仿宋" w:eastAsia="仿宋" w:cs="仿宋"/>
                <w:color w:val="auto"/>
                <w:szCs w:val="21"/>
                <w:highlight w:val="none"/>
              </w:rPr>
            </w:pPr>
          </w:p>
        </w:tc>
        <w:tc>
          <w:tcPr>
            <w:tcW w:w="3047" w:type="pct"/>
            <w:vAlign w:val="center"/>
          </w:tcPr>
          <w:p w14:paraId="6C3C747D">
            <w:pPr>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响应文件没有采购文件中规定的其他无效响应条款的；</w:t>
            </w:r>
          </w:p>
        </w:tc>
        <w:tc>
          <w:tcPr>
            <w:tcW w:w="1250" w:type="pct"/>
            <w:vAlign w:val="center"/>
          </w:tcPr>
          <w:p w14:paraId="6F254C36">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符合所述要求。</w:t>
            </w:r>
          </w:p>
        </w:tc>
      </w:tr>
      <w:tr w14:paraId="628F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3" w:type="pct"/>
            <w:vMerge w:val="continue"/>
          </w:tcPr>
          <w:p w14:paraId="7FBC0291">
            <w:pPr>
              <w:spacing w:line="400" w:lineRule="exact"/>
              <w:ind w:firstLine="200"/>
              <w:outlineLvl w:val="9"/>
              <w:rPr>
                <w:rFonts w:hint="eastAsia" w:ascii="仿宋" w:hAnsi="仿宋" w:eastAsia="仿宋" w:cs="仿宋"/>
                <w:color w:val="auto"/>
                <w:szCs w:val="21"/>
                <w:highlight w:val="none"/>
              </w:rPr>
            </w:pPr>
          </w:p>
        </w:tc>
        <w:tc>
          <w:tcPr>
            <w:tcW w:w="3047" w:type="pct"/>
            <w:vAlign w:val="center"/>
          </w:tcPr>
          <w:p w14:paraId="4EB683A9">
            <w:pPr>
              <w:spacing w:line="4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按有关法律、法规、规章不属于响应无效的。</w:t>
            </w:r>
          </w:p>
        </w:tc>
        <w:tc>
          <w:tcPr>
            <w:tcW w:w="1250" w:type="pct"/>
            <w:vAlign w:val="center"/>
          </w:tcPr>
          <w:p w14:paraId="72D65074">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符合所述要求。</w:t>
            </w:r>
          </w:p>
        </w:tc>
      </w:tr>
    </w:tbl>
    <w:p w14:paraId="4AC8090E">
      <w:pPr>
        <w:spacing w:line="400" w:lineRule="exact"/>
        <w:ind w:firstLine="210" w:firstLineChars="100"/>
        <w:jc w:val="lef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由评审小组对通过资格审查的供应商的响应文件进行符合性审查，以确定其是否满足采购文件的实质性要求。符合性审查不合格的供应商，不得进入下一步评审。</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上述审查项目中，任意一项不符合的，符合性审查为不合格。</w:t>
      </w:r>
    </w:p>
    <w:p w14:paraId="5A386369">
      <w:pPr>
        <w:outlineLvl w:val="9"/>
        <w:rPr>
          <w:rFonts w:ascii="宋体" w:hAnsi="宋体" w:cs="宋体"/>
          <w:color w:val="auto"/>
          <w:highlight w:val="none"/>
        </w:rPr>
      </w:pPr>
    </w:p>
    <w:p w14:paraId="5D1595BD">
      <w:pPr>
        <w:spacing w:afterLines="50" w:line="400" w:lineRule="exact"/>
        <w:jc w:val="center"/>
        <w:outlineLvl w:val="9"/>
        <w:rPr>
          <w:rFonts w:hint="eastAsia" w:ascii="仿宋" w:hAnsi="仿宋" w:eastAsia="仿宋" w:cs="仿宋"/>
          <w:b/>
          <w:color w:val="auto"/>
          <w:sz w:val="21"/>
          <w:szCs w:val="21"/>
          <w:highlight w:val="none"/>
        </w:rPr>
      </w:pPr>
      <w:bookmarkStart w:id="75" w:name="_Toc144974566"/>
      <w:bookmarkStart w:id="76" w:name="_Toc152045599"/>
      <w:bookmarkStart w:id="77" w:name="_Toc270251299"/>
      <w:bookmarkStart w:id="78" w:name="_Toc482454654"/>
      <w:bookmarkStart w:id="79" w:name="_Toc236960188"/>
      <w:bookmarkStart w:id="80" w:name="_Toc152042376"/>
      <w:bookmarkStart w:id="81" w:name="_Toc270251206"/>
      <w:bookmarkStart w:id="82" w:name="_Toc481049296"/>
      <w:bookmarkStart w:id="83" w:name="_Toc481049168"/>
      <w:r>
        <w:rPr>
          <w:rFonts w:hint="eastAsia" w:ascii="宋体" w:hAnsi="宋体" w:cs="宋体"/>
          <w:color w:val="auto"/>
          <w:highlight w:val="none"/>
        </w:rPr>
        <w:br w:type="page"/>
      </w:r>
      <w:bookmarkStart w:id="84" w:name="_Toc7147_WPSOffice_Level1"/>
      <w:bookmarkStart w:id="85" w:name="_Toc31496_WPSOffice_Level1"/>
      <w:bookmarkStart w:id="86" w:name="_Toc10576_WPSOffice_Level1"/>
      <w:r>
        <w:rPr>
          <w:rFonts w:hint="eastAsia" w:ascii="仿宋" w:hAnsi="仿宋" w:eastAsia="仿宋" w:cs="仿宋"/>
          <w:b/>
          <w:color w:val="auto"/>
          <w:sz w:val="21"/>
          <w:szCs w:val="21"/>
          <w:highlight w:val="none"/>
        </w:rPr>
        <w:t>评分标准（兼评委打分表）</w:t>
      </w:r>
      <w:bookmarkEnd w:id="84"/>
      <w:bookmarkEnd w:id="85"/>
      <w:bookmarkEnd w:id="86"/>
    </w:p>
    <w:tbl>
      <w:tblPr>
        <w:tblStyle w:val="25"/>
        <w:tblW w:w="914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52"/>
        <w:gridCol w:w="6851"/>
      </w:tblGrid>
      <w:tr w14:paraId="77DD0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Merge w:val="restart"/>
            <w:noWrap w:val="0"/>
            <w:vAlign w:val="center"/>
          </w:tcPr>
          <w:p w14:paraId="5B50B99C">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bookmarkStart w:id="87" w:name="_Toc22665_WPSOffice_Level1"/>
            <w:r>
              <w:rPr>
                <w:rFonts w:hint="eastAsia" w:ascii="仿宋" w:hAnsi="仿宋" w:eastAsia="仿宋" w:cs="仿宋"/>
                <w:color w:val="auto"/>
                <w:sz w:val="21"/>
                <w:szCs w:val="21"/>
                <w:highlight w:val="none"/>
                <w:lang w:val="en-US" w:eastAsia="zh-CN"/>
              </w:rPr>
              <w:t>技术商务分</w:t>
            </w:r>
            <w:r>
              <w:rPr>
                <w:rFonts w:hint="eastAsia" w:ascii="仿宋" w:hAnsi="仿宋" w:eastAsia="仿宋" w:cs="仿宋"/>
                <w:color w:val="auto"/>
                <w:sz w:val="21"/>
                <w:szCs w:val="21"/>
                <w:highlight w:val="none"/>
                <w:lang w:val="en-US" w:eastAsia="zh-CN"/>
              </w:rPr>
              <w:t>（90分）</w:t>
            </w:r>
          </w:p>
        </w:tc>
        <w:tc>
          <w:tcPr>
            <w:tcW w:w="1352" w:type="dxa"/>
            <w:noWrap w:val="0"/>
            <w:vAlign w:val="center"/>
          </w:tcPr>
          <w:p w14:paraId="64FFC80D">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人员配备（15分）</w:t>
            </w:r>
          </w:p>
        </w:tc>
        <w:tc>
          <w:tcPr>
            <w:tcW w:w="6851" w:type="dxa"/>
            <w:noWrap w:val="0"/>
            <w:vAlign w:val="center"/>
          </w:tcPr>
          <w:p w14:paraId="49EE54F9">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评委根据投标人提供的人员配备方案是否完善，是否符合项目实际需求等进行综合评定。</w:t>
            </w:r>
          </w:p>
        </w:tc>
      </w:tr>
      <w:tr w14:paraId="6C303C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Merge w:val="continue"/>
            <w:noWrap w:val="0"/>
            <w:vAlign w:val="top"/>
          </w:tcPr>
          <w:p w14:paraId="613B87A2">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p>
        </w:tc>
        <w:tc>
          <w:tcPr>
            <w:tcW w:w="1352" w:type="dxa"/>
            <w:noWrap w:val="0"/>
            <w:vAlign w:val="center"/>
          </w:tcPr>
          <w:p w14:paraId="210BCF00">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人员管理制度（15分）</w:t>
            </w:r>
          </w:p>
        </w:tc>
        <w:tc>
          <w:tcPr>
            <w:tcW w:w="6851" w:type="dxa"/>
            <w:noWrap w:val="0"/>
            <w:vAlign w:val="center"/>
          </w:tcPr>
          <w:p w14:paraId="7F2A65B8">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评委根据投标人提供的企业人员管理制度，项目工作人员是否职责明确进行综合评定。</w:t>
            </w:r>
          </w:p>
        </w:tc>
      </w:tr>
      <w:tr w14:paraId="5B63AE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Merge w:val="continue"/>
            <w:noWrap w:val="0"/>
            <w:vAlign w:val="top"/>
          </w:tcPr>
          <w:p w14:paraId="1CCFF067">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p>
        </w:tc>
        <w:tc>
          <w:tcPr>
            <w:tcW w:w="1352" w:type="dxa"/>
            <w:noWrap w:val="0"/>
            <w:vAlign w:val="center"/>
          </w:tcPr>
          <w:p w14:paraId="267254BF">
            <w:pPr>
              <w:pStyle w:val="11"/>
              <w:keepNext w:val="0"/>
              <w:keepLines w:val="0"/>
              <w:suppressLineNumbers w:val="0"/>
              <w:spacing w:before="0" w:beforeAutospacing="0" w:after="0" w:afterAutospacing="0" w:line="440" w:lineRule="exact"/>
              <w:ind w:left="0" w:right="0" w:firstLine="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服务方案（15分）</w:t>
            </w:r>
          </w:p>
        </w:tc>
        <w:tc>
          <w:tcPr>
            <w:tcW w:w="6851" w:type="dxa"/>
            <w:noWrap w:val="0"/>
            <w:vAlign w:val="center"/>
          </w:tcPr>
          <w:p w14:paraId="6CCCC091">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sz w:val="22"/>
                <w:szCs w:val="22"/>
                <w:highlight w:val="none"/>
              </w:rPr>
              <w:t>根据投标人提供的服务方案</w:t>
            </w:r>
            <w:r>
              <w:rPr>
                <w:rFonts w:hint="eastAsia" w:ascii="仿宋" w:hAnsi="仿宋" w:eastAsia="仿宋" w:cs="仿宋"/>
                <w:sz w:val="22"/>
                <w:szCs w:val="22"/>
                <w:highlight w:val="none"/>
                <w:lang w:val="en-US" w:eastAsia="zh-CN"/>
              </w:rPr>
              <w:t>的完整性、可行性</w:t>
            </w:r>
            <w:r>
              <w:rPr>
                <w:rFonts w:hint="eastAsia" w:ascii="仿宋" w:hAnsi="仿宋" w:eastAsia="仿宋" w:cs="仿宋"/>
                <w:sz w:val="22"/>
                <w:szCs w:val="22"/>
                <w:highlight w:val="none"/>
              </w:rPr>
              <w:t>进行</w:t>
            </w:r>
            <w:r>
              <w:rPr>
                <w:rFonts w:hint="eastAsia" w:ascii="仿宋" w:hAnsi="仿宋" w:eastAsia="仿宋" w:cs="仿宋"/>
                <w:sz w:val="22"/>
                <w:szCs w:val="22"/>
                <w:highlight w:val="none"/>
                <w:lang w:val="en-US" w:eastAsia="zh-CN"/>
              </w:rPr>
              <w:t>综合评定</w:t>
            </w:r>
            <w:r>
              <w:rPr>
                <w:rFonts w:hint="eastAsia" w:ascii="仿宋" w:hAnsi="仿宋" w:eastAsia="仿宋" w:cs="仿宋"/>
                <w:sz w:val="22"/>
                <w:szCs w:val="22"/>
                <w:highlight w:val="none"/>
              </w:rPr>
              <w:t>。</w:t>
            </w:r>
          </w:p>
        </w:tc>
      </w:tr>
      <w:tr w14:paraId="227E07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Merge w:val="continue"/>
            <w:noWrap w:val="0"/>
            <w:vAlign w:val="top"/>
          </w:tcPr>
          <w:p w14:paraId="42D94186">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p>
        </w:tc>
        <w:tc>
          <w:tcPr>
            <w:tcW w:w="1352" w:type="dxa"/>
            <w:noWrap w:val="0"/>
            <w:vAlign w:val="center"/>
          </w:tcPr>
          <w:p w14:paraId="2143D78B">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质量保证措施（15分）</w:t>
            </w:r>
          </w:p>
        </w:tc>
        <w:tc>
          <w:tcPr>
            <w:tcW w:w="6851" w:type="dxa"/>
            <w:noWrap w:val="0"/>
            <w:vAlign w:val="center"/>
          </w:tcPr>
          <w:p w14:paraId="46A9BF00">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评委根据投标人提供的服务质量保证措施的</w:t>
            </w:r>
            <w:r>
              <w:rPr>
                <w:rFonts w:hint="eastAsia" w:ascii="仿宋" w:hAnsi="仿宋" w:eastAsia="仿宋" w:cs="仿宋"/>
                <w:sz w:val="22"/>
                <w:szCs w:val="22"/>
                <w:highlight w:val="none"/>
                <w:lang w:val="en-US" w:eastAsia="zh-CN"/>
              </w:rPr>
              <w:t>完整性、可行性</w:t>
            </w:r>
            <w:r>
              <w:rPr>
                <w:rFonts w:hint="eastAsia" w:ascii="仿宋" w:hAnsi="仿宋" w:eastAsia="仿宋" w:cs="仿宋"/>
                <w:color w:val="auto"/>
                <w:sz w:val="21"/>
                <w:szCs w:val="21"/>
                <w:highlight w:val="none"/>
                <w:lang w:val="en-US" w:eastAsia="zh-CN"/>
              </w:rPr>
              <w:t>进行综合评定。</w:t>
            </w:r>
          </w:p>
        </w:tc>
      </w:tr>
      <w:tr w14:paraId="7030B9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Merge w:val="continue"/>
            <w:noWrap w:val="0"/>
            <w:vAlign w:val="top"/>
          </w:tcPr>
          <w:p w14:paraId="32C75D71">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p>
        </w:tc>
        <w:tc>
          <w:tcPr>
            <w:tcW w:w="1352" w:type="dxa"/>
            <w:noWrap w:val="0"/>
            <w:vAlign w:val="center"/>
          </w:tcPr>
          <w:p w14:paraId="2528EB22">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应急保障措施</w:t>
            </w:r>
            <w:r>
              <w:rPr>
                <w:rFonts w:hint="eastAsia" w:ascii="仿宋" w:hAnsi="仿宋" w:eastAsia="仿宋" w:cs="仿宋"/>
                <w:color w:val="auto"/>
                <w:sz w:val="21"/>
                <w:szCs w:val="21"/>
                <w:highlight w:val="none"/>
                <w:lang w:val="en-US" w:eastAsia="zh-CN"/>
              </w:rPr>
              <w:t>（15分）</w:t>
            </w:r>
          </w:p>
        </w:tc>
        <w:tc>
          <w:tcPr>
            <w:tcW w:w="6851" w:type="dxa"/>
            <w:noWrap w:val="0"/>
            <w:vAlign w:val="center"/>
          </w:tcPr>
          <w:p w14:paraId="016BA20B">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评委根据投标人提供的针对大型活动、节庆假日、创优评优和突击检查等特殊时期的应急预案、保障措施进行综合评定。</w:t>
            </w:r>
          </w:p>
        </w:tc>
      </w:tr>
      <w:tr w14:paraId="7B2A6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Merge w:val="continue"/>
            <w:noWrap w:val="0"/>
            <w:vAlign w:val="top"/>
          </w:tcPr>
          <w:p w14:paraId="7712F176">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p>
        </w:tc>
        <w:tc>
          <w:tcPr>
            <w:tcW w:w="1352" w:type="dxa"/>
            <w:noWrap w:val="0"/>
            <w:vAlign w:val="center"/>
          </w:tcPr>
          <w:p w14:paraId="76BC056F">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合理化建议（10分）</w:t>
            </w:r>
          </w:p>
        </w:tc>
        <w:tc>
          <w:tcPr>
            <w:tcW w:w="6851" w:type="dxa"/>
            <w:noWrap w:val="0"/>
            <w:vAlign w:val="center"/>
          </w:tcPr>
          <w:p w14:paraId="741BD8D6">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评委根据投标人提供的对本项目改进措施和合理化建议的</w:t>
            </w:r>
            <w:r>
              <w:rPr>
                <w:rFonts w:hint="eastAsia" w:ascii="仿宋" w:hAnsi="仿宋" w:eastAsia="仿宋" w:cs="仿宋"/>
                <w:sz w:val="22"/>
                <w:szCs w:val="22"/>
                <w:highlight w:val="none"/>
                <w:lang w:val="en-US" w:eastAsia="zh-CN"/>
              </w:rPr>
              <w:t>合理性、可行性</w:t>
            </w:r>
            <w:r>
              <w:rPr>
                <w:rFonts w:hint="eastAsia" w:ascii="仿宋" w:hAnsi="仿宋" w:eastAsia="仿宋" w:cs="仿宋"/>
                <w:color w:val="auto"/>
                <w:sz w:val="21"/>
                <w:szCs w:val="21"/>
                <w:highlight w:val="none"/>
                <w:lang w:val="en-US" w:eastAsia="zh-CN"/>
              </w:rPr>
              <w:t>进行综合评定。</w:t>
            </w:r>
          </w:p>
        </w:tc>
      </w:tr>
      <w:tr w14:paraId="0CA6DD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Merge w:val="continue"/>
            <w:noWrap w:val="0"/>
            <w:vAlign w:val="top"/>
          </w:tcPr>
          <w:p w14:paraId="570DCD2A">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p>
        </w:tc>
        <w:tc>
          <w:tcPr>
            <w:tcW w:w="1352" w:type="dxa"/>
            <w:noWrap w:val="0"/>
            <w:vAlign w:val="center"/>
          </w:tcPr>
          <w:p w14:paraId="50B1B744">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管理体系认证（3分）</w:t>
            </w:r>
          </w:p>
        </w:tc>
        <w:tc>
          <w:tcPr>
            <w:tcW w:w="6851" w:type="dxa"/>
            <w:noWrap w:val="0"/>
            <w:vAlign w:val="center"/>
          </w:tcPr>
          <w:p w14:paraId="0C4F7FD6">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投标人具有有效期内的质量管理体系认证证书、环境管理体系认证证书、职业健康安全管理体系认证证书的每个得1 分，总分3分。投标文件中提供上述证书复印件并加盖公章。</w:t>
            </w:r>
          </w:p>
        </w:tc>
      </w:tr>
      <w:tr w14:paraId="66175D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vMerge w:val="continue"/>
            <w:noWrap w:val="0"/>
            <w:vAlign w:val="top"/>
          </w:tcPr>
          <w:p w14:paraId="50F0E8DC">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p>
        </w:tc>
        <w:tc>
          <w:tcPr>
            <w:tcW w:w="1352" w:type="dxa"/>
            <w:noWrap w:val="0"/>
            <w:vAlign w:val="center"/>
          </w:tcPr>
          <w:p w14:paraId="46701140">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业绩（2分）</w:t>
            </w:r>
          </w:p>
        </w:tc>
        <w:tc>
          <w:tcPr>
            <w:tcW w:w="6851" w:type="dxa"/>
            <w:noWrap w:val="0"/>
            <w:vAlign w:val="center"/>
          </w:tcPr>
          <w:p w14:paraId="731A89F7">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投标人具有2022年1月1日以来（以签订合同时间为准）类似项目业绩的每个得1分，最多的2分。</w:t>
            </w:r>
          </w:p>
          <w:p w14:paraId="1E278208">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投标文件中须提供合同复印件并加盖公章。</w:t>
            </w:r>
          </w:p>
        </w:tc>
      </w:tr>
      <w:tr w14:paraId="1E88B4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dxa"/>
            <w:noWrap w:val="0"/>
            <w:vAlign w:val="top"/>
          </w:tcPr>
          <w:p w14:paraId="3070DE03">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报价分（10分）</w:t>
            </w:r>
          </w:p>
        </w:tc>
        <w:tc>
          <w:tcPr>
            <w:tcW w:w="8203" w:type="dxa"/>
            <w:gridSpan w:val="2"/>
            <w:noWrap w:val="0"/>
            <w:vAlign w:val="center"/>
          </w:tcPr>
          <w:p w14:paraId="176121B2">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磋商基准价=满足磋商文件要求且最后报价最低的供应商的价格</w:t>
            </w:r>
          </w:p>
          <w:p w14:paraId="02F53009">
            <w:pPr>
              <w:pStyle w:val="11"/>
              <w:keepNext w:val="0"/>
              <w:keepLines w:val="0"/>
              <w:suppressLineNumbers w:val="0"/>
              <w:spacing w:before="0" w:beforeAutospacing="0" w:after="0" w:afterAutospacing="0" w:line="440" w:lineRule="exact"/>
              <w:ind w:left="0" w:right="0" w:firstLine="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磋商报价得分=(磋商基准价/最后磋商报价</w:t>
            </w:r>
            <w:r>
              <w:rPr>
                <w:rFonts w:hint="eastAsia" w:ascii="仿宋" w:hAnsi="仿宋" w:eastAsia="仿宋" w:cs="仿宋"/>
                <w:color w:val="auto"/>
                <w:sz w:val="21"/>
                <w:szCs w:val="21"/>
                <w:highlight w:val="none"/>
                <w:lang w:val="en-US" w:eastAsia="zh-CN"/>
              </w:rPr>
              <w:t>)×10</w:t>
            </w:r>
          </w:p>
          <w:p w14:paraId="1D87DCB7">
            <w:pPr>
              <w:pStyle w:val="11"/>
              <w:keepNext w:val="0"/>
              <w:keepLines w:val="0"/>
              <w:suppressLineNumbers w:val="0"/>
              <w:spacing w:before="0" w:beforeAutospacing="0" w:after="0" w:afterAutospacing="0" w:line="440" w:lineRule="exact"/>
              <w:ind w:left="0" w:right="0"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磋商报价得分以四舍五入保留小数点后两位。</w:t>
            </w:r>
          </w:p>
        </w:tc>
      </w:tr>
    </w:tbl>
    <w:p w14:paraId="2D658F4D">
      <w:pPr>
        <w:spacing w:line="360" w:lineRule="auto"/>
        <w:rPr>
          <w:rFonts w:hint="eastAsia" w:ascii="仿宋" w:hAnsi="仿宋" w:eastAsia="仿宋" w:cs="仿宋"/>
          <w:color w:val="auto"/>
          <w:spacing w:val="14"/>
          <w:szCs w:val="21"/>
          <w:highlight w:val="none"/>
        </w:rPr>
      </w:pPr>
    </w:p>
    <w:bookmarkEnd w:id="75"/>
    <w:bookmarkEnd w:id="76"/>
    <w:bookmarkEnd w:id="77"/>
    <w:bookmarkEnd w:id="78"/>
    <w:bookmarkEnd w:id="79"/>
    <w:bookmarkEnd w:id="80"/>
    <w:bookmarkEnd w:id="81"/>
    <w:bookmarkEnd w:id="82"/>
    <w:bookmarkEnd w:id="83"/>
    <w:p w14:paraId="6991FC34">
      <w:pPr>
        <w:rPr>
          <w:rFonts w:hint="eastAsia" w:ascii="宋体" w:hAnsi="宋体" w:cs="宋体"/>
          <w:b/>
          <w:color w:val="auto"/>
          <w:szCs w:val="21"/>
          <w:highlight w:val="none"/>
        </w:rPr>
      </w:pPr>
      <w:bookmarkStart w:id="88" w:name="_Toc11300_WPSOffice_Level1"/>
      <w:bookmarkStart w:id="89" w:name="_Toc22116_WPSOffice_Level1"/>
      <w:bookmarkStart w:id="90" w:name="_Toc30211_WPSOffice_Level1"/>
      <w:bookmarkStart w:id="91" w:name="_Toc9284_WPSOffice_Level1"/>
      <w:bookmarkStart w:id="92" w:name="_Toc12898_WPSOffice_Level1"/>
      <w:r>
        <w:rPr>
          <w:rFonts w:hint="eastAsia" w:ascii="宋体" w:hAnsi="宋体" w:cs="宋体"/>
          <w:b/>
          <w:color w:val="auto"/>
          <w:szCs w:val="21"/>
          <w:highlight w:val="none"/>
        </w:rPr>
        <w:br w:type="page"/>
      </w:r>
    </w:p>
    <w:bookmarkEnd w:id="87"/>
    <w:bookmarkEnd w:id="88"/>
    <w:bookmarkEnd w:id="89"/>
    <w:bookmarkEnd w:id="90"/>
    <w:bookmarkEnd w:id="91"/>
    <w:bookmarkEnd w:id="92"/>
    <w:p w14:paraId="0C0BC947">
      <w:pPr>
        <w:pStyle w:val="12"/>
        <w:ind w:firstLine="400"/>
        <w:jc w:val="center"/>
        <w:outlineLvl w:val="0"/>
        <w:rPr>
          <w:rFonts w:hint="eastAsia" w:ascii="仿宋" w:hAnsi="仿宋" w:eastAsia="仿宋" w:cs="仿宋"/>
          <w:b/>
          <w:color w:val="auto"/>
          <w:sz w:val="28"/>
          <w:szCs w:val="28"/>
          <w:highlight w:val="none"/>
        </w:rPr>
      </w:pPr>
      <w:bookmarkStart w:id="93" w:name="_Toc5660_WPSOffice_Level1"/>
      <w:bookmarkStart w:id="94" w:name="_Toc9393"/>
      <w:bookmarkStart w:id="95" w:name="_Toc4402_WPSOffice_Level1"/>
      <w:bookmarkStart w:id="96" w:name="_Toc7766_WPSOffice_Level1"/>
      <w:bookmarkStart w:id="97" w:name="_Toc15872_WPSOffice_Level1"/>
      <w:bookmarkStart w:id="98" w:name="_Toc10084_WPSOffice_Level1"/>
      <w:bookmarkStart w:id="99" w:name="_Toc32694_WPSOffice_Level1"/>
      <w:bookmarkStart w:id="100" w:name="_Toc230_WPSOffice_Level1"/>
      <w:bookmarkStart w:id="101" w:name="_Toc14578"/>
      <w:bookmarkStart w:id="102" w:name="_Toc3664_WPSOffice_Level1"/>
      <w:bookmarkStart w:id="103" w:name="_Toc235951024"/>
      <w:bookmarkStart w:id="104" w:name="_Toc221445460"/>
      <w:bookmarkStart w:id="105" w:name="_Toc233733860"/>
      <w:bookmarkStart w:id="106" w:name="_Toc222020804"/>
      <w:bookmarkStart w:id="107" w:name="_Toc238368957"/>
      <w:r>
        <w:rPr>
          <w:rFonts w:hint="eastAsia" w:ascii="仿宋" w:hAnsi="仿宋" w:eastAsia="仿宋" w:cs="仿宋"/>
          <w:b/>
          <w:color w:val="auto"/>
          <w:sz w:val="28"/>
          <w:szCs w:val="28"/>
          <w:highlight w:val="none"/>
        </w:rPr>
        <w:t>第五部分  合同条款和格式</w:t>
      </w:r>
      <w:bookmarkEnd w:id="93"/>
      <w:bookmarkEnd w:id="94"/>
      <w:bookmarkEnd w:id="95"/>
      <w:bookmarkEnd w:id="96"/>
      <w:bookmarkEnd w:id="97"/>
      <w:bookmarkEnd w:id="98"/>
      <w:bookmarkEnd w:id="99"/>
      <w:bookmarkEnd w:id="100"/>
      <w:bookmarkEnd w:id="101"/>
      <w:bookmarkEnd w:id="102"/>
    </w:p>
    <w:bookmarkEnd w:id="103"/>
    <w:bookmarkEnd w:id="104"/>
    <w:bookmarkEnd w:id="105"/>
    <w:bookmarkEnd w:id="106"/>
    <w:bookmarkEnd w:id="107"/>
    <w:p w14:paraId="01CFFF55">
      <w:pPr>
        <w:pStyle w:val="53"/>
        <w:jc w:val="center"/>
        <w:outlineLvl w:val="9"/>
        <w:rPr>
          <w:rFonts w:hint="eastAsia" w:ascii="仿宋" w:hAnsi="仿宋" w:eastAsia="仿宋" w:cs="仿宋"/>
          <w:b/>
          <w:color w:val="auto"/>
          <w:sz w:val="21"/>
          <w:szCs w:val="21"/>
          <w:highlight w:val="none"/>
        </w:rPr>
      </w:pPr>
      <w:bookmarkStart w:id="108" w:name="_Toc2040_WPSOffice_Level1"/>
      <w:bookmarkStart w:id="109" w:name="_Toc5040_WPSOffice_Level1"/>
      <w:bookmarkStart w:id="110" w:name="_Toc7678_WPSOffice_Level1"/>
      <w:bookmarkStart w:id="111" w:name="_Toc13189_WPSOffice_Level1"/>
      <w:bookmarkStart w:id="112" w:name="_Toc20586_WPSOffice_Level1"/>
      <w:bookmarkStart w:id="113" w:name="_Toc15822_WPSOffice_Level1"/>
      <w:bookmarkStart w:id="114" w:name="_Toc18328_WPSOffice_Level1"/>
      <w:bookmarkStart w:id="115" w:name="_Toc26251_WPSOffice_Level1"/>
      <w:r>
        <w:rPr>
          <w:rFonts w:hint="eastAsia" w:ascii="仿宋" w:hAnsi="仿宋" w:eastAsia="仿宋" w:cs="仿宋"/>
          <w:b/>
          <w:color w:val="auto"/>
          <w:sz w:val="21"/>
          <w:szCs w:val="21"/>
          <w:highlight w:val="none"/>
        </w:rPr>
        <w:t>（本合同为合同样稿，最终稿由甲乙双方协商后确定）</w:t>
      </w:r>
    </w:p>
    <w:p w14:paraId="106793E9">
      <w:pPr>
        <w:snapToGrid w:val="0"/>
        <w:spacing w:line="440" w:lineRule="exact"/>
        <w:rPr>
          <w:rFonts w:hint="eastAsia" w:ascii="仿宋" w:hAnsi="仿宋" w:eastAsia="仿宋" w:cs="仿宋"/>
          <w:color w:val="auto"/>
          <w:sz w:val="21"/>
          <w:szCs w:val="21"/>
          <w:highlight w:val="none"/>
        </w:rPr>
      </w:pPr>
      <w:bookmarkStart w:id="116" w:name="_Toc5135"/>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项目编号：</w:t>
      </w:r>
    </w:p>
    <w:p w14:paraId="1D1FBEA9">
      <w:pPr>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甲方：（买方）</w:t>
      </w:r>
    </w:p>
    <w:p w14:paraId="4C0E10CE">
      <w:pPr>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乙方：（卖方）</w:t>
      </w:r>
    </w:p>
    <w:p w14:paraId="63BB3E2B">
      <w:pPr>
        <w:snapToGrid w:val="0"/>
        <w:spacing w:line="440" w:lineRule="exact"/>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甲、乙双方根据</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招标的结果，签署本合同。</w:t>
      </w:r>
    </w:p>
    <w:p w14:paraId="4A77D29A">
      <w:pPr>
        <w:snapToGrid w:val="0"/>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一、服务内容</w:t>
      </w:r>
    </w:p>
    <w:p w14:paraId="34FB7C52">
      <w:pPr>
        <w:snapToGrid w:val="0"/>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二、合同金额</w:t>
      </w:r>
    </w:p>
    <w:p w14:paraId="4C22C7F2">
      <w:pPr>
        <w:snapToGrid w:val="0"/>
        <w:spacing w:line="440" w:lineRule="exact"/>
        <w:ind w:left="359" w:hanging="359" w:hangingChars="17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本合同金额为（大写）：________________________________元（￥_______________元）人民币。</w:t>
      </w:r>
    </w:p>
    <w:p w14:paraId="5FCE680F">
      <w:pPr>
        <w:snapToGrid w:val="0"/>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三、技术资料</w:t>
      </w:r>
    </w:p>
    <w:p w14:paraId="0500F73A">
      <w:pPr>
        <w:snapToGrid w:val="0"/>
        <w:spacing w:line="440" w:lineRule="exact"/>
        <w:ind w:left="359" w:hanging="359" w:hangingChars="17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1.乙方应按</w:t>
      </w:r>
      <w:r>
        <w:rPr>
          <w:rFonts w:hint="eastAsia" w:ascii="仿宋" w:hAnsi="仿宋" w:eastAsia="仿宋" w:cs="仿宋"/>
          <w:color w:val="auto"/>
          <w:sz w:val="21"/>
          <w:szCs w:val="21"/>
          <w:highlight w:val="none"/>
          <w:lang w:eastAsia="zh-CN"/>
        </w:rPr>
        <w:t>采购文件</w:t>
      </w:r>
      <w:r>
        <w:rPr>
          <w:rFonts w:hint="eastAsia" w:ascii="仿宋" w:hAnsi="仿宋" w:eastAsia="仿宋" w:cs="仿宋"/>
          <w:color w:val="auto"/>
          <w:sz w:val="21"/>
          <w:szCs w:val="21"/>
          <w:highlight w:val="none"/>
        </w:rPr>
        <w:t>规定的时间向甲方提供有关技术资料。</w:t>
      </w:r>
    </w:p>
    <w:p w14:paraId="333CDFAF">
      <w:pPr>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801740B">
      <w:pPr>
        <w:snapToGrid w:val="0"/>
        <w:spacing w:line="440" w:lineRule="exact"/>
        <w:ind w:left="360" w:hanging="361" w:hangingChars="17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四、知识产权</w:t>
      </w:r>
    </w:p>
    <w:p w14:paraId="7B8C6ED3">
      <w:pPr>
        <w:snapToGrid w:val="0"/>
        <w:spacing w:line="440" w:lineRule="exact"/>
        <w:ind w:left="359" w:hanging="359" w:hangingChars="171"/>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乙方应保证提供服务过程中不会侵犯任何</w:t>
      </w:r>
      <w:r>
        <w:rPr>
          <w:rFonts w:hint="eastAsia" w:ascii="仿宋" w:hAnsi="仿宋" w:eastAsia="仿宋" w:cs="仿宋"/>
          <w:b w:val="0"/>
          <w:bCs w:val="0"/>
          <w:color w:val="auto"/>
          <w:sz w:val="21"/>
          <w:szCs w:val="21"/>
          <w:highlight w:val="none"/>
        </w:rPr>
        <w:t>第三方的知识产权</w:t>
      </w:r>
      <w:r>
        <w:rPr>
          <w:rFonts w:hint="eastAsia" w:ascii="仿宋" w:hAnsi="仿宋" w:eastAsia="仿宋" w:cs="仿宋"/>
          <w:b/>
          <w:bCs/>
          <w:color w:val="auto"/>
          <w:sz w:val="21"/>
          <w:szCs w:val="21"/>
          <w:highlight w:val="none"/>
        </w:rPr>
        <w:t>。</w:t>
      </w:r>
    </w:p>
    <w:p w14:paraId="4D1FB8B9">
      <w:pPr>
        <w:snapToGrid w:val="0"/>
        <w:spacing w:line="440" w:lineRule="exact"/>
        <w:ind w:left="358" w:hanging="358" w:hangingChars="17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五、履约保证金</w:t>
      </w:r>
    </w:p>
    <w:p w14:paraId="331E4730">
      <w:pPr>
        <w:snapToGrid w:val="0"/>
        <w:spacing w:line="440" w:lineRule="exact"/>
        <w:ind w:left="357" w:hanging="357" w:hangingChars="17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乙方交纳人民币</w:t>
      </w:r>
      <w:r>
        <w:rPr>
          <w:rFonts w:hint="eastAsia" w:ascii="仿宋" w:hAnsi="仿宋" w:eastAsia="仿宋" w:cs="仿宋"/>
          <w:b/>
          <w:color w:val="auto"/>
          <w:sz w:val="21"/>
          <w:szCs w:val="21"/>
          <w:highlight w:val="none"/>
          <w:u w:val="single"/>
        </w:rPr>
        <w:t xml:space="preserve">  / </w:t>
      </w:r>
      <w:r>
        <w:rPr>
          <w:rFonts w:hint="eastAsia" w:ascii="仿宋" w:hAnsi="仿宋" w:eastAsia="仿宋" w:cs="仿宋"/>
          <w:color w:val="auto"/>
          <w:sz w:val="21"/>
          <w:szCs w:val="21"/>
          <w:highlight w:val="none"/>
        </w:rPr>
        <w:t>元作为本合同的履约保证金。</w:t>
      </w:r>
    </w:p>
    <w:p w14:paraId="20CC327D">
      <w:pPr>
        <w:snapToGrid w:val="0"/>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六、转包或分包</w:t>
      </w:r>
    </w:p>
    <w:p w14:paraId="3170A23B">
      <w:pPr>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1.本合同范围的服务，应由乙方直接供应，不得转让他人供应；</w:t>
      </w:r>
    </w:p>
    <w:p w14:paraId="148CDC27">
      <w:pPr>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 除非得到甲方的书面同意，乙方不得将本合同范围的服务全部或部分分包给他人供应；</w:t>
      </w:r>
    </w:p>
    <w:p w14:paraId="63AAAD9E">
      <w:pPr>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3.如有转让和未经甲方同意的分包行为，甲方有权解除合同，没收履约保证金并追究乙方的违约责任。</w:t>
      </w:r>
    </w:p>
    <w:p w14:paraId="7C955389">
      <w:pPr>
        <w:snapToGrid w:val="0"/>
        <w:spacing w:line="440" w:lineRule="exact"/>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七、服务期</w:t>
      </w:r>
    </w:p>
    <w:p w14:paraId="5C1D7415">
      <w:pPr>
        <w:snapToGrid w:val="0"/>
        <w:spacing w:line="440" w:lineRule="exact"/>
        <w:ind w:left="359" w:hanging="359" w:hangingChars="171"/>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 服务期</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年 月   日至     年  月   日。</w:t>
      </w:r>
    </w:p>
    <w:p w14:paraId="0D4877BF">
      <w:pPr>
        <w:snapToGrid w:val="0"/>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八、合同履行时间、履行方式及履行地点</w:t>
      </w:r>
    </w:p>
    <w:p w14:paraId="24F0435D">
      <w:pPr>
        <w:adjustRightInd w:val="0"/>
        <w:snapToGrid w:val="0"/>
        <w:spacing w:line="440" w:lineRule="exact"/>
        <w:ind w:left="630" w:hanging="630" w:hangingChars="30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1. 履行时间：</w:t>
      </w:r>
      <w:r>
        <w:rPr>
          <w:rFonts w:hint="eastAsia" w:ascii="仿宋" w:hAnsi="仿宋" w:eastAsia="仿宋" w:cs="仿宋"/>
          <w:bCs/>
          <w:color w:val="auto"/>
          <w:sz w:val="21"/>
          <w:szCs w:val="21"/>
          <w:highlight w:val="none"/>
          <w:lang w:val="en-US" w:eastAsia="zh-CN"/>
        </w:rPr>
        <w:t xml:space="preserve"> </w:t>
      </w:r>
    </w:p>
    <w:p w14:paraId="207DC807">
      <w:pPr>
        <w:adjustRightInd w:val="0"/>
        <w:snapToGrid w:val="0"/>
        <w:spacing w:line="440" w:lineRule="exact"/>
        <w:ind w:left="630" w:hanging="630" w:hangingChars="300"/>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rPr>
        <w:t>2. 履行地点：</w:t>
      </w:r>
      <w:r>
        <w:rPr>
          <w:rFonts w:hint="eastAsia" w:ascii="仿宋" w:hAnsi="仿宋" w:eastAsia="仿宋" w:cs="仿宋"/>
          <w:bCs/>
          <w:color w:val="auto"/>
          <w:sz w:val="21"/>
          <w:szCs w:val="21"/>
          <w:highlight w:val="none"/>
          <w:lang w:val="en-US" w:eastAsia="zh-CN"/>
        </w:rPr>
        <w:t xml:space="preserve"> </w:t>
      </w:r>
    </w:p>
    <w:p w14:paraId="7DD4B60D">
      <w:pPr>
        <w:snapToGrid w:val="0"/>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九、款项支付</w:t>
      </w:r>
    </w:p>
    <w:p w14:paraId="1A1677FD">
      <w:pPr>
        <w:pStyle w:val="12"/>
        <w:snapToGrid w:val="0"/>
        <w:spacing w:before="0" w:beforeLines="0" w:after="0" w:afterLines="0" w:line="440" w:lineRule="exac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付款方式：</w:t>
      </w:r>
    </w:p>
    <w:p w14:paraId="28192632">
      <w:pPr>
        <w:pStyle w:val="12"/>
        <w:snapToGrid w:val="0"/>
        <w:spacing w:before="120" w:after="120"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1、按季结算，合同签订后第二个季度起，每个季度首月25日之前支付合同总价的25%</w:t>
      </w:r>
      <w:r>
        <w:rPr>
          <w:rFonts w:hint="eastAsia" w:ascii="仿宋" w:hAnsi="仿宋" w:eastAsia="仿宋" w:cs="仿宋"/>
          <w:color w:val="auto"/>
          <w:sz w:val="21"/>
          <w:szCs w:val="21"/>
          <w:highlight w:val="none"/>
          <w:lang w:val="en-US" w:eastAsia="zh-CN"/>
        </w:rPr>
        <w:t>-考核扣减费用</w:t>
      </w:r>
      <w:r>
        <w:rPr>
          <w:rFonts w:hint="eastAsia" w:ascii="仿宋" w:hAnsi="仿宋" w:eastAsia="仿宋" w:cs="仿宋"/>
          <w:bCs/>
          <w:color w:val="auto"/>
          <w:sz w:val="21"/>
          <w:szCs w:val="21"/>
          <w:highlight w:val="none"/>
        </w:rPr>
        <w:t>；以此类推。</w:t>
      </w:r>
    </w:p>
    <w:p w14:paraId="05558077">
      <w:pPr>
        <w:pStyle w:val="12"/>
        <w:snapToGrid w:val="0"/>
        <w:spacing w:before="0" w:beforeLines="0" w:after="0" w:afterLines="0" w:line="440" w:lineRule="exac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2、服务期满后25个日历天内，支付剩余合同总价扣除考核总扣款金额后的款项。 </w:t>
      </w:r>
    </w:p>
    <w:p w14:paraId="321DB259">
      <w:pPr>
        <w:snapToGrid w:val="0"/>
        <w:spacing w:line="440" w:lineRule="exact"/>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十、税费</w:t>
      </w:r>
    </w:p>
    <w:p w14:paraId="42321997">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本合同执行中相关的一切税费均由乙方负担。</w:t>
      </w:r>
    </w:p>
    <w:p w14:paraId="3B283569">
      <w:pPr>
        <w:keepNext w:val="0"/>
        <w:keepLines w:val="0"/>
        <w:pageBreakBefore w:val="0"/>
        <w:widowControl w:val="0"/>
        <w:kinsoku/>
        <w:wordWrap/>
        <w:overflowPunct/>
        <w:topLinePunct w:val="0"/>
        <w:autoSpaceDE/>
        <w:autoSpaceDN/>
        <w:bidi w:val="0"/>
        <w:snapToGrid w:val="0"/>
        <w:spacing w:line="420" w:lineRule="exact"/>
        <w:ind w:left="360" w:hanging="361" w:hangingChars="171"/>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十一、质量保证及后续服务</w:t>
      </w:r>
    </w:p>
    <w:p w14:paraId="5BE1F337">
      <w:pPr>
        <w:keepNext w:val="0"/>
        <w:keepLines w:val="0"/>
        <w:pageBreakBefore w:val="0"/>
        <w:widowControl w:val="0"/>
        <w:kinsoku/>
        <w:wordWrap/>
        <w:overflowPunct/>
        <w:topLinePunct w:val="0"/>
        <w:autoSpaceDE/>
        <w:autoSpaceDN/>
        <w:bidi w:val="0"/>
        <w:adjustRightInd w:val="0"/>
        <w:snapToGrid w:val="0"/>
        <w:spacing w:line="420" w:lineRule="exact"/>
        <w:ind w:left="630" w:hanging="630" w:hangingChars="300"/>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1． 乙方应按</w:t>
      </w:r>
      <w:r>
        <w:rPr>
          <w:rFonts w:hint="eastAsia" w:ascii="仿宋" w:hAnsi="仿宋" w:eastAsia="仿宋" w:cs="仿宋"/>
          <w:snapToGrid w:val="0"/>
          <w:color w:val="auto"/>
          <w:kern w:val="0"/>
          <w:sz w:val="21"/>
          <w:szCs w:val="21"/>
          <w:highlight w:val="none"/>
          <w:lang w:eastAsia="zh-CN"/>
        </w:rPr>
        <w:t>采购文件</w:t>
      </w:r>
      <w:r>
        <w:rPr>
          <w:rFonts w:hint="eastAsia" w:ascii="仿宋" w:hAnsi="仿宋" w:eastAsia="仿宋" w:cs="仿宋"/>
          <w:snapToGrid w:val="0"/>
          <w:color w:val="auto"/>
          <w:kern w:val="0"/>
          <w:sz w:val="21"/>
          <w:szCs w:val="21"/>
          <w:highlight w:val="none"/>
        </w:rPr>
        <w:t>规定向甲方提供服务。</w:t>
      </w:r>
    </w:p>
    <w:p w14:paraId="3BC495E6">
      <w:pPr>
        <w:keepNext w:val="0"/>
        <w:keepLines w:val="0"/>
        <w:pageBreakBefore w:val="0"/>
        <w:widowControl w:val="0"/>
        <w:kinsoku/>
        <w:wordWrap/>
        <w:overflowPunct/>
        <w:topLinePunct w:val="0"/>
        <w:autoSpaceDE/>
        <w:autoSpaceDN/>
        <w:bidi w:val="0"/>
        <w:adjustRightInd w:val="0"/>
        <w:snapToGrid w:val="0"/>
        <w:spacing w:line="420" w:lineRule="exact"/>
        <w:ind w:left="630" w:hanging="630" w:hangingChars="300"/>
        <w:textAlignment w:val="auto"/>
        <w:rPr>
          <w:rFonts w:hint="eastAsia" w:ascii="仿宋" w:hAnsi="仿宋" w:eastAsia="仿宋" w:cs="仿宋"/>
          <w:snapToGrid w:val="0"/>
          <w:color w:val="auto"/>
          <w:kern w:val="0"/>
          <w:sz w:val="21"/>
          <w:szCs w:val="21"/>
          <w:highlight w:val="none"/>
        </w:rPr>
      </w:pPr>
      <w:r>
        <w:rPr>
          <w:rFonts w:hint="eastAsia" w:ascii="仿宋" w:hAnsi="仿宋" w:eastAsia="仿宋" w:cs="仿宋"/>
          <w:snapToGrid w:val="0"/>
          <w:color w:val="auto"/>
          <w:kern w:val="0"/>
          <w:sz w:val="21"/>
          <w:szCs w:val="21"/>
          <w:highlight w:val="none"/>
        </w:rPr>
        <w:t>2． 乙方提供的服务成果在服务质量保证期内发生故障，乙方应负责免费提供后续服务。对达不到要求者，根据实际情况，经双方协商，可按以下办法处理：</w:t>
      </w:r>
    </w:p>
    <w:p w14:paraId="57713C7A">
      <w:pPr>
        <w:keepNext w:val="0"/>
        <w:keepLines w:val="0"/>
        <w:pageBreakBefore w:val="0"/>
        <w:widowControl w:val="0"/>
        <w:kinsoku/>
        <w:wordWrap/>
        <w:overflowPunct/>
        <w:topLinePunct w:val="0"/>
        <w:autoSpaceDE/>
        <w:autoSpaceDN/>
        <w:bidi w:val="0"/>
        <w:snapToGrid w:val="0"/>
        <w:spacing w:line="420" w:lineRule="exact"/>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⑴贬值处理：由甲乙双方合议定价。</w:t>
      </w:r>
    </w:p>
    <w:p w14:paraId="64F81875">
      <w:pPr>
        <w:keepNext w:val="0"/>
        <w:keepLines w:val="0"/>
        <w:pageBreakBefore w:val="0"/>
        <w:widowControl w:val="0"/>
        <w:kinsoku/>
        <w:wordWrap/>
        <w:overflowPunct/>
        <w:topLinePunct w:val="0"/>
        <w:autoSpaceDE/>
        <w:autoSpaceDN/>
        <w:bidi w:val="0"/>
        <w:snapToGrid w:val="0"/>
        <w:spacing w:line="420" w:lineRule="exact"/>
        <w:ind w:firstLine="42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⑵解除合同。</w:t>
      </w:r>
    </w:p>
    <w:p w14:paraId="66171FD2">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十二、</w:t>
      </w:r>
      <w:r>
        <w:rPr>
          <w:rFonts w:hint="eastAsia" w:ascii="仿宋" w:hAnsi="仿宋" w:eastAsia="仿宋" w:cs="仿宋"/>
          <w:b/>
          <w:color w:val="auto"/>
          <w:sz w:val="21"/>
          <w:szCs w:val="21"/>
          <w:highlight w:val="none"/>
        </w:rPr>
        <w:t>违约责任</w:t>
      </w:r>
    </w:p>
    <w:p w14:paraId="68B9772A">
      <w:pPr>
        <w:keepNext w:val="0"/>
        <w:keepLines w:val="0"/>
        <w:pageBreakBefore w:val="0"/>
        <w:widowControl w:val="0"/>
        <w:kinsoku/>
        <w:wordWrap/>
        <w:overflowPunct/>
        <w:topLinePunct w:val="0"/>
        <w:autoSpaceDE/>
        <w:autoSpaceDN/>
        <w:bidi w:val="0"/>
        <w:snapToGrid w:val="0"/>
        <w:spacing w:line="420" w:lineRule="exact"/>
        <w:ind w:left="359" w:hanging="359" w:hangingChars="17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1．甲方无故逾期验收和办理款项支付手续的,甲方应按逾期付款总额每日万分之五向乙方支</w:t>
      </w:r>
    </w:p>
    <w:p w14:paraId="62B1ECA2">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付违约金。</w:t>
      </w:r>
    </w:p>
    <w:p w14:paraId="6F560ABF">
      <w:pPr>
        <w:keepNext w:val="0"/>
        <w:keepLines w:val="0"/>
        <w:pageBreakBefore w:val="0"/>
        <w:widowControl w:val="0"/>
        <w:kinsoku/>
        <w:wordWrap/>
        <w:overflowPunct/>
        <w:topLinePunct w:val="0"/>
        <w:autoSpaceDE/>
        <w:autoSpaceDN/>
        <w:bidi w:val="0"/>
        <w:snapToGrid w:val="0"/>
        <w:spacing w:line="420" w:lineRule="exact"/>
        <w:ind w:left="359" w:hanging="359" w:hangingChars="17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．乙方未能如期提供服务的，每日向甲方支付合同款项的千分之六作为违约金。乙方超过</w:t>
      </w:r>
    </w:p>
    <w:p w14:paraId="6B932FED">
      <w:pPr>
        <w:keepNext w:val="0"/>
        <w:keepLines w:val="0"/>
        <w:pageBreakBefore w:val="0"/>
        <w:widowControl w:val="0"/>
        <w:kinsoku/>
        <w:wordWrap/>
        <w:overflowPunct/>
        <w:topLinePunct w:val="0"/>
        <w:autoSpaceDE/>
        <w:autoSpaceDN/>
        <w:bidi w:val="0"/>
        <w:snapToGrid w:val="0"/>
        <w:spacing w:line="420" w:lineRule="exact"/>
        <w:ind w:left="359" w:hanging="359" w:hangingChars="17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约定日期10</w:t>
      </w:r>
      <w:r>
        <w:rPr>
          <w:rFonts w:hint="eastAsia" w:ascii="仿宋" w:hAnsi="仿宋" w:eastAsia="仿宋" w:cs="仿宋"/>
          <w:bCs/>
          <w:color w:val="auto"/>
          <w:sz w:val="21"/>
          <w:szCs w:val="21"/>
          <w:highlight w:val="none"/>
        </w:rPr>
        <w:t>个日历天</w:t>
      </w:r>
      <w:r>
        <w:rPr>
          <w:rFonts w:hint="eastAsia" w:ascii="仿宋" w:hAnsi="仿宋" w:eastAsia="仿宋" w:cs="仿宋"/>
          <w:color w:val="auto"/>
          <w:sz w:val="21"/>
          <w:szCs w:val="21"/>
          <w:highlight w:val="none"/>
        </w:rPr>
        <w:t>仍不能提供服务的，甲方可解除本合同。乙方因未能如期提供服务或</w:t>
      </w:r>
    </w:p>
    <w:p w14:paraId="4846774D">
      <w:pPr>
        <w:keepNext w:val="0"/>
        <w:keepLines w:val="0"/>
        <w:pageBreakBefore w:val="0"/>
        <w:widowControl w:val="0"/>
        <w:kinsoku/>
        <w:wordWrap/>
        <w:overflowPunct/>
        <w:topLinePunct w:val="0"/>
        <w:autoSpaceDE/>
        <w:autoSpaceDN/>
        <w:bidi w:val="0"/>
        <w:snapToGrid w:val="0"/>
        <w:spacing w:line="420" w:lineRule="exact"/>
        <w:ind w:left="359" w:hanging="359" w:hangingChars="17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因其他违约行为导致甲方解除合同的，乙方应向甲方支付合同总值5%的违约金，如造成甲</w:t>
      </w:r>
    </w:p>
    <w:p w14:paraId="5A2DE43C">
      <w:pPr>
        <w:keepNext w:val="0"/>
        <w:keepLines w:val="0"/>
        <w:pageBreakBefore w:val="0"/>
        <w:widowControl w:val="0"/>
        <w:kinsoku/>
        <w:wordWrap/>
        <w:overflowPunct/>
        <w:topLinePunct w:val="0"/>
        <w:autoSpaceDE/>
        <w:autoSpaceDN/>
        <w:bidi w:val="0"/>
        <w:snapToGrid w:val="0"/>
        <w:spacing w:line="420" w:lineRule="exact"/>
        <w:ind w:left="359" w:hanging="359" w:hangingChars="171"/>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方损失超过违约金的，超出部分由乙方继续承担赔偿责任。 </w:t>
      </w:r>
    </w:p>
    <w:p w14:paraId="31511ED2">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十三、不可抗力事件处理</w:t>
      </w:r>
    </w:p>
    <w:p w14:paraId="2AD0025C">
      <w:pPr>
        <w:keepNext w:val="0"/>
        <w:keepLines w:val="0"/>
        <w:pageBreakBefore w:val="0"/>
        <w:widowControl w:val="0"/>
        <w:numPr>
          <w:ilvl w:val="0"/>
          <w:numId w:val="3"/>
        </w:numPr>
        <w:kinsoku/>
        <w:wordWrap/>
        <w:overflowPunct/>
        <w:topLinePunct w:val="0"/>
        <w:autoSpaceDE/>
        <w:autoSpaceDN/>
        <w:bidi w:val="0"/>
        <w:snapToGrid w:val="0"/>
        <w:spacing w:line="4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在合同有效期内，任何一方因不可抗力事件导致不能履行合同，则合同履行期可延长，</w:t>
      </w:r>
    </w:p>
    <w:p w14:paraId="45C10093">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其延长期与不可抗力影响期相同。</w:t>
      </w:r>
    </w:p>
    <w:p w14:paraId="33504785">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2．不可抗力事件发生后，应立即通知对方，并寄送有关权威机构出具的证明。</w:t>
      </w:r>
    </w:p>
    <w:p w14:paraId="16271999">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3．不可抗力事件延续120</w:t>
      </w:r>
      <w:r>
        <w:rPr>
          <w:rFonts w:hint="eastAsia" w:ascii="仿宋" w:hAnsi="仿宋" w:eastAsia="仿宋" w:cs="仿宋"/>
          <w:bCs/>
          <w:color w:val="auto"/>
          <w:sz w:val="21"/>
          <w:szCs w:val="21"/>
          <w:highlight w:val="none"/>
        </w:rPr>
        <w:t>个日历天</w:t>
      </w:r>
      <w:r>
        <w:rPr>
          <w:rFonts w:hint="eastAsia" w:ascii="仿宋" w:hAnsi="仿宋" w:eastAsia="仿宋" w:cs="仿宋"/>
          <w:color w:val="auto"/>
          <w:sz w:val="21"/>
          <w:szCs w:val="21"/>
          <w:highlight w:val="none"/>
        </w:rPr>
        <w:t>以上，双方应通过友好协商，确定是否继续履行合同。</w:t>
      </w:r>
    </w:p>
    <w:p w14:paraId="79E9B0AB">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十四、诉讼</w:t>
      </w:r>
    </w:p>
    <w:p w14:paraId="226E0356">
      <w:pPr>
        <w:keepNext w:val="0"/>
        <w:keepLines w:val="0"/>
        <w:pageBreakBefore w:val="0"/>
        <w:widowControl w:val="0"/>
        <w:kinsoku/>
        <w:wordWrap/>
        <w:overflowPunct/>
        <w:topLinePunct w:val="0"/>
        <w:autoSpaceDE/>
        <w:autoSpaceDN/>
        <w:bidi w:val="0"/>
        <w:snapToGrid w:val="0"/>
        <w:spacing w:line="420" w:lineRule="exact"/>
        <w:ind w:left="420" w:leftChars="100" w:hanging="210" w:hanging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双方在执行合同中所发生的一切争议，应通过协商解决。如协商不成，可向甲方所在地</w:t>
      </w:r>
    </w:p>
    <w:p w14:paraId="10A87738">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法院起诉。</w:t>
      </w:r>
    </w:p>
    <w:p w14:paraId="070E5CC6">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十五、合同生效及其它</w:t>
      </w:r>
    </w:p>
    <w:p w14:paraId="67DFA548">
      <w:pPr>
        <w:keepNext w:val="0"/>
        <w:keepLines w:val="0"/>
        <w:pageBreakBefore w:val="0"/>
        <w:widowControl w:val="0"/>
        <w:kinsoku/>
        <w:wordWrap/>
        <w:overflowPunct/>
        <w:topLinePunct w:val="0"/>
        <w:autoSpaceDE/>
        <w:autoSpaceDN/>
        <w:bidi w:val="0"/>
        <w:snapToGrid w:val="0"/>
        <w:spacing w:line="4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1．合同经双方法定代表人或授权代表签字</w:t>
      </w:r>
      <w:r>
        <w:rPr>
          <w:rFonts w:hint="eastAsia" w:ascii="仿宋" w:hAnsi="仿宋" w:eastAsia="仿宋" w:cs="仿宋"/>
          <w:color w:val="auto"/>
          <w:sz w:val="21"/>
          <w:szCs w:val="21"/>
          <w:highlight w:val="none"/>
          <w:lang w:val="en-US" w:eastAsia="zh-CN"/>
        </w:rPr>
        <w:t>或盖章</w:t>
      </w:r>
      <w:r>
        <w:rPr>
          <w:rFonts w:hint="eastAsia" w:ascii="仿宋" w:hAnsi="仿宋" w:eastAsia="仿宋" w:cs="仿宋"/>
          <w:color w:val="auto"/>
          <w:sz w:val="21"/>
          <w:szCs w:val="21"/>
          <w:highlight w:val="none"/>
        </w:rPr>
        <w:t>并加盖单位公章后生效。</w:t>
      </w:r>
    </w:p>
    <w:p w14:paraId="20D70323">
      <w:pPr>
        <w:keepNext w:val="0"/>
        <w:keepLines w:val="0"/>
        <w:pageBreakBefore w:val="0"/>
        <w:widowControl w:val="0"/>
        <w:kinsoku/>
        <w:wordWrap/>
        <w:overflowPunct/>
        <w:topLinePunct w:val="0"/>
        <w:autoSpaceDE/>
        <w:autoSpaceDN/>
        <w:bidi w:val="0"/>
        <w:snapToGrid w:val="0"/>
        <w:spacing w:line="420" w:lineRule="exact"/>
        <w:ind w:left="42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3．本合同未尽事宜，遵照《</w:t>
      </w:r>
      <w:r>
        <w:rPr>
          <w:rFonts w:hint="eastAsia" w:ascii="仿宋" w:hAnsi="仿宋" w:eastAsia="仿宋" w:cs="仿宋"/>
          <w:color w:val="auto"/>
          <w:kern w:val="0"/>
          <w:sz w:val="21"/>
          <w:szCs w:val="21"/>
          <w:highlight w:val="none"/>
        </w:rPr>
        <w:t>中华人民共和国民法典</w:t>
      </w:r>
      <w:r>
        <w:rPr>
          <w:rFonts w:hint="eastAsia" w:ascii="仿宋" w:hAnsi="仿宋" w:eastAsia="仿宋" w:cs="仿宋"/>
          <w:color w:val="auto"/>
          <w:sz w:val="21"/>
          <w:szCs w:val="21"/>
          <w:highlight w:val="none"/>
        </w:rPr>
        <w:t>》有关条文执行。</w:t>
      </w:r>
    </w:p>
    <w:p w14:paraId="28A2648B">
      <w:pPr>
        <w:keepNext w:val="0"/>
        <w:keepLines w:val="0"/>
        <w:pageBreakBefore w:val="0"/>
        <w:widowControl w:val="0"/>
        <w:kinsoku/>
        <w:wordWrap/>
        <w:overflowPunct/>
        <w:topLinePunct w:val="0"/>
        <w:autoSpaceDE/>
        <w:autoSpaceDN/>
        <w:bidi w:val="0"/>
        <w:snapToGrid w:val="0"/>
        <w:spacing w:line="420" w:lineRule="exact"/>
        <w:ind w:left="42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4．本合同一式</w:t>
      </w:r>
      <w:r>
        <w:rPr>
          <w:rFonts w:hint="eastAsia" w:ascii="仿宋" w:hAnsi="仿宋" w:eastAsia="仿宋" w:cs="仿宋"/>
          <w:color w:val="auto"/>
          <w:sz w:val="21"/>
          <w:szCs w:val="21"/>
          <w:highlight w:val="none"/>
          <w:lang w:val="en-US" w:eastAsia="zh-CN"/>
        </w:rPr>
        <w:t>四</w:t>
      </w:r>
      <w:r>
        <w:rPr>
          <w:rFonts w:hint="eastAsia" w:ascii="仿宋" w:hAnsi="仿宋" w:eastAsia="仿宋" w:cs="仿宋"/>
          <w:color w:val="auto"/>
          <w:sz w:val="21"/>
          <w:szCs w:val="21"/>
          <w:highlight w:val="none"/>
        </w:rPr>
        <w:t>份，具有同等法律效力，甲乙</w:t>
      </w:r>
      <w:r>
        <w:rPr>
          <w:rFonts w:hint="eastAsia" w:ascii="仿宋" w:hAnsi="仿宋" w:eastAsia="仿宋" w:cs="仿宋"/>
          <w:color w:val="auto"/>
          <w:sz w:val="21"/>
          <w:szCs w:val="21"/>
          <w:highlight w:val="none"/>
          <w:lang w:val="en-US" w:eastAsia="zh-CN"/>
        </w:rPr>
        <w:t>双</w:t>
      </w:r>
      <w:r>
        <w:rPr>
          <w:rFonts w:hint="eastAsia" w:ascii="仿宋" w:hAnsi="仿宋" w:eastAsia="仿宋" w:cs="仿宋"/>
          <w:color w:val="auto"/>
          <w:sz w:val="21"/>
          <w:szCs w:val="21"/>
          <w:highlight w:val="none"/>
        </w:rPr>
        <w:t>方各执</w:t>
      </w: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rPr>
        <w:t>份。</w:t>
      </w:r>
    </w:p>
    <w:p w14:paraId="7B2FE6AD">
      <w:pPr>
        <w:pStyle w:val="12"/>
        <w:keepNext w:val="0"/>
        <w:keepLines w:val="0"/>
        <w:pageBreakBefore w:val="0"/>
        <w:widowControl w:val="0"/>
        <w:kinsoku/>
        <w:wordWrap/>
        <w:overflowPunct/>
        <w:topLinePunct w:val="0"/>
        <w:autoSpaceDE/>
        <w:autoSpaceDN/>
        <w:bidi w:val="0"/>
        <w:snapToGrid w:val="0"/>
        <w:spacing w:before="0" w:beforeLines="0" w:after="0" w:afterLines="0" w:line="420" w:lineRule="exact"/>
        <w:ind w:left="42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甲方：                                   乙方： </w:t>
      </w:r>
    </w:p>
    <w:p w14:paraId="614EA01A">
      <w:pPr>
        <w:pStyle w:val="12"/>
        <w:keepNext w:val="0"/>
        <w:keepLines w:val="0"/>
        <w:pageBreakBefore w:val="0"/>
        <w:widowControl w:val="0"/>
        <w:kinsoku/>
        <w:wordWrap/>
        <w:overflowPunct/>
        <w:topLinePunct w:val="0"/>
        <w:autoSpaceDE/>
        <w:autoSpaceDN/>
        <w:bidi w:val="0"/>
        <w:snapToGrid w:val="0"/>
        <w:spacing w:before="0" w:beforeLines="0" w:after="0" w:afterLines="0" w:line="4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地址：                                   地址： </w:t>
      </w:r>
    </w:p>
    <w:p w14:paraId="07E10A00">
      <w:pPr>
        <w:pStyle w:val="12"/>
        <w:keepNext w:val="0"/>
        <w:keepLines w:val="0"/>
        <w:pageBreakBefore w:val="0"/>
        <w:widowControl w:val="0"/>
        <w:kinsoku/>
        <w:wordWrap/>
        <w:overflowPunct/>
        <w:topLinePunct w:val="0"/>
        <w:autoSpaceDE/>
        <w:autoSpaceDN/>
        <w:bidi w:val="0"/>
        <w:snapToGrid w:val="0"/>
        <w:spacing w:before="0" w:beforeLines="0" w:after="0" w:afterLines="0" w:line="4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法定（授权）代表人：                     法定（授权）代表人：</w:t>
      </w:r>
    </w:p>
    <w:p w14:paraId="642376E7">
      <w:pPr>
        <w:pStyle w:val="12"/>
        <w:keepNext w:val="0"/>
        <w:keepLines w:val="0"/>
        <w:pageBreakBefore w:val="0"/>
        <w:widowControl w:val="0"/>
        <w:kinsoku/>
        <w:wordWrap/>
        <w:overflowPunct/>
        <w:topLinePunct w:val="0"/>
        <w:autoSpaceDE/>
        <w:autoSpaceDN/>
        <w:bidi w:val="0"/>
        <w:snapToGrid w:val="0"/>
        <w:spacing w:before="0" w:beforeLines="0" w:after="0" w:afterLines="0" w:line="420" w:lineRule="exact"/>
        <w:textAlignment w:val="auto"/>
        <w:rPr>
          <w:rFonts w:hint="eastAsia" w:hAnsi="宋体"/>
          <w:color w:val="auto"/>
          <w:sz w:val="21"/>
          <w:szCs w:val="21"/>
          <w:highlight w:val="none"/>
        </w:rPr>
      </w:pPr>
      <w:r>
        <w:rPr>
          <w:rFonts w:hint="eastAsia" w:ascii="仿宋" w:hAnsi="仿宋" w:eastAsia="仿宋" w:cs="仿宋"/>
          <w:color w:val="auto"/>
          <w:sz w:val="21"/>
          <w:szCs w:val="21"/>
          <w:highlight w:val="none"/>
        </w:rPr>
        <w:t xml:space="preserve">  日期：      年  月  日               日期：      年  月  日</w:t>
      </w:r>
    </w:p>
    <w:p w14:paraId="550F2E53">
      <w:pPr>
        <w:pStyle w:val="12"/>
        <w:snapToGrid w:val="0"/>
        <w:spacing w:before="0" w:beforeLines="0" w:after="0" w:afterLines="0" w:line="440" w:lineRule="exact"/>
        <w:jc w:val="center"/>
        <w:rPr>
          <w:rFonts w:hint="eastAsia" w:hAnsi="宋体"/>
          <w:color w:val="auto"/>
          <w:sz w:val="21"/>
          <w:szCs w:val="21"/>
          <w:highlight w:val="none"/>
        </w:rPr>
      </w:pPr>
    </w:p>
    <w:p w14:paraId="2E116930">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BE29A0B">
      <w:pPr>
        <w:pStyle w:val="3"/>
        <w:outlineLvl w:val="0"/>
        <w:rPr>
          <w:rFonts w:hint="eastAsia" w:ascii="仿宋" w:hAnsi="仿宋" w:eastAsia="仿宋" w:cs="仿宋"/>
          <w:color w:val="auto"/>
          <w:szCs w:val="28"/>
          <w:highlight w:val="none"/>
        </w:rPr>
      </w:pPr>
      <w:bookmarkStart w:id="117" w:name="_Toc20172"/>
      <w:r>
        <w:rPr>
          <w:rFonts w:hint="eastAsia" w:ascii="仿宋" w:hAnsi="仿宋" w:eastAsia="仿宋" w:cs="仿宋"/>
          <w:color w:val="auto"/>
          <w:sz w:val="28"/>
          <w:szCs w:val="28"/>
          <w:highlight w:val="none"/>
        </w:rPr>
        <w:t>第六部分  附件（格式）</w:t>
      </w:r>
      <w:bookmarkEnd w:id="108"/>
      <w:bookmarkEnd w:id="109"/>
      <w:bookmarkEnd w:id="110"/>
      <w:bookmarkEnd w:id="111"/>
      <w:bookmarkEnd w:id="112"/>
      <w:bookmarkEnd w:id="113"/>
      <w:bookmarkEnd w:id="114"/>
      <w:bookmarkEnd w:id="115"/>
      <w:bookmarkEnd w:id="116"/>
      <w:bookmarkEnd w:id="117"/>
    </w:p>
    <w:p w14:paraId="1F7D714D">
      <w:pPr>
        <w:spacing w:line="800" w:lineRule="exact"/>
        <w:jc w:val="center"/>
        <w:outlineLvl w:val="9"/>
        <w:rPr>
          <w:rFonts w:hint="eastAsia" w:ascii="仿宋" w:hAnsi="仿宋" w:eastAsia="仿宋" w:cs="仿宋"/>
          <w:b/>
          <w:bCs/>
          <w:color w:val="auto"/>
          <w:sz w:val="28"/>
          <w:szCs w:val="28"/>
          <w:highlight w:val="none"/>
        </w:rPr>
      </w:pPr>
    </w:p>
    <w:p w14:paraId="66506717">
      <w:pPr>
        <w:spacing w:line="800" w:lineRule="exact"/>
        <w:jc w:val="center"/>
        <w:outlineLvl w:val="9"/>
        <w:rPr>
          <w:rFonts w:hint="eastAsia" w:ascii="仿宋" w:hAnsi="仿宋" w:eastAsia="仿宋" w:cs="仿宋"/>
          <w:b/>
          <w:bCs/>
          <w:color w:val="auto"/>
          <w:sz w:val="48"/>
          <w:szCs w:val="48"/>
          <w:highlight w:val="none"/>
        </w:rPr>
      </w:pPr>
    </w:p>
    <w:p w14:paraId="198E4A3F">
      <w:pPr>
        <w:spacing w:line="800" w:lineRule="exact"/>
        <w:jc w:val="center"/>
        <w:outlineLvl w:val="9"/>
        <w:rPr>
          <w:rFonts w:hint="eastAsia" w:ascii="仿宋" w:hAnsi="仿宋" w:eastAsia="仿宋" w:cs="仿宋"/>
          <w:b/>
          <w:bCs/>
          <w:color w:val="auto"/>
          <w:sz w:val="48"/>
          <w:szCs w:val="48"/>
          <w:highlight w:val="none"/>
        </w:rPr>
      </w:pPr>
    </w:p>
    <w:p w14:paraId="5396BF60">
      <w:pPr>
        <w:spacing w:line="800" w:lineRule="exact"/>
        <w:jc w:val="center"/>
        <w:outlineLvl w:val="9"/>
        <w:rPr>
          <w:rFonts w:hint="eastAsia" w:ascii="仿宋" w:hAnsi="仿宋" w:eastAsia="仿宋" w:cs="仿宋"/>
          <w:color w:val="auto"/>
          <w:sz w:val="28"/>
          <w:szCs w:val="28"/>
          <w:highlight w:val="none"/>
          <w:lang w:val="zh-CN"/>
        </w:rPr>
      </w:pPr>
    </w:p>
    <w:p w14:paraId="578BCD1B">
      <w:pPr>
        <w:spacing w:afterLines="100" w:line="760" w:lineRule="exact"/>
        <w:jc w:val="right"/>
        <w:outlineLvl w:val="9"/>
        <w:rPr>
          <w:rFonts w:hint="eastAsia" w:ascii="仿宋" w:hAnsi="仿宋" w:eastAsia="仿宋" w:cs="仿宋"/>
          <w:color w:val="auto"/>
          <w:sz w:val="44"/>
          <w:szCs w:val="44"/>
          <w:highlight w:val="none"/>
        </w:rPr>
      </w:pPr>
      <w:r>
        <w:rPr>
          <w:rFonts w:hint="eastAsia" w:ascii="仿宋" w:hAnsi="仿宋" w:eastAsia="仿宋" w:cs="仿宋"/>
          <w:color w:val="auto"/>
          <w:sz w:val="48"/>
          <w:szCs w:val="48"/>
          <w:highlight w:val="none"/>
          <w:lang w:val="zh-CN"/>
        </w:rPr>
        <w:br w:type="page"/>
      </w:r>
      <w:r>
        <w:rPr>
          <w:rFonts w:hint="eastAsia" w:ascii="仿宋" w:hAnsi="仿宋" w:eastAsia="仿宋" w:cs="仿宋"/>
          <w:color w:val="auto"/>
          <w:sz w:val="32"/>
          <w:szCs w:val="32"/>
          <w:highlight w:val="none"/>
          <w:bdr w:val="single" w:color="auto" w:sz="4" w:space="0"/>
        </w:rPr>
        <w:t>正/副本</w:t>
      </w:r>
    </w:p>
    <w:p w14:paraId="2624F53A">
      <w:pPr>
        <w:spacing w:line="360" w:lineRule="auto"/>
        <w:jc w:val="center"/>
        <w:outlineLvl w:val="9"/>
        <w:rPr>
          <w:rFonts w:hint="eastAsia" w:ascii="仿宋" w:hAnsi="仿宋" w:eastAsia="仿宋" w:cs="仿宋"/>
          <w:color w:val="auto"/>
          <w:szCs w:val="21"/>
          <w:highlight w:val="none"/>
        </w:rPr>
      </w:pPr>
    </w:p>
    <w:p w14:paraId="4E4090F7">
      <w:pPr>
        <w:spacing w:line="360" w:lineRule="auto"/>
        <w:jc w:val="center"/>
        <w:outlineLvl w:val="9"/>
        <w:rPr>
          <w:rFonts w:hint="eastAsia" w:ascii="仿宋" w:hAnsi="仿宋" w:eastAsia="仿宋" w:cs="仿宋"/>
          <w:color w:val="auto"/>
          <w:sz w:val="48"/>
          <w:szCs w:val="48"/>
          <w:highlight w:val="none"/>
          <w:lang w:eastAsia="zh-CN"/>
        </w:rPr>
      </w:pPr>
    </w:p>
    <w:p w14:paraId="6BDE408C">
      <w:pPr>
        <w:spacing w:line="360" w:lineRule="auto"/>
        <w:jc w:val="center"/>
        <w:outlineLvl w:val="9"/>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江北区公路与运输管理中心8小时外路网服务外包项目</w:t>
      </w:r>
    </w:p>
    <w:p w14:paraId="361DD286">
      <w:pPr>
        <w:jc w:val="center"/>
        <w:outlineLvl w:val="9"/>
        <w:rPr>
          <w:rFonts w:hint="eastAsia" w:ascii="仿宋" w:hAnsi="仿宋" w:eastAsia="仿宋" w:cs="仿宋"/>
          <w:color w:val="auto"/>
          <w:sz w:val="44"/>
          <w:szCs w:val="44"/>
          <w:highlight w:val="none"/>
          <w:lang w:eastAsia="zh-CN"/>
        </w:rPr>
      </w:pPr>
      <w:bookmarkStart w:id="118" w:name="_Toc21991"/>
      <w:bookmarkStart w:id="119" w:name="_Toc98803723"/>
      <w:bookmarkStart w:id="120" w:name="_Toc19062"/>
      <w:bookmarkStart w:id="121" w:name="_Toc25853"/>
      <w:bookmarkStart w:id="122" w:name="_Toc10081"/>
      <w:r>
        <w:rPr>
          <w:rFonts w:hint="eastAsia" w:ascii="仿宋" w:hAnsi="仿宋" w:eastAsia="仿宋" w:cs="仿宋"/>
          <w:color w:val="auto"/>
          <w:sz w:val="44"/>
          <w:szCs w:val="44"/>
          <w:highlight w:val="none"/>
        </w:rPr>
        <w:t>项目编号：</w:t>
      </w:r>
      <w:bookmarkEnd w:id="118"/>
      <w:bookmarkEnd w:id="119"/>
      <w:bookmarkEnd w:id="120"/>
      <w:bookmarkEnd w:id="121"/>
      <w:bookmarkEnd w:id="122"/>
    </w:p>
    <w:p w14:paraId="0479D03E">
      <w:pPr>
        <w:jc w:val="center"/>
        <w:outlineLvl w:val="9"/>
        <w:rPr>
          <w:rFonts w:hint="eastAsia" w:ascii="仿宋" w:hAnsi="仿宋" w:eastAsia="仿宋" w:cs="仿宋"/>
          <w:color w:val="auto"/>
          <w:sz w:val="32"/>
          <w:szCs w:val="32"/>
          <w:highlight w:val="none"/>
        </w:rPr>
      </w:pPr>
    </w:p>
    <w:p w14:paraId="733C2444">
      <w:pPr>
        <w:jc w:val="center"/>
        <w:outlineLvl w:val="9"/>
        <w:rPr>
          <w:rFonts w:hint="eastAsia" w:ascii="仿宋" w:hAnsi="仿宋" w:eastAsia="仿宋" w:cs="仿宋"/>
          <w:b/>
          <w:color w:val="auto"/>
          <w:sz w:val="44"/>
          <w:szCs w:val="44"/>
          <w:highlight w:val="none"/>
          <w:lang w:val="en-US" w:eastAsia="zh-CN"/>
        </w:rPr>
      </w:pPr>
    </w:p>
    <w:p w14:paraId="68CF19B2">
      <w:pPr>
        <w:jc w:val="center"/>
        <w:outlineLvl w:val="9"/>
        <w:rPr>
          <w:rFonts w:hint="eastAsia" w:ascii="仿宋" w:hAnsi="仿宋" w:eastAsia="仿宋" w:cs="仿宋"/>
          <w:b/>
          <w:color w:val="auto"/>
          <w:sz w:val="44"/>
          <w:szCs w:val="44"/>
          <w:highlight w:val="none"/>
        </w:rPr>
      </w:pPr>
    </w:p>
    <w:p w14:paraId="7595F525">
      <w:pPr>
        <w:pStyle w:val="10"/>
        <w:outlineLvl w:val="9"/>
        <w:rPr>
          <w:rFonts w:hint="eastAsia" w:ascii="仿宋" w:hAnsi="仿宋" w:eastAsia="仿宋" w:cs="仿宋"/>
          <w:color w:val="auto"/>
          <w:highlight w:val="none"/>
        </w:rPr>
      </w:pPr>
    </w:p>
    <w:p w14:paraId="7CF46842">
      <w:pPr>
        <w:pStyle w:val="10"/>
        <w:outlineLvl w:val="9"/>
        <w:rPr>
          <w:rFonts w:hint="eastAsia" w:ascii="仿宋" w:hAnsi="仿宋" w:eastAsia="仿宋" w:cs="仿宋"/>
          <w:color w:val="auto"/>
          <w:highlight w:val="none"/>
        </w:rPr>
      </w:pPr>
    </w:p>
    <w:p w14:paraId="3DE2021D">
      <w:pPr>
        <w:pStyle w:val="10"/>
        <w:outlineLvl w:val="9"/>
        <w:rPr>
          <w:rFonts w:hint="eastAsia" w:ascii="仿宋" w:hAnsi="仿宋" w:eastAsia="仿宋" w:cs="仿宋"/>
          <w:color w:val="auto"/>
          <w:highlight w:val="none"/>
        </w:rPr>
      </w:pPr>
    </w:p>
    <w:p w14:paraId="33463819">
      <w:pPr>
        <w:spacing w:line="432" w:lineRule="auto"/>
        <w:jc w:val="center"/>
        <w:outlineLvl w:val="9"/>
        <w:rPr>
          <w:rFonts w:hint="eastAsia" w:ascii="仿宋" w:hAnsi="仿宋" w:eastAsia="仿宋" w:cs="仿宋"/>
          <w:color w:val="auto"/>
          <w:sz w:val="84"/>
          <w:szCs w:val="84"/>
          <w:highlight w:val="none"/>
        </w:rPr>
      </w:pPr>
      <w:bookmarkStart w:id="123" w:name="_Toc23287"/>
      <w:bookmarkStart w:id="124" w:name="_Toc2405"/>
      <w:bookmarkStart w:id="125" w:name="_Toc20502"/>
      <w:bookmarkStart w:id="126" w:name="_Toc98803725"/>
      <w:bookmarkStart w:id="127" w:name="_Toc30936"/>
      <w:r>
        <w:rPr>
          <w:rFonts w:hint="eastAsia" w:ascii="仿宋" w:hAnsi="仿宋" w:eastAsia="仿宋" w:cs="仿宋"/>
          <w:color w:val="auto"/>
          <w:sz w:val="84"/>
          <w:szCs w:val="84"/>
          <w:highlight w:val="none"/>
        </w:rPr>
        <w:t>磋商响应文件</w:t>
      </w:r>
      <w:bookmarkEnd w:id="123"/>
      <w:bookmarkEnd w:id="124"/>
      <w:bookmarkEnd w:id="125"/>
      <w:bookmarkEnd w:id="126"/>
      <w:bookmarkEnd w:id="127"/>
    </w:p>
    <w:p w14:paraId="13E0C95E">
      <w:pPr>
        <w:spacing w:line="480" w:lineRule="auto"/>
        <w:outlineLvl w:val="9"/>
        <w:rPr>
          <w:rFonts w:hint="eastAsia" w:ascii="仿宋" w:hAnsi="仿宋" w:eastAsia="仿宋" w:cs="仿宋"/>
          <w:color w:val="auto"/>
          <w:sz w:val="32"/>
          <w:szCs w:val="32"/>
          <w:highlight w:val="none"/>
        </w:rPr>
      </w:pPr>
    </w:p>
    <w:p w14:paraId="10E4722F">
      <w:pPr>
        <w:spacing w:line="480" w:lineRule="auto"/>
        <w:outlineLvl w:val="9"/>
        <w:rPr>
          <w:rFonts w:hint="eastAsia" w:ascii="仿宋" w:hAnsi="仿宋" w:eastAsia="仿宋" w:cs="仿宋"/>
          <w:color w:val="auto"/>
          <w:sz w:val="32"/>
          <w:szCs w:val="32"/>
          <w:highlight w:val="none"/>
        </w:rPr>
      </w:pPr>
    </w:p>
    <w:p w14:paraId="69E74312">
      <w:pPr>
        <w:spacing w:line="480" w:lineRule="auto"/>
        <w:ind w:firstLine="480" w:firstLineChars="150"/>
        <w:outlineLvl w:val="9"/>
        <w:rPr>
          <w:rFonts w:hint="eastAsia" w:ascii="仿宋" w:hAnsi="仿宋" w:eastAsia="仿宋" w:cs="仿宋"/>
          <w:color w:val="auto"/>
          <w:sz w:val="32"/>
          <w:szCs w:val="32"/>
          <w:highlight w:val="none"/>
        </w:rPr>
      </w:pPr>
      <w:bookmarkStart w:id="128" w:name="_Toc20561"/>
      <w:bookmarkStart w:id="129" w:name="_Toc7196"/>
      <w:bookmarkStart w:id="130" w:name="_Toc7576"/>
      <w:bookmarkStart w:id="131" w:name="_Toc11563_WPSOffice_Level1"/>
      <w:bookmarkStart w:id="132" w:name="_Toc25644_WPSOffice_Level1"/>
      <w:bookmarkStart w:id="133" w:name="_Toc98803726"/>
      <w:bookmarkStart w:id="134" w:name="_Toc15553_WPSOffice_Level1"/>
      <w:bookmarkStart w:id="135" w:name="_Toc2104"/>
      <w:bookmarkStart w:id="136" w:name="_Toc20060_WPSOffice_Level1"/>
      <w:r>
        <w:rPr>
          <w:rFonts w:hint="eastAsia" w:ascii="仿宋" w:hAnsi="仿宋" w:eastAsia="仿宋" w:cs="仿宋"/>
          <w:color w:val="auto"/>
          <w:sz w:val="32"/>
          <w:szCs w:val="32"/>
          <w:highlight w:val="none"/>
        </w:rPr>
        <w:t>供应商单位（盖章）：</w:t>
      </w:r>
      <w:r>
        <w:rPr>
          <w:rFonts w:hint="eastAsia" w:ascii="仿宋" w:hAnsi="仿宋" w:eastAsia="仿宋" w:cs="仿宋"/>
          <w:color w:val="auto"/>
          <w:sz w:val="32"/>
          <w:szCs w:val="32"/>
          <w:highlight w:val="none"/>
          <w:u w:val="single"/>
        </w:rPr>
        <w:t>____________________________</w:t>
      </w:r>
      <w:bookmarkEnd w:id="128"/>
      <w:bookmarkEnd w:id="129"/>
      <w:bookmarkEnd w:id="130"/>
      <w:bookmarkEnd w:id="131"/>
      <w:bookmarkEnd w:id="132"/>
      <w:bookmarkEnd w:id="133"/>
      <w:bookmarkEnd w:id="134"/>
      <w:bookmarkEnd w:id="135"/>
      <w:bookmarkEnd w:id="136"/>
    </w:p>
    <w:p w14:paraId="6DC0FE05">
      <w:pPr>
        <w:spacing w:line="480" w:lineRule="auto"/>
        <w:ind w:firstLine="480" w:firstLineChars="150"/>
        <w:outlineLvl w:val="9"/>
        <w:rPr>
          <w:rFonts w:hint="eastAsia" w:ascii="仿宋" w:hAnsi="仿宋" w:eastAsia="仿宋" w:cs="仿宋"/>
          <w:color w:val="auto"/>
          <w:sz w:val="32"/>
          <w:szCs w:val="32"/>
          <w:highlight w:val="none"/>
          <w:u w:val="single"/>
        </w:rPr>
      </w:pPr>
      <w:bookmarkStart w:id="137" w:name="_Toc2469_WPSOffice_Level1"/>
      <w:bookmarkStart w:id="138" w:name="_Toc16283"/>
      <w:bookmarkStart w:id="139" w:name="_Toc16459"/>
      <w:bookmarkStart w:id="140" w:name="_Toc6152"/>
      <w:bookmarkStart w:id="141" w:name="_Toc98803727"/>
      <w:bookmarkStart w:id="142" w:name="_Toc10475_WPSOffice_Level1"/>
      <w:bookmarkStart w:id="143" w:name="_Toc28111_WPSOffice_Level1"/>
      <w:bookmarkStart w:id="144" w:name="_Toc19878"/>
      <w:bookmarkStart w:id="145" w:name="_Toc8623_WPSOffice_Level1"/>
      <w:bookmarkStart w:id="146" w:name="_Toc13324_WPSOffice_Level1"/>
      <w:r>
        <w:rPr>
          <w:rFonts w:hint="eastAsia" w:ascii="仿宋" w:hAnsi="仿宋" w:eastAsia="仿宋" w:cs="仿宋"/>
          <w:color w:val="auto"/>
          <w:sz w:val="32"/>
          <w:szCs w:val="32"/>
          <w:highlight w:val="none"/>
        </w:rPr>
        <w:t>法定代表人或其委托代理人（签字</w:t>
      </w:r>
      <w:r>
        <w:rPr>
          <w:rFonts w:hint="eastAsia" w:ascii="仿宋" w:hAnsi="仿宋" w:eastAsia="仿宋" w:cs="仿宋"/>
          <w:color w:val="auto"/>
          <w:sz w:val="32"/>
          <w:szCs w:val="32"/>
          <w:highlight w:val="none"/>
          <w:lang w:val="en-US" w:eastAsia="zh-CN"/>
        </w:rPr>
        <w:t>或盖章</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_____________</w:t>
      </w:r>
      <w:bookmarkEnd w:id="137"/>
      <w:bookmarkEnd w:id="138"/>
      <w:bookmarkEnd w:id="139"/>
      <w:bookmarkEnd w:id="140"/>
      <w:bookmarkEnd w:id="141"/>
      <w:bookmarkEnd w:id="142"/>
      <w:bookmarkEnd w:id="143"/>
      <w:bookmarkEnd w:id="144"/>
      <w:bookmarkEnd w:id="145"/>
      <w:bookmarkEnd w:id="146"/>
      <w:bookmarkStart w:id="147" w:name="_Toc10118_WPSOffice_Level1"/>
      <w:bookmarkStart w:id="148" w:name="_Toc26334_WPSOffice_Level1"/>
      <w:bookmarkStart w:id="149" w:name="_Toc23390_WPSOffice_Level1"/>
      <w:bookmarkStart w:id="150" w:name="_Toc997_WPSOffice_Level1"/>
      <w:bookmarkStart w:id="151" w:name="_Toc28885_WPSOffice_Level1"/>
      <w:bookmarkStart w:id="152" w:name="_Toc98803728"/>
      <w:bookmarkStart w:id="153" w:name="_Toc29724"/>
      <w:bookmarkStart w:id="154" w:name="_Toc25788"/>
      <w:bookmarkStart w:id="155" w:name="_Toc29682"/>
    </w:p>
    <w:p w14:paraId="06D48807">
      <w:pPr>
        <w:spacing w:line="480" w:lineRule="auto"/>
        <w:ind w:firstLine="480" w:firstLineChars="150"/>
        <w:outlineLvl w:val="9"/>
        <w:rPr>
          <w:rFonts w:hint="eastAsia" w:ascii="仿宋" w:hAnsi="仿宋" w:eastAsia="仿宋" w:cs="仿宋"/>
          <w:color w:val="auto"/>
          <w:sz w:val="24"/>
          <w:szCs w:val="24"/>
          <w:highlight w:val="none"/>
        </w:rPr>
      </w:pPr>
      <w:r>
        <w:rPr>
          <w:rFonts w:hint="eastAsia" w:ascii="仿宋" w:hAnsi="仿宋" w:eastAsia="仿宋" w:cs="仿宋"/>
          <w:color w:val="auto"/>
          <w:sz w:val="32"/>
          <w:szCs w:val="32"/>
          <w:highlight w:val="none"/>
        </w:rPr>
        <w:t>磋商响应日期：</w:t>
      </w:r>
      <w:bookmarkEnd w:id="147"/>
      <w:bookmarkEnd w:id="148"/>
      <w:bookmarkEnd w:id="149"/>
      <w:bookmarkEnd w:id="150"/>
      <w:bookmarkEnd w:id="151"/>
    </w:p>
    <w:p w14:paraId="36F35DDF">
      <w:pPr>
        <w:widowControl/>
        <w:jc w:val="left"/>
        <w:outlineLvl w:val="9"/>
        <w:rPr>
          <w:rFonts w:ascii="宋体" w:hAnsi="宋体" w:cs="宋体"/>
          <w:b/>
          <w:bCs/>
          <w:color w:val="auto"/>
          <w:sz w:val="24"/>
          <w:szCs w:val="24"/>
          <w:highlight w:val="none"/>
        </w:rPr>
      </w:pPr>
    </w:p>
    <w:p w14:paraId="3811D257">
      <w:pPr>
        <w:spacing w:line="480" w:lineRule="auto"/>
        <w:ind w:firstLine="316" w:firstLineChars="150"/>
        <w:outlineLvl w:val="9"/>
        <w:rPr>
          <w:rFonts w:hint="eastAsia" w:ascii="仿宋" w:hAnsi="仿宋" w:eastAsia="仿宋" w:cs="仿宋"/>
          <w:color w:val="auto"/>
          <w:szCs w:val="21"/>
          <w:highlight w:val="none"/>
        </w:rPr>
      </w:pPr>
      <w:r>
        <w:rPr>
          <w:rFonts w:ascii="宋体" w:hAnsi="宋体" w:cs="宋体"/>
          <w:b/>
          <w:bCs/>
          <w:color w:val="auto"/>
          <w:szCs w:val="21"/>
          <w:highlight w:val="none"/>
        </w:rPr>
        <w:br w:type="page"/>
      </w:r>
      <w:r>
        <w:rPr>
          <w:rFonts w:hint="eastAsia" w:ascii="仿宋" w:hAnsi="仿宋" w:eastAsia="仿宋" w:cs="仿宋"/>
          <w:b/>
          <w:bCs/>
          <w:color w:val="auto"/>
          <w:szCs w:val="21"/>
          <w:highlight w:val="none"/>
        </w:rPr>
        <w:t>附件一</w:t>
      </w:r>
      <w:bookmarkEnd w:id="152"/>
      <w:bookmarkEnd w:id="153"/>
      <w:bookmarkEnd w:id="154"/>
      <w:bookmarkEnd w:id="155"/>
    </w:p>
    <w:p w14:paraId="0A7F5DB0">
      <w:pPr>
        <w:pStyle w:val="11"/>
        <w:ind w:firstLine="0"/>
        <w:jc w:val="center"/>
        <w:outlineLvl w:val="9"/>
        <w:rPr>
          <w:rFonts w:hint="eastAsia" w:ascii="仿宋" w:hAnsi="仿宋" w:eastAsia="仿宋" w:cs="仿宋"/>
          <w:b/>
          <w:color w:val="auto"/>
          <w:sz w:val="21"/>
          <w:szCs w:val="21"/>
          <w:highlight w:val="none"/>
        </w:rPr>
      </w:pPr>
      <w:bookmarkStart w:id="156" w:name="_Toc382_WPSOffice_Level1"/>
      <w:bookmarkStart w:id="157" w:name="_Toc25134_WPSOffice_Level1"/>
      <w:bookmarkStart w:id="158" w:name="_Toc22307_WPSOffice_Level2"/>
      <w:r>
        <w:rPr>
          <w:rFonts w:hint="eastAsia" w:ascii="仿宋" w:hAnsi="仿宋" w:eastAsia="仿宋" w:cs="仿宋"/>
          <w:b/>
          <w:color w:val="auto"/>
          <w:sz w:val="21"/>
          <w:szCs w:val="21"/>
          <w:highlight w:val="none"/>
        </w:rPr>
        <w:t>报价函</w:t>
      </w:r>
      <w:bookmarkEnd w:id="156"/>
      <w:bookmarkEnd w:id="157"/>
      <w:bookmarkEnd w:id="158"/>
    </w:p>
    <w:p w14:paraId="3D277AB8">
      <w:pPr>
        <w:pStyle w:val="11"/>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致</w:t>
      </w:r>
      <w:r>
        <w:rPr>
          <w:rFonts w:hint="eastAsia" w:ascii="仿宋" w:hAnsi="仿宋" w:eastAsia="仿宋" w:cs="仿宋"/>
          <w:i/>
          <w:color w:val="auto"/>
          <w:sz w:val="21"/>
          <w:szCs w:val="21"/>
          <w:highlight w:val="none"/>
          <w:u w:val="single"/>
        </w:rPr>
        <w:t xml:space="preserve">（采购代理机构） </w:t>
      </w:r>
      <w:r>
        <w:rPr>
          <w:rFonts w:hint="eastAsia" w:ascii="仿宋" w:hAnsi="仿宋" w:eastAsia="仿宋" w:cs="仿宋"/>
          <w:color w:val="auto"/>
          <w:sz w:val="21"/>
          <w:szCs w:val="21"/>
          <w:highlight w:val="none"/>
        </w:rPr>
        <w:t>：</w:t>
      </w:r>
    </w:p>
    <w:p w14:paraId="4C55B5BA">
      <w:pPr>
        <w:pStyle w:val="11"/>
        <w:spacing w:line="360" w:lineRule="exact"/>
        <w:ind w:firstLine="0"/>
        <w:outlineLvl w:val="9"/>
        <w:rPr>
          <w:rFonts w:hint="eastAsia" w:ascii="仿宋" w:hAnsi="仿宋" w:eastAsia="仿宋" w:cs="仿宋"/>
          <w:color w:val="auto"/>
          <w:sz w:val="21"/>
          <w:szCs w:val="21"/>
          <w:highlight w:val="none"/>
          <w:u w:val="single"/>
        </w:rPr>
      </w:pPr>
      <w:r>
        <w:rPr>
          <w:rFonts w:hint="eastAsia" w:ascii="仿宋" w:hAnsi="仿宋" w:eastAsia="仿宋" w:cs="仿宋"/>
          <w:i/>
          <w:color w:val="auto"/>
          <w:sz w:val="21"/>
          <w:szCs w:val="21"/>
          <w:highlight w:val="none"/>
          <w:u w:val="single"/>
          <w:lang w:val="en-US" w:eastAsia="zh-CN"/>
        </w:rPr>
        <w:t xml:space="preserve">  </w:t>
      </w:r>
      <w:r>
        <w:rPr>
          <w:rFonts w:hint="eastAsia" w:ascii="仿宋" w:hAnsi="仿宋" w:eastAsia="仿宋" w:cs="仿宋"/>
          <w:i/>
          <w:color w:val="auto"/>
          <w:sz w:val="21"/>
          <w:szCs w:val="21"/>
          <w:highlight w:val="none"/>
          <w:u w:val="single"/>
        </w:rPr>
        <w:t>供应商全称）</w:t>
      </w:r>
      <w:r>
        <w:rPr>
          <w:rFonts w:hint="eastAsia" w:ascii="仿宋" w:hAnsi="仿宋" w:eastAsia="仿宋" w:cs="仿宋"/>
          <w:color w:val="auto"/>
          <w:sz w:val="21"/>
          <w:szCs w:val="21"/>
          <w:highlight w:val="none"/>
        </w:rPr>
        <w:t xml:space="preserve"> 授权</w:t>
      </w:r>
      <w:r>
        <w:rPr>
          <w:rFonts w:hint="eastAsia" w:ascii="仿宋" w:hAnsi="仿宋" w:eastAsia="仿宋" w:cs="仿宋"/>
          <w:i/>
          <w:color w:val="auto"/>
          <w:sz w:val="21"/>
          <w:szCs w:val="21"/>
          <w:highlight w:val="none"/>
          <w:u w:val="single"/>
        </w:rPr>
        <w:t xml:space="preserve">（全权代表姓名、职务）     </w:t>
      </w:r>
      <w:r>
        <w:rPr>
          <w:rFonts w:hint="eastAsia" w:ascii="仿宋" w:hAnsi="仿宋" w:eastAsia="仿宋" w:cs="仿宋"/>
          <w:color w:val="auto"/>
          <w:sz w:val="21"/>
          <w:szCs w:val="21"/>
          <w:highlight w:val="none"/>
        </w:rPr>
        <w:t xml:space="preserve">为本公司合法代理人，参加贵方组织的 </w:t>
      </w:r>
      <w:r>
        <w:rPr>
          <w:rFonts w:hint="eastAsia" w:ascii="仿宋" w:hAnsi="仿宋" w:eastAsia="仿宋" w:cs="仿宋"/>
          <w:i/>
          <w:color w:val="auto"/>
          <w:sz w:val="21"/>
          <w:szCs w:val="21"/>
          <w:highlight w:val="none"/>
          <w:u w:val="single"/>
        </w:rPr>
        <w:t>（竞争性磋商编号、磋商项目名称）</w:t>
      </w:r>
      <w:r>
        <w:rPr>
          <w:rFonts w:hint="eastAsia" w:ascii="仿宋" w:hAnsi="仿宋" w:eastAsia="仿宋" w:cs="仿宋"/>
          <w:color w:val="auto"/>
          <w:sz w:val="21"/>
          <w:szCs w:val="21"/>
          <w:highlight w:val="none"/>
        </w:rPr>
        <w:t>竞争性磋商活动，代表本公司处理磋商采购活动中的一切事宜，为对</w:t>
      </w:r>
      <w:r>
        <w:rPr>
          <w:rFonts w:hint="eastAsia" w:ascii="仿宋" w:hAnsi="仿宋" w:eastAsia="仿宋" w:cs="仿宋"/>
          <w:i/>
          <w:color w:val="auto"/>
          <w:sz w:val="21"/>
          <w:szCs w:val="21"/>
          <w:highlight w:val="none"/>
          <w:u w:val="single"/>
        </w:rPr>
        <w:t>（产品名称）</w:t>
      </w:r>
      <w:r>
        <w:rPr>
          <w:rFonts w:hint="eastAsia" w:ascii="仿宋" w:hAnsi="仿宋" w:eastAsia="仿宋" w:cs="仿宋"/>
          <w:color w:val="auto"/>
          <w:sz w:val="21"/>
          <w:szCs w:val="21"/>
          <w:highlight w:val="none"/>
        </w:rPr>
        <w:t>进行报价，在此：</w:t>
      </w:r>
    </w:p>
    <w:p w14:paraId="26A60EA9">
      <w:pPr>
        <w:pStyle w:val="11"/>
        <w:numPr>
          <w:ilvl w:val="0"/>
          <w:numId w:val="4"/>
        </w:numPr>
        <w:tabs>
          <w:tab w:val="left" w:pos="525"/>
        </w:tabs>
        <w:spacing w:line="360" w:lineRule="exact"/>
        <w:ind w:left="840" w:leftChars="0" w:hanging="360" w:firstLineChars="0"/>
        <w:outlineLvl w:val="9"/>
        <w:rPr>
          <w:rFonts w:hint="eastAsia" w:ascii="仿宋" w:hAnsi="仿宋" w:eastAsia="仿宋" w:cs="仿宋"/>
          <w:color w:val="auto"/>
          <w:sz w:val="21"/>
          <w:szCs w:val="21"/>
          <w:highlight w:val="none"/>
        </w:rPr>
      </w:pPr>
      <w:bookmarkStart w:id="159" w:name="_Toc20343_WPSOffice_Level1"/>
      <w:bookmarkStart w:id="160" w:name="_Toc25810_WPSOffice_Level1"/>
      <w:r>
        <w:rPr>
          <w:rFonts w:hint="eastAsia" w:ascii="仿宋" w:hAnsi="仿宋" w:eastAsia="仿宋" w:cs="仿宋"/>
          <w:color w:val="auto"/>
          <w:sz w:val="21"/>
          <w:szCs w:val="21"/>
          <w:highlight w:val="none"/>
        </w:rPr>
        <w:t>提供 “竞争性磋商文件”规定的全部响应文件：</w:t>
      </w:r>
      <w:bookmarkEnd w:id="159"/>
      <w:bookmarkEnd w:id="160"/>
    </w:p>
    <w:p w14:paraId="7A378E7F">
      <w:pPr>
        <w:pStyle w:val="11"/>
        <w:spacing w:line="360" w:lineRule="exac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磋商响应文件正本1份，副本</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2 </w:t>
      </w:r>
      <w:r>
        <w:rPr>
          <w:rFonts w:hint="eastAsia" w:ascii="仿宋" w:hAnsi="仿宋" w:eastAsia="仿宋" w:cs="仿宋"/>
          <w:color w:val="auto"/>
          <w:sz w:val="21"/>
          <w:szCs w:val="21"/>
          <w:highlight w:val="none"/>
        </w:rPr>
        <w:t>份；</w:t>
      </w:r>
    </w:p>
    <w:p w14:paraId="64429A88">
      <w:pPr>
        <w:pStyle w:val="11"/>
        <w:numPr>
          <w:ilvl w:val="0"/>
          <w:numId w:val="4"/>
        </w:numPr>
        <w:tabs>
          <w:tab w:val="left" w:pos="525"/>
        </w:tabs>
        <w:spacing w:line="360" w:lineRule="exact"/>
        <w:ind w:left="840" w:leftChars="0" w:hanging="360" w:firstLineChars="0"/>
        <w:outlineLvl w:val="9"/>
        <w:rPr>
          <w:rFonts w:hint="eastAsia" w:ascii="仿宋" w:hAnsi="仿宋" w:eastAsia="仿宋" w:cs="仿宋"/>
          <w:color w:val="auto"/>
          <w:sz w:val="21"/>
          <w:szCs w:val="21"/>
          <w:highlight w:val="none"/>
        </w:rPr>
      </w:pPr>
      <w:bookmarkStart w:id="161" w:name="_Toc22878_WPSOffice_Level1"/>
      <w:bookmarkStart w:id="162" w:name="_Toc30955_WPSOffice_Level1"/>
      <w:r>
        <w:rPr>
          <w:rFonts w:hint="eastAsia" w:ascii="仿宋" w:hAnsi="仿宋" w:eastAsia="仿宋" w:cs="仿宋"/>
          <w:color w:val="auto"/>
          <w:sz w:val="21"/>
          <w:szCs w:val="21"/>
          <w:highlight w:val="none"/>
        </w:rPr>
        <w:t>据此函，</w:t>
      </w:r>
      <w:r>
        <w:rPr>
          <w:rFonts w:hint="eastAsia" w:ascii="仿宋" w:hAnsi="仿宋" w:eastAsia="仿宋" w:cs="仿宋"/>
          <w:color w:val="auto"/>
          <w:sz w:val="21"/>
          <w:szCs w:val="21"/>
          <w:highlight w:val="none"/>
          <w:lang w:val="en-US" w:eastAsia="zh-CN"/>
        </w:rPr>
        <w:t>我方</w:t>
      </w:r>
      <w:r>
        <w:rPr>
          <w:rFonts w:hint="eastAsia" w:ascii="仿宋" w:hAnsi="仿宋" w:eastAsia="仿宋" w:cs="仿宋"/>
          <w:color w:val="auto"/>
          <w:sz w:val="21"/>
          <w:szCs w:val="21"/>
          <w:highlight w:val="none"/>
        </w:rPr>
        <w:t>代表宣布并承诺如下：</w:t>
      </w:r>
      <w:bookmarkEnd w:id="161"/>
      <w:bookmarkEnd w:id="162"/>
    </w:p>
    <w:p w14:paraId="247DC723">
      <w:pPr>
        <w:pStyle w:val="11"/>
        <w:spacing w:line="360" w:lineRule="exac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（1）响应报价为“</w:t>
      </w:r>
      <w:r>
        <w:rPr>
          <w:rFonts w:hint="eastAsia" w:ascii="仿宋" w:hAnsi="仿宋" w:eastAsia="仿宋" w:cs="仿宋"/>
          <w:color w:val="auto"/>
          <w:sz w:val="21"/>
          <w:szCs w:val="21"/>
          <w:highlight w:val="none"/>
          <w:lang w:eastAsia="zh-CN"/>
        </w:rPr>
        <w:t>磋商报价表</w:t>
      </w:r>
      <w:r>
        <w:rPr>
          <w:rFonts w:hint="eastAsia" w:ascii="仿宋" w:hAnsi="仿宋" w:eastAsia="仿宋" w:cs="仿宋"/>
          <w:color w:val="auto"/>
          <w:sz w:val="21"/>
          <w:szCs w:val="21"/>
          <w:highlight w:val="none"/>
        </w:rPr>
        <w:t>”载明的响应报价。</w:t>
      </w:r>
    </w:p>
    <w:p w14:paraId="1507FCB5">
      <w:pPr>
        <w:pStyle w:val="11"/>
        <w:spacing w:line="360" w:lineRule="exact"/>
        <w:ind w:left="0" w:leftChars="0" w:firstLine="420" w:firstLineChars="20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本报价已经包含了经营应纳的税金及竞争性磋商文件规定的报价方式应包含的其它费用。本报价在报价有效期内固定不变，并在合同有效期内不受利率波动的影响。</w:t>
      </w:r>
    </w:p>
    <w:p w14:paraId="707E5C7E">
      <w:pPr>
        <w:pStyle w:val="11"/>
        <w:spacing w:line="360" w:lineRule="exact"/>
        <w:ind w:left="480"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（2）本磋商响应文件自接受磋商响应文件截止之日起60天内有效。</w:t>
      </w:r>
    </w:p>
    <w:p w14:paraId="788673E2">
      <w:pPr>
        <w:pStyle w:val="11"/>
        <w:spacing w:line="360" w:lineRule="exac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（3）我们已详细审查全部竞争性磋商文件及有关的澄清/修改文件(若有的话)，我们完全理解并同意放弃对这方面提出任何异议的权利。保证遵守竞争性磋商文件有关条款规定。</w:t>
      </w:r>
    </w:p>
    <w:p w14:paraId="5B308B6C">
      <w:pPr>
        <w:pStyle w:val="11"/>
        <w:spacing w:line="360" w:lineRule="exact"/>
        <w:ind w:left="480"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（4）保证遵守竞争性磋商文件有关条款规定。</w:t>
      </w:r>
    </w:p>
    <w:p w14:paraId="6722231D">
      <w:pPr>
        <w:pStyle w:val="11"/>
        <w:spacing w:line="360" w:lineRule="exac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保证在被确定为成交供应商后忠实地执行与采购人所签署的合同，并承担合同规定的责任义务，并保证按照竞争性磋商文件的规定支付中介服务费。</w:t>
      </w:r>
    </w:p>
    <w:p w14:paraId="5019A00A">
      <w:pPr>
        <w:pStyle w:val="11"/>
        <w:spacing w:line="360" w:lineRule="exact"/>
        <w:ind w:left="480"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承诺应贵方要求提供任何与该项目有关的数据、情况和技术资料。</w:t>
      </w:r>
    </w:p>
    <w:p w14:paraId="4FD2841F">
      <w:pPr>
        <w:pStyle w:val="11"/>
        <w:spacing w:line="360" w:lineRule="exac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完全同意采购文件中有关</w:t>
      </w:r>
      <w:r>
        <w:rPr>
          <w:rFonts w:hint="eastAsia" w:ascii="仿宋" w:hAnsi="仿宋" w:eastAsia="仿宋" w:cs="仿宋"/>
          <w:color w:val="auto"/>
          <w:sz w:val="21"/>
          <w:szCs w:val="21"/>
          <w:highlight w:val="none"/>
          <w:lang w:eastAsia="zh-CN"/>
        </w:rPr>
        <w:t>代理服务费</w:t>
      </w:r>
      <w:r>
        <w:rPr>
          <w:rFonts w:hint="eastAsia" w:ascii="仿宋" w:hAnsi="仿宋" w:eastAsia="仿宋" w:cs="仿宋"/>
          <w:color w:val="auto"/>
          <w:sz w:val="21"/>
          <w:szCs w:val="21"/>
          <w:highlight w:val="none"/>
        </w:rPr>
        <w:t>的条款，保证在成交后按照采购文件规定的金额、时间和方式，向贵方一次性交纳成交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响应，我们自愿放弃任何方式进行抗辩的权力。</w:t>
      </w:r>
    </w:p>
    <w:p w14:paraId="4459A377">
      <w:pPr>
        <w:pStyle w:val="11"/>
        <w:spacing w:line="360" w:lineRule="exac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（8）我们郑重声明：</w:t>
      </w:r>
      <w:r>
        <w:rPr>
          <w:rFonts w:hint="eastAsia" w:ascii="仿宋" w:hAnsi="仿宋" w:eastAsia="仿宋" w:cs="仿宋"/>
          <w:color w:val="auto"/>
          <w:sz w:val="21"/>
          <w:szCs w:val="21"/>
          <w:highlight w:val="none"/>
          <w:lang w:val="en-US" w:eastAsia="zh-CN"/>
        </w:rPr>
        <w:t>本磋商响应文件提供的情况和文件完全是真实的，我公司符合参加采购活动应当具备的条件。</w:t>
      </w:r>
    </w:p>
    <w:p w14:paraId="0834F497">
      <w:pPr>
        <w:pStyle w:val="11"/>
        <w:spacing w:line="360" w:lineRule="exact"/>
        <w:ind w:left="480" w:firstLine="0"/>
        <w:outlineLvl w:val="9"/>
        <w:rPr>
          <w:rFonts w:hint="eastAsia" w:ascii="仿宋" w:hAnsi="仿宋" w:eastAsia="仿宋" w:cs="仿宋"/>
          <w:b/>
          <w:bCs/>
          <w:color w:val="auto"/>
          <w:sz w:val="21"/>
          <w:szCs w:val="21"/>
          <w:highlight w:val="none"/>
          <w:lang w:val="en-US" w:eastAsia="zh-CN"/>
        </w:rPr>
      </w:pPr>
      <w:bookmarkStart w:id="163" w:name="_Toc29385_WPSOffice_Level1"/>
      <w:bookmarkStart w:id="164" w:name="_Toc5912_WPSOffice_Level1"/>
      <w:r>
        <w:rPr>
          <w:rFonts w:hint="eastAsia" w:ascii="仿宋" w:hAnsi="仿宋" w:eastAsia="仿宋" w:cs="仿宋"/>
          <w:b/>
          <w:bCs/>
          <w:color w:val="auto"/>
          <w:sz w:val="21"/>
          <w:szCs w:val="21"/>
          <w:highlight w:val="none"/>
          <w:lang w:val="en-US" w:eastAsia="zh-CN"/>
        </w:rPr>
        <w:t>与本竞争性磋商采购有关的一切往来通讯请寄：</w:t>
      </w:r>
      <w:bookmarkEnd w:id="163"/>
      <w:bookmarkEnd w:id="164"/>
    </w:p>
    <w:p w14:paraId="2402F310">
      <w:pPr>
        <w:pStyle w:val="11"/>
        <w:ind w:left="480"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p>
    <w:p w14:paraId="56C956FD">
      <w:pPr>
        <w:pStyle w:val="11"/>
        <w:ind w:left="480"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邮编：</w:t>
      </w:r>
    </w:p>
    <w:p w14:paraId="40A6475C">
      <w:pPr>
        <w:pStyle w:val="11"/>
        <w:ind w:left="480"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p>
    <w:p w14:paraId="1AE30D45">
      <w:pPr>
        <w:pStyle w:val="11"/>
        <w:ind w:left="480" w:firstLine="0"/>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传真：</w:t>
      </w:r>
    </w:p>
    <w:p w14:paraId="0F3EEE18">
      <w:pPr>
        <w:pStyle w:val="11"/>
        <w:ind w:firstLine="0"/>
        <w:outlineLvl w:val="9"/>
        <w:rPr>
          <w:rFonts w:hint="eastAsia" w:ascii="仿宋" w:hAnsi="仿宋" w:eastAsia="仿宋" w:cs="仿宋"/>
          <w:color w:val="auto"/>
          <w:sz w:val="21"/>
          <w:szCs w:val="21"/>
          <w:highlight w:val="none"/>
        </w:rPr>
      </w:pPr>
    </w:p>
    <w:p w14:paraId="3ABEB7AC">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供应商（盖章）：</w:t>
      </w:r>
    </w:p>
    <w:p w14:paraId="02039F73">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法定代表人或授权代表（签字</w:t>
      </w:r>
      <w:r>
        <w:rPr>
          <w:rFonts w:hint="eastAsia" w:ascii="仿宋" w:hAnsi="仿宋" w:eastAsia="仿宋" w:cs="仿宋"/>
          <w:color w:val="auto"/>
          <w:sz w:val="21"/>
          <w:szCs w:val="21"/>
          <w:highlight w:val="none"/>
          <w:lang w:val="en-US" w:eastAsia="zh-CN"/>
        </w:rPr>
        <w:t>或盖章</w:t>
      </w:r>
      <w:r>
        <w:rPr>
          <w:rFonts w:hint="eastAsia" w:ascii="仿宋" w:hAnsi="仿宋" w:eastAsia="仿宋" w:cs="仿宋"/>
          <w:color w:val="auto"/>
          <w:sz w:val="21"/>
          <w:szCs w:val="21"/>
          <w:highlight w:val="none"/>
        </w:rPr>
        <w:t>）：</w:t>
      </w:r>
    </w:p>
    <w:p w14:paraId="5776ACCA">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1AC2B880">
      <w:pPr>
        <w:pStyle w:val="11"/>
        <w:ind w:firstLine="0"/>
        <w:outlineLvl w:val="9"/>
        <w:rPr>
          <w:rFonts w:hint="eastAsia" w:ascii="仿宋" w:hAnsi="仿宋" w:eastAsia="仿宋" w:cs="仿宋"/>
          <w:b/>
          <w:color w:val="auto"/>
          <w:sz w:val="21"/>
          <w:szCs w:val="21"/>
          <w:highlight w:val="none"/>
        </w:rPr>
      </w:pPr>
      <w:r>
        <w:rPr>
          <w:rFonts w:hint="eastAsia" w:ascii="宋体" w:hAnsi="宋体" w:eastAsia="宋体" w:cs="宋体"/>
          <w:b/>
          <w:color w:val="auto"/>
          <w:szCs w:val="24"/>
          <w:highlight w:val="none"/>
        </w:rPr>
        <w:br w:type="page"/>
      </w:r>
      <w:r>
        <w:rPr>
          <w:rFonts w:hint="eastAsia" w:ascii="仿宋" w:hAnsi="仿宋" w:eastAsia="仿宋" w:cs="仿宋"/>
          <w:b/>
          <w:color w:val="auto"/>
          <w:sz w:val="21"/>
          <w:szCs w:val="21"/>
          <w:highlight w:val="none"/>
        </w:rPr>
        <w:t>附件二-1</w:t>
      </w:r>
    </w:p>
    <w:p w14:paraId="5938B59E">
      <w:pPr>
        <w:pStyle w:val="11"/>
        <w:ind w:firstLine="0"/>
        <w:jc w:val="center"/>
        <w:outlineLvl w:val="9"/>
        <w:rPr>
          <w:rFonts w:hint="eastAsia" w:ascii="仿宋" w:hAnsi="仿宋" w:eastAsia="仿宋" w:cs="仿宋"/>
          <w:b/>
          <w:color w:val="auto"/>
          <w:sz w:val="21"/>
          <w:szCs w:val="21"/>
          <w:highlight w:val="none"/>
        </w:rPr>
      </w:pPr>
      <w:bookmarkStart w:id="165" w:name="_Toc19288_WPSOffice_Level1"/>
      <w:bookmarkStart w:id="166" w:name="_Toc8250_WPSOffice_Level1"/>
      <w:bookmarkStart w:id="167" w:name="_Toc30133_WPSOffice_Level1"/>
    </w:p>
    <w:bookmarkEnd w:id="165"/>
    <w:bookmarkEnd w:id="166"/>
    <w:bookmarkEnd w:id="167"/>
    <w:p w14:paraId="6B2DDFD4">
      <w:pPr>
        <w:pStyle w:val="11"/>
        <w:ind w:firstLine="0"/>
        <w:jc w:val="center"/>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磋商报价表</w:t>
      </w:r>
    </w:p>
    <w:p w14:paraId="5483668F">
      <w:pPr>
        <w:pStyle w:val="11"/>
        <w:ind w:firstLine="0"/>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编号：</w:t>
      </w:r>
    </w:p>
    <w:tbl>
      <w:tblPr>
        <w:tblStyle w:val="25"/>
        <w:tblpPr w:leftFromText="180" w:rightFromText="180" w:vertAnchor="text" w:tblpY="1"/>
        <w:tblOverlap w:val="never"/>
        <w:tblW w:w="48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8"/>
        <w:gridCol w:w="6728"/>
      </w:tblGrid>
      <w:tr w14:paraId="2BF5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16" w:type="pct"/>
            <w:noWrap w:val="0"/>
            <w:vAlign w:val="center"/>
          </w:tcPr>
          <w:p w14:paraId="6A672360">
            <w:pPr>
              <w:pStyle w:val="80"/>
              <w:widowControl w:val="0"/>
              <w:spacing w:afterLines="0" w:line="400" w:lineRule="exac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项目名称</w:t>
            </w:r>
          </w:p>
        </w:tc>
        <w:tc>
          <w:tcPr>
            <w:tcW w:w="3483" w:type="pct"/>
            <w:noWrap w:val="0"/>
            <w:vAlign w:val="center"/>
          </w:tcPr>
          <w:p w14:paraId="3A7117CA">
            <w:pPr>
              <w:pStyle w:val="80"/>
              <w:widowControl w:val="0"/>
              <w:spacing w:afterLines="0" w:line="400" w:lineRule="exact"/>
              <w:ind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江北区公路与运输管理中心8小时外路网服务外包项目</w:t>
            </w:r>
          </w:p>
        </w:tc>
      </w:tr>
      <w:tr w14:paraId="055A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516" w:type="pct"/>
            <w:noWrap w:val="0"/>
            <w:vAlign w:val="center"/>
          </w:tcPr>
          <w:p w14:paraId="79B8E0DB">
            <w:pPr>
              <w:pStyle w:val="80"/>
              <w:widowControl w:val="0"/>
              <w:spacing w:afterLines="0" w:line="400" w:lineRule="exac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响应报价</w:t>
            </w:r>
            <w:r>
              <w:rPr>
                <w:rFonts w:hint="eastAsia" w:ascii="仿宋" w:hAnsi="仿宋" w:eastAsia="仿宋" w:cs="仿宋"/>
                <w:b/>
                <w:bCs/>
                <w:color w:val="auto"/>
                <w:sz w:val="21"/>
                <w:szCs w:val="21"/>
                <w:highlight w:val="none"/>
              </w:rPr>
              <w:t>（小写）</w:t>
            </w:r>
          </w:p>
        </w:tc>
        <w:tc>
          <w:tcPr>
            <w:tcW w:w="3483" w:type="pct"/>
            <w:noWrap w:val="0"/>
            <w:vAlign w:val="center"/>
          </w:tcPr>
          <w:p w14:paraId="49C03A52">
            <w:pPr>
              <w:pStyle w:val="80"/>
              <w:widowControl w:val="0"/>
              <w:spacing w:afterLines="0" w:line="400" w:lineRule="exact"/>
              <w:ind w:firstLine="0" w:firstLineChars="0"/>
              <w:jc w:val="center"/>
              <w:rPr>
                <w:rFonts w:hint="eastAsia" w:ascii="仿宋" w:hAnsi="仿宋" w:eastAsia="仿宋" w:cs="仿宋"/>
                <w:color w:val="auto"/>
                <w:sz w:val="21"/>
                <w:szCs w:val="21"/>
                <w:highlight w:val="none"/>
              </w:rPr>
            </w:pPr>
          </w:p>
        </w:tc>
      </w:tr>
      <w:tr w14:paraId="1988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16" w:type="pct"/>
            <w:noWrap w:val="0"/>
            <w:vAlign w:val="center"/>
          </w:tcPr>
          <w:p w14:paraId="478D7085">
            <w:pPr>
              <w:pStyle w:val="80"/>
              <w:widowControl w:val="0"/>
              <w:spacing w:afterLines="0" w:line="400" w:lineRule="exact"/>
              <w:ind w:firstLine="0" w:firstLineChars="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响应报价</w:t>
            </w:r>
            <w:r>
              <w:rPr>
                <w:rFonts w:hint="eastAsia" w:ascii="仿宋" w:hAnsi="仿宋" w:eastAsia="仿宋" w:cs="仿宋"/>
                <w:b/>
                <w:bCs/>
                <w:color w:val="auto"/>
                <w:sz w:val="21"/>
                <w:szCs w:val="21"/>
                <w:highlight w:val="none"/>
              </w:rPr>
              <w:t>（大写）</w:t>
            </w:r>
          </w:p>
        </w:tc>
        <w:tc>
          <w:tcPr>
            <w:tcW w:w="3483" w:type="pct"/>
            <w:noWrap w:val="0"/>
            <w:vAlign w:val="center"/>
          </w:tcPr>
          <w:p w14:paraId="480C2E77">
            <w:pPr>
              <w:pStyle w:val="80"/>
              <w:widowControl w:val="0"/>
              <w:spacing w:afterLines="0" w:line="400" w:lineRule="exact"/>
              <w:ind w:firstLine="0" w:firstLineChars="0"/>
              <w:jc w:val="center"/>
              <w:rPr>
                <w:rFonts w:hint="eastAsia" w:ascii="仿宋" w:hAnsi="仿宋" w:eastAsia="仿宋" w:cs="仿宋"/>
                <w:color w:val="auto"/>
                <w:sz w:val="21"/>
                <w:szCs w:val="21"/>
                <w:highlight w:val="none"/>
              </w:rPr>
            </w:pPr>
          </w:p>
        </w:tc>
      </w:tr>
    </w:tbl>
    <w:p w14:paraId="6C3B7C0A">
      <w:pP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注:1、以上磋商</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报价应与“分项报价表”中的“</w:t>
      </w:r>
      <w:r>
        <w:rPr>
          <w:rFonts w:hint="eastAsia" w:ascii="仿宋" w:hAnsi="仿宋" w:eastAsia="仿宋" w:cs="仿宋"/>
          <w:color w:val="auto"/>
          <w:szCs w:val="21"/>
          <w:highlight w:val="none"/>
          <w:lang w:val="en-US" w:eastAsia="zh-CN"/>
        </w:rPr>
        <w:t>合计金额</w:t>
      </w:r>
      <w:r>
        <w:rPr>
          <w:rFonts w:hint="eastAsia" w:ascii="仿宋" w:hAnsi="仿宋" w:eastAsia="仿宋" w:cs="仿宋"/>
          <w:color w:val="auto"/>
          <w:szCs w:val="21"/>
          <w:highlight w:val="none"/>
        </w:rPr>
        <w:t>”相一致，不一致的按照评审办法的规定修正。</w:t>
      </w:r>
    </w:p>
    <w:p w14:paraId="31EC170F">
      <w:pPr>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、报价超过预算金额或最高限价的</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lang w:eastAsia="zh-CN"/>
        </w:rPr>
        <w:t>无效。</w:t>
      </w:r>
    </w:p>
    <w:p w14:paraId="0156CAE0">
      <w:pPr>
        <w:pStyle w:val="11"/>
        <w:ind w:firstLine="0"/>
        <w:outlineLvl w:val="9"/>
        <w:rPr>
          <w:rFonts w:hint="eastAsia" w:ascii="仿宋" w:hAnsi="仿宋" w:eastAsia="仿宋" w:cs="仿宋"/>
          <w:color w:val="auto"/>
          <w:sz w:val="21"/>
          <w:szCs w:val="21"/>
          <w:highlight w:val="none"/>
        </w:rPr>
      </w:pPr>
    </w:p>
    <w:p w14:paraId="6CFC8AF6">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供应商（盖章）：</w:t>
      </w:r>
    </w:p>
    <w:p w14:paraId="15C54684">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法定代表人或授权代表（签字</w:t>
      </w:r>
      <w:r>
        <w:rPr>
          <w:rFonts w:hint="eastAsia" w:ascii="仿宋" w:hAnsi="仿宋" w:eastAsia="仿宋" w:cs="仿宋"/>
          <w:color w:val="auto"/>
          <w:sz w:val="21"/>
          <w:szCs w:val="21"/>
          <w:highlight w:val="none"/>
          <w:lang w:val="en-US" w:eastAsia="zh-CN"/>
        </w:rPr>
        <w:t>或盖章</w:t>
      </w:r>
      <w:r>
        <w:rPr>
          <w:rFonts w:hint="eastAsia" w:ascii="仿宋" w:hAnsi="仿宋" w:eastAsia="仿宋" w:cs="仿宋"/>
          <w:color w:val="auto"/>
          <w:sz w:val="21"/>
          <w:szCs w:val="21"/>
          <w:highlight w:val="none"/>
        </w:rPr>
        <w:t>）：</w:t>
      </w:r>
    </w:p>
    <w:p w14:paraId="4E979869">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014C4884">
      <w:pPr>
        <w:pStyle w:val="11"/>
        <w:ind w:firstLine="0"/>
        <w:outlineLvl w:val="9"/>
        <w:rPr>
          <w:rFonts w:hint="eastAsia" w:ascii="仿宋" w:hAnsi="仿宋" w:eastAsia="仿宋" w:cs="仿宋"/>
          <w:b/>
          <w:color w:val="auto"/>
          <w:sz w:val="21"/>
          <w:szCs w:val="21"/>
          <w:highlight w:val="none"/>
        </w:rPr>
      </w:pPr>
      <w:r>
        <w:rPr>
          <w:rFonts w:hint="eastAsia" w:ascii="宋体" w:hAnsi="宋体" w:eastAsia="宋体" w:cs="宋体"/>
          <w:bCs/>
          <w:color w:val="auto"/>
          <w:highlight w:val="none"/>
        </w:rPr>
        <w:br w:type="page"/>
      </w:r>
      <w:r>
        <w:rPr>
          <w:rFonts w:hint="eastAsia" w:ascii="仿宋" w:hAnsi="仿宋" w:eastAsia="仿宋" w:cs="仿宋"/>
          <w:b/>
          <w:color w:val="auto"/>
          <w:sz w:val="21"/>
          <w:szCs w:val="21"/>
          <w:highlight w:val="none"/>
        </w:rPr>
        <w:t>附件二-2</w:t>
      </w:r>
    </w:p>
    <w:p w14:paraId="78335F63">
      <w:pPr>
        <w:pStyle w:val="11"/>
        <w:ind w:firstLine="0"/>
        <w:jc w:val="center"/>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分项</w:t>
      </w:r>
      <w:r>
        <w:rPr>
          <w:rFonts w:hint="eastAsia" w:ascii="仿宋" w:hAnsi="仿宋" w:eastAsia="仿宋" w:cs="仿宋"/>
          <w:b/>
          <w:color w:val="auto"/>
          <w:sz w:val="21"/>
          <w:szCs w:val="21"/>
          <w:highlight w:val="none"/>
        </w:rPr>
        <w:t>报价表</w:t>
      </w:r>
    </w:p>
    <w:p w14:paraId="11775BA9">
      <w:pPr>
        <w:pStyle w:val="11"/>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项目名称： </w:t>
      </w:r>
    </w:p>
    <w:p w14:paraId="136F0389">
      <w:pPr>
        <w:pStyle w:val="11"/>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编号：</w:t>
      </w:r>
    </w:p>
    <w:p w14:paraId="269B1CDA">
      <w:pPr>
        <w:pStyle w:val="11"/>
        <w:ind w:firstLine="0"/>
        <w:jc w:val="right"/>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金额单位：人民币（元）</w:t>
      </w:r>
    </w:p>
    <w:tbl>
      <w:tblPr>
        <w:tblStyle w:val="2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3204"/>
        <w:gridCol w:w="1158"/>
        <w:gridCol w:w="919"/>
        <w:gridCol w:w="1156"/>
        <w:gridCol w:w="1528"/>
        <w:gridCol w:w="1124"/>
      </w:tblGrid>
      <w:tr w14:paraId="0BD7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13D5045D">
            <w:pPr>
              <w:spacing w:line="38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610" w:type="pct"/>
            <w:noWrap w:val="0"/>
            <w:vAlign w:val="center"/>
          </w:tcPr>
          <w:p w14:paraId="3126876A">
            <w:pPr>
              <w:spacing w:line="38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内容</w:t>
            </w:r>
          </w:p>
        </w:tc>
        <w:tc>
          <w:tcPr>
            <w:tcW w:w="582" w:type="pct"/>
            <w:noWrap w:val="0"/>
            <w:vAlign w:val="center"/>
          </w:tcPr>
          <w:p w14:paraId="2A1B8452">
            <w:pPr>
              <w:spacing w:line="38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单位</w:t>
            </w:r>
          </w:p>
        </w:tc>
        <w:tc>
          <w:tcPr>
            <w:tcW w:w="462" w:type="pct"/>
            <w:noWrap w:val="0"/>
            <w:vAlign w:val="center"/>
          </w:tcPr>
          <w:p w14:paraId="6B7BA2BD">
            <w:pPr>
              <w:spacing w:line="38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数量</w:t>
            </w:r>
          </w:p>
        </w:tc>
        <w:tc>
          <w:tcPr>
            <w:tcW w:w="579" w:type="pct"/>
            <w:noWrap w:val="0"/>
            <w:vAlign w:val="center"/>
          </w:tcPr>
          <w:p w14:paraId="28979B71">
            <w:pPr>
              <w:spacing w:line="38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单价</w:t>
            </w:r>
          </w:p>
        </w:tc>
        <w:tc>
          <w:tcPr>
            <w:tcW w:w="768" w:type="pct"/>
            <w:noWrap w:val="0"/>
            <w:vAlign w:val="center"/>
          </w:tcPr>
          <w:p w14:paraId="582EFB9E">
            <w:pPr>
              <w:spacing w:line="38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合计</w:t>
            </w:r>
          </w:p>
        </w:tc>
        <w:tc>
          <w:tcPr>
            <w:tcW w:w="565" w:type="pct"/>
            <w:noWrap w:val="0"/>
            <w:vAlign w:val="center"/>
          </w:tcPr>
          <w:p w14:paraId="1FBD7BE5">
            <w:pPr>
              <w:spacing w:line="380" w:lineRule="exact"/>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备注</w:t>
            </w:r>
          </w:p>
        </w:tc>
      </w:tr>
      <w:tr w14:paraId="3E94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0FDD27DE">
            <w:pPr>
              <w:spacing w:line="380" w:lineRule="exact"/>
              <w:jc w:val="center"/>
              <w:rPr>
                <w:rFonts w:hint="eastAsia" w:ascii="仿宋" w:hAnsi="仿宋" w:eastAsia="仿宋" w:cs="仿宋"/>
                <w:color w:val="auto"/>
                <w:szCs w:val="21"/>
                <w:highlight w:val="none"/>
              </w:rPr>
            </w:pPr>
          </w:p>
        </w:tc>
        <w:tc>
          <w:tcPr>
            <w:tcW w:w="1610" w:type="pct"/>
            <w:noWrap w:val="0"/>
            <w:vAlign w:val="center"/>
          </w:tcPr>
          <w:p w14:paraId="2F976C4D">
            <w:pPr>
              <w:spacing w:line="380" w:lineRule="exact"/>
              <w:jc w:val="center"/>
              <w:rPr>
                <w:rFonts w:hint="eastAsia" w:ascii="仿宋" w:hAnsi="仿宋" w:eastAsia="仿宋" w:cs="仿宋"/>
                <w:color w:val="auto"/>
                <w:szCs w:val="21"/>
                <w:highlight w:val="none"/>
              </w:rPr>
            </w:pPr>
          </w:p>
        </w:tc>
        <w:tc>
          <w:tcPr>
            <w:tcW w:w="582" w:type="pct"/>
            <w:noWrap w:val="0"/>
            <w:vAlign w:val="center"/>
          </w:tcPr>
          <w:p w14:paraId="4C4776BC">
            <w:pPr>
              <w:spacing w:line="380" w:lineRule="exact"/>
              <w:jc w:val="center"/>
              <w:rPr>
                <w:rFonts w:hint="eastAsia" w:ascii="仿宋" w:hAnsi="仿宋" w:eastAsia="仿宋" w:cs="仿宋"/>
                <w:color w:val="auto"/>
                <w:szCs w:val="21"/>
                <w:highlight w:val="none"/>
              </w:rPr>
            </w:pPr>
          </w:p>
        </w:tc>
        <w:tc>
          <w:tcPr>
            <w:tcW w:w="462" w:type="pct"/>
            <w:noWrap w:val="0"/>
            <w:vAlign w:val="center"/>
          </w:tcPr>
          <w:p w14:paraId="79855810">
            <w:pPr>
              <w:spacing w:line="380" w:lineRule="exact"/>
              <w:jc w:val="center"/>
              <w:rPr>
                <w:rFonts w:hint="eastAsia" w:ascii="仿宋" w:hAnsi="仿宋" w:eastAsia="仿宋" w:cs="仿宋"/>
                <w:color w:val="auto"/>
                <w:szCs w:val="21"/>
                <w:highlight w:val="none"/>
              </w:rPr>
            </w:pPr>
          </w:p>
        </w:tc>
        <w:tc>
          <w:tcPr>
            <w:tcW w:w="579" w:type="pct"/>
            <w:noWrap w:val="0"/>
            <w:vAlign w:val="center"/>
          </w:tcPr>
          <w:p w14:paraId="05EEE92C">
            <w:pPr>
              <w:spacing w:line="380" w:lineRule="exact"/>
              <w:jc w:val="center"/>
              <w:rPr>
                <w:rFonts w:hint="eastAsia" w:ascii="仿宋" w:hAnsi="仿宋" w:eastAsia="仿宋" w:cs="仿宋"/>
                <w:color w:val="auto"/>
                <w:szCs w:val="21"/>
                <w:highlight w:val="none"/>
              </w:rPr>
            </w:pPr>
          </w:p>
        </w:tc>
        <w:tc>
          <w:tcPr>
            <w:tcW w:w="768" w:type="pct"/>
            <w:noWrap w:val="0"/>
            <w:vAlign w:val="center"/>
          </w:tcPr>
          <w:p w14:paraId="555AECC2">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316F17C6">
            <w:pPr>
              <w:spacing w:line="380" w:lineRule="exact"/>
              <w:jc w:val="center"/>
              <w:rPr>
                <w:rFonts w:hint="eastAsia" w:ascii="仿宋" w:hAnsi="仿宋" w:eastAsia="仿宋" w:cs="仿宋"/>
                <w:color w:val="auto"/>
                <w:szCs w:val="21"/>
                <w:highlight w:val="none"/>
              </w:rPr>
            </w:pPr>
          </w:p>
        </w:tc>
      </w:tr>
      <w:tr w14:paraId="4F52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184E50B2">
            <w:pPr>
              <w:spacing w:line="380" w:lineRule="exact"/>
              <w:jc w:val="center"/>
              <w:rPr>
                <w:rFonts w:hint="eastAsia" w:ascii="仿宋" w:hAnsi="仿宋" w:eastAsia="仿宋" w:cs="仿宋"/>
                <w:color w:val="auto"/>
                <w:szCs w:val="21"/>
                <w:highlight w:val="none"/>
              </w:rPr>
            </w:pPr>
          </w:p>
        </w:tc>
        <w:tc>
          <w:tcPr>
            <w:tcW w:w="1610" w:type="pct"/>
            <w:noWrap w:val="0"/>
            <w:vAlign w:val="center"/>
          </w:tcPr>
          <w:p w14:paraId="4CA7547F">
            <w:pPr>
              <w:spacing w:line="380" w:lineRule="exact"/>
              <w:jc w:val="center"/>
              <w:rPr>
                <w:rFonts w:hint="eastAsia" w:ascii="仿宋" w:hAnsi="仿宋" w:eastAsia="仿宋" w:cs="仿宋"/>
                <w:color w:val="auto"/>
                <w:szCs w:val="21"/>
                <w:highlight w:val="none"/>
              </w:rPr>
            </w:pPr>
          </w:p>
        </w:tc>
        <w:tc>
          <w:tcPr>
            <w:tcW w:w="582" w:type="pct"/>
            <w:noWrap w:val="0"/>
            <w:vAlign w:val="center"/>
          </w:tcPr>
          <w:p w14:paraId="7B33C41D">
            <w:pPr>
              <w:spacing w:line="380" w:lineRule="exact"/>
              <w:jc w:val="center"/>
              <w:rPr>
                <w:rFonts w:hint="eastAsia" w:ascii="仿宋" w:hAnsi="仿宋" w:eastAsia="仿宋" w:cs="仿宋"/>
                <w:color w:val="auto"/>
                <w:szCs w:val="21"/>
                <w:highlight w:val="none"/>
              </w:rPr>
            </w:pPr>
          </w:p>
        </w:tc>
        <w:tc>
          <w:tcPr>
            <w:tcW w:w="462" w:type="pct"/>
            <w:noWrap w:val="0"/>
            <w:vAlign w:val="center"/>
          </w:tcPr>
          <w:p w14:paraId="2DC5CC97">
            <w:pPr>
              <w:spacing w:line="380" w:lineRule="exact"/>
              <w:jc w:val="center"/>
              <w:rPr>
                <w:rFonts w:hint="eastAsia" w:ascii="仿宋" w:hAnsi="仿宋" w:eastAsia="仿宋" w:cs="仿宋"/>
                <w:color w:val="auto"/>
                <w:szCs w:val="21"/>
                <w:highlight w:val="none"/>
              </w:rPr>
            </w:pPr>
          </w:p>
        </w:tc>
        <w:tc>
          <w:tcPr>
            <w:tcW w:w="579" w:type="pct"/>
            <w:noWrap w:val="0"/>
            <w:vAlign w:val="center"/>
          </w:tcPr>
          <w:p w14:paraId="6A5F74C2">
            <w:pPr>
              <w:spacing w:line="380" w:lineRule="exact"/>
              <w:jc w:val="center"/>
              <w:rPr>
                <w:rFonts w:hint="eastAsia" w:ascii="仿宋" w:hAnsi="仿宋" w:eastAsia="仿宋" w:cs="仿宋"/>
                <w:color w:val="auto"/>
                <w:szCs w:val="21"/>
                <w:highlight w:val="none"/>
              </w:rPr>
            </w:pPr>
          </w:p>
        </w:tc>
        <w:tc>
          <w:tcPr>
            <w:tcW w:w="768" w:type="pct"/>
            <w:noWrap w:val="0"/>
            <w:vAlign w:val="center"/>
          </w:tcPr>
          <w:p w14:paraId="5824D859">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2284C517">
            <w:pPr>
              <w:spacing w:line="380" w:lineRule="exact"/>
              <w:jc w:val="center"/>
              <w:rPr>
                <w:rFonts w:hint="eastAsia" w:ascii="仿宋" w:hAnsi="仿宋" w:eastAsia="仿宋" w:cs="仿宋"/>
                <w:color w:val="auto"/>
                <w:szCs w:val="21"/>
                <w:highlight w:val="none"/>
              </w:rPr>
            </w:pPr>
          </w:p>
        </w:tc>
      </w:tr>
      <w:tr w14:paraId="54B4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16F535C9">
            <w:pPr>
              <w:spacing w:line="380" w:lineRule="exact"/>
              <w:jc w:val="center"/>
              <w:rPr>
                <w:rFonts w:hint="eastAsia" w:ascii="仿宋" w:hAnsi="仿宋" w:eastAsia="仿宋" w:cs="仿宋"/>
                <w:color w:val="auto"/>
                <w:szCs w:val="21"/>
                <w:highlight w:val="none"/>
              </w:rPr>
            </w:pPr>
          </w:p>
        </w:tc>
        <w:tc>
          <w:tcPr>
            <w:tcW w:w="1610" w:type="pct"/>
            <w:noWrap w:val="0"/>
            <w:vAlign w:val="center"/>
          </w:tcPr>
          <w:p w14:paraId="18166055">
            <w:pPr>
              <w:spacing w:line="380" w:lineRule="exact"/>
              <w:jc w:val="center"/>
              <w:rPr>
                <w:rFonts w:hint="eastAsia" w:ascii="仿宋" w:hAnsi="仿宋" w:eastAsia="仿宋" w:cs="仿宋"/>
                <w:color w:val="auto"/>
                <w:szCs w:val="21"/>
                <w:highlight w:val="none"/>
              </w:rPr>
            </w:pPr>
          </w:p>
        </w:tc>
        <w:tc>
          <w:tcPr>
            <w:tcW w:w="582" w:type="pct"/>
            <w:noWrap w:val="0"/>
            <w:vAlign w:val="center"/>
          </w:tcPr>
          <w:p w14:paraId="52CB9667">
            <w:pPr>
              <w:spacing w:line="380" w:lineRule="exact"/>
              <w:jc w:val="center"/>
              <w:rPr>
                <w:rFonts w:hint="eastAsia" w:ascii="仿宋" w:hAnsi="仿宋" w:eastAsia="仿宋" w:cs="仿宋"/>
                <w:color w:val="auto"/>
                <w:szCs w:val="21"/>
                <w:highlight w:val="none"/>
              </w:rPr>
            </w:pPr>
          </w:p>
        </w:tc>
        <w:tc>
          <w:tcPr>
            <w:tcW w:w="462" w:type="pct"/>
            <w:noWrap w:val="0"/>
            <w:vAlign w:val="center"/>
          </w:tcPr>
          <w:p w14:paraId="04B0C647">
            <w:pPr>
              <w:spacing w:line="380" w:lineRule="exact"/>
              <w:jc w:val="center"/>
              <w:rPr>
                <w:rFonts w:hint="eastAsia" w:ascii="仿宋" w:hAnsi="仿宋" w:eastAsia="仿宋" w:cs="仿宋"/>
                <w:color w:val="auto"/>
                <w:szCs w:val="21"/>
                <w:highlight w:val="none"/>
              </w:rPr>
            </w:pPr>
          </w:p>
        </w:tc>
        <w:tc>
          <w:tcPr>
            <w:tcW w:w="579" w:type="pct"/>
            <w:noWrap w:val="0"/>
            <w:vAlign w:val="center"/>
          </w:tcPr>
          <w:p w14:paraId="698CBCC2">
            <w:pPr>
              <w:spacing w:line="380" w:lineRule="exact"/>
              <w:jc w:val="center"/>
              <w:rPr>
                <w:rFonts w:hint="eastAsia" w:ascii="仿宋" w:hAnsi="仿宋" w:eastAsia="仿宋" w:cs="仿宋"/>
                <w:color w:val="auto"/>
                <w:szCs w:val="21"/>
                <w:highlight w:val="none"/>
              </w:rPr>
            </w:pPr>
          </w:p>
        </w:tc>
        <w:tc>
          <w:tcPr>
            <w:tcW w:w="768" w:type="pct"/>
            <w:noWrap w:val="0"/>
            <w:vAlign w:val="center"/>
          </w:tcPr>
          <w:p w14:paraId="70358DAC">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35BC8CE6">
            <w:pPr>
              <w:spacing w:line="380" w:lineRule="exact"/>
              <w:jc w:val="center"/>
              <w:rPr>
                <w:rFonts w:hint="eastAsia" w:ascii="仿宋" w:hAnsi="仿宋" w:eastAsia="仿宋" w:cs="仿宋"/>
                <w:color w:val="auto"/>
                <w:szCs w:val="21"/>
                <w:highlight w:val="none"/>
              </w:rPr>
            </w:pPr>
          </w:p>
        </w:tc>
      </w:tr>
      <w:tr w14:paraId="0B9C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58C8068E">
            <w:pPr>
              <w:spacing w:line="380" w:lineRule="exact"/>
              <w:jc w:val="center"/>
              <w:rPr>
                <w:rFonts w:hint="eastAsia" w:ascii="仿宋" w:hAnsi="仿宋" w:eastAsia="仿宋" w:cs="仿宋"/>
                <w:color w:val="auto"/>
                <w:szCs w:val="21"/>
                <w:highlight w:val="none"/>
              </w:rPr>
            </w:pPr>
          </w:p>
        </w:tc>
        <w:tc>
          <w:tcPr>
            <w:tcW w:w="1610" w:type="pct"/>
            <w:noWrap w:val="0"/>
            <w:vAlign w:val="center"/>
          </w:tcPr>
          <w:p w14:paraId="079688F6">
            <w:pPr>
              <w:spacing w:line="380" w:lineRule="exact"/>
              <w:jc w:val="center"/>
              <w:rPr>
                <w:rFonts w:hint="eastAsia" w:ascii="仿宋" w:hAnsi="仿宋" w:eastAsia="仿宋" w:cs="仿宋"/>
                <w:color w:val="auto"/>
                <w:szCs w:val="21"/>
                <w:highlight w:val="none"/>
              </w:rPr>
            </w:pPr>
          </w:p>
        </w:tc>
        <w:tc>
          <w:tcPr>
            <w:tcW w:w="582" w:type="pct"/>
            <w:noWrap w:val="0"/>
            <w:vAlign w:val="center"/>
          </w:tcPr>
          <w:p w14:paraId="0F65725B">
            <w:pPr>
              <w:spacing w:line="380" w:lineRule="exact"/>
              <w:jc w:val="center"/>
              <w:rPr>
                <w:rFonts w:hint="eastAsia" w:ascii="仿宋" w:hAnsi="仿宋" w:eastAsia="仿宋" w:cs="仿宋"/>
                <w:color w:val="auto"/>
                <w:szCs w:val="21"/>
                <w:highlight w:val="none"/>
              </w:rPr>
            </w:pPr>
          </w:p>
        </w:tc>
        <w:tc>
          <w:tcPr>
            <w:tcW w:w="462" w:type="pct"/>
            <w:noWrap w:val="0"/>
            <w:vAlign w:val="center"/>
          </w:tcPr>
          <w:p w14:paraId="7FF62340">
            <w:pPr>
              <w:spacing w:line="380" w:lineRule="exact"/>
              <w:jc w:val="center"/>
              <w:rPr>
                <w:rFonts w:hint="eastAsia" w:ascii="仿宋" w:hAnsi="仿宋" w:eastAsia="仿宋" w:cs="仿宋"/>
                <w:color w:val="auto"/>
                <w:szCs w:val="21"/>
                <w:highlight w:val="none"/>
              </w:rPr>
            </w:pPr>
          </w:p>
        </w:tc>
        <w:tc>
          <w:tcPr>
            <w:tcW w:w="579" w:type="pct"/>
            <w:noWrap w:val="0"/>
            <w:vAlign w:val="center"/>
          </w:tcPr>
          <w:p w14:paraId="13615C35">
            <w:pPr>
              <w:spacing w:line="380" w:lineRule="exact"/>
              <w:jc w:val="center"/>
              <w:rPr>
                <w:rFonts w:hint="eastAsia" w:ascii="仿宋" w:hAnsi="仿宋" w:eastAsia="仿宋" w:cs="仿宋"/>
                <w:color w:val="auto"/>
                <w:szCs w:val="21"/>
                <w:highlight w:val="none"/>
              </w:rPr>
            </w:pPr>
          </w:p>
        </w:tc>
        <w:tc>
          <w:tcPr>
            <w:tcW w:w="768" w:type="pct"/>
            <w:noWrap w:val="0"/>
            <w:vAlign w:val="center"/>
          </w:tcPr>
          <w:p w14:paraId="42EBEDA5">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664EFCE4">
            <w:pPr>
              <w:spacing w:line="380" w:lineRule="exact"/>
              <w:jc w:val="center"/>
              <w:rPr>
                <w:rFonts w:hint="eastAsia" w:ascii="仿宋" w:hAnsi="仿宋" w:eastAsia="仿宋" w:cs="仿宋"/>
                <w:color w:val="auto"/>
                <w:szCs w:val="21"/>
                <w:highlight w:val="none"/>
              </w:rPr>
            </w:pPr>
          </w:p>
        </w:tc>
      </w:tr>
      <w:tr w14:paraId="6351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438D01B0">
            <w:pPr>
              <w:spacing w:line="380" w:lineRule="exact"/>
              <w:jc w:val="center"/>
              <w:rPr>
                <w:rFonts w:hint="eastAsia" w:ascii="仿宋" w:hAnsi="仿宋" w:eastAsia="仿宋" w:cs="仿宋"/>
                <w:color w:val="auto"/>
                <w:szCs w:val="21"/>
                <w:highlight w:val="none"/>
              </w:rPr>
            </w:pPr>
          </w:p>
        </w:tc>
        <w:tc>
          <w:tcPr>
            <w:tcW w:w="1610" w:type="pct"/>
            <w:noWrap w:val="0"/>
            <w:vAlign w:val="center"/>
          </w:tcPr>
          <w:p w14:paraId="7672B13C">
            <w:pPr>
              <w:spacing w:line="380" w:lineRule="exact"/>
              <w:jc w:val="center"/>
              <w:rPr>
                <w:rFonts w:hint="eastAsia" w:ascii="仿宋" w:hAnsi="仿宋" w:eastAsia="仿宋" w:cs="仿宋"/>
                <w:color w:val="auto"/>
                <w:szCs w:val="21"/>
                <w:highlight w:val="none"/>
              </w:rPr>
            </w:pPr>
          </w:p>
        </w:tc>
        <w:tc>
          <w:tcPr>
            <w:tcW w:w="582" w:type="pct"/>
            <w:noWrap w:val="0"/>
            <w:vAlign w:val="center"/>
          </w:tcPr>
          <w:p w14:paraId="1B2F9546">
            <w:pPr>
              <w:spacing w:line="380" w:lineRule="exact"/>
              <w:jc w:val="center"/>
              <w:rPr>
                <w:rFonts w:hint="eastAsia" w:ascii="仿宋" w:hAnsi="仿宋" w:eastAsia="仿宋" w:cs="仿宋"/>
                <w:color w:val="auto"/>
                <w:szCs w:val="21"/>
                <w:highlight w:val="none"/>
              </w:rPr>
            </w:pPr>
          </w:p>
        </w:tc>
        <w:tc>
          <w:tcPr>
            <w:tcW w:w="462" w:type="pct"/>
            <w:noWrap w:val="0"/>
            <w:vAlign w:val="center"/>
          </w:tcPr>
          <w:p w14:paraId="529D57F9">
            <w:pPr>
              <w:spacing w:line="380" w:lineRule="exact"/>
              <w:jc w:val="center"/>
              <w:rPr>
                <w:rFonts w:hint="eastAsia" w:ascii="仿宋" w:hAnsi="仿宋" w:eastAsia="仿宋" w:cs="仿宋"/>
                <w:color w:val="auto"/>
                <w:szCs w:val="21"/>
                <w:highlight w:val="none"/>
              </w:rPr>
            </w:pPr>
          </w:p>
        </w:tc>
        <w:tc>
          <w:tcPr>
            <w:tcW w:w="579" w:type="pct"/>
            <w:noWrap w:val="0"/>
            <w:vAlign w:val="center"/>
          </w:tcPr>
          <w:p w14:paraId="30D39B51">
            <w:pPr>
              <w:spacing w:line="380" w:lineRule="exact"/>
              <w:jc w:val="center"/>
              <w:rPr>
                <w:rFonts w:hint="eastAsia" w:ascii="仿宋" w:hAnsi="仿宋" w:eastAsia="仿宋" w:cs="仿宋"/>
                <w:color w:val="auto"/>
                <w:szCs w:val="21"/>
                <w:highlight w:val="none"/>
              </w:rPr>
            </w:pPr>
          </w:p>
        </w:tc>
        <w:tc>
          <w:tcPr>
            <w:tcW w:w="768" w:type="pct"/>
            <w:noWrap w:val="0"/>
            <w:vAlign w:val="center"/>
          </w:tcPr>
          <w:p w14:paraId="12114319">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35FA9408">
            <w:pPr>
              <w:spacing w:line="380" w:lineRule="exact"/>
              <w:jc w:val="center"/>
              <w:rPr>
                <w:rFonts w:hint="eastAsia" w:ascii="仿宋" w:hAnsi="仿宋" w:eastAsia="仿宋" w:cs="仿宋"/>
                <w:color w:val="auto"/>
                <w:szCs w:val="21"/>
                <w:highlight w:val="none"/>
              </w:rPr>
            </w:pPr>
          </w:p>
        </w:tc>
      </w:tr>
      <w:tr w14:paraId="2132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2858D23D">
            <w:pPr>
              <w:spacing w:line="380" w:lineRule="exact"/>
              <w:jc w:val="center"/>
              <w:rPr>
                <w:rFonts w:hint="eastAsia" w:ascii="仿宋" w:hAnsi="仿宋" w:eastAsia="仿宋" w:cs="仿宋"/>
                <w:color w:val="auto"/>
                <w:szCs w:val="21"/>
                <w:highlight w:val="none"/>
              </w:rPr>
            </w:pPr>
          </w:p>
        </w:tc>
        <w:tc>
          <w:tcPr>
            <w:tcW w:w="1610" w:type="pct"/>
            <w:noWrap w:val="0"/>
            <w:vAlign w:val="center"/>
          </w:tcPr>
          <w:p w14:paraId="31763C54">
            <w:pPr>
              <w:spacing w:line="380" w:lineRule="exact"/>
              <w:jc w:val="center"/>
              <w:rPr>
                <w:rFonts w:hint="eastAsia" w:ascii="仿宋" w:hAnsi="仿宋" w:eastAsia="仿宋" w:cs="仿宋"/>
                <w:color w:val="auto"/>
                <w:szCs w:val="21"/>
                <w:highlight w:val="none"/>
              </w:rPr>
            </w:pPr>
          </w:p>
        </w:tc>
        <w:tc>
          <w:tcPr>
            <w:tcW w:w="582" w:type="pct"/>
            <w:noWrap w:val="0"/>
            <w:vAlign w:val="center"/>
          </w:tcPr>
          <w:p w14:paraId="318E260E">
            <w:pPr>
              <w:spacing w:line="380" w:lineRule="exact"/>
              <w:jc w:val="center"/>
              <w:rPr>
                <w:rFonts w:hint="eastAsia" w:ascii="仿宋" w:hAnsi="仿宋" w:eastAsia="仿宋" w:cs="仿宋"/>
                <w:color w:val="auto"/>
                <w:szCs w:val="21"/>
                <w:highlight w:val="none"/>
              </w:rPr>
            </w:pPr>
          </w:p>
        </w:tc>
        <w:tc>
          <w:tcPr>
            <w:tcW w:w="462" w:type="pct"/>
            <w:noWrap w:val="0"/>
            <w:vAlign w:val="center"/>
          </w:tcPr>
          <w:p w14:paraId="60FF8C6C">
            <w:pPr>
              <w:spacing w:line="380" w:lineRule="exact"/>
              <w:jc w:val="center"/>
              <w:rPr>
                <w:rFonts w:hint="eastAsia" w:ascii="仿宋" w:hAnsi="仿宋" w:eastAsia="仿宋" w:cs="仿宋"/>
                <w:color w:val="auto"/>
                <w:szCs w:val="21"/>
                <w:highlight w:val="none"/>
              </w:rPr>
            </w:pPr>
          </w:p>
        </w:tc>
        <w:tc>
          <w:tcPr>
            <w:tcW w:w="579" w:type="pct"/>
            <w:noWrap w:val="0"/>
            <w:vAlign w:val="center"/>
          </w:tcPr>
          <w:p w14:paraId="3B21AAB2">
            <w:pPr>
              <w:spacing w:line="380" w:lineRule="exact"/>
              <w:jc w:val="center"/>
              <w:rPr>
                <w:rFonts w:hint="eastAsia" w:ascii="仿宋" w:hAnsi="仿宋" w:eastAsia="仿宋" w:cs="仿宋"/>
                <w:color w:val="auto"/>
                <w:szCs w:val="21"/>
                <w:highlight w:val="none"/>
              </w:rPr>
            </w:pPr>
          </w:p>
        </w:tc>
        <w:tc>
          <w:tcPr>
            <w:tcW w:w="768" w:type="pct"/>
            <w:noWrap w:val="0"/>
            <w:vAlign w:val="center"/>
          </w:tcPr>
          <w:p w14:paraId="6D5B6CB8">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08005C6D">
            <w:pPr>
              <w:spacing w:line="380" w:lineRule="exact"/>
              <w:jc w:val="center"/>
              <w:rPr>
                <w:rFonts w:hint="eastAsia" w:ascii="仿宋" w:hAnsi="仿宋" w:eastAsia="仿宋" w:cs="仿宋"/>
                <w:color w:val="auto"/>
                <w:szCs w:val="21"/>
                <w:highlight w:val="none"/>
              </w:rPr>
            </w:pPr>
          </w:p>
        </w:tc>
      </w:tr>
      <w:tr w14:paraId="681C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23A459FF">
            <w:pPr>
              <w:spacing w:line="380" w:lineRule="exact"/>
              <w:jc w:val="center"/>
              <w:rPr>
                <w:rFonts w:hint="eastAsia" w:ascii="仿宋" w:hAnsi="仿宋" w:eastAsia="仿宋" w:cs="仿宋"/>
                <w:color w:val="auto"/>
                <w:szCs w:val="21"/>
                <w:highlight w:val="none"/>
              </w:rPr>
            </w:pPr>
          </w:p>
        </w:tc>
        <w:tc>
          <w:tcPr>
            <w:tcW w:w="1610" w:type="pct"/>
            <w:noWrap w:val="0"/>
            <w:vAlign w:val="center"/>
          </w:tcPr>
          <w:p w14:paraId="1385978C">
            <w:pPr>
              <w:spacing w:line="380" w:lineRule="exact"/>
              <w:jc w:val="center"/>
              <w:rPr>
                <w:rFonts w:hint="eastAsia" w:ascii="仿宋" w:hAnsi="仿宋" w:eastAsia="仿宋" w:cs="仿宋"/>
                <w:color w:val="auto"/>
                <w:szCs w:val="21"/>
                <w:highlight w:val="none"/>
              </w:rPr>
            </w:pPr>
          </w:p>
        </w:tc>
        <w:tc>
          <w:tcPr>
            <w:tcW w:w="582" w:type="pct"/>
            <w:noWrap w:val="0"/>
            <w:vAlign w:val="center"/>
          </w:tcPr>
          <w:p w14:paraId="76CEC473">
            <w:pPr>
              <w:spacing w:line="380" w:lineRule="exact"/>
              <w:jc w:val="center"/>
              <w:rPr>
                <w:rFonts w:hint="eastAsia" w:ascii="仿宋" w:hAnsi="仿宋" w:eastAsia="仿宋" w:cs="仿宋"/>
                <w:color w:val="auto"/>
                <w:szCs w:val="21"/>
                <w:highlight w:val="none"/>
              </w:rPr>
            </w:pPr>
          </w:p>
        </w:tc>
        <w:tc>
          <w:tcPr>
            <w:tcW w:w="462" w:type="pct"/>
            <w:noWrap w:val="0"/>
            <w:vAlign w:val="center"/>
          </w:tcPr>
          <w:p w14:paraId="2EAA0CF2">
            <w:pPr>
              <w:spacing w:line="380" w:lineRule="exact"/>
              <w:jc w:val="center"/>
              <w:rPr>
                <w:rFonts w:hint="eastAsia" w:ascii="仿宋" w:hAnsi="仿宋" w:eastAsia="仿宋" w:cs="仿宋"/>
                <w:color w:val="auto"/>
                <w:szCs w:val="21"/>
                <w:highlight w:val="none"/>
              </w:rPr>
            </w:pPr>
          </w:p>
        </w:tc>
        <w:tc>
          <w:tcPr>
            <w:tcW w:w="579" w:type="pct"/>
            <w:noWrap w:val="0"/>
            <w:vAlign w:val="center"/>
          </w:tcPr>
          <w:p w14:paraId="2BA600FC">
            <w:pPr>
              <w:spacing w:line="380" w:lineRule="exact"/>
              <w:jc w:val="center"/>
              <w:rPr>
                <w:rFonts w:hint="eastAsia" w:ascii="仿宋" w:hAnsi="仿宋" w:eastAsia="仿宋" w:cs="仿宋"/>
                <w:color w:val="auto"/>
                <w:szCs w:val="21"/>
                <w:highlight w:val="none"/>
              </w:rPr>
            </w:pPr>
          </w:p>
        </w:tc>
        <w:tc>
          <w:tcPr>
            <w:tcW w:w="768" w:type="pct"/>
            <w:noWrap w:val="0"/>
            <w:vAlign w:val="center"/>
          </w:tcPr>
          <w:p w14:paraId="443DF083">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1DB27E8F">
            <w:pPr>
              <w:spacing w:line="380" w:lineRule="exact"/>
              <w:jc w:val="center"/>
              <w:rPr>
                <w:rFonts w:hint="eastAsia" w:ascii="仿宋" w:hAnsi="仿宋" w:eastAsia="仿宋" w:cs="仿宋"/>
                <w:color w:val="auto"/>
                <w:szCs w:val="21"/>
                <w:highlight w:val="none"/>
              </w:rPr>
            </w:pPr>
          </w:p>
        </w:tc>
      </w:tr>
      <w:tr w14:paraId="07B2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3BA66F67">
            <w:pPr>
              <w:spacing w:line="380" w:lineRule="exact"/>
              <w:jc w:val="center"/>
              <w:rPr>
                <w:rFonts w:hint="eastAsia" w:ascii="仿宋" w:hAnsi="仿宋" w:eastAsia="仿宋" w:cs="仿宋"/>
                <w:color w:val="auto"/>
                <w:szCs w:val="21"/>
                <w:highlight w:val="none"/>
              </w:rPr>
            </w:pPr>
          </w:p>
        </w:tc>
        <w:tc>
          <w:tcPr>
            <w:tcW w:w="1610" w:type="pct"/>
            <w:noWrap w:val="0"/>
            <w:vAlign w:val="center"/>
          </w:tcPr>
          <w:p w14:paraId="6257C629">
            <w:pPr>
              <w:spacing w:line="380" w:lineRule="exact"/>
              <w:jc w:val="center"/>
              <w:rPr>
                <w:rFonts w:hint="eastAsia" w:ascii="仿宋" w:hAnsi="仿宋" w:eastAsia="仿宋" w:cs="仿宋"/>
                <w:color w:val="auto"/>
                <w:szCs w:val="21"/>
                <w:highlight w:val="none"/>
              </w:rPr>
            </w:pPr>
          </w:p>
        </w:tc>
        <w:tc>
          <w:tcPr>
            <w:tcW w:w="582" w:type="pct"/>
            <w:noWrap w:val="0"/>
            <w:vAlign w:val="center"/>
          </w:tcPr>
          <w:p w14:paraId="3E2D41D3">
            <w:pPr>
              <w:spacing w:line="380" w:lineRule="exact"/>
              <w:jc w:val="center"/>
              <w:rPr>
                <w:rFonts w:hint="eastAsia" w:ascii="仿宋" w:hAnsi="仿宋" w:eastAsia="仿宋" w:cs="仿宋"/>
                <w:color w:val="auto"/>
                <w:szCs w:val="21"/>
                <w:highlight w:val="none"/>
              </w:rPr>
            </w:pPr>
          </w:p>
        </w:tc>
        <w:tc>
          <w:tcPr>
            <w:tcW w:w="462" w:type="pct"/>
            <w:noWrap w:val="0"/>
            <w:vAlign w:val="center"/>
          </w:tcPr>
          <w:p w14:paraId="2A1D681C">
            <w:pPr>
              <w:spacing w:line="380" w:lineRule="exact"/>
              <w:jc w:val="center"/>
              <w:rPr>
                <w:rFonts w:hint="eastAsia" w:ascii="仿宋" w:hAnsi="仿宋" w:eastAsia="仿宋" w:cs="仿宋"/>
                <w:color w:val="auto"/>
                <w:szCs w:val="21"/>
                <w:highlight w:val="none"/>
              </w:rPr>
            </w:pPr>
          </w:p>
        </w:tc>
        <w:tc>
          <w:tcPr>
            <w:tcW w:w="579" w:type="pct"/>
            <w:noWrap w:val="0"/>
            <w:vAlign w:val="center"/>
          </w:tcPr>
          <w:p w14:paraId="51B65A14">
            <w:pPr>
              <w:spacing w:line="380" w:lineRule="exact"/>
              <w:jc w:val="center"/>
              <w:rPr>
                <w:rFonts w:hint="eastAsia" w:ascii="仿宋" w:hAnsi="仿宋" w:eastAsia="仿宋" w:cs="仿宋"/>
                <w:color w:val="auto"/>
                <w:szCs w:val="21"/>
                <w:highlight w:val="none"/>
              </w:rPr>
            </w:pPr>
          </w:p>
        </w:tc>
        <w:tc>
          <w:tcPr>
            <w:tcW w:w="768" w:type="pct"/>
            <w:noWrap w:val="0"/>
            <w:vAlign w:val="center"/>
          </w:tcPr>
          <w:p w14:paraId="0B8C1D38">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22794706">
            <w:pPr>
              <w:spacing w:line="380" w:lineRule="exact"/>
              <w:jc w:val="center"/>
              <w:rPr>
                <w:rFonts w:hint="eastAsia" w:ascii="仿宋" w:hAnsi="仿宋" w:eastAsia="仿宋" w:cs="仿宋"/>
                <w:color w:val="auto"/>
                <w:szCs w:val="21"/>
                <w:highlight w:val="none"/>
              </w:rPr>
            </w:pPr>
          </w:p>
        </w:tc>
      </w:tr>
      <w:tr w14:paraId="5C88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67BBC7B0">
            <w:pPr>
              <w:spacing w:line="380" w:lineRule="exact"/>
              <w:jc w:val="center"/>
              <w:rPr>
                <w:rFonts w:hint="eastAsia" w:ascii="仿宋" w:hAnsi="仿宋" w:eastAsia="仿宋" w:cs="仿宋"/>
                <w:color w:val="auto"/>
                <w:szCs w:val="21"/>
                <w:highlight w:val="none"/>
              </w:rPr>
            </w:pPr>
          </w:p>
        </w:tc>
        <w:tc>
          <w:tcPr>
            <w:tcW w:w="1610" w:type="pct"/>
            <w:noWrap w:val="0"/>
            <w:vAlign w:val="center"/>
          </w:tcPr>
          <w:p w14:paraId="0AEB8CE6">
            <w:pPr>
              <w:spacing w:line="380" w:lineRule="exact"/>
              <w:jc w:val="center"/>
              <w:rPr>
                <w:rFonts w:hint="eastAsia" w:ascii="仿宋" w:hAnsi="仿宋" w:eastAsia="仿宋" w:cs="仿宋"/>
                <w:color w:val="auto"/>
                <w:szCs w:val="21"/>
                <w:highlight w:val="none"/>
              </w:rPr>
            </w:pPr>
          </w:p>
        </w:tc>
        <w:tc>
          <w:tcPr>
            <w:tcW w:w="582" w:type="pct"/>
            <w:noWrap w:val="0"/>
            <w:vAlign w:val="center"/>
          </w:tcPr>
          <w:p w14:paraId="12A873A0">
            <w:pPr>
              <w:spacing w:line="380" w:lineRule="exact"/>
              <w:jc w:val="center"/>
              <w:rPr>
                <w:rFonts w:hint="eastAsia" w:ascii="仿宋" w:hAnsi="仿宋" w:eastAsia="仿宋" w:cs="仿宋"/>
                <w:color w:val="auto"/>
                <w:szCs w:val="21"/>
                <w:highlight w:val="none"/>
              </w:rPr>
            </w:pPr>
          </w:p>
        </w:tc>
        <w:tc>
          <w:tcPr>
            <w:tcW w:w="462" w:type="pct"/>
            <w:noWrap w:val="0"/>
            <w:vAlign w:val="center"/>
          </w:tcPr>
          <w:p w14:paraId="2D78D219">
            <w:pPr>
              <w:spacing w:line="380" w:lineRule="exact"/>
              <w:jc w:val="center"/>
              <w:rPr>
                <w:rFonts w:hint="eastAsia" w:ascii="仿宋" w:hAnsi="仿宋" w:eastAsia="仿宋" w:cs="仿宋"/>
                <w:color w:val="auto"/>
                <w:szCs w:val="21"/>
                <w:highlight w:val="none"/>
              </w:rPr>
            </w:pPr>
          </w:p>
        </w:tc>
        <w:tc>
          <w:tcPr>
            <w:tcW w:w="579" w:type="pct"/>
            <w:noWrap w:val="0"/>
            <w:vAlign w:val="center"/>
          </w:tcPr>
          <w:p w14:paraId="0A0343FE">
            <w:pPr>
              <w:spacing w:line="380" w:lineRule="exact"/>
              <w:jc w:val="center"/>
              <w:rPr>
                <w:rFonts w:hint="eastAsia" w:ascii="仿宋" w:hAnsi="仿宋" w:eastAsia="仿宋" w:cs="仿宋"/>
                <w:color w:val="auto"/>
                <w:szCs w:val="21"/>
                <w:highlight w:val="none"/>
              </w:rPr>
            </w:pPr>
          </w:p>
        </w:tc>
        <w:tc>
          <w:tcPr>
            <w:tcW w:w="768" w:type="pct"/>
            <w:noWrap w:val="0"/>
            <w:vAlign w:val="center"/>
          </w:tcPr>
          <w:p w14:paraId="5068ED7A">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6954512C">
            <w:pPr>
              <w:spacing w:line="380" w:lineRule="exact"/>
              <w:jc w:val="center"/>
              <w:rPr>
                <w:rFonts w:hint="eastAsia" w:ascii="仿宋" w:hAnsi="仿宋" w:eastAsia="仿宋" w:cs="仿宋"/>
                <w:color w:val="auto"/>
                <w:szCs w:val="21"/>
                <w:highlight w:val="none"/>
              </w:rPr>
            </w:pPr>
          </w:p>
        </w:tc>
      </w:tr>
      <w:tr w14:paraId="6A06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1" w:type="pct"/>
            <w:noWrap w:val="0"/>
            <w:vAlign w:val="center"/>
          </w:tcPr>
          <w:p w14:paraId="41B1E01B">
            <w:pPr>
              <w:spacing w:line="380" w:lineRule="exact"/>
              <w:jc w:val="center"/>
              <w:rPr>
                <w:rFonts w:hint="eastAsia" w:ascii="仿宋" w:hAnsi="仿宋" w:eastAsia="仿宋" w:cs="仿宋"/>
                <w:color w:val="auto"/>
                <w:szCs w:val="21"/>
                <w:highlight w:val="none"/>
              </w:rPr>
            </w:pPr>
          </w:p>
        </w:tc>
        <w:tc>
          <w:tcPr>
            <w:tcW w:w="1610" w:type="pct"/>
            <w:noWrap w:val="0"/>
            <w:vAlign w:val="center"/>
          </w:tcPr>
          <w:p w14:paraId="38BE3BAC">
            <w:pPr>
              <w:spacing w:line="380" w:lineRule="exact"/>
              <w:jc w:val="center"/>
              <w:rPr>
                <w:rFonts w:hint="eastAsia" w:ascii="仿宋" w:hAnsi="仿宋" w:eastAsia="仿宋" w:cs="仿宋"/>
                <w:color w:val="auto"/>
                <w:szCs w:val="21"/>
                <w:highlight w:val="none"/>
              </w:rPr>
            </w:pPr>
          </w:p>
        </w:tc>
        <w:tc>
          <w:tcPr>
            <w:tcW w:w="582" w:type="pct"/>
            <w:noWrap w:val="0"/>
            <w:vAlign w:val="center"/>
          </w:tcPr>
          <w:p w14:paraId="064C5E64">
            <w:pPr>
              <w:spacing w:line="380" w:lineRule="exact"/>
              <w:jc w:val="center"/>
              <w:rPr>
                <w:rFonts w:hint="eastAsia" w:ascii="仿宋" w:hAnsi="仿宋" w:eastAsia="仿宋" w:cs="仿宋"/>
                <w:color w:val="auto"/>
                <w:szCs w:val="21"/>
                <w:highlight w:val="none"/>
              </w:rPr>
            </w:pPr>
          </w:p>
        </w:tc>
        <w:tc>
          <w:tcPr>
            <w:tcW w:w="462" w:type="pct"/>
            <w:noWrap w:val="0"/>
            <w:vAlign w:val="center"/>
          </w:tcPr>
          <w:p w14:paraId="65250481">
            <w:pPr>
              <w:spacing w:line="380" w:lineRule="exact"/>
              <w:jc w:val="center"/>
              <w:rPr>
                <w:rFonts w:hint="eastAsia" w:ascii="仿宋" w:hAnsi="仿宋" w:eastAsia="仿宋" w:cs="仿宋"/>
                <w:color w:val="auto"/>
                <w:szCs w:val="21"/>
                <w:highlight w:val="none"/>
              </w:rPr>
            </w:pPr>
          </w:p>
        </w:tc>
        <w:tc>
          <w:tcPr>
            <w:tcW w:w="579" w:type="pct"/>
            <w:noWrap w:val="0"/>
            <w:vAlign w:val="center"/>
          </w:tcPr>
          <w:p w14:paraId="0648EACA">
            <w:pPr>
              <w:spacing w:line="380" w:lineRule="exact"/>
              <w:jc w:val="center"/>
              <w:rPr>
                <w:rFonts w:hint="eastAsia" w:ascii="仿宋" w:hAnsi="仿宋" w:eastAsia="仿宋" w:cs="仿宋"/>
                <w:color w:val="auto"/>
                <w:szCs w:val="21"/>
                <w:highlight w:val="none"/>
              </w:rPr>
            </w:pPr>
          </w:p>
        </w:tc>
        <w:tc>
          <w:tcPr>
            <w:tcW w:w="768" w:type="pct"/>
            <w:noWrap w:val="0"/>
            <w:vAlign w:val="center"/>
          </w:tcPr>
          <w:p w14:paraId="68F4E665">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18D6AF54">
            <w:pPr>
              <w:spacing w:line="380" w:lineRule="exact"/>
              <w:jc w:val="center"/>
              <w:rPr>
                <w:rFonts w:hint="eastAsia" w:ascii="仿宋" w:hAnsi="仿宋" w:eastAsia="仿宋" w:cs="仿宋"/>
                <w:color w:val="auto"/>
                <w:szCs w:val="21"/>
                <w:highlight w:val="none"/>
              </w:rPr>
            </w:pPr>
          </w:p>
        </w:tc>
      </w:tr>
      <w:tr w14:paraId="40C6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66" w:type="pct"/>
            <w:gridSpan w:val="5"/>
            <w:noWrap w:val="0"/>
            <w:vAlign w:val="center"/>
          </w:tcPr>
          <w:p w14:paraId="167DC43F">
            <w:pPr>
              <w:spacing w:line="380" w:lineRule="exact"/>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eastAsia="zh-CN"/>
              </w:rPr>
              <w:t>响应报价</w:t>
            </w:r>
            <w:r>
              <w:rPr>
                <w:rFonts w:hint="eastAsia" w:ascii="仿宋" w:hAnsi="仿宋" w:eastAsia="仿宋" w:cs="仿宋"/>
                <w:b/>
                <w:bCs/>
                <w:color w:val="auto"/>
                <w:szCs w:val="21"/>
                <w:highlight w:val="none"/>
              </w:rPr>
              <w:t>（元）</w:t>
            </w:r>
          </w:p>
        </w:tc>
        <w:tc>
          <w:tcPr>
            <w:tcW w:w="768" w:type="pct"/>
            <w:noWrap w:val="0"/>
            <w:vAlign w:val="center"/>
          </w:tcPr>
          <w:p w14:paraId="63F469DE">
            <w:pPr>
              <w:spacing w:line="380" w:lineRule="exact"/>
              <w:jc w:val="center"/>
              <w:rPr>
                <w:rFonts w:hint="eastAsia" w:ascii="仿宋" w:hAnsi="仿宋" w:eastAsia="仿宋" w:cs="仿宋"/>
                <w:color w:val="auto"/>
                <w:szCs w:val="21"/>
                <w:highlight w:val="none"/>
              </w:rPr>
            </w:pPr>
          </w:p>
        </w:tc>
        <w:tc>
          <w:tcPr>
            <w:tcW w:w="565" w:type="pct"/>
            <w:noWrap w:val="0"/>
            <w:vAlign w:val="center"/>
          </w:tcPr>
          <w:p w14:paraId="6AB0D829">
            <w:pPr>
              <w:spacing w:line="380" w:lineRule="exact"/>
              <w:jc w:val="center"/>
              <w:rPr>
                <w:rFonts w:hint="eastAsia" w:ascii="仿宋" w:hAnsi="仿宋" w:eastAsia="仿宋" w:cs="仿宋"/>
                <w:color w:val="auto"/>
                <w:szCs w:val="21"/>
                <w:highlight w:val="none"/>
              </w:rPr>
            </w:pPr>
          </w:p>
        </w:tc>
      </w:tr>
    </w:tbl>
    <w:p w14:paraId="04217607">
      <w:pPr>
        <w:pStyle w:val="11"/>
        <w:ind w:firstLine="0"/>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注：此表最终合计金额须与磋商报价表中磋商响应报价金额保持一致。</w:t>
      </w:r>
    </w:p>
    <w:p w14:paraId="0D0813CD">
      <w:pPr>
        <w:pStyle w:val="11"/>
        <w:ind w:firstLine="0"/>
        <w:outlineLvl w:val="9"/>
        <w:rPr>
          <w:rFonts w:hint="eastAsia" w:ascii="仿宋" w:hAnsi="仿宋" w:eastAsia="仿宋" w:cs="仿宋"/>
          <w:color w:val="auto"/>
          <w:sz w:val="21"/>
          <w:szCs w:val="21"/>
          <w:highlight w:val="none"/>
        </w:rPr>
      </w:pPr>
    </w:p>
    <w:p w14:paraId="31A995A3">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供应商（盖章）：</w:t>
      </w:r>
    </w:p>
    <w:p w14:paraId="70F1F6DF">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法定代表人或授权代表（签字</w:t>
      </w:r>
      <w:r>
        <w:rPr>
          <w:rFonts w:hint="eastAsia" w:ascii="仿宋" w:hAnsi="仿宋" w:eastAsia="仿宋" w:cs="仿宋"/>
          <w:color w:val="auto"/>
          <w:sz w:val="21"/>
          <w:szCs w:val="21"/>
          <w:highlight w:val="none"/>
          <w:lang w:val="en-US" w:eastAsia="zh-CN"/>
        </w:rPr>
        <w:t>或盖章</w:t>
      </w:r>
      <w:r>
        <w:rPr>
          <w:rFonts w:hint="eastAsia" w:ascii="仿宋" w:hAnsi="仿宋" w:eastAsia="仿宋" w:cs="仿宋"/>
          <w:color w:val="auto"/>
          <w:sz w:val="21"/>
          <w:szCs w:val="21"/>
          <w:highlight w:val="none"/>
        </w:rPr>
        <w:t>）：</w:t>
      </w:r>
    </w:p>
    <w:p w14:paraId="1B892DFB">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26184BA1">
      <w:pPr>
        <w:pStyle w:val="11"/>
        <w:ind w:firstLine="0"/>
        <w:jc w:val="center"/>
        <w:outlineLvl w:val="9"/>
        <w:rPr>
          <w:rFonts w:ascii="宋体" w:hAnsi="宋体" w:eastAsia="宋体" w:cs="宋体"/>
          <w:b/>
          <w:color w:val="auto"/>
          <w:sz w:val="21"/>
          <w:szCs w:val="21"/>
          <w:highlight w:val="none"/>
        </w:rPr>
      </w:pPr>
    </w:p>
    <w:p w14:paraId="5121FBDA">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3CCE8B27">
      <w:pPr>
        <w:pStyle w:val="11"/>
        <w:ind w:firstLine="0"/>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附件三</w:t>
      </w:r>
    </w:p>
    <w:p w14:paraId="066AC21B">
      <w:pPr>
        <w:pStyle w:val="11"/>
        <w:ind w:firstLine="0"/>
        <w:jc w:val="center"/>
        <w:outlineLvl w:val="9"/>
        <w:rPr>
          <w:rFonts w:hint="eastAsia" w:ascii="仿宋" w:hAnsi="仿宋" w:eastAsia="仿宋" w:cs="仿宋"/>
          <w:b/>
          <w:color w:val="auto"/>
          <w:sz w:val="21"/>
          <w:szCs w:val="21"/>
          <w:highlight w:val="none"/>
        </w:rPr>
      </w:pPr>
      <w:bookmarkStart w:id="168" w:name="_Toc8995_WPSOffice_Level1"/>
    </w:p>
    <w:bookmarkEnd w:id="168"/>
    <w:p w14:paraId="21E0494D">
      <w:pPr>
        <w:pStyle w:val="11"/>
        <w:ind w:left="0" w:leftChars="0" w:firstLine="0" w:firstLineChars="0"/>
        <w:jc w:val="center"/>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有效的企业法人营业执照（或事业法人登记证）、其他组织的营业执照或者民办非企业单位登记证书复印件（复印件加盖公章）</w:t>
      </w:r>
    </w:p>
    <w:p w14:paraId="24AA504D">
      <w:pPr>
        <w:spacing w:line="360" w:lineRule="exact"/>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bookmarkStart w:id="169" w:name="_Toc13449_WPSOffice_Level2"/>
      <w:r>
        <w:rPr>
          <w:rFonts w:hint="eastAsia" w:ascii="仿宋" w:hAnsi="仿宋" w:eastAsia="仿宋" w:cs="仿宋"/>
          <w:b/>
          <w:color w:val="auto"/>
          <w:szCs w:val="21"/>
          <w:highlight w:val="none"/>
        </w:rPr>
        <w:t>附件四-1</w:t>
      </w:r>
      <w:bookmarkEnd w:id="169"/>
    </w:p>
    <w:p w14:paraId="3EE28409">
      <w:pPr>
        <w:jc w:val="center"/>
        <w:outlineLvl w:val="9"/>
        <w:rPr>
          <w:rFonts w:hint="eastAsia" w:ascii="仿宋" w:hAnsi="仿宋" w:eastAsia="仿宋" w:cs="仿宋"/>
          <w:b/>
          <w:bCs/>
          <w:color w:val="auto"/>
          <w:sz w:val="21"/>
          <w:szCs w:val="21"/>
          <w:highlight w:val="none"/>
        </w:rPr>
      </w:pPr>
      <w:bookmarkStart w:id="170" w:name="_Toc543_WPSOffice_Level1"/>
    </w:p>
    <w:p w14:paraId="304FACE1">
      <w:pPr>
        <w:jc w:val="center"/>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Cs w:val="21"/>
          <w:highlight w:val="none"/>
        </w:rPr>
        <w:t>法定代表人身份证明</w:t>
      </w:r>
      <w:bookmarkEnd w:id="170"/>
    </w:p>
    <w:p w14:paraId="67838822">
      <w:pPr>
        <w:spacing w:line="360" w:lineRule="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（适用于法定代表人参加）</w:t>
      </w:r>
    </w:p>
    <w:p w14:paraId="7524547F">
      <w:pPr>
        <w:spacing w:line="360" w:lineRule="auto"/>
        <w:ind w:firstLine="435"/>
        <w:jc w:val="center"/>
        <w:outlineLvl w:val="9"/>
        <w:rPr>
          <w:rFonts w:hint="eastAsia" w:ascii="仿宋" w:hAnsi="仿宋" w:eastAsia="仿宋" w:cs="仿宋"/>
          <w:color w:val="auto"/>
          <w:szCs w:val="21"/>
          <w:highlight w:val="none"/>
        </w:rPr>
      </w:pPr>
    </w:p>
    <w:p w14:paraId="02AF13A4">
      <w:pPr>
        <w:spacing w:line="360" w:lineRule="auto"/>
        <w:ind w:firstLine="435"/>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供应商名称：</w:t>
      </w:r>
    </w:p>
    <w:p w14:paraId="1674E722">
      <w:pPr>
        <w:spacing w:line="360" w:lineRule="auto"/>
        <w:ind w:firstLine="43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单位性质：</w:t>
      </w:r>
    </w:p>
    <w:p w14:paraId="72CF622B">
      <w:pPr>
        <w:spacing w:line="360" w:lineRule="auto"/>
        <w:ind w:firstLine="43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成立时间：年月日</w:t>
      </w:r>
    </w:p>
    <w:p w14:paraId="16ED34FD">
      <w:pPr>
        <w:spacing w:line="360" w:lineRule="auto"/>
        <w:ind w:firstLine="435"/>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经营期限：</w:t>
      </w:r>
    </w:p>
    <w:p w14:paraId="52FD751B">
      <w:pPr>
        <w:spacing w:line="360" w:lineRule="auto"/>
        <w:ind w:firstLine="43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姓名：性别：年龄：职务：</w:t>
      </w:r>
    </w:p>
    <w:p w14:paraId="3AB01A63">
      <w:pPr>
        <w:spacing w:line="360" w:lineRule="auto"/>
        <w:ind w:firstLine="435"/>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系(供应商名称)的法定代表人。</w:t>
      </w:r>
    </w:p>
    <w:p w14:paraId="3AADBF51">
      <w:pPr>
        <w:spacing w:line="360" w:lineRule="auto"/>
        <w:outlineLvl w:val="9"/>
        <w:rPr>
          <w:rFonts w:hint="eastAsia" w:ascii="仿宋" w:hAnsi="仿宋" w:eastAsia="仿宋" w:cs="仿宋"/>
          <w:color w:val="auto"/>
          <w:szCs w:val="21"/>
          <w:highlight w:val="none"/>
        </w:rPr>
      </w:pPr>
    </w:p>
    <w:p w14:paraId="78F45203">
      <w:pPr>
        <w:spacing w:line="360" w:lineRule="auto"/>
        <w:outlineLvl w:val="9"/>
        <w:rPr>
          <w:rFonts w:hint="eastAsia" w:ascii="仿宋" w:hAnsi="仿宋" w:eastAsia="仿宋" w:cs="仿宋"/>
          <w:color w:val="auto"/>
          <w:szCs w:val="21"/>
          <w:highlight w:val="none"/>
        </w:rPr>
      </w:pPr>
    </w:p>
    <w:p w14:paraId="485F79B0">
      <w:pPr>
        <w:spacing w:line="360" w:lineRule="auto"/>
        <w:ind w:firstLine="749" w:firstLineChars="357"/>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特此证明。</w:t>
      </w:r>
    </w:p>
    <w:p w14:paraId="6A597CDC">
      <w:pPr>
        <w:spacing w:line="360" w:lineRule="auto"/>
        <w:outlineLvl w:val="9"/>
        <w:rPr>
          <w:rFonts w:hint="eastAsia" w:ascii="仿宋" w:hAnsi="仿宋" w:eastAsia="仿宋" w:cs="仿宋"/>
          <w:color w:val="auto"/>
          <w:szCs w:val="21"/>
          <w:highlight w:val="none"/>
        </w:rPr>
      </w:pPr>
    </w:p>
    <w:p w14:paraId="1774DE13">
      <w:pPr>
        <w:spacing w:line="360" w:lineRule="auto"/>
        <w:outlineLvl w:val="9"/>
        <w:rPr>
          <w:rFonts w:hint="eastAsia" w:ascii="仿宋" w:hAnsi="仿宋" w:eastAsia="仿宋" w:cs="仿宋"/>
          <w:color w:val="auto"/>
          <w:szCs w:val="21"/>
          <w:highlight w:val="none"/>
        </w:rPr>
      </w:pPr>
    </w:p>
    <w:p w14:paraId="1F1C2F2E">
      <w:pPr>
        <w:spacing w:line="360" w:lineRule="auto"/>
        <w:outlineLvl w:val="9"/>
        <w:rPr>
          <w:rFonts w:hint="eastAsia" w:ascii="仿宋" w:hAnsi="仿宋" w:eastAsia="仿宋" w:cs="仿宋"/>
          <w:color w:val="auto"/>
          <w:szCs w:val="21"/>
          <w:highlight w:val="none"/>
        </w:rPr>
      </w:pPr>
    </w:p>
    <w:p w14:paraId="192D8C55">
      <w:pPr>
        <w:wordWrap w:val="0"/>
        <w:spacing w:line="360" w:lineRule="auto"/>
        <w:ind w:firstLine="435"/>
        <w:jc w:val="righ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供应商： (盖单位章)</w:t>
      </w:r>
    </w:p>
    <w:p w14:paraId="305FEC31">
      <w:pPr>
        <w:wordWrap w:val="0"/>
        <w:spacing w:line="360" w:lineRule="auto"/>
        <w:ind w:firstLine="435"/>
        <w:jc w:val="righ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年月日</w:t>
      </w:r>
    </w:p>
    <w:p w14:paraId="4B370463">
      <w:pPr>
        <w:spacing w:line="360" w:lineRule="auto"/>
        <w:outlineLvl w:val="9"/>
        <w:rPr>
          <w:rFonts w:hint="eastAsia" w:ascii="仿宋" w:hAnsi="仿宋" w:eastAsia="仿宋" w:cs="仿宋"/>
          <w:color w:val="auto"/>
          <w:szCs w:val="21"/>
          <w:highlight w:val="none"/>
        </w:rPr>
      </w:pPr>
    </w:p>
    <w:p w14:paraId="70DCD275">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附身份证复印件</w:t>
      </w:r>
    </w:p>
    <w:tbl>
      <w:tblPr>
        <w:tblStyle w:val="25"/>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8"/>
      </w:tblGrid>
      <w:tr w14:paraId="02D6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trPr>
        <w:tc>
          <w:tcPr>
            <w:tcW w:w="9318" w:type="dxa"/>
          </w:tcPr>
          <w:p w14:paraId="5B55CCF7">
            <w:pPr>
              <w:pStyle w:val="12"/>
              <w:ind w:firstLine="400"/>
              <w:outlineLvl w:val="9"/>
              <w:rPr>
                <w:rFonts w:hint="eastAsia" w:ascii="仿宋" w:hAnsi="仿宋" w:eastAsia="仿宋" w:cs="仿宋"/>
                <w:color w:val="auto"/>
                <w:sz w:val="21"/>
                <w:highlight w:val="none"/>
              </w:rPr>
            </w:pPr>
          </w:p>
        </w:tc>
      </w:tr>
    </w:tbl>
    <w:p w14:paraId="042BF093">
      <w:pPr>
        <w:pStyle w:val="12"/>
        <w:ind w:firstLine="400"/>
        <w:outlineLvl w:val="9"/>
        <w:rPr>
          <w:color w:val="auto"/>
          <w:highlight w:val="none"/>
        </w:rPr>
      </w:pPr>
    </w:p>
    <w:p w14:paraId="5BA889BD">
      <w:pPr>
        <w:spacing w:line="360" w:lineRule="auto"/>
        <w:outlineLvl w:val="9"/>
        <w:rPr>
          <w:rFonts w:ascii="宋体" w:hAnsi="宋体" w:cs="宋体"/>
          <w:color w:val="auto"/>
          <w:szCs w:val="21"/>
          <w:highlight w:val="none"/>
        </w:rPr>
      </w:pPr>
    </w:p>
    <w:p w14:paraId="0BB63F6D">
      <w:pPr>
        <w:spacing w:line="360" w:lineRule="auto"/>
        <w:outlineLvl w:val="9"/>
        <w:rPr>
          <w:rFonts w:hint="eastAsia" w:ascii="仿宋" w:hAnsi="仿宋" w:eastAsia="仿宋" w:cs="仿宋"/>
          <w:color w:val="auto"/>
          <w:szCs w:val="21"/>
          <w:highlight w:val="none"/>
        </w:rPr>
      </w:pPr>
      <w:r>
        <w:rPr>
          <w:rFonts w:hint="eastAsia" w:ascii="宋体" w:hAnsi="宋体" w:cs="宋体"/>
          <w:b/>
          <w:color w:val="auto"/>
          <w:sz w:val="24"/>
          <w:szCs w:val="24"/>
          <w:highlight w:val="none"/>
        </w:rPr>
        <w:br w:type="page"/>
      </w:r>
      <w:bookmarkStart w:id="171" w:name="_Toc23180_WPSOffice_Level1"/>
      <w:r>
        <w:rPr>
          <w:rFonts w:hint="eastAsia" w:ascii="仿宋" w:hAnsi="仿宋" w:eastAsia="仿宋" w:cs="仿宋"/>
          <w:b/>
          <w:color w:val="auto"/>
          <w:szCs w:val="21"/>
          <w:highlight w:val="none"/>
        </w:rPr>
        <w:t>附件四-2</w:t>
      </w:r>
      <w:bookmarkEnd w:id="171"/>
    </w:p>
    <w:p w14:paraId="097E8F9A">
      <w:pPr>
        <w:pStyle w:val="11"/>
        <w:ind w:firstLine="0"/>
        <w:jc w:val="center"/>
        <w:outlineLvl w:val="9"/>
        <w:rPr>
          <w:rFonts w:hint="eastAsia" w:ascii="仿宋" w:hAnsi="仿宋" w:eastAsia="仿宋" w:cs="仿宋"/>
          <w:b/>
          <w:color w:val="auto"/>
          <w:sz w:val="21"/>
          <w:szCs w:val="21"/>
          <w:highlight w:val="none"/>
        </w:rPr>
      </w:pPr>
      <w:bookmarkStart w:id="172" w:name="_Toc7797_WPSOffice_Level1"/>
      <w:bookmarkStart w:id="173" w:name="_Toc12486_WPSOffice_Level1"/>
      <w:bookmarkStart w:id="174" w:name="_Toc13220_WPSOffice_Level2"/>
      <w:bookmarkStart w:id="175" w:name="_Toc19970_WPSOffice_Level1"/>
      <w:r>
        <w:rPr>
          <w:rFonts w:hint="eastAsia" w:ascii="仿宋" w:hAnsi="仿宋" w:eastAsia="仿宋" w:cs="仿宋"/>
          <w:b/>
          <w:color w:val="auto"/>
          <w:sz w:val="21"/>
          <w:szCs w:val="21"/>
          <w:highlight w:val="none"/>
        </w:rPr>
        <w:t>法定代表人授权书</w:t>
      </w:r>
      <w:bookmarkEnd w:id="172"/>
      <w:bookmarkEnd w:id="173"/>
      <w:bookmarkEnd w:id="174"/>
      <w:bookmarkEnd w:id="175"/>
    </w:p>
    <w:p w14:paraId="4B4F13EA">
      <w:pPr>
        <w:spacing w:line="360" w:lineRule="auto"/>
        <w:ind w:firstLine="3360" w:firstLineChars="16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（适用于供应商代表参加）</w:t>
      </w:r>
    </w:p>
    <w:p w14:paraId="21DE4DA7">
      <w:pPr>
        <w:pStyle w:val="11"/>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致 （</w:t>
      </w:r>
      <w:r>
        <w:rPr>
          <w:rFonts w:hint="eastAsia" w:ascii="仿宋" w:hAnsi="仿宋" w:eastAsia="仿宋" w:cs="仿宋"/>
          <w:i/>
          <w:color w:val="auto"/>
          <w:sz w:val="21"/>
          <w:szCs w:val="21"/>
          <w:highlight w:val="none"/>
          <w:u w:val="single"/>
        </w:rPr>
        <w:t>采购代理机构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1AC5A6C">
      <w:pPr>
        <w:pStyle w:val="11"/>
        <w:spacing w:line="400" w:lineRule="exact"/>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i/>
          <w:color w:val="auto"/>
          <w:sz w:val="21"/>
          <w:szCs w:val="21"/>
          <w:highlight w:val="none"/>
          <w:u w:val="single"/>
        </w:rPr>
        <w:t>供应商全称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法定代表人</w:t>
      </w:r>
      <w:r>
        <w:rPr>
          <w:rFonts w:hint="eastAsia" w:ascii="仿宋" w:hAnsi="仿宋" w:eastAsia="仿宋" w:cs="仿宋"/>
          <w:i/>
          <w:color w:val="auto"/>
          <w:sz w:val="21"/>
          <w:szCs w:val="21"/>
          <w:highlight w:val="none"/>
          <w:u w:val="single"/>
        </w:rPr>
        <w:t>（姓名、职务）</w:t>
      </w:r>
      <w:r>
        <w:rPr>
          <w:rFonts w:hint="eastAsia" w:ascii="仿宋" w:hAnsi="仿宋" w:eastAsia="仿宋" w:cs="仿宋"/>
          <w:color w:val="auto"/>
          <w:sz w:val="21"/>
          <w:szCs w:val="21"/>
          <w:highlight w:val="none"/>
        </w:rPr>
        <w:t>授权</w:t>
      </w:r>
      <w:r>
        <w:rPr>
          <w:rFonts w:hint="eastAsia" w:ascii="仿宋" w:hAnsi="仿宋" w:eastAsia="仿宋" w:cs="仿宋"/>
          <w:color w:val="auto"/>
          <w:sz w:val="21"/>
          <w:szCs w:val="21"/>
          <w:highlight w:val="none"/>
          <w:u w:val="single"/>
        </w:rPr>
        <w:t xml:space="preserve">   （</w:t>
      </w:r>
      <w:r>
        <w:rPr>
          <w:rFonts w:hint="eastAsia" w:ascii="仿宋" w:hAnsi="仿宋" w:eastAsia="仿宋" w:cs="仿宋"/>
          <w:i/>
          <w:color w:val="auto"/>
          <w:sz w:val="21"/>
          <w:szCs w:val="21"/>
          <w:highlight w:val="none"/>
          <w:u w:val="single"/>
        </w:rPr>
        <w:t>被授权代表姓名、职务</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为本公司合法代理人，参加贵采购代理机构组织的</w:t>
      </w:r>
      <w:r>
        <w:rPr>
          <w:rFonts w:hint="eastAsia" w:ascii="仿宋" w:hAnsi="仿宋" w:eastAsia="仿宋" w:cs="仿宋"/>
          <w:i/>
          <w:color w:val="auto"/>
          <w:sz w:val="21"/>
          <w:szCs w:val="21"/>
          <w:highlight w:val="none"/>
          <w:u w:val="single"/>
        </w:rPr>
        <w:t>（竞争性磋商</w:t>
      </w:r>
      <w:r>
        <w:rPr>
          <w:rFonts w:hint="eastAsia" w:ascii="仿宋" w:hAnsi="仿宋" w:eastAsia="仿宋" w:cs="仿宋"/>
          <w:i/>
          <w:color w:val="auto"/>
          <w:sz w:val="21"/>
          <w:szCs w:val="21"/>
          <w:highlight w:val="none"/>
          <w:u w:val="single"/>
          <w:lang w:eastAsia="zh-CN"/>
        </w:rPr>
        <w:t>项目编号</w:t>
      </w:r>
      <w:r>
        <w:rPr>
          <w:rFonts w:hint="eastAsia" w:ascii="仿宋" w:hAnsi="仿宋" w:eastAsia="仿宋" w:cs="仿宋"/>
          <w:i/>
          <w:color w:val="auto"/>
          <w:sz w:val="21"/>
          <w:szCs w:val="21"/>
          <w:highlight w:val="none"/>
          <w:u w:val="singl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i/>
          <w:color w:val="auto"/>
          <w:sz w:val="21"/>
          <w:szCs w:val="21"/>
          <w:highlight w:val="none"/>
          <w:u w:val="single"/>
        </w:rPr>
        <w:t>项目名称</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项目的竞争性磋商采购活动，代表本公司处理竞争性磋商采购活动中的一切事宜。</w:t>
      </w:r>
    </w:p>
    <w:p w14:paraId="5941527A">
      <w:pPr>
        <w:pStyle w:val="11"/>
        <w:spacing w:line="400" w:lineRule="exact"/>
        <w:ind w:firstLine="0"/>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 xml:space="preserve">     本授权书于</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年</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月</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u w:val="single"/>
        </w:rPr>
        <w:t>日</w:t>
      </w:r>
      <w:r>
        <w:rPr>
          <w:rFonts w:hint="eastAsia" w:ascii="仿宋" w:hAnsi="仿宋" w:eastAsia="仿宋" w:cs="仿宋"/>
          <w:color w:val="auto"/>
          <w:sz w:val="21"/>
          <w:szCs w:val="21"/>
          <w:highlight w:val="none"/>
        </w:rPr>
        <w:t>生效,特此声明。</w:t>
      </w:r>
    </w:p>
    <w:p w14:paraId="50130126">
      <w:pPr>
        <w:pStyle w:val="11"/>
        <w:spacing w:line="400" w:lineRule="exact"/>
        <w:ind w:firstLine="0"/>
        <w:outlineLvl w:val="9"/>
        <w:rPr>
          <w:rFonts w:hint="eastAsia" w:ascii="仿宋" w:hAnsi="仿宋" w:eastAsia="仿宋" w:cs="仿宋"/>
          <w:color w:val="auto"/>
          <w:sz w:val="21"/>
          <w:szCs w:val="21"/>
          <w:highlight w:val="none"/>
        </w:rPr>
      </w:pPr>
    </w:p>
    <w:p w14:paraId="496FC65D">
      <w:pPr>
        <w:pStyle w:val="11"/>
        <w:spacing w:line="400" w:lineRule="exact"/>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法 定 代 表 人（签字或盖章）：</w:t>
      </w:r>
    </w:p>
    <w:p w14:paraId="255B663C">
      <w:pPr>
        <w:pStyle w:val="11"/>
        <w:spacing w:line="400" w:lineRule="exact"/>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供应商单位全称（公章）：</w:t>
      </w:r>
    </w:p>
    <w:p w14:paraId="78589DC4">
      <w:pPr>
        <w:pStyle w:val="11"/>
        <w:spacing w:line="400" w:lineRule="exact"/>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  期：</w:t>
      </w:r>
    </w:p>
    <w:p w14:paraId="4AEBECD5">
      <w:pPr>
        <w:pStyle w:val="11"/>
        <w:spacing w:line="400" w:lineRule="exact"/>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w:t>
      </w:r>
    </w:p>
    <w:p w14:paraId="04F351DF">
      <w:pPr>
        <w:pStyle w:val="11"/>
        <w:spacing w:line="400" w:lineRule="exact"/>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被授权代表姓名：（印刷体）</w:t>
      </w:r>
    </w:p>
    <w:p w14:paraId="5E70A487">
      <w:pPr>
        <w:pStyle w:val="11"/>
        <w:spacing w:line="400" w:lineRule="exact"/>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职        务：</w:t>
      </w:r>
    </w:p>
    <w:p w14:paraId="73412A7F">
      <w:pPr>
        <w:pStyle w:val="11"/>
        <w:spacing w:line="400" w:lineRule="exact"/>
        <w:ind w:firstLine="235"/>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被授权代表签字</w:t>
      </w:r>
      <w:r>
        <w:rPr>
          <w:rFonts w:hint="eastAsia" w:ascii="仿宋" w:hAnsi="仿宋" w:eastAsia="仿宋" w:cs="仿宋"/>
          <w:color w:val="auto"/>
          <w:sz w:val="21"/>
          <w:szCs w:val="21"/>
          <w:highlight w:val="none"/>
          <w:lang w:val="en-US" w:eastAsia="zh-CN"/>
        </w:rPr>
        <w:t>或盖章</w:t>
      </w:r>
      <w:r>
        <w:rPr>
          <w:rFonts w:hint="eastAsia" w:ascii="仿宋" w:hAnsi="仿宋" w:eastAsia="仿宋" w:cs="仿宋"/>
          <w:color w:val="auto"/>
          <w:sz w:val="21"/>
          <w:szCs w:val="21"/>
          <w:highlight w:val="none"/>
        </w:rPr>
        <w:t>：</w:t>
      </w:r>
    </w:p>
    <w:p w14:paraId="53FA1969">
      <w:pPr>
        <w:pStyle w:val="11"/>
        <w:spacing w:line="400" w:lineRule="exact"/>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详细通讯地址：</w:t>
      </w:r>
    </w:p>
    <w:p w14:paraId="30060323">
      <w:pPr>
        <w:pStyle w:val="11"/>
        <w:spacing w:line="400" w:lineRule="exact"/>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邮 政 编  码：</w:t>
      </w:r>
    </w:p>
    <w:p w14:paraId="1FBE4799">
      <w:pPr>
        <w:pStyle w:val="11"/>
        <w:spacing w:line="400" w:lineRule="exact"/>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传        真：</w:t>
      </w:r>
    </w:p>
    <w:p w14:paraId="0F2C71E1">
      <w:pPr>
        <w:wordWrap w:val="0"/>
        <w:spacing w:line="360" w:lineRule="auto"/>
        <w:ind w:firstLine="210" w:firstLineChars="100"/>
        <w:outlineLvl w:val="9"/>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t>电        话：</w:t>
      </w:r>
    </w:p>
    <w:p w14:paraId="565D2D0A">
      <w:pPr>
        <w:spacing w:line="360" w:lineRule="auto"/>
        <w:outlineLvl w:val="9"/>
        <w:rPr>
          <w:rFonts w:hint="eastAsia" w:ascii="仿宋" w:hAnsi="仿宋" w:eastAsia="仿宋" w:cs="仿宋"/>
          <w:color w:val="auto"/>
          <w:szCs w:val="21"/>
          <w:highlight w:val="none"/>
        </w:rPr>
      </w:pPr>
    </w:p>
    <w:p w14:paraId="3FB5B43E">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附身份证复印件</w:t>
      </w:r>
    </w:p>
    <w:tbl>
      <w:tblPr>
        <w:tblStyle w:val="25"/>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7"/>
      </w:tblGrid>
      <w:tr w14:paraId="13FF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9087" w:type="dxa"/>
          </w:tcPr>
          <w:p w14:paraId="4B0373BF">
            <w:pPr>
              <w:pStyle w:val="12"/>
              <w:ind w:firstLine="400"/>
              <w:outlineLvl w:val="9"/>
              <w:rPr>
                <w:rFonts w:hint="eastAsia" w:ascii="仿宋" w:hAnsi="仿宋" w:eastAsia="仿宋" w:cs="仿宋"/>
                <w:color w:val="auto"/>
                <w:sz w:val="21"/>
                <w:highlight w:val="none"/>
              </w:rPr>
            </w:pPr>
          </w:p>
        </w:tc>
      </w:tr>
    </w:tbl>
    <w:p w14:paraId="529E9A12">
      <w:pPr>
        <w:tabs>
          <w:tab w:val="left" w:pos="7480"/>
        </w:tabs>
        <w:spacing w:line="240" w:lineRule="auto"/>
        <w:outlineLvl w:val="9"/>
        <w:rPr>
          <w:rFonts w:hint="eastAsia" w:ascii="仿宋" w:hAnsi="仿宋" w:eastAsia="仿宋" w:cs="仿宋"/>
          <w:b/>
          <w:color w:val="auto"/>
          <w:kern w:val="2"/>
          <w:sz w:val="21"/>
          <w:szCs w:val="21"/>
          <w:highlight w:val="none"/>
          <w:lang w:val="en-US" w:eastAsia="zh-CN" w:bidi="ar-SA"/>
        </w:rPr>
      </w:pPr>
      <w:r>
        <w:rPr>
          <w:rFonts w:hint="eastAsia" w:ascii="宋体" w:hAnsi="宋体" w:cs="宋体"/>
          <w:b/>
          <w:bCs/>
          <w:color w:val="auto"/>
          <w:kern w:val="0"/>
          <w:sz w:val="36"/>
          <w:szCs w:val="36"/>
          <w:highlight w:val="none"/>
        </w:rPr>
        <w:br w:type="page"/>
      </w:r>
      <w:r>
        <w:rPr>
          <w:rFonts w:hint="eastAsia" w:ascii="仿宋" w:hAnsi="仿宋" w:eastAsia="仿宋" w:cs="仿宋"/>
          <w:b/>
          <w:color w:val="auto"/>
          <w:kern w:val="2"/>
          <w:sz w:val="21"/>
          <w:szCs w:val="21"/>
          <w:highlight w:val="none"/>
          <w:lang w:val="en-US" w:eastAsia="zh-CN" w:bidi="ar-SA"/>
        </w:rPr>
        <w:t>附件五</w:t>
      </w:r>
    </w:p>
    <w:p w14:paraId="36B056F6">
      <w:pPr>
        <w:jc w:val="center"/>
        <w:outlineLvl w:val="9"/>
        <w:rPr>
          <w:rFonts w:hint="eastAsia" w:ascii="仿宋" w:hAnsi="仿宋" w:eastAsia="仿宋" w:cs="仿宋"/>
          <w:b/>
          <w:color w:val="auto"/>
          <w:szCs w:val="21"/>
          <w:highlight w:val="none"/>
        </w:rPr>
      </w:pPr>
      <w:bookmarkStart w:id="176" w:name="_Toc23175_WPSOffice_Level1"/>
      <w:bookmarkStart w:id="177" w:name="_Toc20178_WPSOffice_Level1"/>
      <w:bookmarkStart w:id="178" w:name="_Toc14116_WPSOffice_Level1"/>
      <w:bookmarkStart w:id="179" w:name="_Toc25582_WPSOffice_Level1"/>
      <w:bookmarkStart w:id="180" w:name="_Toc20338_WPSOffice_Level2"/>
      <w:bookmarkStart w:id="181" w:name="_Toc132_WPSOffice_Level1"/>
      <w:bookmarkStart w:id="182" w:name="_Toc7800_WPSOffice_Level1"/>
    </w:p>
    <w:p w14:paraId="2900D6FA">
      <w:pPr>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供应商声明书</w:t>
      </w:r>
      <w:bookmarkEnd w:id="176"/>
      <w:bookmarkEnd w:id="177"/>
      <w:bookmarkEnd w:id="178"/>
      <w:bookmarkEnd w:id="179"/>
      <w:bookmarkEnd w:id="180"/>
      <w:bookmarkEnd w:id="181"/>
      <w:bookmarkEnd w:id="182"/>
    </w:p>
    <w:p w14:paraId="213D2BDA">
      <w:pPr>
        <w:spacing w:line="360" w:lineRule="auto"/>
        <w:outlineLvl w:val="9"/>
        <w:rPr>
          <w:rFonts w:hint="eastAsia" w:ascii="仿宋" w:hAnsi="仿宋" w:eastAsia="仿宋" w:cs="仿宋"/>
          <w:color w:val="auto"/>
          <w:szCs w:val="21"/>
          <w:highlight w:val="none"/>
          <w:u w:val="single"/>
        </w:rPr>
      </w:pPr>
    </w:p>
    <w:p w14:paraId="34AE8E23">
      <w:pPr>
        <w:spacing w:line="360" w:lineRule="auto"/>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致</w:t>
      </w:r>
      <w:r>
        <w:rPr>
          <w:rFonts w:hint="eastAsia" w:ascii="仿宋" w:hAnsi="仿宋" w:eastAsia="仿宋" w:cs="仿宋"/>
          <w:i/>
          <w:color w:val="auto"/>
          <w:szCs w:val="21"/>
          <w:highlight w:val="none"/>
          <w:u w:val="single"/>
        </w:rPr>
        <w:t xml:space="preserve">（采购代理公司） </w:t>
      </w:r>
      <w:r>
        <w:rPr>
          <w:rFonts w:hint="eastAsia" w:ascii="仿宋" w:hAnsi="仿宋" w:eastAsia="仿宋" w:cs="仿宋"/>
          <w:color w:val="auto"/>
          <w:szCs w:val="21"/>
          <w:highlight w:val="none"/>
        </w:rPr>
        <w:t>：</w:t>
      </w:r>
    </w:p>
    <w:p w14:paraId="6FDAFD45">
      <w:pPr>
        <w:spacing w:line="360" w:lineRule="auto"/>
        <w:outlineLvl w:val="9"/>
        <w:rPr>
          <w:rFonts w:hint="eastAsia" w:ascii="仿宋" w:hAnsi="仿宋" w:eastAsia="仿宋" w:cs="仿宋"/>
          <w:color w:val="auto"/>
          <w:szCs w:val="21"/>
          <w:highlight w:val="none"/>
        </w:rPr>
      </w:pPr>
      <w:r>
        <w:rPr>
          <w:rFonts w:hint="eastAsia" w:ascii="仿宋" w:hAnsi="仿宋" w:eastAsia="仿宋" w:cs="仿宋"/>
          <w:i/>
          <w:color w:val="auto"/>
          <w:szCs w:val="21"/>
          <w:highlight w:val="none"/>
          <w:u w:val="single"/>
        </w:rPr>
        <w:t xml:space="preserve"> （供应商全称）</w:t>
      </w:r>
      <w:r>
        <w:rPr>
          <w:rFonts w:hint="eastAsia" w:ascii="仿宋" w:hAnsi="仿宋" w:eastAsia="仿宋" w:cs="仿宋"/>
          <w:color w:val="auto"/>
          <w:szCs w:val="21"/>
          <w:highlight w:val="none"/>
        </w:rPr>
        <w:t xml:space="preserve"> 参加贵方组织的 </w:t>
      </w:r>
      <w:r>
        <w:rPr>
          <w:rFonts w:hint="eastAsia" w:ascii="仿宋" w:hAnsi="仿宋" w:eastAsia="仿宋" w:cs="仿宋"/>
          <w:i/>
          <w:color w:val="auto"/>
          <w:szCs w:val="21"/>
          <w:highlight w:val="none"/>
          <w:u w:val="single"/>
        </w:rPr>
        <w:t>（竞争性磋商编号、采购项目名称）</w:t>
      </w:r>
      <w:r>
        <w:rPr>
          <w:rFonts w:hint="eastAsia" w:ascii="仿宋" w:hAnsi="仿宋" w:eastAsia="仿宋" w:cs="仿宋"/>
          <w:color w:val="auto"/>
          <w:szCs w:val="21"/>
          <w:highlight w:val="none"/>
        </w:rPr>
        <w:t>竞争性磋商活动，特声明如下:</w:t>
      </w:r>
    </w:p>
    <w:p w14:paraId="1D1A8121">
      <w:pPr>
        <w:spacing w:line="360" w:lineRule="auto"/>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1、本供应商的经营项目及范围能满足采购人的要求，并对提供的营业执照副本、授权委托书及磋商响应文件其他内容的真实性负责。</w:t>
      </w:r>
    </w:p>
    <w:p w14:paraId="6D70EF83">
      <w:pPr>
        <w:spacing w:line="360" w:lineRule="auto"/>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2、本供应商具有承担采购项目的供应能力，没有国家、地方或行业、部门市场禁入的情况。</w:t>
      </w:r>
    </w:p>
    <w:p w14:paraId="58F62808">
      <w:pPr>
        <w:spacing w:line="360" w:lineRule="auto"/>
        <w:ind w:firstLine="420" w:firstLineChars="200"/>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en-US" w:eastAsia="zh-CN"/>
        </w:rPr>
        <w:t>本</w:t>
      </w:r>
      <w:r>
        <w:rPr>
          <w:rFonts w:hint="eastAsia" w:ascii="仿宋" w:hAnsi="仿宋" w:eastAsia="仿宋" w:cs="仿宋"/>
          <w:color w:val="auto"/>
          <w:szCs w:val="21"/>
          <w:highlight w:val="none"/>
        </w:rPr>
        <w:t>供应商不为失信被执行人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非联合体响应。</w:t>
      </w:r>
    </w:p>
    <w:p w14:paraId="293886E1">
      <w:pPr>
        <w:spacing w:line="360" w:lineRule="auto"/>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本供应商对本项目所提供的服务承担全部的法律责任，如不能满足磋商响应文件中的承诺，本供应商愿意向采购人及采购代理公司支付违约金。</w:t>
      </w:r>
    </w:p>
    <w:p w14:paraId="1CC67306">
      <w:pPr>
        <w:spacing w:line="360" w:lineRule="auto"/>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本供应商承诺报价不高于本企业承受能力。</w:t>
      </w:r>
    </w:p>
    <w:p w14:paraId="47F896E2">
      <w:pPr>
        <w:spacing w:line="360" w:lineRule="auto"/>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、本供应商在本项目的磋商响应过程中，保证具有独立、诚信、公正的立场，绝无串标、围标等现象发生。</w:t>
      </w:r>
    </w:p>
    <w:p w14:paraId="537A97F4">
      <w:pPr>
        <w:spacing w:line="360" w:lineRule="auto"/>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、本供应商未向采购人及采购代理公司及其员工或第三人，支付任何酬金或其它以便促成供应商成交的任何情形发生。</w:t>
      </w:r>
    </w:p>
    <w:p w14:paraId="5F4155D6">
      <w:pPr>
        <w:spacing w:line="360" w:lineRule="auto"/>
        <w:ind w:firstLine="420"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、本供应商声明:本声明书和各项内容均属实，如经采购人及采购代理公司查实，发现有不属实的情况，采购人及采购代理公司可视其情况终止本供应商的磋商响应资格，并没收磋商保证金。</w:t>
      </w:r>
    </w:p>
    <w:p w14:paraId="72309AB4">
      <w:pPr>
        <w:spacing w:line="360" w:lineRule="auto"/>
        <w:outlineLvl w:val="9"/>
        <w:rPr>
          <w:rFonts w:hint="eastAsia" w:ascii="仿宋" w:hAnsi="仿宋" w:eastAsia="仿宋" w:cs="仿宋"/>
          <w:color w:val="auto"/>
          <w:szCs w:val="21"/>
          <w:highlight w:val="none"/>
        </w:rPr>
      </w:pPr>
    </w:p>
    <w:p w14:paraId="64CCE33E">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供应商（盖章）：</w:t>
      </w:r>
    </w:p>
    <w:p w14:paraId="69F7C383">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法定代表人或授权代表（签字</w:t>
      </w:r>
      <w:r>
        <w:rPr>
          <w:rFonts w:hint="eastAsia" w:ascii="仿宋" w:hAnsi="仿宋" w:eastAsia="仿宋" w:cs="仿宋"/>
          <w:color w:val="auto"/>
          <w:sz w:val="21"/>
          <w:szCs w:val="21"/>
          <w:highlight w:val="none"/>
          <w:lang w:val="en-US" w:eastAsia="zh-CN"/>
        </w:rPr>
        <w:t>或盖章</w:t>
      </w:r>
      <w:r>
        <w:rPr>
          <w:rFonts w:hint="eastAsia" w:ascii="仿宋" w:hAnsi="仿宋" w:eastAsia="仿宋" w:cs="仿宋"/>
          <w:color w:val="auto"/>
          <w:sz w:val="21"/>
          <w:szCs w:val="21"/>
          <w:highlight w:val="none"/>
        </w:rPr>
        <w:t>）：</w:t>
      </w:r>
    </w:p>
    <w:p w14:paraId="57E21773">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2278363F">
      <w:pPr>
        <w:pStyle w:val="11"/>
        <w:spacing w:line="240" w:lineRule="auto"/>
        <w:ind w:firstLine="0"/>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br w:type="page"/>
      </w:r>
      <w:r>
        <w:rPr>
          <w:rFonts w:hint="eastAsia" w:ascii="仿宋" w:hAnsi="仿宋" w:eastAsia="仿宋" w:cs="仿宋"/>
          <w:b/>
          <w:color w:val="auto"/>
          <w:sz w:val="21"/>
          <w:szCs w:val="21"/>
          <w:highlight w:val="none"/>
        </w:rPr>
        <w:t>附件六</w:t>
      </w:r>
    </w:p>
    <w:p w14:paraId="79100556">
      <w:pPr>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供应商情况表</w:t>
      </w:r>
    </w:p>
    <w:p w14:paraId="05F0F346">
      <w:pPr>
        <w:jc w:val="center"/>
        <w:outlineLvl w:val="9"/>
        <w:rPr>
          <w:rFonts w:hint="eastAsia" w:ascii="仿宋" w:hAnsi="仿宋" w:eastAsia="仿宋" w:cs="仿宋"/>
          <w:b/>
          <w:color w:val="auto"/>
          <w:szCs w:val="21"/>
          <w:highlight w:val="none"/>
        </w:rPr>
      </w:pP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749"/>
        <w:gridCol w:w="2548"/>
        <w:gridCol w:w="2522"/>
        <w:gridCol w:w="2331"/>
      </w:tblGrid>
      <w:tr w14:paraId="13D8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84" w:type="pct"/>
            <w:gridSpan w:val="2"/>
            <w:tcBorders>
              <w:top w:val="single" w:color="auto" w:sz="4" w:space="0"/>
              <w:left w:val="single" w:color="auto" w:sz="4" w:space="0"/>
              <w:bottom w:val="single" w:color="auto" w:sz="4" w:space="0"/>
              <w:right w:val="single" w:color="auto" w:sz="4" w:space="0"/>
            </w:tcBorders>
            <w:vAlign w:val="center"/>
          </w:tcPr>
          <w:p w14:paraId="1A0BD52D">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单位名称</w:t>
            </w:r>
          </w:p>
        </w:tc>
        <w:tc>
          <w:tcPr>
            <w:tcW w:w="1278" w:type="pct"/>
            <w:tcBorders>
              <w:top w:val="single" w:color="auto" w:sz="4" w:space="0"/>
              <w:left w:val="single" w:color="auto" w:sz="4" w:space="0"/>
              <w:bottom w:val="single" w:color="auto" w:sz="4" w:space="0"/>
              <w:right w:val="single" w:color="auto" w:sz="4" w:space="0"/>
            </w:tcBorders>
            <w:vAlign w:val="center"/>
          </w:tcPr>
          <w:p w14:paraId="07E496B0">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c>
          <w:tcPr>
            <w:tcW w:w="1266" w:type="pct"/>
            <w:tcBorders>
              <w:top w:val="single" w:color="auto" w:sz="4" w:space="0"/>
              <w:left w:val="single" w:color="auto" w:sz="4" w:space="0"/>
              <w:bottom w:val="single" w:color="auto" w:sz="4" w:space="0"/>
              <w:right w:val="single" w:color="auto" w:sz="4" w:space="0"/>
            </w:tcBorders>
            <w:vAlign w:val="center"/>
          </w:tcPr>
          <w:p w14:paraId="05C01B96">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法人代表</w:t>
            </w:r>
          </w:p>
        </w:tc>
        <w:tc>
          <w:tcPr>
            <w:tcW w:w="1170" w:type="pct"/>
            <w:tcBorders>
              <w:top w:val="single" w:color="auto" w:sz="4" w:space="0"/>
              <w:left w:val="single" w:color="auto" w:sz="4" w:space="0"/>
              <w:bottom w:val="single" w:color="auto" w:sz="4" w:space="0"/>
              <w:right w:val="single" w:color="auto" w:sz="4" w:space="0"/>
            </w:tcBorders>
            <w:vAlign w:val="center"/>
          </w:tcPr>
          <w:p w14:paraId="351BF9F7">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r>
      <w:tr w14:paraId="0555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84" w:type="pct"/>
            <w:gridSpan w:val="2"/>
            <w:tcBorders>
              <w:top w:val="single" w:color="auto" w:sz="4" w:space="0"/>
              <w:left w:val="single" w:color="auto" w:sz="4" w:space="0"/>
              <w:bottom w:val="single" w:color="auto" w:sz="4" w:space="0"/>
              <w:right w:val="single" w:color="auto" w:sz="4" w:space="0"/>
            </w:tcBorders>
            <w:vAlign w:val="center"/>
          </w:tcPr>
          <w:p w14:paraId="350FCCCF">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单位性质</w:t>
            </w:r>
          </w:p>
        </w:tc>
        <w:tc>
          <w:tcPr>
            <w:tcW w:w="1278" w:type="pct"/>
            <w:tcBorders>
              <w:top w:val="single" w:color="auto" w:sz="4" w:space="0"/>
              <w:left w:val="single" w:color="auto" w:sz="4" w:space="0"/>
              <w:bottom w:val="single" w:color="auto" w:sz="4" w:space="0"/>
              <w:right w:val="single" w:color="auto" w:sz="4" w:space="0"/>
            </w:tcBorders>
            <w:vAlign w:val="center"/>
          </w:tcPr>
          <w:p w14:paraId="262AF4B3">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c>
          <w:tcPr>
            <w:tcW w:w="1266" w:type="pct"/>
            <w:tcBorders>
              <w:top w:val="single" w:color="auto" w:sz="4" w:space="0"/>
              <w:left w:val="single" w:color="auto" w:sz="4" w:space="0"/>
              <w:bottom w:val="single" w:color="auto" w:sz="4" w:space="0"/>
              <w:right w:val="single" w:color="auto" w:sz="4" w:space="0"/>
            </w:tcBorders>
            <w:vAlign w:val="center"/>
          </w:tcPr>
          <w:p w14:paraId="6EF519A2">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单位组建时间</w:t>
            </w:r>
          </w:p>
        </w:tc>
        <w:tc>
          <w:tcPr>
            <w:tcW w:w="1170" w:type="pct"/>
            <w:tcBorders>
              <w:top w:val="single" w:color="auto" w:sz="4" w:space="0"/>
              <w:left w:val="single" w:color="auto" w:sz="4" w:space="0"/>
              <w:bottom w:val="single" w:color="auto" w:sz="4" w:space="0"/>
              <w:right w:val="single" w:color="auto" w:sz="4" w:space="0"/>
            </w:tcBorders>
            <w:vAlign w:val="center"/>
          </w:tcPr>
          <w:p w14:paraId="16EFF5F7">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r>
      <w:tr w14:paraId="1FBA7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84" w:type="pct"/>
            <w:gridSpan w:val="2"/>
            <w:tcBorders>
              <w:top w:val="single" w:color="auto" w:sz="4" w:space="0"/>
              <w:left w:val="single" w:color="auto" w:sz="4" w:space="0"/>
              <w:bottom w:val="single" w:color="auto" w:sz="4" w:space="0"/>
              <w:right w:val="single" w:color="auto" w:sz="4" w:space="0"/>
            </w:tcBorders>
            <w:vAlign w:val="center"/>
          </w:tcPr>
          <w:p w14:paraId="33D0A0B7">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注册资本</w:t>
            </w:r>
          </w:p>
        </w:tc>
        <w:tc>
          <w:tcPr>
            <w:tcW w:w="1278" w:type="pct"/>
            <w:tcBorders>
              <w:top w:val="single" w:color="auto" w:sz="4" w:space="0"/>
              <w:left w:val="single" w:color="auto" w:sz="4" w:space="0"/>
              <w:bottom w:val="single" w:color="auto" w:sz="4" w:space="0"/>
              <w:right w:val="single" w:color="auto" w:sz="4" w:space="0"/>
            </w:tcBorders>
            <w:vAlign w:val="center"/>
          </w:tcPr>
          <w:p w14:paraId="52CB44A4">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c>
          <w:tcPr>
            <w:tcW w:w="1266" w:type="pct"/>
            <w:tcBorders>
              <w:top w:val="single" w:color="auto" w:sz="4" w:space="0"/>
              <w:left w:val="single" w:color="auto" w:sz="4" w:space="0"/>
              <w:bottom w:val="single" w:color="auto" w:sz="4" w:space="0"/>
              <w:right w:val="single" w:color="auto" w:sz="4" w:space="0"/>
            </w:tcBorders>
            <w:vAlign w:val="center"/>
          </w:tcPr>
          <w:p w14:paraId="13F1997D">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单位固定资产总额</w:t>
            </w:r>
          </w:p>
        </w:tc>
        <w:tc>
          <w:tcPr>
            <w:tcW w:w="1170" w:type="pct"/>
            <w:tcBorders>
              <w:top w:val="single" w:color="auto" w:sz="4" w:space="0"/>
              <w:left w:val="single" w:color="auto" w:sz="4" w:space="0"/>
              <w:bottom w:val="single" w:color="auto" w:sz="4" w:space="0"/>
              <w:right w:val="single" w:color="auto" w:sz="4" w:space="0"/>
            </w:tcBorders>
            <w:vAlign w:val="center"/>
          </w:tcPr>
          <w:p w14:paraId="13EAF2D7">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r>
      <w:tr w14:paraId="5B28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84" w:type="pct"/>
            <w:gridSpan w:val="2"/>
            <w:tcBorders>
              <w:top w:val="single" w:color="auto" w:sz="4" w:space="0"/>
              <w:left w:val="single" w:color="auto" w:sz="4" w:space="0"/>
              <w:bottom w:val="single" w:color="auto" w:sz="4" w:space="0"/>
              <w:right w:val="single" w:color="auto" w:sz="4" w:space="0"/>
            </w:tcBorders>
            <w:vAlign w:val="center"/>
          </w:tcPr>
          <w:p w14:paraId="29CB80A9">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单位地址</w:t>
            </w:r>
          </w:p>
        </w:tc>
        <w:tc>
          <w:tcPr>
            <w:tcW w:w="1278" w:type="pct"/>
            <w:tcBorders>
              <w:top w:val="single" w:color="auto" w:sz="4" w:space="0"/>
              <w:left w:val="single" w:color="auto" w:sz="4" w:space="0"/>
              <w:bottom w:val="single" w:color="auto" w:sz="4" w:space="0"/>
              <w:right w:val="single" w:color="auto" w:sz="4" w:space="0"/>
            </w:tcBorders>
            <w:vAlign w:val="center"/>
          </w:tcPr>
          <w:p w14:paraId="128599F8">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c>
          <w:tcPr>
            <w:tcW w:w="1266" w:type="pct"/>
            <w:tcBorders>
              <w:top w:val="single" w:color="auto" w:sz="4" w:space="0"/>
              <w:left w:val="single" w:color="auto" w:sz="4" w:space="0"/>
              <w:bottom w:val="single" w:color="auto" w:sz="4" w:space="0"/>
              <w:right w:val="single" w:color="auto" w:sz="4" w:space="0"/>
            </w:tcBorders>
            <w:vAlign w:val="center"/>
          </w:tcPr>
          <w:p w14:paraId="6C5DB6DC">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主要联系人</w:t>
            </w:r>
          </w:p>
        </w:tc>
        <w:tc>
          <w:tcPr>
            <w:tcW w:w="1170" w:type="pct"/>
            <w:tcBorders>
              <w:top w:val="single" w:color="auto" w:sz="4" w:space="0"/>
              <w:left w:val="single" w:color="auto" w:sz="4" w:space="0"/>
              <w:bottom w:val="single" w:color="auto" w:sz="4" w:space="0"/>
              <w:right w:val="single" w:color="auto" w:sz="4" w:space="0"/>
            </w:tcBorders>
            <w:vAlign w:val="center"/>
          </w:tcPr>
          <w:p w14:paraId="51C4C42D">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r>
      <w:tr w14:paraId="7ED0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84" w:type="pct"/>
            <w:gridSpan w:val="2"/>
            <w:tcBorders>
              <w:top w:val="single" w:color="auto" w:sz="4" w:space="0"/>
              <w:left w:val="single" w:color="auto" w:sz="4" w:space="0"/>
              <w:bottom w:val="single" w:color="auto" w:sz="4" w:space="0"/>
              <w:right w:val="single" w:color="auto" w:sz="4" w:space="0"/>
            </w:tcBorders>
            <w:vAlign w:val="center"/>
          </w:tcPr>
          <w:p w14:paraId="088D05B0">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基本账户开户银行</w:t>
            </w:r>
          </w:p>
        </w:tc>
        <w:tc>
          <w:tcPr>
            <w:tcW w:w="1278" w:type="pct"/>
            <w:tcBorders>
              <w:top w:val="single" w:color="auto" w:sz="4" w:space="0"/>
              <w:left w:val="single" w:color="auto" w:sz="4" w:space="0"/>
              <w:bottom w:val="single" w:color="auto" w:sz="4" w:space="0"/>
              <w:right w:val="single" w:color="auto" w:sz="4" w:space="0"/>
            </w:tcBorders>
            <w:vAlign w:val="center"/>
          </w:tcPr>
          <w:p w14:paraId="7A6B6F92">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c>
          <w:tcPr>
            <w:tcW w:w="1266" w:type="pct"/>
            <w:tcBorders>
              <w:top w:val="single" w:color="auto" w:sz="4" w:space="0"/>
              <w:left w:val="single" w:color="auto" w:sz="4" w:space="0"/>
              <w:bottom w:val="single" w:color="auto" w:sz="4" w:space="0"/>
              <w:right w:val="single" w:color="auto" w:sz="4" w:space="0"/>
            </w:tcBorders>
            <w:vAlign w:val="center"/>
          </w:tcPr>
          <w:p w14:paraId="686037A0">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基本账户银行账号</w:t>
            </w:r>
          </w:p>
        </w:tc>
        <w:tc>
          <w:tcPr>
            <w:tcW w:w="1170" w:type="pct"/>
            <w:tcBorders>
              <w:top w:val="single" w:color="auto" w:sz="4" w:space="0"/>
              <w:left w:val="single" w:color="auto" w:sz="4" w:space="0"/>
              <w:bottom w:val="single" w:color="auto" w:sz="4" w:space="0"/>
              <w:right w:val="single" w:color="auto" w:sz="4" w:space="0"/>
            </w:tcBorders>
            <w:vAlign w:val="center"/>
          </w:tcPr>
          <w:p w14:paraId="4E745AEF">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r>
      <w:tr w14:paraId="1967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84" w:type="pct"/>
            <w:gridSpan w:val="2"/>
            <w:tcBorders>
              <w:top w:val="single" w:color="auto" w:sz="4" w:space="0"/>
              <w:left w:val="single" w:color="auto" w:sz="4" w:space="0"/>
              <w:bottom w:val="single" w:color="auto" w:sz="4" w:space="0"/>
              <w:right w:val="single" w:color="auto" w:sz="4" w:space="0"/>
            </w:tcBorders>
            <w:vAlign w:val="center"/>
          </w:tcPr>
          <w:p w14:paraId="76CA0976">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邮编</w:t>
            </w:r>
          </w:p>
        </w:tc>
        <w:tc>
          <w:tcPr>
            <w:tcW w:w="1278" w:type="pct"/>
            <w:tcBorders>
              <w:top w:val="single" w:color="auto" w:sz="4" w:space="0"/>
              <w:left w:val="single" w:color="auto" w:sz="4" w:space="0"/>
              <w:bottom w:val="single" w:color="auto" w:sz="4" w:space="0"/>
              <w:right w:val="single" w:color="auto" w:sz="4" w:space="0"/>
            </w:tcBorders>
            <w:vAlign w:val="center"/>
          </w:tcPr>
          <w:p w14:paraId="08DFD9A5">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c>
          <w:tcPr>
            <w:tcW w:w="1266" w:type="pct"/>
            <w:tcBorders>
              <w:top w:val="single" w:color="auto" w:sz="4" w:space="0"/>
              <w:left w:val="single" w:color="auto" w:sz="4" w:space="0"/>
              <w:bottom w:val="single" w:color="auto" w:sz="4" w:space="0"/>
              <w:right w:val="single" w:color="auto" w:sz="4" w:space="0"/>
            </w:tcBorders>
            <w:vAlign w:val="center"/>
          </w:tcPr>
          <w:p w14:paraId="0813993E">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电话</w:t>
            </w:r>
          </w:p>
        </w:tc>
        <w:tc>
          <w:tcPr>
            <w:tcW w:w="1170" w:type="pct"/>
            <w:tcBorders>
              <w:top w:val="single" w:color="auto" w:sz="4" w:space="0"/>
              <w:left w:val="single" w:color="auto" w:sz="4" w:space="0"/>
              <w:bottom w:val="single" w:color="auto" w:sz="4" w:space="0"/>
              <w:right w:val="single" w:color="auto" w:sz="4" w:space="0"/>
            </w:tcBorders>
            <w:vAlign w:val="center"/>
          </w:tcPr>
          <w:p w14:paraId="056C904D">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r>
      <w:tr w14:paraId="3504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406" w:type="pct"/>
            <w:tcBorders>
              <w:top w:val="single" w:color="auto" w:sz="4" w:space="0"/>
              <w:left w:val="single" w:color="auto" w:sz="4" w:space="0"/>
              <w:right w:val="single" w:color="auto" w:sz="4" w:space="0"/>
            </w:tcBorders>
            <w:vAlign w:val="center"/>
          </w:tcPr>
          <w:p w14:paraId="32A893D5">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单位人员状况</w:t>
            </w:r>
          </w:p>
        </w:tc>
        <w:tc>
          <w:tcPr>
            <w:tcW w:w="2157" w:type="pct"/>
            <w:gridSpan w:val="2"/>
            <w:tcBorders>
              <w:top w:val="single" w:color="auto" w:sz="4" w:space="0"/>
              <w:left w:val="single" w:color="auto" w:sz="4" w:space="0"/>
              <w:right w:val="single" w:color="auto" w:sz="4" w:space="0"/>
            </w:tcBorders>
            <w:vAlign w:val="center"/>
          </w:tcPr>
          <w:p w14:paraId="00E1AF52">
            <w:pPr>
              <w:autoSpaceDE w:val="0"/>
              <w:autoSpaceDN w:val="0"/>
              <w:adjustRightInd w:val="0"/>
              <w:spacing w:line="240" w:lineRule="auto"/>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单位总人数     人；</w:t>
            </w:r>
          </w:p>
          <w:p w14:paraId="12E8A343">
            <w:pPr>
              <w:autoSpaceDE w:val="0"/>
              <w:autoSpaceDN w:val="0"/>
              <w:adjustRightInd w:val="0"/>
              <w:spacing w:line="240" w:lineRule="auto"/>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其中，</w:t>
            </w:r>
          </w:p>
          <w:p w14:paraId="0C0F0D58">
            <w:pPr>
              <w:autoSpaceDE w:val="0"/>
              <w:autoSpaceDN w:val="0"/>
              <w:adjustRightInd w:val="0"/>
              <w:spacing w:line="240" w:lineRule="auto"/>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高级称职           人</w:t>
            </w:r>
          </w:p>
          <w:p w14:paraId="65BD51A6">
            <w:pPr>
              <w:autoSpaceDE w:val="0"/>
              <w:autoSpaceDN w:val="0"/>
              <w:adjustRightInd w:val="0"/>
              <w:spacing w:line="240" w:lineRule="auto"/>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中级职称           人</w:t>
            </w:r>
          </w:p>
          <w:p w14:paraId="56AC8822">
            <w:pPr>
              <w:autoSpaceDE w:val="0"/>
              <w:autoSpaceDN w:val="0"/>
              <w:adjustRightInd w:val="0"/>
              <w:spacing w:line="240" w:lineRule="auto"/>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初级职称           人</w:t>
            </w:r>
          </w:p>
          <w:p w14:paraId="2D25A538">
            <w:pPr>
              <w:autoSpaceDE w:val="0"/>
              <w:autoSpaceDN w:val="0"/>
              <w:adjustRightInd w:val="0"/>
              <w:spacing w:line="240" w:lineRule="auto"/>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p>
        </w:tc>
        <w:tc>
          <w:tcPr>
            <w:tcW w:w="1266" w:type="pct"/>
            <w:tcBorders>
              <w:top w:val="single" w:color="auto" w:sz="4" w:space="0"/>
              <w:left w:val="single" w:color="auto" w:sz="4" w:space="0"/>
              <w:right w:val="single" w:color="auto" w:sz="4" w:space="0"/>
            </w:tcBorders>
            <w:vAlign w:val="center"/>
          </w:tcPr>
          <w:p w14:paraId="757924D7">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资质等级（如有）</w:t>
            </w:r>
          </w:p>
        </w:tc>
        <w:tc>
          <w:tcPr>
            <w:tcW w:w="1170" w:type="pct"/>
            <w:tcBorders>
              <w:top w:val="single" w:color="auto" w:sz="4" w:space="0"/>
              <w:left w:val="single" w:color="auto" w:sz="4" w:space="0"/>
              <w:right w:val="single" w:color="auto" w:sz="4" w:space="0"/>
            </w:tcBorders>
            <w:vAlign w:val="center"/>
          </w:tcPr>
          <w:p w14:paraId="7864D34A">
            <w:pPr>
              <w:autoSpaceDE w:val="0"/>
              <w:autoSpaceDN w:val="0"/>
              <w:adjustRightInd w:val="0"/>
              <w:spacing w:line="240" w:lineRule="auto"/>
              <w:jc w:val="center"/>
              <w:outlineLvl w:val="9"/>
              <w:rPr>
                <w:rFonts w:hint="eastAsia" w:ascii="仿宋" w:hAnsi="仿宋" w:eastAsia="仿宋" w:cs="仿宋"/>
                <w:color w:val="auto"/>
                <w:szCs w:val="21"/>
                <w:highlight w:val="none"/>
                <w:lang w:val="zh-CN"/>
              </w:rPr>
            </w:pPr>
          </w:p>
        </w:tc>
      </w:tr>
    </w:tbl>
    <w:p w14:paraId="5551FFEB">
      <w:pPr>
        <w:pStyle w:val="11"/>
        <w:spacing w:line="480" w:lineRule="auto"/>
        <w:ind w:firstLine="0"/>
        <w:outlineLvl w:val="9"/>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注：供应商可根据实际填写要求对本表进行调整。</w:t>
      </w:r>
    </w:p>
    <w:p w14:paraId="5CE7F0C0">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供应商（盖章）：</w:t>
      </w:r>
    </w:p>
    <w:p w14:paraId="4363072B">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671BAAB1">
      <w:pP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br w:type="page"/>
      </w:r>
    </w:p>
    <w:p w14:paraId="3D576C0B">
      <w:pPr>
        <w:pStyle w:val="11"/>
        <w:ind w:firstLine="0"/>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附件七</w:t>
      </w:r>
    </w:p>
    <w:p w14:paraId="59CE0F74">
      <w:pPr>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商务条款响应表</w:t>
      </w:r>
    </w:p>
    <w:p w14:paraId="0EE3AAFE">
      <w:pPr>
        <w:pStyle w:val="11"/>
        <w:ind w:firstLine="0"/>
        <w:outlineLvl w:val="9"/>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项目名称：                                                        项目编号：</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531"/>
        <w:gridCol w:w="3852"/>
        <w:gridCol w:w="1608"/>
      </w:tblGrid>
      <w:tr w14:paraId="1CAD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86" w:type="pct"/>
            <w:tcBorders>
              <w:top w:val="single" w:color="auto" w:sz="4" w:space="0"/>
              <w:left w:val="single" w:color="auto" w:sz="4" w:space="0"/>
              <w:bottom w:val="single" w:color="auto" w:sz="4" w:space="0"/>
              <w:right w:val="single" w:color="auto" w:sz="4" w:space="0"/>
            </w:tcBorders>
            <w:vAlign w:val="center"/>
          </w:tcPr>
          <w:p w14:paraId="7046BEA3">
            <w:pPr>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772" w:type="pct"/>
            <w:tcBorders>
              <w:top w:val="single" w:color="auto" w:sz="4" w:space="0"/>
              <w:left w:val="single" w:color="auto" w:sz="4" w:space="0"/>
              <w:bottom w:val="single" w:color="auto" w:sz="4" w:space="0"/>
              <w:right w:val="single" w:color="auto" w:sz="4" w:space="0"/>
            </w:tcBorders>
            <w:vAlign w:val="center"/>
          </w:tcPr>
          <w:p w14:paraId="1FC2471D">
            <w:pPr>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磋商文件商务要求条款</w:t>
            </w:r>
          </w:p>
        </w:tc>
        <w:tc>
          <w:tcPr>
            <w:tcW w:w="1933" w:type="pct"/>
            <w:tcBorders>
              <w:top w:val="single" w:color="auto" w:sz="4" w:space="0"/>
              <w:left w:val="single" w:color="auto" w:sz="4" w:space="0"/>
              <w:bottom w:val="single" w:color="auto" w:sz="4" w:space="0"/>
              <w:right w:val="single" w:color="auto" w:sz="4" w:space="0"/>
            </w:tcBorders>
            <w:vAlign w:val="center"/>
          </w:tcPr>
          <w:p w14:paraId="3FF0C4C6">
            <w:pPr>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磋商响应文件的响应情况</w:t>
            </w:r>
          </w:p>
        </w:tc>
        <w:tc>
          <w:tcPr>
            <w:tcW w:w="807" w:type="pct"/>
            <w:tcBorders>
              <w:top w:val="single" w:color="auto" w:sz="4" w:space="0"/>
              <w:left w:val="single" w:color="auto" w:sz="4" w:space="0"/>
              <w:bottom w:val="single" w:color="auto" w:sz="4" w:space="0"/>
              <w:right w:val="single" w:color="auto" w:sz="4" w:space="0"/>
            </w:tcBorders>
            <w:vAlign w:val="center"/>
          </w:tcPr>
          <w:p w14:paraId="60B7FC5A">
            <w:pPr>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偏离说明</w:t>
            </w:r>
          </w:p>
        </w:tc>
      </w:tr>
      <w:tr w14:paraId="5EFF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86" w:type="pct"/>
            <w:tcBorders>
              <w:top w:val="single" w:color="auto" w:sz="4" w:space="0"/>
              <w:left w:val="single" w:color="auto" w:sz="4" w:space="0"/>
              <w:bottom w:val="single" w:color="auto" w:sz="4" w:space="0"/>
              <w:right w:val="single" w:color="auto" w:sz="4" w:space="0"/>
            </w:tcBorders>
            <w:vAlign w:val="center"/>
          </w:tcPr>
          <w:p w14:paraId="5884EC45">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772" w:type="pct"/>
            <w:tcBorders>
              <w:top w:val="single" w:color="auto" w:sz="4" w:space="0"/>
              <w:left w:val="single" w:color="auto" w:sz="4" w:space="0"/>
              <w:bottom w:val="single" w:color="auto" w:sz="4" w:space="0"/>
              <w:right w:val="single" w:color="auto" w:sz="4" w:space="0"/>
            </w:tcBorders>
            <w:vAlign w:val="center"/>
          </w:tcPr>
          <w:p w14:paraId="546E1897">
            <w:pPr>
              <w:spacing w:line="360" w:lineRule="exact"/>
              <w:outlineLvl w:val="9"/>
              <w:rPr>
                <w:rFonts w:hint="eastAsia" w:ascii="仿宋" w:hAnsi="仿宋" w:eastAsia="仿宋" w:cs="仿宋"/>
                <w:color w:val="auto"/>
                <w:szCs w:val="21"/>
                <w:highlight w:val="none"/>
                <w:u w:val="single"/>
              </w:rPr>
            </w:pPr>
          </w:p>
        </w:tc>
        <w:tc>
          <w:tcPr>
            <w:tcW w:w="1933" w:type="pct"/>
            <w:tcBorders>
              <w:top w:val="single" w:color="auto" w:sz="4" w:space="0"/>
              <w:left w:val="single" w:color="auto" w:sz="4" w:space="0"/>
              <w:bottom w:val="single" w:color="auto" w:sz="4" w:space="0"/>
              <w:right w:val="single" w:color="auto" w:sz="4" w:space="0"/>
            </w:tcBorders>
            <w:vAlign w:val="center"/>
          </w:tcPr>
          <w:p w14:paraId="0350EE7C">
            <w:pPr>
              <w:jc w:val="center"/>
              <w:outlineLvl w:val="9"/>
              <w:rPr>
                <w:rFonts w:hint="eastAsia" w:ascii="仿宋" w:hAnsi="仿宋" w:eastAsia="仿宋" w:cs="仿宋"/>
                <w:color w:val="auto"/>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4D3FEC0E">
            <w:pPr>
              <w:jc w:val="center"/>
              <w:outlineLvl w:val="9"/>
              <w:rPr>
                <w:rFonts w:hint="eastAsia" w:ascii="仿宋" w:hAnsi="仿宋" w:eastAsia="仿宋" w:cs="仿宋"/>
                <w:color w:val="auto"/>
                <w:szCs w:val="21"/>
                <w:highlight w:val="none"/>
              </w:rPr>
            </w:pPr>
          </w:p>
        </w:tc>
      </w:tr>
      <w:tr w14:paraId="1A14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86" w:type="pct"/>
            <w:tcBorders>
              <w:top w:val="single" w:color="auto" w:sz="4" w:space="0"/>
              <w:left w:val="single" w:color="auto" w:sz="4" w:space="0"/>
              <w:bottom w:val="single" w:color="auto" w:sz="4" w:space="0"/>
              <w:right w:val="single" w:color="auto" w:sz="4" w:space="0"/>
            </w:tcBorders>
            <w:vAlign w:val="center"/>
          </w:tcPr>
          <w:p w14:paraId="360313E5">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772" w:type="pct"/>
            <w:tcBorders>
              <w:top w:val="single" w:color="auto" w:sz="4" w:space="0"/>
              <w:left w:val="single" w:color="auto" w:sz="4" w:space="0"/>
              <w:bottom w:val="single" w:color="auto" w:sz="4" w:space="0"/>
              <w:right w:val="single" w:color="auto" w:sz="4" w:space="0"/>
            </w:tcBorders>
            <w:vAlign w:val="center"/>
          </w:tcPr>
          <w:p w14:paraId="0C634B58">
            <w:pPr>
              <w:tabs>
                <w:tab w:val="left" w:pos="1134"/>
              </w:tabs>
              <w:spacing w:line="360" w:lineRule="exact"/>
              <w:outlineLvl w:val="9"/>
              <w:rPr>
                <w:rFonts w:hint="eastAsia" w:ascii="仿宋" w:hAnsi="仿宋" w:eastAsia="仿宋" w:cs="仿宋"/>
                <w:color w:val="auto"/>
                <w:szCs w:val="21"/>
                <w:highlight w:val="none"/>
                <w:u w:val="single"/>
              </w:rPr>
            </w:pPr>
          </w:p>
        </w:tc>
        <w:tc>
          <w:tcPr>
            <w:tcW w:w="1933" w:type="pct"/>
            <w:tcBorders>
              <w:top w:val="single" w:color="auto" w:sz="4" w:space="0"/>
              <w:left w:val="single" w:color="auto" w:sz="4" w:space="0"/>
              <w:bottom w:val="single" w:color="auto" w:sz="4" w:space="0"/>
              <w:right w:val="single" w:color="auto" w:sz="4" w:space="0"/>
            </w:tcBorders>
            <w:vAlign w:val="center"/>
          </w:tcPr>
          <w:p w14:paraId="352234EE">
            <w:pPr>
              <w:jc w:val="center"/>
              <w:outlineLvl w:val="9"/>
              <w:rPr>
                <w:rFonts w:hint="eastAsia" w:ascii="仿宋" w:hAnsi="仿宋" w:eastAsia="仿宋" w:cs="仿宋"/>
                <w:color w:val="auto"/>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12E8C082">
            <w:pPr>
              <w:jc w:val="center"/>
              <w:outlineLvl w:val="9"/>
              <w:rPr>
                <w:rFonts w:hint="eastAsia" w:ascii="仿宋" w:hAnsi="仿宋" w:eastAsia="仿宋" w:cs="仿宋"/>
                <w:color w:val="auto"/>
                <w:szCs w:val="21"/>
                <w:highlight w:val="none"/>
              </w:rPr>
            </w:pPr>
          </w:p>
        </w:tc>
      </w:tr>
      <w:tr w14:paraId="4294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86" w:type="pct"/>
            <w:tcBorders>
              <w:top w:val="single" w:color="auto" w:sz="4" w:space="0"/>
              <w:left w:val="single" w:color="auto" w:sz="4" w:space="0"/>
              <w:bottom w:val="single" w:color="auto" w:sz="4" w:space="0"/>
              <w:right w:val="single" w:color="auto" w:sz="4" w:space="0"/>
            </w:tcBorders>
            <w:vAlign w:val="center"/>
          </w:tcPr>
          <w:p w14:paraId="5AA873CE">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772" w:type="pct"/>
            <w:tcBorders>
              <w:top w:val="single" w:color="auto" w:sz="4" w:space="0"/>
              <w:left w:val="single" w:color="auto" w:sz="4" w:space="0"/>
              <w:bottom w:val="single" w:color="auto" w:sz="4" w:space="0"/>
              <w:right w:val="single" w:color="auto" w:sz="4" w:space="0"/>
            </w:tcBorders>
            <w:vAlign w:val="center"/>
          </w:tcPr>
          <w:p w14:paraId="1E697BD0">
            <w:pPr>
              <w:spacing w:line="360" w:lineRule="exact"/>
              <w:outlineLvl w:val="9"/>
              <w:rPr>
                <w:rFonts w:hint="eastAsia" w:ascii="仿宋" w:hAnsi="仿宋" w:eastAsia="仿宋" w:cs="仿宋"/>
                <w:color w:val="auto"/>
                <w:szCs w:val="21"/>
                <w:highlight w:val="none"/>
              </w:rPr>
            </w:pPr>
          </w:p>
        </w:tc>
        <w:tc>
          <w:tcPr>
            <w:tcW w:w="1933" w:type="pct"/>
            <w:tcBorders>
              <w:top w:val="single" w:color="auto" w:sz="4" w:space="0"/>
              <w:left w:val="single" w:color="auto" w:sz="4" w:space="0"/>
              <w:bottom w:val="single" w:color="auto" w:sz="4" w:space="0"/>
              <w:right w:val="single" w:color="auto" w:sz="4" w:space="0"/>
            </w:tcBorders>
            <w:vAlign w:val="center"/>
          </w:tcPr>
          <w:p w14:paraId="0D33E879">
            <w:pPr>
              <w:jc w:val="center"/>
              <w:outlineLvl w:val="9"/>
              <w:rPr>
                <w:rFonts w:hint="eastAsia" w:ascii="仿宋" w:hAnsi="仿宋" w:eastAsia="仿宋" w:cs="仿宋"/>
                <w:color w:val="auto"/>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74C6882E">
            <w:pPr>
              <w:jc w:val="center"/>
              <w:outlineLvl w:val="9"/>
              <w:rPr>
                <w:rFonts w:hint="eastAsia" w:ascii="仿宋" w:hAnsi="仿宋" w:eastAsia="仿宋" w:cs="仿宋"/>
                <w:color w:val="auto"/>
                <w:szCs w:val="21"/>
                <w:highlight w:val="none"/>
              </w:rPr>
            </w:pPr>
          </w:p>
        </w:tc>
      </w:tr>
      <w:tr w14:paraId="2597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86" w:type="pct"/>
            <w:tcBorders>
              <w:top w:val="single" w:color="auto" w:sz="4" w:space="0"/>
              <w:left w:val="single" w:color="auto" w:sz="4" w:space="0"/>
              <w:bottom w:val="single" w:color="auto" w:sz="4" w:space="0"/>
              <w:right w:val="single" w:color="auto" w:sz="4" w:space="0"/>
            </w:tcBorders>
            <w:vAlign w:val="center"/>
          </w:tcPr>
          <w:p w14:paraId="09939073">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772" w:type="pct"/>
            <w:tcBorders>
              <w:top w:val="single" w:color="auto" w:sz="4" w:space="0"/>
              <w:left w:val="single" w:color="auto" w:sz="4" w:space="0"/>
              <w:bottom w:val="single" w:color="auto" w:sz="4" w:space="0"/>
              <w:right w:val="single" w:color="auto" w:sz="4" w:space="0"/>
            </w:tcBorders>
            <w:vAlign w:val="center"/>
          </w:tcPr>
          <w:p w14:paraId="6AABC2CB">
            <w:pPr>
              <w:spacing w:line="360" w:lineRule="exact"/>
              <w:outlineLvl w:val="9"/>
              <w:rPr>
                <w:rFonts w:hint="eastAsia" w:ascii="仿宋" w:hAnsi="仿宋" w:eastAsia="仿宋" w:cs="仿宋"/>
                <w:color w:val="auto"/>
                <w:szCs w:val="21"/>
                <w:highlight w:val="none"/>
              </w:rPr>
            </w:pPr>
          </w:p>
        </w:tc>
        <w:tc>
          <w:tcPr>
            <w:tcW w:w="1933" w:type="pct"/>
            <w:tcBorders>
              <w:top w:val="single" w:color="auto" w:sz="4" w:space="0"/>
              <w:left w:val="single" w:color="auto" w:sz="4" w:space="0"/>
              <w:bottom w:val="single" w:color="auto" w:sz="4" w:space="0"/>
              <w:right w:val="single" w:color="auto" w:sz="4" w:space="0"/>
            </w:tcBorders>
            <w:vAlign w:val="center"/>
          </w:tcPr>
          <w:p w14:paraId="0D905C6F">
            <w:pPr>
              <w:jc w:val="center"/>
              <w:outlineLvl w:val="9"/>
              <w:rPr>
                <w:rFonts w:hint="eastAsia" w:ascii="仿宋" w:hAnsi="仿宋" w:eastAsia="仿宋" w:cs="仿宋"/>
                <w:color w:val="auto"/>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7DC7FE0D">
            <w:pPr>
              <w:jc w:val="center"/>
              <w:outlineLvl w:val="9"/>
              <w:rPr>
                <w:rFonts w:hint="eastAsia" w:ascii="仿宋" w:hAnsi="仿宋" w:eastAsia="仿宋" w:cs="仿宋"/>
                <w:color w:val="auto"/>
                <w:szCs w:val="21"/>
                <w:highlight w:val="none"/>
              </w:rPr>
            </w:pPr>
          </w:p>
        </w:tc>
      </w:tr>
      <w:tr w14:paraId="7495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86" w:type="pct"/>
            <w:tcBorders>
              <w:top w:val="single" w:color="auto" w:sz="4" w:space="0"/>
              <w:left w:val="single" w:color="auto" w:sz="4" w:space="0"/>
              <w:bottom w:val="single" w:color="auto" w:sz="4" w:space="0"/>
              <w:right w:val="single" w:color="auto" w:sz="4" w:space="0"/>
            </w:tcBorders>
            <w:vAlign w:val="center"/>
          </w:tcPr>
          <w:p w14:paraId="5764B0BC">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772" w:type="pct"/>
            <w:tcBorders>
              <w:top w:val="single" w:color="auto" w:sz="4" w:space="0"/>
              <w:left w:val="single" w:color="auto" w:sz="4" w:space="0"/>
              <w:bottom w:val="single" w:color="auto" w:sz="4" w:space="0"/>
              <w:right w:val="single" w:color="auto" w:sz="4" w:space="0"/>
            </w:tcBorders>
            <w:vAlign w:val="center"/>
          </w:tcPr>
          <w:p w14:paraId="53D14A75">
            <w:pPr>
              <w:autoSpaceDE w:val="0"/>
              <w:autoSpaceDN w:val="0"/>
              <w:snapToGrid w:val="0"/>
              <w:spacing w:line="260" w:lineRule="exact"/>
              <w:textAlignment w:val="bottom"/>
              <w:outlineLvl w:val="9"/>
              <w:rPr>
                <w:rFonts w:hint="eastAsia" w:ascii="仿宋" w:hAnsi="仿宋" w:eastAsia="仿宋" w:cs="仿宋"/>
                <w:iCs/>
                <w:color w:val="auto"/>
                <w:szCs w:val="21"/>
                <w:highlight w:val="none"/>
              </w:rPr>
            </w:pPr>
          </w:p>
        </w:tc>
        <w:tc>
          <w:tcPr>
            <w:tcW w:w="1933" w:type="pct"/>
            <w:tcBorders>
              <w:top w:val="single" w:color="auto" w:sz="4" w:space="0"/>
              <w:left w:val="single" w:color="auto" w:sz="4" w:space="0"/>
              <w:bottom w:val="single" w:color="auto" w:sz="4" w:space="0"/>
              <w:right w:val="single" w:color="auto" w:sz="4" w:space="0"/>
            </w:tcBorders>
            <w:vAlign w:val="center"/>
          </w:tcPr>
          <w:p w14:paraId="59E0059B">
            <w:pPr>
              <w:jc w:val="center"/>
              <w:outlineLvl w:val="9"/>
              <w:rPr>
                <w:rFonts w:hint="eastAsia" w:ascii="仿宋" w:hAnsi="仿宋" w:eastAsia="仿宋" w:cs="仿宋"/>
                <w:color w:val="auto"/>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735134C5">
            <w:pPr>
              <w:jc w:val="center"/>
              <w:outlineLvl w:val="9"/>
              <w:rPr>
                <w:rFonts w:hint="eastAsia" w:ascii="仿宋" w:hAnsi="仿宋" w:eastAsia="仿宋" w:cs="仿宋"/>
                <w:color w:val="auto"/>
                <w:szCs w:val="21"/>
                <w:highlight w:val="none"/>
              </w:rPr>
            </w:pPr>
          </w:p>
        </w:tc>
      </w:tr>
      <w:tr w14:paraId="01E2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486" w:type="pct"/>
            <w:tcBorders>
              <w:top w:val="single" w:color="auto" w:sz="4" w:space="0"/>
              <w:left w:val="single" w:color="auto" w:sz="4" w:space="0"/>
              <w:bottom w:val="single" w:color="auto" w:sz="4" w:space="0"/>
              <w:right w:val="single" w:color="auto" w:sz="4" w:space="0"/>
            </w:tcBorders>
            <w:vAlign w:val="center"/>
          </w:tcPr>
          <w:p w14:paraId="41B475EB">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772" w:type="pct"/>
            <w:tcBorders>
              <w:top w:val="single" w:color="auto" w:sz="4" w:space="0"/>
              <w:left w:val="single" w:color="auto" w:sz="4" w:space="0"/>
              <w:bottom w:val="single" w:color="auto" w:sz="4" w:space="0"/>
              <w:right w:val="single" w:color="auto" w:sz="4" w:space="0"/>
            </w:tcBorders>
            <w:vAlign w:val="center"/>
          </w:tcPr>
          <w:p w14:paraId="2F3205BD">
            <w:pPr>
              <w:spacing w:line="260" w:lineRule="exact"/>
              <w:outlineLvl w:val="9"/>
              <w:rPr>
                <w:rFonts w:hint="eastAsia" w:ascii="仿宋" w:hAnsi="仿宋" w:eastAsia="仿宋" w:cs="仿宋"/>
                <w:iCs/>
                <w:color w:val="auto"/>
                <w:szCs w:val="21"/>
                <w:highlight w:val="none"/>
              </w:rPr>
            </w:pPr>
          </w:p>
        </w:tc>
        <w:tc>
          <w:tcPr>
            <w:tcW w:w="1933" w:type="pct"/>
            <w:tcBorders>
              <w:top w:val="single" w:color="auto" w:sz="4" w:space="0"/>
              <w:left w:val="single" w:color="auto" w:sz="4" w:space="0"/>
              <w:bottom w:val="single" w:color="auto" w:sz="4" w:space="0"/>
              <w:right w:val="single" w:color="auto" w:sz="4" w:space="0"/>
            </w:tcBorders>
            <w:vAlign w:val="center"/>
          </w:tcPr>
          <w:p w14:paraId="3C723FC1">
            <w:pPr>
              <w:jc w:val="center"/>
              <w:outlineLvl w:val="9"/>
              <w:rPr>
                <w:rFonts w:hint="eastAsia" w:ascii="仿宋" w:hAnsi="仿宋" w:eastAsia="仿宋" w:cs="仿宋"/>
                <w:color w:val="auto"/>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5F65C5C9">
            <w:pPr>
              <w:jc w:val="center"/>
              <w:outlineLvl w:val="9"/>
              <w:rPr>
                <w:rFonts w:hint="eastAsia" w:ascii="仿宋" w:hAnsi="仿宋" w:eastAsia="仿宋" w:cs="仿宋"/>
                <w:color w:val="auto"/>
                <w:szCs w:val="21"/>
                <w:highlight w:val="none"/>
              </w:rPr>
            </w:pPr>
          </w:p>
        </w:tc>
      </w:tr>
    </w:tbl>
    <w:p w14:paraId="6C66F615">
      <w:pPr>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注意：1、请根据“第</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rPr>
        <w:t>部分  采购内容及要求”内容对应填写。缺项、漏项的将可能被认定为无效响应。2、偏离说明栏注明“正偏离”、“负偏离”或“无偏离”。 偏离的认定由磋商小组进行评议。</w:t>
      </w:r>
      <w:r>
        <w:rPr>
          <w:rFonts w:hint="eastAsia" w:ascii="仿宋" w:hAnsi="仿宋" w:eastAsia="仿宋" w:cs="仿宋"/>
          <w:color w:val="auto"/>
          <w:szCs w:val="21"/>
          <w:highlight w:val="none"/>
          <w:lang w:val="en-US" w:eastAsia="zh-CN"/>
        </w:rPr>
        <w:t>3、如供应商无任何偏离，也需在响应表中注明：“全部商务条款无偏离”并在响应文件中递交此表。</w:t>
      </w:r>
    </w:p>
    <w:p w14:paraId="1EA90EB8">
      <w:pPr>
        <w:outlineLvl w:val="9"/>
        <w:rPr>
          <w:rFonts w:hint="eastAsia" w:ascii="仿宋" w:hAnsi="仿宋" w:eastAsia="仿宋" w:cs="仿宋"/>
          <w:color w:val="auto"/>
          <w:szCs w:val="21"/>
          <w:highlight w:val="none"/>
        </w:rPr>
      </w:pPr>
    </w:p>
    <w:p w14:paraId="0B04284C">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供应商（盖章）：</w:t>
      </w:r>
    </w:p>
    <w:p w14:paraId="04B36031">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7B9864D2">
      <w:pPr>
        <w:spacing w:line="240" w:lineRule="auto"/>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br w:type="page"/>
      </w:r>
    </w:p>
    <w:p w14:paraId="7F94EF48">
      <w:pPr>
        <w:spacing w:line="480" w:lineRule="auto"/>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附件八</w:t>
      </w:r>
    </w:p>
    <w:p w14:paraId="67310B4E">
      <w:pPr>
        <w:spacing w:afterLines="50"/>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技术要求响应表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3966"/>
        <w:gridCol w:w="3366"/>
        <w:gridCol w:w="1752"/>
      </w:tblGrid>
      <w:tr w14:paraId="6FD0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39" w:type="pct"/>
            <w:tcBorders>
              <w:top w:val="single" w:color="auto" w:sz="4" w:space="0"/>
              <w:left w:val="single" w:color="auto" w:sz="4" w:space="0"/>
              <w:bottom w:val="single" w:color="auto" w:sz="4" w:space="0"/>
              <w:right w:val="single" w:color="auto" w:sz="4" w:space="0"/>
            </w:tcBorders>
            <w:vAlign w:val="center"/>
          </w:tcPr>
          <w:p w14:paraId="3540992C">
            <w:pPr>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990" w:type="pct"/>
            <w:tcBorders>
              <w:top w:val="single" w:color="auto" w:sz="4" w:space="0"/>
              <w:left w:val="single" w:color="auto" w:sz="4" w:space="0"/>
              <w:bottom w:val="single" w:color="auto" w:sz="4" w:space="0"/>
              <w:right w:val="single" w:color="auto" w:sz="4" w:space="0"/>
            </w:tcBorders>
            <w:vAlign w:val="center"/>
          </w:tcPr>
          <w:p w14:paraId="7FBA7367">
            <w:pPr>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采购文件</w:t>
            </w:r>
          </w:p>
          <w:p w14:paraId="2E1FC4C5">
            <w:pPr>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服务技术要求</w:t>
            </w:r>
          </w:p>
        </w:tc>
        <w:tc>
          <w:tcPr>
            <w:tcW w:w="1689" w:type="pct"/>
            <w:tcBorders>
              <w:top w:val="single" w:color="auto" w:sz="4" w:space="0"/>
              <w:left w:val="single" w:color="auto" w:sz="4" w:space="0"/>
              <w:bottom w:val="single" w:color="auto" w:sz="4" w:space="0"/>
              <w:right w:val="single" w:color="auto" w:sz="4" w:space="0"/>
            </w:tcBorders>
            <w:vAlign w:val="center"/>
          </w:tcPr>
          <w:p w14:paraId="0E7F8223">
            <w:pPr>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响应文件的</w:t>
            </w:r>
          </w:p>
          <w:p w14:paraId="682B4281">
            <w:pPr>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响应</w:t>
            </w:r>
          </w:p>
        </w:tc>
        <w:tc>
          <w:tcPr>
            <w:tcW w:w="879" w:type="pct"/>
            <w:tcBorders>
              <w:top w:val="single" w:color="auto" w:sz="4" w:space="0"/>
              <w:left w:val="single" w:color="auto" w:sz="4" w:space="0"/>
              <w:bottom w:val="single" w:color="auto" w:sz="4" w:space="0"/>
              <w:right w:val="single" w:color="auto" w:sz="4" w:space="0"/>
            </w:tcBorders>
            <w:vAlign w:val="center"/>
          </w:tcPr>
          <w:p w14:paraId="2FDEF15B">
            <w:pPr>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偏离说明</w:t>
            </w:r>
          </w:p>
        </w:tc>
      </w:tr>
      <w:tr w14:paraId="398B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7BD8786C">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990" w:type="pct"/>
            <w:tcBorders>
              <w:top w:val="single" w:color="auto" w:sz="4" w:space="0"/>
              <w:left w:val="single" w:color="auto" w:sz="4" w:space="0"/>
              <w:bottom w:val="single" w:color="auto" w:sz="4" w:space="0"/>
              <w:right w:val="single" w:color="auto" w:sz="4" w:space="0"/>
            </w:tcBorders>
            <w:vAlign w:val="center"/>
          </w:tcPr>
          <w:p w14:paraId="59B2DA2F">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0C6D7DC4">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53A3D7BD">
            <w:pPr>
              <w:jc w:val="center"/>
              <w:outlineLvl w:val="9"/>
              <w:rPr>
                <w:rFonts w:hint="eastAsia" w:ascii="仿宋" w:hAnsi="仿宋" w:eastAsia="仿宋" w:cs="仿宋"/>
                <w:color w:val="auto"/>
                <w:szCs w:val="21"/>
                <w:highlight w:val="none"/>
              </w:rPr>
            </w:pPr>
          </w:p>
        </w:tc>
      </w:tr>
      <w:tr w14:paraId="10F1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1A8E7F3E">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990" w:type="pct"/>
            <w:tcBorders>
              <w:top w:val="single" w:color="auto" w:sz="4" w:space="0"/>
              <w:left w:val="single" w:color="auto" w:sz="4" w:space="0"/>
              <w:bottom w:val="single" w:color="auto" w:sz="4" w:space="0"/>
              <w:right w:val="single" w:color="auto" w:sz="4" w:space="0"/>
            </w:tcBorders>
            <w:vAlign w:val="center"/>
          </w:tcPr>
          <w:p w14:paraId="0FD24813">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23C66278">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7D1FDC17">
            <w:pPr>
              <w:jc w:val="center"/>
              <w:outlineLvl w:val="9"/>
              <w:rPr>
                <w:rFonts w:hint="eastAsia" w:ascii="仿宋" w:hAnsi="仿宋" w:eastAsia="仿宋" w:cs="仿宋"/>
                <w:color w:val="auto"/>
                <w:szCs w:val="21"/>
                <w:highlight w:val="none"/>
              </w:rPr>
            </w:pPr>
          </w:p>
        </w:tc>
      </w:tr>
      <w:tr w14:paraId="5B30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323F1652">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990" w:type="pct"/>
            <w:tcBorders>
              <w:top w:val="single" w:color="auto" w:sz="4" w:space="0"/>
              <w:left w:val="single" w:color="auto" w:sz="4" w:space="0"/>
              <w:bottom w:val="single" w:color="auto" w:sz="4" w:space="0"/>
              <w:right w:val="single" w:color="auto" w:sz="4" w:space="0"/>
            </w:tcBorders>
            <w:vAlign w:val="center"/>
          </w:tcPr>
          <w:p w14:paraId="451B5003">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6B936E22">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49449952">
            <w:pPr>
              <w:jc w:val="center"/>
              <w:outlineLvl w:val="9"/>
              <w:rPr>
                <w:rFonts w:hint="eastAsia" w:ascii="仿宋" w:hAnsi="仿宋" w:eastAsia="仿宋" w:cs="仿宋"/>
                <w:color w:val="auto"/>
                <w:szCs w:val="21"/>
                <w:highlight w:val="none"/>
              </w:rPr>
            </w:pPr>
          </w:p>
        </w:tc>
      </w:tr>
      <w:tr w14:paraId="4FD2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14F259BD">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59E62F91">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689" w:type="pct"/>
            <w:tcBorders>
              <w:top w:val="single" w:color="auto" w:sz="4" w:space="0"/>
              <w:left w:val="single" w:color="auto" w:sz="4" w:space="0"/>
              <w:bottom w:val="single" w:color="auto" w:sz="4" w:space="0"/>
              <w:right w:val="single" w:color="auto" w:sz="4" w:space="0"/>
            </w:tcBorders>
            <w:vAlign w:val="center"/>
          </w:tcPr>
          <w:p w14:paraId="638955B5">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2954D89E">
            <w:pPr>
              <w:jc w:val="center"/>
              <w:outlineLvl w:val="9"/>
              <w:rPr>
                <w:rFonts w:hint="eastAsia" w:ascii="仿宋" w:hAnsi="仿宋" w:eastAsia="仿宋" w:cs="仿宋"/>
                <w:color w:val="auto"/>
                <w:szCs w:val="21"/>
                <w:highlight w:val="none"/>
              </w:rPr>
            </w:pPr>
          </w:p>
        </w:tc>
      </w:tr>
      <w:tr w14:paraId="7D12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40A4FFE6">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7D0C42CC">
            <w:pPr>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689" w:type="pct"/>
            <w:tcBorders>
              <w:top w:val="single" w:color="auto" w:sz="4" w:space="0"/>
              <w:left w:val="single" w:color="auto" w:sz="4" w:space="0"/>
              <w:bottom w:val="single" w:color="auto" w:sz="4" w:space="0"/>
              <w:right w:val="single" w:color="auto" w:sz="4" w:space="0"/>
            </w:tcBorders>
            <w:vAlign w:val="center"/>
          </w:tcPr>
          <w:p w14:paraId="70E9B231">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70635A6A">
            <w:pPr>
              <w:jc w:val="center"/>
              <w:outlineLvl w:val="9"/>
              <w:rPr>
                <w:rFonts w:hint="eastAsia" w:ascii="仿宋" w:hAnsi="仿宋" w:eastAsia="仿宋" w:cs="仿宋"/>
                <w:color w:val="auto"/>
                <w:szCs w:val="21"/>
                <w:highlight w:val="none"/>
              </w:rPr>
            </w:pPr>
          </w:p>
        </w:tc>
      </w:tr>
      <w:tr w14:paraId="3FDE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4EAE2A95">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1A060A1D">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636C17B3">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4231AD88">
            <w:pPr>
              <w:jc w:val="center"/>
              <w:outlineLvl w:val="9"/>
              <w:rPr>
                <w:rFonts w:hint="eastAsia" w:ascii="仿宋" w:hAnsi="仿宋" w:eastAsia="仿宋" w:cs="仿宋"/>
                <w:color w:val="auto"/>
                <w:szCs w:val="21"/>
                <w:highlight w:val="none"/>
              </w:rPr>
            </w:pPr>
          </w:p>
        </w:tc>
      </w:tr>
      <w:tr w14:paraId="4004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09695C9E">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7E756F99">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1141A5AF">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11FF8DA3">
            <w:pPr>
              <w:jc w:val="center"/>
              <w:outlineLvl w:val="9"/>
              <w:rPr>
                <w:rFonts w:hint="eastAsia" w:ascii="仿宋" w:hAnsi="仿宋" w:eastAsia="仿宋" w:cs="仿宋"/>
                <w:color w:val="auto"/>
                <w:szCs w:val="21"/>
                <w:highlight w:val="none"/>
              </w:rPr>
            </w:pPr>
          </w:p>
        </w:tc>
      </w:tr>
      <w:tr w14:paraId="2926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2D71F5D4">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5851C363">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4A5A1B89">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1249D622">
            <w:pPr>
              <w:jc w:val="center"/>
              <w:outlineLvl w:val="9"/>
              <w:rPr>
                <w:rFonts w:hint="eastAsia" w:ascii="仿宋" w:hAnsi="仿宋" w:eastAsia="仿宋" w:cs="仿宋"/>
                <w:color w:val="auto"/>
                <w:szCs w:val="21"/>
                <w:highlight w:val="none"/>
              </w:rPr>
            </w:pPr>
          </w:p>
        </w:tc>
      </w:tr>
      <w:tr w14:paraId="14FC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66295E20">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1C764AC8">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0D64EA08">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248CFD73">
            <w:pPr>
              <w:jc w:val="center"/>
              <w:outlineLvl w:val="9"/>
              <w:rPr>
                <w:rFonts w:hint="eastAsia" w:ascii="仿宋" w:hAnsi="仿宋" w:eastAsia="仿宋" w:cs="仿宋"/>
                <w:color w:val="auto"/>
                <w:szCs w:val="21"/>
                <w:highlight w:val="none"/>
              </w:rPr>
            </w:pPr>
          </w:p>
        </w:tc>
      </w:tr>
      <w:tr w14:paraId="1FD0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169993AE">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6EB23C6C">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050FBAAB">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11B5E738">
            <w:pPr>
              <w:jc w:val="center"/>
              <w:outlineLvl w:val="9"/>
              <w:rPr>
                <w:rFonts w:hint="eastAsia" w:ascii="仿宋" w:hAnsi="仿宋" w:eastAsia="仿宋" w:cs="仿宋"/>
                <w:color w:val="auto"/>
                <w:szCs w:val="21"/>
                <w:highlight w:val="none"/>
              </w:rPr>
            </w:pPr>
          </w:p>
        </w:tc>
      </w:tr>
      <w:tr w14:paraId="5264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5C5BF327">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7D183DE0">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7D655FB9">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06A26C83">
            <w:pPr>
              <w:jc w:val="center"/>
              <w:outlineLvl w:val="9"/>
              <w:rPr>
                <w:rFonts w:hint="eastAsia" w:ascii="仿宋" w:hAnsi="仿宋" w:eastAsia="仿宋" w:cs="仿宋"/>
                <w:color w:val="auto"/>
                <w:szCs w:val="21"/>
                <w:highlight w:val="none"/>
              </w:rPr>
            </w:pPr>
          </w:p>
        </w:tc>
      </w:tr>
      <w:tr w14:paraId="1E61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5DC1C45F">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1E3A6501">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599C5080">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716B2BF1">
            <w:pPr>
              <w:jc w:val="center"/>
              <w:outlineLvl w:val="9"/>
              <w:rPr>
                <w:rFonts w:hint="eastAsia" w:ascii="仿宋" w:hAnsi="仿宋" w:eastAsia="仿宋" w:cs="仿宋"/>
                <w:color w:val="auto"/>
                <w:szCs w:val="21"/>
                <w:highlight w:val="none"/>
              </w:rPr>
            </w:pPr>
          </w:p>
        </w:tc>
      </w:tr>
      <w:tr w14:paraId="62D1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7D996A85">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23DA2134">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025AABD5">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362EA40C">
            <w:pPr>
              <w:jc w:val="center"/>
              <w:outlineLvl w:val="9"/>
              <w:rPr>
                <w:rFonts w:hint="eastAsia" w:ascii="仿宋" w:hAnsi="仿宋" w:eastAsia="仿宋" w:cs="仿宋"/>
                <w:color w:val="auto"/>
                <w:szCs w:val="21"/>
                <w:highlight w:val="none"/>
              </w:rPr>
            </w:pPr>
          </w:p>
        </w:tc>
      </w:tr>
      <w:tr w14:paraId="66E3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9" w:type="pct"/>
            <w:tcBorders>
              <w:top w:val="single" w:color="auto" w:sz="4" w:space="0"/>
              <w:left w:val="single" w:color="auto" w:sz="4" w:space="0"/>
              <w:bottom w:val="single" w:color="auto" w:sz="4" w:space="0"/>
              <w:right w:val="single" w:color="auto" w:sz="4" w:space="0"/>
            </w:tcBorders>
            <w:vAlign w:val="center"/>
          </w:tcPr>
          <w:p w14:paraId="6D8718ED">
            <w:pPr>
              <w:jc w:val="center"/>
              <w:outlineLvl w:val="9"/>
              <w:rPr>
                <w:rFonts w:hint="eastAsia" w:ascii="仿宋" w:hAnsi="仿宋" w:eastAsia="仿宋" w:cs="仿宋"/>
                <w:color w:val="auto"/>
                <w:szCs w:val="21"/>
                <w:highlight w:val="none"/>
              </w:rPr>
            </w:pPr>
          </w:p>
        </w:tc>
        <w:tc>
          <w:tcPr>
            <w:tcW w:w="1990" w:type="pct"/>
            <w:tcBorders>
              <w:top w:val="single" w:color="auto" w:sz="4" w:space="0"/>
              <w:left w:val="single" w:color="auto" w:sz="4" w:space="0"/>
              <w:bottom w:val="single" w:color="auto" w:sz="4" w:space="0"/>
              <w:right w:val="single" w:color="auto" w:sz="4" w:space="0"/>
            </w:tcBorders>
            <w:vAlign w:val="center"/>
          </w:tcPr>
          <w:p w14:paraId="25592E92">
            <w:pPr>
              <w:jc w:val="center"/>
              <w:outlineLvl w:val="9"/>
              <w:rPr>
                <w:rFonts w:hint="eastAsia" w:ascii="仿宋" w:hAnsi="仿宋" w:eastAsia="仿宋" w:cs="仿宋"/>
                <w:color w:val="auto"/>
                <w:szCs w:val="21"/>
                <w:highlight w:val="none"/>
              </w:rPr>
            </w:pPr>
          </w:p>
        </w:tc>
        <w:tc>
          <w:tcPr>
            <w:tcW w:w="1689" w:type="pct"/>
            <w:tcBorders>
              <w:top w:val="single" w:color="auto" w:sz="4" w:space="0"/>
              <w:left w:val="single" w:color="auto" w:sz="4" w:space="0"/>
              <w:bottom w:val="single" w:color="auto" w:sz="4" w:space="0"/>
              <w:right w:val="single" w:color="auto" w:sz="4" w:space="0"/>
            </w:tcBorders>
            <w:vAlign w:val="center"/>
          </w:tcPr>
          <w:p w14:paraId="01F97EFF">
            <w:pPr>
              <w:jc w:val="center"/>
              <w:outlineLvl w:val="9"/>
              <w:rPr>
                <w:rFonts w:hint="eastAsia" w:ascii="仿宋" w:hAnsi="仿宋" w:eastAsia="仿宋" w:cs="仿宋"/>
                <w:color w:val="auto"/>
                <w:szCs w:val="21"/>
                <w:highlight w:val="none"/>
              </w:rPr>
            </w:pPr>
          </w:p>
        </w:tc>
        <w:tc>
          <w:tcPr>
            <w:tcW w:w="879" w:type="pct"/>
            <w:tcBorders>
              <w:top w:val="single" w:color="auto" w:sz="4" w:space="0"/>
              <w:left w:val="single" w:color="auto" w:sz="4" w:space="0"/>
              <w:bottom w:val="single" w:color="auto" w:sz="4" w:space="0"/>
              <w:right w:val="single" w:color="auto" w:sz="4" w:space="0"/>
            </w:tcBorders>
            <w:vAlign w:val="center"/>
          </w:tcPr>
          <w:p w14:paraId="735AD15F">
            <w:pPr>
              <w:jc w:val="center"/>
              <w:outlineLvl w:val="9"/>
              <w:rPr>
                <w:rFonts w:hint="eastAsia" w:ascii="仿宋" w:hAnsi="仿宋" w:eastAsia="仿宋" w:cs="仿宋"/>
                <w:color w:val="auto"/>
                <w:szCs w:val="21"/>
                <w:highlight w:val="none"/>
              </w:rPr>
            </w:pPr>
          </w:p>
        </w:tc>
      </w:tr>
    </w:tbl>
    <w:p w14:paraId="2B5F688D">
      <w:pPr>
        <w:spacing w:line="36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注意：1、请根据</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第</w:t>
      </w:r>
      <w:r>
        <w:rPr>
          <w:rFonts w:hint="eastAsia" w:ascii="仿宋" w:hAnsi="仿宋" w:eastAsia="仿宋" w:cs="仿宋"/>
          <w:color w:val="auto"/>
          <w:szCs w:val="21"/>
          <w:highlight w:val="none"/>
          <w:lang w:val="en-US" w:eastAsia="zh-CN"/>
        </w:rPr>
        <w:t>二</w:t>
      </w:r>
      <w:r>
        <w:rPr>
          <w:rFonts w:hint="eastAsia" w:ascii="仿宋" w:hAnsi="仿宋" w:eastAsia="仿宋" w:cs="仿宋"/>
          <w:color w:val="auto"/>
          <w:szCs w:val="21"/>
          <w:highlight w:val="none"/>
        </w:rPr>
        <w:t>部分  采购内容及要求”内容对应填写。缺项、漏项的将可能被认定为无效响应。2、偏离说明栏注明“正偏离”、“负偏离”或“无偏离”。 偏离的认定由磋商小组进行评议。</w:t>
      </w:r>
      <w:r>
        <w:rPr>
          <w:rFonts w:hint="eastAsia" w:ascii="仿宋" w:hAnsi="仿宋" w:eastAsia="仿宋" w:cs="仿宋"/>
          <w:color w:val="auto"/>
          <w:szCs w:val="21"/>
          <w:highlight w:val="none"/>
          <w:lang w:val="en-US" w:eastAsia="zh-CN"/>
        </w:rPr>
        <w:t>3、如供应商无任何偏离，也需在响应表中注明：“全部技术要求条款无偏离”并在响应文件中递交此表。</w:t>
      </w:r>
    </w:p>
    <w:p w14:paraId="5B32CC40">
      <w:pPr>
        <w:spacing w:line="360" w:lineRule="exact"/>
        <w:outlineLvl w:val="9"/>
        <w:rPr>
          <w:rFonts w:hint="eastAsia" w:ascii="仿宋" w:hAnsi="仿宋" w:eastAsia="仿宋" w:cs="仿宋"/>
          <w:color w:val="auto"/>
          <w:szCs w:val="21"/>
          <w:highlight w:val="none"/>
        </w:rPr>
      </w:pPr>
    </w:p>
    <w:p w14:paraId="168F3121">
      <w:pPr>
        <w:spacing w:line="360" w:lineRule="exact"/>
        <w:outlineLvl w:val="9"/>
        <w:rPr>
          <w:rFonts w:hint="eastAsia" w:ascii="仿宋" w:hAnsi="仿宋" w:eastAsia="仿宋" w:cs="仿宋"/>
          <w:color w:val="auto"/>
          <w:szCs w:val="21"/>
          <w:highlight w:val="none"/>
        </w:rPr>
      </w:pPr>
    </w:p>
    <w:p w14:paraId="165F515F">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供应商（盖章）：</w:t>
      </w:r>
    </w:p>
    <w:p w14:paraId="4D920928">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3B652D21">
      <w:pPr>
        <w:spacing w:line="400" w:lineRule="exact"/>
        <w:outlineLvl w:val="9"/>
        <w:rPr>
          <w:rFonts w:hint="eastAsia" w:ascii="仿宋" w:hAnsi="仿宋" w:eastAsia="仿宋" w:cs="仿宋"/>
          <w:b/>
          <w:color w:val="auto"/>
          <w:szCs w:val="21"/>
          <w:highlight w:val="none"/>
        </w:rPr>
      </w:pPr>
      <w:r>
        <w:rPr>
          <w:rFonts w:ascii="宋体" w:hAnsi="宋体" w:cs="宋体"/>
          <w:color w:val="auto"/>
          <w:szCs w:val="21"/>
          <w:highlight w:val="none"/>
        </w:rPr>
        <w:br w:type="page"/>
      </w:r>
      <w:r>
        <w:rPr>
          <w:rFonts w:hint="eastAsia" w:ascii="仿宋" w:hAnsi="仿宋" w:eastAsia="仿宋" w:cs="仿宋"/>
          <w:b/>
          <w:color w:val="auto"/>
          <w:szCs w:val="21"/>
          <w:highlight w:val="none"/>
        </w:rPr>
        <w:t>附件九</w:t>
      </w:r>
    </w:p>
    <w:p w14:paraId="06306A21">
      <w:pPr>
        <w:spacing w:line="440" w:lineRule="exact"/>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项目组主要成员情况表</w:t>
      </w:r>
    </w:p>
    <w:p w14:paraId="096E63C8">
      <w:pPr>
        <w:spacing w:line="600" w:lineRule="exact"/>
        <w:ind w:firstLine="315" w:firstLineChars="150"/>
        <w:outlineLvl w:val="9"/>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项目名称：                      磋商编号：</w:t>
      </w:r>
    </w:p>
    <w:tbl>
      <w:tblPr>
        <w:tblStyle w:val="25"/>
        <w:tblW w:w="5129" w:type="pct"/>
        <w:tblInd w:w="-10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27"/>
        <w:gridCol w:w="1418"/>
        <w:gridCol w:w="1419"/>
        <w:gridCol w:w="1419"/>
        <w:gridCol w:w="1419"/>
        <w:gridCol w:w="1997"/>
        <w:gridCol w:w="1521"/>
      </w:tblGrid>
      <w:tr w14:paraId="6FFA00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78B8BC0E">
            <w:pPr>
              <w:snapToGrid w:val="0"/>
              <w:spacing w:line="400" w:lineRule="exact"/>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94" w:type="pct"/>
            <w:noWrap w:val="0"/>
            <w:vAlign w:val="center"/>
          </w:tcPr>
          <w:p w14:paraId="09ACB33B">
            <w:pPr>
              <w:snapToGrid w:val="0"/>
              <w:spacing w:line="400" w:lineRule="exact"/>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姓名</w:t>
            </w:r>
          </w:p>
        </w:tc>
        <w:tc>
          <w:tcPr>
            <w:tcW w:w="694" w:type="pct"/>
            <w:noWrap w:val="0"/>
            <w:vAlign w:val="center"/>
          </w:tcPr>
          <w:p w14:paraId="09765EDB">
            <w:pPr>
              <w:snapToGrid w:val="0"/>
              <w:spacing w:line="400" w:lineRule="exact"/>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性别</w:t>
            </w:r>
          </w:p>
        </w:tc>
        <w:tc>
          <w:tcPr>
            <w:tcW w:w="694" w:type="pct"/>
            <w:noWrap w:val="0"/>
            <w:vAlign w:val="center"/>
          </w:tcPr>
          <w:p w14:paraId="5181DD51">
            <w:pPr>
              <w:snapToGrid w:val="0"/>
              <w:spacing w:line="400" w:lineRule="exact"/>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年龄</w:t>
            </w:r>
          </w:p>
        </w:tc>
        <w:tc>
          <w:tcPr>
            <w:tcW w:w="694" w:type="pct"/>
            <w:noWrap w:val="0"/>
            <w:vAlign w:val="center"/>
          </w:tcPr>
          <w:p w14:paraId="311CBBE3">
            <w:pPr>
              <w:snapToGrid w:val="0"/>
              <w:spacing w:line="400" w:lineRule="exact"/>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专业</w:t>
            </w:r>
          </w:p>
        </w:tc>
        <w:tc>
          <w:tcPr>
            <w:tcW w:w="977" w:type="pct"/>
            <w:noWrap w:val="0"/>
            <w:vAlign w:val="center"/>
          </w:tcPr>
          <w:p w14:paraId="1A6F3F49">
            <w:pPr>
              <w:snapToGrid w:val="0"/>
              <w:spacing w:line="400" w:lineRule="exact"/>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本项目职责</w:t>
            </w:r>
          </w:p>
        </w:tc>
        <w:tc>
          <w:tcPr>
            <w:tcW w:w="744" w:type="pct"/>
            <w:noWrap w:val="0"/>
            <w:vAlign w:val="center"/>
          </w:tcPr>
          <w:p w14:paraId="5A23BD0E">
            <w:pPr>
              <w:snapToGrid w:val="0"/>
              <w:spacing w:line="400" w:lineRule="exact"/>
              <w:jc w:val="center"/>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tc>
      </w:tr>
      <w:tr w14:paraId="206E91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1A6BE8AB">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94" w:type="pct"/>
            <w:noWrap w:val="0"/>
            <w:vAlign w:val="center"/>
          </w:tcPr>
          <w:p w14:paraId="6BEBEFC6">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59E455FE">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6B6C276D">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28FA2FCE">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4A3F0937">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5768C1A6">
            <w:pPr>
              <w:spacing w:line="400" w:lineRule="exact"/>
              <w:jc w:val="center"/>
              <w:outlineLvl w:val="9"/>
              <w:rPr>
                <w:rFonts w:hint="eastAsia" w:ascii="仿宋" w:hAnsi="仿宋" w:eastAsia="仿宋" w:cs="仿宋"/>
                <w:color w:val="auto"/>
                <w:szCs w:val="21"/>
                <w:highlight w:val="none"/>
              </w:rPr>
            </w:pPr>
          </w:p>
        </w:tc>
      </w:tr>
      <w:tr w14:paraId="4D7DF8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435E84DA">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694" w:type="pct"/>
            <w:noWrap w:val="0"/>
            <w:vAlign w:val="center"/>
          </w:tcPr>
          <w:p w14:paraId="0805774F">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164DA7CB">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6E9B308C">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44585A80">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765A1EE5">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2E6D2C1D">
            <w:pPr>
              <w:spacing w:line="400" w:lineRule="exact"/>
              <w:jc w:val="center"/>
              <w:outlineLvl w:val="9"/>
              <w:rPr>
                <w:rFonts w:hint="eastAsia" w:ascii="仿宋" w:hAnsi="仿宋" w:eastAsia="仿宋" w:cs="仿宋"/>
                <w:color w:val="auto"/>
                <w:szCs w:val="21"/>
                <w:highlight w:val="none"/>
              </w:rPr>
            </w:pPr>
          </w:p>
        </w:tc>
      </w:tr>
      <w:tr w14:paraId="6F4DF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0F7EA8B5">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94" w:type="pct"/>
            <w:noWrap w:val="0"/>
            <w:vAlign w:val="center"/>
          </w:tcPr>
          <w:p w14:paraId="20139F0C">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3D0FC915">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73D97645">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5820D0A4">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73901703">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249F164B">
            <w:pPr>
              <w:spacing w:line="400" w:lineRule="exact"/>
              <w:jc w:val="center"/>
              <w:outlineLvl w:val="9"/>
              <w:rPr>
                <w:rFonts w:hint="eastAsia" w:ascii="仿宋" w:hAnsi="仿宋" w:eastAsia="仿宋" w:cs="仿宋"/>
                <w:color w:val="auto"/>
                <w:szCs w:val="21"/>
                <w:highlight w:val="none"/>
              </w:rPr>
            </w:pPr>
          </w:p>
        </w:tc>
      </w:tr>
      <w:tr w14:paraId="17EDF2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38FA9BAA">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694" w:type="pct"/>
            <w:noWrap w:val="0"/>
            <w:vAlign w:val="center"/>
          </w:tcPr>
          <w:p w14:paraId="16C715C0">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0431AFB4">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3E124C1D">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25B91ED2">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3F6DC91D">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289EE863">
            <w:pPr>
              <w:spacing w:line="400" w:lineRule="exact"/>
              <w:jc w:val="center"/>
              <w:outlineLvl w:val="9"/>
              <w:rPr>
                <w:rFonts w:hint="eastAsia" w:ascii="仿宋" w:hAnsi="仿宋" w:eastAsia="仿宋" w:cs="仿宋"/>
                <w:color w:val="auto"/>
                <w:szCs w:val="21"/>
                <w:highlight w:val="none"/>
              </w:rPr>
            </w:pPr>
          </w:p>
        </w:tc>
      </w:tr>
      <w:tr w14:paraId="4A032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4376E31C">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694" w:type="pct"/>
            <w:noWrap w:val="0"/>
            <w:vAlign w:val="center"/>
          </w:tcPr>
          <w:p w14:paraId="526F6C17">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1F2041C5">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00B7FC5D">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54D36023">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29A6B0AE">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7525F03A">
            <w:pPr>
              <w:spacing w:line="400" w:lineRule="exact"/>
              <w:jc w:val="center"/>
              <w:outlineLvl w:val="9"/>
              <w:rPr>
                <w:rFonts w:hint="eastAsia" w:ascii="仿宋" w:hAnsi="仿宋" w:eastAsia="仿宋" w:cs="仿宋"/>
                <w:color w:val="auto"/>
                <w:szCs w:val="21"/>
                <w:highlight w:val="none"/>
              </w:rPr>
            </w:pPr>
          </w:p>
        </w:tc>
      </w:tr>
      <w:tr w14:paraId="02ACB9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4844BFED">
            <w:pPr>
              <w:spacing w:line="400" w:lineRule="exact"/>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694" w:type="pct"/>
            <w:noWrap w:val="0"/>
            <w:vAlign w:val="center"/>
          </w:tcPr>
          <w:p w14:paraId="17A1CC60">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460E5633">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3BF59017">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3F7F3758">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0FA8B52D">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27EA165F">
            <w:pPr>
              <w:spacing w:line="400" w:lineRule="exact"/>
              <w:jc w:val="center"/>
              <w:outlineLvl w:val="9"/>
              <w:rPr>
                <w:rFonts w:hint="eastAsia" w:ascii="仿宋" w:hAnsi="仿宋" w:eastAsia="仿宋" w:cs="仿宋"/>
                <w:color w:val="auto"/>
                <w:szCs w:val="21"/>
                <w:highlight w:val="none"/>
              </w:rPr>
            </w:pPr>
          </w:p>
        </w:tc>
      </w:tr>
      <w:tr w14:paraId="4BD8EA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30BCD15C">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4E4CC106">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1B09F4A5">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5CF6CC18">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0F8E9495">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14537181">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0F948654">
            <w:pPr>
              <w:spacing w:line="400" w:lineRule="exact"/>
              <w:jc w:val="center"/>
              <w:outlineLvl w:val="9"/>
              <w:rPr>
                <w:rFonts w:hint="eastAsia" w:ascii="仿宋" w:hAnsi="仿宋" w:eastAsia="仿宋" w:cs="仿宋"/>
                <w:color w:val="auto"/>
                <w:szCs w:val="21"/>
                <w:highlight w:val="none"/>
              </w:rPr>
            </w:pPr>
          </w:p>
        </w:tc>
      </w:tr>
      <w:tr w14:paraId="1FCEF9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1D88E76E">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6D060ACD">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55367CCC">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55EAB5A2">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27A08B4B">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4D002614">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61B07EDD">
            <w:pPr>
              <w:spacing w:line="400" w:lineRule="exact"/>
              <w:jc w:val="center"/>
              <w:outlineLvl w:val="9"/>
              <w:rPr>
                <w:rFonts w:hint="eastAsia" w:ascii="仿宋" w:hAnsi="仿宋" w:eastAsia="仿宋" w:cs="仿宋"/>
                <w:color w:val="auto"/>
                <w:szCs w:val="21"/>
                <w:highlight w:val="none"/>
              </w:rPr>
            </w:pPr>
          </w:p>
        </w:tc>
      </w:tr>
      <w:tr w14:paraId="49E6F9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2ABB6FAE">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5CFFDCF8">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552036A4">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37AD8B47">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3516C74E">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45C87D03">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63DB9AEF">
            <w:pPr>
              <w:spacing w:line="400" w:lineRule="exact"/>
              <w:jc w:val="center"/>
              <w:outlineLvl w:val="9"/>
              <w:rPr>
                <w:rFonts w:hint="eastAsia" w:ascii="仿宋" w:hAnsi="仿宋" w:eastAsia="仿宋" w:cs="仿宋"/>
                <w:color w:val="auto"/>
                <w:szCs w:val="21"/>
                <w:highlight w:val="none"/>
              </w:rPr>
            </w:pPr>
          </w:p>
        </w:tc>
      </w:tr>
      <w:tr w14:paraId="009805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48F39686">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2A91167A">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3BC1C2E5">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0DE6DFBC">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250467B1">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35958798">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57705353">
            <w:pPr>
              <w:spacing w:line="400" w:lineRule="exact"/>
              <w:jc w:val="center"/>
              <w:outlineLvl w:val="9"/>
              <w:rPr>
                <w:rFonts w:hint="eastAsia" w:ascii="仿宋" w:hAnsi="仿宋" w:eastAsia="仿宋" w:cs="仿宋"/>
                <w:color w:val="auto"/>
                <w:szCs w:val="21"/>
                <w:highlight w:val="none"/>
              </w:rPr>
            </w:pPr>
          </w:p>
        </w:tc>
      </w:tr>
      <w:tr w14:paraId="662BEB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503" w:type="pct"/>
            <w:noWrap w:val="0"/>
            <w:vAlign w:val="center"/>
          </w:tcPr>
          <w:p w14:paraId="0560E1D7">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6008BAA8">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0E859237">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66ABF443">
            <w:pPr>
              <w:spacing w:line="400" w:lineRule="exact"/>
              <w:jc w:val="center"/>
              <w:outlineLvl w:val="9"/>
              <w:rPr>
                <w:rFonts w:hint="eastAsia" w:ascii="仿宋" w:hAnsi="仿宋" w:eastAsia="仿宋" w:cs="仿宋"/>
                <w:color w:val="auto"/>
                <w:szCs w:val="21"/>
                <w:highlight w:val="none"/>
              </w:rPr>
            </w:pPr>
          </w:p>
        </w:tc>
        <w:tc>
          <w:tcPr>
            <w:tcW w:w="694" w:type="pct"/>
            <w:noWrap w:val="0"/>
            <w:vAlign w:val="center"/>
          </w:tcPr>
          <w:p w14:paraId="44483DF8">
            <w:pPr>
              <w:spacing w:line="400" w:lineRule="exact"/>
              <w:jc w:val="center"/>
              <w:outlineLvl w:val="9"/>
              <w:rPr>
                <w:rFonts w:hint="eastAsia" w:ascii="仿宋" w:hAnsi="仿宋" w:eastAsia="仿宋" w:cs="仿宋"/>
                <w:color w:val="auto"/>
                <w:szCs w:val="21"/>
                <w:highlight w:val="none"/>
              </w:rPr>
            </w:pPr>
          </w:p>
        </w:tc>
        <w:tc>
          <w:tcPr>
            <w:tcW w:w="977" w:type="pct"/>
            <w:noWrap w:val="0"/>
            <w:vAlign w:val="center"/>
          </w:tcPr>
          <w:p w14:paraId="09363B6A">
            <w:pPr>
              <w:spacing w:line="400" w:lineRule="exact"/>
              <w:jc w:val="center"/>
              <w:outlineLvl w:val="9"/>
              <w:rPr>
                <w:rFonts w:hint="eastAsia" w:ascii="仿宋" w:hAnsi="仿宋" w:eastAsia="仿宋" w:cs="仿宋"/>
                <w:color w:val="auto"/>
                <w:szCs w:val="21"/>
                <w:highlight w:val="none"/>
              </w:rPr>
            </w:pPr>
          </w:p>
        </w:tc>
        <w:tc>
          <w:tcPr>
            <w:tcW w:w="744" w:type="pct"/>
            <w:noWrap w:val="0"/>
            <w:vAlign w:val="center"/>
          </w:tcPr>
          <w:p w14:paraId="31CA1D14">
            <w:pPr>
              <w:spacing w:line="400" w:lineRule="exact"/>
              <w:jc w:val="center"/>
              <w:outlineLvl w:val="9"/>
              <w:rPr>
                <w:rFonts w:hint="eastAsia" w:ascii="仿宋" w:hAnsi="仿宋" w:eastAsia="仿宋" w:cs="仿宋"/>
                <w:color w:val="auto"/>
                <w:szCs w:val="21"/>
                <w:highlight w:val="none"/>
              </w:rPr>
            </w:pPr>
          </w:p>
        </w:tc>
      </w:tr>
    </w:tbl>
    <w:p w14:paraId="7544151D">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供应商（盖章）：</w:t>
      </w:r>
    </w:p>
    <w:p w14:paraId="16D200E6">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2AEE0725">
      <w:pPr>
        <w:outlineLvl w:val="9"/>
        <w:rPr>
          <w:rFonts w:hint="eastAsia" w:ascii="宋体" w:hAnsi="宋体"/>
          <w:b/>
          <w:color w:val="auto"/>
          <w:szCs w:val="21"/>
          <w:highlight w:val="none"/>
        </w:rPr>
      </w:pPr>
      <w:r>
        <w:rPr>
          <w:rFonts w:hint="eastAsia" w:ascii="宋体" w:hAnsi="宋体"/>
          <w:b/>
          <w:color w:val="auto"/>
          <w:szCs w:val="21"/>
          <w:highlight w:val="none"/>
        </w:rPr>
        <w:br w:type="page"/>
      </w:r>
    </w:p>
    <w:p w14:paraId="585E4B6E">
      <w:pPr>
        <w:spacing w:line="400" w:lineRule="exact"/>
        <w:outlineLvl w:val="9"/>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附件</w:t>
      </w:r>
      <w:r>
        <w:rPr>
          <w:rFonts w:hint="eastAsia" w:ascii="仿宋" w:hAnsi="仿宋" w:eastAsia="仿宋" w:cs="仿宋"/>
          <w:b/>
          <w:color w:val="auto"/>
          <w:szCs w:val="21"/>
          <w:highlight w:val="none"/>
          <w:lang w:val="en-US" w:eastAsia="zh-CN"/>
        </w:rPr>
        <w:t>十</w:t>
      </w:r>
    </w:p>
    <w:p w14:paraId="00445214">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类似业绩一览表</w:t>
      </w:r>
    </w:p>
    <w:p w14:paraId="5EB089CD">
      <w:pPr>
        <w:spacing w:line="600" w:lineRule="exact"/>
        <w:ind w:firstLine="315" w:firstLineChars="150"/>
        <w:outlineLvl w:val="9"/>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项目名称：                      磋商编号：</w:t>
      </w:r>
    </w:p>
    <w:tbl>
      <w:tblPr>
        <w:tblStyle w:val="25"/>
        <w:tblW w:w="5269" w:type="pct"/>
        <w:tblInd w:w="-15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60"/>
        <w:gridCol w:w="1880"/>
        <w:gridCol w:w="1656"/>
        <w:gridCol w:w="1209"/>
        <w:gridCol w:w="1533"/>
        <w:gridCol w:w="1457"/>
        <w:gridCol w:w="1790"/>
      </w:tblGrid>
      <w:tr w14:paraId="16F99D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14" w:type="pct"/>
            <w:noWrap w:val="0"/>
            <w:vAlign w:val="center"/>
          </w:tcPr>
          <w:p w14:paraId="2D5A4770">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905" w:type="pct"/>
            <w:noWrap w:val="0"/>
            <w:vAlign w:val="center"/>
          </w:tcPr>
          <w:p w14:paraId="0E6203DD">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项目名称</w:t>
            </w:r>
          </w:p>
        </w:tc>
        <w:tc>
          <w:tcPr>
            <w:tcW w:w="797" w:type="pct"/>
            <w:noWrap w:val="0"/>
            <w:vAlign w:val="center"/>
          </w:tcPr>
          <w:p w14:paraId="33BAC925">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采购人单位</w:t>
            </w:r>
          </w:p>
        </w:tc>
        <w:tc>
          <w:tcPr>
            <w:tcW w:w="582" w:type="pct"/>
            <w:noWrap w:val="0"/>
            <w:vAlign w:val="center"/>
          </w:tcPr>
          <w:p w14:paraId="289856D8">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合同金额</w:t>
            </w:r>
          </w:p>
        </w:tc>
        <w:tc>
          <w:tcPr>
            <w:tcW w:w="738" w:type="pct"/>
            <w:noWrap w:val="0"/>
            <w:vAlign w:val="center"/>
          </w:tcPr>
          <w:p w14:paraId="53B97DB6">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采购人联系人</w:t>
            </w:r>
          </w:p>
        </w:tc>
        <w:tc>
          <w:tcPr>
            <w:tcW w:w="701" w:type="pct"/>
            <w:noWrap w:val="0"/>
            <w:vAlign w:val="center"/>
          </w:tcPr>
          <w:p w14:paraId="66AF26C3">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联系电话</w:t>
            </w:r>
          </w:p>
        </w:tc>
        <w:tc>
          <w:tcPr>
            <w:tcW w:w="861" w:type="pct"/>
            <w:noWrap w:val="0"/>
            <w:vAlign w:val="center"/>
          </w:tcPr>
          <w:p w14:paraId="1F6B3C78">
            <w:pPr>
              <w:spacing w:line="400" w:lineRule="exact"/>
              <w:jc w:val="center"/>
              <w:outlineLvl w:val="9"/>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合同签订时间</w:t>
            </w:r>
          </w:p>
        </w:tc>
      </w:tr>
      <w:tr w14:paraId="25F1D6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14" w:type="pct"/>
            <w:noWrap w:val="0"/>
            <w:vAlign w:val="center"/>
          </w:tcPr>
          <w:p w14:paraId="307D12A8">
            <w:pPr>
              <w:spacing w:line="400" w:lineRule="exact"/>
              <w:jc w:val="center"/>
              <w:outlineLvl w:val="9"/>
              <w:rPr>
                <w:rFonts w:hint="eastAsia" w:ascii="仿宋" w:hAnsi="仿宋" w:eastAsia="仿宋" w:cs="仿宋"/>
                <w:color w:val="auto"/>
                <w:szCs w:val="21"/>
                <w:highlight w:val="none"/>
              </w:rPr>
            </w:pPr>
          </w:p>
        </w:tc>
        <w:tc>
          <w:tcPr>
            <w:tcW w:w="905" w:type="pct"/>
            <w:noWrap w:val="0"/>
            <w:vAlign w:val="center"/>
          </w:tcPr>
          <w:p w14:paraId="0A0757F5">
            <w:pPr>
              <w:spacing w:line="400" w:lineRule="exact"/>
              <w:jc w:val="center"/>
              <w:outlineLvl w:val="9"/>
              <w:rPr>
                <w:rFonts w:hint="eastAsia" w:ascii="仿宋" w:hAnsi="仿宋" w:eastAsia="仿宋" w:cs="仿宋"/>
                <w:color w:val="auto"/>
                <w:szCs w:val="21"/>
                <w:highlight w:val="none"/>
              </w:rPr>
            </w:pPr>
          </w:p>
        </w:tc>
        <w:tc>
          <w:tcPr>
            <w:tcW w:w="797" w:type="pct"/>
            <w:noWrap w:val="0"/>
            <w:vAlign w:val="center"/>
          </w:tcPr>
          <w:p w14:paraId="3CABEEA2">
            <w:pPr>
              <w:spacing w:line="400" w:lineRule="exact"/>
              <w:jc w:val="center"/>
              <w:outlineLvl w:val="9"/>
              <w:rPr>
                <w:rFonts w:hint="eastAsia" w:ascii="仿宋" w:hAnsi="仿宋" w:eastAsia="仿宋" w:cs="仿宋"/>
                <w:color w:val="auto"/>
                <w:szCs w:val="21"/>
                <w:highlight w:val="none"/>
              </w:rPr>
            </w:pPr>
          </w:p>
        </w:tc>
        <w:tc>
          <w:tcPr>
            <w:tcW w:w="582" w:type="pct"/>
            <w:noWrap w:val="0"/>
            <w:vAlign w:val="center"/>
          </w:tcPr>
          <w:p w14:paraId="74ACCF6A">
            <w:pPr>
              <w:spacing w:line="400" w:lineRule="exact"/>
              <w:jc w:val="center"/>
              <w:outlineLvl w:val="9"/>
              <w:rPr>
                <w:rFonts w:hint="eastAsia" w:ascii="仿宋" w:hAnsi="仿宋" w:eastAsia="仿宋" w:cs="仿宋"/>
                <w:color w:val="auto"/>
                <w:szCs w:val="21"/>
                <w:highlight w:val="none"/>
              </w:rPr>
            </w:pPr>
          </w:p>
        </w:tc>
        <w:tc>
          <w:tcPr>
            <w:tcW w:w="738" w:type="pct"/>
            <w:noWrap w:val="0"/>
            <w:vAlign w:val="center"/>
          </w:tcPr>
          <w:p w14:paraId="0394E969">
            <w:pPr>
              <w:spacing w:line="400" w:lineRule="exact"/>
              <w:jc w:val="center"/>
              <w:outlineLvl w:val="9"/>
              <w:rPr>
                <w:rFonts w:hint="eastAsia" w:ascii="仿宋" w:hAnsi="仿宋" w:eastAsia="仿宋" w:cs="仿宋"/>
                <w:color w:val="auto"/>
                <w:szCs w:val="21"/>
                <w:highlight w:val="none"/>
              </w:rPr>
            </w:pPr>
          </w:p>
        </w:tc>
        <w:tc>
          <w:tcPr>
            <w:tcW w:w="701" w:type="pct"/>
            <w:noWrap w:val="0"/>
            <w:vAlign w:val="center"/>
          </w:tcPr>
          <w:p w14:paraId="57B1C2E7">
            <w:pPr>
              <w:spacing w:line="400" w:lineRule="exact"/>
              <w:jc w:val="center"/>
              <w:outlineLvl w:val="9"/>
              <w:rPr>
                <w:rFonts w:hint="eastAsia" w:ascii="仿宋" w:hAnsi="仿宋" w:eastAsia="仿宋" w:cs="仿宋"/>
                <w:color w:val="auto"/>
                <w:szCs w:val="21"/>
                <w:highlight w:val="none"/>
              </w:rPr>
            </w:pPr>
          </w:p>
        </w:tc>
        <w:tc>
          <w:tcPr>
            <w:tcW w:w="861" w:type="pct"/>
            <w:noWrap w:val="0"/>
            <w:vAlign w:val="center"/>
          </w:tcPr>
          <w:p w14:paraId="4422E430">
            <w:pPr>
              <w:spacing w:line="400" w:lineRule="exact"/>
              <w:jc w:val="center"/>
              <w:outlineLvl w:val="9"/>
              <w:rPr>
                <w:rFonts w:hint="eastAsia" w:ascii="仿宋" w:hAnsi="仿宋" w:eastAsia="仿宋" w:cs="仿宋"/>
                <w:color w:val="auto"/>
                <w:szCs w:val="21"/>
                <w:highlight w:val="none"/>
              </w:rPr>
            </w:pPr>
          </w:p>
        </w:tc>
      </w:tr>
      <w:tr w14:paraId="0AA48B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14" w:type="pct"/>
            <w:noWrap w:val="0"/>
            <w:vAlign w:val="center"/>
          </w:tcPr>
          <w:p w14:paraId="4C17AA60">
            <w:pPr>
              <w:spacing w:line="400" w:lineRule="exact"/>
              <w:jc w:val="center"/>
              <w:outlineLvl w:val="9"/>
              <w:rPr>
                <w:rFonts w:hint="eastAsia" w:ascii="仿宋" w:hAnsi="仿宋" w:eastAsia="仿宋" w:cs="仿宋"/>
                <w:color w:val="auto"/>
                <w:szCs w:val="21"/>
                <w:highlight w:val="none"/>
              </w:rPr>
            </w:pPr>
          </w:p>
        </w:tc>
        <w:tc>
          <w:tcPr>
            <w:tcW w:w="905" w:type="pct"/>
            <w:noWrap w:val="0"/>
            <w:vAlign w:val="center"/>
          </w:tcPr>
          <w:p w14:paraId="05DBA5BB">
            <w:pPr>
              <w:spacing w:line="400" w:lineRule="exact"/>
              <w:jc w:val="center"/>
              <w:outlineLvl w:val="9"/>
              <w:rPr>
                <w:rFonts w:hint="eastAsia" w:ascii="仿宋" w:hAnsi="仿宋" w:eastAsia="仿宋" w:cs="仿宋"/>
                <w:color w:val="auto"/>
                <w:szCs w:val="21"/>
                <w:highlight w:val="none"/>
              </w:rPr>
            </w:pPr>
          </w:p>
        </w:tc>
        <w:tc>
          <w:tcPr>
            <w:tcW w:w="797" w:type="pct"/>
            <w:noWrap w:val="0"/>
            <w:vAlign w:val="center"/>
          </w:tcPr>
          <w:p w14:paraId="1A5AA76F">
            <w:pPr>
              <w:spacing w:line="400" w:lineRule="exact"/>
              <w:jc w:val="center"/>
              <w:outlineLvl w:val="9"/>
              <w:rPr>
                <w:rFonts w:hint="eastAsia" w:ascii="仿宋" w:hAnsi="仿宋" w:eastAsia="仿宋" w:cs="仿宋"/>
                <w:color w:val="auto"/>
                <w:szCs w:val="21"/>
                <w:highlight w:val="none"/>
              </w:rPr>
            </w:pPr>
          </w:p>
        </w:tc>
        <w:tc>
          <w:tcPr>
            <w:tcW w:w="582" w:type="pct"/>
            <w:noWrap w:val="0"/>
            <w:vAlign w:val="center"/>
          </w:tcPr>
          <w:p w14:paraId="22B1DE36">
            <w:pPr>
              <w:spacing w:line="400" w:lineRule="exact"/>
              <w:jc w:val="center"/>
              <w:outlineLvl w:val="9"/>
              <w:rPr>
                <w:rFonts w:hint="eastAsia" w:ascii="仿宋" w:hAnsi="仿宋" w:eastAsia="仿宋" w:cs="仿宋"/>
                <w:color w:val="auto"/>
                <w:szCs w:val="21"/>
                <w:highlight w:val="none"/>
              </w:rPr>
            </w:pPr>
          </w:p>
        </w:tc>
        <w:tc>
          <w:tcPr>
            <w:tcW w:w="738" w:type="pct"/>
            <w:noWrap w:val="0"/>
            <w:vAlign w:val="center"/>
          </w:tcPr>
          <w:p w14:paraId="75CDE1C4">
            <w:pPr>
              <w:spacing w:line="400" w:lineRule="exact"/>
              <w:jc w:val="center"/>
              <w:outlineLvl w:val="9"/>
              <w:rPr>
                <w:rFonts w:hint="eastAsia" w:ascii="仿宋" w:hAnsi="仿宋" w:eastAsia="仿宋" w:cs="仿宋"/>
                <w:color w:val="auto"/>
                <w:szCs w:val="21"/>
                <w:highlight w:val="none"/>
              </w:rPr>
            </w:pPr>
          </w:p>
        </w:tc>
        <w:tc>
          <w:tcPr>
            <w:tcW w:w="701" w:type="pct"/>
            <w:noWrap w:val="0"/>
            <w:vAlign w:val="center"/>
          </w:tcPr>
          <w:p w14:paraId="41A3A460">
            <w:pPr>
              <w:spacing w:line="400" w:lineRule="exact"/>
              <w:jc w:val="center"/>
              <w:outlineLvl w:val="9"/>
              <w:rPr>
                <w:rFonts w:hint="eastAsia" w:ascii="仿宋" w:hAnsi="仿宋" w:eastAsia="仿宋" w:cs="仿宋"/>
                <w:color w:val="auto"/>
                <w:szCs w:val="21"/>
                <w:highlight w:val="none"/>
              </w:rPr>
            </w:pPr>
          </w:p>
        </w:tc>
        <w:tc>
          <w:tcPr>
            <w:tcW w:w="861" w:type="pct"/>
            <w:noWrap w:val="0"/>
            <w:vAlign w:val="center"/>
          </w:tcPr>
          <w:p w14:paraId="6F3B7331">
            <w:pPr>
              <w:spacing w:line="400" w:lineRule="exact"/>
              <w:jc w:val="center"/>
              <w:outlineLvl w:val="9"/>
              <w:rPr>
                <w:rFonts w:hint="eastAsia" w:ascii="仿宋" w:hAnsi="仿宋" w:eastAsia="仿宋" w:cs="仿宋"/>
                <w:color w:val="auto"/>
                <w:szCs w:val="21"/>
                <w:highlight w:val="none"/>
              </w:rPr>
            </w:pPr>
          </w:p>
        </w:tc>
      </w:tr>
      <w:tr w14:paraId="5E6587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14" w:type="pct"/>
            <w:noWrap w:val="0"/>
            <w:vAlign w:val="center"/>
          </w:tcPr>
          <w:p w14:paraId="5EF51914">
            <w:pPr>
              <w:spacing w:line="400" w:lineRule="exact"/>
              <w:jc w:val="center"/>
              <w:outlineLvl w:val="9"/>
              <w:rPr>
                <w:rFonts w:hint="eastAsia" w:ascii="仿宋" w:hAnsi="仿宋" w:eastAsia="仿宋" w:cs="仿宋"/>
                <w:color w:val="auto"/>
                <w:szCs w:val="21"/>
                <w:highlight w:val="none"/>
              </w:rPr>
            </w:pPr>
          </w:p>
        </w:tc>
        <w:tc>
          <w:tcPr>
            <w:tcW w:w="905" w:type="pct"/>
            <w:noWrap w:val="0"/>
            <w:vAlign w:val="center"/>
          </w:tcPr>
          <w:p w14:paraId="722EB722">
            <w:pPr>
              <w:spacing w:line="400" w:lineRule="exact"/>
              <w:jc w:val="center"/>
              <w:outlineLvl w:val="9"/>
              <w:rPr>
                <w:rFonts w:hint="eastAsia" w:ascii="仿宋" w:hAnsi="仿宋" w:eastAsia="仿宋" w:cs="仿宋"/>
                <w:color w:val="auto"/>
                <w:szCs w:val="21"/>
                <w:highlight w:val="none"/>
              </w:rPr>
            </w:pPr>
          </w:p>
        </w:tc>
        <w:tc>
          <w:tcPr>
            <w:tcW w:w="797" w:type="pct"/>
            <w:noWrap w:val="0"/>
            <w:vAlign w:val="center"/>
          </w:tcPr>
          <w:p w14:paraId="30D7AAE3">
            <w:pPr>
              <w:spacing w:line="400" w:lineRule="exact"/>
              <w:jc w:val="center"/>
              <w:outlineLvl w:val="9"/>
              <w:rPr>
                <w:rFonts w:hint="eastAsia" w:ascii="仿宋" w:hAnsi="仿宋" w:eastAsia="仿宋" w:cs="仿宋"/>
                <w:color w:val="auto"/>
                <w:szCs w:val="21"/>
                <w:highlight w:val="none"/>
              </w:rPr>
            </w:pPr>
          </w:p>
        </w:tc>
        <w:tc>
          <w:tcPr>
            <w:tcW w:w="582" w:type="pct"/>
            <w:noWrap w:val="0"/>
            <w:vAlign w:val="center"/>
          </w:tcPr>
          <w:p w14:paraId="248744B7">
            <w:pPr>
              <w:spacing w:line="400" w:lineRule="exact"/>
              <w:jc w:val="center"/>
              <w:outlineLvl w:val="9"/>
              <w:rPr>
                <w:rFonts w:hint="eastAsia" w:ascii="仿宋" w:hAnsi="仿宋" w:eastAsia="仿宋" w:cs="仿宋"/>
                <w:color w:val="auto"/>
                <w:szCs w:val="21"/>
                <w:highlight w:val="none"/>
              </w:rPr>
            </w:pPr>
          </w:p>
        </w:tc>
        <w:tc>
          <w:tcPr>
            <w:tcW w:w="738" w:type="pct"/>
            <w:noWrap w:val="0"/>
            <w:vAlign w:val="center"/>
          </w:tcPr>
          <w:p w14:paraId="36FB330E">
            <w:pPr>
              <w:spacing w:line="400" w:lineRule="exact"/>
              <w:jc w:val="center"/>
              <w:outlineLvl w:val="9"/>
              <w:rPr>
                <w:rFonts w:hint="eastAsia" w:ascii="仿宋" w:hAnsi="仿宋" w:eastAsia="仿宋" w:cs="仿宋"/>
                <w:color w:val="auto"/>
                <w:szCs w:val="21"/>
                <w:highlight w:val="none"/>
              </w:rPr>
            </w:pPr>
          </w:p>
        </w:tc>
        <w:tc>
          <w:tcPr>
            <w:tcW w:w="701" w:type="pct"/>
            <w:noWrap w:val="0"/>
            <w:vAlign w:val="center"/>
          </w:tcPr>
          <w:p w14:paraId="7074A59E">
            <w:pPr>
              <w:spacing w:line="400" w:lineRule="exact"/>
              <w:jc w:val="center"/>
              <w:outlineLvl w:val="9"/>
              <w:rPr>
                <w:rFonts w:hint="eastAsia" w:ascii="仿宋" w:hAnsi="仿宋" w:eastAsia="仿宋" w:cs="仿宋"/>
                <w:color w:val="auto"/>
                <w:szCs w:val="21"/>
                <w:highlight w:val="none"/>
              </w:rPr>
            </w:pPr>
          </w:p>
        </w:tc>
        <w:tc>
          <w:tcPr>
            <w:tcW w:w="861" w:type="pct"/>
            <w:noWrap w:val="0"/>
            <w:vAlign w:val="center"/>
          </w:tcPr>
          <w:p w14:paraId="4E3569F3">
            <w:pPr>
              <w:spacing w:line="400" w:lineRule="exact"/>
              <w:jc w:val="center"/>
              <w:outlineLvl w:val="9"/>
              <w:rPr>
                <w:rFonts w:hint="eastAsia" w:ascii="仿宋" w:hAnsi="仿宋" w:eastAsia="仿宋" w:cs="仿宋"/>
                <w:color w:val="auto"/>
                <w:szCs w:val="21"/>
                <w:highlight w:val="none"/>
              </w:rPr>
            </w:pPr>
          </w:p>
        </w:tc>
      </w:tr>
      <w:tr w14:paraId="3AFC1E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14" w:type="pct"/>
            <w:noWrap w:val="0"/>
            <w:vAlign w:val="center"/>
          </w:tcPr>
          <w:p w14:paraId="63989419">
            <w:pPr>
              <w:spacing w:line="400" w:lineRule="exact"/>
              <w:jc w:val="center"/>
              <w:outlineLvl w:val="9"/>
              <w:rPr>
                <w:rFonts w:hint="eastAsia" w:ascii="仿宋" w:hAnsi="仿宋" w:eastAsia="仿宋" w:cs="仿宋"/>
                <w:color w:val="auto"/>
                <w:szCs w:val="21"/>
                <w:highlight w:val="none"/>
              </w:rPr>
            </w:pPr>
          </w:p>
        </w:tc>
        <w:tc>
          <w:tcPr>
            <w:tcW w:w="905" w:type="pct"/>
            <w:noWrap w:val="0"/>
            <w:vAlign w:val="center"/>
          </w:tcPr>
          <w:p w14:paraId="1C1DC741">
            <w:pPr>
              <w:spacing w:line="400" w:lineRule="exact"/>
              <w:jc w:val="center"/>
              <w:outlineLvl w:val="9"/>
              <w:rPr>
                <w:rFonts w:hint="eastAsia" w:ascii="仿宋" w:hAnsi="仿宋" w:eastAsia="仿宋" w:cs="仿宋"/>
                <w:color w:val="auto"/>
                <w:szCs w:val="21"/>
                <w:highlight w:val="none"/>
              </w:rPr>
            </w:pPr>
          </w:p>
        </w:tc>
        <w:tc>
          <w:tcPr>
            <w:tcW w:w="797" w:type="pct"/>
            <w:noWrap w:val="0"/>
            <w:vAlign w:val="center"/>
          </w:tcPr>
          <w:p w14:paraId="7915F41E">
            <w:pPr>
              <w:spacing w:line="400" w:lineRule="exact"/>
              <w:jc w:val="center"/>
              <w:outlineLvl w:val="9"/>
              <w:rPr>
                <w:rFonts w:hint="eastAsia" w:ascii="仿宋" w:hAnsi="仿宋" w:eastAsia="仿宋" w:cs="仿宋"/>
                <w:color w:val="auto"/>
                <w:szCs w:val="21"/>
                <w:highlight w:val="none"/>
              </w:rPr>
            </w:pPr>
          </w:p>
        </w:tc>
        <w:tc>
          <w:tcPr>
            <w:tcW w:w="582" w:type="pct"/>
            <w:noWrap w:val="0"/>
            <w:vAlign w:val="center"/>
          </w:tcPr>
          <w:p w14:paraId="6037245E">
            <w:pPr>
              <w:spacing w:line="400" w:lineRule="exact"/>
              <w:jc w:val="center"/>
              <w:outlineLvl w:val="9"/>
              <w:rPr>
                <w:rFonts w:hint="eastAsia" w:ascii="仿宋" w:hAnsi="仿宋" w:eastAsia="仿宋" w:cs="仿宋"/>
                <w:color w:val="auto"/>
                <w:szCs w:val="21"/>
                <w:highlight w:val="none"/>
              </w:rPr>
            </w:pPr>
          </w:p>
        </w:tc>
        <w:tc>
          <w:tcPr>
            <w:tcW w:w="738" w:type="pct"/>
            <w:noWrap w:val="0"/>
            <w:vAlign w:val="center"/>
          </w:tcPr>
          <w:p w14:paraId="3E621D13">
            <w:pPr>
              <w:spacing w:line="400" w:lineRule="exact"/>
              <w:jc w:val="center"/>
              <w:outlineLvl w:val="9"/>
              <w:rPr>
                <w:rFonts w:hint="eastAsia" w:ascii="仿宋" w:hAnsi="仿宋" w:eastAsia="仿宋" w:cs="仿宋"/>
                <w:color w:val="auto"/>
                <w:szCs w:val="21"/>
                <w:highlight w:val="none"/>
              </w:rPr>
            </w:pPr>
          </w:p>
        </w:tc>
        <w:tc>
          <w:tcPr>
            <w:tcW w:w="701" w:type="pct"/>
            <w:noWrap w:val="0"/>
            <w:vAlign w:val="center"/>
          </w:tcPr>
          <w:p w14:paraId="2B2718E4">
            <w:pPr>
              <w:spacing w:line="400" w:lineRule="exact"/>
              <w:jc w:val="center"/>
              <w:outlineLvl w:val="9"/>
              <w:rPr>
                <w:rFonts w:hint="eastAsia" w:ascii="仿宋" w:hAnsi="仿宋" w:eastAsia="仿宋" w:cs="仿宋"/>
                <w:color w:val="auto"/>
                <w:szCs w:val="21"/>
                <w:highlight w:val="none"/>
              </w:rPr>
            </w:pPr>
          </w:p>
        </w:tc>
        <w:tc>
          <w:tcPr>
            <w:tcW w:w="861" w:type="pct"/>
            <w:noWrap w:val="0"/>
            <w:vAlign w:val="center"/>
          </w:tcPr>
          <w:p w14:paraId="482ACAC1">
            <w:pPr>
              <w:spacing w:line="400" w:lineRule="exact"/>
              <w:jc w:val="center"/>
              <w:outlineLvl w:val="9"/>
              <w:rPr>
                <w:rFonts w:hint="eastAsia" w:ascii="仿宋" w:hAnsi="仿宋" w:eastAsia="仿宋" w:cs="仿宋"/>
                <w:color w:val="auto"/>
                <w:szCs w:val="21"/>
                <w:highlight w:val="none"/>
              </w:rPr>
            </w:pPr>
          </w:p>
        </w:tc>
      </w:tr>
      <w:tr w14:paraId="257400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14" w:type="pct"/>
            <w:noWrap w:val="0"/>
            <w:vAlign w:val="center"/>
          </w:tcPr>
          <w:p w14:paraId="0E7FECFD">
            <w:pPr>
              <w:spacing w:line="400" w:lineRule="exact"/>
              <w:jc w:val="center"/>
              <w:outlineLvl w:val="9"/>
              <w:rPr>
                <w:rFonts w:hint="eastAsia" w:ascii="仿宋" w:hAnsi="仿宋" w:eastAsia="仿宋" w:cs="仿宋"/>
                <w:color w:val="auto"/>
                <w:szCs w:val="21"/>
                <w:highlight w:val="none"/>
              </w:rPr>
            </w:pPr>
          </w:p>
        </w:tc>
        <w:tc>
          <w:tcPr>
            <w:tcW w:w="905" w:type="pct"/>
            <w:noWrap w:val="0"/>
            <w:vAlign w:val="center"/>
          </w:tcPr>
          <w:p w14:paraId="0298F49E">
            <w:pPr>
              <w:spacing w:line="400" w:lineRule="exact"/>
              <w:jc w:val="center"/>
              <w:outlineLvl w:val="9"/>
              <w:rPr>
                <w:rFonts w:hint="eastAsia" w:ascii="仿宋" w:hAnsi="仿宋" w:eastAsia="仿宋" w:cs="仿宋"/>
                <w:color w:val="auto"/>
                <w:szCs w:val="21"/>
                <w:highlight w:val="none"/>
              </w:rPr>
            </w:pPr>
          </w:p>
        </w:tc>
        <w:tc>
          <w:tcPr>
            <w:tcW w:w="797" w:type="pct"/>
            <w:noWrap w:val="0"/>
            <w:vAlign w:val="center"/>
          </w:tcPr>
          <w:p w14:paraId="15545681">
            <w:pPr>
              <w:spacing w:line="400" w:lineRule="exact"/>
              <w:jc w:val="center"/>
              <w:outlineLvl w:val="9"/>
              <w:rPr>
                <w:rFonts w:hint="eastAsia" w:ascii="仿宋" w:hAnsi="仿宋" w:eastAsia="仿宋" w:cs="仿宋"/>
                <w:color w:val="auto"/>
                <w:szCs w:val="21"/>
                <w:highlight w:val="none"/>
              </w:rPr>
            </w:pPr>
          </w:p>
        </w:tc>
        <w:tc>
          <w:tcPr>
            <w:tcW w:w="582" w:type="pct"/>
            <w:noWrap w:val="0"/>
            <w:vAlign w:val="center"/>
          </w:tcPr>
          <w:p w14:paraId="6559457B">
            <w:pPr>
              <w:spacing w:line="400" w:lineRule="exact"/>
              <w:jc w:val="center"/>
              <w:outlineLvl w:val="9"/>
              <w:rPr>
                <w:rFonts w:hint="eastAsia" w:ascii="仿宋" w:hAnsi="仿宋" w:eastAsia="仿宋" w:cs="仿宋"/>
                <w:color w:val="auto"/>
                <w:szCs w:val="21"/>
                <w:highlight w:val="none"/>
              </w:rPr>
            </w:pPr>
          </w:p>
        </w:tc>
        <w:tc>
          <w:tcPr>
            <w:tcW w:w="738" w:type="pct"/>
            <w:noWrap w:val="0"/>
            <w:vAlign w:val="center"/>
          </w:tcPr>
          <w:p w14:paraId="3CC8E7B7">
            <w:pPr>
              <w:spacing w:line="400" w:lineRule="exact"/>
              <w:jc w:val="center"/>
              <w:outlineLvl w:val="9"/>
              <w:rPr>
                <w:rFonts w:hint="eastAsia" w:ascii="仿宋" w:hAnsi="仿宋" w:eastAsia="仿宋" w:cs="仿宋"/>
                <w:color w:val="auto"/>
                <w:szCs w:val="21"/>
                <w:highlight w:val="none"/>
              </w:rPr>
            </w:pPr>
          </w:p>
        </w:tc>
        <w:tc>
          <w:tcPr>
            <w:tcW w:w="701" w:type="pct"/>
            <w:noWrap w:val="0"/>
            <w:vAlign w:val="center"/>
          </w:tcPr>
          <w:p w14:paraId="58F4200F">
            <w:pPr>
              <w:spacing w:line="400" w:lineRule="exact"/>
              <w:jc w:val="center"/>
              <w:outlineLvl w:val="9"/>
              <w:rPr>
                <w:rFonts w:hint="eastAsia" w:ascii="仿宋" w:hAnsi="仿宋" w:eastAsia="仿宋" w:cs="仿宋"/>
                <w:color w:val="auto"/>
                <w:szCs w:val="21"/>
                <w:highlight w:val="none"/>
              </w:rPr>
            </w:pPr>
          </w:p>
        </w:tc>
        <w:tc>
          <w:tcPr>
            <w:tcW w:w="861" w:type="pct"/>
            <w:noWrap w:val="0"/>
            <w:vAlign w:val="center"/>
          </w:tcPr>
          <w:p w14:paraId="5D495982">
            <w:pPr>
              <w:spacing w:line="400" w:lineRule="exact"/>
              <w:jc w:val="center"/>
              <w:outlineLvl w:val="9"/>
              <w:rPr>
                <w:rFonts w:hint="eastAsia" w:ascii="仿宋" w:hAnsi="仿宋" w:eastAsia="仿宋" w:cs="仿宋"/>
                <w:color w:val="auto"/>
                <w:szCs w:val="21"/>
                <w:highlight w:val="none"/>
              </w:rPr>
            </w:pPr>
          </w:p>
        </w:tc>
      </w:tr>
      <w:tr w14:paraId="0582BB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14" w:type="pct"/>
            <w:noWrap w:val="0"/>
            <w:vAlign w:val="center"/>
          </w:tcPr>
          <w:p w14:paraId="3C95D820">
            <w:pPr>
              <w:spacing w:line="400" w:lineRule="exact"/>
              <w:jc w:val="center"/>
              <w:outlineLvl w:val="9"/>
              <w:rPr>
                <w:rFonts w:hint="eastAsia" w:ascii="仿宋" w:hAnsi="仿宋" w:eastAsia="仿宋" w:cs="仿宋"/>
                <w:color w:val="auto"/>
                <w:szCs w:val="21"/>
                <w:highlight w:val="none"/>
              </w:rPr>
            </w:pPr>
          </w:p>
        </w:tc>
        <w:tc>
          <w:tcPr>
            <w:tcW w:w="905" w:type="pct"/>
            <w:noWrap w:val="0"/>
            <w:vAlign w:val="center"/>
          </w:tcPr>
          <w:p w14:paraId="14F919AF">
            <w:pPr>
              <w:spacing w:line="400" w:lineRule="exact"/>
              <w:jc w:val="center"/>
              <w:outlineLvl w:val="9"/>
              <w:rPr>
                <w:rFonts w:hint="eastAsia" w:ascii="仿宋" w:hAnsi="仿宋" w:eastAsia="仿宋" w:cs="仿宋"/>
                <w:color w:val="auto"/>
                <w:szCs w:val="21"/>
                <w:highlight w:val="none"/>
              </w:rPr>
            </w:pPr>
          </w:p>
        </w:tc>
        <w:tc>
          <w:tcPr>
            <w:tcW w:w="797" w:type="pct"/>
            <w:noWrap w:val="0"/>
            <w:vAlign w:val="center"/>
          </w:tcPr>
          <w:p w14:paraId="3654C9EE">
            <w:pPr>
              <w:spacing w:line="400" w:lineRule="exact"/>
              <w:jc w:val="center"/>
              <w:outlineLvl w:val="9"/>
              <w:rPr>
                <w:rFonts w:hint="eastAsia" w:ascii="仿宋" w:hAnsi="仿宋" w:eastAsia="仿宋" w:cs="仿宋"/>
                <w:color w:val="auto"/>
                <w:szCs w:val="21"/>
                <w:highlight w:val="none"/>
              </w:rPr>
            </w:pPr>
          </w:p>
        </w:tc>
        <w:tc>
          <w:tcPr>
            <w:tcW w:w="582" w:type="pct"/>
            <w:noWrap w:val="0"/>
            <w:vAlign w:val="center"/>
          </w:tcPr>
          <w:p w14:paraId="6726C69E">
            <w:pPr>
              <w:spacing w:line="400" w:lineRule="exact"/>
              <w:jc w:val="center"/>
              <w:outlineLvl w:val="9"/>
              <w:rPr>
                <w:rFonts w:hint="eastAsia" w:ascii="仿宋" w:hAnsi="仿宋" w:eastAsia="仿宋" w:cs="仿宋"/>
                <w:color w:val="auto"/>
                <w:szCs w:val="21"/>
                <w:highlight w:val="none"/>
              </w:rPr>
            </w:pPr>
          </w:p>
        </w:tc>
        <w:tc>
          <w:tcPr>
            <w:tcW w:w="738" w:type="pct"/>
            <w:noWrap w:val="0"/>
            <w:vAlign w:val="center"/>
          </w:tcPr>
          <w:p w14:paraId="43497D6D">
            <w:pPr>
              <w:spacing w:line="400" w:lineRule="exact"/>
              <w:jc w:val="center"/>
              <w:outlineLvl w:val="9"/>
              <w:rPr>
                <w:rFonts w:hint="eastAsia" w:ascii="仿宋" w:hAnsi="仿宋" w:eastAsia="仿宋" w:cs="仿宋"/>
                <w:color w:val="auto"/>
                <w:szCs w:val="21"/>
                <w:highlight w:val="none"/>
              </w:rPr>
            </w:pPr>
          </w:p>
        </w:tc>
        <w:tc>
          <w:tcPr>
            <w:tcW w:w="701" w:type="pct"/>
            <w:noWrap w:val="0"/>
            <w:vAlign w:val="center"/>
          </w:tcPr>
          <w:p w14:paraId="4D4F4969">
            <w:pPr>
              <w:spacing w:line="400" w:lineRule="exact"/>
              <w:jc w:val="center"/>
              <w:outlineLvl w:val="9"/>
              <w:rPr>
                <w:rFonts w:hint="eastAsia" w:ascii="仿宋" w:hAnsi="仿宋" w:eastAsia="仿宋" w:cs="仿宋"/>
                <w:color w:val="auto"/>
                <w:szCs w:val="21"/>
                <w:highlight w:val="none"/>
              </w:rPr>
            </w:pPr>
          </w:p>
        </w:tc>
        <w:tc>
          <w:tcPr>
            <w:tcW w:w="861" w:type="pct"/>
            <w:noWrap w:val="0"/>
            <w:vAlign w:val="center"/>
          </w:tcPr>
          <w:p w14:paraId="4190EE20">
            <w:pPr>
              <w:spacing w:line="400" w:lineRule="exact"/>
              <w:jc w:val="center"/>
              <w:outlineLvl w:val="9"/>
              <w:rPr>
                <w:rFonts w:hint="eastAsia" w:ascii="仿宋" w:hAnsi="仿宋" w:eastAsia="仿宋" w:cs="仿宋"/>
                <w:color w:val="auto"/>
                <w:szCs w:val="21"/>
                <w:highlight w:val="none"/>
              </w:rPr>
            </w:pPr>
          </w:p>
        </w:tc>
      </w:tr>
      <w:tr w14:paraId="321064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14" w:type="pct"/>
            <w:noWrap w:val="0"/>
            <w:vAlign w:val="center"/>
          </w:tcPr>
          <w:p w14:paraId="0DAD4D3F">
            <w:pPr>
              <w:spacing w:line="400" w:lineRule="exact"/>
              <w:jc w:val="center"/>
              <w:outlineLvl w:val="9"/>
              <w:rPr>
                <w:rFonts w:hint="eastAsia" w:ascii="仿宋" w:hAnsi="仿宋" w:eastAsia="仿宋" w:cs="仿宋"/>
                <w:color w:val="auto"/>
                <w:szCs w:val="21"/>
                <w:highlight w:val="none"/>
              </w:rPr>
            </w:pPr>
          </w:p>
        </w:tc>
        <w:tc>
          <w:tcPr>
            <w:tcW w:w="905" w:type="pct"/>
            <w:noWrap w:val="0"/>
            <w:vAlign w:val="center"/>
          </w:tcPr>
          <w:p w14:paraId="32757287">
            <w:pPr>
              <w:spacing w:line="400" w:lineRule="exact"/>
              <w:jc w:val="center"/>
              <w:outlineLvl w:val="9"/>
              <w:rPr>
                <w:rFonts w:hint="eastAsia" w:ascii="仿宋" w:hAnsi="仿宋" w:eastAsia="仿宋" w:cs="仿宋"/>
                <w:color w:val="auto"/>
                <w:szCs w:val="21"/>
                <w:highlight w:val="none"/>
              </w:rPr>
            </w:pPr>
          </w:p>
        </w:tc>
        <w:tc>
          <w:tcPr>
            <w:tcW w:w="797" w:type="pct"/>
            <w:noWrap w:val="0"/>
            <w:vAlign w:val="center"/>
          </w:tcPr>
          <w:p w14:paraId="5B0EC12C">
            <w:pPr>
              <w:spacing w:line="400" w:lineRule="exact"/>
              <w:jc w:val="center"/>
              <w:outlineLvl w:val="9"/>
              <w:rPr>
                <w:rFonts w:hint="eastAsia" w:ascii="仿宋" w:hAnsi="仿宋" w:eastAsia="仿宋" w:cs="仿宋"/>
                <w:color w:val="auto"/>
                <w:szCs w:val="21"/>
                <w:highlight w:val="none"/>
              </w:rPr>
            </w:pPr>
          </w:p>
        </w:tc>
        <w:tc>
          <w:tcPr>
            <w:tcW w:w="582" w:type="pct"/>
            <w:noWrap w:val="0"/>
            <w:vAlign w:val="center"/>
          </w:tcPr>
          <w:p w14:paraId="085C9E64">
            <w:pPr>
              <w:spacing w:line="400" w:lineRule="exact"/>
              <w:jc w:val="center"/>
              <w:outlineLvl w:val="9"/>
              <w:rPr>
                <w:rFonts w:hint="eastAsia" w:ascii="仿宋" w:hAnsi="仿宋" w:eastAsia="仿宋" w:cs="仿宋"/>
                <w:color w:val="auto"/>
                <w:szCs w:val="21"/>
                <w:highlight w:val="none"/>
              </w:rPr>
            </w:pPr>
          </w:p>
        </w:tc>
        <w:tc>
          <w:tcPr>
            <w:tcW w:w="738" w:type="pct"/>
            <w:noWrap w:val="0"/>
            <w:vAlign w:val="center"/>
          </w:tcPr>
          <w:p w14:paraId="3136DC5F">
            <w:pPr>
              <w:spacing w:line="400" w:lineRule="exact"/>
              <w:jc w:val="center"/>
              <w:outlineLvl w:val="9"/>
              <w:rPr>
                <w:rFonts w:hint="eastAsia" w:ascii="仿宋" w:hAnsi="仿宋" w:eastAsia="仿宋" w:cs="仿宋"/>
                <w:color w:val="auto"/>
                <w:szCs w:val="21"/>
                <w:highlight w:val="none"/>
              </w:rPr>
            </w:pPr>
          </w:p>
        </w:tc>
        <w:tc>
          <w:tcPr>
            <w:tcW w:w="701" w:type="pct"/>
            <w:noWrap w:val="0"/>
            <w:vAlign w:val="center"/>
          </w:tcPr>
          <w:p w14:paraId="4B031211">
            <w:pPr>
              <w:spacing w:line="400" w:lineRule="exact"/>
              <w:jc w:val="center"/>
              <w:outlineLvl w:val="9"/>
              <w:rPr>
                <w:rFonts w:hint="eastAsia" w:ascii="仿宋" w:hAnsi="仿宋" w:eastAsia="仿宋" w:cs="仿宋"/>
                <w:color w:val="auto"/>
                <w:szCs w:val="21"/>
                <w:highlight w:val="none"/>
              </w:rPr>
            </w:pPr>
          </w:p>
        </w:tc>
        <w:tc>
          <w:tcPr>
            <w:tcW w:w="861" w:type="pct"/>
            <w:noWrap w:val="0"/>
            <w:vAlign w:val="center"/>
          </w:tcPr>
          <w:p w14:paraId="33A6B88B">
            <w:pPr>
              <w:spacing w:line="400" w:lineRule="exact"/>
              <w:jc w:val="center"/>
              <w:outlineLvl w:val="9"/>
              <w:rPr>
                <w:rFonts w:hint="eastAsia" w:ascii="仿宋" w:hAnsi="仿宋" w:eastAsia="仿宋" w:cs="仿宋"/>
                <w:color w:val="auto"/>
                <w:szCs w:val="21"/>
                <w:highlight w:val="none"/>
              </w:rPr>
            </w:pPr>
          </w:p>
        </w:tc>
      </w:tr>
      <w:tr w14:paraId="2F953B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14" w:type="pct"/>
            <w:noWrap w:val="0"/>
            <w:vAlign w:val="center"/>
          </w:tcPr>
          <w:p w14:paraId="11F2DF99">
            <w:pPr>
              <w:spacing w:line="400" w:lineRule="exact"/>
              <w:jc w:val="center"/>
              <w:outlineLvl w:val="9"/>
              <w:rPr>
                <w:rFonts w:hint="eastAsia" w:ascii="仿宋" w:hAnsi="仿宋" w:eastAsia="仿宋" w:cs="仿宋"/>
                <w:color w:val="auto"/>
                <w:szCs w:val="21"/>
                <w:highlight w:val="none"/>
              </w:rPr>
            </w:pPr>
          </w:p>
        </w:tc>
        <w:tc>
          <w:tcPr>
            <w:tcW w:w="905" w:type="pct"/>
            <w:noWrap w:val="0"/>
            <w:vAlign w:val="center"/>
          </w:tcPr>
          <w:p w14:paraId="425A34BC">
            <w:pPr>
              <w:spacing w:line="400" w:lineRule="exact"/>
              <w:jc w:val="center"/>
              <w:outlineLvl w:val="9"/>
              <w:rPr>
                <w:rFonts w:hint="eastAsia" w:ascii="仿宋" w:hAnsi="仿宋" w:eastAsia="仿宋" w:cs="仿宋"/>
                <w:color w:val="auto"/>
                <w:szCs w:val="21"/>
                <w:highlight w:val="none"/>
              </w:rPr>
            </w:pPr>
          </w:p>
        </w:tc>
        <w:tc>
          <w:tcPr>
            <w:tcW w:w="797" w:type="pct"/>
            <w:noWrap w:val="0"/>
            <w:vAlign w:val="center"/>
          </w:tcPr>
          <w:p w14:paraId="608EB4AC">
            <w:pPr>
              <w:spacing w:line="400" w:lineRule="exact"/>
              <w:jc w:val="center"/>
              <w:outlineLvl w:val="9"/>
              <w:rPr>
                <w:rFonts w:hint="eastAsia" w:ascii="仿宋" w:hAnsi="仿宋" w:eastAsia="仿宋" w:cs="仿宋"/>
                <w:color w:val="auto"/>
                <w:szCs w:val="21"/>
                <w:highlight w:val="none"/>
              </w:rPr>
            </w:pPr>
          </w:p>
        </w:tc>
        <w:tc>
          <w:tcPr>
            <w:tcW w:w="582" w:type="pct"/>
            <w:noWrap w:val="0"/>
            <w:vAlign w:val="center"/>
          </w:tcPr>
          <w:p w14:paraId="7DA629FB">
            <w:pPr>
              <w:spacing w:line="400" w:lineRule="exact"/>
              <w:jc w:val="center"/>
              <w:outlineLvl w:val="9"/>
              <w:rPr>
                <w:rFonts w:hint="eastAsia" w:ascii="仿宋" w:hAnsi="仿宋" w:eastAsia="仿宋" w:cs="仿宋"/>
                <w:color w:val="auto"/>
                <w:szCs w:val="21"/>
                <w:highlight w:val="none"/>
              </w:rPr>
            </w:pPr>
          </w:p>
        </w:tc>
        <w:tc>
          <w:tcPr>
            <w:tcW w:w="738" w:type="pct"/>
            <w:noWrap w:val="0"/>
            <w:vAlign w:val="center"/>
          </w:tcPr>
          <w:p w14:paraId="670266EE">
            <w:pPr>
              <w:spacing w:line="400" w:lineRule="exact"/>
              <w:jc w:val="center"/>
              <w:outlineLvl w:val="9"/>
              <w:rPr>
                <w:rFonts w:hint="eastAsia" w:ascii="仿宋" w:hAnsi="仿宋" w:eastAsia="仿宋" w:cs="仿宋"/>
                <w:color w:val="auto"/>
                <w:szCs w:val="21"/>
                <w:highlight w:val="none"/>
              </w:rPr>
            </w:pPr>
          </w:p>
        </w:tc>
        <w:tc>
          <w:tcPr>
            <w:tcW w:w="701" w:type="pct"/>
            <w:noWrap w:val="0"/>
            <w:vAlign w:val="center"/>
          </w:tcPr>
          <w:p w14:paraId="0EF7A460">
            <w:pPr>
              <w:spacing w:line="400" w:lineRule="exact"/>
              <w:jc w:val="center"/>
              <w:outlineLvl w:val="9"/>
              <w:rPr>
                <w:rFonts w:hint="eastAsia" w:ascii="仿宋" w:hAnsi="仿宋" w:eastAsia="仿宋" w:cs="仿宋"/>
                <w:color w:val="auto"/>
                <w:szCs w:val="21"/>
                <w:highlight w:val="none"/>
              </w:rPr>
            </w:pPr>
          </w:p>
        </w:tc>
        <w:tc>
          <w:tcPr>
            <w:tcW w:w="861" w:type="pct"/>
            <w:noWrap w:val="0"/>
            <w:vAlign w:val="center"/>
          </w:tcPr>
          <w:p w14:paraId="5125A739">
            <w:pPr>
              <w:spacing w:line="400" w:lineRule="exact"/>
              <w:jc w:val="center"/>
              <w:outlineLvl w:val="9"/>
              <w:rPr>
                <w:rFonts w:hint="eastAsia" w:ascii="仿宋" w:hAnsi="仿宋" w:eastAsia="仿宋" w:cs="仿宋"/>
                <w:color w:val="auto"/>
                <w:szCs w:val="21"/>
                <w:highlight w:val="none"/>
              </w:rPr>
            </w:pPr>
          </w:p>
        </w:tc>
      </w:tr>
    </w:tbl>
    <w:p w14:paraId="68CACA12">
      <w:pPr>
        <w:autoSpaceDN w:val="0"/>
        <w:jc w:val="left"/>
        <w:textAlignment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注：后附所列业绩的相关证明材料。</w:t>
      </w:r>
    </w:p>
    <w:p w14:paraId="38CC1663">
      <w:pPr>
        <w:autoSpaceDN w:val="0"/>
        <w:jc w:val="center"/>
        <w:textAlignment w:val="center"/>
        <w:outlineLvl w:val="9"/>
        <w:rPr>
          <w:rFonts w:hint="eastAsia" w:ascii="仿宋" w:hAnsi="仿宋" w:eastAsia="仿宋" w:cs="仿宋"/>
          <w:color w:val="auto"/>
          <w:szCs w:val="21"/>
          <w:highlight w:val="none"/>
        </w:rPr>
      </w:pPr>
    </w:p>
    <w:p w14:paraId="40742B5B">
      <w:pPr>
        <w:pStyle w:val="11"/>
        <w:ind w:firstLine="0"/>
        <w:outlineLvl w:val="9"/>
        <w:rPr>
          <w:rFonts w:hint="eastAsia" w:ascii="仿宋" w:hAnsi="仿宋" w:eastAsia="仿宋" w:cs="仿宋"/>
          <w:color w:val="auto"/>
          <w:sz w:val="21"/>
          <w:szCs w:val="21"/>
          <w:highlight w:val="none"/>
        </w:rPr>
      </w:pPr>
    </w:p>
    <w:p w14:paraId="2D39EF66">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供应商（盖章）：</w:t>
      </w:r>
    </w:p>
    <w:p w14:paraId="37A45C4E">
      <w:pPr>
        <w:pStyle w:val="11"/>
        <w:spacing w:line="480" w:lineRule="auto"/>
        <w:ind w:firstLine="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14:paraId="2263D4BA">
      <w:pPr>
        <w:spacing w:line="400" w:lineRule="exact"/>
        <w:ind w:firstLine="315" w:firstLineChars="150"/>
        <w:outlineLvl w:val="9"/>
        <w:rPr>
          <w:rFonts w:ascii="宋体" w:hAnsi="宋体" w:cs="宋体"/>
          <w:color w:val="auto"/>
          <w:szCs w:val="21"/>
          <w:highlight w:val="none"/>
        </w:rPr>
      </w:pPr>
    </w:p>
    <w:p w14:paraId="513D2348">
      <w:pPr>
        <w:spacing w:line="360" w:lineRule="exact"/>
        <w:outlineLvl w:val="9"/>
        <w:rPr>
          <w:rFonts w:hint="eastAsia" w:ascii="仿宋" w:hAnsi="仿宋" w:eastAsia="仿宋" w:cs="仿宋"/>
          <w:b/>
          <w:color w:val="auto"/>
          <w:szCs w:val="21"/>
          <w:highlight w:val="none"/>
          <w:lang w:val="en-US" w:eastAsia="zh-CN"/>
        </w:rPr>
      </w:pPr>
      <w:r>
        <w:rPr>
          <w:rFonts w:ascii="宋体" w:hAnsi="宋体" w:cs="宋体"/>
          <w:b/>
          <w:color w:val="auto"/>
          <w:szCs w:val="21"/>
          <w:highlight w:val="none"/>
        </w:rPr>
        <w:br w:type="page"/>
      </w:r>
      <w:r>
        <w:rPr>
          <w:rFonts w:hint="eastAsia" w:ascii="仿宋" w:hAnsi="仿宋" w:eastAsia="仿宋" w:cs="仿宋"/>
          <w:b/>
          <w:color w:val="auto"/>
          <w:szCs w:val="21"/>
          <w:highlight w:val="none"/>
          <w:lang w:val="zh-CN"/>
        </w:rPr>
        <w:t>附件十</w:t>
      </w:r>
      <w:r>
        <w:rPr>
          <w:rFonts w:hint="eastAsia" w:ascii="仿宋" w:hAnsi="仿宋" w:eastAsia="仿宋" w:cs="仿宋"/>
          <w:b/>
          <w:color w:val="auto"/>
          <w:szCs w:val="21"/>
          <w:highlight w:val="none"/>
          <w:lang w:val="en-US" w:eastAsia="zh-CN"/>
        </w:rPr>
        <w:t>一</w:t>
      </w:r>
    </w:p>
    <w:p w14:paraId="2EC0683D">
      <w:pPr>
        <w:spacing w:line="360" w:lineRule="exact"/>
        <w:jc w:val="center"/>
        <w:outlineLvl w:val="9"/>
        <w:rPr>
          <w:rFonts w:hint="eastAsia" w:ascii="仿宋" w:hAnsi="仿宋" w:eastAsia="仿宋" w:cs="仿宋"/>
          <w:color w:val="auto"/>
          <w:szCs w:val="21"/>
          <w:highlight w:val="none"/>
          <w:lang w:val="zh-CN"/>
        </w:rPr>
      </w:pPr>
      <w:r>
        <w:rPr>
          <w:rFonts w:hint="eastAsia" w:ascii="仿宋" w:hAnsi="仿宋" w:eastAsia="仿宋" w:cs="仿宋"/>
          <w:b/>
          <w:color w:val="auto"/>
          <w:szCs w:val="21"/>
          <w:highlight w:val="none"/>
        </w:rPr>
        <w:t>供应商</w:t>
      </w:r>
      <w:r>
        <w:rPr>
          <w:rFonts w:hint="eastAsia" w:ascii="仿宋" w:hAnsi="仿宋" w:eastAsia="仿宋" w:cs="仿宋"/>
          <w:b/>
          <w:color w:val="auto"/>
          <w:szCs w:val="21"/>
          <w:highlight w:val="none"/>
          <w:lang w:val="zh-CN"/>
        </w:rPr>
        <w:t>认为需要的提供的其他资料</w:t>
      </w:r>
    </w:p>
    <w:p w14:paraId="22EF1CBF">
      <w:pPr>
        <w:pStyle w:val="51"/>
        <w:snapToGrid w:val="0"/>
        <w:spacing w:line="440" w:lineRule="exact"/>
        <w:jc w:val="center"/>
        <w:outlineLvl w:val="9"/>
        <w:rPr>
          <w:rFonts w:hAnsi="宋体"/>
          <w:b/>
          <w:color w:val="auto"/>
          <w:sz w:val="28"/>
          <w:szCs w:val="28"/>
          <w:highlight w:val="none"/>
        </w:rPr>
      </w:pPr>
    </w:p>
    <w:p w14:paraId="7BCA7D6E">
      <w:pPr>
        <w:spacing w:line="500" w:lineRule="exact"/>
        <w:outlineLvl w:val="9"/>
        <w:rPr>
          <w:b/>
          <w:bCs/>
          <w:color w:val="auto"/>
          <w:highlight w:val="none"/>
        </w:rPr>
      </w:pPr>
    </w:p>
    <w:p w14:paraId="229E7D1C">
      <w:pPr>
        <w:spacing w:line="500" w:lineRule="exact"/>
        <w:rPr>
          <w:b/>
          <w:bCs/>
          <w:color w:val="auto"/>
          <w:highlight w:val="none"/>
        </w:rPr>
      </w:pPr>
    </w:p>
    <w:p w14:paraId="19743773">
      <w:pPr>
        <w:pStyle w:val="2"/>
        <w:rPr>
          <w:b/>
          <w:bCs/>
          <w:color w:val="auto"/>
          <w:highlight w:val="none"/>
        </w:rPr>
      </w:pPr>
    </w:p>
    <w:p w14:paraId="03BC0B06">
      <w:pPr>
        <w:rPr>
          <w:b/>
          <w:bCs/>
          <w:color w:val="auto"/>
          <w:highlight w:val="none"/>
        </w:rPr>
      </w:pPr>
    </w:p>
    <w:p w14:paraId="6B5E10BC">
      <w:pPr>
        <w:pStyle w:val="2"/>
        <w:rPr>
          <w:b/>
          <w:bCs/>
          <w:color w:val="auto"/>
          <w:highlight w:val="none"/>
        </w:rPr>
      </w:pPr>
    </w:p>
    <w:p w14:paraId="348ACE2B">
      <w:pPr>
        <w:rPr>
          <w:color w:val="auto"/>
          <w:highlight w:val="none"/>
        </w:rPr>
      </w:pPr>
    </w:p>
    <w:p w14:paraId="6F192F13">
      <w:pPr>
        <w:rPr>
          <w:b/>
          <w:bCs/>
          <w:color w:val="auto"/>
          <w:highlight w:val="none"/>
        </w:rPr>
      </w:pPr>
    </w:p>
    <w:p w14:paraId="476EFFFE">
      <w:pPr>
        <w:pStyle w:val="2"/>
        <w:rPr>
          <w:b/>
          <w:bCs/>
          <w:color w:val="auto"/>
          <w:highlight w:val="none"/>
        </w:rPr>
      </w:pPr>
    </w:p>
    <w:p w14:paraId="33DB2152">
      <w:pPr>
        <w:rPr>
          <w:b/>
          <w:bCs/>
          <w:color w:val="auto"/>
          <w:highlight w:val="none"/>
        </w:rPr>
      </w:pPr>
    </w:p>
    <w:p w14:paraId="04067884">
      <w:pPr>
        <w:pStyle w:val="2"/>
        <w:rPr>
          <w:b/>
          <w:bCs/>
          <w:color w:val="auto"/>
          <w:highlight w:val="none"/>
        </w:rPr>
      </w:pPr>
    </w:p>
    <w:p w14:paraId="00337DF3">
      <w:pPr>
        <w:rPr>
          <w:b/>
          <w:bCs/>
          <w:color w:val="auto"/>
          <w:highlight w:val="none"/>
        </w:rPr>
      </w:pPr>
    </w:p>
    <w:p w14:paraId="0227D85D">
      <w:pPr>
        <w:pStyle w:val="2"/>
        <w:rPr>
          <w:b/>
          <w:bCs/>
          <w:color w:val="auto"/>
          <w:highlight w:val="none"/>
        </w:rPr>
      </w:pPr>
    </w:p>
    <w:p w14:paraId="6CE027A9">
      <w:pPr>
        <w:rPr>
          <w:b/>
          <w:bCs/>
          <w:color w:val="auto"/>
          <w:highlight w:val="none"/>
        </w:rPr>
      </w:pPr>
    </w:p>
    <w:p w14:paraId="0E68BB67">
      <w:pPr>
        <w:pStyle w:val="2"/>
        <w:rPr>
          <w:b/>
          <w:bCs/>
          <w:color w:val="auto"/>
          <w:highlight w:val="none"/>
        </w:rPr>
      </w:pPr>
    </w:p>
    <w:p w14:paraId="3634D26B">
      <w:pPr>
        <w:rPr>
          <w:b/>
          <w:bCs/>
          <w:color w:val="auto"/>
          <w:highlight w:val="none"/>
        </w:rPr>
      </w:pPr>
    </w:p>
    <w:p w14:paraId="7853C280">
      <w:pPr>
        <w:pStyle w:val="2"/>
        <w:rPr>
          <w:b/>
          <w:bCs/>
          <w:color w:val="auto"/>
          <w:highlight w:val="none"/>
        </w:rPr>
      </w:pPr>
    </w:p>
    <w:p w14:paraId="1188F909">
      <w:pPr>
        <w:rPr>
          <w:b/>
          <w:bCs/>
          <w:color w:val="auto"/>
          <w:highlight w:val="none"/>
        </w:rPr>
      </w:pPr>
    </w:p>
    <w:p w14:paraId="596FDD9A">
      <w:pPr>
        <w:pStyle w:val="2"/>
        <w:rPr>
          <w:b/>
          <w:bCs/>
          <w:color w:val="auto"/>
          <w:highlight w:val="none"/>
        </w:rPr>
      </w:pPr>
    </w:p>
    <w:p w14:paraId="45890C3E">
      <w:pPr>
        <w:rPr>
          <w:b/>
          <w:bCs/>
          <w:color w:val="auto"/>
          <w:highlight w:val="none"/>
        </w:rPr>
      </w:pPr>
    </w:p>
    <w:p w14:paraId="6C26AAD9">
      <w:pPr>
        <w:spacing w:line="500" w:lineRule="exact"/>
        <w:jc w:val="center"/>
        <w:rPr>
          <w:rFonts w:ascii="宋体" w:hAnsi="宋体"/>
          <w:b/>
          <w:color w:val="auto"/>
          <w:sz w:val="36"/>
          <w:szCs w:val="36"/>
          <w:highlight w:val="none"/>
        </w:rPr>
      </w:pPr>
      <w:r>
        <w:rPr>
          <w:rFonts w:hint="eastAsia" w:ascii="宋体" w:hAnsi="宋体"/>
          <w:b/>
          <w:color w:val="auto"/>
          <w:sz w:val="36"/>
          <w:szCs w:val="36"/>
          <w:highlight w:val="none"/>
        </w:rPr>
        <w:t>投标人报名表</w:t>
      </w:r>
    </w:p>
    <w:p w14:paraId="21003874">
      <w:pPr>
        <w:spacing w:line="320" w:lineRule="exact"/>
        <w:ind w:left="-178" w:leftChars="-85"/>
        <w:rPr>
          <w:rFonts w:hint="eastAsia"/>
          <w:color w:val="auto"/>
          <w:sz w:val="28"/>
          <w:szCs w:val="28"/>
          <w:highlight w:val="none"/>
        </w:rPr>
      </w:pPr>
    </w:p>
    <w:p w14:paraId="639B0608">
      <w:pPr>
        <w:spacing w:before="142" w:beforeLines="50" w:after="142" w:afterLines="50" w:line="500" w:lineRule="exact"/>
        <w:ind w:left="-178" w:leftChars="-85" w:firstLine="105" w:firstLineChars="50"/>
        <w:rPr>
          <w:rFonts w:hint="eastAsia" w:ascii="宋体" w:hAnsi="宋体"/>
          <w:color w:val="auto"/>
          <w:szCs w:val="21"/>
          <w:highlight w:val="none"/>
        </w:rPr>
      </w:pPr>
      <w:r>
        <w:rPr>
          <w:rFonts w:hint="eastAsia" w:ascii="宋体" w:hAnsi="宋体"/>
          <w:color w:val="auto"/>
          <w:szCs w:val="21"/>
          <w:highlight w:val="none"/>
          <w:u w:val="single"/>
          <w:lang w:eastAsia="zh-CN"/>
        </w:rPr>
        <w:t>宁波安全三江工程咨询招标代理有限公司</w:t>
      </w:r>
      <w:r>
        <w:rPr>
          <w:rFonts w:hint="eastAsia" w:ascii="宋体" w:hAnsi="宋体"/>
          <w:color w:val="auto"/>
          <w:szCs w:val="21"/>
          <w:highlight w:val="none"/>
        </w:rPr>
        <w:t>：</w:t>
      </w:r>
    </w:p>
    <w:p w14:paraId="168164FB">
      <w:pPr>
        <w:snapToGrid w:val="0"/>
        <w:spacing w:before="142" w:beforeLines="50" w:line="360" w:lineRule="auto"/>
        <w:rPr>
          <w:rFonts w:ascii="宋体" w:hAnsi="宋体" w:cs="Arial"/>
          <w:color w:val="auto"/>
          <w:szCs w:val="21"/>
          <w:highlight w:val="none"/>
        </w:rPr>
      </w:pPr>
      <w:r>
        <w:rPr>
          <w:rFonts w:hint="eastAsia" w:ascii="宋体" w:hAnsi="宋体"/>
          <w:color w:val="auto"/>
          <w:szCs w:val="21"/>
          <w:highlight w:val="none"/>
        </w:rPr>
        <w:t xml:space="preserve">    本公司已获取了贵公司的</w:t>
      </w:r>
      <w:r>
        <w:rPr>
          <w:rFonts w:hint="eastAsia" w:ascii="宋体" w:hAnsi="宋体"/>
          <w:color w:val="auto"/>
          <w:szCs w:val="21"/>
          <w:highlight w:val="none"/>
          <w:u w:val="single"/>
        </w:rPr>
        <w:t xml:space="preserve">        X X X X项目    </w:t>
      </w:r>
      <w:r>
        <w:rPr>
          <w:rFonts w:hint="eastAsia" w:ascii="宋体" w:hAnsi="宋体"/>
          <w:color w:val="auto"/>
          <w:szCs w:val="21"/>
          <w:highlight w:val="none"/>
          <w:lang w:eastAsia="zh-CN"/>
        </w:rPr>
        <w:t>采购文件</w:t>
      </w:r>
      <w:r>
        <w:rPr>
          <w:rFonts w:hint="eastAsia" w:ascii="宋体" w:hAnsi="宋体"/>
          <w:color w:val="auto"/>
          <w:szCs w:val="21"/>
          <w:highlight w:val="none"/>
        </w:rPr>
        <w:t>，本公司将准时参加本次采购项目的投标，具体单位信息如下：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170"/>
        <w:gridCol w:w="1290"/>
        <w:gridCol w:w="2493"/>
      </w:tblGrid>
      <w:tr w14:paraId="2CB8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63" w:type="dxa"/>
            <w:noWrap w:val="0"/>
            <w:vAlign w:val="center"/>
          </w:tcPr>
          <w:p w14:paraId="4DF5903F">
            <w:pPr>
              <w:spacing w:line="500" w:lineRule="exact"/>
              <w:jc w:val="center"/>
              <w:rPr>
                <w:rFonts w:hint="eastAsia" w:ascii="宋体" w:hAnsi="宋体"/>
                <w:color w:val="auto"/>
                <w:szCs w:val="21"/>
                <w:highlight w:val="none"/>
              </w:rPr>
            </w:pPr>
            <w:r>
              <w:rPr>
                <w:rFonts w:hint="eastAsia" w:ascii="宋体" w:hAnsi="宋体"/>
                <w:color w:val="auto"/>
                <w:szCs w:val="21"/>
                <w:highlight w:val="none"/>
              </w:rPr>
              <w:t>投标单位名称（全称）</w:t>
            </w:r>
          </w:p>
        </w:tc>
        <w:tc>
          <w:tcPr>
            <w:tcW w:w="5953" w:type="dxa"/>
            <w:gridSpan w:val="3"/>
            <w:noWrap w:val="0"/>
            <w:vAlign w:val="center"/>
          </w:tcPr>
          <w:p w14:paraId="76A49244">
            <w:pPr>
              <w:spacing w:line="500" w:lineRule="exact"/>
              <w:rPr>
                <w:rFonts w:hint="eastAsia" w:ascii="宋体" w:hAnsi="宋体"/>
                <w:color w:val="auto"/>
                <w:szCs w:val="21"/>
                <w:highlight w:val="none"/>
              </w:rPr>
            </w:pPr>
          </w:p>
        </w:tc>
      </w:tr>
      <w:tr w14:paraId="225F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63" w:type="dxa"/>
            <w:noWrap w:val="0"/>
            <w:vAlign w:val="center"/>
          </w:tcPr>
          <w:p w14:paraId="7EF965D6">
            <w:pPr>
              <w:spacing w:line="500" w:lineRule="exact"/>
              <w:jc w:val="center"/>
              <w:rPr>
                <w:rFonts w:hint="eastAsia" w:ascii="宋体" w:hAnsi="宋体"/>
                <w:color w:val="auto"/>
                <w:szCs w:val="21"/>
                <w:highlight w:val="none"/>
              </w:rPr>
            </w:pPr>
            <w:r>
              <w:rPr>
                <w:rFonts w:hint="eastAsia" w:ascii="宋体" w:hAnsi="宋体"/>
                <w:color w:val="auto"/>
                <w:szCs w:val="21"/>
                <w:highlight w:val="none"/>
              </w:rPr>
              <w:t>投标单位办公地址</w:t>
            </w:r>
          </w:p>
        </w:tc>
        <w:tc>
          <w:tcPr>
            <w:tcW w:w="5953" w:type="dxa"/>
            <w:gridSpan w:val="3"/>
            <w:noWrap w:val="0"/>
            <w:vAlign w:val="center"/>
          </w:tcPr>
          <w:p w14:paraId="7C8B9FBD">
            <w:pPr>
              <w:spacing w:line="500" w:lineRule="exact"/>
              <w:rPr>
                <w:rFonts w:hint="eastAsia" w:ascii="宋体" w:hAnsi="宋体"/>
                <w:color w:val="auto"/>
                <w:szCs w:val="21"/>
                <w:highlight w:val="none"/>
              </w:rPr>
            </w:pPr>
          </w:p>
        </w:tc>
      </w:tr>
      <w:tr w14:paraId="2486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63" w:type="dxa"/>
            <w:noWrap w:val="0"/>
            <w:vAlign w:val="center"/>
          </w:tcPr>
          <w:p w14:paraId="46B5EBCE">
            <w:pPr>
              <w:spacing w:line="500" w:lineRule="exact"/>
              <w:jc w:val="center"/>
              <w:rPr>
                <w:rFonts w:hint="eastAsia" w:ascii="宋体" w:hAnsi="宋体"/>
                <w:color w:val="auto"/>
                <w:szCs w:val="21"/>
                <w:highlight w:val="none"/>
              </w:rPr>
            </w:pPr>
            <w:r>
              <w:rPr>
                <w:rFonts w:hint="eastAsia" w:ascii="宋体" w:hAnsi="宋体"/>
                <w:color w:val="auto"/>
                <w:szCs w:val="21"/>
                <w:highlight w:val="none"/>
              </w:rPr>
              <w:t>联系人</w:t>
            </w:r>
          </w:p>
        </w:tc>
        <w:tc>
          <w:tcPr>
            <w:tcW w:w="2170" w:type="dxa"/>
            <w:noWrap w:val="0"/>
            <w:vAlign w:val="center"/>
          </w:tcPr>
          <w:p w14:paraId="7A7A92E7">
            <w:pPr>
              <w:spacing w:line="500" w:lineRule="exact"/>
              <w:rPr>
                <w:rFonts w:hint="eastAsia" w:ascii="宋体" w:hAnsi="宋体"/>
                <w:color w:val="auto"/>
                <w:szCs w:val="21"/>
                <w:highlight w:val="none"/>
              </w:rPr>
            </w:pPr>
          </w:p>
        </w:tc>
        <w:tc>
          <w:tcPr>
            <w:tcW w:w="1290" w:type="dxa"/>
            <w:noWrap w:val="0"/>
            <w:vAlign w:val="center"/>
          </w:tcPr>
          <w:p w14:paraId="7F130C49">
            <w:pPr>
              <w:spacing w:line="500" w:lineRule="exact"/>
              <w:jc w:val="center"/>
              <w:rPr>
                <w:rFonts w:hint="eastAsia" w:ascii="宋体" w:hAnsi="宋体"/>
                <w:color w:val="auto"/>
                <w:szCs w:val="21"/>
                <w:highlight w:val="none"/>
              </w:rPr>
            </w:pPr>
            <w:r>
              <w:rPr>
                <w:rFonts w:hint="eastAsia" w:ascii="宋体" w:hAnsi="宋体"/>
                <w:color w:val="auto"/>
                <w:szCs w:val="21"/>
                <w:highlight w:val="none"/>
              </w:rPr>
              <w:t>电话/手机</w:t>
            </w:r>
          </w:p>
        </w:tc>
        <w:tc>
          <w:tcPr>
            <w:tcW w:w="2493" w:type="dxa"/>
            <w:noWrap w:val="0"/>
            <w:vAlign w:val="center"/>
          </w:tcPr>
          <w:p w14:paraId="2649F056">
            <w:pPr>
              <w:spacing w:line="500" w:lineRule="exact"/>
              <w:rPr>
                <w:rFonts w:hint="eastAsia" w:ascii="宋体" w:hAnsi="宋体"/>
                <w:color w:val="auto"/>
                <w:szCs w:val="21"/>
                <w:highlight w:val="none"/>
              </w:rPr>
            </w:pPr>
          </w:p>
        </w:tc>
      </w:tr>
      <w:tr w14:paraId="3CC2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63" w:type="dxa"/>
            <w:noWrap w:val="0"/>
            <w:vAlign w:val="center"/>
          </w:tcPr>
          <w:p w14:paraId="424E1639">
            <w:pPr>
              <w:spacing w:line="500" w:lineRule="exact"/>
              <w:jc w:val="center"/>
              <w:rPr>
                <w:rFonts w:ascii="宋体" w:hAnsi="宋体"/>
                <w:color w:val="auto"/>
                <w:szCs w:val="21"/>
                <w:highlight w:val="none"/>
              </w:rPr>
            </w:pPr>
            <w:r>
              <w:rPr>
                <w:rFonts w:hint="eastAsia" w:ascii="宋体" w:hAnsi="宋体"/>
                <w:color w:val="auto"/>
                <w:szCs w:val="21"/>
                <w:highlight w:val="none"/>
              </w:rPr>
              <w:t>电子邮箱</w:t>
            </w:r>
          </w:p>
        </w:tc>
        <w:tc>
          <w:tcPr>
            <w:tcW w:w="2170" w:type="dxa"/>
            <w:noWrap w:val="0"/>
            <w:vAlign w:val="center"/>
          </w:tcPr>
          <w:p w14:paraId="17425133">
            <w:pPr>
              <w:spacing w:line="500" w:lineRule="exact"/>
              <w:rPr>
                <w:rFonts w:hint="eastAsia" w:ascii="宋体" w:hAnsi="宋体"/>
                <w:color w:val="auto"/>
                <w:szCs w:val="21"/>
                <w:highlight w:val="none"/>
              </w:rPr>
            </w:pPr>
          </w:p>
        </w:tc>
        <w:tc>
          <w:tcPr>
            <w:tcW w:w="1290" w:type="dxa"/>
            <w:noWrap w:val="0"/>
            <w:vAlign w:val="center"/>
          </w:tcPr>
          <w:p w14:paraId="51497F16">
            <w:pPr>
              <w:spacing w:line="500" w:lineRule="exact"/>
              <w:jc w:val="center"/>
              <w:rPr>
                <w:rFonts w:hint="eastAsia" w:ascii="宋体" w:hAnsi="宋体"/>
                <w:color w:val="auto"/>
                <w:szCs w:val="21"/>
                <w:highlight w:val="none"/>
              </w:rPr>
            </w:pPr>
            <w:r>
              <w:rPr>
                <w:rFonts w:hint="eastAsia" w:ascii="宋体" w:hAnsi="宋体"/>
                <w:color w:val="auto"/>
                <w:szCs w:val="21"/>
                <w:highlight w:val="none"/>
              </w:rPr>
              <w:t>传 真</w:t>
            </w:r>
          </w:p>
        </w:tc>
        <w:tc>
          <w:tcPr>
            <w:tcW w:w="2493" w:type="dxa"/>
            <w:noWrap w:val="0"/>
            <w:vAlign w:val="center"/>
          </w:tcPr>
          <w:p w14:paraId="727626D0">
            <w:pPr>
              <w:spacing w:line="500" w:lineRule="exact"/>
              <w:rPr>
                <w:rFonts w:hint="eastAsia" w:ascii="宋体" w:hAnsi="宋体"/>
                <w:color w:val="auto"/>
                <w:szCs w:val="21"/>
                <w:highlight w:val="none"/>
              </w:rPr>
            </w:pPr>
          </w:p>
        </w:tc>
      </w:tr>
      <w:tr w14:paraId="0CC01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63" w:type="dxa"/>
            <w:noWrap w:val="0"/>
            <w:vAlign w:val="center"/>
          </w:tcPr>
          <w:p w14:paraId="67D2C9CB">
            <w:pPr>
              <w:spacing w:line="500" w:lineRule="exact"/>
              <w:jc w:val="center"/>
              <w:rPr>
                <w:rFonts w:ascii="宋体" w:hAnsi="宋体"/>
                <w:color w:val="auto"/>
                <w:szCs w:val="21"/>
                <w:highlight w:val="none"/>
              </w:rPr>
            </w:pPr>
            <w:r>
              <w:rPr>
                <w:rFonts w:hint="eastAsia" w:ascii="宋体" w:hAnsi="宋体"/>
                <w:color w:val="auto"/>
                <w:szCs w:val="21"/>
                <w:highlight w:val="none"/>
              </w:rPr>
              <w:t>拟参加子包号</w:t>
            </w:r>
          </w:p>
        </w:tc>
        <w:tc>
          <w:tcPr>
            <w:tcW w:w="2170" w:type="dxa"/>
            <w:noWrap w:val="0"/>
            <w:vAlign w:val="center"/>
          </w:tcPr>
          <w:p w14:paraId="01A9B2ED">
            <w:pPr>
              <w:spacing w:line="500" w:lineRule="exact"/>
              <w:rPr>
                <w:rFonts w:hint="eastAsia" w:ascii="宋体" w:hAnsi="宋体"/>
                <w:color w:val="auto"/>
                <w:szCs w:val="21"/>
                <w:highlight w:val="none"/>
              </w:rPr>
            </w:pPr>
            <w:r>
              <w:rPr>
                <w:rFonts w:hint="eastAsia" w:ascii="宋体" w:hAnsi="宋体"/>
                <w:color w:val="auto"/>
                <w:szCs w:val="21"/>
                <w:highlight w:val="none"/>
              </w:rPr>
              <w:t xml:space="preserve">         / </w:t>
            </w:r>
          </w:p>
        </w:tc>
        <w:tc>
          <w:tcPr>
            <w:tcW w:w="1290" w:type="dxa"/>
            <w:noWrap w:val="0"/>
            <w:vAlign w:val="center"/>
          </w:tcPr>
          <w:p w14:paraId="7A25FE43">
            <w:pPr>
              <w:spacing w:line="500" w:lineRule="exact"/>
              <w:jc w:val="center"/>
              <w:rPr>
                <w:rFonts w:hint="eastAsia" w:ascii="宋体" w:hAnsi="宋体"/>
                <w:color w:val="auto"/>
                <w:szCs w:val="21"/>
                <w:highlight w:val="none"/>
              </w:rPr>
            </w:pPr>
            <w:r>
              <w:rPr>
                <w:rFonts w:hint="eastAsia" w:ascii="宋体" w:hAnsi="宋体"/>
                <w:color w:val="auto"/>
                <w:szCs w:val="21"/>
                <w:highlight w:val="none"/>
              </w:rPr>
              <w:t>企业规模</w:t>
            </w:r>
          </w:p>
        </w:tc>
        <w:tc>
          <w:tcPr>
            <w:tcW w:w="2493" w:type="dxa"/>
            <w:noWrap w:val="0"/>
            <w:vAlign w:val="center"/>
          </w:tcPr>
          <w:p w14:paraId="05CFA0C9">
            <w:pPr>
              <w:spacing w:line="500" w:lineRule="exact"/>
              <w:ind w:firstLine="105" w:firstLineChars="50"/>
              <w:rPr>
                <w:rFonts w:hint="eastAsia" w:ascii="宋体" w:hAnsi="宋体"/>
                <w:color w:val="auto"/>
                <w:szCs w:val="21"/>
                <w:highlight w:val="none"/>
              </w:rPr>
            </w:pPr>
            <w:r>
              <w:rPr>
                <w:rFonts w:hint="eastAsia" w:ascii="宋体" w:hAnsi="宋体"/>
                <w:color w:val="auto"/>
                <w:szCs w:val="21"/>
                <w:highlight w:val="none"/>
              </w:rPr>
              <w:t>/</w:t>
            </w:r>
          </w:p>
        </w:tc>
      </w:tr>
      <w:tr w14:paraId="112C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2463" w:type="dxa"/>
            <w:noWrap w:val="0"/>
            <w:vAlign w:val="center"/>
          </w:tcPr>
          <w:p w14:paraId="187DA522">
            <w:pPr>
              <w:spacing w:line="500" w:lineRule="exact"/>
              <w:jc w:val="center"/>
              <w:rPr>
                <w:rFonts w:hint="eastAsia" w:ascii="宋体" w:hAnsi="宋体"/>
                <w:color w:val="auto"/>
                <w:szCs w:val="21"/>
                <w:highlight w:val="none"/>
              </w:rPr>
            </w:pPr>
            <w:r>
              <w:rPr>
                <w:rFonts w:hint="eastAsia" w:ascii="宋体" w:hAnsi="宋体"/>
                <w:color w:val="auto"/>
                <w:szCs w:val="21"/>
                <w:highlight w:val="none"/>
              </w:rPr>
              <w:t>纳税人分类</w:t>
            </w:r>
          </w:p>
        </w:tc>
        <w:tc>
          <w:tcPr>
            <w:tcW w:w="5953" w:type="dxa"/>
            <w:gridSpan w:val="3"/>
            <w:noWrap w:val="0"/>
            <w:vAlign w:val="center"/>
          </w:tcPr>
          <w:p w14:paraId="696CAAF5">
            <w:pPr>
              <w:spacing w:line="500" w:lineRule="exact"/>
              <w:ind w:firstLine="210" w:firstLineChars="100"/>
              <w:rPr>
                <w:rFonts w:hint="eastAsia" w:ascii="宋体" w:hAnsi="宋体"/>
                <w:color w:val="auto"/>
                <w:szCs w:val="21"/>
                <w:highlight w:val="none"/>
              </w:rPr>
            </w:pPr>
            <w:r>
              <w:rPr>
                <w:rFonts w:hint="eastAsia" w:ascii="宋体" w:hAnsi="宋体"/>
                <w:color w:val="auto"/>
                <w:szCs w:val="21"/>
                <w:highlight w:val="none"/>
              </w:rPr>
              <w:t>/</w:t>
            </w:r>
          </w:p>
        </w:tc>
      </w:tr>
      <w:tr w14:paraId="2C13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463" w:type="dxa"/>
            <w:noWrap w:val="0"/>
            <w:vAlign w:val="center"/>
          </w:tcPr>
          <w:p w14:paraId="037648F5">
            <w:pPr>
              <w:spacing w:line="320" w:lineRule="atLeast"/>
              <w:jc w:val="center"/>
              <w:rPr>
                <w:rFonts w:hint="eastAsia" w:ascii="宋体" w:hAnsi="宋体"/>
                <w:color w:val="auto"/>
                <w:szCs w:val="21"/>
                <w:highlight w:val="none"/>
              </w:rPr>
            </w:pPr>
            <w:r>
              <w:rPr>
                <w:rFonts w:hint="eastAsia" w:ascii="宋体" w:hAnsi="宋体"/>
                <w:color w:val="auto"/>
                <w:szCs w:val="21"/>
                <w:highlight w:val="none"/>
              </w:rPr>
              <w:t>发票开票信息</w:t>
            </w:r>
          </w:p>
        </w:tc>
        <w:tc>
          <w:tcPr>
            <w:tcW w:w="2170" w:type="dxa"/>
            <w:noWrap w:val="0"/>
            <w:vAlign w:val="center"/>
          </w:tcPr>
          <w:p w14:paraId="1857B45E">
            <w:pPr>
              <w:spacing w:line="500" w:lineRule="exact"/>
              <w:jc w:val="center"/>
              <w:rPr>
                <w:rFonts w:hint="eastAsia" w:ascii="宋体" w:hAnsi="宋体"/>
                <w:color w:val="auto"/>
                <w:szCs w:val="21"/>
                <w:highlight w:val="none"/>
              </w:rPr>
            </w:pPr>
            <w:r>
              <w:rPr>
                <w:rFonts w:hint="eastAsia" w:ascii="宋体" w:hAnsi="宋体"/>
                <w:color w:val="auto"/>
                <w:szCs w:val="21"/>
                <w:highlight w:val="none"/>
              </w:rPr>
              <w:t>纳税人识别号</w:t>
            </w:r>
          </w:p>
        </w:tc>
        <w:tc>
          <w:tcPr>
            <w:tcW w:w="3783" w:type="dxa"/>
            <w:gridSpan w:val="2"/>
            <w:noWrap w:val="0"/>
            <w:vAlign w:val="center"/>
          </w:tcPr>
          <w:p w14:paraId="7560DCEA">
            <w:pPr>
              <w:spacing w:line="50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r>
      <w:tr w14:paraId="1E52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jc w:val="center"/>
        </w:trPr>
        <w:tc>
          <w:tcPr>
            <w:tcW w:w="2463" w:type="dxa"/>
            <w:noWrap w:val="0"/>
            <w:vAlign w:val="center"/>
          </w:tcPr>
          <w:p w14:paraId="4B369C8A">
            <w:pPr>
              <w:spacing w:line="500" w:lineRule="exact"/>
              <w:jc w:val="center"/>
              <w:rPr>
                <w:rFonts w:hint="eastAsia" w:ascii="宋体" w:hAnsi="宋体"/>
                <w:color w:val="auto"/>
                <w:szCs w:val="21"/>
                <w:highlight w:val="none"/>
              </w:rPr>
            </w:pPr>
            <w:r>
              <w:rPr>
                <w:rFonts w:hint="eastAsia" w:ascii="宋体" w:hAnsi="宋体"/>
                <w:color w:val="auto"/>
                <w:szCs w:val="21"/>
                <w:highlight w:val="none"/>
              </w:rPr>
              <w:t>备    注</w:t>
            </w:r>
          </w:p>
        </w:tc>
        <w:tc>
          <w:tcPr>
            <w:tcW w:w="5953" w:type="dxa"/>
            <w:gridSpan w:val="3"/>
            <w:noWrap w:val="0"/>
            <w:vAlign w:val="center"/>
          </w:tcPr>
          <w:p w14:paraId="3C2C62A8">
            <w:pPr>
              <w:spacing w:line="320" w:lineRule="atLeast"/>
              <w:jc w:val="left"/>
              <w:rPr>
                <w:rFonts w:hint="eastAsia" w:ascii="宋体" w:hAnsi="宋体"/>
                <w:color w:val="auto"/>
                <w:szCs w:val="21"/>
                <w:highlight w:val="none"/>
              </w:rPr>
            </w:pPr>
            <w:r>
              <w:rPr>
                <w:rFonts w:hint="eastAsia" w:ascii="宋体" w:hAnsi="宋体"/>
                <w:color w:val="auto"/>
                <w:szCs w:val="21"/>
                <w:highlight w:val="none"/>
              </w:rPr>
              <w:t>投标申请完成后不参加投标的，须以书面形式告知招标代理机构。</w:t>
            </w:r>
          </w:p>
        </w:tc>
      </w:tr>
    </w:tbl>
    <w:p w14:paraId="71601AB6">
      <w:pPr>
        <w:spacing w:before="142" w:beforeLines="50" w:after="142" w:afterLines="50" w:line="440" w:lineRule="exact"/>
        <w:rPr>
          <w:rFonts w:hint="eastAsia" w:ascii="宋体" w:hAnsi="宋体"/>
          <w:color w:val="auto"/>
          <w:szCs w:val="21"/>
          <w:highlight w:val="none"/>
        </w:rPr>
      </w:pPr>
      <w:r>
        <w:rPr>
          <w:rFonts w:hint="eastAsia" w:ascii="宋体" w:hAnsi="宋体"/>
          <w:color w:val="auto"/>
          <w:szCs w:val="21"/>
          <w:highlight w:val="none"/>
        </w:rPr>
        <w:t>投标单位名称（盖章）：</w:t>
      </w:r>
    </w:p>
    <w:p w14:paraId="5DD6CE90">
      <w:pPr>
        <w:spacing w:before="142" w:beforeLines="50" w:after="142" w:afterLines="50" w:line="440" w:lineRule="exact"/>
        <w:rPr>
          <w:rFonts w:hint="eastAsia" w:ascii="宋体" w:hAnsi="宋体"/>
          <w:color w:val="auto"/>
          <w:szCs w:val="21"/>
          <w:highlight w:val="none"/>
        </w:rPr>
      </w:pPr>
      <w:r>
        <w:rPr>
          <w:rFonts w:hint="eastAsia" w:ascii="宋体" w:hAnsi="宋体"/>
          <w:color w:val="auto"/>
          <w:szCs w:val="21"/>
          <w:highlight w:val="none"/>
        </w:rPr>
        <w:t>法定代表人或委托代理人（签名或盖章）：</w:t>
      </w:r>
    </w:p>
    <w:p w14:paraId="58C0D0E2">
      <w:pPr>
        <w:snapToGrid w:val="0"/>
        <w:spacing w:before="50" w:after="50" w:line="440" w:lineRule="exact"/>
        <w:ind w:right="-817" w:rightChars="-389"/>
        <w:rPr>
          <w:rFonts w:hint="eastAsia" w:ascii="宋体" w:hAnsi="宋体"/>
          <w:color w:val="auto"/>
          <w:szCs w:val="21"/>
          <w:highlight w:val="none"/>
        </w:rPr>
      </w:pPr>
      <w:r>
        <w:rPr>
          <w:rFonts w:hint="eastAsia" w:ascii="宋体" w:hAnsi="宋体"/>
          <w:color w:val="auto"/>
          <w:szCs w:val="21"/>
          <w:highlight w:val="none"/>
        </w:rPr>
        <w:t>日  期：        年      月      日</w:t>
      </w:r>
    </w:p>
    <w:p w14:paraId="3E07EA11">
      <w:pPr>
        <w:rPr>
          <w:b/>
          <w:bCs/>
          <w:color w:val="auto"/>
          <w:highlight w:val="none"/>
        </w:rPr>
      </w:pPr>
    </w:p>
    <w:p w14:paraId="00E0201F">
      <w:pPr>
        <w:pStyle w:val="2"/>
        <w:rPr>
          <w:color w:val="auto"/>
          <w:highlight w:val="none"/>
        </w:rPr>
      </w:pPr>
    </w:p>
    <w:sectPr>
      <w:footerReference r:id="rId4" w:type="default"/>
      <w:pgSz w:w="11907" w:h="16840"/>
      <w:pgMar w:top="1440" w:right="1080" w:bottom="1440" w:left="1080" w:header="850" w:footer="1134"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iragino Sans GB W3">
    <w:altName w:val="Malgun Gothic Semilight"/>
    <w:panose1 w:val="00000000000000000000"/>
    <w:charset w:val="80"/>
    <w:family w:val="auto"/>
    <w:pitch w:val="default"/>
    <w:sig w:usb0="00000000" w:usb1="00000000" w:usb2="00000016" w:usb3="00000000" w:csb0="00060007"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F83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052"/>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14:paraId="3FF849F2">
                          <w:pPr>
                            <w:pStyle w:val="16"/>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rect id="文本框 2052"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S/0sLQAAAAAwEAAA8AAAAAAAAAAQAgAAAAIgAAAGRycy9kb3ducmV2&#10;LnhtbFBLAQIUABQAAAAIAIdO4kCdfSpCywEAAJADAAAOAAAAAAAAAAEAIAAAAB8BAABkcnMvZTJv&#10;RG9jLnhtbFBLBQYAAAAABgAGAFkBAABcBQAAAAA=&#10;">
              <v:fill on="f" focussize="0,0"/>
              <v:stroke on="f"/>
              <v:imagedata o:title=""/>
              <o:lock v:ext="edit" aspectratio="f"/>
              <v:textbox inset="0mm,0mm,0mm,0mm" style="mso-fit-shape-to-text:t;">
                <w:txbxContent>
                  <w:p w14:paraId="3FF849F2">
                    <w:pPr>
                      <w:pStyle w:val="16"/>
                    </w:pPr>
                    <w:r>
                      <w:fldChar w:fldCharType="begin"/>
                    </w:r>
                    <w:r>
                      <w:instrText xml:space="preserve"> PAGE  \* MERGEFORMAT </w:instrText>
                    </w:r>
                    <w:r>
                      <w:fldChar w:fldCharType="separate"/>
                    </w:r>
                    <w:r>
                      <w:t>14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AAAE">
    <w:pPr>
      <w:pStyle w:val="17"/>
      <w:pBdr>
        <w:bottom w:val="single" w:color="auto" w:sz="4" w:space="1"/>
      </w:pBdr>
      <w:ind w:firstLine="6660" w:firstLineChars="3700"/>
      <w:jc w:val="right"/>
      <w:rPr>
        <w:u w:val="single"/>
      </w:rPr>
    </w:pPr>
    <w:r>
      <w:rPr>
        <w:rFonts w:hint="default" w:ascii="仿宋" w:hAnsi="仿宋" w:eastAsia="仿宋" w:cs="仿宋"/>
        <w:lang w:val="en-US" w:eastAsia="zh-CN"/>
      </w:rPr>
      <w:drawing>
        <wp:anchor distT="0" distB="0" distL="114300" distR="114300" simplePos="0" relativeHeight="251660288" behindDoc="1" locked="0" layoutInCell="1" allowOverlap="1">
          <wp:simplePos x="0" y="0"/>
          <wp:positionH relativeFrom="column">
            <wp:posOffset>55245</wp:posOffset>
          </wp:positionH>
          <wp:positionV relativeFrom="paragraph">
            <wp:posOffset>-246380</wp:posOffset>
          </wp:positionV>
          <wp:extent cx="1413510" cy="363855"/>
          <wp:effectExtent l="0" t="0" r="15240" b="17145"/>
          <wp:wrapTight wrapText="bothSides">
            <wp:wrapPolygon>
              <wp:start x="0" y="0"/>
              <wp:lineTo x="0" y="20356"/>
              <wp:lineTo x="21251" y="20356"/>
              <wp:lineTo x="21251" y="0"/>
              <wp:lineTo x="0" y="0"/>
            </wp:wrapPolygon>
          </wp:wrapTight>
          <wp:docPr id="1" name="图片 1" descr="cae2774932672da728d9c23d6acd7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e2774932672da728d9c23d6acd7f1"/>
                  <pic:cNvPicPr>
                    <a:picLocks noChangeAspect="1"/>
                  </pic:cNvPicPr>
                </pic:nvPicPr>
                <pic:blipFill>
                  <a:blip r:embed="rId1"/>
                  <a:stretch>
                    <a:fillRect/>
                  </a:stretch>
                </pic:blipFill>
                <pic:spPr>
                  <a:xfrm>
                    <a:off x="0" y="0"/>
                    <a:ext cx="1413510" cy="363855"/>
                  </a:xfrm>
                  <a:prstGeom prst="rect">
                    <a:avLst/>
                  </a:prstGeom>
                  <a:noFill/>
                  <a:ln>
                    <a:noFill/>
                  </a:ln>
                </pic:spPr>
              </pic:pic>
            </a:graphicData>
          </a:graphic>
        </wp:anchor>
      </w:drawing>
    </w:r>
    <w:r>
      <w:rPr>
        <w:rFonts w:hint="eastAsia" w:ascii="仿宋" w:hAnsi="仿宋" w:eastAsia="仿宋" w:cs="仿宋"/>
        <w:lang w:val="en-US" w:eastAsia="zh-CN"/>
      </w:rPr>
      <w:t>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1E5B2"/>
    <w:multiLevelType w:val="singleLevel"/>
    <w:tmpl w:val="B971E5B2"/>
    <w:lvl w:ilvl="0" w:tentative="0">
      <w:start w:val="1"/>
      <w:numFmt w:val="decimal"/>
      <w:lvlText w:val="%1、"/>
      <w:lvlJc w:val="left"/>
      <w:pPr>
        <w:tabs>
          <w:tab w:val="left" w:pos="840"/>
        </w:tabs>
        <w:ind w:left="840" w:hanging="360"/>
      </w:pPr>
    </w:lvl>
  </w:abstractNum>
  <w:abstractNum w:abstractNumId="1">
    <w:nsid w:val="00000006"/>
    <w:multiLevelType w:val="multilevel"/>
    <w:tmpl w:val="00000006"/>
    <w:lvl w:ilvl="0" w:tentative="0">
      <w:start w:val="1"/>
      <w:numFmt w:val="decimal"/>
      <w:pStyle w:val="37"/>
      <w:lvlText w:val="%1、"/>
      <w:lvlJc w:val="left"/>
      <w:pPr>
        <w:tabs>
          <w:tab w:val="left" w:pos="1080"/>
        </w:tabs>
        <w:ind w:left="1080" w:hanging="720"/>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2">
    <w:nsid w:val="4EB41D25"/>
    <w:multiLevelType w:val="multilevel"/>
    <w:tmpl w:val="4EB41D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ED8022"/>
    <w:multiLevelType w:val="singleLevel"/>
    <w:tmpl w:val="59ED8022"/>
    <w:lvl w:ilvl="0" w:tentative="0">
      <w:start w:val="1"/>
      <w:numFmt w:val="chineseCounting"/>
      <w:pStyle w:val="38"/>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ZTY1ZDlmNTMxMmY5ZTRmOWI3ODYxYjFhYzFiMTgifQ=="/>
  </w:docVars>
  <w:rsids>
    <w:rsidRoot w:val="00172A27"/>
    <w:rsid w:val="000000A7"/>
    <w:rsid w:val="00000152"/>
    <w:rsid w:val="00000F63"/>
    <w:rsid w:val="00001366"/>
    <w:rsid w:val="000016DA"/>
    <w:rsid w:val="00001C04"/>
    <w:rsid w:val="00002657"/>
    <w:rsid w:val="0000277E"/>
    <w:rsid w:val="00003838"/>
    <w:rsid w:val="0000398A"/>
    <w:rsid w:val="00003B28"/>
    <w:rsid w:val="00004415"/>
    <w:rsid w:val="0000558B"/>
    <w:rsid w:val="0000746B"/>
    <w:rsid w:val="0001047B"/>
    <w:rsid w:val="00010CB6"/>
    <w:rsid w:val="00011B35"/>
    <w:rsid w:val="000133E4"/>
    <w:rsid w:val="00015676"/>
    <w:rsid w:val="000166E8"/>
    <w:rsid w:val="00017016"/>
    <w:rsid w:val="00020624"/>
    <w:rsid w:val="00022D75"/>
    <w:rsid w:val="000237E5"/>
    <w:rsid w:val="00024DC3"/>
    <w:rsid w:val="0002561C"/>
    <w:rsid w:val="00030B22"/>
    <w:rsid w:val="00030DF7"/>
    <w:rsid w:val="00032241"/>
    <w:rsid w:val="0003253A"/>
    <w:rsid w:val="00033575"/>
    <w:rsid w:val="00035A36"/>
    <w:rsid w:val="00037477"/>
    <w:rsid w:val="0004279B"/>
    <w:rsid w:val="00043C72"/>
    <w:rsid w:val="000441C7"/>
    <w:rsid w:val="0004426D"/>
    <w:rsid w:val="000453FA"/>
    <w:rsid w:val="000456B8"/>
    <w:rsid w:val="00045D05"/>
    <w:rsid w:val="00045E16"/>
    <w:rsid w:val="00047DA3"/>
    <w:rsid w:val="00047DBA"/>
    <w:rsid w:val="00047EFE"/>
    <w:rsid w:val="00050773"/>
    <w:rsid w:val="00051C4D"/>
    <w:rsid w:val="00051EAB"/>
    <w:rsid w:val="0005355D"/>
    <w:rsid w:val="00053B58"/>
    <w:rsid w:val="00054429"/>
    <w:rsid w:val="0005471B"/>
    <w:rsid w:val="00060572"/>
    <w:rsid w:val="00060A0B"/>
    <w:rsid w:val="00060E3D"/>
    <w:rsid w:val="00061762"/>
    <w:rsid w:val="00061CD6"/>
    <w:rsid w:val="00062AF4"/>
    <w:rsid w:val="00062F9E"/>
    <w:rsid w:val="0006499D"/>
    <w:rsid w:val="00065357"/>
    <w:rsid w:val="0006735E"/>
    <w:rsid w:val="00067C08"/>
    <w:rsid w:val="00072EAD"/>
    <w:rsid w:val="00074DFF"/>
    <w:rsid w:val="000757ED"/>
    <w:rsid w:val="000760F2"/>
    <w:rsid w:val="000770E8"/>
    <w:rsid w:val="00077C1D"/>
    <w:rsid w:val="00080295"/>
    <w:rsid w:val="00081E97"/>
    <w:rsid w:val="0008275D"/>
    <w:rsid w:val="0008290F"/>
    <w:rsid w:val="00090449"/>
    <w:rsid w:val="00091331"/>
    <w:rsid w:val="00091471"/>
    <w:rsid w:val="00091F44"/>
    <w:rsid w:val="00092572"/>
    <w:rsid w:val="000926B7"/>
    <w:rsid w:val="0009610B"/>
    <w:rsid w:val="000966BA"/>
    <w:rsid w:val="00096E48"/>
    <w:rsid w:val="000974C8"/>
    <w:rsid w:val="00097901"/>
    <w:rsid w:val="00097CF3"/>
    <w:rsid w:val="000A070D"/>
    <w:rsid w:val="000A0871"/>
    <w:rsid w:val="000A0910"/>
    <w:rsid w:val="000A0B95"/>
    <w:rsid w:val="000A12E4"/>
    <w:rsid w:val="000A1509"/>
    <w:rsid w:val="000A4972"/>
    <w:rsid w:val="000A4F72"/>
    <w:rsid w:val="000A617A"/>
    <w:rsid w:val="000A63D5"/>
    <w:rsid w:val="000A67DC"/>
    <w:rsid w:val="000B0E3E"/>
    <w:rsid w:val="000B1CF3"/>
    <w:rsid w:val="000B1E0C"/>
    <w:rsid w:val="000B24EB"/>
    <w:rsid w:val="000B2C2E"/>
    <w:rsid w:val="000B3A54"/>
    <w:rsid w:val="000B50C3"/>
    <w:rsid w:val="000B7A71"/>
    <w:rsid w:val="000B7BBB"/>
    <w:rsid w:val="000C03CC"/>
    <w:rsid w:val="000C2820"/>
    <w:rsid w:val="000C342F"/>
    <w:rsid w:val="000C503F"/>
    <w:rsid w:val="000C742C"/>
    <w:rsid w:val="000C7AD2"/>
    <w:rsid w:val="000D0988"/>
    <w:rsid w:val="000D2174"/>
    <w:rsid w:val="000D46B9"/>
    <w:rsid w:val="000D4C32"/>
    <w:rsid w:val="000D585E"/>
    <w:rsid w:val="000D6377"/>
    <w:rsid w:val="000D730F"/>
    <w:rsid w:val="000E0004"/>
    <w:rsid w:val="000E1A8E"/>
    <w:rsid w:val="000E1B88"/>
    <w:rsid w:val="000E382C"/>
    <w:rsid w:val="000E5A28"/>
    <w:rsid w:val="000E688A"/>
    <w:rsid w:val="000E6BC5"/>
    <w:rsid w:val="000E7D1D"/>
    <w:rsid w:val="000F0FBD"/>
    <w:rsid w:val="000F3FEB"/>
    <w:rsid w:val="000F4135"/>
    <w:rsid w:val="000F453C"/>
    <w:rsid w:val="000F59D7"/>
    <w:rsid w:val="000F6779"/>
    <w:rsid w:val="000F6877"/>
    <w:rsid w:val="000F6A81"/>
    <w:rsid w:val="000F6CA8"/>
    <w:rsid w:val="000F7C2C"/>
    <w:rsid w:val="00100EE6"/>
    <w:rsid w:val="00101331"/>
    <w:rsid w:val="00101DD7"/>
    <w:rsid w:val="00102F15"/>
    <w:rsid w:val="00103D95"/>
    <w:rsid w:val="00104AD3"/>
    <w:rsid w:val="00107C47"/>
    <w:rsid w:val="00107CC7"/>
    <w:rsid w:val="00107F57"/>
    <w:rsid w:val="0011081F"/>
    <w:rsid w:val="00110AD5"/>
    <w:rsid w:val="0011316E"/>
    <w:rsid w:val="00114292"/>
    <w:rsid w:val="0011579C"/>
    <w:rsid w:val="001158AB"/>
    <w:rsid w:val="00115C72"/>
    <w:rsid w:val="0011771F"/>
    <w:rsid w:val="00117F29"/>
    <w:rsid w:val="0012008D"/>
    <w:rsid w:val="00120974"/>
    <w:rsid w:val="001225F2"/>
    <w:rsid w:val="00123A56"/>
    <w:rsid w:val="001252B5"/>
    <w:rsid w:val="00126E04"/>
    <w:rsid w:val="001277BC"/>
    <w:rsid w:val="00130343"/>
    <w:rsid w:val="00130A1F"/>
    <w:rsid w:val="00130BE6"/>
    <w:rsid w:val="001323AA"/>
    <w:rsid w:val="00132533"/>
    <w:rsid w:val="00134CC1"/>
    <w:rsid w:val="00135A73"/>
    <w:rsid w:val="001379B9"/>
    <w:rsid w:val="00143805"/>
    <w:rsid w:val="0014387A"/>
    <w:rsid w:val="0014400F"/>
    <w:rsid w:val="00144F77"/>
    <w:rsid w:val="00145C90"/>
    <w:rsid w:val="00146B2A"/>
    <w:rsid w:val="00146BC1"/>
    <w:rsid w:val="001528AF"/>
    <w:rsid w:val="00153C28"/>
    <w:rsid w:val="0015781A"/>
    <w:rsid w:val="00160968"/>
    <w:rsid w:val="00160A28"/>
    <w:rsid w:val="00160D32"/>
    <w:rsid w:val="00162F20"/>
    <w:rsid w:val="0016663E"/>
    <w:rsid w:val="00170466"/>
    <w:rsid w:val="00170E1E"/>
    <w:rsid w:val="00171446"/>
    <w:rsid w:val="0017183E"/>
    <w:rsid w:val="00172A27"/>
    <w:rsid w:val="00172BBD"/>
    <w:rsid w:val="001731EC"/>
    <w:rsid w:val="00173526"/>
    <w:rsid w:val="00173D06"/>
    <w:rsid w:val="00180D96"/>
    <w:rsid w:val="00181A54"/>
    <w:rsid w:val="00182EC8"/>
    <w:rsid w:val="0018382A"/>
    <w:rsid w:val="00184DF2"/>
    <w:rsid w:val="001868C8"/>
    <w:rsid w:val="00186A86"/>
    <w:rsid w:val="00186AF1"/>
    <w:rsid w:val="00186D4D"/>
    <w:rsid w:val="0018794D"/>
    <w:rsid w:val="00190513"/>
    <w:rsid w:val="00190EC2"/>
    <w:rsid w:val="00190F89"/>
    <w:rsid w:val="0019139C"/>
    <w:rsid w:val="00191977"/>
    <w:rsid w:val="001936D1"/>
    <w:rsid w:val="00194A42"/>
    <w:rsid w:val="001954FD"/>
    <w:rsid w:val="00196044"/>
    <w:rsid w:val="0019752E"/>
    <w:rsid w:val="00197838"/>
    <w:rsid w:val="00197C28"/>
    <w:rsid w:val="001A038A"/>
    <w:rsid w:val="001A047E"/>
    <w:rsid w:val="001A0505"/>
    <w:rsid w:val="001A07C6"/>
    <w:rsid w:val="001A0857"/>
    <w:rsid w:val="001A1CC4"/>
    <w:rsid w:val="001A28F4"/>
    <w:rsid w:val="001A2F05"/>
    <w:rsid w:val="001A2FC4"/>
    <w:rsid w:val="001A3052"/>
    <w:rsid w:val="001A3AA2"/>
    <w:rsid w:val="001A4EAC"/>
    <w:rsid w:val="001A546C"/>
    <w:rsid w:val="001A6495"/>
    <w:rsid w:val="001A7155"/>
    <w:rsid w:val="001A7470"/>
    <w:rsid w:val="001A7F18"/>
    <w:rsid w:val="001B1393"/>
    <w:rsid w:val="001B224E"/>
    <w:rsid w:val="001B2409"/>
    <w:rsid w:val="001B44D3"/>
    <w:rsid w:val="001B5290"/>
    <w:rsid w:val="001B7EE8"/>
    <w:rsid w:val="001C1169"/>
    <w:rsid w:val="001C2813"/>
    <w:rsid w:val="001C35F8"/>
    <w:rsid w:val="001C3762"/>
    <w:rsid w:val="001C43A8"/>
    <w:rsid w:val="001C7AAB"/>
    <w:rsid w:val="001C7FC3"/>
    <w:rsid w:val="001D0956"/>
    <w:rsid w:val="001D2561"/>
    <w:rsid w:val="001D2DD8"/>
    <w:rsid w:val="001D3692"/>
    <w:rsid w:val="001D4065"/>
    <w:rsid w:val="001D5BDF"/>
    <w:rsid w:val="001D7C5B"/>
    <w:rsid w:val="001D7F4D"/>
    <w:rsid w:val="001E04DC"/>
    <w:rsid w:val="001E0583"/>
    <w:rsid w:val="001E27CF"/>
    <w:rsid w:val="001E3814"/>
    <w:rsid w:val="001E7514"/>
    <w:rsid w:val="001E77E9"/>
    <w:rsid w:val="001E7E4E"/>
    <w:rsid w:val="001F0FEF"/>
    <w:rsid w:val="001F11E2"/>
    <w:rsid w:val="001F236D"/>
    <w:rsid w:val="001F672F"/>
    <w:rsid w:val="00200382"/>
    <w:rsid w:val="00200530"/>
    <w:rsid w:val="0020120E"/>
    <w:rsid w:val="0020298B"/>
    <w:rsid w:val="00203638"/>
    <w:rsid w:val="002044A1"/>
    <w:rsid w:val="00204715"/>
    <w:rsid w:val="00206F13"/>
    <w:rsid w:val="0021058D"/>
    <w:rsid w:val="00210646"/>
    <w:rsid w:val="00210D0A"/>
    <w:rsid w:val="0021245B"/>
    <w:rsid w:val="00213A4C"/>
    <w:rsid w:val="00214121"/>
    <w:rsid w:val="00214878"/>
    <w:rsid w:val="00215D64"/>
    <w:rsid w:val="0021691D"/>
    <w:rsid w:val="00216EEB"/>
    <w:rsid w:val="00221985"/>
    <w:rsid w:val="002236D7"/>
    <w:rsid w:val="00223A32"/>
    <w:rsid w:val="00225850"/>
    <w:rsid w:val="00226833"/>
    <w:rsid w:val="00227607"/>
    <w:rsid w:val="00227796"/>
    <w:rsid w:val="00227A00"/>
    <w:rsid w:val="00227C68"/>
    <w:rsid w:val="00231C3D"/>
    <w:rsid w:val="0023285E"/>
    <w:rsid w:val="0023297A"/>
    <w:rsid w:val="00233AAE"/>
    <w:rsid w:val="00233CB9"/>
    <w:rsid w:val="00234840"/>
    <w:rsid w:val="00237314"/>
    <w:rsid w:val="00240153"/>
    <w:rsid w:val="0024099A"/>
    <w:rsid w:val="00242CBA"/>
    <w:rsid w:val="00243629"/>
    <w:rsid w:val="002445C7"/>
    <w:rsid w:val="00245421"/>
    <w:rsid w:val="00245913"/>
    <w:rsid w:val="00246C9A"/>
    <w:rsid w:val="00246F2C"/>
    <w:rsid w:val="00247035"/>
    <w:rsid w:val="002473E8"/>
    <w:rsid w:val="002477FC"/>
    <w:rsid w:val="00247F32"/>
    <w:rsid w:val="00250B9E"/>
    <w:rsid w:val="00250E5E"/>
    <w:rsid w:val="00252568"/>
    <w:rsid w:val="00254096"/>
    <w:rsid w:val="0025425D"/>
    <w:rsid w:val="00254D41"/>
    <w:rsid w:val="00256F69"/>
    <w:rsid w:val="00257546"/>
    <w:rsid w:val="00257D06"/>
    <w:rsid w:val="00260335"/>
    <w:rsid w:val="00261A4E"/>
    <w:rsid w:val="002636C3"/>
    <w:rsid w:val="002639CE"/>
    <w:rsid w:val="00263AA5"/>
    <w:rsid w:val="00265F1C"/>
    <w:rsid w:val="0026602B"/>
    <w:rsid w:val="00267F78"/>
    <w:rsid w:val="002724B6"/>
    <w:rsid w:val="0027316D"/>
    <w:rsid w:val="00273827"/>
    <w:rsid w:val="00273D78"/>
    <w:rsid w:val="002750EB"/>
    <w:rsid w:val="00276119"/>
    <w:rsid w:val="0027642C"/>
    <w:rsid w:val="0028125A"/>
    <w:rsid w:val="002824DC"/>
    <w:rsid w:val="00282561"/>
    <w:rsid w:val="002825DD"/>
    <w:rsid w:val="00282BD9"/>
    <w:rsid w:val="00282D2C"/>
    <w:rsid w:val="00283CD9"/>
    <w:rsid w:val="00283EC4"/>
    <w:rsid w:val="00283F38"/>
    <w:rsid w:val="002858C1"/>
    <w:rsid w:val="00286C5A"/>
    <w:rsid w:val="00287ACD"/>
    <w:rsid w:val="00287CD4"/>
    <w:rsid w:val="002906CD"/>
    <w:rsid w:val="00290C5F"/>
    <w:rsid w:val="00291DEF"/>
    <w:rsid w:val="002930F7"/>
    <w:rsid w:val="0029409C"/>
    <w:rsid w:val="0029548E"/>
    <w:rsid w:val="00295C04"/>
    <w:rsid w:val="0029785E"/>
    <w:rsid w:val="002A0932"/>
    <w:rsid w:val="002A0BCA"/>
    <w:rsid w:val="002A1EB7"/>
    <w:rsid w:val="002A2A2C"/>
    <w:rsid w:val="002A42DA"/>
    <w:rsid w:val="002A5950"/>
    <w:rsid w:val="002A5C06"/>
    <w:rsid w:val="002A67A0"/>
    <w:rsid w:val="002B02BD"/>
    <w:rsid w:val="002B04F3"/>
    <w:rsid w:val="002B0C34"/>
    <w:rsid w:val="002B1BB8"/>
    <w:rsid w:val="002B2DA2"/>
    <w:rsid w:val="002B4CD4"/>
    <w:rsid w:val="002B572B"/>
    <w:rsid w:val="002B5AF7"/>
    <w:rsid w:val="002B62AF"/>
    <w:rsid w:val="002B6623"/>
    <w:rsid w:val="002B6AC1"/>
    <w:rsid w:val="002B72CF"/>
    <w:rsid w:val="002C1312"/>
    <w:rsid w:val="002C33A0"/>
    <w:rsid w:val="002C3D24"/>
    <w:rsid w:val="002C5647"/>
    <w:rsid w:val="002C607C"/>
    <w:rsid w:val="002C7094"/>
    <w:rsid w:val="002D2058"/>
    <w:rsid w:val="002D2953"/>
    <w:rsid w:val="002D557E"/>
    <w:rsid w:val="002D5D84"/>
    <w:rsid w:val="002D67F1"/>
    <w:rsid w:val="002D6FA9"/>
    <w:rsid w:val="002D7FAD"/>
    <w:rsid w:val="002E2EF8"/>
    <w:rsid w:val="002E308D"/>
    <w:rsid w:val="002E5064"/>
    <w:rsid w:val="002E771D"/>
    <w:rsid w:val="002E7A15"/>
    <w:rsid w:val="002F06EA"/>
    <w:rsid w:val="002F2C08"/>
    <w:rsid w:val="002F2C7B"/>
    <w:rsid w:val="002F365B"/>
    <w:rsid w:val="002F3DFC"/>
    <w:rsid w:val="002F3F28"/>
    <w:rsid w:val="002F4C16"/>
    <w:rsid w:val="002F5D45"/>
    <w:rsid w:val="002F5F2D"/>
    <w:rsid w:val="003012C6"/>
    <w:rsid w:val="003013C9"/>
    <w:rsid w:val="0030280F"/>
    <w:rsid w:val="00302FBB"/>
    <w:rsid w:val="00302FE5"/>
    <w:rsid w:val="00303441"/>
    <w:rsid w:val="00303CBD"/>
    <w:rsid w:val="0030478B"/>
    <w:rsid w:val="0030732D"/>
    <w:rsid w:val="0031004D"/>
    <w:rsid w:val="00310384"/>
    <w:rsid w:val="00310490"/>
    <w:rsid w:val="00310EC4"/>
    <w:rsid w:val="0031376E"/>
    <w:rsid w:val="00313CA3"/>
    <w:rsid w:val="00315243"/>
    <w:rsid w:val="00315396"/>
    <w:rsid w:val="0031669B"/>
    <w:rsid w:val="0031731A"/>
    <w:rsid w:val="00320106"/>
    <w:rsid w:val="003201D5"/>
    <w:rsid w:val="00320466"/>
    <w:rsid w:val="00320CA0"/>
    <w:rsid w:val="00320CB1"/>
    <w:rsid w:val="00320DA2"/>
    <w:rsid w:val="00321B8C"/>
    <w:rsid w:val="00321D01"/>
    <w:rsid w:val="00321EA1"/>
    <w:rsid w:val="00322E4F"/>
    <w:rsid w:val="003231A7"/>
    <w:rsid w:val="00327BA9"/>
    <w:rsid w:val="0033064C"/>
    <w:rsid w:val="00331557"/>
    <w:rsid w:val="00331E66"/>
    <w:rsid w:val="0033290A"/>
    <w:rsid w:val="0033373D"/>
    <w:rsid w:val="003337FF"/>
    <w:rsid w:val="00333FE7"/>
    <w:rsid w:val="00334D36"/>
    <w:rsid w:val="00334D94"/>
    <w:rsid w:val="003352A0"/>
    <w:rsid w:val="003356CE"/>
    <w:rsid w:val="003371B0"/>
    <w:rsid w:val="00344587"/>
    <w:rsid w:val="003445FD"/>
    <w:rsid w:val="003504E4"/>
    <w:rsid w:val="00350B63"/>
    <w:rsid w:val="0035107A"/>
    <w:rsid w:val="003512C8"/>
    <w:rsid w:val="00352AD6"/>
    <w:rsid w:val="003543E4"/>
    <w:rsid w:val="00354821"/>
    <w:rsid w:val="00354EF0"/>
    <w:rsid w:val="003556A8"/>
    <w:rsid w:val="0035676D"/>
    <w:rsid w:val="003567BF"/>
    <w:rsid w:val="00356ACA"/>
    <w:rsid w:val="0035718F"/>
    <w:rsid w:val="00357F00"/>
    <w:rsid w:val="00357FF4"/>
    <w:rsid w:val="00364F2C"/>
    <w:rsid w:val="003652F5"/>
    <w:rsid w:val="00366277"/>
    <w:rsid w:val="0037249F"/>
    <w:rsid w:val="00373107"/>
    <w:rsid w:val="00373360"/>
    <w:rsid w:val="003738A4"/>
    <w:rsid w:val="00375792"/>
    <w:rsid w:val="00376223"/>
    <w:rsid w:val="00376357"/>
    <w:rsid w:val="0037735E"/>
    <w:rsid w:val="003803B7"/>
    <w:rsid w:val="00384108"/>
    <w:rsid w:val="00384DA4"/>
    <w:rsid w:val="00386555"/>
    <w:rsid w:val="00387922"/>
    <w:rsid w:val="003917FD"/>
    <w:rsid w:val="00391E08"/>
    <w:rsid w:val="00393014"/>
    <w:rsid w:val="00393771"/>
    <w:rsid w:val="0039405C"/>
    <w:rsid w:val="00394B81"/>
    <w:rsid w:val="00395DCF"/>
    <w:rsid w:val="00396CE9"/>
    <w:rsid w:val="003972F9"/>
    <w:rsid w:val="00397555"/>
    <w:rsid w:val="00397D37"/>
    <w:rsid w:val="00397D8C"/>
    <w:rsid w:val="00397F47"/>
    <w:rsid w:val="003A081D"/>
    <w:rsid w:val="003A168C"/>
    <w:rsid w:val="003A1E53"/>
    <w:rsid w:val="003A1EA4"/>
    <w:rsid w:val="003A2BC0"/>
    <w:rsid w:val="003A30B2"/>
    <w:rsid w:val="003A4A9C"/>
    <w:rsid w:val="003A5417"/>
    <w:rsid w:val="003B0628"/>
    <w:rsid w:val="003B304D"/>
    <w:rsid w:val="003C0A2C"/>
    <w:rsid w:val="003C135E"/>
    <w:rsid w:val="003C2396"/>
    <w:rsid w:val="003C3201"/>
    <w:rsid w:val="003C3DF0"/>
    <w:rsid w:val="003C3E27"/>
    <w:rsid w:val="003C4D42"/>
    <w:rsid w:val="003C5E21"/>
    <w:rsid w:val="003C7BD7"/>
    <w:rsid w:val="003D099A"/>
    <w:rsid w:val="003D111C"/>
    <w:rsid w:val="003D1604"/>
    <w:rsid w:val="003D1862"/>
    <w:rsid w:val="003D2205"/>
    <w:rsid w:val="003D286A"/>
    <w:rsid w:val="003D2FEA"/>
    <w:rsid w:val="003D4B0B"/>
    <w:rsid w:val="003D4C25"/>
    <w:rsid w:val="003D6C5A"/>
    <w:rsid w:val="003D750A"/>
    <w:rsid w:val="003D76F7"/>
    <w:rsid w:val="003D7D82"/>
    <w:rsid w:val="003E01B7"/>
    <w:rsid w:val="003E0A0A"/>
    <w:rsid w:val="003E0A93"/>
    <w:rsid w:val="003E14BA"/>
    <w:rsid w:val="003E1FD4"/>
    <w:rsid w:val="003E237F"/>
    <w:rsid w:val="003E3383"/>
    <w:rsid w:val="003E4A73"/>
    <w:rsid w:val="003E5373"/>
    <w:rsid w:val="003E546F"/>
    <w:rsid w:val="003E6121"/>
    <w:rsid w:val="003E671D"/>
    <w:rsid w:val="003E6A4B"/>
    <w:rsid w:val="003E7993"/>
    <w:rsid w:val="003E7C21"/>
    <w:rsid w:val="003F2E73"/>
    <w:rsid w:val="003F2F9D"/>
    <w:rsid w:val="003F5A17"/>
    <w:rsid w:val="003F65EC"/>
    <w:rsid w:val="003F7BC2"/>
    <w:rsid w:val="0040063C"/>
    <w:rsid w:val="00400A13"/>
    <w:rsid w:val="00400C01"/>
    <w:rsid w:val="00403396"/>
    <w:rsid w:val="00404604"/>
    <w:rsid w:val="0040668E"/>
    <w:rsid w:val="00411B4E"/>
    <w:rsid w:val="00411BAB"/>
    <w:rsid w:val="00412A5D"/>
    <w:rsid w:val="004134C4"/>
    <w:rsid w:val="00414FE1"/>
    <w:rsid w:val="004165DE"/>
    <w:rsid w:val="00416D1D"/>
    <w:rsid w:val="00416FCF"/>
    <w:rsid w:val="00426A41"/>
    <w:rsid w:val="00427C2A"/>
    <w:rsid w:val="004309DC"/>
    <w:rsid w:val="004317B5"/>
    <w:rsid w:val="0043322C"/>
    <w:rsid w:val="004338CC"/>
    <w:rsid w:val="00434035"/>
    <w:rsid w:val="004353CA"/>
    <w:rsid w:val="0043604B"/>
    <w:rsid w:val="004374C1"/>
    <w:rsid w:val="004375B7"/>
    <w:rsid w:val="00437892"/>
    <w:rsid w:val="00442891"/>
    <w:rsid w:val="00445185"/>
    <w:rsid w:val="00445763"/>
    <w:rsid w:val="004467C1"/>
    <w:rsid w:val="00446FC8"/>
    <w:rsid w:val="00447DC8"/>
    <w:rsid w:val="00450D1A"/>
    <w:rsid w:val="0045113C"/>
    <w:rsid w:val="00451293"/>
    <w:rsid w:val="00451A69"/>
    <w:rsid w:val="00451ED9"/>
    <w:rsid w:val="00452558"/>
    <w:rsid w:val="0045269E"/>
    <w:rsid w:val="00454F0D"/>
    <w:rsid w:val="00454F61"/>
    <w:rsid w:val="00455D6A"/>
    <w:rsid w:val="0046361A"/>
    <w:rsid w:val="00465EC8"/>
    <w:rsid w:val="00467B7B"/>
    <w:rsid w:val="004723CF"/>
    <w:rsid w:val="004728CA"/>
    <w:rsid w:val="00472910"/>
    <w:rsid w:val="00472C7C"/>
    <w:rsid w:val="00472EFB"/>
    <w:rsid w:val="0047599D"/>
    <w:rsid w:val="00475CD9"/>
    <w:rsid w:val="00476025"/>
    <w:rsid w:val="00476C05"/>
    <w:rsid w:val="00476C3C"/>
    <w:rsid w:val="00477A3E"/>
    <w:rsid w:val="0048178F"/>
    <w:rsid w:val="00481B17"/>
    <w:rsid w:val="0048586C"/>
    <w:rsid w:val="00485BF4"/>
    <w:rsid w:val="00486D06"/>
    <w:rsid w:val="00487A8A"/>
    <w:rsid w:val="00487C16"/>
    <w:rsid w:val="00487F58"/>
    <w:rsid w:val="004903BE"/>
    <w:rsid w:val="0049205F"/>
    <w:rsid w:val="00493960"/>
    <w:rsid w:val="00493A8B"/>
    <w:rsid w:val="00495714"/>
    <w:rsid w:val="004A1ED1"/>
    <w:rsid w:val="004A377E"/>
    <w:rsid w:val="004A4329"/>
    <w:rsid w:val="004A48B5"/>
    <w:rsid w:val="004A4AE5"/>
    <w:rsid w:val="004A4ECA"/>
    <w:rsid w:val="004A770C"/>
    <w:rsid w:val="004B0405"/>
    <w:rsid w:val="004B1353"/>
    <w:rsid w:val="004B162F"/>
    <w:rsid w:val="004B2058"/>
    <w:rsid w:val="004B28D4"/>
    <w:rsid w:val="004B31BC"/>
    <w:rsid w:val="004B42F7"/>
    <w:rsid w:val="004B4779"/>
    <w:rsid w:val="004B4843"/>
    <w:rsid w:val="004B4BFA"/>
    <w:rsid w:val="004B4D9F"/>
    <w:rsid w:val="004B771C"/>
    <w:rsid w:val="004B7C18"/>
    <w:rsid w:val="004C0011"/>
    <w:rsid w:val="004C517A"/>
    <w:rsid w:val="004C68D3"/>
    <w:rsid w:val="004C7A23"/>
    <w:rsid w:val="004C7C87"/>
    <w:rsid w:val="004C7E9E"/>
    <w:rsid w:val="004D3B06"/>
    <w:rsid w:val="004D3C56"/>
    <w:rsid w:val="004D621D"/>
    <w:rsid w:val="004D681F"/>
    <w:rsid w:val="004D689A"/>
    <w:rsid w:val="004D6C7F"/>
    <w:rsid w:val="004D6E0D"/>
    <w:rsid w:val="004E135A"/>
    <w:rsid w:val="004E139F"/>
    <w:rsid w:val="004E3F9D"/>
    <w:rsid w:val="004E45A7"/>
    <w:rsid w:val="004E69AF"/>
    <w:rsid w:val="004E710A"/>
    <w:rsid w:val="004E76B9"/>
    <w:rsid w:val="004E7AFA"/>
    <w:rsid w:val="004F046C"/>
    <w:rsid w:val="004F07E5"/>
    <w:rsid w:val="004F1245"/>
    <w:rsid w:val="004F2037"/>
    <w:rsid w:val="004F23A7"/>
    <w:rsid w:val="004F4067"/>
    <w:rsid w:val="004F57AD"/>
    <w:rsid w:val="004F76B1"/>
    <w:rsid w:val="00500D92"/>
    <w:rsid w:val="005012B8"/>
    <w:rsid w:val="00501482"/>
    <w:rsid w:val="00503265"/>
    <w:rsid w:val="00504278"/>
    <w:rsid w:val="00504D8D"/>
    <w:rsid w:val="005054DA"/>
    <w:rsid w:val="00506434"/>
    <w:rsid w:val="0050783D"/>
    <w:rsid w:val="005109F1"/>
    <w:rsid w:val="005114C3"/>
    <w:rsid w:val="00512C19"/>
    <w:rsid w:val="00513863"/>
    <w:rsid w:val="005166BA"/>
    <w:rsid w:val="00517924"/>
    <w:rsid w:val="00517ABF"/>
    <w:rsid w:val="00520A28"/>
    <w:rsid w:val="00522556"/>
    <w:rsid w:val="005236AA"/>
    <w:rsid w:val="005270C2"/>
    <w:rsid w:val="0052757B"/>
    <w:rsid w:val="005318F4"/>
    <w:rsid w:val="00531CEA"/>
    <w:rsid w:val="005323DF"/>
    <w:rsid w:val="005341FC"/>
    <w:rsid w:val="0054213E"/>
    <w:rsid w:val="0054558E"/>
    <w:rsid w:val="00546A1B"/>
    <w:rsid w:val="0054702B"/>
    <w:rsid w:val="0055201F"/>
    <w:rsid w:val="00552957"/>
    <w:rsid w:val="005551BE"/>
    <w:rsid w:val="0055586A"/>
    <w:rsid w:val="0055764F"/>
    <w:rsid w:val="00557658"/>
    <w:rsid w:val="00557D07"/>
    <w:rsid w:val="005601EC"/>
    <w:rsid w:val="005619FE"/>
    <w:rsid w:val="00561F19"/>
    <w:rsid w:val="005633ED"/>
    <w:rsid w:val="005634D5"/>
    <w:rsid w:val="005636DD"/>
    <w:rsid w:val="00566C16"/>
    <w:rsid w:val="00567E2D"/>
    <w:rsid w:val="00571A77"/>
    <w:rsid w:val="005723BA"/>
    <w:rsid w:val="0057269F"/>
    <w:rsid w:val="005739B1"/>
    <w:rsid w:val="005744D8"/>
    <w:rsid w:val="00574753"/>
    <w:rsid w:val="00574AE8"/>
    <w:rsid w:val="00574F10"/>
    <w:rsid w:val="00575B73"/>
    <w:rsid w:val="00576886"/>
    <w:rsid w:val="005768C6"/>
    <w:rsid w:val="0057754F"/>
    <w:rsid w:val="00581410"/>
    <w:rsid w:val="00581709"/>
    <w:rsid w:val="00582BB4"/>
    <w:rsid w:val="00583A49"/>
    <w:rsid w:val="00586001"/>
    <w:rsid w:val="00587B4C"/>
    <w:rsid w:val="00587BFD"/>
    <w:rsid w:val="0059040B"/>
    <w:rsid w:val="00590E99"/>
    <w:rsid w:val="00591801"/>
    <w:rsid w:val="005919A5"/>
    <w:rsid w:val="0059276C"/>
    <w:rsid w:val="005945F1"/>
    <w:rsid w:val="00595B3A"/>
    <w:rsid w:val="005A35A6"/>
    <w:rsid w:val="005A52B7"/>
    <w:rsid w:val="005A5D7A"/>
    <w:rsid w:val="005A5FE8"/>
    <w:rsid w:val="005A6459"/>
    <w:rsid w:val="005A7265"/>
    <w:rsid w:val="005A748E"/>
    <w:rsid w:val="005A7F4B"/>
    <w:rsid w:val="005B1B33"/>
    <w:rsid w:val="005B3D1C"/>
    <w:rsid w:val="005B4920"/>
    <w:rsid w:val="005B5587"/>
    <w:rsid w:val="005B5733"/>
    <w:rsid w:val="005C0C40"/>
    <w:rsid w:val="005C151B"/>
    <w:rsid w:val="005C21FD"/>
    <w:rsid w:val="005C2CC4"/>
    <w:rsid w:val="005C3102"/>
    <w:rsid w:val="005C43B7"/>
    <w:rsid w:val="005C4684"/>
    <w:rsid w:val="005C4879"/>
    <w:rsid w:val="005C4BEB"/>
    <w:rsid w:val="005C6006"/>
    <w:rsid w:val="005C699C"/>
    <w:rsid w:val="005C700C"/>
    <w:rsid w:val="005C7989"/>
    <w:rsid w:val="005D1621"/>
    <w:rsid w:val="005D4F4B"/>
    <w:rsid w:val="005D59A0"/>
    <w:rsid w:val="005D6594"/>
    <w:rsid w:val="005D6DEE"/>
    <w:rsid w:val="005D7182"/>
    <w:rsid w:val="005D7748"/>
    <w:rsid w:val="005E1389"/>
    <w:rsid w:val="005E1438"/>
    <w:rsid w:val="005E2A39"/>
    <w:rsid w:val="005E31E3"/>
    <w:rsid w:val="005E34AF"/>
    <w:rsid w:val="005E36A1"/>
    <w:rsid w:val="005E3F05"/>
    <w:rsid w:val="005E569D"/>
    <w:rsid w:val="005E7828"/>
    <w:rsid w:val="005F00AF"/>
    <w:rsid w:val="005F0B8C"/>
    <w:rsid w:val="005F27A0"/>
    <w:rsid w:val="005F3911"/>
    <w:rsid w:val="005F4223"/>
    <w:rsid w:val="005F4B4D"/>
    <w:rsid w:val="005F4F75"/>
    <w:rsid w:val="005F59E9"/>
    <w:rsid w:val="005F61FF"/>
    <w:rsid w:val="005F6563"/>
    <w:rsid w:val="005F7617"/>
    <w:rsid w:val="005F7CAF"/>
    <w:rsid w:val="006010F7"/>
    <w:rsid w:val="006020AA"/>
    <w:rsid w:val="006021E3"/>
    <w:rsid w:val="00602836"/>
    <w:rsid w:val="00605136"/>
    <w:rsid w:val="00605CB1"/>
    <w:rsid w:val="006068E6"/>
    <w:rsid w:val="00607040"/>
    <w:rsid w:val="006074E9"/>
    <w:rsid w:val="00607749"/>
    <w:rsid w:val="00607FED"/>
    <w:rsid w:val="00610C91"/>
    <w:rsid w:val="0061226F"/>
    <w:rsid w:val="0061261A"/>
    <w:rsid w:val="00613628"/>
    <w:rsid w:val="006145BC"/>
    <w:rsid w:val="00614B19"/>
    <w:rsid w:val="00614F7C"/>
    <w:rsid w:val="00615381"/>
    <w:rsid w:val="00615A47"/>
    <w:rsid w:val="0062032B"/>
    <w:rsid w:val="00621088"/>
    <w:rsid w:val="00623D27"/>
    <w:rsid w:val="00623D32"/>
    <w:rsid w:val="00624A76"/>
    <w:rsid w:val="0062519E"/>
    <w:rsid w:val="006262E1"/>
    <w:rsid w:val="006263D8"/>
    <w:rsid w:val="00627577"/>
    <w:rsid w:val="0063103B"/>
    <w:rsid w:val="006317C0"/>
    <w:rsid w:val="00633A59"/>
    <w:rsid w:val="00634D74"/>
    <w:rsid w:val="00635342"/>
    <w:rsid w:val="00636299"/>
    <w:rsid w:val="00636750"/>
    <w:rsid w:val="00641625"/>
    <w:rsid w:val="0064169A"/>
    <w:rsid w:val="00641ED3"/>
    <w:rsid w:val="0064376E"/>
    <w:rsid w:val="00646952"/>
    <w:rsid w:val="00646DEA"/>
    <w:rsid w:val="0064705F"/>
    <w:rsid w:val="00647C39"/>
    <w:rsid w:val="00647D8D"/>
    <w:rsid w:val="00650278"/>
    <w:rsid w:val="00650CC6"/>
    <w:rsid w:val="00653D63"/>
    <w:rsid w:val="00654817"/>
    <w:rsid w:val="00655A77"/>
    <w:rsid w:val="0065660B"/>
    <w:rsid w:val="00656B13"/>
    <w:rsid w:val="00662AF4"/>
    <w:rsid w:val="00664132"/>
    <w:rsid w:val="00664135"/>
    <w:rsid w:val="00664C03"/>
    <w:rsid w:val="006658E1"/>
    <w:rsid w:val="00665DBD"/>
    <w:rsid w:val="00666D16"/>
    <w:rsid w:val="00667C9B"/>
    <w:rsid w:val="0067034B"/>
    <w:rsid w:val="00670CE5"/>
    <w:rsid w:val="00671D0C"/>
    <w:rsid w:val="00672230"/>
    <w:rsid w:val="00673169"/>
    <w:rsid w:val="006746BB"/>
    <w:rsid w:val="00674F31"/>
    <w:rsid w:val="006754AE"/>
    <w:rsid w:val="00676C40"/>
    <w:rsid w:val="00676E9D"/>
    <w:rsid w:val="006770C5"/>
    <w:rsid w:val="00677169"/>
    <w:rsid w:val="006814ED"/>
    <w:rsid w:val="00681615"/>
    <w:rsid w:val="00682E75"/>
    <w:rsid w:val="006849A2"/>
    <w:rsid w:val="006850EF"/>
    <w:rsid w:val="00685ECD"/>
    <w:rsid w:val="00690032"/>
    <w:rsid w:val="006903C6"/>
    <w:rsid w:val="006905D1"/>
    <w:rsid w:val="006908DD"/>
    <w:rsid w:val="00692A4D"/>
    <w:rsid w:val="006946C8"/>
    <w:rsid w:val="006A0C0D"/>
    <w:rsid w:val="006A1412"/>
    <w:rsid w:val="006A190A"/>
    <w:rsid w:val="006A2E7A"/>
    <w:rsid w:val="006A2E82"/>
    <w:rsid w:val="006A4ECA"/>
    <w:rsid w:val="006A5DE7"/>
    <w:rsid w:val="006A5E48"/>
    <w:rsid w:val="006A68D0"/>
    <w:rsid w:val="006A6A7C"/>
    <w:rsid w:val="006A6E0F"/>
    <w:rsid w:val="006A6E44"/>
    <w:rsid w:val="006A7287"/>
    <w:rsid w:val="006B1B75"/>
    <w:rsid w:val="006B1C6A"/>
    <w:rsid w:val="006B2DD0"/>
    <w:rsid w:val="006B4C03"/>
    <w:rsid w:val="006C034B"/>
    <w:rsid w:val="006C0F5F"/>
    <w:rsid w:val="006C171E"/>
    <w:rsid w:val="006C2049"/>
    <w:rsid w:val="006C3A6E"/>
    <w:rsid w:val="006C49D0"/>
    <w:rsid w:val="006C4E8C"/>
    <w:rsid w:val="006C5089"/>
    <w:rsid w:val="006C6ED7"/>
    <w:rsid w:val="006D0FBC"/>
    <w:rsid w:val="006D23D0"/>
    <w:rsid w:val="006D415A"/>
    <w:rsid w:val="006D4566"/>
    <w:rsid w:val="006D4C0E"/>
    <w:rsid w:val="006D57C5"/>
    <w:rsid w:val="006D5E70"/>
    <w:rsid w:val="006D6DBC"/>
    <w:rsid w:val="006D70C6"/>
    <w:rsid w:val="006D73B0"/>
    <w:rsid w:val="006E0569"/>
    <w:rsid w:val="006E2CE8"/>
    <w:rsid w:val="006E5495"/>
    <w:rsid w:val="006E6078"/>
    <w:rsid w:val="006E6C7E"/>
    <w:rsid w:val="006F1BBA"/>
    <w:rsid w:val="006F34A8"/>
    <w:rsid w:val="006F4186"/>
    <w:rsid w:val="006F560D"/>
    <w:rsid w:val="006F5857"/>
    <w:rsid w:val="006F749A"/>
    <w:rsid w:val="00701266"/>
    <w:rsid w:val="00703A77"/>
    <w:rsid w:val="00703CC6"/>
    <w:rsid w:val="00705F6A"/>
    <w:rsid w:val="007064F0"/>
    <w:rsid w:val="007071B5"/>
    <w:rsid w:val="007071B7"/>
    <w:rsid w:val="00710C0E"/>
    <w:rsid w:val="0071196E"/>
    <w:rsid w:val="00711BA2"/>
    <w:rsid w:val="00711BAF"/>
    <w:rsid w:val="00712900"/>
    <w:rsid w:val="00712D52"/>
    <w:rsid w:val="007137B0"/>
    <w:rsid w:val="00713F28"/>
    <w:rsid w:val="00716EB3"/>
    <w:rsid w:val="0072103F"/>
    <w:rsid w:val="00721490"/>
    <w:rsid w:val="00721603"/>
    <w:rsid w:val="00723029"/>
    <w:rsid w:val="00726510"/>
    <w:rsid w:val="00727BA2"/>
    <w:rsid w:val="00731938"/>
    <w:rsid w:val="007346D9"/>
    <w:rsid w:val="00734945"/>
    <w:rsid w:val="00734AA3"/>
    <w:rsid w:val="007355A4"/>
    <w:rsid w:val="007366AA"/>
    <w:rsid w:val="00736CD6"/>
    <w:rsid w:val="007375A7"/>
    <w:rsid w:val="00741D7B"/>
    <w:rsid w:val="0074281D"/>
    <w:rsid w:val="00742AD3"/>
    <w:rsid w:val="00742B72"/>
    <w:rsid w:val="0074541B"/>
    <w:rsid w:val="00751AFE"/>
    <w:rsid w:val="00752EDC"/>
    <w:rsid w:val="007546F1"/>
    <w:rsid w:val="00754A21"/>
    <w:rsid w:val="007553F5"/>
    <w:rsid w:val="007567EE"/>
    <w:rsid w:val="00756C85"/>
    <w:rsid w:val="00756EC6"/>
    <w:rsid w:val="0075796F"/>
    <w:rsid w:val="00760F3C"/>
    <w:rsid w:val="00763368"/>
    <w:rsid w:val="007637A2"/>
    <w:rsid w:val="00763873"/>
    <w:rsid w:val="0076439F"/>
    <w:rsid w:val="007652D4"/>
    <w:rsid w:val="007657FE"/>
    <w:rsid w:val="0076665B"/>
    <w:rsid w:val="00767D79"/>
    <w:rsid w:val="00770AF3"/>
    <w:rsid w:val="00771900"/>
    <w:rsid w:val="00771C8D"/>
    <w:rsid w:val="00772545"/>
    <w:rsid w:val="007748EB"/>
    <w:rsid w:val="00776714"/>
    <w:rsid w:val="007771BD"/>
    <w:rsid w:val="00777C74"/>
    <w:rsid w:val="0078071C"/>
    <w:rsid w:val="00780C5C"/>
    <w:rsid w:val="00780FC9"/>
    <w:rsid w:val="00781A39"/>
    <w:rsid w:val="00782DB2"/>
    <w:rsid w:val="00784798"/>
    <w:rsid w:val="007850F5"/>
    <w:rsid w:val="00786186"/>
    <w:rsid w:val="00786F18"/>
    <w:rsid w:val="0079097A"/>
    <w:rsid w:val="00790F44"/>
    <w:rsid w:val="00791681"/>
    <w:rsid w:val="0079184B"/>
    <w:rsid w:val="00791E4D"/>
    <w:rsid w:val="007935E4"/>
    <w:rsid w:val="00795BB2"/>
    <w:rsid w:val="00796872"/>
    <w:rsid w:val="0079782D"/>
    <w:rsid w:val="007979AF"/>
    <w:rsid w:val="00797C8D"/>
    <w:rsid w:val="007A1A03"/>
    <w:rsid w:val="007A2105"/>
    <w:rsid w:val="007A28F7"/>
    <w:rsid w:val="007A576D"/>
    <w:rsid w:val="007B0AF6"/>
    <w:rsid w:val="007B5221"/>
    <w:rsid w:val="007B7513"/>
    <w:rsid w:val="007C0B0C"/>
    <w:rsid w:val="007C1027"/>
    <w:rsid w:val="007C3825"/>
    <w:rsid w:val="007C4306"/>
    <w:rsid w:val="007C483C"/>
    <w:rsid w:val="007C5367"/>
    <w:rsid w:val="007D20E7"/>
    <w:rsid w:val="007D2568"/>
    <w:rsid w:val="007D3473"/>
    <w:rsid w:val="007D3D68"/>
    <w:rsid w:val="007D3DA2"/>
    <w:rsid w:val="007D7690"/>
    <w:rsid w:val="007E14B2"/>
    <w:rsid w:val="007E1B07"/>
    <w:rsid w:val="007E1DEF"/>
    <w:rsid w:val="007E2365"/>
    <w:rsid w:val="007E4FEA"/>
    <w:rsid w:val="007E55C3"/>
    <w:rsid w:val="007E61E2"/>
    <w:rsid w:val="007E6EAA"/>
    <w:rsid w:val="007F1C94"/>
    <w:rsid w:val="007F368C"/>
    <w:rsid w:val="007F39C0"/>
    <w:rsid w:val="007F3D6A"/>
    <w:rsid w:val="007F444A"/>
    <w:rsid w:val="007F4F00"/>
    <w:rsid w:val="007F50C2"/>
    <w:rsid w:val="007F6C63"/>
    <w:rsid w:val="00801A58"/>
    <w:rsid w:val="008024DC"/>
    <w:rsid w:val="0080319F"/>
    <w:rsid w:val="0080727A"/>
    <w:rsid w:val="00807575"/>
    <w:rsid w:val="00810314"/>
    <w:rsid w:val="00810433"/>
    <w:rsid w:val="00814DB5"/>
    <w:rsid w:val="00816BF2"/>
    <w:rsid w:val="00816C9C"/>
    <w:rsid w:val="008227C2"/>
    <w:rsid w:val="00824496"/>
    <w:rsid w:val="00827DB8"/>
    <w:rsid w:val="00827DFD"/>
    <w:rsid w:val="008304AB"/>
    <w:rsid w:val="008305A2"/>
    <w:rsid w:val="00830814"/>
    <w:rsid w:val="00830A81"/>
    <w:rsid w:val="00831290"/>
    <w:rsid w:val="008317E0"/>
    <w:rsid w:val="00831D09"/>
    <w:rsid w:val="00832289"/>
    <w:rsid w:val="00832AD6"/>
    <w:rsid w:val="00832FE4"/>
    <w:rsid w:val="00833551"/>
    <w:rsid w:val="00833DF8"/>
    <w:rsid w:val="00833E56"/>
    <w:rsid w:val="008344CC"/>
    <w:rsid w:val="008349ED"/>
    <w:rsid w:val="00834EE8"/>
    <w:rsid w:val="00835F56"/>
    <w:rsid w:val="0083610E"/>
    <w:rsid w:val="00837400"/>
    <w:rsid w:val="008378B9"/>
    <w:rsid w:val="00837DC2"/>
    <w:rsid w:val="00837FB7"/>
    <w:rsid w:val="0084083B"/>
    <w:rsid w:val="008427BE"/>
    <w:rsid w:val="00845585"/>
    <w:rsid w:val="008455BF"/>
    <w:rsid w:val="00847D50"/>
    <w:rsid w:val="00847E32"/>
    <w:rsid w:val="00850008"/>
    <w:rsid w:val="008503CF"/>
    <w:rsid w:val="0085108B"/>
    <w:rsid w:val="00851B39"/>
    <w:rsid w:val="00852D13"/>
    <w:rsid w:val="008536EC"/>
    <w:rsid w:val="00853B78"/>
    <w:rsid w:val="00854E84"/>
    <w:rsid w:val="008557E8"/>
    <w:rsid w:val="00855F66"/>
    <w:rsid w:val="00860489"/>
    <w:rsid w:val="00861A6A"/>
    <w:rsid w:val="0086285A"/>
    <w:rsid w:val="008633B2"/>
    <w:rsid w:val="008650B9"/>
    <w:rsid w:val="00866761"/>
    <w:rsid w:val="00871D84"/>
    <w:rsid w:val="008720B6"/>
    <w:rsid w:val="00872519"/>
    <w:rsid w:val="008742D2"/>
    <w:rsid w:val="008757D8"/>
    <w:rsid w:val="00876543"/>
    <w:rsid w:val="00877959"/>
    <w:rsid w:val="00881974"/>
    <w:rsid w:val="00881ED1"/>
    <w:rsid w:val="00883D91"/>
    <w:rsid w:val="00884386"/>
    <w:rsid w:val="00884867"/>
    <w:rsid w:val="00885827"/>
    <w:rsid w:val="0089079F"/>
    <w:rsid w:val="00893355"/>
    <w:rsid w:val="00893AE3"/>
    <w:rsid w:val="00893CF0"/>
    <w:rsid w:val="00895597"/>
    <w:rsid w:val="00895820"/>
    <w:rsid w:val="0089582B"/>
    <w:rsid w:val="008964D4"/>
    <w:rsid w:val="00897DC1"/>
    <w:rsid w:val="008A02A9"/>
    <w:rsid w:val="008A1741"/>
    <w:rsid w:val="008A2967"/>
    <w:rsid w:val="008A3EB5"/>
    <w:rsid w:val="008A454B"/>
    <w:rsid w:val="008A4779"/>
    <w:rsid w:val="008A4D52"/>
    <w:rsid w:val="008A6BFC"/>
    <w:rsid w:val="008A6F9C"/>
    <w:rsid w:val="008A7093"/>
    <w:rsid w:val="008A7F8D"/>
    <w:rsid w:val="008B154F"/>
    <w:rsid w:val="008B17BB"/>
    <w:rsid w:val="008B1B4F"/>
    <w:rsid w:val="008B1B9F"/>
    <w:rsid w:val="008B2DEE"/>
    <w:rsid w:val="008B401D"/>
    <w:rsid w:val="008B58EA"/>
    <w:rsid w:val="008B5A06"/>
    <w:rsid w:val="008B7002"/>
    <w:rsid w:val="008B7837"/>
    <w:rsid w:val="008C1E13"/>
    <w:rsid w:val="008C5CED"/>
    <w:rsid w:val="008C61F8"/>
    <w:rsid w:val="008C625A"/>
    <w:rsid w:val="008C799F"/>
    <w:rsid w:val="008D0CC8"/>
    <w:rsid w:val="008D135D"/>
    <w:rsid w:val="008D1A7C"/>
    <w:rsid w:val="008D1D29"/>
    <w:rsid w:val="008D218D"/>
    <w:rsid w:val="008D3895"/>
    <w:rsid w:val="008D3C0A"/>
    <w:rsid w:val="008D4D08"/>
    <w:rsid w:val="008D65D5"/>
    <w:rsid w:val="008D754F"/>
    <w:rsid w:val="008E01CD"/>
    <w:rsid w:val="008E47A3"/>
    <w:rsid w:val="008E636F"/>
    <w:rsid w:val="008E671C"/>
    <w:rsid w:val="008F0876"/>
    <w:rsid w:val="008F0F1E"/>
    <w:rsid w:val="008F2CC4"/>
    <w:rsid w:val="008F31B2"/>
    <w:rsid w:val="008F33F4"/>
    <w:rsid w:val="008F592D"/>
    <w:rsid w:val="008F597E"/>
    <w:rsid w:val="008F678E"/>
    <w:rsid w:val="008F77C0"/>
    <w:rsid w:val="00903595"/>
    <w:rsid w:val="009042B1"/>
    <w:rsid w:val="009045BE"/>
    <w:rsid w:val="00904A1A"/>
    <w:rsid w:val="00906DF8"/>
    <w:rsid w:val="00907DA1"/>
    <w:rsid w:val="00910CBF"/>
    <w:rsid w:val="00912A54"/>
    <w:rsid w:val="00914B11"/>
    <w:rsid w:val="00915572"/>
    <w:rsid w:val="00916033"/>
    <w:rsid w:val="0091617D"/>
    <w:rsid w:val="0091669E"/>
    <w:rsid w:val="0091696C"/>
    <w:rsid w:val="00920B4A"/>
    <w:rsid w:val="00920E25"/>
    <w:rsid w:val="009210D6"/>
    <w:rsid w:val="00923EAC"/>
    <w:rsid w:val="00924492"/>
    <w:rsid w:val="00925193"/>
    <w:rsid w:val="00925B2C"/>
    <w:rsid w:val="0092616E"/>
    <w:rsid w:val="00927719"/>
    <w:rsid w:val="00930607"/>
    <w:rsid w:val="009328DD"/>
    <w:rsid w:val="00932B7B"/>
    <w:rsid w:val="009330B2"/>
    <w:rsid w:val="0093327A"/>
    <w:rsid w:val="009334D8"/>
    <w:rsid w:val="00933681"/>
    <w:rsid w:val="00935599"/>
    <w:rsid w:val="009360BF"/>
    <w:rsid w:val="00936983"/>
    <w:rsid w:val="0093713F"/>
    <w:rsid w:val="0094003B"/>
    <w:rsid w:val="00940D36"/>
    <w:rsid w:val="009420A3"/>
    <w:rsid w:val="00943B40"/>
    <w:rsid w:val="00945AD5"/>
    <w:rsid w:val="00946565"/>
    <w:rsid w:val="009469BF"/>
    <w:rsid w:val="0095052E"/>
    <w:rsid w:val="00952BB1"/>
    <w:rsid w:val="009531C4"/>
    <w:rsid w:val="00953516"/>
    <w:rsid w:val="0095466F"/>
    <w:rsid w:val="00957F2A"/>
    <w:rsid w:val="0096074C"/>
    <w:rsid w:val="00961F62"/>
    <w:rsid w:val="00962683"/>
    <w:rsid w:val="0096305F"/>
    <w:rsid w:val="00964C32"/>
    <w:rsid w:val="009658E3"/>
    <w:rsid w:val="009671A6"/>
    <w:rsid w:val="00967982"/>
    <w:rsid w:val="009679B9"/>
    <w:rsid w:val="009702C8"/>
    <w:rsid w:val="0097082B"/>
    <w:rsid w:val="00970D80"/>
    <w:rsid w:val="0097114A"/>
    <w:rsid w:val="0097388E"/>
    <w:rsid w:val="009743B2"/>
    <w:rsid w:val="0097472D"/>
    <w:rsid w:val="0097473D"/>
    <w:rsid w:val="0097535F"/>
    <w:rsid w:val="0097632F"/>
    <w:rsid w:val="009807EE"/>
    <w:rsid w:val="00980E2D"/>
    <w:rsid w:val="00980FD3"/>
    <w:rsid w:val="00981A26"/>
    <w:rsid w:val="00981BE5"/>
    <w:rsid w:val="00982A10"/>
    <w:rsid w:val="009845A2"/>
    <w:rsid w:val="009845A6"/>
    <w:rsid w:val="009846B5"/>
    <w:rsid w:val="00985834"/>
    <w:rsid w:val="00985DE4"/>
    <w:rsid w:val="00987763"/>
    <w:rsid w:val="009878A8"/>
    <w:rsid w:val="00987DA9"/>
    <w:rsid w:val="00990918"/>
    <w:rsid w:val="00990A4E"/>
    <w:rsid w:val="00990E04"/>
    <w:rsid w:val="00991074"/>
    <w:rsid w:val="00993E91"/>
    <w:rsid w:val="00997127"/>
    <w:rsid w:val="009A24AC"/>
    <w:rsid w:val="009A3989"/>
    <w:rsid w:val="009A46F0"/>
    <w:rsid w:val="009A49DC"/>
    <w:rsid w:val="009A4F93"/>
    <w:rsid w:val="009A6475"/>
    <w:rsid w:val="009A6D8A"/>
    <w:rsid w:val="009A7981"/>
    <w:rsid w:val="009A79EB"/>
    <w:rsid w:val="009B17AB"/>
    <w:rsid w:val="009B1AD4"/>
    <w:rsid w:val="009B2F13"/>
    <w:rsid w:val="009B415F"/>
    <w:rsid w:val="009B47C5"/>
    <w:rsid w:val="009B5408"/>
    <w:rsid w:val="009B5D4E"/>
    <w:rsid w:val="009B6391"/>
    <w:rsid w:val="009B7B98"/>
    <w:rsid w:val="009C067F"/>
    <w:rsid w:val="009C0A7A"/>
    <w:rsid w:val="009C4E6E"/>
    <w:rsid w:val="009C6B49"/>
    <w:rsid w:val="009D0221"/>
    <w:rsid w:val="009D0990"/>
    <w:rsid w:val="009D149D"/>
    <w:rsid w:val="009D3558"/>
    <w:rsid w:val="009D5B00"/>
    <w:rsid w:val="009D63BE"/>
    <w:rsid w:val="009D67E3"/>
    <w:rsid w:val="009D68A3"/>
    <w:rsid w:val="009D6C05"/>
    <w:rsid w:val="009E1A30"/>
    <w:rsid w:val="009E2127"/>
    <w:rsid w:val="009E2D72"/>
    <w:rsid w:val="009E2ECE"/>
    <w:rsid w:val="009E482D"/>
    <w:rsid w:val="009F2C6B"/>
    <w:rsid w:val="009F3064"/>
    <w:rsid w:val="009F4C29"/>
    <w:rsid w:val="009F4E83"/>
    <w:rsid w:val="009F757F"/>
    <w:rsid w:val="009F7B63"/>
    <w:rsid w:val="00A00D3A"/>
    <w:rsid w:val="00A01C96"/>
    <w:rsid w:val="00A024CA"/>
    <w:rsid w:val="00A025AC"/>
    <w:rsid w:val="00A02995"/>
    <w:rsid w:val="00A0433E"/>
    <w:rsid w:val="00A04F4B"/>
    <w:rsid w:val="00A05BA9"/>
    <w:rsid w:val="00A05D49"/>
    <w:rsid w:val="00A06ABC"/>
    <w:rsid w:val="00A06DF6"/>
    <w:rsid w:val="00A06E53"/>
    <w:rsid w:val="00A07B40"/>
    <w:rsid w:val="00A1035F"/>
    <w:rsid w:val="00A10AA1"/>
    <w:rsid w:val="00A10DC4"/>
    <w:rsid w:val="00A11871"/>
    <w:rsid w:val="00A11CC8"/>
    <w:rsid w:val="00A122C8"/>
    <w:rsid w:val="00A1241B"/>
    <w:rsid w:val="00A1304D"/>
    <w:rsid w:val="00A14786"/>
    <w:rsid w:val="00A15962"/>
    <w:rsid w:val="00A20068"/>
    <w:rsid w:val="00A20688"/>
    <w:rsid w:val="00A20A79"/>
    <w:rsid w:val="00A213BF"/>
    <w:rsid w:val="00A22463"/>
    <w:rsid w:val="00A24732"/>
    <w:rsid w:val="00A27896"/>
    <w:rsid w:val="00A31F11"/>
    <w:rsid w:val="00A33C63"/>
    <w:rsid w:val="00A3454F"/>
    <w:rsid w:val="00A36855"/>
    <w:rsid w:val="00A40FD8"/>
    <w:rsid w:val="00A422C7"/>
    <w:rsid w:val="00A4254F"/>
    <w:rsid w:val="00A43FBA"/>
    <w:rsid w:val="00A44E7C"/>
    <w:rsid w:val="00A45675"/>
    <w:rsid w:val="00A457D0"/>
    <w:rsid w:val="00A459E1"/>
    <w:rsid w:val="00A46E4C"/>
    <w:rsid w:val="00A472D6"/>
    <w:rsid w:val="00A47383"/>
    <w:rsid w:val="00A4785F"/>
    <w:rsid w:val="00A528FE"/>
    <w:rsid w:val="00A53FE5"/>
    <w:rsid w:val="00A55F15"/>
    <w:rsid w:val="00A561E4"/>
    <w:rsid w:val="00A56AAA"/>
    <w:rsid w:val="00A57B61"/>
    <w:rsid w:val="00A57F62"/>
    <w:rsid w:val="00A603E0"/>
    <w:rsid w:val="00A62A76"/>
    <w:rsid w:val="00A63379"/>
    <w:rsid w:val="00A6512A"/>
    <w:rsid w:val="00A65321"/>
    <w:rsid w:val="00A659A3"/>
    <w:rsid w:val="00A673A0"/>
    <w:rsid w:val="00A67E99"/>
    <w:rsid w:val="00A70F9E"/>
    <w:rsid w:val="00A70FE3"/>
    <w:rsid w:val="00A716C9"/>
    <w:rsid w:val="00A7202C"/>
    <w:rsid w:val="00A7271F"/>
    <w:rsid w:val="00A76BF9"/>
    <w:rsid w:val="00A76DE6"/>
    <w:rsid w:val="00A77938"/>
    <w:rsid w:val="00A77E0A"/>
    <w:rsid w:val="00A81F5F"/>
    <w:rsid w:val="00A82112"/>
    <w:rsid w:val="00A82D8B"/>
    <w:rsid w:val="00A83994"/>
    <w:rsid w:val="00A86430"/>
    <w:rsid w:val="00A866B9"/>
    <w:rsid w:val="00A86B51"/>
    <w:rsid w:val="00A86BDB"/>
    <w:rsid w:val="00A870B1"/>
    <w:rsid w:val="00A92250"/>
    <w:rsid w:val="00A92592"/>
    <w:rsid w:val="00A92BA9"/>
    <w:rsid w:val="00A95664"/>
    <w:rsid w:val="00A95C4F"/>
    <w:rsid w:val="00A97439"/>
    <w:rsid w:val="00A9776A"/>
    <w:rsid w:val="00AA01D8"/>
    <w:rsid w:val="00AA18A3"/>
    <w:rsid w:val="00AA3674"/>
    <w:rsid w:val="00AA5157"/>
    <w:rsid w:val="00AA5955"/>
    <w:rsid w:val="00AA68FC"/>
    <w:rsid w:val="00AA74CC"/>
    <w:rsid w:val="00AB00CC"/>
    <w:rsid w:val="00AB0613"/>
    <w:rsid w:val="00AB0615"/>
    <w:rsid w:val="00AB1C3B"/>
    <w:rsid w:val="00AB1C60"/>
    <w:rsid w:val="00AB5F64"/>
    <w:rsid w:val="00AB7B24"/>
    <w:rsid w:val="00AB7E2C"/>
    <w:rsid w:val="00AC2BB9"/>
    <w:rsid w:val="00AC35F2"/>
    <w:rsid w:val="00AC3C28"/>
    <w:rsid w:val="00AC41D1"/>
    <w:rsid w:val="00AC5940"/>
    <w:rsid w:val="00AC6ED3"/>
    <w:rsid w:val="00AC6FA4"/>
    <w:rsid w:val="00AC7035"/>
    <w:rsid w:val="00AD2125"/>
    <w:rsid w:val="00AD23EC"/>
    <w:rsid w:val="00AD2F45"/>
    <w:rsid w:val="00AD3FE9"/>
    <w:rsid w:val="00AD59A9"/>
    <w:rsid w:val="00AE13F3"/>
    <w:rsid w:val="00AE1411"/>
    <w:rsid w:val="00AE210C"/>
    <w:rsid w:val="00AE2584"/>
    <w:rsid w:val="00AE389A"/>
    <w:rsid w:val="00AE4572"/>
    <w:rsid w:val="00AF0AF3"/>
    <w:rsid w:val="00AF0F4D"/>
    <w:rsid w:val="00AF1D63"/>
    <w:rsid w:val="00AF2354"/>
    <w:rsid w:val="00AF5123"/>
    <w:rsid w:val="00AF6613"/>
    <w:rsid w:val="00AF664A"/>
    <w:rsid w:val="00AF6F4F"/>
    <w:rsid w:val="00AF7445"/>
    <w:rsid w:val="00AF7A1F"/>
    <w:rsid w:val="00AF7AEC"/>
    <w:rsid w:val="00B0096E"/>
    <w:rsid w:val="00B05405"/>
    <w:rsid w:val="00B05F0F"/>
    <w:rsid w:val="00B07D83"/>
    <w:rsid w:val="00B12C7E"/>
    <w:rsid w:val="00B16AEC"/>
    <w:rsid w:val="00B17A9F"/>
    <w:rsid w:val="00B202C8"/>
    <w:rsid w:val="00B24A1C"/>
    <w:rsid w:val="00B269B3"/>
    <w:rsid w:val="00B26A29"/>
    <w:rsid w:val="00B3048F"/>
    <w:rsid w:val="00B310CC"/>
    <w:rsid w:val="00B31DA0"/>
    <w:rsid w:val="00B354A9"/>
    <w:rsid w:val="00B35930"/>
    <w:rsid w:val="00B368CF"/>
    <w:rsid w:val="00B40FC1"/>
    <w:rsid w:val="00B41821"/>
    <w:rsid w:val="00B41CD1"/>
    <w:rsid w:val="00B42036"/>
    <w:rsid w:val="00B42879"/>
    <w:rsid w:val="00B429A6"/>
    <w:rsid w:val="00B42DEC"/>
    <w:rsid w:val="00B43548"/>
    <w:rsid w:val="00B43B79"/>
    <w:rsid w:val="00B456E4"/>
    <w:rsid w:val="00B4697F"/>
    <w:rsid w:val="00B5005B"/>
    <w:rsid w:val="00B5008D"/>
    <w:rsid w:val="00B505DD"/>
    <w:rsid w:val="00B50FD0"/>
    <w:rsid w:val="00B516C8"/>
    <w:rsid w:val="00B526C3"/>
    <w:rsid w:val="00B531FA"/>
    <w:rsid w:val="00B534EE"/>
    <w:rsid w:val="00B54CF5"/>
    <w:rsid w:val="00B5535A"/>
    <w:rsid w:val="00B5573E"/>
    <w:rsid w:val="00B55A68"/>
    <w:rsid w:val="00B57805"/>
    <w:rsid w:val="00B60A21"/>
    <w:rsid w:val="00B60D00"/>
    <w:rsid w:val="00B612C8"/>
    <w:rsid w:val="00B6215A"/>
    <w:rsid w:val="00B657C3"/>
    <w:rsid w:val="00B72DE3"/>
    <w:rsid w:val="00B72FE2"/>
    <w:rsid w:val="00B73541"/>
    <w:rsid w:val="00B73802"/>
    <w:rsid w:val="00B73E01"/>
    <w:rsid w:val="00B74789"/>
    <w:rsid w:val="00B749B9"/>
    <w:rsid w:val="00B74FE9"/>
    <w:rsid w:val="00B750DB"/>
    <w:rsid w:val="00B779D6"/>
    <w:rsid w:val="00B80D36"/>
    <w:rsid w:val="00B823FF"/>
    <w:rsid w:val="00B8372C"/>
    <w:rsid w:val="00B83B7A"/>
    <w:rsid w:val="00B8455C"/>
    <w:rsid w:val="00B84F59"/>
    <w:rsid w:val="00B860F1"/>
    <w:rsid w:val="00B871B5"/>
    <w:rsid w:val="00B91176"/>
    <w:rsid w:val="00B92647"/>
    <w:rsid w:val="00B92F00"/>
    <w:rsid w:val="00B94C4A"/>
    <w:rsid w:val="00BA1558"/>
    <w:rsid w:val="00BA42A0"/>
    <w:rsid w:val="00BA47C3"/>
    <w:rsid w:val="00BA4AF0"/>
    <w:rsid w:val="00BA549D"/>
    <w:rsid w:val="00BA5608"/>
    <w:rsid w:val="00BA595E"/>
    <w:rsid w:val="00BA6472"/>
    <w:rsid w:val="00BA6F39"/>
    <w:rsid w:val="00BA7439"/>
    <w:rsid w:val="00BA7A79"/>
    <w:rsid w:val="00BA7C5E"/>
    <w:rsid w:val="00BB20B8"/>
    <w:rsid w:val="00BB3374"/>
    <w:rsid w:val="00BB3752"/>
    <w:rsid w:val="00BB7AA7"/>
    <w:rsid w:val="00BB7E02"/>
    <w:rsid w:val="00BC0BA1"/>
    <w:rsid w:val="00BC4306"/>
    <w:rsid w:val="00BC5E5B"/>
    <w:rsid w:val="00BC7878"/>
    <w:rsid w:val="00BD04F8"/>
    <w:rsid w:val="00BD0EA3"/>
    <w:rsid w:val="00BD20C9"/>
    <w:rsid w:val="00BD338B"/>
    <w:rsid w:val="00BD6000"/>
    <w:rsid w:val="00BD6F45"/>
    <w:rsid w:val="00BD736A"/>
    <w:rsid w:val="00BD7400"/>
    <w:rsid w:val="00BE06C3"/>
    <w:rsid w:val="00BE0C07"/>
    <w:rsid w:val="00BE1332"/>
    <w:rsid w:val="00BE3214"/>
    <w:rsid w:val="00BE3709"/>
    <w:rsid w:val="00BE5947"/>
    <w:rsid w:val="00BF08B4"/>
    <w:rsid w:val="00BF1007"/>
    <w:rsid w:val="00BF13B8"/>
    <w:rsid w:val="00BF152D"/>
    <w:rsid w:val="00BF1BC4"/>
    <w:rsid w:val="00BF3943"/>
    <w:rsid w:val="00BF432E"/>
    <w:rsid w:val="00BF608B"/>
    <w:rsid w:val="00BF63A6"/>
    <w:rsid w:val="00C01D5D"/>
    <w:rsid w:val="00C01EB5"/>
    <w:rsid w:val="00C0317D"/>
    <w:rsid w:val="00C035AF"/>
    <w:rsid w:val="00C057EF"/>
    <w:rsid w:val="00C05955"/>
    <w:rsid w:val="00C062D4"/>
    <w:rsid w:val="00C06979"/>
    <w:rsid w:val="00C073D6"/>
    <w:rsid w:val="00C076F9"/>
    <w:rsid w:val="00C07828"/>
    <w:rsid w:val="00C07F08"/>
    <w:rsid w:val="00C110E5"/>
    <w:rsid w:val="00C12F3E"/>
    <w:rsid w:val="00C1469F"/>
    <w:rsid w:val="00C14B5B"/>
    <w:rsid w:val="00C15268"/>
    <w:rsid w:val="00C153CB"/>
    <w:rsid w:val="00C163E1"/>
    <w:rsid w:val="00C1665D"/>
    <w:rsid w:val="00C20AA7"/>
    <w:rsid w:val="00C23675"/>
    <w:rsid w:val="00C30A3B"/>
    <w:rsid w:val="00C31969"/>
    <w:rsid w:val="00C32D8C"/>
    <w:rsid w:val="00C340FE"/>
    <w:rsid w:val="00C347C2"/>
    <w:rsid w:val="00C365DD"/>
    <w:rsid w:val="00C369A4"/>
    <w:rsid w:val="00C40754"/>
    <w:rsid w:val="00C40DC3"/>
    <w:rsid w:val="00C40DDF"/>
    <w:rsid w:val="00C41145"/>
    <w:rsid w:val="00C41E73"/>
    <w:rsid w:val="00C4296D"/>
    <w:rsid w:val="00C43435"/>
    <w:rsid w:val="00C43882"/>
    <w:rsid w:val="00C45549"/>
    <w:rsid w:val="00C458F6"/>
    <w:rsid w:val="00C45DB5"/>
    <w:rsid w:val="00C46936"/>
    <w:rsid w:val="00C52CDA"/>
    <w:rsid w:val="00C52DE0"/>
    <w:rsid w:val="00C54791"/>
    <w:rsid w:val="00C558ED"/>
    <w:rsid w:val="00C55C7F"/>
    <w:rsid w:val="00C569CB"/>
    <w:rsid w:val="00C56DFC"/>
    <w:rsid w:val="00C56E7E"/>
    <w:rsid w:val="00C56EE7"/>
    <w:rsid w:val="00C56F8B"/>
    <w:rsid w:val="00C60AD2"/>
    <w:rsid w:val="00C61935"/>
    <w:rsid w:val="00C61F14"/>
    <w:rsid w:val="00C6217A"/>
    <w:rsid w:val="00C627B3"/>
    <w:rsid w:val="00C647F4"/>
    <w:rsid w:val="00C65840"/>
    <w:rsid w:val="00C66C03"/>
    <w:rsid w:val="00C6739D"/>
    <w:rsid w:val="00C677C4"/>
    <w:rsid w:val="00C67E2B"/>
    <w:rsid w:val="00C67E61"/>
    <w:rsid w:val="00C7019D"/>
    <w:rsid w:val="00C71709"/>
    <w:rsid w:val="00C726B9"/>
    <w:rsid w:val="00C72759"/>
    <w:rsid w:val="00C75BE7"/>
    <w:rsid w:val="00C76142"/>
    <w:rsid w:val="00C762DC"/>
    <w:rsid w:val="00C7640B"/>
    <w:rsid w:val="00C77C32"/>
    <w:rsid w:val="00C8016C"/>
    <w:rsid w:val="00C8035C"/>
    <w:rsid w:val="00C815A7"/>
    <w:rsid w:val="00C81959"/>
    <w:rsid w:val="00C81CA9"/>
    <w:rsid w:val="00C8481F"/>
    <w:rsid w:val="00C86B76"/>
    <w:rsid w:val="00C86F96"/>
    <w:rsid w:val="00C87E38"/>
    <w:rsid w:val="00C90AEB"/>
    <w:rsid w:val="00C91AC1"/>
    <w:rsid w:val="00C91C5F"/>
    <w:rsid w:val="00C94719"/>
    <w:rsid w:val="00C965A2"/>
    <w:rsid w:val="00C96EF6"/>
    <w:rsid w:val="00C97A02"/>
    <w:rsid w:val="00CA1EC8"/>
    <w:rsid w:val="00CA378C"/>
    <w:rsid w:val="00CA42DF"/>
    <w:rsid w:val="00CA5448"/>
    <w:rsid w:val="00CA5455"/>
    <w:rsid w:val="00CA562A"/>
    <w:rsid w:val="00CA7402"/>
    <w:rsid w:val="00CA747B"/>
    <w:rsid w:val="00CB0378"/>
    <w:rsid w:val="00CB3E4F"/>
    <w:rsid w:val="00CB47F6"/>
    <w:rsid w:val="00CB630A"/>
    <w:rsid w:val="00CB775B"/>
    <w:rsid w:val="00CC0AF5"/>
    <w:rsid w:val="00CC118F"/>
    <w:rsid w:val="00CC18CD"/>
    <w:rsid w:val="00CC1F15"/>
    <w:rsid w:val="00CC37BC"/>
    <w:rsid w:val="00CC4BB9"/>
    <w:rsid w:val="00CC5B99"/>
    <w:rsid w:val="00CC5DA5"/>
    <w:rsid w:val="00CC5E55"/>
    <w:rsid w:val="00CC6300"/>
    <w:rsid w:val="00CC79CB"/>
    <w:rsid w:val="00CC7C1C"/>
    <w:rsid w:val="00CC7F41"/>
    <w:rsid w:val="00CD073A"/>
    <w:rsid w:val="00CD0F15"/>
    <w:rsid w:val="00CD1447"/>
    <w:rsid w:val="00CD16FB"/>
    <w:rsid w:val="00CD19DD"/>
    <w:rsid w:val="00CD2AA5"/>
    <w:rsid w:val="00CD433A"/>
    <w:rsid w:val="00CD62D3"/>
    <w:rsid w:val="00CE1447"/>
    <w:rsid w:val="00CE2802"/>
    <w:rsid w:val="00CE5601"/>
    <w:rsid w:val="00CE5855"/>
    <w:rsid w:val="00CE5CB8"/>
    <w:rsid w:val="00CF01CF"/>
    <w:rsid w:val="00CF32D4"/>
    <w:rsid w:val="00CF4FA9"/>
    <w:rsid w:val="00CF62AC"/>
    <w:rsid w:val="00CF7A49"/>
    <w:rsid w:val="00D01692"/>
    <w:rsid w:val="00D040FD"/>
    <w:rsid w:val="00D04B5B"/>
    <w:rsid w:val="00D05719"/>
    <w:rsid w:val="00D060A8"/>
    <w:rsid w:val="00D06AB8"/>
    <w:rsid w:val="00D06D50"/>
    <w:rsid w:val="00D07126"/>
    <w:rsid w:val="00D071E3"/>
    <w:rsid w:val="00D0764D"/>
    <w:rsid w:val="00D07D54"/>
    <w:rsid w:val="00D1131C"/>
    <w:rsid w:val="00D12815"/>
    <w:rsid w:val="00D13453"/>
    <w:rsid w:val="00D1564B"/>
    <w:rsid w:val="00D15852"/>
    <w:rsid w:val="00D16606"/>
    <w:rsid w:val="00D166EB"/>
    <w:rsid w:val="00D16E2C"/>
    <w:rsid w:val="00D17806"/>
    <w:rsid w:val="00D2083E"/>
    <w:rsid w:val="00D23C21"/>
    <w:rsid w:val="00D23E7F"/>
    <w:rsid w:val="00D24C22"/>
    <w:rsid w:val="00D300D0"/>
    <w:rsid w:val="00D33628"/>
    <w:rsid w:val="00D34582"/>
    <w:rsid w:val="00D34A2B"/>
    <w:rsid w:val="00D3585D"/>
    <w:rsid w:val="00D35C4C"/>
    <w:rsid w:val="00D35C91"/>
    <w:rsid w:val="00D36BB8"/>
    <w:rsid w:val="00D37845"/>
    <w:rsid w:val="00D409B6"/>
    <w:rsid w:val="00D43024"/>
    <w:rsid w:val="00D4302E"/>
    <w:rsid w:val="00D43332"/>
    <w:rsid w:val="00D4384B"/>
    <w:rsid w:val="00D441F7"/>
    <w:rsid w:val="00D45561"/>
    <w:rsid w:val="00D455CE"/>
    <w:rsid w:val="00D46C38"/>
    <w:rsid w:val="00D47429"/>
    <w:rsid w:val="00D5192D"/>
    <w:rsid w:val="00D519B4"/>
    <w:rsid w:val="00D51B24"/>
    <w:rsid w:val="00D5374A"/>
    <w:rsid w:val="00D55234"/>
    <w:rsid w:val="00D55320"/>
    <w:rsid w:val="00D5750B"/>
    <w:rsid w:val="00D577A3"/>
    <w:rsid w:val="00D57F3F"/>
    <w:rsid w:val="00D608F6"/>
    <w:rsid w:val="00D60B79"/>
    <w:rsid w:val="00D640C8"/>
    <w:rsid w:val="00D658A8"/>
    <w:rsid w:val="00D65ED7"/>
    <w:rsid w:val="00D668FF"/>
    <w:rsid w:val="00D67A7E"/>
    <w:rsid w:val="00D744C7"/>
    <w:rsid w:val="00D761B1"/>
    <w:rsid w:val="00D76E41"/>
    <w:rsid w:val="00D80F0D"/>
    <w:rsid w:val="00D812DB"/>
    <w:rsid w:val="00D85C4E"/>
    <w:rsid w:val="00D86E93"/>
    <w:rsid w:val="00D871A4"/>
    <w:rsid w:val="00D872E3"/>
    <w:rsid w:val="00D90F85"/>
    <w:rsid w:val="00D91641"/>
    <w:rsid w:val="00D927E4"/>
    <w:rsid w:val="00D92813"/>
    <w:rsid w:val="00D9296C"/>
    <w:rsid w:val="00D963CE"/>
    <w:rsid w:val="00D96893"/>
    <w:rsid w:val="00D97783"/>
    <w:rsid w:val="00D97ED2"/>
    <w:rsid w:val="00DA188B"/>
    <w:rsid w:val="00DA286D"/>
    <w:rsid w:val="00DA2A21"/>
    <w:rsid w:val="00DA314B"/>
    <w:rsid w:val="00DA3AF0"/>
    <w:rsid w:val="00DA64D4"/>
    <w:rsid w:val="00DA7017"/>
    <w:rsid w:val="00DA75E5"/>
    <w:rsid w:val="00DB1420"/>
    <w:rsid w:val="00DB420E"/>
    <w:rsid w:val="00DB577E"/>
    <w:rsid w:val="00DB734F"/>
    <w:rsid w:val="00DC081B"/>
    <w:rsid w:val="00DC29CB"/>
    <w:rsid w:val="00DC2E7D"/>
    <w:rsid w:val="00DC65EA"/>
    <w:rsid w:val="00DD1640"/>
    <w:rsid w:val="00DD33D8"/>
    <w:rsid w:val="00DD34D9"/>
    <w:rsid w:val="00DD47D2"/>
    <w:rsid w:val="00DD50BE"/>
    <w:rsid w:val="00DD58D5"/>
    <w:rsid w:val="00DD7BB8"/>
    <w:rsid w:val="00DE070C"/>
    <w:rsid w:val="00DE18AD"/>
    <w:rsid w:val="00DE2435"/>
    <w:rsid w:val="00DE341B"/>
    <w:rsid w:val="00DE39CD"/>
    <w:rsid w:val="00DE3A2B"/>
    <w:rsid w:val="00DE6472"/>
    <w:rsid w:val="00DE6962"/>
    <w:rsid w:val="00DE75D5"/>
    <w:rsid w:val="00DF1A3A"/>
    <w:rsid w:val="00DF21E8"/>
    <w:rsid w:val="00DF234C"/>
    <w:rsid w:val="00DF3CC2"/>
    <w:rsid w:val="00DF45D1"/>
    <w:rsid w:val="00DF4771"/>
    <w:rsid w:val="00DF5B9F"/>
    <w:rsid w:val="00DF6CA0"/>
    <w:rsid w:val="00E000A5"/>
    <w:rsid w:val="00E00F99"/>
    <w:rsid w:val="00E00FE5"/>
    <w:rsid w:val="00E013E1"/>
    <w:rsid w:val="00E02D6E"/>
    <w:rsid w:val="00E0324E"/>
    <w:rsid w:val="00E06C98"/>
    <w:rsid w:val="00E07944"/>
    <w:rsid w:val="00E10C72"/>
    <w:rsid w:val="00E11925"/>
    <w:rsid w:val="00E12894"/>
    <w:rsid w:val="00E12E2C"/>
    <w:rsid w:val="00E1308F"/>
    <w:rsid w:val="00E1331C"/>
    <w:rsid w:val="00E14754"/>
    <w:rsid w:val="00E14997"/>
    <w:rsid w:val="00E14E26"/>
    <w:rsid w:val="00E15E0E"/>
    <w:rsid w:val="00E17DA6"/>
    <w:rsid w:val="00E20D19"/>
    <w:rsid w:val="00E212A8"/>
    <w:rsid w:val="00E21F15"/>
    <w:rsid w:val="00E22F28"/>
    <w:rsid w:val="00E24D28"/>
    <w:rsid w:val="00E2651A"/>
    <w:rsid w:val="00E303B3"/>
    <w:rsid w:val="00E3110A"/>
    <w:rsid w:val="00E315D4"/>
    <w:rsid w:val="00E3189A"/>
    <w:rsid w:val="00E31C89"/>
    <w:rsid w:val="00E32E88"/>
    <w:rsid w:val="00E35382"/>
    <w:rsid w:val="00E3623E"/>
    <w:rsid w:val="00E3677D"/>
    <w:rsid w:val="00E36E74"/>
    <w:rsid w:val="00E36ECA"/>
    <w:rsid w:val="00E37036"/>
    <w:rsid w:val="00E40141"/>
    <w:rsid w:val="00E4159E"/>
    <w:rsid w:val="00E42DB3"/>
    <w:rsid w:val="00E4363E"/>
    <w:rsid w:val="00E45743"/>
    <w:rsid w:val="00E46126"/>
    <w:rsid w:val="00E51AB7"/>
    <w:rsid w:val="00E52787"/>
    <w:rsid w:val="00E56F00"/>
    <w:rsid w:val="00E56FA4"/>
    <w:rsid w:val="00E5706A"/>
    <w:rsid w:val="00E61585"/>
    <w:rsid w:val="00E62148"/>
    <w:rsid w:val="00E63F17"/>
    <w:rsid w:val="00E64345"/>
    <w:rsid w:val="00E64E45"/>
    <w:rsid w:val="00E6555A"/>
    <w:rsid w:val="00E65708"/>
    <w:rsid w:val="00E66C06"/>
    <w:rsid w:val="00E6732A"/>
    <w:rsid w:val="00E67455"/>
    <w:rsid w:val="00E710AB"/>
    <w:rsid w:val="00E716F1"/>
    <w:rsid w:val="00E716F3"/>
    <w:rsid w:val="00E71B07"/>
    <w:rsid w:val="00E72B21"/>
    <w:rsid w:val="00E74B51"/>
    <w:rsid w:val="00E762C4"/>
    <w:rsid w:val="00E779FC"/>
    <w:rsid w:val="00E809D9"/>
    <w:rsid w:val="00E80C6F"/>
    <w:rsid w:val="00E80CF3"/>
    <w:rsid w:val="00E81223"/>
    <w:rsid w:val="00E81E13"/>
    <w:rsid w:val="00E82AB7"/>
    <w:rsid w:val="00E83A7F"/>
    <w:rsid w:val="00E842BF"/>
    <w:rsid w:val="00E84EE9"/>
    <w:rsid w:val="00E85C50"/>
    <w:rsid w:val="00E87562"/>
    <w:rsid w:val="00E877EA"/>
    <w:rsid w:val="00E92595"/>
    <w:rsid w:val="00E94522"/>
    <w:rsid w:val="00E9476D"/>
    <w:rsid w:val="00E94A72"/>
    <w:rsid w:val="00E95191"/>
    <w:rsid w:val="00E95B6C"/>
    <w:rsid w:val="00E961F7"/>
    <w:rsid w:val="00E968C5"/>
    <w:rsid w:val="00E969BD"/>
    <w:rsid w:val="00E96A43"/>
    <w:rsid w:val="00E96D9A"/>
    <w:rsid w:val="00E97DDE"/>
    <w:rsid w:val="00E97EDC"/>
    <w:rsid w:val="00EA03FD"/>
    <w:rsid w:val="00EA0F09"/>
    <w:rsid w:val="00EA37C8"/>
    <w:rsid w:val="00EA37FF"/>
    <w:rsid w:val="00EA3DD0"/>
    <w:rsid w:val="00EA6B40"/>
    <w:rsid w:val="00EA7A19"/>
    <w:rsid w:val="00EB0EDF"/>
    <w:rsid w:val="00EB0EF5"/>
    <w:rsid w:val="00EB2E7E"/>
    <w:rsid w:val="00EB58A9"/>
    <w:rsid w:val="00EC13F3"/>
    <w:rsid w:val="00EC1E77"/>
    <w:rsid w:val="00EC4A00"/>
    <w:rsid w:val="00EC63D1"/>
    <w:rsid w:val="00EC689E"/>
    <w:rsid w:val="00EC6C6A"/>
    <w:rsid w:val="00ED4171"/>
    <w:rsid w:val="00ED53A4"/>
    <w:rsid w:val="00ED5D07"/>
    <w:rsid w:val="00ED6197"/>
    <w:rsid w:val="00ED6C8B"/>
    <w:rsid w:val="00EE1A7B"/>
    <w:rsid w:val="00EE1FCB"/>
    <w:rsid w:val="00EE32DE"/>
    <w:rsid w:val="00EE681E"/>
    <w:rsid w:val="00EE77D2"/>
    <w:rsid w:val="00EE7BC4"/>
    <w:rsid w:val="00EF0979"/>
    <w:rsid w:val="00EF11E9"/>
    <w:rsid w:val="00EF2F2E"/>
    <w:rsid w:val="00EF3814"/>
    <w:rsid w:val="00EF39E0"/>
    <w:rsid w:val="00EF43D5"/>
    <w:rsid w:val="00EF48BD"/>
    <w:rsid w:val="00EF4DDF"/>
    <w:rsid w:val="00EF545A"/>
    <w:rsid w:val="00F01D65"/>
    <w:rsid w:val="00F01E98"/>
    <w:rsid w:val="00F02018"/>
    <w:rsid w:val="00F02C3F"/>
    <w:rsid w:val="00F02CAA"/>
    <w:rsid w:val="00F04F95"/>
    <w:rsid w:val="00F07760"/>
    <w:rsid w:val="00F10C3D"/>
    <w:rsid w:val="00F10F47"/>
    <w:rsid w:val="00F1138F"/>
    <w:rsid w:val="00F121CD"/>
    <w:rsid w:val="00F12D4D"/>
    <w:rsid w:val="00F1420C"/>
    <w:rsid w:val="00F16DBE"/>
    <w:rsid w:val="00F1709F"/>
    <w:rsid w:val="00F17BF6"/>
    <w:rsid w:val="00F20541"/>
    <w:rsid w:val="00F2194B"/>
    <w:rsid w:val="00F22DC8"/>
    <w:rsid w:val="00F24452"/>
    <w:rsid w:val="00F2736D"/>
    <w:rsid w:val="00F27673"/>
    <w:rsid w:val="00F30258"/>
    <w:rsid w:val="00F30C48"/>
    <w:rsid w:val="00F32FA6"/>
    <w:rsid w:val="00F330B0"/>
    <w:rsid w:val="00F33434"/>
    <w:rsid w:val="00F334A3"/>
    <w:rsid w:val="00F35CD6"/>
    <w:rsid w:val="00F3638D"/>
    <w:rsid w:val="00F36407"/>
    <w:rsid w:val="00F37ABE"/>
    <w:rsid w:val="00F37FA3"/>
    <w:rsid w:val="00F41C0B"/>
    <w:rsid w:val="00F42271"/>
    <w:rsid w:val="00F42654"/>
    <w:rsid w:val="00F429AC"/>
    <w:rsid w:val="00F440BE"/>
    <w:rsid w:val="00F444D7"/>
    <w:rsid w:val="00F4572C"/>
    <w:rsid w:val="00F45C1D"/>
    <w:rsid w:val="00F46EAE"/>
    <w:rsid w:val="00F470D1"/>
    <w:rsid w:val="00F5186C"/>
    <w:rsid w:val="00F53C10"/>
    <w:rsid w:val="00F566D3"/>
    <w:rsid w:val="00F5753C"/>
    <w:rsid w:val="00F60CEE"/>
    <w:rsid w:val="00F6121A"/>
    <w:rsid w:val="00F61B96"/>
    <w:rsid w:val="00F62BFE"/>
    <w:rsid w:val="00F6532E"/>
    <w:rsid w:val="00F6544E"/>
    <w:rsid w:val="00F67877"/>
    <w:rsid w:val="00F72AA6"/>
    <w:rsid w:val="00F7465D"/>
    <w:rsid w:val="00F74BC3"/>
    <w:rsid w:val="00F7689E"/>
    <w:rsid w:val="00F76D86"/>
    <w:rsid w:val="00F77728"/>
    <w:rsid w:val="00F80290"/>
    <w:rsid w:val="00F81CB6"/>
    <w:rsid w:val="00F825A0"/>
    <w:rsid w:val="00F842AE"/>
    <w:rsid w:val="00F85984"/>
    <w:rsid w:val="00F85B7C"/>
    <w:rsid w:val="00F872F8"/>
    <w:rsid w:val="00F87F4D"/>
    <w:rsid w:val="00F90524"/>
    <w:rsid w:val="00F90D1A"/>
    <w:rsid w:val="00F93F8E"/>
    <w:rsid w:val="00F94856"/>
    <w:rsid w:val="00F94DA8"/>
    <w:rsid w:val="00F96115"/>
    <w:rsid w:val="00FA28A0"/>
    <w:rsid w:val="00FA4F63"/>
    <w:rsid w:val="00FA640C"/>
    <w:rsid w:val="00FB04A0"/>
    <w:rsid w:val="00FB0CFE"/>
    <w:rsid w:val="00FB13CE"/>
    <w:rsid w:val="00FB3253"/>
    <w:rsid w:val="00FB3621"/>
    <w:rsid w:val="00FB38C7"/>
    <w:rsid w:val="00FB38FD"/>
    <w:rsid w:val="00FB3A03"/>
    <w:rsid w:val="00FB5250"/>
    <w:rsid w:val="00FB5440"/>
    <w:rsid w:val="00FB5809"/>
    <w:rsid w:val="00FB63D6"/>
    <w:rsid w:val="00FB6795"/>
    <w:rsid w:val="00FB77A2"/>
    <w:rsid w:val="00FC318B"/>
    <w:rsid w:val="00FC321A"/>
    <w:rsid w:val="00FC34E3"/>
    <w:rsid w:val="00FC3C35"/>
    <w:rsid w:val="00FC3EEE"/>
    <w:rsid w:val="00FC4C1A"/>
    <w:rsid w:val="00FC576F"/>
    <w:rsid w:val="00FC6282"/>
    <w:rsid w:val="00FC6A5B"/>
    <w:rsid w:val="00FD07F0"/>
    <w:rsid w:val="00FD2281"/>
    <w:rsid w:val="00FD33C6"/>
    <w:rsid w:val="00FD3C5C"/>
    <w:rsid w:val="00FD4093"/>
    <w:rsid w:val="00FD44B9"/>
    <w:rsid w:val="00FD62EA"/>
    <w:rsid w:val="00FD7C86"/>
    <w:rsid w:val="00FE087E"/>
    <w:rsid w:val="00FE0BF0"/>
    <w:rsid w:val="00FE0D5E"/>
    <w:rsid w:val="00FE16FF"/>
    <w:rsid w:val="00FE247B"/>
    <w:rsid w:val="00FE2C99"/>
    <w:rsid w:val="00FE541A"/>
    <w:rsid w:val="00FF22B5"/>
    <w:rsid w:val="00FF26AB"/>
    <w:rsid w:val="00FF329C"/>
    <w:rsid w:val="00FF35C8"/>
    <w:rsid w:val="00FF3A52"/>
    <w:rsid w:val="00FF41DC"/>
    <w:rsid w:val="00FF5448"/>
    <w:rsid w:val="00FF64FF"/>
    <w:rsid w:val="00FF6737"/>
    <w:rsid w:val="00FF6E70"/>
    <w:rsid w:val="01442888"/>
    <w:rsid w:val="0153217D"/>
    <w:rsid w:val="019119DC"/>
    <w:rsid w:val="019E47C2"/>
    <w:rsid w:val="01DF08FD"/>
    <w:rsid w:val="021A1CEC"/>
    <w:rsid w:val="028A6B68"/>
    <w:rsid w:val="029F11CD"/>
    <w:rsid w:val="033F33C6"/>
    <w:rsid w:val="034100A8"/>
    <w:rsid w:val="03453646"/>
    <w:rsid w:val="035E1E9F"/>
    <w:rsid w:val="03606C20"/>
    <w:rsid w:val="03A27284"/>
    <w:rsid w:val="03F25F60"/>
    <w:rsid w:val="03FD2384"/>
    <w:rsid w:val="04246D56"/>
    <w:rsid w:val="0436619D"/>
    <w:rsid w:val="04883EA2"/>
    <w:rsid w:val="04B4438B"/>
    <w:rsid w:val="04C837E3"/>
    <w:rsid w:val="056A1C9B"/>
    <w:rsid w:val="05B03CA6"/>
    <w:rsid w:val="05DC5E02"/>
    <w:rsid w:val="06252AFB"/>
    <w:rsid w:val="063831AA"/>
    <w:rsid w:val="074833A0"/>
    <w:rsid w:val="074940E9"/>
    <w:rsid w:val="0756024F"/>
    <w:rsid w:val="07D478A0"/>
    <w:rsid w:val="07E210DE"/>
    <w:rsid w:val="082223BA"/>
    <w:rsid w:val="085602B5"/>
    <w:rsid w:val="08EE7CFD"/>
    <w:rsid w:val="08FB3AC0"/>
    <w:rsid w:val="09407789"/>
    <w:rsid w:val="09667E02"/>
    <w:rsid w:val="09CE7BA6"/>
    <w:rsid w:val="09E46BDD"/>
    <w:rsid w:val="09FB1114"/>
    <w:rsid w:val="09FE0C04"/>
    <w:rsid w:val="09FF21F2"/>
    <w:rsid w:val="0A351CCC"/>
    <w:rsid w:val="0A5427E2"/>
    <w:rsid w:val="0A561843"/>
    <w:rsid w:val="0A5E73EF"/>
    <w:rsid w:val="0AF35A70"/>
    <w:rsid w:val="0B08588B"/>
    <w:rsid w:val="0B4021A3"/>
    <w:rsid w:val="0BB37342"/>
    <w:rsid w:val="0BB64218"/>
    <w:rsid w:val="0BBE689D"/>
    <w:rsid w:val="0BF71DAF"/>
    <w:rsid w:val="0C104C1F"/>
    <w:rsid w:val="0C323D10"/>
    <w:rsid w:val="0C497634"/>
    <w:rsid w:val="0C607248"/>
    <w:rsid w:val="0C7F1C11"/>
    <w:rsid w:val="0CA75583"/>
    <w:rsid w:val="0CC06DF7"/>
    <w:rsid w:val="0CFE3E07"/>
    <w:rsid w:val="0D273BDD"/>
    <w:rsid w:val="0D4C5AE1"/>
    <w:rsid w:val="0D55210E"/>
    <w:rsid w:val="0D5F19BA"/>
    <w:rsid w:val="0D8E546F"/>
    <w:rsid w:val="0DD15663"/>
    <w:rsid w:val="0DED3BA1"/>
    <w:rsid w:val="0E1B4EB5"/>
    <w:rsid w:val="0E5A2F18"/>
    <w:rsid w:val="0EBE6BB4"/>
    <w:rsid w:val="0F085C6F"/>
    <w:rsid w:val="0F2652D6"/>
    <w:rsid w:val="0F346846"/>
    <w:rsid w:val="0F5613B9"/>
    <w:rsid w:val="0F603EC7"/>
    <w:rsid w:val="0F9242C9"/>
    <w:rsid w:val="0FD74F1C"/>
    <w:rsid w:val="0FE30C1D"/>
    <w:rsid w:val="0FE837DA"/>
    <w:rsid w:val="10B56D4C"/>
    <w:rsid w:val="10BD6382"/>
    <w:rsid w:val="10C61D50"/>
    <w:rsid w:val="110A1CE4"/>
    <w:rsid w:val="11755B31"/>
    <w:rsid w:val="117805E2"/>
    <w:rsid w:val="11995990"/>
    <w:rsid w:val="11C3188B"/>
    <w:rsid w:val="11D10F51"/>
    <w:rsid w:val="122A1209"/>
    <w:rsid w:val="123416DD"/>
    <w:rsid w:val="12887DD4"/>
    <w:rsid w:val="129E11D6"/>
    <w:rsid w:val="12BB03C6"/>
    <w:rsid w:val="12D36475"/>
    <w:rsid w:val="12D8665D"/>
    <w:rsid w:val="13090F03"/>
    <w:rsid w:val="13347445"/>
    <w:rsid w:val="134A2B86"/>
    <w:rsid w:val="13535C7F"/>
    <w:rsid w:val="13A600D2"/>
    <w:rsid w:val="146C3E8E"/>
    <w:rsid w:val="14AB5802"/>
    <w:rsid w:val="14B95C8D"/>
    <w:rsid w:val="152406C6"/>
    <w:rsid w:val="154F1774"/>
    <w:rsid w:val="15D158A4"/>
    <w:rsid w:val="1618223A"/>
    <w:rsid w:val="16315F4D"/>
    <w:rsid w:val="16467F81"/>
    <w:rsid w:val="16517F3A"/>
    <w:rsid w:val="16BF796D"/>
    <w:rsid w:val="16CE5645"/>
    <w:rsid w:val="16D276A1"/>
    <w:rsid w:val="16DE7DF3"/>
    <w:rsid w:val="16F31F50"/>
    <w:rsid w:val="1702234F"/>
    <w:rsid w:val="174A36DB"/>
    <w:rsid w:val="17727694"/>
    <w:rsid w:val="17B0376D"/>
    <w:rsid w:val="18025D64"/>
    <w:rsid w:val="18156334"/>
    <w:rsid w:val="181A732E"/>
    <w:rsid w:val="18522F76"/>
    <w:rsid w:val="18973C8C"/>
    <w:rsid w:val="195734EC"/>
    <w:rsid w:val="19E0767F"/>
    <w:rsid w:val="19F72F84"/>
    <w:rsid w:val="1A5D3725"/>
    <w:rsid w:val="1A5E6E15"/>
    <w:rsid w:val="1A9A1247"/>
    <w:rsid w:val="1AB3725D"/>
    <w:rsid w:val="1B0E4977"/>
    <w:rsid w:val="1B2A24B2"/>
    <w:rsid w:val="1B4A0A55"/>
    <w:rsid w:val="1B6B2D5C"/>
    <w:rsid w:val="1B866E0B"/>
    <w:rsid w:val="1B9A681C"/>
    <w:rsid w:val="1BA023BC"/>
    <w:rsid w:val="1BC23B97"/>
    <w:rsid w:val="1BF324DD"/>
    <w:rsid w:val="1CBA17A1"/>
    <w:rsid w:val="1CDD4C18"/>
    <w:rsid w:val="1CEA6A41"/>
    <w:rsid w:val="1D181D50"/>
    <w:rsid w:val="1D796AC8"/>
    <w:rsid w:val="1DDE4B7D"/>
    <w:rsid w:val="1E52719C"/>
    <w:rsid w:val="1E5828D6"/>
    <w:rsid w:val="1E633CF1"/>
    <w:rsid w:val="1EAF32E5"/>
    <w:rsid w:val="1F4A0B68"/>
    <w:rsid w:val="1F682713"/>
    <w:rsid w:val="1F7E76C4"/>
    <w:rsid w:val="1FA86D80"/>
    <w:rsid w:val="202A1284"/>
    <w:rsid w:val="20314844"/>
    <w:rsid w:val="207728D1"/>
    <w:rsid w:val="20934E7D"/>
    <w:rsid w:val="2096490D"/>
    <w:rsid w:val="20DE744D"/>
    <w:rsid w:val="212E719E"/>
    <w:rsid w:val="213046AB"/>
    <w:rsid w:val="213F1DD6"/>
    <w:rsid w:val="214F03B6"/>
    <w:rsid w:val="21702AE9"/>
    <w:rsid w:val="21804209"/>
    <w:rsid w:val="220C6DA3"/>
    <w:rsid w:val="2217457B"/>
    <w:rsid w:val="225B679C"/>
    <w:rsid w:val="22C666E9"/>
    <w:rsid w:val="22E72CF9"/>
    <w:rsid w:val="22E870EE"/>
    <w:rsid w:val="23013559"/>
    <w:rsid w:val="232118B1"/>
    <w:rsid w:val="2322550C"/>
    <w:rsid w:val="23362C09"/>
    <w:rsid w:val="233E7B9D"/>
    <w:rsid w:val="23796741"/>
    <w:rsid w:val="23B5012E"/>
    <w:rsid w:val="24284DA4"/>
    <w:rsid w:val="24683E4B"/>
    <w:rsid w:val="24CF521F"/>
    <w:rsid w:val="24DE5A7C"/>
    <w:rsid w:val="24DF6BF1"/>
    <w:rsid w:val="24EF6C3B"/>
    <w:rsid w:val="254B70B5"/>
    <w:rsid w:val="25502BE8"/>
    <w:rsid w:val="25677023"/>
    <w:rsid w:val="25853B30"/>
    <w:rsid w:val="25A34AA1"/>
    <w:rsid w:val="25B84A72"/>
    <w:rsid w:val="25DC6426"/>
    <w:rsid w:val="260F3FB4"/>
    <w:rsid w:val="26F21A97"/>
    <w:rsid w:val="26F376D3"/>
    <w:rsid w:val="27112629"/>
    <w:rsid w:val="272A3861"/>
    <w:rsid w:val="27911686"/>
    <w:rsid w:val="2791259C"/>
    <w:rsid w:val="27964212"/>
    <w:rsid w:val="27E13657"/>
    <w:rsid w:val="28B97216"/>
    <w:rsid w:val="28E30DBE"/>
    <w:rsid w:val="292B0637"/>
    <w:rsid w:val="293A75DA"/>
    <w:rsid w:val="29A841FB"/>
    <w:rsid w:val="29B14C39"/>
    <w:rsid w:val="29CD2BCE"/>
    <w:rsid w:val="29E01496"/>
    <w:rsid w:val="2A2959E5"/>
    <w:rsid w:val="2A2E405D"/>
    <w:rsid w:val="2A331ED6"/>
    <w:rsid w:val="2A422128"/>
    <w:rsid w:val="2A8F5EDF"/>
    <w:rsid w:val="2B046BFF"/>
    <w:rsid w:val="2B102FB5"/>
    <w:rsid w:val="2B510DFA"/>
    <w:rsid w:val="2B697DFD"/>
    <w:rsid w:val="2BC92BE0"/>
    <w:rsid w:val="2C5F6ABC"/>
    <w:rsid w:val="2C795B37"/>
    <w:rsid w:val="2CA759C4"/>
    <w:rsid w:val="2CE34B37"/>
    <w:rsid w:val="2CE622E7"/>
    <w:rsid w:val="2D114378"/>
    <w:rsid w:val="2D621092"/>
    <w:rsid w:val="2DFD2703"/>
    <w:rsid w:val="2E5C5223"/>
    <w:rsid w:val="2ED645E4"/>
    <w:rsid w:val="2EF835C5"/>
    <w:rsid w:val="2F055D5B"/>
    <w:rsid w:val="2F825196"/>
    <w:rsid w:val="2F8F506A"/>
    <w:rsid w:val="2FB9556E"/>
    <w:rsid w:val="2FC942EA"/>
    <w:rsid w:val="2FF16036"/>
    <w:rsid w:val="30365789"/>
    <w:rsid w:val="306D3A0B"/>
    <w:rsid w:val="31152915"/>
    <w:rsid w:val="31264419"/>
    <w:rsid w:val="3138414C"/>
    <w:rsid w:val="319C3DFF"/>
    <w:rsid w:val="324C2DF2"/>
    <w:rsid w:val="32506E1A"/>
    <w:rsid w:val="32BF5953"/>
    <w:rsid w:val="33446DD8"/>
    <w:rsid w:val="33447B02"/>
    <w:rsid w:val="336160C5"/>
    <w:rsid w:val="33B91574"/>
    <w:rsid w:val="33C85C5B"/>
    <w:rsid w:val="33E23D2D"/>
    <w:rsid w:val="340D5D3A"/>
    <w:rsid w:val="34E52648"/>
    <w:rsid w:val="3507028C"/>
    <w:rsid w:val="350B4052"/>
    <w:rsid w:val="3547500A"/>
    <w:rsid w:val="35725711"/>
    <w:rsid w:val="35775F5B"/>
    <w:rsid w:val="359645D2"/>
    <w:rsid w:val="361B4E48"/>
    <w:rsid w:val="361F2C5E"/>
    <w:rsid w:val="3631484B"/>
    <w:rsid w:val="365612FD"/>
    <w:rsid w:val="36711BC4"/>
    <w:rsid w:val="369F461A"/>
    <w:rsid w:val="36B90A0D"/>
    <w:rsid w:val="36CB3C9D"/>
    <w:rsid w:val="36CE5337"/>
    <w:rsid w:val="36D31759"/>
    <w:rsid w:val="36E5781D"/>
    <w:rsid w:val="374B4648"/>
    <w:rsid w:val="37D8667C"/>
    <w:rsid w:val="3811797A"/>
    <w:rsid w:val="386E4AC0"/>
    <w:rsid w:val="3884096F"/>
    <w:rsid w:val="38C2711D"/>
    <w:rsid w:val="38DE6157"/>
    <w:rsid w:val="38E30219"/>
    <w:rsid w:val="39442FB2"/>
    <w:rsid w:val="39824F5C"/>
    <w:rsid w:val="39967482"/>
    <w:rsid w:val="39D236E8"/>
    <w:rsid w:val="39F72DF7"/>
    <w:rsid w:val="3A2940F7"/>
    <w:rsid w:val="3A5F383E"/>
    <w:rsid w:val="3A867417"/>
    <w:rsid w:val="3A937BCE"/>
    <w:rsid w:val="3AD542D0"/>
    <w:rsid w:val="3AE17129"/>
    <w:rsid w:val="3B013F08"/>
    <w:rsid w:val="3B482BE4"/>
    <w:rsid w:val="3B6261D9"/>
    <w:rsid w:val="3BAB178C"/>
    <w:rsid w:val="3BC770EB"/>
    <w:rsid w:val="3BC91625"/>
    <w:rsid w:val="3BC94D94"/>
    <w:rsid w:val="3BF34AE5"/>
    <w:rsid w:val="3C1C7DAA"/>
    <w:rsid w:val="3C780F42"/>
    <w:rsid w:val="3C934B13"/>
    <w:rsid w:val="3CC130D6"/>
    <w:rsid w:val="3CFA56B4"/>
    <w:rsid w:val="3D0B60AA"/>
    <w:rsid w:val="3D4837EC"/>
    <w:rsid w:val="3DAE726D"/>
    <w:rsid w:val="3DB836CD"/>
    <w:rsid w:val="3DC37A04"/>
    <w:rsid w:val="3DF44A16"/>
    <w:rsid w:val="3E0F3A5D"/>
    <w:rsid w:val="3E4E0FCF"/>
    <w:rsid w:val="3EF845F3"/>
    <w:rsid w:val="3F2205EF"/>
    <w:rsid w:val="3F770484"/>
    <w:rsid w:val="3FA031C3"/>
    <w:rsid w:val="3FAB5226"/>
    <w:rsid w:val="404056B9"/>
    <w:rsid w:val="407275EE"/>
    <w:rsid w:val="408E54D0"/>
    <w:rsid w:val="408F607A"/>
    <w:rsid w:val="40D75AE9"/>
    <w:rsid w:val="410E6C76"/>
    <w:rsid w:val="41322966"/>
    <w:rsid w:val="41850061"/>
    <w:rsid w:val="41B07B49"/>
    <w:rsid w:val="41B118B6"/>
    <w:rsid w:val="41E44BEA"/>
    <w:rsid w:val="42014C57"/>
    <w:rsid w:val="42610BAF"/>
    <w:rsid w:val="42CD55A6"/>
    <w:rsid w:val="43011B88"/>
    <w:rsid w:val="43776E59"/>
    <w:rsid w:val="43FE34CF"/>
    <w:rsid w:val="44063149"/>
    <w:rsid w:val="444D5AC0"/>
    <w:rsid w:val="44895CBC"/>
    <w:rsid w:val="44E72E62"/>
    <w:rsid w:val="44ED5DA1"/>
    <w:rsid w:val="45103869"/>
    <w:rsid w:val="45494171"/>
    <w:rsid w:val="45597530"/>
    <w:rsid w:val="456204F3"/>
    <w:rsid w:val="45AD2F03"/>
    <w:rsid w:val="463351B6"/>
    <w:rsid w:val="46534F71"/>
    <w:rsid w:val="465B64BB"/>
    <w:rsid w:val="46601D24"/>
    <w:rsid w:val="467B1AC6"/>
    <w:rsid w:val="47893BB3"/>
    <w:rsid w:val="47AC4AB6"/>
    <w:rsid w:val="47C502CB"/>
    <w:rsid w:val="47EA7AF7"/>
    <w:rsid w:val="47FE7B17"/>
    <w:rsid w:val="48166015"/>
    <w:rsid w:val="481B4154"/>
    <w:rsid w:val="48635F73"/>
    <w:rsid w:val="48C9083F"/>
    <w:rsid w:val="492F7E73"/>
    <w:rsid w:val="4A31264B"/>
    <w:rsid w:val="4A8A3ECD"/>
    <w:rsid w:val="4AC779BE"/>
    <w:rsid w:val="4AEC6F21"/>
    <w:rsid w:val="4B7D2D12"/>
    <w:rsid w:val="4B94244E"/>
    <w:rsid w:val="4BC07BD6"/>
    <w:rsid w:val="4C01261C"/>
    <w:rsid w:val="4C0C1625"/>
    <w:rsid w:val="4C1222D1"/>
    <w:rsid w:val="4C4A7B25"/>
    <w:rsid w:val="4C4C7A65"/>
    <w:rsid w:val="4C525689"/>
    <w:rsid w:val="4CB749A5"/>
    <w:rsid w:val="4CDD5E7C"/>
    <w:rsid w:val="4CFB0C65"/>
    <w:rsid w:val="4D6025FD"/>
    <w:rsid w:val="4D814A59"/>
    <w:rsid w:val="4E203E95"/>
    <w:rsid w:val="4E43598F"/>
    <w:rsid w:val="4E504366"/>
    <w:rsid w:val="4E946A0E"/>
    <w:rsid w:val="4EA31158"/>
    <w:rsid w:val="4EB9289F"/>
    <w:rsid w:val="4EEE7D8E"/>
    <w:rsid w:val="4F1E6113"/>
    <w:rsid w:val="4F4F0AED"/>
    <w:rsid w:val="4F732AC8"/>
    <w:rsid w:val="50052852"/>
    <w:rsid w:val="501F74AB"/>
    <w:rsid w:val="50772081"/>
    <w:rsid w:val="50C43BB8"/>
    <w:rsid w:val="50CA24FF"/>
    <w:rsid w:val="511B3417"/>
    <w:rsid w:val="51275417"/>
    <w:rsid w:val="517A4EB9"/>
    <w:rsid w:val="51846ACD"/>
    <w:rsid w:val="51915487"/>
    <w:rsid w:val="51CF4775"/>
    <w:rsid w:val="51E11F6A"/>
    <w:rsid w:val="522B79FB"/>
    <w:rsid w:val="523D22C7"/>
    <w:rsid w:val="525978B4"/>
    <w:rsid w:val="529057DC"/>
    <w:rsid w:val="52E72544"/>
    <w:rsid w:val="534100DB"/>
    <w:rsid w:val="535D1237"/>
    <w:rsid w:val="54987277"/>
    <w:rsid w:val="54A85071"/>
    <w:rsid w:val="54D151AD"/>
    <w:rsid w:val="553D6F5B"/>
    <w:rsid w:val="55432093"/>
    <w:rsid w:val="558A2DAC"/>
    <w:rsid w:val="55B42F5D"/>
    <w:rsid w:val="55D23790"/>
    <w:rsid w:val="55ED7285"/>
    <w:rsid w:val="563C77F3"/>
    <w:rsid w:val="56573078"/>
    <w:rsid w:val="56EB5639"/>
    <w:rsid w:val="57540152"/>
    <w:rsid w:val="577F009D"/>
    <w:rsid w:val="57AC6B77"/>
    <w:rsid w:val="57B5215B"/>
    <w:rsid w:val="57B57EEE"/>
    <w:rsid w:val="57D10DA1"/>
    <w:rsid w:val="57E61373"/>
    <w:rsid w:val="57F73AFA"/>
    <w:rsid w:val="58052B78"/>
    <w:rsid w:val="58A27732"/>
    <w:rsid w:val="58DA7055"/>
    <w:rsid w:val="58F660E5"/>
    <w:rsid w:val="590A0142"/>
    <w:rsid w:val="5948327E"/>
    <w:rsid w:val="59521A06"/>
    <w:rsid w:val="5966544B"/>
    <w:rsid w:val="596A4F3B"/>
    <w:rsid w:val="59C35007"/>
    <w:rsid w:val="59DB0696"/>
    <w:rsid w:val="59FD190B"/>
    <w:rsid w:val="5AC0250C"/>
    <w:rsid w:val="5AF25FAF"/>
    <w:rsid w:val="5B8D4F11"/>
    <w:rsid w:val="5B9B259C"/>
    <w:rsid w:val="5BEE094F"/>
    <w:rsid w:val="5C073C1D"/>
    <w:rsid w:val="5C0D733B"/>
    <w:rsid w:val="5C3132F3"/>
    <w:rsid w:val="5C42477F"/>
    <w:rsid w:val="5C7806C1"/>
    <w:rsid w:val="5CEE2982"/>
    <w:rsid w:val="5D277B73"/>
    <w:rsid w:val="5D926D13"/>
    <w:rsid w:val="5D995333"/>
    <w:rsid w:val="5DAA64A5"/>
    <w:rsid w:val="5DBE2C19"/>
    <w:rsid w:val="5DE6679D"/>
    <w:rsid w:val="5E394EDC"/>
    <w:rsid w:val="5E403C3F"/>
    <w:rsid w:val="5E5075D2"/>
    <w:rsid w:val="5E5E6DF1"/>
    <w:rsid w:val="5EA31A79"/>
    <w:rsid w:val="5ED73AF1"/>
    <w:rsid w:val="5F7752CD"/>
    <w:rsid w:val="5FA0113E"/>
    <w:rsid w:val="5FC92290"/>
    <w:rsid w:val="60123C37"/>
    <w:rsid w:val="604600C6"/>
    <w:rsid w:val="60502191"/>
    <w:rsid w:val="606010EC"/>
    <w:rsid w:val="609514E0"/>
    <w:rsid w:val="60A919DB"/>
    <w:rsid w:val="60BF75D1"/>
    <w:rsid w:val="60D01F89"/>
    <w:rsid w:val="60E05AE3"/>
    <w:rsid w:val="60F66071"/>
    <w:rsid w:val="61036CDA"/>
    <w:rsid w:val="61866589"/>
    <w:rsid w:val="61BC20AC"/>
    <w:rsid w:val="61CC0119"/>
    <w:rsid w:val="61D70DE7"/>
    <w:rsid w:val="61D904DF"/>
    <w:rsid w:val="61ED0836"/>
    <w:rsid w:val="61F90011"/>
    <w:rsid w:val="620410A7"/>
    <w:rsid w:val="622349F4"/>
    <w:rsid w:val="623F47D1"/>
    <w:rsid w:val="62C84A81"/>
    <w:rsid w:val="634A6368"/>
    <w:rsid w:val="634D3562"/>
    <w:rsid w:val="63604CB9"/>
    <w:rsid w:val="63C761E6"/>
    <w:rsid w:val="63CF0881"/>
    <w:rsid w:val="64472454"/>
    <w:rsid w:val="646B38BE"/>
    <w:rsid w:val="647D021F"/>
    <w:rsid w:val="650B1621"/>
    <w:rsid w:val="65795285"/>
    <w:rsid w:val="65AA41F4"/>
    <w:rsid w:val="65B31E66"/>
    <w:rsid w:val="65B456E9"/>
    <w:rsid w:val="66044CA8"/>
    <w:rsid w:val="660758C0"/>
    <w:rsid w:val="66A2157C"/>
    <w:rsid w:val="66AE2264"/>
    <w:rsid w:val="66B0491A"/>
    <w:rsid w:val="66BE7A81"/>
    <w:rsid w:val="672F4A5F"/>
    <w:rsid w:val="674269D7"/>
    <w:rsid w:val="674C17BF"/>
    <w:rsid w:val="675F4073"/>
    <w:rsid w:val="680F43D8"/>
    <w:rsid w:val="682478CF"/>
    <w:rsid w:val="68837156"/>
    <w:rsid w:val="68940D1E"/>
    <w:rsid w:val="6897562C"/>
    <w:rsid w:val="68C5744C"/>
    <w:rsid w:val="68D352A9"/>
    <w:rsid w:val="68FB4B06"/>
    <w:rsid w:val="69104359"/>
    <w:rsid w:val="695C5B09"/>
    <w:rsid w:val="69C770C1"/>
    <w:rsid w:val="6A042842"/>
    <w:rsid w:val="6A0F5CD2"/>
    <w:rsid w:val="6A334ED5"/>
    <w:rsid w:val="6A4C487B"/>
    <w:rsid w:val="6A71585A"/>
    <w:rsid w:val="6AC662D2"/>
    <w:rsid w:val="6AF50C72"/>
    <w:rsid w:val="6B21034E"/>
    <w:rsid w:val="6B560C31"/>
    <w:rsid w:val="6BA11CCF"/>
    <w:rsid w:val="6BE66E12"/>
    <w:rsid w:val="6BF650F4"/>
    <w:rsid w:val="6BF65EA5"/>
    <w:rsid w:val="6C046ACD"/>
    <w:rsid w:val="6C5949AC"/>
    <w:rsid w:val="6C6E0091"/>
    <w:rsid w:val="6C7B654F"/>
    <w:rsid w:val="6CDA46CD"/>
    <w:rsid w:val="6D293CD4"/>
    <w:rsid w:val="6DA60445"/>
    <w:rsid w:val="6DC742B3"/>
    <w:rsid w:val="6DCF68E8"/>
    <w:rsid w:val="6E2D5DD3"/>
    <w:rsid w:val="6E780866"/>
    <w:rsid w:val="6F45648B"/>
    <w:rsid w:val="6F4D2EB2"/>
    <w:rsid w:val="6F552269"/>
    <w:rsid w:val="6F56628D"/>
    <w:rsid w:val="6F6A1399"/>
    <w:rsid w:val="6F6D08A9"/>
    <w:rsid w:val="6F931592"/>
    <w:rsid w:val="6F94661F"/>
    <w:rsid w:val="70221706"/>
    <w:rsid w:val="70782229"/>
    <w:rsid w:val="716F38CA"/>
    <w:rsid w:val="717A7739"/>
    <w:rsid w:val="71FB2983"/>
    <w:rsid w:val="7208151C"/>
    <w:rsid w:val="722A06EB"/>
    <w:rsid w:val="72420550"/>
    <w:rsid w:val="72790374"/>
    <w:rsid w:val="72A96A9C"/>
    <w:rsid w:val="72EC1489"/>
    <w:rsid w:val="738C3250"/>
    <w:rsid w:val="73990B1F"/>
    <w:rsid w:val="73C54EA6"/>
    <w:rsid w:val="74881BED"/>
    <w:rsid w:val="749649DF"/>
    <w:rsid w:val="74D85340"/>
    <w:rsid w:val="74EF5844"/>
    <w:rsid w:val="75B24701"/>
    <w:rsid w:val="763C5788"/>
    <w:rsid w:val="76522C6C"/>
    <w:rsid w:val="76CC4DC3"/>
    <w:rsid w:val="76D64647"/>
    <w:rsid w:val="76EF38A6"/>
    <w:rsid w:val="76FF6B4B"/>
    <w:rsid w:val="77036BA1"/>
    <w:rsid w:val="773739F8"/>
    <w:rsid w:val="77954E5A"/>
    <w:rsid w:val="77C918C8"/>
    <w:rsid w:val="77E94A9C"/>
    <w:rsid w:val="78054D74"/>
    <w:rsid w:val="78110B20"/>
    <w:rsid w:val="78512D64"/>
    <w:rsid w:val="78CD1B3B"/>
    <w:rsid w:val="79112886"/>
    <w:rsid w:val="792A6AD8"/>
    <w:rsid w:val="7961380D"/>
    <w:rsid w:val="79971C87"/>
    <w:rsid w:val="7A08327F"/>
    <w:rsid w:val="7A4D59C1"/>
    <w:rsid w:val="7AD773BA"/>
    <w:rsid w:val="7AFC2853"/>
    <w:rsid w:val="7B0E0A7F"/>
    <w:rsid w:val="7B1E48C1"/>
    <w:rsid w:val="7B3F13B8"/>
    <w:rsid w:val="7B621D48"/>
    <w:rsid w:val="7B79796E"/>
    <w:rsid w:val="7BAA6E23"/>
    <w:rsid w:val="7BCB09FE"/>
    <w:rsid w:val="7C14770D"/>
    <w:rsid w:val="7C4116D4"/>
    <w:rsid w:val="7CBE68C3"/>
    <w:rsid w:val="7D227BCD"/>
    <w:rsid w:val="7DDD06BE"/>
    <w:rsid w:val="7E2B43EA"/>
    <w:rsid w:val="7E351ACC"/>
    <w:rsid w:val="7E765088"/>
    <w:rsid w:val="7E8C0464"/>
    <w:rsid w:val="7EDC635D"/>
    <w:rsid w:val="7EE66563"/>
    <w:rsid w:val="7EF559E2"/>
    <w:rsid w:val="7F190115"/>
    <w:rsid w:val="7F192494"/>
    <w:rsid w:val="7F1B6EA8"/>
    <w:rsid w:val="7F7456ED"/>
    <w:rsid w:val="7FAD7ED9"/>
    <w:rsid w:val="7FCD345A"/>
    <w:rsid w:val="7FCF42B5"/>
    <w:rsid w:val="7FE94752"/>
    <w:rsid w:val="7FF61159"/>
    <w:rsid w:val="FFF935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1"/>
    <w:autoRedefine/>
    <w:qFormat/>
    <w:uiPriority w:val="0"/>
    <w:pPr>
      <w:keepNext/>
      <w:spacing w:line="380" w:lineRule="exact"/>
      <w:jc w:val="center"/>
      <w:outlineLvl w:val="0"/>
    </w:pPr>
    <w:rPr>
      <w:rFonts w:ascii="宋体"/>
      <w:b/>
      <w:bCs/>
      <w:kern w:val="0"/>
      <w:sz w:val="28"/>
    </w:rPr>
  </w:style>
  <w:style w:type="paragraph" w:styleId="2">
    <w:name w:val="heading 2"/>
    <w:basedOn w:val="1"/>
    <w:next w:val="1"/>
    <w:link w:val="6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3"/>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Document Map"/>
    <w:basedOn w:val="1"/>
    <w:autoRedefine/>
    <w:semiHidden/>
    <w:qFormat/>
    <w:uiPriority w:val="0"/>
    <w:pPr>
      <w:shd w:val="clear" w:color="auto" w:fill="000080"/>
    </w:pPr>
  </w:style>
  <w:style w:type="paragraph" w:styleId="8">
    <w:name w:val="toa heading"/>
    <w:basedOn w:val="1"/>
    <w:next w:val="1"/>
    <w:qFormat/>
    <w:uiPriority w:val="0"/>
    <w:pPr>
      <w:spacing w:before="120"/>
    </w:pPr>
    <w:rPr>
      <w:rFonts w:ascii="Arial" w:hAnsi="Arial" w:cs="Arial"/>
      <w:sz w:val="24"/>
      <w:szCs w:val="24"/>
    </w:rPr>
  </w:style>
  <w:style w:type="paragraph" w:styleId="9">
    <w:name w:val="annotation text"/>
    <w:basedOn w:val="1"/>
    <w:link w:val="64"/>
    <w:autoRedefine/>
    <w:qFormat/>
    <w:uiPriority w:val="99"/>
    <w:pPr>
      <w:jc w:val="left"/>
    </w:pPr>
  </w:style>
  <w:style w:type="paragraph" w:styleId="10">
    <w:name w:val="Body Text"/>
    <w:basedOn w:val="1"/>
    <w:next w:val="1"/>
    <w:link w:val="71"/>
    <w:autoRedefine/>
    <w:qFormat/>
    <w:uiPriority w:val="0"/>
    <w:rPr>
      <w:rFonts w:ascii="宋体" w:hAnsi="宋体"/>
      <w:i/>
      <w:sz w:val="18"/>
      <w:szCs w:val="24"/>
    </w:rPr>
  </w:style>
  <w:style w:type="paragraph" w:styleId="11">
    <w:name w:val="Body Text Indent"/>
    <w:basedOn w:val="1"/>
    <w:link w:val="65"/>
    <w:autoRedefine/>
    <w:qFormat/>
    <w:uiPriority w:val="0"/>
    <w:pPr>
      <w:spacing w:line="380" w:lineRule="exact"/>
      <w:ind w:firstLine="480"/>
    </w:pPr>
    <w:rPr>
      <w:rFonts w:eastAsia="方正书宋简体"/>
      <w:sz w:val="24"/>
    </w:rPr>
  </w:style>
  <w:style w:type="paragraph" w:styleId="12">
    <w:name w:val="Plain Text"/>
    <w:basedOn w:val="1"/>
    <w:link w:val="70"/>
    <w:autoRedefine/>
    <w:qFormat/>
    <w:uiPriority w:val="0"/>
    <w:pPr>
      <w:spacing w:line="360" w:lineRule="auto"/>
      <w:ind w:firstLine="420" w:firstLineChars="200"/>
    </w:pPr>
    <w:rPr>
      <w:rFonts w:ascii="宋体" w:hAnsi="Courier New"/>
      <w:kern w:val="0"/>
      <w:sz w:val="20"/>
      <w:szCs w:val="21"/>
    </w:rPr>
  </w:style>
  <w:style w:type="paragraph" w:styleId="13">
    <w:name w:val="Date"/>
    <w:basedOn w:val="1"/>
    <w:next w:val="1"/>
    <w:autoRedefine/>
    <w:qFormat/>
    <w:uiPriority w:val="0"/>
    <w:pPr>
      <w:adjustRightInd w:val="0"/>
      <w:spacing w:line="312" w:lineRule="atLeast"/>
      <w:jc w:val="right"/>
      <w:textAlignment w:val="baseline"/>
    </w:pPr>
    <w:rPr>
      <w:rFonts w:ascii="宋体"/>
      <w:kern w:val="0"/>
      <w:sz w:val="24"/>
    </w:rPr>
  </w:style>
  <w:style w:type="paragraph" w:styleId="14">
    <w:name w:val="Body Text Indent 2"/>
    <w:basedOn w:val="1"/>
    <w:autoRedefine/>
    <w:qFormat/>
    <w:uiPriority w:val="0"/>
    <w:pPr>
      <w:spacing w:line="380" w:lineRule="exact"/>
      <w:ind w:left="840" w:hanging="45"/>
    </w:pPr>
    <w:rPr>
      <w:rFonts w:ascii="宋体"/>
      <w:sz w:val="24"/>
    </w:r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39"/>
  </w:style>
  <w:style w:type="paragraph" w:styleId="19">
    <w:name w:val="Body Text Indent 3"/>
    <w:basedOn w:val="1"/>
    <w:link w:val="66"/>
    <w:autoRedefine/>
    <w:qFormat/>
    <w:uiPriority w:val="0"/>
    <w:pPr>
      <w:spacing w:line="380" w:lineRule="exact"/>
      <w:ind w:left="525"/>
    </w:pPr>
    <w:rPr>
      <w:rFonts w:ascii="宋体"/>
      <w:sz w:val="24"/>
    </w:rPr>
  </w:style>
  <w:style w:type="paragraph" w:styleId="20">
    <w:name w:val="toc 2"/>
    <w:basedOn w:val="1"/>
    <w:next w:val="1"/>
    <w:autoRedefine/>
    <w:qFormat/>
    <w:uiPriority w:val="39"/>
    <w:pPr>
      <w:ind w:left="420" w:leftChars="200"/>
    </w:pPr>
  </w:style>
  <w:style w:type="paragraph" w:styleId="21">
    <w:name w:val="Normal (Web)"/>
    <w:basedOn w:val="1"/>
    <w:autoRedefine/>
    <w:qFormat/>
    <w:uiPriority w:val="0"/>
    <w:pPr>
      <w:widowControl/>
      <w:spacing w:before="100" w:beforeAutospacing="1" w:after="100" w:afterAutospacing="1"/>
      <w:jc w:val="left"/>
    </w:pPr>
    <w:rPr>
      <w:rFonts w:hint="eastAsia" w:ascii="宋体" w:hAnsi="宋体"/>
      <w:sz w:val="24"/>
    </w:rPr>
  </w:style>
  <w:style w:type="paragraph" w:styleId="22">
    <w:name w:val="annotation subject"/>
    <w:basedOn w:val="9"/>
    <w:next w:val="9"/>
    <w:autoRedefine/>
    <w:semiHidden/>
    <w:qFormat/>
    <w:uiPriority w:val="0"/>
    <w:rPr>
      <w:b/>
      <w:bCs/>
    </w:rPr>
  </w:style>
  <w:style w:type="paragraph" w:styleId="23">
    <w:name w:val="Body Text First Indent"/>
    <w:basedOn w:val="10"/>
    <w:link w:val="72"/>
    <w:autoRedefine/>
    <w:unhideWhenUsed/>
    <w:qFormat/>
    <w:uiPriority w:val="99"/>
    <w:pPr>
      <w:ind w:firstLine="100" w:firstLineChars="100"/>
    </w:pPr>
    <w:rPr>
      <w:rFonts w:ascii="Times New Roman" w:hAnsi="Times New Roman"/>
      <w:szCs w:val="20"/>
    </w:rPr>
  </w:style>
  <w:style w:type="paragraph" w:styleId="24">
    <w:name w:val="Body Text First Indent 2"/>
    <w:basedOn w:val="11"/>
    <w:next w:val="8"/>
    <w:autoRedefine/>
    <w:unhideWhenUsed/>
    <w:qFormat/>
    <w:uiPriority w:val="99"/>
    <w:pPr>
      <w:spacing w:after="120"/>
      <w:ind w:left="420" w:leftChars="200" w:firstLine="420"/>
    </w:p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style>
  <w:style w:type="character" w:styleId="29">
    <w:name w:val="Emphasis"/>
    <w:autoRedefine/>
    <w:qFormat/>
    <w:uiPriority w:val="0"/>
    <w:rPr>
      <w:i/>
    </w:rPr>
  </w:style>
  <w:style w:type="character" w:styleId="30">
    <w:name w:val="Hyperlink"/>
    <w:autoRedefine/>
    <w:qFormat/>
    <w:uiPriority w:val="99"/>
    <w:rPr>
      <w:color w:val="0000FF"/>
      <w:u w:val="none"/>
    </w:rPr>
  </w:style>
  <w:style w:type="character" w:styleId="31">
    <w:name w:val="annotation reference"/>
    <w:autoRedefine/>
    <w:qFormat/>
    <w:uiPriority w:val="0"/>
    <w:rPr>
      <w:sz w:val="21"/>
      <w:szCs w:val="21"/>
    </w:rPr>
  </w:style>
  <w:style w:type="paragraph" w:customStyle="1" w:styleId="32">
    <w:name w:val="_Style 9"/>
    <w:basedOn w:val="1"/>
    <w:autoRedefine/>
    <w:qFormat/>
    <w:uiPriority w:val="0"/>
    <w:rPr>
      <w:rFonts w:ascii="Tahoma" w:hAnsi="Tahoma"/>
      <w:sz w:val="24"/>
    </w:rPr>
  </w:style>
  <w:style w:type="paragraph" w:customStyle="1" w:styleId="3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须知二级小标题"/>
    <w:basedOn w:val="1"/>
    <w:autoRedefine/>
    <w:qFormat/>
    <w:uiPriority w:val="0"/>
    <w:pPr>
      <w:spacing w:line="500" w:lineRule="exact"/>
    </w:pPr>
    <w:rPr>
      <w:rFonts w:ascii="宋体"/>
      <w:b/>
      <w:sz w:val="24"/>
    </w:rPr>
  </w:style>
  <w:style w:type="paragraph" w:customStyle="1" w:styleId="35">
    <w:name w:val="Blockquote"/>
    <w:basedOn w:val="1"/>
    <w:autoRedefine/>
    <w:qFormat/>
    <w:uiPriority w:val="0"/>
    <w:pPr>
      <w:autoSpaceDE w:val="0"/>
      <w:autoSpaceDN w:val="0"/>
      <w:spacing w:before="100" w:after="100"/>
      <w:ind w:left="360" w:right="360"/>
    </w:pPr>
    <w:rPr>
      <w:rFonts w:ascii="宋体" w:hAnsi="宋体"/>
      <w:szCs w:val="22"/>
    </w:rPr>
  </w:style>
  <w:style w:type="paragraph" w:customStyle="1" w:styleId="36">
    <w:name w:val="TOAHeading"/>
    <w:basedOn w:val="1"/>
    <w:next w:val="1"/>
    <w:autoRedefine/>
    <w:qFormat/>
    <w:uiPriority w:val="0"/>
    <w:pPr>
      <w:spacing w:before="120"/>
      <w:textAlignment w:val="baseline"/>
    </w:pPr>
    <w:rPr>
      <w:rFonts w:ascii="Arial" w:hAnsi="Arial"/>
      <w:sz w:val="24"/>
      <w:szCs w:val="24"/>
    </w:rPr>
  </w:style>
  <w:style w:type="paragraph" w:customStyle="1" w:styleId="37">
    <w:name w:val="正文 + 仿宋"/>
    <w:basedOn w:val="1"/>
    <w:autoRedefine/>
    <w:qFormat/>
    <w:uiPriority w:val="0"/>
    <w:pPr>
      <w:numPr>
        <w:ilvl w:val="0"/>
        <w:numId w:val="1"/>
      </w:numPr>
      <w:spacing w:line="360" w:lineRule="auto"/>
    </w:pPr>
    <w:rPr>
      <w:rFonts w:ascii="仿宋" w:hAnsi="仿宋" w:eastAsia="仿宋"/>
      <w:sz w:val="32"/>
      <w:szCs w:val="28"/>
    </w:rPr>
  </w:style>
  <w:style w:type="paragraph" w:customStyle="1" w:styleId="38">
    <w:name w:val="第一级（培训）"/>
    <w:basedOn w:val="3"/>
    <w:autoRedefine/>
    <w:qFormat/>
    <w:uiPriority w:val="0"/>
    <w:pPr>
      <w:numPr>
        <w:ilvl w:val="0"/>
        <w:numId w:val="2"/>
      </w:numPr>
      <w:adjustRightInd w:val="0"/>
      <w:snapToGrid w:val="0"/>
      <w:spacing w:line="360" w:lineRule="auto"/>
      <w:ind w:right="280"/>
      <w:jc w:val="left"/>
    </w:pPr>
    <w:rPr>
      <w:rFonts w:ascii="Hiragino Sans GB W3" w:hAnsi="Hiragino Sans GB W3" w:eastAsia="Hiragino Sans GB W3" w:cs="宋体"/>
      <w:bCs w:val="0"/>
      <w:szCs w:val="28"/>
    </w:rPr>
  </w:style>
  <w:style w:type="paragraph" w:customStyle="1" w:styleId="39">
    <w:name w:val="默认段落字体 Para Char Char Char Char Char Char Char"/>
    <w:basedOn w:val="7"/>
    <w:autoRedefine/>
    <w:qFormat/>
    <w:uiPriority w:val="0"/>
    <w:pPr>
      <w:adjustRightInd w:val="0"/>
      <w:spacing w:line="436" w:lineRule="exact"/>
      <w:ind w:left="357"/>
      <w:jc w:val="left"/>
      <w:outlineLvl w:val="3"/>
    </w:pPr>
    <w:rPr>
      <w:rFonts w:ascii="Tahoma" w:hAnsi="Tahoma"/>
      <w:b/>
      <w:sz w:val="24"/>
      <w:szCs w:val="24"/>
    </w:rPr>
  </w:style>
  <w:style w:type="paragraph" w:customStyle="1" w:styleId="40">
    <w:name w:val="列出段落1"/>
    <w:basedOn w:val="1"/>
    <w:autoRedefine/>
    <w:qFormat/>
    <w:uiPriority w:val="0"/>
    <w:pPr>
      <w:spacing w:line="360" w:lineRule="auto"/>
      <w:ind w:firstLine="200" w:firstLineChars="200"/>
    </w:pPr>
    <w:rPr>
      <w:sz w:val="24"/>
      <w:szCs w:val="21"/>
    </w:rPr>
  </w:style>
  <w:style w:type="paragraph" w:customStyle="1" w:styleId="4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2">
    <w:name w:val="Char"/>
    <w:basedOn w:val="7"/>
    <w:autoRedefine/>
    <w:qFormat/>
    <w:uiPriority w:val="0"/>
    <w:pPr>
      <w:adjustRightInd w:val="0"/>
      <w:spacing w:line="436" w:lineRule="exact"/>
      <w:ind w:left="357"/>
      <w:jc w:val="left"/>
      <w:outlineLvl w:val="3"/>
    </w:pPr>
    <w:rPr>
      <w:rFonts w:ascii="Tahoma" w:hAnsi="Tahoma"/>
      <w:b/>
      <w:sz w:val="24"/>
      <w:szCs w:val="24"/>
    </w:rPr>
  </w:style>
  <w:style w:type="paragraph" w:customStyle="1" w:styleId="4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须知小标题"/>
    <w:basedOn w:val="1"/>
    <w:autoRedefine/>
    <w:qFormat/>
    <w:uiPriority w:val="0"/>
    <w:pPr>
      <w:spacing w:line="500" w:lineRule="exact"/>
    </w:pPr>
    <w:rPr>
      <w:rFonts w:ascii="黑体" w:eastAsia="黑体"/>
      <w:b/>
      <w:sz w:val="28"/>
    </w:rPr>
  </w:style>
  <w:style w:type="paragraph" w:customStyle="1" w:styleId="45">
    <w:name w:val="00"/>
    <w:basedOn w:val="1"/>
    <w:autoRedefine/>
    <w:qFormat/>
    <w:uiPriority w:val="0"/>
    <w:pPr>
      <w:autoSpaceDE w:val="0"/>
      <w:autoSpaceDN w:val="0"/>
      <w:adjustRightInd w:val="0"/>
      <w:jc w:val="left"/>
    </w:pPr>
    <w:rPr>
      <w:rFonts w:ascii="黑体" w:eastAsia="黑体"/>
      <w:b/>
      <w:bCs/>
      <w:kern w:val="0"/>
      <w:sz w:val="20"/>
    </w:rPr>
  </w:style>
  <w:style w:type="paragraph" w:customStyle="1" w:styleId="46">
    <w:name w:val="样式 标题 2 + Times New Roman 四号 非加粗 段前: 5 磅 段后: 0 磅 行距: 固定值 20..."/>
    <w:basedOn w:val="2"/>
    <w:next w:val="45"/>
    <w:autoRedefine/>
    <w:qFormat/>
    <w:uiPriority w:val="0"/>
    <w:pPr>
      <w:spacing w:before="100" w:after="0" w:line="400" w:lineRule="exact"/>
    </w:pPr>
    <w:rPr>
      <w:rFonts w:ascii="Times New Roman" w:hAnsi="Times New Roman" w:cs="宋体"/>
      <w:b w:val="0"/>
      <w:bCs w:val="0"/>
      <w:sz w:val="28"/>
      <w:szCs w:val="20"/>
    </w:rPr>
  </w:style>
  <w:style w:type="paragraph" w:customStyle="1" w:styleId="47">
    <w:name w:val="无间隔1"/>
    <w:autoRedefine/>
    <w:qFormat/>
    <w:uiPriority w:val="1"/>
    <w:pPr>
      <w:widowControl w:val="0"/>
      <w:jc w:val="both"/>
    </w:pPr>
    <w:rPr>
      <w:rFonts w:ascii="Times New Roman" w:hAnsi="Times New Roman" w:eastAsia="宋体" w:cs="Times New Roman"/>
      <w:kern w:val="2"/>
      <w:sz w:val="24"/>
      <w:lang w:val="en-US" w:eastAsia="zh-CN" w:bidi="ar-SA"/>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50">
    <w:name w:val="正文1"/>
    <w:basedOn w:val="1"/>
    <w:autoRedefine/>
    <w:qFormat/>
    <w:uiPriority w:val="0"/>
    <w:pPr>
      <w:widowControl/>
    </w:pPr>
    <w:rPr>
      <w:rFonts w:ascii="Calibri" w:hAnsi="Calibri"/>
      <w:szCs w:val="21"/>
    </w:rPr>
  </w:style>
  <w:style w:type="paragraph" w:customStyle="1" w:styleId="51">
    <w:name w:val="纯文本1"/>
    <w:basedOn w:val="1"/>
    <w:autoRedefine/>
    <w:qFormat/>
    <w:uiPriority w:val="0"/>
    <w:rPr>
      <w:rFonts w:ascii="宋体" w:hAnsi="Courier New"/>
    </w:rPr>
  </w:style>
  <w:style w:type="paragraph" w:customStyle="1" w:styleId="52">
    <w:name w:val="TOC 标题1"/>
    <w:basedOn w:val="3"/>
    <w:next w:val="1"/>
    <w:autoRedefine/>
    <w:qFormat/>
    <w:uiPriority w:val="39"/>
    <w:pPr>
      <w:keepLines/>
      <w:widowControl/>
      <w:spacing w:before="480" w:line="276" w:lineRule="auto"/>
      <w:jc w:val="left"/>
      <w:outlineLvl w:val="9"/>
    </w:pPr>
    <w:rPr>
      <w:rFonts w:ascii="Cambria" w:hAnsi="Cambria"/>
      <w:color w:val="365F91"/>
      <w:szCs w:val="28"/>
    </w:rPr>
  </w:style>
  <w:style w:type="paragraph" w:customStyle="1" w:styleId="53">
    <w:name w:val="正文（培训）"/>
    <w:basedOn w:val="1"/>
    <w:autoRedefine/>
    <w:qFormat/>
    <w:uiPriority w:val="0"/>
    <w:pPr>
      <w:adjustRightInd w:val="0"/>
      <w:snapToGrid w:val="0"/>
      <w:spacing w:line="360" w:lineRule="auto"/>
      <w:ind w:firstLine="440"/>
    </w:pPr>
    <w:rPr>
      <w:rFonts w:ascii="Hiragino Sans GB W3" w:hAnsi="Hiragino Sans GB W3" w:eastAsia="Hiragino Sans GB W3" w:cs="宋体"/>
      <w:szCs w:val="28"/>
    </w:rPr>
  </w:style>
  <w:style w:type="paragraph" w:customStyle="1" w:styleId="54">
    <w:name w:val="公告正文"/>
    <w:basedOn w:val="1"/>
    <w:autoRedefine/>
    <w:qFormat/>
    <w:uiPriority w:val="0"/>
    <w:pPr>
      <w:spacing w:line="440" w:lineRule="exact"/>
      <w:ind w:firstLine="330" w:firstLineChars="150"/>
    </w:pPr>
    <w:rPr>
      <w:rFonts w:ascii="宋体" w:hAnsi="宋体"/>
      <w:sz w:val="22"/>
      <w:szCs w:val="22"/>
    </w:rPr>
  </w:style>
  <w:style w:type="paragraph" w:customStyle="1" w:styleId="55">
    <w:name w:val="表1"/>
    <w:basedOn w:val="1"/>
    <w:autoRedefine/>
    <w:qFormat/>
    <w:uiPriority w:val="0"/>
    <w:pPr>
      <w:overflowPunct w:val="0"/>
      <w:autoSpaceDE w:val="0"/>
      <w:autoSpaceDN w:val="0"/>
      <w:spacing w:before="200" w:line="320" w:lineRule="atLeast"/>
    </w:pPr>
    <w:rPr>
      <w:rFonts w:ascii="Calibri" w:hAnsi="Calibri"/>
      <w:szCs w:val="22"/>
    </w:rPr>
  </w:style>
  <w:style w:type="paragraph" w:customStyle="1" w:styleId="56">
    <w:name w:val="列出段落2"/>
    <w:basedOn w:val="1"/>
    <w:autoRedefine/>
    <w:qFormat/>
    <w:uiPriority w:val="34"/>
    <w:pPr>
      <w:ind w:firstLine="420" w:firstLineChars="200"/>
    </w:pPr>
    <w:rPr>
      <w:rFonts w:ascii="Calibri" w:hAnsi="Calibri"/>
      <w:szCs w:val="22"/>
    </w:rPr>
  </w:style>
  <w:style w:type="paragraph" w:customStyle="1" w:styleId="57">
    <w:name w:val="彩色列表 - 强调文字颜色 11"/>
    <w:basedOn w:val="1"/>
    <w:autoRedefine/>
    <w:qFormat/>
    <w:uiPriority w:val="0"/>
    <w:pPr>
      <w:ind w:firstLine="420" w:firstLineChars="200"/>
    </w:pPr>
    <w:rPr>
      <w:rFonts w:ascii="Calibri" w:hAnsi="Calibri"/>
      <w:szCs w:val="22"/>
    </w:rPr>
  </w:style>
  <w:style w:type="paragraph" w:customStyle="1" w:styleId="58">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59">
    <w:name w:val="1册标题2"/>
    <w:basedOn w:val="1"/>
    <w:next w:val="1"/>
    <w:autoRedefine/>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60">
    <w:name w:val="修订2"/>
    <w:autoRedefine/>
    <w:hidden/>
    <w:semiHidden/>
    <w:qFormat/>
    <w:uiPriority w:val="99"/>
    <w:rPr>
      <w:rFonts w:ascii="Times New Roman" w:hAnsi="Times New Roman" w:eastAsia="宋体" w:cs="Times New Roman"/>
      <w:kern w:val="2"/>
      <w:sz w:val="21"/>
      <w:lang w:val="en-US" w:eastAsia="zh-CN" w:bidi="ar-SA"/>
    </w:rPr>
  </w:style>
  <w:style w:type="character" w:customStyle="1" w:styleId="61">
    <w:name w:val="标题 1 Char"/>
    <w:link w:val="3"/>
    <w:autoRedefine/>
    <w:qFormat/>
    <w:uiPriority w:val="0"/>
    <w:rPr>
      <w:rFonts w:ascii="宋体"/>
      <w:b/>
      <w:bCs/>
      <w:sz w:val="28"/>
    </w:rPr>
  </w:style>
  <w:style w:type="character" w:customStyle="1" w:styleId="62">
    <w:name w:val="标题 2 Char"/>
    <w:link w:val="2"/>
    <w:autoRedefine/>
    <w:qFormat/>
    <w:uiPriority w:val="0"/>
    <w:rPr>
      <w:rFonts w:ascii="Arial" w:hAnsi="Arial" w:eastAsia="黑体"/>
      <w:b/>
      <w:bCs/>
      <w:sz w:val="32"/>
      <w:szCs w:val="32"/>
    </w:rPr>
  </w:style>
  <w:style w:type="character" w:customStyle="1" w:styleId="63">
    <w:name w:val="标题 3 Char"/>
    <w:link w:val="4"/>
    <w:autoRedefine/>
    <w:qFormat/>
    <w:uiPriority w:val="0"/>
    <w:rPr>
      <w:b/>
      <w:bCs/>
      <w:sz w:val="32"/>
      <w:szCs w:val="32"/>
    </w:rPr>
  </w:style>
  <w:style w:type="character" w:customStyle="1" w:styleId="64">
    <w:name w:val="批注文字 Char"/>
    <w:link w:val="9"/>
    <w:autoRedefine/>
    <w:qFormat/>
    <w:uiPriority w:val="99"/>
    <w:rPr>
      <w:kern w:val="2"/>
      <w:sz w:val="21"/>
    </w:rPr>
  </w:style>
  <w:style w:type="character" w:customStyle="1" w:styleId="65">
    <w:name w:val="正文文本缩进 Char"/>
    <w:link w:val="11"/>
    <w:autoRedefine/>
    <w:qFormat/>
    <w:uiPriority w:val="0"/>
    <w:rPr>
      <w:rFonts w:eastAsia="方正书宋简体"/>
      <w:kern w:val="2"/>
      <w:sz w:val="24"/>
    </w:rPr>
  </w:style>
  <w:style w:type="character" w:customStyle="1" w:styleId="66">
    <w:name w:val="正文文本缩进 3 Char"/>
    <w:link w:val="19"/>
    <w:autoRedefine/>
    <w:qFormat/>
    <w:locked/>
    <w:uiPriority w:val="0"/>
    <w:rPr>
      <w:rFonts w:ascii="宋体"/>
      <w:kern w:val="2"/>
      <w:sz w:val="24"/>
    </w:rPr>
  </w:style>
  <w:style w:type="character" w:customStyle="1" w:styleId="67">
    <w:name w:val="Char Char9"/>
    <w:autoRedefine/>
    <w:qFormat/>
    <w:locked/>
    <w:uiPriority w:val="0"/>
    <w:rPr>
      <w:rFonts w:ascii="宋体"/>
      <w:kern w:val="2"/>
      <w:sz w:val="21"/>
    </w:rPr>
  </w:style>
  <w:style w:type="character" w:customStyle="1" w:styleId="68">
    <w:name w:val="样式 标题 1 Char + 宋体 四号"/>
    <w:autoRedefine/>
    <w:qFormat/>
    <w:uiPriority w:val="0"/>
    <w:rPr>
      <w:rFonts w:ascii="宋体" w:hAnsi="宋体" w:eastAsia="宋体"/>
      <w:b/>
      <w:bCs/>
      <w:kern w:val="0"/>
      <w:sz w:val="28"/>
      <w:szCs w:val="44"/>
      <w:lang w:val="en-US" w:eastAsia="zh-CN" w:bidi="ar-SA"/>
    </w:rPr>
  </w:style>
  <w:style w:type="character" w:customStyle="1" w:styleId="69">
    <w:name w:val="font51"/>
    <w:autoRedefine/>
    <w:qFormat/>
    <w:uiPriority w:val="0"/>
    <w:rPr>
      <w:rFonts w:hint="eastAsia" w:ascii="宋体" w:hAnsi="宋体" w:eastAsia="宋体" w:cs="宋体"/>
      <w:b/>
      <w:color w:val="000000"/>
      <w:sz w:val="21"/>
      <w:szCs w:val="21"/>
      <w:u w:val="none"/>
    </w:rPr>
  </w:style>
  <w:style w:type="character" w:customStyle="1" w:styleId="70">
    <w:name w:val="纯文本 Char"/>
    <w:link w:val="12"/>
    <w:autoRedefine/>
    <w:qFormat/>
    <w:uiPriority w:val="0"/>
    <w:rPr>
      <w:rFonts w:ascii="宋体" w:hAnsi="Courier New"/>
      <w:szCs w:val="21"/>
    </w:rPr>
  </w:style>
  <w:style w:type="character" w:customStyle="1" w:styleId="71">
    <w:name w:val="正文文本 Char"/>
    <w:link w:val="10"/>
    <w:autoRedefine/>
    <w:qFormat/>
    <w:uiPriority w:val="0"/>
    <w:rPr>
      <w:rFonts w:ascii="宋体" w:hAnsi="宋体"/>
      <w:i/>
      <w:kern w:val="2"/>
      <w:sz w:val="18"/>
      <w:szCs w:val="24"/>
    </w:rPr>
  </w:style>
  <w:style w:type="character" w:customStyle="1" w:styleId="72">
    <w:name w:val="正文首行缩进 Char"/>
    <w:link w:val="23"/>
    <w:autoRedefine/>
    <w:qFormat/>
    <w:uiPriority w:val="99"/>
    <w:rPr>
      <w:rFonts w:ascii="宋体" w:hAnsi="宋体"/>
      <w:i/>
      <w:kern w:val="2"/>
      <w:sz w:val="18"/>
      <w:szCs w:val="24"/>
    </w:rPr>
  </w:style>
  <w:style w:type="paragraph" w:styleId="73">
    <w:name w:val="List Paragraph"/>
    <w:basedOn w:val="1"/>
    <w:next w:val="74"/>
    <w:qFormat/>
    <w:uiPriority w:val="34"/>
    <w:pPr>
      <w:ind w:firstLine="420" w:firstLineChars="200"/>
    </w:pPr>
    <w:rPr>
      <w:rFonts w:ascii="Cambria" w:hAnsi="Cambria"/>
      <w:sz w:val="24"/>
      <w:szCs w:val="24"/>
    </w:rPr>
  </w:style>
  <w:style w:type="paragraph" w:customStyle="1" w:styleId="74">
    <w:name w:val="目录 3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75">
    <w:name w:val="Table Paragraph"/>
    <w:basedOn w:val="1"/>
    <w:qFormat/>
    <w:uiPriority w:val="1"/>
    <w:pPr>
      <w:autoSpaceDE w:val="0"/>
      <w:autoSpaceDN w:val="0"/>
      <w:adjustRightInd w:val="0"/>
      <w:jc w:val="left"/>
    </w:pPr>
    <w:rPr>
      <w:rFonts w:eastAsia="宋体"/>
      <w:kern w:val="0"/>
      <w:sz w:val="24"/>
    </w:rPr>
  </w:style>
  <w:style w:type="paragraph" w:customStyle="1" w:styleId="76">
    <w:name w:val="招标_表格2"/>
    <w:basedOn w:val="1"/>
    <w:next w:val="1"/>
    <w:qFormat/>
    <w:uiPriority w:val="0"/>
    <w:rPr>
      <w:rFonts w:ascii="宋体" w:hAnsi="宋体"/>
      <w:sz w:val="20"/>
    </w:rPr>
  </w:style>
  <w:style w:type="paragraph" w:customStyle="1" w:styleId="77">
    <w:name w:val="表格1"/>
    <w:basedOn w:val="1"/>
    <w:qFormat/>
    <w:uiPriority w:val="0"/>
    <w:rPr>
      <w:rFonts w:ascii="仿宋_GB2312"/>
      <w:sz w:val="24"/>
      <w:szCs w:val="24"/>
    </w:rPr>
  </w:style>
  <w:style w:type="paragraph" w:customStyle="1" w:styleId="78">
    <w:name w:val="Table Text"/>
    <w:basedOn w:val="1"/>
    <w:semiHidden/>
    <w:qFormat/>
    <w:uiPriority w:val="0"/>
    <w:rPr>
      <w:rFonts w:ascii="宋体" w:hAnsi="宋体" w:eastAsia="宋体" w:cs="宋体"/>
      <w:sz w:val="21"/>
      <w:szCs w:val="21"/>
      <w:lang w:val="en-US" w:eastAsia="en-US" w:bidi="ar-SA"/>
    </w:rPr>
  </w:style>
  <w:style w:type="table" w:customStyle="1" w:styleId="79">
    <w:name w:val="Table Normal"/>
    <w:unhideWhenUsed/>
    <w:qFormat/>
    <w:uiPriority w:val="0"/>
    <w:tblPr>
      <w:tblCellMar>
        <w:top w:w="0" w:type="dxa"/>
        <w:left w:w="0" w:type="dxa"/>
        <w:bottom w:w="0" w:type="dxa"/>
        <w:right w:w="0" w:type="dxa"/>
      </w:tblCellMar>
    </w:tblPr>
  </w:style>
  <w:style w:type="paragraph" w:customStyle="1" w:styleId="80">
    <w:name w:val="正文段"/>
    <w:basedOn w:val="1"/>
    <w:qFormat/>
    <w:uiPriority w:val="0"/>
    <w:pPr>
      <w:widowControl/>
      <w:snapToGrid w:val="0"/>
      <w:spacing w:afterLines="50"/>
      <w:ind w:firstLine="200" w:firstLineChars="200"/>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40</Pages>
  <Words>3776</Words>
  <Characters>3959</Characters>
  <Lines>167</Lines>
  <Paragraphs>47</Paragraphs>
  <TotalTime>0</TotalTime>
  <ScaleCrop>false</ScaleCrop>
  <LinksUpToDate>false</LinksUpToDate>
  <CharactersWithSpaces>4037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2024-04-26T03:30:00Z</dcterms:created>
  <dc:creator>yujun.fan</dc:creator>
  <cp:lastModifiedBy>可烦可烦</cp:lastModifiedBy>
  <cp:lastPrinted>2025-04-01T08:02:00Z</cp:lastPrinted>
  <dcterms:modified xsi:type="dcterms:W3CDTF">2025-05-06T06:23:57Z</dcterms:modified>
  <dc:title>关于政府采购中代理竞争性谈判方式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D7B96C352C6649879EB957BF500FB8D7_13</vt:lpwstr>
  </property>
  <property fmtid="{D5CDD505-2E9C-101B-9397-08002B2CF9AE}" pid="4" name="KSOTemplateDocerSaveRecord">
    <vt:lpwstr>eyJoZGlkIjoiNGIzODYyN2FkOTVlZjUwOTk4ZDQ3YThmY2U4ZTVjN2IiLCJ1c2VySWQiOiI0NDg4ODg1NjgifQ==</vt:lpwstr>
  </property>
</Properties>
</file>