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31FB">
      <w:pPr>
        <w:spacing w:after="120"/>
        <w:jc w:val="left"/>
        <w:rPr>
          <w:rFonts w:ascii="宋体"/>
          <w:b/>
          <w:sz w:val="72"/>
        </w:rPr>
      </w:pPr>
      <w:r>
        <w:rPr>
          <w:sz w:val="48"/>
          <w:szCs w:val="48"/>
        </w:rPr>
        <w:drawing>
          <wp:inline distT="0" distB="0" distL="114300" distR="114300">
            <wp:extent cx="948690" cy="703580"/>
            <wp:effectExtent l="0" t="0" r="3810" b="1270"/>
            <wp:docPr id="1" name="图片 1" descr="图片（中冠咨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中冠咨询）"/>
                    <pic:cNvPicPr>
                      <a:picLocks noChangeAspect="1"/>
                    </pic:cNvPicPr>
                  </pic:nvPicPr>
                  <pic:blipFill>
                    <a:blip r:embed="rId20"/>
                    <a:stretch>
                      <a:fillRect/>
                    </a:stretch>
                  </pic:blipFill>
                  <pic:spPr>
                    <a:xfrm>
                      <a:off x="0" y="0"/>
                      <a:ext cx="948690" cy="703580"/>
                    </a:xfrm>
                    <a:prstGeom prst="rect">
                      <a:avLst/>
                    </a:prstGeom>
                    <a:noFill/>
                    <a:ln>
                      <a:noFill/>
                    </a:ln>
                  </pic:spPr>
                </pic:pic>
              </a:graphicData>
            </a:graphic>
          </wp:inline>
        </w:drawing>
      </w:r>
    </w:p>
    <w:p w14:paraId="7F76740F">
      <w:pPr>
        <w:spacing w:after="120"/>
        <w:jc w:val="center"/>
        <w:rPr>
          <w:rFonts w:ascii="宋体" w:cs="宋体"/>
          <w:b/>
          <w:sz w:val="72"/>
        </w:rPr>
      </w:pPr>
    </w:p>
    <w:p w14:paraId="0453ADC1">
      <w:pPr>
        <w:spacing w:after="120"/>
        <w:jc w:val="center"/>
        <w:rPr>
          <w:rFonts w:hint="eastAsia" w:ascii="宋体" w:hAnsi="宋体" w:cs="宋体"/>
          <w:b/>
          <w:sz w:val="72"/>
        </w:rPr>
      </w:pPr>
      <w:r>
        <w:rPr>
          <w:rFonts w:hint="eastAsia" w:ascii="宋体" w:hAnsi="宋体" w:cs="宋体"/>
          <w:b/>
          <w:sz w:val="72"/>
        </w:rPr>
        <w:t>国内公开招标文件</w:t>
      </w:r>
    </w:p>
    <w:p w14:paraId="6C5203E0">
      <w:pPr>
        <w:pStyle w:val="27"/>
      </w:pPr>
    </w:p>
    <w:p w14:paraId="5F7304A7"/>
    <w:p w14:paraId="22BBA400">
      <w:pPr>
        <w:pStyle w:val="27"/>
      </w:pPr>
    </w:p>
    <w:p w14:paraId="08A02BCD">
      <w:pPr>
        <w:rPr>
          <w:rFonts w:ascii="宋体" w:cs="宋体"/>
          <w:b/>
          <w:sz w:val="44"/>
        </w:rPr>
      </w:pPr>
    </w:p>
    <w:p w14:paraId="70C1B41B">
      <w:pPr>
        <w:pStyle w:val="35"/>
      </w:pPr>
    </w:p>
    <w:p w14:paraId="409126C3">
      <w:pPr>
        <w:pStyle w:val="38"/>
        <w:rPr>
          <w:rFonts w:cs="宋体"/>
          <w:b/>
          <w:sz w:val="44"/>
        </w:rPr>
      </w:pPr>
    </w:p>
    <w:p w14:paraId="67A81EF1">
      <w:pPr>
        <w:snapToGrid w:val="0"/>
        <w:spacing w:line="360" w:lineRule="auto"/>
        <w:ind w:firstLine="1084" w:firstLineChars="300"/>
        <w:jc w:val="left"/>
        <w:rPr>
          <w:rFonts w:ascii="宋体" w:cs="宋体"/>
          <w:b/>
          <w:bCs/>
          <w:sz w:val="36"/>
          <w:szCs w:val="36"/>
        </w:rPr>
      </w:pPr>
      <w:r>
        <w:rPr>
          <w:rFonts w:hint="eastAsia" w:ascii="宋体" w:hAnsi="宋体" w:cs="宋体"/>
          <w:b/>
          <w:bCs/>
          <w:sz w:val="36"/>
          <w:szCs w:val="36"/>
          <w:lang w:val="zh-CN"/>
        </w:rPr>
        <w:t>采购编号：ZGZB-NHCG2025029</w:t>
      </w:r>
    </w:p>
    <w:p w14:paraId="482E5DFF">
      <w:pPr>
        <w:spacing w:line="360" w:lineRule="auto"/>
        <w:ind w:left="2884" w:leftChars="513" w:hanging="1807" w:hangingChars="500"/>
        <w:rPr>
          <w:rFonts w:hint="eastAsia" w:ascii="宋体" w:hAnsi="宋体" w:cs="宋体"/>
          <w:b/>
          <w:bCs/>
          <w:sz w:val="36"/>
          <w:szCs w:val="36"/>
          <w:lang w:eastAsia="zh-CN"/>
        </w:rPr>
      </w:pPr>
      <w:r>
        <w:rPr>
          <w:rFonts w:hint="eastAsia" w:ascii="宋体" w:hAnsi="宋体" w:cs="宋体"/>
          <w:b/>
          <w:bCs/>
          <w:sz w:val="36"/>
          <w:szCs w:val="36"/>
          <w:lang w:val="zh-CN"/>
        </w:rPr>
        <w:t>项目名称：</w:t>
      </w:r>
      <w:bookmarkStart w:id="0" w:name="OLE_LINK2"/>
      <w:bookmarkStart w:id="1" w:name="OLE_LINK7"/>
      <w:r>
        <w:rPr>
          <w:rFonts w:hint="eastAsia" w:ascii="宋体" w:hAnsi="宋体" w:cs="宋体"/>
          <w:b/>
          <w:bCs/>
          <w:sz w:val="36"/>
          <w:szCs w:val="36"/>
          <w:lang w:eastAsia="zh-CN"/>
        </w:rPr>
        <w:t>宁海县交通运输局</w:t>
      </w:r>
      <w:r>
        <w:rPr>
          <w:rFonts w:hint="eastAsia" w:ascii="宋体" w:hAnsi="宋体" w:cs="宋体"/>
          <w:b/>
          <w:bCs/>
          <w:sz w:val="36"/>
          <w:szCs w:val="36"/>
          <w:lang w:val="en-US" w:eastAsia="zh-CN"/>
        </w:rPr>
        <w:t>2025</w:t>
      </w:r>
      <w:r>
        <w:rPr>
          <w:rFonts w:hint="eastAsia" w:ascii="宋体" w:hAnsi="宋体" w:cs="宋体"/>
          <w:b/>
          <w:bCs/>
          <w:sz w:val="36"/>
          <w:szCs w:val="36"/>
          <w:lang w:eastAsia="zh-CN"/>
        </w:rPr>
        <w:t>年公路绿化养护服务采购</w:t>
      </w:r>
      <w:bookmarkEnd w:id="0"/>
      <w:r>
        <w:rPr>
          <w:rFonts w:hint="eastAsia" w:ascii="宋体" w:hAnsi="宋体" w:cs="宋体"/>
          <w:b/>
          <w:bCs/>
          <w:sz w:val="36"/>
          <w:szCs w:val="36"/>
          <w:lang w:eastAsia="zh-CN"/>
        </w:rPr>
        <w:t>（第二批）</w:t>
      </w:r>
    </w:p>
    <w:bookmarkEnd w:id="1"/>
    <w:p w14:paraId="1E8E5108">
      <w:pPr>
        <w:spacing w:line="360" w:lineRule="auto"/>
        <w:ind w:firstLine="1084" w:firstLineChars="300"/>
        <w:rPr>
          <w:rFonts w:ascii="宋体" w:cs="宋体"/>
          <w:b/>
          <w:bCs/>
          <w:sz w:val="36"/>
          <w:szCs w:val="36"/>
        </w:rPr>
      </w:pPr>
      <w:r>
        <w:rPr>
          <w:rFonts w:hint="eastAsia" w:ascii="宋体" w:hAnsi="宋体" w:cs="宋体"/>
          <w:b/>
          <w:bCs/>
          <w:sz w:val="36"/>
          <w:szCs w:val="36"/>
          <w:lang w:val="zh-CN"/>
        </w:rPr>
        <w:t>采购单位：</w:t>
      </w:r>
      <w:bookmarkStart w:id="2" w:name="OLE_LINK17"/>
      <w:r>
        <w:rPr>
          <w:rFonts w:hint="eastAsia" w:ascii="宋体" w:hAnsi="宋体" w:cs="宋体"/>
          <w:b/>
          <w:bCs/>
          <w:sz w:val="36"/>
          <w:szCs w:val="36"/>
          <w:lang w:val="zh-CN"/>
        </w:rPr>
        <w:t>宁海县交通运输局</w:t>
      </w:r>
      <w:bookmarkEnd w:id="2"/>
    </w:p>
    <w:p w14:paraId="1435B071">
      <w:pPr>
        <w:spacing w:line="360" w:lineRule="auto"/>
        <w:ind w:firstLine="1084" w:firstLineChars="300"/>
        <w:rPr>
          <w:rFonts w:ascii="宋体" w:cs="宋体"/>
          <w:b/>
          <w:sz w:val="36"/>
          <w:szCs w:val="36"/>
        </w:rPr>
      </w:pPr>
      <w:r>
        <w:rPr>
          <w:rFonts w:hint="eastAsia" w:ascii="宋体" w:hAnsi="宋体" w:cs="宋体"/>
          <w:b/>
          <w:bCs/>
          <w:sz w:val="36"/>
          <w:szCs w:val="36"/>
          <w:lang w:val="zh-CN"/>
        </w:rPr>
        <w:t>代理机构：中冠工程管理咨询有限公司</w:t>
      </w:r>
    </w:p>
    <w:p w14:paraId="27F6869B">
      <w:pPr>
        <w:jc w:val="center"/>
        <w:rPr>
          <w:rFonts w:ascii="宋体" w:cs="宋体"/>
          <w:b/>
          <w:sz w:val="34"/>
        </w:rPr>
      </w:pPr>
    </w:p>
    <w:p w14:paraId="4721C264">
      <w:pPr>
        <w:pStyle w:val="9"/>
      </w:pPr>
    </w:p>
    <w:p w14:paraId="3FC6C6D9">
      <w:pPr>
        <w:jc w:val="center"/>
        <w:rPr>
          <w:rFonts w:hAnsi="宋体" w:cs="宋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74" w:right="1134" w:bottom="1247" w:left="1134" w:header="851" w:footer="851" w:gutter="0"/>
          <w:cols w:space="720" w:num="1"/>
          <w:titlePg/>
          <w:docGrid w:linePitch="312" w:charSpace="0"/>
        </w:sectPr>
      </w:pPr>
      <w:r>
        <w:rPr>
          <w:rFonts w:hint="eastAsia" w:ascii="宋体" w:hAnsi="宋体" w:cs="宋体"/>
          <w:b/>
          <w:sz w:val="36"/>
          <w:szCs w:val="36"/>
          <w:lang w:val="en-US" w:eastAsia="zh-CN"/>
        </w:rPr>
        <w:t>2025</w:t>
      </w:r>
      <w:r>
        <w:rPr>
          <w:rFonts w:hint="eastAsia" w:ascii="宋体" w:hAnsi="宋体" w:cs="宋体"/>
          <w:b/>
          <w:sz w:val="36"/>
          <w:szCs w:val="36"/>
        </w:rPr>
        <w:t>年</w:t>
      </w:r>
      <w:r>
        <w:rPr>
          <w:rFonts w:hint="eastAsia" w:ascii="宋体" w:hAnsi="宋体" w:cs="宋体"/>
          <w:b/>
          <w:sz w:val="36"/>
          <w:szCs w:val="36"/>
          <w:lang w:val="en-US" w:eastAsia="zh-CN"/>
        </w:rPr>
        <w:t>5</w:t>
      </w:r>
      <w:r>
        <w:rPr>
          <w:rFonts w:hint="eastAsia" w:ascii="宋体" w:hAnsi="宋体" w:cs="宋体"/>
          <w:b/>
          <w:sz w:val="36"/>
          <w:szCs w:val="36"/>
        </w:rPr>
        <w:t>月</w:t>
      </w:r>
    </w:p>
    <w:p w14:paraId="67A116D8">
      <w:pPr>
        <w:pStyle w:val="13"/>
        <w:spacing w:beforeLines="0" w:after="120" w:line="360" w:lineRule="auto"/>
        <w:jc w:val="center"/>
        <w:rPr>
          <w:rFonts w:hAnsi="宋体" w:cs="宋体"/>
          <w:b/>
          <w:bCs/>
          <w:sz w:val="52"/>
          <w:szCs w:val="52"/>
        </w:rPr>
      </w:pPr>
      <w:r>
        <w:rPr>
          <w:rFonts w:hint="eastAsia" w:hAnsi="宋体" w:cs="宋体"/>
          <w:b/>
          <w:bCs/>
          <w:sz w:val="48"/>
          <w:szCs w:val="48"/>
        </w:rPr>
        <w:t>目 录</w:t>
      </w:r>
    </w:p>
    <w:p w14:paraId="3D3C72A2">
      <w:pPr>
        <w:pStyle w:val="19"/>
        <w:tabs>
          <w:tab w:val="right" w:leader="dot" w:pos="8959"/>
        </w:tabs>
        <w:snapToGrid w:val="0"/>
        <w:rPr>
          <w:rFonts w:ascii="宋体" w:cs="宋体"/>
          <w:b/>
          <w:bCs/>
          <w:sz w:val="32"/>
          <w:szCs w:val="32"/>
        </w:rPr>
      </w:pPr>
      <w:r>
        <w:rPr>
          <w:rFonts w:ascii="宋体" w:hAnsi="宋体" w:cs="宋体"/>
          <w:b/>
          <w:bCs/>
          <w:sz w:val="32"/>
          <w:szCs w:val="32"/>
        </w:rPr>
        <w:fldChar w:fldCharType="begin"/>
      </w:r>
      <w:r>
        <w:rPr>
          <w:rFonts w:ascii="宋体" w:hAnsi="宋体" w:cs="宋体"/>
          <w:b/>
          <w:bCs/>
          <w:sz w:val="32"/>
          <w:szCs w:val="32"/>
        </w:rPr>
        <w:instrText xml:space="preserve">TOC \o "1-3" \h \u </w:instrText>
      </w:r>
      <w:r>
        <w:rPr>
          <w:rFonts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1</w:t>
      </w:r>
    </w:p>
    <w:p w14:paraId="1C5D15E6">
      <w:pPr>
        <w:pStyle w:val="23"/>
        <w:tabs>
          <w:tab w:val="right" w:leader="dot" w:pos="8959"/>
        </w:tabs>
        <w:snapToGrid w:val="0"/>
        <w:ind w:left="0" w:leftChars="0"/>
        <w:rPr>
          <w:rFonts w:ascii="宋体" w:cs="宋体"/>
          <w:b/>
          <w:bCs/>
          <w:sz w:val="32"/>
          <w:szCs w:val="32"/>
        </w:rPr>
      </w:pPr>
    </w:p>
    <w:p w14:paraId="5E1FFDD8">
      <w:pPr>
        <w:pStyle w:val="23"/>
        <w:tabs>
          <w:tab w:val="right" w:leader="dot" w:pos="8959"/>
        </w:tabs>
        <w:snapToGrid w:val="0"/>
        <w:ind w:left="0" w:leftChars="0"/>
        <w:rPr>
          <w:rFonts w:ascii="宋体" w:cs="宋体"/>
          <w:b/>
          <w:bCs/>
          <w:sz w:val="32"/>
          <w:szCs w:val="32"/>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7</w:t>
      </w:r>
    </w:p>
    <w:p w14:paraId="2B6F300D">
      <w:pPr>
        <w:pStyle w:val="23"/>
        <w:tabs>
          <w:tab w:val="right" w:leader="dot" w:pos="8959"/>
        </w:tabs>
        <w:snapToGrid w:val="0"/>
        <w:ind w:left="0" w:leftChars="0"/>
        <w:rPr>
          <w:rFonts w:ascii="宋体" w:cs="宋体"/>
          <w:b/>
          <w:bCs/>
          <w:sz w:val="32"/>
          <w:szCs w:val="32"/>
        </w:rPr>
      </w:pPr>
    </w:p>
    <w:p w14:paraId="3A16AF78">
      <w:pPr>
        <w:pStyle w:val="23"/>
        <w:tabs>
          <w:tab w:val="right" w:leader="dot" w:pos="8959"/>
        </w:tabs>
        <w:snapToGrid w:val="0"/>
        <w:ind w:left="0" w:leftChars="0"/>
        <w:rPr>
          <w:rFonts w:ascii="宋体" w:cs="宋体"/>
          <w:b/>
          <w:bCs/>
          <w:sz w:val="32"/>
          <w:szCs w:val="32"/>
        </w:rPr>
      </w:pPr>
      <w:r>
        <w:fldChar w:fldCharType="begin"/>
      </w:r>
      <w:r>
        <w:instrText xml:space="preserve"> HYPERLINK \l "_Toc8089" </w:instrText>
      </w:r>
      <w:r>
        <w:fldChar w:fldCharType="separate"/>
      </w:r>
      <w:r>
        <w:rPr>
          <w:rFonts w:hint="eastAsia" w:ascii="宋体" w:hAnsi="宋体" w:cs="宋体"/>
          <w:b/>
          <w:bCs/>
          <w:sz w:val="32"/>
          <w:szCs w:val="32"/>
        </w:rPr>
        <w:t>第三章 投标人须知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21</w:t>
      </w:r>
    </w:p>
    <w:p w14:paraId="5D638486">
      <w:pPr>
        <w:pStyle w:val="23"/>
        <w:tabs>
          <w:tab w:val="right" w:leader="dot" w:pos="8959"/>
        </w:tabs>
        <w:snapToGrid w:val="0"/>
        <w:ind w:left="0" w:leftChars="0"/>
        <w:rPr>
          <w:rFonts w:ascii="宋体" w:cs="宋体"/>
          <w:b/>
          <w:bCs/>
          <w:sz w:val="32"/>
          <w:szCs w:val="32"/>
        </w:rPr>
      </w:pPr>
    </w:p>
    <w:p w14:paraId="4EFCEFD9">
      <w:pPr>
        <w:pStyle w:val="23"/>
        <w:tabs>
          <w:tab w:val="right" w:leader="dot" w:pos="8959"/>
        </w:tabs>
        <w:snapToGrid w:val="0"/>
        <w:ind w:left="0" w:leftChars="0"/>
        <w:rPr>
          <w:rFonts w:ascii="宋体" w:cs="宋体"/>
          <w:b/>
          <w:bCs/>
          <w:sz w:val="32"/>
          <w:szCs w:val="32"/>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35</w:t>
      </w:r>
    </w:p>
    <w:p w14:paraId="1D6E378F">
      <w:pPr>
        <w:pStyle w:val="23"/>
        <w:tabs>
          <w:tab w:val="right" w:leader="dot" w:pos="8959"/>
        </w:tabs>
        <w:snapToGrid w:val="0"/>
        <w:ind w:left="0" w:leftChars="0"/>
        <w:rPr>
          <w:rFonts w:ascii="宋体" w:cs="宋体"/>
          <w:b/>
          <w:bCs/>
          <w:sz w:val="32"/>
          <w:szCs w:val="32"/>
        </w:rPr>
      </w:pPr>
    </w:p>
    <w:p w14:paraId="0316A67E">
      <w:pPr>
        <w:pStyle w:val="23"/>
        <w:tabs>
          <w:tab w:val="right" w:leader="dot" w:pos="8959"/>
        </w:tabs>
        <w:snapToGrid w:val="0"/>
        <w:ind w:left="0" w:leftChars="0"/>
        <w:rPr>
          <w:rFonts w:asci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39</w:t>
      </w:r>
    </w:p>
    <w:p w14:paraId="4B470625">
      <w:pPr>
        <w:pStyle w:val="23"/>
        <w:tabs>
          <w:tab w:val="right" w:leader="dot" w:pos="8959"/>
        </w:tabs>
        <w:snapToGrid w:val="0"/>
        <w:ind w:left="0" w:leftChars="0"/>
        <w:rPr>
          <w:rFonts w:ascii="宋体" w:cs="宋体"/>
          <w:b/>
          <w:bCs/>
          <w:sz w:val="32"/>
          <w:szCs w:val="32"/>
        </w:rPr>
      </w:pPr>
    </w:p>
    <w:p w14:paraId="70EC0349">
      <w:pPr>
        <w:pStyle w:val="23"/>
        <w:tabs>
          <w:tab w:val="right" w:leader="dot" w:pos="8959"/>
        </w:tabs>
        <w:snapToGrid w:val="0"/>
        <w:ind w:left="0" w:leftChars="0"/>
        <w:rPr>
          <w:rFonts w:asci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61</w:t>
      </w:r>
    </w:p>
    <w:p w14:paraId="57FBA471">
      <w:pPr>
        <w:pStyle w:val="23"/>
        <w:tabs>
          <w:tab w:val="right" w:leader="dot" w:pos="8959"/>
        </w:tabs>
        <w:snapToGrid w:val="0"/>
        <w:ind w:left="0" w:leftChars="0"/>
        <w:rPr>
          <w:rFonts w:ascii="宋体" w:cs="宋体"/>
          <w:b/>
          <w:bCs/>
          <w:sz w:val="32"/>
          <w:szCs w:val="32"/>
        </w:rPr>
      </w:pPr>
    </w:p>
    <w:p w14:paraId="76D22BE2">
      <w:pPr>
        <w:pStyle w:val="23"/>
        <w:tabs>
          <w:tab w:val="right" w:leader="dot" w:pos="8959"/>
        </w:tabs>
        <w:snapToGrid w:val="0"/>
        <w:ind w:left="0" w:leftChars="0"/>
        <w:rPr>
          <w:rFonts w:ascii="宋体" w:cs="宋体"/>
          <w:b/>
          <w:bCs/>
          <w:sz w:val="32"/>
          <w:szCs w:val="32"/>
        </w:rPr>
      </w:pPr>
    </w:p>
    <w:p w14:paraId="1E27EDE7">
      <w:pPr>
        <w:pStyle w:val="19"/>
        <w:tabs>
          <w:tab w:val="right" w:leader="dot" w:pos="8959"/>
        </w:tabs>
        <w:snapToGrid w:val="0"/>
        <w:rPr>
          <w:rFonts w:ascii="宋体" w:cs="宋体"/>
          <w:sz w:val="44"/>
          <w:szCs w:val="44"/>
        </w:rPr>
      </w:pPr>
      <w:r>
        <w:rPr>
          <w:rFonts w:ascii="宋体" w:hAnsi="宋体" w:cs="宋体"/>
          <w:b/>
          <w:bCs/>
          <w:sz w:val="32"/>
          <w:szCs w:val="32"/>
        </w:rPr>
        <w:fldChar w:fldCharType="end"/>
      </w:r>
    </w:p>
    <w:p w14:paraId="51886DDB">
      <w:pPr>
        <w:pStyle w:val="13"/>
        <w:tabs>
          <w:tab w:val="left" w:pos="795"/>
          <w:tab w:val="center" w:pos="4539"/>
        </w:tabs>
        <w:snapToGrid w:val="0"/>
        <w:spacing w:beforeLines="0" w:after="120"/>
        <w:jc w:val="left"/>
        <w:rPr>
          <w:rFonts w:hAnsi="宋体" w:cs="宋体"/>
        </w:rPr>
      </w:pPr>
      <w:bookmarkStart w:id="3" w:name="_Toc9329"/>
    </w:p>
    <w:p w14:paraId="3A314F02">
      <w:pPr>
        <w:pStyle w:val="13"/>
        <w:tabs>
          <w:tab w:val="left" w:pos="795"/>
          <w:tab w:val="center" w:pos="4539"/>
        </w:tabs>
        <w:snapToGrid w:val="0"/>
        <w:spacing w:beforeLines="0" w:after="120"/>
        <w:jc w:val="left"/>
        <w:rPr>
          <w:rFonts w:hAnsi="宋体" w:cs="宋体"/>
        </w:rPr>
      </w:pPr>
    </w:p>
    <w:p w14:paraId="0008451B">
      <w:pPr>
        <w:pStyle w:val="13"/>
        <w:tabs>
          <w:tab w:val="left" w:pos="795"/>
          <w:tab w:val="center" w:pos="4539"/>
        </w:tabs>
        <w:snapToGrid w:val="0"/>
        <w:spacing w:beforeLines="0" w:after="120"/>
        <w:jc w:val="left"/>
        <w:rPr>
          <w:rFonts w:hAnsi="宋体" w:cs="宋体"/>
        </w:rPr>
      </w:pPr>
    </w:p>
    <w:p w14:paraId="1817A103">
      <w:pPr>
        <w:pStyle w:val="13"/>
        <w:tabs>
          <w:tab w:val="left" w:pos="795"/>
          <w:tab w:val="center" w:pos="4539"/>
        </w:tabs>
        <w:snapToGrid w:val="0"/>
        <w:spacing w:beforeLines="0" w:after="120"/>
        <w:jc w:val="left"/>
        <w:rPr>
          <w:rFonts w:hAnsi="宋体" w:cs="宋体"/>
        </w:rPr>
      </w:pPr>
    </w:p>
    <w:p w14:paraId="1005360F">
      <w:pPr>
        <w:pStyle w:val="13"/>
        <w:tabs>
          <w:tab w:val="left" w:pos="795"/>
          <w:tab w:val="center" w:pos="4539"/>
        </w:tabs>
        <w:snapToGrid w:val="0"/>
        <w:spacing w:beforeLines="0" w:after="120"/>
        <w:jc w:val="left"/>
        <w:rPr>
          <w:rFonts w:hAnsi="宋体" w:cs="宋体"/>
        </w:rPr>
      </w:pPr>
    </w:p>
    <w:p w14:paraId="5BE3070C">
      <w:pPr>
        <w:pStyle w:val="13"/>
        <w:tabs>
          <w:tab w:val="left" w:pos="795"/>
          <w:tab w:val="center" w:pos="4539"/>
        </w:tabs>
        <w:snapToGrid w:val="0"/>
        <w:spacing w:beforeLines="0" w:after="120"/>
        <w:jc w:val="left"/>
        <w:rPr>
          <w:rFonts w:hAnsi="宋体" w:cs="宋体"/>
        </w:rPr>
      </w:pPr>
    </w:p>
    <w:p w14:paraId="5229C21F">
      <w:pPr>
        <w:pStyle w:val="13"/>
        <w:tabs>
          <w:tab w:val="left" w:pos="795"/>
          <w:tab w:val="center" w:pos="4539"/>
        </w:tabs>
        <w:snapToGrid w:val="0"/>
        <w:spacing w:beforeLines="0" w:after="120"/>
        <w:jc w:val="left"/>
        <w:rPr>
          <w:rFonts w:hAnsi="宋体" w:cs="宋体"/>
        </w:rPr>
      </w:pPr>
    </w:p>
    <w:p w14:paraId="3919EC34">
      <w:pPr>
        <w:pStyle w:val="13"/>
        <w:tabs>
          <w:tab w:val="left" w:pos="795"/>
          <w:tab w:val="center" w:pos="4539"/>
        </w:tabs>
        <w:snapToGrid w:val="0"/>
        <w:spacing w:beforeLines="0" w:after="120"/>
        <w:jc w:val="left"/>
        <w:rPr>
          <w:rFonts w:hAnsi="宋体" w:cs="宋体"/>
        </w:rPr>
      </w:pPr>
    </w:p>
    <w:p w14:paraId="7BABEFB7">
      <w:pPr>
        <w:pStyle w:val="13"/>
        <w:tabs>
          <w:tab w:val="left" w:pos="795"/>
          <w:tab w:val="center" w:pos="4539"/>
        </w:tabs>
        <w:snapToGrid w:val="0"/>
        <w:spacing w:beforeLines="0" w:after="120"/>
        <w:jc w:val="left"/>
        <w:rPr>
          <w:rFonts w:hAnsi="宋体" w:cs="宋体"/>
        </w:rPr>
      </w:pPr>
    </w:p>
    <w:p w14:paraId="64A88B1C">
      <w:pPr>
        <w:pStyle w:val="13"/>
        <w:tabs>
          <w:tab w:val="left" w:pos="795"/>
          <w:tab w:val="center" w:pos="4539"/>
        </w:tabs>
        <w:snapToGrid w:val="0"/>
        <w:spacing w:beforeLines="0" w:after="120"/>
        <w:jc w:val="left"/>
        <w:rPr>
          <w:rFonts w:hAnsi="宋体" w:cs="宋体"/>
        </w:rPr>
      </w:pPr>
    </w:p>
    <w:p w14:paraId="0A03CCE5">
      <w:pPr>
        <w:pStyle w:val="13"/>
        <w:tabs>
          <w:tab w:val="left" w:pos="795"/>
          <w:tab w:val="center" w:pos="4539"/>
        </w:tabs>
        <w:snapToGrid w:val="0"/>
        <w:spacing w:beforeLines="0" w:after="120"/>
        <w:jc w:val="left"/>
        <w:rPr>
          <w:rFonts w:hAnsi="宋体" w:cs="宋体"/>
        </w:rPr>
      </w:pPr>
    </w:p>
    <w:p w14:paraId="66A9DBEF">
      <w:pPr>
        <w:pStyle w:val="13"/>
        <w:tabs>
          <w:tab w:val="left" w:pos="795"/>
          <w:tab w:val="center" w:pos="4539"/>
        </w:tabs>
        <w:snapToGrid w:val="0"/>
        <w:spacing w:beforeLines="0" w:after="120"/>
        <w:jc w:val="left"/>
        <w:outlineLvl w:val="0"/>
        <w:rPr>
          <w:rFonts w:hAnsi="宋体" w:cs="宋体"/>
        </w:rPr>
        <w:sectPr>
          <w:footerReference r:id="rId10" w:type="first"/>
          <w:footerReference r:id="rId9" w:type="default"/>
          <w:pgSz w:w="11907" w:h="16840"/>
          <w:pgMar w:top="1701" w:right="1474" w:bottom="1701" w:left="1474" w:header="851" w:footer="992" w:gutter="0"/>
          <w:cols w:space="720" w:num="1"/>
          <w:titlePg/>
          <w:docGrid w:linePitch="312" w:charSpace="0"/>
        </w:sectPr>
      </w:pPr>
    </w:p>
    <w:p w14:paraId="1EFF67F3">
      <w:pPr>
        <w:pStyle w:val="13"/>
        <w:snapToGrid w:val="0"/>
        <w:spacing w:beforeLines="0" w:after="120"/>
        <w:jc w:val="center"/>
        <w:outlineLvl w:val="0"/>
        <w:rPr>
          <w:rFonts w:hAnsi="宋体" w:cs="宋体"/>
          <w:b/>
          <w:sz w:val="30"/>
          <w:szCs w:val="30"/>
        </w:rPr>
      </w:pPr>
      <w:r>
        <w:rPr>
          <w:rFonts w:hint="eastAsia" w:hAnsi="宋体" w:cs="宋体"/>
          <w:b/>
          <w:sz w:val="30"/>
          <w:szCs w:val="30"/>
        </w:rPr>
        <w:t>第一章 公开招标公告</w:t>
      </w:r>
      <w:bookmarkEnd w:id="3"/>
    </w:p>
    <w:tbl>
      <w:tblPr>
        <w:tblStyle w:val="29"/>
        <w:tblW w:w="99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5"/>
      </w:tblGrid>
      <w:tr w14:paraId="527A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tcPr>
          <w:p w14:paraId="61D229F4">
            <w:pPr>
              <w:spacing w:line="360" w:lineRule="auto"/>
              <w:rPr>
                <w:rFonts w:ascii="宋体" w:hAnsi="宋体" w:cs="宋体"/>
                <w:szCs w:val="21"/>
              </w:rPr>
            </w:pPr>
            <w:r>
              <w:rPr>
                <w:rFonts w:hint="eastAsia" w:ascii="宋体" w:hAnsi="宋体" w:cs="宋体"/>
                <w:szCs w:val="21"/>
              </w:rPr>
              <w:t>项目概况：</w:t>
            </w:r>
          </w:p>
          <w:p w14:paraId="422B4CB2">
            <w:pPr>
              <w:spacing w:line="360" w:lineRule="auto"/>
              <w:ind w:firstLine="422" w:firstLineChars="200"/>
              <w:rPr>
                <w:rFonts w:ascii="宋体" w:hAnsi="宋体" w:cs="宋体"/>
                <w:szCs w:val="21"/>
              </w:rPr>
            </w:pPr>
            <w:r>
              <w:rPr>
                <w:rFonts w:hint="eastAsia" w:ascii="宋体" w:hAnsi="宋体" w:cs="宋体"/>
                <w:b/>
                <w:bCs/>
                <w:szCs w:val="21"/>
                <w:u w:val="single"/>
                <w:lang w:val="zh-CN"/>
              </w:rPr>
              <w:t>宁海县交通运输局2025年公路绿化养护服务采购</w:t>
            </w:r>
            <w:r>
              <w:rPr>
                <w:rFonts w:hint="eastAsia" w:ascii="宋体" w:hAnsi="宋体" w:cs="宋体"/>
                <w:b/>
                <w:bCs/>
                <w:szCs w:val="21"/>
                <w:u w:val="single"/>
                <w:lang w:val="zh-CN" w:eastAsia="zh-CN"/>
              </w:rPr>
              <w:t>（第二批）</w:t>
            </w:r>
            <w:r>
              <w:rPr>
                <w:rFonts w:hint="eastAsia" w:ascii="宋体" w:hAnsi="宋体" w:cs="宋体"/>
                <w:szCs w:val="21"/>
              </w:rPr>
              <w:t>招标项目的潜在投标人应在政府采购云平台（</w:t>
            </w:r>
            <w:r>
              <w:fldChar w:fldCharType="begin"/>
            </w:r>
            <w:r>
              <w:instrText xml:space="preserve"> HYPERLINK "http://www.zcygov.cn）获取（下载）招标文件，并于2023年" </w:instrText>
            </w:r>
            <w:r>
              <w:fldChar w:fldCharType="separate"/>
            </w:r>
            <w:r>
              <w:rPr>
                <w:rStyle w:val="33"/>
                <w:rFonts w:hint="eastAsia" w:ascii="宋体" w:hAnsi="宋体" w:cs="宋体"/>
                <w:szCs w:val="21"/>
              </w:rPr>
              <w:t>www.zcygov.cn）获取（下载）招标文件，并于</w:t>
            </w:r>
            <w:r>
              <w:rPr>
                <w:rStyle w:val="33"/>
                <w:rFonts w:hint="eastAsia" w:ascii="宋体" w:hAnsi="宋体" w:cs="宋体"/>
                <w:szCs w:val="21"/>
                <w:lang w:val="en-US" w:eastAsia="zh-CN"/>
              </w:rPr>
              <w:t>2025</w:t>
            </w:r>
            <w:r>
              <w:rPr>
                <w:rStyle w:val="33"/>
                <w:rFonts w:hint="eastAsia" w:ascii="宋体" w:hAnsi="宋体" w:cs="宋体"/>
                <w:bCs/>
                <w:szCs w:val="21"/>
              </w:rPr>
              <w:t>年</w:t>
            </w:r>
            <w:r>
              <w:rPr>
                <w:rStyle w:val="33"/>
                <w:rFonts w:hint="eastAsia" w:ascii="宋体" w:hAnsi="宋体" w:cs="宋体"/>
                <w:bCs/>
                <w:szCs w:val="21"/>
              </w:rPr>
              <w:fldChar w:fldCharType="end"/>
            </w:r>
            <w:r>
              <w:rPr>
                <w:rStyle w:val="33"/>
                <w:rFonts w:hint="eastAsia" w:ascii="宋体" w:hAnsi="宋体" w:cs="宋体"/>
                <w:bCs/>
                <w:szCs w:val="21"/>
                <w:lang w:val="en-US" w:eastAsia="zh-CN"/>
              </w:rPr>
              <w:t xml:space="preserve">  </w:t>
            </w:r>
            <w:r>
              <w:rPr>
                <w:rFonts w:hint="eastAsia" w:ascii="宋体" w:hAnsi="宋体" w:cs="宋体"/>
                <w:bCs/>
                <w:szCs w:val="21"/>
                <w:u w:val="single"/>
              </w:rPr>
              <w:t>月</w:t>
            </w:r>
            <w:r>
              <w:rPr>
                <w:rFonts w:hint="eastAsia" w:ascii="宋体" w:hAnsi="宋体" w:cs="宋体"/>
                <w:bCs/>
                <w:szCs w:val="21"/>
                <w:u w:val="single"/>
                <w:lang w:val="en-US" w:eastAsia="zh-CN"/>
              </w:rPr>
              <w:t xml:space="preserve">  </w:t>
            </w:r>
            <w:r>
              <w:rPr>
                <w:rFonts w:hint="eastAsia" w:ascii="宋体" w:hAnsi="宋体" w:cs="宋体"/>
                <w:bCs/>
                <w:szCs w:val="21"/>
                <w:u w:val="single"/>
              </w:rPr>
              <w:t>日</w:t>
            </w:r>
            <w:r>
              <w:rPr>
                <w:rFonts w:hint="eastAsia" w:ascii="宋体" w:hAnsi="宋体" w:cs="宋体"/>
                <w:bCs/>
                <w:szCs w:val="21"/>
                <w:u w:val="single"/>
                <w:lang w:val="en-US" w:eastAsia="zh-CN"/>
              </w:rPr>
              <w:t>09</w:t>
            </w:r>
            <w:r>
              <w:rPr>
                <w:rFonts w:hint="eastAsia" w:ascii="宋体" w:hAnsi="宋体" w:cs="宋体"/>
                <w:bCs/>
                <w:szCs w:val="21"/>
                <w:u w:val="single"/>
              </w:rPr>
              <w:t>:</w:t>
            </w:r>
            <w:r>
              <w:rPr>
                <w:rFonts w:hint="eastAsia" w:ascii="宋体" w:hAnsi="宋体" w:cs="宋体"/>
                <w:bCs/>
                <w:szCs w:val="21"/>
                <w:u w:val="single"/>
                <w:lang w:val="en-US" w:eastAsia="zh-CN"/>
              </w:rPr>
              <w:t>00</w:t>
            </w:r>
            <w:r>
              <w:rPr>
                <w:rFonts w:hint="eastAsia" w:ascii="宋体" w:hAnsi="宋体" w:cs="宋体"/>
                <w:bCs/>
                <w:szCs w:val="21"/>
                <w:u w:val="single"/>
              </w:rPr>
              <w:t>时（北京时间）</w:t>
            </w:r>
            <w:r>
              <w:rPr>
                <w:rFonts w:hint="eastAsia" w:ascii="宋体" w:hAnsi="宋体" w:cs="宋体"/>
                <w:bCs/>
                <w:szCs w:val="21"/>
              </w:rPr>
              <w:t>前递交（上传）投标文件</w:t>
            </w:r>
            <w:r>
              <w:rPr>
                <w:rFonts w:hint="eastAsia" w:ascii="宋体" w:hAnsi="宋体" w:cs="宋体"/>
                <w:szCs w:val="21"/>
              </w:rPr>
              <w:t>。</w:t>
            </w:r>
          </w:p>
        </w:tc>
      </w:tr>
    </w:tbl>
    <w:p w14:paraId="5B10CD4A">
      <w:pPr>
        <w:pStyle w:val="3"/>
        <w:spacing w:line="360" w:lineRule="auto"/>
        <w:ind w:left="452" w:leftChars="100" w:hanging="242" w:hangingChars="115"/>
        <w:rPr>
          <w:rFonts w:ascii="宋体" w:hAnsi="宋体" w:eastAsia="宋体" w:cs="宋体"/>
          <w:bCs w:val="0"/>
          <w:sz w:val="21"/>
          <w:szCs w:val="21"/>
        </w:rPr>
      </w:pPr>
      <w:bookmarkStart w:id="4" w:name="_Toc28359079"/>
      <w:bookmarkStart w:id="5" w:name="_Toc28359002"/>
      <w:bookmarkStart w:id="6" w:name="_Toc35393621"/>
      <w:bookmarkStart w:id="7" w:name="_Toc35393790"/>
      <w:bookmarkStart w:id="8" w:name="_Hlk24379207"/>
      <w:r>
        <w:rPr>
          <w:rFonts w:hint="eastAsia" w:ascii="宋体" w:hAnsi="宋体" w:eastAsia="宋体" w:cs="宋体"/>
          <w:bCs w:val="0"/>
          <w:sz w:val="21"/>
          <w:szCs w:val="21"/>
        </w:rPr>
        <w:t>一、项目基本情况</w:t>
      </w:r>
      <w:bookmarkEnd w:id="4"/>
      <w:bookmarkEnd w:id="5"/>
      <w:bookmarkEnd w:id="6"/>
      <w:bookmarkEnd w:id="7"/>
    </w:p>
    <w:p w14:paraId="4D15B8A2">
      <w:pPr>
        <w:spacing w:line="360" w:lineRule="auto"/>
        <w:ind w:firstLine="420" w:firstLineChars="200"/>
        <w:rPr>
          <w:rFonts w:ascii="宋体" w:hAnsi="宋体" w:cs="宋体"/>
          <w:szCs w:val="21"/>
          <w:highlight w:val="none"/>
        </w:rPr>
      </w:pPr>
      <w:r>
        <w:rPr>
          <w:rFonts w:hint="eastAsia" w:ascii="宋体" w:hAnsi="宋体" w:cs="宋体"/>
          <w:szCs w:val="21"/>
          <w:highlight w:val="none"/>
        </w:rPr>
        <w:t>1.项目编号：</w:t>
      </w:r>
      <w:r>
        <w:rPr>
          <w:rFonts w:hint="eastAsia" w:ascii="宋体" w:hAnsi="宋体" w:cs="宋体"/>
          <w:szCs w:val="21"/>
          <w:highlight w:val="none"/>
          <w:lang w:val="zh-CN"/>
        </w:rPr>
        <w:t>ZGZB-NHCG2025029</w:t>
      </w:r>
    </w:p>
    <w:p w14:paraId="1A3DA2D8">
      <w:pPr>
        <w:spacing w:line="360" w:lineRule="auto"/>
        <w:ind w:firstLine="420" w:firstLineChars="200"/>
        <w:rPr>
          <w:rFonts w:ascii="宋体" w:hAnsi="宋体" w:cs="宋体"/>
          <w:szCs w:val="21"/>
          <w:highlight w:val="none"/>
        </w:rPr>
      </w:pPr>
      <w:r>
        <w:rPr>
          <w:rFonts w:hint="eastAsia" w:ascii="宋体" w:hAnsi="宋体" w:cs="宋体"/>
          <w:szCs w:val="21"/>
          <w:highlight w:val="none"/>
        </w:rPr>
        <w:t>2.项目名称：</w:t>
      </w:r>
      <w:bookmarkEnd w:id="8"/>
      <w:bookmarkStart w:id="9" w:name="OLE_LINK11"/>
      <w:r>
        <w:rPr>
          <w:rFonts w:hint="eastAsia" w:ascii="宋体" w:hAnsi="宋体" w:cs="宋体"/>
          <w:szCs w:val="21"/>
          <w:highlight w:val="none"/>
          <w:lang w:val="zh-CN"/>
        </w:rPr>
        <w:t>宁海县交通运输局2025年公路绿化养护服务采购</w:t>
      </w:r>
      <w:r>
        <w:rPr>
          <w:rFonts w:hint="eastAsia" w:ascii="宋体" w:hAnsi="宋体" w:cs="宋体"/>
          <w:szCs w:val="21"/>
          <w:highlight w:val="none"/>
          <w:lang w:val="zh-CN" w:eastAsia="zh-CN"/>
        </w:rPr>
        <w:t>（第二批）</w:t>
      </w:r>
    </w:p>
    <w:bookmarkEnd w:id="9"/>
    <w:p w14:paraId="721032C3">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3.</w:t>
      </w:r>
      <w:bookmarkStart w:id="10" w:name="OLE_LINK45"/>
      <w:r>
        <w:rPr>
          <w:rFonts w:hint="eastAsia" w:ascii="宋体" w:hAnsi="宋体" w:cs="宋体"/>
          <w:szCs w:val="21"/>
          <w:highlight w:val="none"/>
        </w:rPr>
        <w:t>预算金额（元）：</w:t>
      </w:r>
      <w:r>
        <w:rPr>
          <w:rFonts w:hint="eastAsia" w:ascii="宋体" w:hAnsi="宋体" w:cs="宋体"/>
          <w:color w:val="000000" w:themeColor="text1"/>
          <w:kern w:val="0"/>
          <w:szCs w:val="21"/>
          <w:highlight w:val="none"/>
          <w:lang w:val="en-US" w:eastAsia="zh-CN"/>
        </w:rPr>
        <w:t>15307246.4元</w:t>
      </w:r>
      <w:bookmarkEnd w:id="10"/>
      <w:r>
        <w:rPr>
          <w:rFonts w:hint="eastAsia" w:ascii="宋体" w:hAnsi="宋体" w:cs="宋体"/>
          <w:color w:val="000000" w:themeColor="text1"/>
          <w:kern w:val="0"/>
          <w:szCs w:val="21"/>
          <w:highlight w:val="none"/>
          <w:lang w:val="en-US" w:eastAsia="zh-CN"/>
        </w:rPr>
        <w:t>。</w:t>
      </w:r>
    </w:p>
    <w:p w14:paraId="34DC8302">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bookmarkStart w:id="11" w:name="OLE_LINK46"/>
      <w:r>
        <w:rPr>
          <w:rFonts w:hint="eastAsia" w:ascii="宋体" w:hAnsi="宋体" w:cs="宋体"/>
          <w:szCs w:val="21"/>
          <w:highlight w:val="none"/>
        </w:rPr>
        <w:t>最高限价（元）：</w:t>
      </w:r>
      <w:r>
        <w:rPr>
          <w:rFonts w:hint="eastAsia" w:ascii="宋体" w:hAnsi="宋体" w:cs="宋体"/>
          <w:color w:val="000000" w:themeColor="text1"/>
          <w:kern w:val="0"/>
          <w:szCs w:val="21"/>
          <w:highlight w:val="none"/>
          <w:lang w:val="en-US" w:eastAsia="zh-CN"/>
        </w:rPr>
        <w:t>15307246.4元</w:t>
      </w:r>
      <w:bookmarkEnd w:id="11"/>
      <w:r>
        <w:rPr>
          <w:rFonts w:hint="eastAsia" w:asciiTheme="minorEastAsia" w:hAnsiTheme="minorEastAsia" w:eastAsiaTheme="minorEastAsia" w:cstheme="minorEastAsia"/>
          <w:szCs w:val="21"/>
          <w:highlight w:val="none"/>
        </w:rPr>
        <w:t>。</w:t>
      </w:r>
    </w:p>
    <w:p w14:paraId="4B3551AC">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w:t>
      </w:r>
    </w:p>
    <w:tbl>
      <w:tblPr>
        <w:tblStyle w:val="28"/>
        <w:tblW w:w="11419" w:type="dxa"/>
        <w:jc w:val="center"/>
        <w:tblLayout w:type="fixed"/>
        <w:tblCellMar>
          <w:top w:w="0" w:type="dxa"/>
          <w:left w:w="108" w:type="dxa"/>
          <w:bottom w:w="0" w:type="dxa"/>
          <w:right w:w="108" w:type="dxa"/>
        </w:tblCellMar>
      </w:tblPr>
      <w:tblGrid>
        <w:gridCol w:w="680"/>
        <w:gridCol w:w="2677"/>
        <w:gridCol w:w="734"/>
        <w:gridCol w:w="1233"/>
        <w:gridCol w:w="828"/>
        <w:gridCol w:w="1282"/>
        <w:gridCol w:w="1418"/>
        <w:gridCol w:w="1336"/>
        <w:gridCol w:w="1231"/>
      </w:tblGrid>
      <w:tr w14:paraId="3D915E8C">
        <w:tblPrEx>
          <w:tblCellMar>
            <w:top w:w="0" w:type="dxa"/>
            <w:left w:w="108" w:type="dxa"/>
            <w:bottom w:w="0" w:type="dxa"/>
            <w:right w:w="108" w:type="dxa"/>
          </w:tblCellMar>
        </w:tblPrEx>
        <w:trPr>
          <w:trHeight w:val="2020" w:hRule="atLeast"/>
          <w:tblHeader/>
          <w:jc w:val="center"/>
        </w:trPr>
        <w:tc>
          <w:tcPr>
            <w:tcW w:w="680" w:type="dxa"/>
            <w:tcBorders>
              <w:top w:val="single" w:color="auto" w:sz="8" w:space="0"/>
              <w:left w:val="single" w:color="auto" w:sz="8" w:space="0"/>
              <w:bottom w:val="single" w:color="000000" w:sz="8" w:space="0"/>
              <w:right w:val="single" w:color="auto" w:sz="8" w:space="0"/>
            </w:tcBorders>
            <w:shd w:val="clear" w:color="auto" w:fill="auto"/>
            <w:vAlign w:val="center"/>
          </w:tcPr>
          <w:p w14:paraId="20B9AD9D">
            <w:pPr>
              <w:widowControl/>
              <w:spacing w:line="520" w:lineRule="exact"/>
              <w:contextualSpacing/>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标段</w:t>
            </w:r>
          </w:p>
        </w:tc>
        <w:tc>
          <w:tcPr>
            <w:tcW w:w="2677" w:type="dxa"/>
            <w:tcBorders>
              <w:top w:val="single" w:color="auto" w:sz="8" w:space="0"/>
              <w:left w:val="single" w:color="auto" w:sz="8" w:space="0"/>
              <w:bottom w:val="single" w:color="000000" w:sz="8" w:space="0"/>
              <w:right w:val="single" w:color="auto" w:sz="8" w:space="0"/>
            </w:tcBorders>
            <w:shd w:val="clear" w:color="auto" w:fill="auto"/>
            <w:vAlign w:val="center"/>
          </w:tcPr>
          <w:p w14:paraId="4F34C887">
            <w:pPr>
              <w:widowControl/>
              <w:spacing w:line="520" w:lineRule="exact"/>
              <w:contextualSpacing/>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服务范围</w:t>
            </w:r>
          </w:p>
        </w:tc>
        <w:tc>
          <w:tcPr>
            <w:tcW w:w="734" w:type="dxa"/>
            <w:tcBorders>
              <w:top w:val="single" w:color="auto" w:sz="8" w:space="0"/>
              <w:left w:val="single" w:color="auto" w:sz="8" w:space="0"/>
              <w:bottom w:val="single" w:color="000000" w:sz="8" w:space="0"/>
              <w:right w:val="single" w:color="auto" w:sz="8" w:space="0"/>
            </w:tcBorders>
            <w:shd w:val="clear" w:color="auto" w:fill="auto"/>
            <w:vAlign w:val="center"/>
          </w:tcPr>
          <w:p w14:paraId="3D8AB2DA">
            <w:pPr>
              <w:widowControl/>
              <w:spacing w:line="520" w:lineRule="exact"/>
              <w:contextualSpacing/>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分类</w:t>
            </w:r>
          </w:p>
        </w:tc>
        <w:tc>
          <w:tcPr>
            <w:tcW w:w="1233" w:type="dxa"/>
            <w:tcBorders>
              <w:top w:val="single" w:color="auto" w:sz="8" w:space="0"/>
              <w:left w:val="single" w:color="auto" w:sz="8" w:space="0"/>
              <w:bottom w:val="single" w:color="000000" w:sz="8" w:space="0"/>
              <w:right w:val="single" w:color="auto" w:sz="8" w:space="0"/>
            </w:tcBorders>
            <w:shd w:val="clear" w:color="auto" w:fill="auto"/>
            <w:vAlign w:val="center"/>
          </w:tcPr>
          <w:p w14:paraId="149EE530">
            <w:pPr>
              <w:widowControl/>
              <w:spacing w:line="520" w:lineRule="exact"/>
              <w:contextualSpacing/>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面积（㎡）</w:t>
            </w:r>
          </w:p>
        </w:tc>
        <w:tc>
          <w:tcPr>
            <w:tcW w:w="828" w:type="dxa"/>
            <w:tcBorders>
              <w:top w:val="single" w:color="auto" w:sz="8" w:space="0"/>
              <w:left w:val="single" w:color="auto" w:sz="8" w:space="0"/>
              <w:bottom w:val="single" w:color="000000" w:sz="8" w:space="0"/>
              <w:right w:val="single" w:color="auto" w:sz="8" w:space="0"/>
            </w:tcBorders>
            <w:shd w:val="clear" w:color="auto" w:fill="auto"/>
            <w:vAlign w:val="center"/>
          </w:tcPr>
          <w:p w14:paraId="3149E511">
            <w:pPr>
              <w:widowControl/>
              <w:spacing w:line="520" w:lineRule="exact"/>
              <w:contextualSpacing/>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预算单价（元/㎡•年）</w:t>
            </w:r>
          </w:p>
        </w:tc>
        <w:tc>
          <w:tcPr>
            <w:tcW w:w="1282" w:type="dxa"/>
            <w:tcBorders>
              <w:top w:val="single" w:color="auto" w:sz="8" w:space="0"/>
              <w:left w:val="single" w:color="auto" w:sz="8" w:space="0"/>
              <w:bottom w:val="single" w:color="000000" w:sz="8" w:space="0"/>
              <w:right w:val="single" w:color="auto" w:sz="8" w:space="0"/>
            </w:tcBorders>
            <w:shd w:val="clear" w:color="auto" w:fill="auto"/>
            <w:vAlign w:val="center"/>
          </w:tcPr>
          <w:p w14:paraId="54BBBD89">
            <w:pPr>
              <w:widowControl/>
              <w:spacing w:line="520" w:lineRule="exact"/>
              <w:contextualSpacing/>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预算总价（元</w:t>
            </w:r>
            <w:r>
              <w:rPr>
                <w:rFonts w:hint="eastAsia" w:ascii="宋体" w:hAnsi="宋体" w:cs="宋体"/>
                <w:color w:val="000000" w:themeColor="text1"/>
                <w:kern w:val="0"/>
                <w:szCs w:val="21"/>
                <w:highlight w:val="none"/>
                <w:lang w:val="en-US" w:eastAsia="zh-CN"/>
              </w:rPr>
              <w:t>/年</w:t>
            </w:r>
            <w:r>
              <w:rPr>
                <w:rFonts w:hint="eastAsia" w:ascii="宋体" w:hAnsi="宋体" w:cs="宋体"/>
                <w:color w:val="000000" w:themeColor="text1"/>
                <w:kern w:val="0"/>
                <w:szCs w:val="21"/>
                <w:highlight w:val="none"/>
              </w:rPr>
              <w:t>）</w:t>
            </w:r>
          </w:p>
        </w:tc>
        <w:tc>
          <w:tcPr>
            <w:tcW w:w="1418" w:type="dxa"/>
            <w:tcBorders>
              <w:top w:val="single" w:color="auto" w:sz="8" w:space="0"/>
              <w:left w:val="single" w:color="auto" w:sz="8" w:space="0"/>
              <w:bottom w:val="single" w:color="000000" w:sz="8" w:space="0"/>
              <w:right w:val="single" w:color="auto" w:sz="4" w:space="0"/>
            </w:tcBorders>
            <w:shd w:val="clear" w:color="auto" w:fill="auto"/>
            <w:vAlign w:val="center"/>
          </w:tcPr>
          <w:p w14:paraId="53F46D78">
            <w:pPr>
              <w:widowControl/>
              <w:spacing w:line="520" w:lineRule="exact"/>
              <w:contextualSpacing/>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一年合计（元）</w:t>
            </w:r>
          </w:p>
        </w:tc>
        <w:tc>
          <w:tcPr>
            <w:tcW w:w="1336" w:type="dxa"/>
            <w:tcBorders>
              <w:top w:val="single" w:color="auto" w:sz="8" w:space="0"/>
              <w:left w:val="single" w:color="auto" w:sz="4" w:space="0"/>
              <w:bottom w:val="single" w:color="000000" w:sz="8" w:space="0"/>
              <w:right w:val="single" w:color="auto" w:sz="8" w:space="0"/>
            </w:tcBorders>
            <w:shd w:val="clear" w:color="auto" w:fill="auto"/>
            <w:vAlign w:val="center"/>
          </w:tcPr>
          <w:p w14:paraId="7AD00945">
            <w:pPr>
              <w:widowControl/>
              <w:spacing w:line="520" w:lineRule="exact"/>
              <w:contextualSpacing/>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合计</w:t>
            </w:r>
          </w:p>
          <w:p w14:paraId="55942C7F">
            <w:pPr>
              <w:widowControl/>
              <w:spacing w:line="520" w:lineRule="exact"/>
              <w:contextualSpacing/>
              <w:jc w:val="center"/>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（元）</w:t>
            </w:r>
          </w:p>
        </w:tc>
        <w:tc>
          <w:tcPr>
            <w:tcW w:w="1231" w:type="dxa"/>
            <w:tcBorders>
              <w:top w:val="single" w:color="auto" w:sz="8" w:space="0"/>
              <w:left w:val="single" w:color="auto" w:sz="4" w:space="0"/>
              <w:bottom w:val="single" w:color="000000" w:sz="8" w:space="0"/>
              <w:right w:val="single" w:color="auto" w:sz="8" w:space="0"/>
            </w:tcBorders>
            <w:shd w:val="clear" w:color="auto" w:fill="auto"/>
            <w:vAlign w:val="center"/>
          </w:tcPr>
          <w:p w14:paraId="707E70C0">
            <w:pPr>
              <w:widowControl/>
              <w:spacing w:line="520" w:lineRule="exact"/>
              <w:contextualSpacing/>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备注</w:t>
            </w:r>
          </w:p>
        </w:tc>
      </w:tr>
      <w:tr w14:paraId="0CEEE694">
        <w:tblPrEx>
          <w:tblCellMar>
            <w:top w:w="0" w:type="dxa"/>
            <w:left w:w="108" w:type="dxa"/>
            <w:bottom w:w="0" w:type="dxa"/>
            <w:right w:w="108" w:type="dxa"/>
          </w:tblCellMar>
        </w:tblPrEx>
        <w:trPr>
          <w:trHeight w:val="1204" w:hRule="atLeast"/>
          <w:tblHeader/>
          <w:jc w:val="center"/>
        </w:trPr>
        <w:tc>
          <w:tcPr>
            <w:tcW w:w="680" w:type="dxa"/>
            <w:vMerge w:val="restart"/>
            <w:tcBorders>
              <w:top w:val="single" w:color="auto" w:sz="4" w:space="0"/>
              <w:left w:val="single" w:color="auto" w:sz="8" w:space="0"/>
              <w:right w:val="single" w:color="auto" w:sz="8" w:space="0"/>
            </w:tcBorders>
            <w:shd w:val="clear" w:color="auto" w:fill="auto"/>
            <w:vAlign w:val="center"/>
          </w:tcPr>
          <w:p w14:paraId="20C11A16">
            <w:pPr>
              <w:widowControl/>
              <w:spacing w:line="520" w:lineRule="exact"/>
              <w:contextualSpacing/>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val="en-US" w:eastAsia="zh-CN"/>
              </w:rPr>
              <w:t>一</w:t>
            </w:r>
          </w:p>
        </w:tc>
        <w:tc>
          <w:tcPr>
            <w:tcW w:w="2677" w:type="dxa"/>
            <w:vMerge w:val="restart"/>
            <w:tcBorders>
              <w:top w:val="single" w:color="auto" w:sz="4" w:space="0"/>
              <w:left w:val="single" w:color="auto" w:sz="8" w:space="0"/>
              <w:right w:val="single" w:color="auto" w:sz="8" w:space="0"/>
            </w:tcBorders>
            <w:shd w:val="clear" w:color="auto" w:fill="auto"/>
            <w:vAlign w:val="center"/>
          </w:tcPr>
          <w:p w14:paraId="62C4421B">
            <w:pPr>
              <w:rPr>
                <w:rFonts w:hint="eastAsia" w:asciiTheme="minorEastAsia" w:hAnsiTheme="minorEastAsia" w:eastAsiaTheme="minorEastAsia" w:cstheme="minorEastAsia"/>
                <w:color w:val="000000" w:themeColor="text1"/>
                <w:kern w:val="0"/>
                <w:szCs w:val="21"/>
                <w:highlight w:val="none"/>
                <w:lang w:eastAsia="zh-CN"/>
              </w:rPr>
            </w:pPr>
            <w:r>
              <w:rPr>
                <w:rFonts w:hint="eastAsia" w:asciiTheme="minorEastAsia" w:hAnsiTheme="minorEastAsia" w:eastAsiaTheme="minorEastAsia" w:cstheme="minorEastAsia"/>
                <w:color w:val="000000" w:themeColor="text1"/>
                <w:kern w:val="0"/>
                <w:szCs w:val="21"/>
                <w:highlight w:val="none"/>
                <w:lang w:eastAsia="zh-CN"/>
              </w:rPr>
              <w:t>X421桥电线K0+000～K11+970、S311象西线K33+300～K46+400、沈海高速(K1551+400塔珠岭隧道-K1564+450檀树头)</w:t>
            </w:r>
          </w:p>
        </w:tc>
        <w:tc>
          <w:tcPr>
            <w:tcW w:w="734" w:type="dxa"/>
            <w:tcBorders>
              <w:top w:val="single" w:color="auto" w:sz="4" w:space="0"/>
              <w:left w:val="nil"/>
              <w:bottom w:val="single" w:color="auto" w:sz="4" w:space="0"/>
              <w:right w:val="single" w:color="auto" w:sz="8" w:space="0"/>
            </w:tcBorders>
            <w:shd w:val="clear" w:color="auto" w:fill="auto"/>
            <w:vAlign w:val="center"/>
          </w:tcPr>
          <w:p w14:paraId="6AD689EA">
            <w:pPr>
              <w:widowControl/>
              <w:spacing w:line="520" w:lineRule="exact"/>
              <w:contextualSpacing/>
              <w:jc w:val="center"/>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绿地</w:t>
            </w:r>
          </w:p>
        </w:tc>
        <w:tc>
          <w:tcPr>
            <w:tcW w:w="1233" w:type="dxa"/>
            <w:tcBorders>
              <w:top w:val="single" w:color="auto" w:sz="4" w:space="0"/>
              <w:left w:val="nil"/>
              <w:bottom w:val="single" w:color="auto" w:sz="4" w:space="0"/>
              <w:right w:val="single" w:color="auto" w:sz="8" w:space="0"/>
            </w:tcBorders>
            <w:shd w:val="clear" w:color="auto" w:fill="auto"/>
            <w:vAlign w:val="center"/>
          </w:tcPr>
          <w:p w14:paraId="1AC0AE68">
            <w:pPr>
              <w:widowControl/>
              <w:spacing w:line="520" w:lineRule="exact"/>
              <w:contextualSpacing/>
              <w:jc w:val="center"/>
              <w:rPr>
                <w:rFonts w:hint="default"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369615.2</w:t>
            </w:r>
          </w:p>
        </w:tc>
        <w:tc>
          <w:tcPr>
            <w:tcW w:w="828" w:type="dxa"/>
            <w:tcBorders>
              <w:top w:val="single" w:color="auto" w:sz="4" w:space="0"/>
              <w:left w:val="nil"/>
              <w:bottom w:val="single" w:color="auto" w:sz="4" w:space="0"/>
              <w:right w:val="single" w:color="auto" w:sz="8" w:space="0"/>
            </w:tcBorders>
            <w:shd w:val="clear" w:color="auto" w:fill="auto"/>
            <w:vAlign w:val="center"/>
          </w:tcPr>
          <w:p w14:paraId="790CC15A">
            <w:pPr>
              <w:widowControl/>
              <w:spacing w:line="520" w:lineRule="exact"/>
              <w:contextualSpacing/>
              <w:jc w:val="center"/>
              <w:rPr>
                <w:rFonts w:hint="default"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3.24</w:t>
            </w:r>
          </w:p>
        </w:tc>
        <w:tc>
          <w:tcPr>
            <w:tcW w:w="1282" w:type="dxa"/>
            <w:tcBorders>
              <w:top w:val="single" w:color="auto" w:sz="4" w:space="0"/>
              <w:left w:val="nil"/>
              <w:bottom w:val="single" w:color="auto" w:sz="4" w:space="0"/>
              <w:right w:val="single" w:color="auto" w:sz="8" w:space="0"/>
            </w:tcBorders>
            <w:shd w:val="clear" w:color="auto" w:fill="auto"/>
            <w:vAlign w:val="center"/>
          </w:tcPr>
          <w:p w14:paraId="4FBF602B">
            <w:pPr>
              <w:keepNext w:val="0"/>
              <w:keepLines w:val="0"/>
              <w:widowControl/>
              <w:suppressLineNumbers w:val="0"/>
              <w:jc w:val="center"/>
              <w:textAlignment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1197553.25</w:t>
            </w:r>
          </w:p>
        </w:tc>
        <w:tc>
          <w:tcPr>
            <w:tcW w:w="1418" w:type="dxa"/>
            <w:vMerge w:val="restart"/>
            <w:tcBorders>
              <w:top w:val="single" w:color="auto" w:sz="4" w:space="0"/>
              <w:left w:val="single" w:color="auto" w:sz="8" w:space="0"/>
              <w:right w:val="single" w:color="auto" w:sz="4" w:space="0"/>
            </w:tcBorders>
            <w:shd w:val="clear" w:color="auto" w:fill="auto"/>
            <w:vAlign w:val="center"/>
          </w:tcPr>
          <w:p w14:paraId="0529AA07">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1538842.7</w:t>
            </w:r>
          </w:p>
        </w:tc>
        <w:tc>
          <w:tcPr>
            <w:tcW w:w="1336" w:type="dxa"/>
            <w:vMerge w:val="restart"/>
            <w:tcBorders>
              <w:top w:val="single" w:color="auto" w:sz="4" w:space="0"/>
              <w:left w:val="single" w:color="auto" w:sz="4" w:space="0"/>
              <w:right w:val="single" w:color="auto" w:sz="8" w:space="0"/>
            </w:tcBorders>
            <w:shd w:val="clear" w:color="auto" w:fill="auto"/>
            <w:vAlign w:val="center"/>
          </w:tcPr>
          <w:p w14:paraId="31078D65">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3847106.75</w:t>
            </w:r>
          </w:p>
        </w:tc>
        <w:tc>
          <w:tcPr>
            <w:tcW w:w="1231" w:type="dxa"/>
            <w:vMerge w:val="restart"/>
            <w:tcBorders>
              <w:left w:val="single" w:color="auto" w:sz="4" w:space="0"/>
              <w:right w:val="single" w:color="auto" w:sz="8" w:space="0"/>
            </w:tcBorders>
            <w:shd w:val="clear" w:color="auto" w:fill="auto"/>
            <w:vAlign w:val="center"/>
          </w:tcPr>
          <w:p w14:paraId="7F912CF9">
            <w:pPr>
              <w:pStyle w:val="36"/>
              <w:numPr>
                <w:ilvl w:val="0"/>
                <w:numId w:val="3"/>
              </w:numPr>
              <w:spacing w:line="520" w:lineRule="exact"/>
              <w:contextualSpacing/>
              <w:rPr>
                <w:rFonts w:hint="eastAsia" w:ascii="Times New Roman" w:hAnsi="Times New Roman" w:eastAsia="宋体" w:cs="Times New Roman"/>
                <w:color w:val="000000" w:themeColor="text1"/>
                <w:sz w:val="21"/>
                <w:szCs w:val="24"/>
                <w:highlight w:val="none"/>
                <w:lang w:eastAsia="zh-CN"/>
              </w:rPr>
            </w:pPr>
            <w:r>
              <w:rPr>
                <w:rFonts w:hint="eastAsia" w:ascii="Times New Roman" w:hAnsi="Times New Roman" w:eastAsia="宋体" w:cs="Times New Roman"/>
                <w:color w:val="000000" w:themeColor="text1"/>
                <w:sz w:val="21"/>
                <w:szCs w:val="24"/>
                <w:highlight w:val="none"/>
                <w:lang w:eastAsia="zh-CN"/>
              </w:rPr>
              <w:t>城逐线K0+700-K2+600(飞凤山隧道</w:t>
            </w:r>
            <w:r>
              <w:rPr>
                <w:rFonts w:hint="eastAsia" w:ascii="Times New Roman" w:hAnsi="Times New Roman" w:eastAsia="宋体" w:cs="Times New Roman"/>
                <w:color w:val="000000" w:themeColor="text1"/>
                <w:sz w:val="21"/>
                <w:szCs w:val="24"/>
                <w:highlight w:val="none"/>
                <w:lang w:val="en-US" w:eastAsia="zh-CN"/>
              </w:rPr>
              <w:t>西</w:t>
            </w:r>
            <w:r>
              <w:rPr>
                <w:rFonts w:hint="eastAsia" w:ascii="Times New Roman" w:hAnsi="Times New Roman" w:eastAsia="宋体" w:cs="Times New Roman"/>
                <w:color w:val="000000" w:themeColor="text1"/>
                <w:sz w:val="21"/>
                <w:szCs w:val="24"/>
                <w:highlight w:val="none"/>
                <w:lang w:eastAsia="zh-CN"/>
              </w:rPr>
              <w:t>-S204路口)养护时间以实际移交时间为准。</w:t>
            </w:r>
          </w:p>
          <w:p w14:paraId="40DEB9EC">
            <w:pPr>
              <w:pStyle w:val="36"/>
              <w:numPr>
                <w:ilvl w:val="0"/>
                <w:numId w:val="3"/>
              </w:numPr>
              <w:spacing w:line="520" w:lineRule="exact"/>
              <w:contextualSpacing/>
              <w:rPr>
                <w:rFonts w:hint="eastAsia" w:ascii="Times New Roman" w:hAnsi="Times New Roman" w:eastAsia="宋体" w:cs="Times New Roman"/>
                <w:color w:val="000000" w:themeColor="text1"/>
                <w:sz w:val="21"/>
                <w:szCs w:val="24"/>
                <w:highlight w:val="none"/>
                <w:lang w:eastAsia="zh-CN"/>
              </w:rPr>
            </w:pPr>
            <w:r>
              <w:rPr>
                <w:rFonts w:hint="eastAsia" w:ascii="Times New Roman" w:hAnsi="Times New Roman" w:eastAsia="宋体" w:cs="Times New Roman"/>
                <w:color w:val="000000" w:themeColor="text1"/>
                <w:sz w:val="21"/>
                <w:szCs w:val="24"/>
                <w:highlight w:val="none"/>
                <w:lang w:eastAsia="zh-CN"/>
              </w:rPr>
              <w:t>面积为暂定面积，结算时按单价结算。</w:t>
            </w:r>
          </w:p>
          <w:p w14:paraId="589FDC49">
            <w:pPr>
              <w:widowControl/>
              <w:spacing w:line="520" w:lineRule="exact"/>
              <w:contextualSpacing/>
              <w:jc w:val="center"/>
              <w:rPr>
                <w:rFonts w:hint="eastAsia" w:ascii="宋体" w:hAnsi="宋体" w:cs="宋体"/>
                <w:color w:val="000000" w:themeColor="text1"/>
                <w:kern w:val="0"/>
                <w:szCs w:val="21"/>
                <w:highlight w:val="none"/>
                <w:lang w:val="en-US" w:eastAsia="zh-CN"/>
              </w:rPr>
            </w:pPr>
          </w:p>
        </w:tc>
      </w:tr>
      <w:tr w14:paraId="59DED87D">
        <w:tblPrEx>
          <w:tblCellMar>
            <w:top w:w="0" w:type="dxa"/>
            <w:left w:w="108" w:type="dxa"/>
            <w:bottom w:w="0" w:type="dxa"/>
            <w:right w:w="108" w:type="dxa"/>
          </w:tblCellMar>
        </w:tblPrEx>
        <w:trPr>
          <w:trHeight w:val="1133" w:hRule="atLeast"/>
          <w:tblHeader/>
          <w:jc w:val="center"/>
        </w:trPr>
        <w:tc>
          <w:tcPr>
            <w:tcW w:w="680" w:type="dxa"/>
            <w:vMerge w:val="continue"/>
            <w:tcBorders>
              <w:left w:val="single" w:color="auto" w:sz="8" w:space="0"/>
              <w:right w:val="single" w:color="auto" w:sz="8" w:space="0"/>
            </w:tcBorders>
            <w:shd w:val="clear" w:color="auto" w:fill="auto"/>
            <w:vAlign w:val="center"/>
          </w:tcPr>
          <w:p w14:paraId="4EA10FFA">
            <w:pPr>
              <w:widowControl/>
              <w:spacing w:line="520" w:lineRule="exact"/>
              <w:contextualSpacing/>
              <w:jc w:val="center"/>
              <w:rPr>
                <w:rFonts w:hint="eastAsia" w:ascii="宋体" w:hAnsi="宋体" w:cs="宋体"/>
                <w:color w:val="000000" w:themeColor="text1"/>
                <w:kern w:val="0"/>
                <w:szCs w:val="21"/>
                <w:highlight w:val="none"/>
                <w:lang w:eastAsia="zh-CN"/>
              </w:rPr>
            </w:pPr>
          </w:p>
        </w:tc>
        <w:tc>
          <w:tcPr>
            <w:tcW w:w="2677" w:type="dxa"/>
            <w:vMerge w:val="continue"/>
            <w:tcBorders>
              <w:left w:val="single" w:color="auto" w:sz="8" w:space="0"/>
              <w:right w:val="single" w:color="auto" w:sz="8" w:space="0"/>
            </w:tcBorders>
            <w:shd w:val="clear" w:color="auto" w:fill="auto"/>
            <w:vAlign w:val="center"/>
          </w:tcPr>
          <w:p w14:paraId="351E5508">
            <w:pPr>
              <w:rPr>
                <w:rFonts w:hint="eastAsia" w:asciiTheme="minorEastAsia" w:hAnsiTheme="minorEastAsia" w:eastAsiaTheme="minorEastAsia" w:cstheme="minorEastAsia"/>
                <w:color w:val="000000" w:themeColor="text1"/>
                <w:kern w:val="0"/>
                <w:szCs w:val="21"/>
                <w:highlight w:val="none"/>
                <w:lang w:eastAsia="zh-CN"/>
              </w:rPr>
            </w:pPr>
          </w:p>
        </w:tc>
        <w:tc>
          <w:tcPr>
            <w:tcW w:w="734" w:type="dxa"/>
            <w:tcBorders>
              <w:top w:val="single" w:color="auto" w:sz="4" w:space="0"/>
              <w:left w:val="nil"/>
              <w:bottom w:val="single" w:color="auto" w:sz="4" w:space="0"/>
              <w:right w:val="single" w:color="auto" w:sz="8" w:space="0"/>
            </w:tcBorders>
            <w:shd w:val="clear" w:color="auto" w:fill="auto"/>
            <w:vAlign w:val="center"/>
          </w:tcPr>
          <w:p w14:paraId="1A577D62">
            <w:pPr>
              <w:widowControl/>
              <w:spacing w:line="520" w:lineRule="exact"/>
              <w:contextualSpacing/>
              <w:jc w:val="center"/>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lang w:eastAsia="zh-CN"/>
              </w:rPr>
              <w:t>林带</w:t>
            </w:r>
          </w:p>
        </w:tc>
        <w:tc>
          <w:tcPr>
            <w:tcW w:w="1233" w:type="dxa"/>
            <w:tcBorders>
              <w:top w:val="single" w:color="auto" w:sz="4" w:space="0"/>
              <w:left w:val="nil"/>
              <w:bottom w:val="single" w:color="auto" w:sz="4" w:space="0"/>
              <w:right w:val="single" w:color="auto" w:sz="8" w:space="0"/>
            </w:tcBorders>
            <w:shd w:val="clear" w:color="auto" w:fill="auto"/>
            <w:vAlign w:val="center"/>
          </w:tcPr>
          <w:p w14:paraId="0AAA3230">
            <w:pPr>
              <w:widowControl/>
              <w:spacing w:line="520" w:lineRule="exact"/>
              <w:contextualSpacing/>
              <w:jc w:val="center"/>
              <w:rPr>
                <w:rFonts w:hint="default"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711019.7</w:t>
            </w:r>
          </w:p>
        </w:tc>
        <w:tc>
          <w:tcPr>
            <w:tcW w:w="828" w:type="dxa"/>
            <w:tcBorders>
              <w:top w:val="single" w:color="auto" w:sz="4" w:space="0"/>
              <w:left w:val="nil"/>
              <w:bottom w:val="single" w:color="auto" w:sz="4" w:space="0"/>
              <w:right w:val="single" w:color="auto" w:sz="8" w:space="0"/>
            </w:tcBorders>
            <w:shd w:val="clear" w:color="auto" w:fill="auto"/>
            <w:vAlign w:val="center"/>
          </w:tcPr>
          <w:p w14:paraId="34B5266A">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0.48</w:t>
            </w:r>
          </w:p>
        </w:tc>
        <w:tc>
          <w:tcPr>
            <w:tcW w:w="1282" w:type="dxa"/>
            <w:tcBorders>
              <w:top w:val="single" w:color="auto" w:sz="4" w:space="0"/>
              <w:left w:val="nil"/>
              <w:bottom w:val="single" w:color="auto" w:sz="4" w:space="0"/>
              <w:right w:val="single" w:color="auto" w:sz="8" w:space="0"/>
            </w:tcBorders>
            <w:shd w:val="clear" w:color="auto" w:fill="auto"/>
            <w:vAlign w:val="center"/>
          </w:tcPr>
          <w:p w14:paraId="7DD9F0D1">
            <w:pPr>
              <w:widowControl/>
              <w:spacing w:line="520" w:lineRule="exact"/>
              <w:contextualSpacing/>
              <w:jc w:val="center"/>
              <w:rPr>
                <w:rFonts w:hint="default"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341289.45</w:t>
            </w:r>
          </w:p>
        </w:tc>
        <w:tc>
          <w:tcPr>
            <w:tcW w:w="1418" w:type="dxa"/>
            <w:vMerge w:val="continue"/>
            <w:tcBorders>
              <w:left w:val="single" w:color="auto" w:sz="8" w:space="0"/>
              <w:right w:val="single" w:color="auto" w:sz="4" w:space="0"/>
            </w:tcBorders>
            <w:shd w:val="clear" w:color="auto" w:fill="auto"/>
            <w:vAlign w:val="center"/>
          </w:tcPr>
          <w:p w14:paraId="19C21DE6">
            <w:pPr>
              <w:widowControl/>
              <w:spacing w:line="520" w:lineRule="exact"/>
              <w:contextualSpacing/>
              <w:jc w:val="center"/>
              <w:rPr>
                <w:rFonts w:hint="default" w:ascii="宋体" w:hAnsi="宋体" w:cs="宋体"/>
                <w:color w:val="000000" w:themeColor="text1"/>
                <w:kern w:val="0"/>
                <w:szCs w:val="21"/>
                <w:highlight w:val="none"/>
                <w:lang w:val="en-US" w:eastAsia="zh-CN"/>
              </w:rPr>
            </w:pPr>
          </w:p>
        </w:tc>
        <w:tc>
          <w:tcPr>
            <w:tcW w:w="1336" w:type="dxa"/>
            <w:vMerge w:val="continue"/>
            <w:tcBorders>
              <w:left w:val="single" w:color="auto" w:sz="4" w:space="0"/>
              <w:right w:val="single" w:color="auto" w:sz="8" w:space="0"/>
            </w:tcBorders>
            <w:shd w:val="clear" w:color="auto" w:fill="auto"/>
            <w:vAlign w:val="center"/>
          </w:tcPr>
          <w:p w14:paraId="7EF5C2DC">
            <w:pPr>
              <w:widowControl/>
              <w:spacing w:line="520" w:lineRule="exact"/>
              <w:contextualSpacing/>
              <w:jc w:val="center"/>
              <w:rPr>
                <w:rFonts w:hint="eastAsia" w:ascii="宋体" w:hAnsi="宋体" w:cs="宋体"/>
                <w:color w:val="000000" w:themeColor="text1"/>
                <w:kern w:val="0"/>
                <w:szCs w:val="21"/>
                <w:highlight w:val="none"/>
                <w:lang w:val="en-US" w:eastAsia="zh-CN"/>
              </w:rPr>
            </w:pPr>
          </w:p>
        </w:tc>
        <w:tc>
          <w:tcPr>
            <w:tcW w:w="1231" w:type="dxa"/>
            <w:vMerge w:val="continue"/>
            <w:tcBorders>
              <w:left w:val="single" w:color="auto" w:sz="4" w:space="0"/>
              <w:right w:val="single" w:color="auto" w:sz="8" w:space="0"/>
            </w:tcBorders>
            <w:shd w:val="clear" w:color="auto" w:fill="auto"/>
            <w:vAlign w:val="center"/>
          </w:tcPr>
          <w:p w14:paraId="3DC15298">
            <w:pPr>
              <w:widowControl/>
              <w:spacing w:line="520" w:lineRule="exact"/>
              <w:contextualSpacing/>
              <w:jc w:val="center"/>
              <w:rPr>
                <w:rFonts w:hint="eastAsia" w:ascii="宋体" w:hAnsi="宋体" w:cs="宋体"/>
                <w:color w:val="000000" w:themeColor="text1"/>
                <w:kern w:val="0"/>
                <w:szCs w:val="21"/>
                <w:highlight w:val="none"/>
                <w:lang w:val="en-US" w:eastAsia="zh-CN"/>
              </w:rPr>
            </w:pPr>
          </w:p>
        </w:tc>
      </w:tr>
      <w:tr w14:paraId="072F3F76">
        <w:tblPrEx>
          <w:tblCellMar>
            <w:top w:w="0" w:type="dxa"/>
            <w:left w:w="108" w:type="dxa"/>
            <w:bottom w:w="0" w:type="dxa"/>
            <w:right w:w="108" w:type="dxa"/>
          </w:tblCellMar>
        </w:tblPrEx>
        <w:trPr>
          <w:trHeight w:val="1275" w:hRule="atLeast"/>
          <w:tblHeader/>
          <w:jc w:val="center"/>
        </w:trPr>
        <w:tc>
          <w:tcPr>
            <w:tcW w:w="680" w:type="dxa"/>
            <w:vMerge w:val="restart"/>
            <w:tcBorders>
              <w:top w:val="single" w:color="auto" w:sz="4" w:space="0"/>
              <w:left w:val="single" w:color="auto" w:sz="8" w:space="0"/>
              <w:right w:val="single" w:color="auto" w:sz="8" w:space="0"/>
            </w:tcBorders>
            <w:shd w:val="clear" w:color="auto" w:fill="auto"/>
            <w:vAlign w:val="center"/>
          </w:tcPr>
          <w:p w14:paraId="21518993">
            <w:pPr>
              <w:widowControl/>
              <w:spacing w:line="520" w:lineRule="exact"/>
              <w:contextualSpacing/>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val="en-US" w:eastAsia="zh-CN"/>
              </w:rPr>
              <w:t>二</w:t>
            </w:r>
          </w:p>
        </w:tc>
        <w:tc>
          <w:tcPr>
            <w:tcW w:w="2677" w:type="dxa"/>
            <w:vMerge w:val="restart"/>
            <w:tcBorders>
              <w:top w:val="single" w:color="auto" w:sz="4" w:space="0"/>
              <w:left w:val="single" w:color="auto" w:sz="8" w:space="0"/>
              <w:right w:val="single" w:color="auto" w:sz="8" w:space="0"/>
            </w:tcBorders>
            <w:shd w:val="clear" w:color="auto" w:fill="auto"/>
            <w:vAlign w:val="center"/>
          </w:tcPr>
          <w:p w14:paraId="16C4804E">
            <w:pPr>
              <w:rPr>
                <w:rFonts w:hint="eastAsia" w:asciiTheme="minorEastAsia" w:hAnsiTheme="minorEastAsia" w:eastAsiaTheme="minorEastAsia" w:cstheme="minorEastAsia"/>
                <w:color w:val="000000" w:themeColor="text1"/>
                <w:kern w:val="0"/>
                <w:szCs w:val="21"/>
                <w:highlight w:val="none"/>
                <w:lang w:eastAsia="zh-CN"/>
              </w:rPr>
            </w:pPr>
            <w:r>
              <w:rPr>
                <w:rFonts w:hint="eastAsia" w:asciiTheme="minorEastAsia" w:hAnsiTheme="minorEastAsia" w:eastAsiaTheme="minorEastAsia" w:cstheme="minorEastAsia"/>
                <w:color w:val="000000" w:themeColor="text1"/>
                <w:kern w:val="0"/>
                <w:szCs w:val="21"/>
                <w:highlight w:val="none"/>
              </w:rPr>
              <w:t>G228</w:t>
            </w:r>
            <w:r>
              <w:rPr>
                <w:rFonts w:hint="eastAsia" w:asciiTheme="minorEastAsia" w:hAnsiTheme="minorEastAsia" w:eastAsiaTheme="minorEastAsia" w:cstheme="minorEastAsia"/>
                <w:color w:val="000000" w:themeColor="text1"/>
                <w:kern w:val="0"/>
                <w:szCs w:val="21"/>
                <w:highlight w:val="none"/>
                <w:lang w:val="en-US" w:eastAsia="zh-CN"/>
              </w:rPr>
              <w:t xml:space="preserve"> </w:t>
            </w:r>
            <w:r>
              <w:rPr>
                <w:rFonts w:hint="eastAsia" w:asciiTheme="minorEastAsia" w:hAnsiTheme="minorEastAsia" w:eastAsiaTheme="minorEastAsia" w:cstheme="minorEastAsia"/>
                <w:color w:val="000000" w:themeColor="text1"/>
                <w:kern w:val="0"/>
                <w:szCs w:val="21"/>
                <w:highlight w:val="none"/>
              </w:rPr>
              <w:t>K3809+400～K3817+913</w:t>
            </w:r>
            <w:r>
              <w:rPr>
                <w:rFonts w:hint="eastAsia" w:asciiTheme="minorEastAsia" w:hAnsiTheme="minorEastAsia" w:eastAsiaTheme="minorEastAsia" w:cstheme="minorEastAsia"/>
                <w:color w:val="000000" w:themeColor="text1"/>
                <w:kern w:val="0"/>
                <w:szCs w:val="21"/>
                <w:highlight w:val="none"/>
                <w:lang w:eastAsia="zh-CN"/>
              </w:rPr>
              <w:t>、陈蟠线K12+512～K21+192、枫槎岭三期K3806+800～K3809+400（含城逐线飞凤山隧道东）、削壁岭隧道口两端、S215老盛宁线K126+000～K138+900、越沙线K0+000～K0+630、城逐线K0+700-K2+600(飞凤山隧道</w:t>
            </w:r>
            <w:r>
              <w:rPr>
                <w:rFonts w:hint="eastAsia" w:asciiTheme="minorEastAsia" w:hAnsiTheme="minorEastAsia" w:eastAsiaTheme="minorEastAsia" w:cstheme="minorEastAsia"/>
                <w:color w:val="000000" w:themeColor="text1"/>
                <w:kern w:val="0"/>
                <w:szCs w:val="21"/>
                <w:highlight w:val="none"/>
                <w:lang w:val="en-US" w:eastAsia="zh-CN"/>
              </w:rPr>
              <w:t>西</w:t>
            </w:r>
            <w:r>
              <w:rPr>
                <w:rFonts w:hint="eastAsia" w:asciiTheme="minorEastAsia" w:hAnsiTheme="minorEastAsia" w:eastAsiaTheme="minorEastAsia" w:cstheme="minorEastAsia"/>
                <w:color w:val="000000" w:themeColor="text1"/>
                <w:kern w:val="0"/>
                <w:szCs w:val="21"/>
                <w:highlight w:val="none"/>
                <w:lang w:eastAsia="zh-CN"/>
              </w:rPr>
              <w:t>-S204路口)</w:t>
            </w:r>
          </w:p>
        </w:tc>
        <w:tc>
          <w:tcPr>
            <w:tcW w:w="734" w:type="dxa"/>
            <w:tcBorders>
              <w:top w:val="single" w:color="auto" w:sz="4" w:space="0"/>
              <w:left w:val="nil"/>
              <w:bottom w:val="single" w:color="auto" w:sz="4" w:space="0"/>
              <w:right w:val="single" w:color="auto" w:sz="8" w:space="0"/>
            </w:tcBorders>
            <w:shd w:val="clear" w:color="auto" w:fill="auto"/>
            <w:vAlign w:val="center"/>
          </w:tcPr>
          <w:p w14:paraId="73DF6377">
            <w:pPr>
              <w:widowControl/>
              <w:spacing w:line="520" w:lineRule="exact"/>
              <w:contextualSpacing/>
              <w:jc w:val="center"/>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绿地</w:t>
            </w:r>
          </w:p>
        </w:tc>
        <w:tc>
          <w:tcPr>
            <w:tcW w:w="1233" w:type="dxa"/>
            <w:tcBorders>
              <w:top w:val="single" w:color="auto" w:sz="4" w:space="0"/>
              <w:left w:val="nil"/>
              <w:bottom w:val="single" w:color="auto" w:sz="4" w:space="0"/>
              <w:right w:val="single" w:color="auto" w:sz="8" w:space="0"/>
            </w:tcBorders>
            <w:shd w:val="clear" w:color="auto" w:fill="auto"/>
            <w:vAlign w:val="center"/>
          </w:tcPr>
          <w:p w14:paraId="649815FB">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359195.2</w:t>
            </w:r>
          </w:p>
        </w:tc>
        <w:tc>
          <w:tcPr>
            <w:tcW w:w="828" w:type="dxa"/>
            <w:tcBorders>
              <w:top w:val="single" w:color="auto" w:sz="4" w:space="0"/>
              <w:left w:val="nil"/>
              <w:bottom w:val="single" w:color="auto" w:sz="4" w:space="0"/>
              <w:right w:val="single" w:color="auto" w:sz="8" w:space="0"/>
            </w:tcBorders>
            <w:shd w:val="clear" w:color="auto" w:fill="auto"/>
            <w:vAlign w:val="center"/>
          </w:tcPr>
          <w:p w14:paraId="6B8BF412">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3.24</w:t>
            </w:r>
          </w:p>
        </w:tc>
        <w:tc>
          <w:tcPr>
            <w:tcW w:w="1282" w:type="dxa"/>
            <w:tcBorders>
              <w:top w:val="single" w:color="auto" w:sz="4" w:space="0"/>
              <w:left w:val="nil"/>
              <w:bottom w:val="single" w:color="auto" w:sz="4" w:space="0"/>
              <w:right w:val="single" w:color="auto" w:sz="8" w:space="0"/>
            </w:tcBorders>
            <w:shd w:val="clear" w:color="auto" w:fill="auto"/>
            <w:vAlign w:val="center"/>
          </w:tcPr>
          <w:p w14:paraId="711785F7">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1163792.45</w:t>
            </w:r>
          </w:p>
        </w:tc>
        <w:tc>
          <w:tcPr>
            <w:tcW w:w="1418" w:type="dxa"/>
            <w:vMerge w:val="restart"/>
            <w:tcBorders>
              <w:top w:val="single" w:color="auto" w:sz="4" w:space="0"/>
              <w:left w:val="single" w:color="auto" w:sz="8" w:space="0"/>
              <w:right w:val="single" w:color="auto" w:sz="4" w:space="0"/>
            </w:tcBorders>
            <w:shd w:val="clear" w:color="auto" w:fill="auto"/>
            <w:vAlign w:val="center"/>
          </w:tcPr>
          <w:p w14:paraId="38A382E1">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1617946.50</w:t>
            </w:r>
          </w:p>
        </w:tc>
        <w:tc>
          <w:tcPr>
            <w:tcW w:w="1336" w:type="dxa"/>
            <w:vMerge w:val="restart"/>
            <w:tcBorders>
              <w:top w:val="single" w:color="auto" w:sz="4" w:space="0"/>
              <w:left w:val="single" w:color="auto" w:sz="4" w:space="0"/>
              <w:right w:val="single" w:color="auto" w:sz="8" w:space="0"/>
            </w:tcBorders>
            <w:shd w:val="clear" w:color="auto" w:fill="auto"/>
            <w:vAlign w:val="center"/>
          </w:tcPr>
          <w:p w14:paraId="2EFE53E1">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4044866.25</w:t>
            </w:r>
          </w:p>
        </w:tc>
        <w:tc>
          <w:tcPr>
            <w:tcW w:w="1231" w:type="dxa"/>
            <w:vMerge w:val="continue"/>
            <w:tcBorders>
              <w:left w:val="single" w:color="auto" w:sz="4" w:space="0"/>
              <w:right w:val="single" w:color="auto" w:sz="8" w:space="0"/>
            </w:tcBorders>
            <w:shd w:val="clear" w:color="auto" w:fill="auto"/>
            <w:vAlign w:val="center"/>
          </w:tcPr>
          <w:p w14:paraId="090F857D">
            <w:pPr>
              <w:widowControl/>
              <w:spacing w:line="520" w:lineRule="exact"/>
              <w:contextualSpacing/>
              <w:jc w:val="center"/>
              <w:rPr>
                <w:rFonts w:hint="eastAsia" w:ascii="宋体" w:hAnsi="宋体" w:cs="宋体"/>
                <w:color w:val="000000" w:themeColor="text1"/>
                <w:kern w:val="0"/>
                <w:szCs w:val="21"/>
                <w:highlight w:val="none"/>
                <w:lang w:val="en-US" w:eastAsia="zh-CN"/>
              </w:rPr>
            </w:pPr>
          </w:p>
        </w:tc>
      </w:tr>
      <w:tr w14:paraId="559DFB65">
        <w:tblPrEx>
          <w:tblCellMar>
            <w:top w:w="0" w:type="dxa"/>
            <w:left w:w="108" w:type="dxa"/>
            <w:bottom w:w="0" w:type="dxa"/>
            <w:right w:w="108" w:type="dxa"/>
          </w:tblCellMar>
        </w:tblPrEx>
        <w:trPr>
          <w:trHeight w:val="1141" w:hRule="atLeast"/>
          <w:tblHeader/>
          <w:jc w:val="center"/>
        </w:trPr>
        <w:tc>
          <w:tcPr>
            <w:tcW w:w="680" w:type="dxa"/>
            <w:vMerge w:val="continue"/>
            <w:tcBorders>
              <w:left w:val="single" w:color="auto" w:sz="8" w:space="0"/>
              <w:bottom w:val="single" w:color="auto" w:sz="4" w:space="0"/>
              <w:right w:val="single" w:color="auto" w:sz="8" w:space="0"/>
            </w:tcBorders>
            <w:shd w:val="clear" w:color="auto" w:fill="auto"/>
            <w:vAlign w:val="center"/>
          </w:tcPr>
          <w:p w14:paraId="4E206BC9">
            <w:pPr>
              <w:widowControl/>
              <w:spacing w:line="520" w:lineRule="exact"/>
              <w:contextualSpacing/>
              <w:jc w:val="center"/>
              <w:rPr>
                <w:rFonts w:hint="eastAsia" w:ascii="宋体" w:hAnsi="宋体" w:cs="宋体"/>
                <w:color w:val="000000" w:themeColor="text1"/>
                <w:kern w:val="0"/>
                <w:szCs w:val="21"/>
                <w:highlight w:val="none"/>
                <w:lang w:eastAsia="zh-CN"/>
              </w:rPr>
            </w:pPr>
          </w:p>
        </w:tc>
        <w:tc>
          <w:tcPr>
            <w:tcW w:w="2677" w:type="dxa"/>
            <w:vMerge w:val="continue"/>
            <w:tcBorders>
              <w:left w:val="single" w:color="auto" w:sz="8" w:space="0"/>
              <w:bottom w:val="single" w:color="auto" w:sz="4" w:space="0"/>
              <w:right w:val="single" w:color="auto" w:sz="8" w:space="0"/>
            </w:tcBorders>
            <w:shd w:val="clear" w:color="auto" w:fill="auto"/>
            <w:vAlign w:val="center"/>
          </w:tcPr>
          <w:p w14:paraId="06D683DB">
            <w:pPr>
              <w:rPr>
                <w:rFonts w:hint="eastAsia" w:asciiTheme="minorEastAsia" w:hAnsiTheme="minorEastAsia" w:eastAsiaTheme="minorEastAsia" w:cstheme="minorEastAsia"/>
                <w:color w:val="000000" w:themeColor="text1"/>
                <w:kern w:val="0"/>
                <w:szCs w:val="21"/>
                <w:highlight w:val="none"/>
              </w:rPr>
            </w:pPr>
          </w:p>
        </w:tc>
        <w:tc>
          <w:tcPr>
            <w:tcW w:w="734" w:type="dxa"/>
            <w:tcBorders>
              <w:top w:val="single" w:color="auto" w:sz="4" w:space="0"/>
              <w:left w:val="nil"/>
              <w:bottom w:val="single" w:color="auto" w:sz="4" w:space="0"/>
              <w:right w:val="single" w:color="auto" w:sz="8" w:space="0"/>
            </w:tcBorders>
            <w:shd w:val="clear" w:color="auto" w:fill="auto"/>
            <w:vAlign w:val="center"/>
          </w:tcPr>
          <w:p w14:paraId="5A155A03">
            <w:pPr>
              <w:widowControl/>
              <w:spacing w:line="520" w:lineRule="exact"/>
              <w:contextualSpacing/>
              <w:jc w:val="center"/>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lang w:eastAsia="zh-CN"/>
              </w:rPr>
              <w:t>林带</w:t>
            </w:r>
          </w:p>
        </w:tc>
        <w:tc>
          <w:tcPr>
            <w:tcW w:w="1233" w:type="dxa"/>
            <w:tcBorders>
              <w:top w:val="single" w:color="auto" w:sz="4" w:space="0"/>
              <w:left w:val="nil"/>
              <w:bottom w:val="single" w:color="auto" w:sz="4" w:space="0"/>
              <w:right w:val="single" w:color="auto" w:sz="8" w:space="0"/>
            </w:tcBorders>
            <w:shd w:val="clear" w:color="auto" w:fill="auto"/>
            <w:vAlign w:val="center"/>
          </w:tcPr>
          <w:p w14:paraId="1DB6268D">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57181.7</w:t>
            </w:r>
          </w:p>
        </w:tc>
        <w:tc>
          <w:tcPr>
            <w:tcW w:w="828" w:type="dxa"/>
            <w:tcBorders>
              <w:top w:val="single" w:color="auto" w:sz="4" w:space="0"/>
              <w:left w:val="nil"/>
              <w:bottom w:val="single" w:color="auto" w:sz="4" w:space="0"/>
              <w:right w:val="single" w:color="auto" w:sz="8" w:space="0"/>
            </w:tcBorders>
            <w:shd w:val="clear" w:color="auto" w:fill="auto"/>
            <w:vAlign w:val="center"/>
          </w:tcPr>
          <w:p w14:paraId="2CEE5BF9">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0.48</w:t>
            </w:r>
          </w:p>
        </w:tc>
        <w:tc>
          <w:tcPr>
            <w:tcW w:w="1282" w:type="dxa"/>
            <w:tcBorders>
              <w:top w:val="single" w:color="auto" w:sz="4" w:space="0"/>
              <w:left w:val="nil"/>
              <w:bottom w:val="single" w:color="auto" w:sz="4" w:space="0"/>
              <w:right w:val="single" w:color="auto" w:sz="8" w:space="0"/>
            </w:tcBorders>
            <w:shd w:val="clear" w:color="auto" w:fill="auto"/>
            <w:vAlign w:val="center"/>
          </w:tcPr>
          <w:p w14:paraId="3A822D4D">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27447.22</w:t>
            </w:r>
          </w:p>
        </w:tc>
        <w:tc>
          <w:tcPr>
            <w:tcW w:w="1418" w:type="dxa"/>
            <w:vMerge w:val="continue"/>
            <w:tcBorders>
              <w:left w:val="single" w:color="auto" w:sz="8" w:space="0"/>
              <w:right w:val="single" w:color="auto" w:sz="4" w:space="0"/>
            </w:tcBorders>
            <w:shd w:val="clear" w:color="auto" w:fill="auto"/>
            <w:vAlign w:val="center"/>
          </w:tcPr>
          <w:p w14:paraId="6A923CC6">
            <w:pPr>
              <w:widowControl/>
              <w:spacing w:line="520" w:lineRule="exact"/>
              <w:contextualSpacing/>
              <w:jc w:val="center"/>
              <w:rPr>
                <w:rFonts w:hint="eastAsia" w:ascii="宋体" w:hAnsi="宋体" w:cs="宋体"/>
                <w:color w:val="000000" w:themeColor="text1"/>
                <w:kern w:val="0"/>
                <w:szCs w:val="21"/>
                <w:highlight w:val="none"/>
                <w:lang w:val="en-US" w:eastAsia="zh-CN"/>
              </w:rPr>
            </w:pPr>
          </w:p>
        </w:tc>
        <w:tc>
          <w:tcPr>
            <w:tcW w:w="1336" w:type="dxa"/>
            <w:vMerge w:val="continue"/>
            <w:tcBorders>
              <w:left w:val="single" w:color="auto" w:sz="4" w:space="0"/>
              <w:right w:val="single" w:color="auto" w:sz="8" w:space="0"/>
            </w:tcBorders>
            <w:shd w:val="clear" w:color="auto" w:fill="auto"/>
            <w:vAlign w:val="center"/>
          </w:tcPr>
          <w:p w14:paraId="1757BC8A">
            <w:pPr>
              <w:widowControl/>
              <w:spacing w:line="520" w:lineRule="exact"/>
              <w:contextualSpacing/>
              <w:jc w:val="center"/>
              <w:rPr>
                <w:rFonts w:hint="eastAsia" w:ascii="宋体" w:hAnsi="宋体" w:cs="宋体"/>
                <w:color w:val="000000" w:themeColor="text1"/>
                <w:kern w:val="0"/>
                <w:szCs w:val="21"/>
                <w:highlight w:val="none"/>
                <w:lang w:val="en-US" w:eastAsia="zh-CN"/>
              </w:rPr>
            </w:pPr>
          </w:p>
        </w:tc>
        <w:tc>
          <w:tcPr>
            <w:tcW w:w="1231" w:type="dxa"/>
            <w:vMerge w:val="continue"/>
            <w:tcBorders>
              <w:left w:val="single" w:color="auto" w:sz="4" w:space="0"/>
              <w:right w:val="single" w:color="auto" w:sz="8" w:space="0"/>
            </w:tcBorders>
            <w:shd w:val="clear" w:color="auto" w:fill="auto"/>
            <w:vAlign w:val="center"/>
          </w:tcPr>
          <w:p w14:paraId="28E7D396">
            <w:pPr>
              <w:widowControl/>
              <w:spacing w:line="520" w:lineRule="exact"/>
              <w:contextualSpacing/>
              <w:jc w:val="center"/>
              <w:rPr>
                <w:rFonts w:hint="eastAsia" w:ascii="宋体" w:hAnsi="宋体" w:cs="宋体"/>
                <w:color w:val="000000" w:themeColor="text1"/>
                <w:kern w:val="0"/>
                <w:szCs w:val="21"/>
                <w:highlight w:val="none"/>
                <w:lang w:val="en-US" w:eastAsia="zh-CN"/>
              </w:rPr>
            </w:pPr>
          </w:p>
        </w:tc>
      </w:tr>
      <w:tr w14:paraId="0494DE79">
        <w:tblPrEx>
          <w:tblCellMar>
            <w:top w:w="0" w:type="dxa"/>
            <w:left w:w="108" w:type="dxa"/>
            <w:bottom w:w="0" w:type="dxa"/>
            <w:right w:w="108" w:type="dxa"/>
          </w:tblCellMar>
        </w:tblPrEx>
        <w:trPr>
          <w:trHeight w:val="1906" w:hRule="atLeast"/>
          <w:tblHeader/>
          <w:jc w:val="center"/>
        </w:trPr>
        <w:tc>
          <w:tcPr>
            <w:tcW w:w="680" w:type="dxa"/>
            <w:vMerge w:val="continue"/>
            <w:tcBorders>
              <w:left w:val="single" w:color="auto" w:sz="8" w:space="0"/>
              <w:bottom w:val="single" w:color="auto" w:sz="4" w:space="0"/>
              <w:right w:val="single" w:color="auto" w:sz="8" w:space="0"/>
            </w:tcBorders>
            <w:shd w:val="clear" w:color="auto" w:fill="auto"/>
            <w:vAlign w:val="center"/>
          </w:tcPr>
          <w:p w14:paraId="71DF88C1">
            <w:pPr>
              <w:widowControl/>
              <w:spacing w:line="520" w:lineRule="exact"/>
              <w:contextualSpacing/>
              <w:jc w:val="center"/>
              <w:rPr>
                <w:rFonts w:hint="eastAsia" w:ascii="宋体" w:hAnsi="宋体" w:cs="宋体"/>
                <w:color w:val="000000" w:themeColor="text1"/>
                <w:kern w:val="0"/>
                <w:szCs w:val="21"/>
                <w:highlight w:val="none"/>
                <w:lang w:eastAsia="zh-CN"/>
              </w:rPr>
            </w:pPr>
          </w:p>
        </w:tc>
        <w:tc>
          <w:tcPr>
            <w:tcW w:w="2677" w:type="dxa"/>
            <w:vMerge w:val="continue"/>
            <w:tcBorders>
              <w:left w:val="single" w:color="auto" w:sz="8" w:space="0"/>
              <w:bottom w:val="single" w:color="auto" w:sz="4" w:space="0"/>
              <w:right w:val="single" w:color="auto" w:sz="8" w:space="0"/>
            </w:tcBorders>
            <w:shd w:val="clear" w:color="auto" w:fill="auto"/>
            <w:vAlign w:val="center"/>
          </w:tcPr>
          <w:p w14:paraId="6C76BCDC">
            <w:pPr>
              <w:rPr>
                <w:rFonts w:hint="eastAsia" w:asciiTheme="minorEastAsia" w:hAnsiTheme="minorEastAsia" w:eastAsiaTheme="minorEastAsia" w:cstheme="minorEastAsia"/>
                <w:color w:val="000000" w:themeColor="text1"/>
                <w:kern w:val="0"/>
                <w:szCs w:val="21"/>
                <w:highlight w:val="none"/>
              </w:rPr>
            </w:pPr>
          </w:p>
        </w:tc>
        <w:tc>
          <w:tcPr>
            <w:tcW w:w="734" w:type="dxa"/>
            <w:tcBorders>
              <w:top w:val="single" w:color="auto" w:sz="4" w:space="0"/>
              <w:left w:val="nil"/>
              <w:bottom w:val="single" w:color="auto" w:sz="4" w:space="0"/>
              <w:right w:val="single" w:color="auto" w:sz="8" w:space="0"/>
            </w:tcBorders>
            <w:shd w:val="clear" w:color="auto" w:fill="auto"/>
            <w:vAlign w:val="center"/>
          </w:tcPr>
          <w:p w14:paraId="09C91D4E">
            <w:pPr>
              <w:widowControl/>
              <w:spacing w:line="520" w:lineRule="exact"/>
              <w:contextualSpacing/>
              <w:jc w:val="center"/>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lang w:eastAsia="zh-CN"/>
              </w:rPr>
              <w:t>精品路线</w:t>
            </w:r>
          </w:p>
        </w:tc>
        <w:tc>
          <w:tcPr>
            <w:tcW w:w="1233" w:type="dxa"/>
            <w:tcBorders>
              <w:top w:val="single" w:color="auto" w:sz="4" w:space="0"/>
              <w:left w:val="nil"/>
              <w:bottom w:val="single" w:color="auto" w:sz="4" w:space="0"/>
              <w:right w:val="single" w:color="auto" w:sz="8" w:space="0"/>
            </w:tcBorders>
            <w:shd w:val="clear" w:color="auto" w:fill="auto"/>
            <w:vAlign w:val="center"/>
          </w:tcPr>
          <w:p w14:paraId="7123CB7B">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129305.1</w:t>
            </w:r>
          </w:p>
        </w:tc>
        <w:tc>
          <w:tcPr>
            <w:tcW w:w="828" w:type="dxa"/>
            <w:tcBorders>
              <w:top w:val="single" w:color="auto" w:sz="4" w:space="0"/>
              <w:left w:val="nil"/>
              <w:bottom w:val="single" w:color="auto" w:sz="4" w:space="0"/>
              <w:right w:val="single" w:color="auto" w:sz="8" w:space="0"/>
            </w:tcBorders>
            <w:shd w:val="clear" w:color="auto" w:fill="auto"/>
            <w:vAlign w:val="center"/>
          </w:tcPr>
          <w:p w14:paraId="7D6965F0">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3.3</w:t>
            </w:r>
          </w:p>
        </w:tc>
        <w:tc>
          <w:tcPr>
            <w:tcW w:w="1282" w:type="dxa"/>
            <w:tcBorders>
              <w:top w:val="single" w:color="auto" w:sz="4" w:space="0"/>
              <w:left w:val="nil"/>
              <w:bottom w:val="single" w:color="auto" w:sz="4" w:space="0"/>
              <w:right w:val="single" w:color="auto" w:sz="8" w:space="0"/>
            </w:tcBorders>
            <w:shd w:val="clear" w:color="auto" w:fill="auto"/>
            <w:vAlign w:val="center"/>
          </w:tcPr>
          <w:p w14:paraId="14314EEB">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426706.83</w:t>
            </w:r>
          </w:p>
        </w:tc>
        <w:tc>
          <w:tcPr>
            <w:tcW w:w="1418" w:type="dxa"/>
            <w:vMerge w:val="continue"/>
            <w:tcBorders>
              <w:left w:val="single" w:color="auto" w:sz="8" w:space="0"/>
              <w:bottom w:val="single" w:color="auto" w:sz="4" w:space="0"/>
              <w:right w:val="single" w:color="auto" w:sz="4" w:space="0"/>
            </w:tcBorders>
            <w:shd w:val="clear" w:color="auto" w:fill="auto"/>
            <w:vAlign w:val="center"/>
          </w:tcPr>
          <w:p w14:paraId="77383980">
            <w:pPr>
              <w:widowControl/>
              <w:spacing w:line="520" w:lineRule="exact"/>
              <w:contextualSpacing/>
              <w:jc w:val="center"/>
              <w:rPr>
                <w:rFonts w:hint="eastAsia" w:ascii="宋体" w:hAnsi="宋体" w:cs="宋体"/>
                <w:color w:val="000000" w:themeColor="text1"/>
                <w:kern w:val="0"/>
                <w:szCs w:val="21"/>
                <w:highlight w:val="none"/>
                <w:lang w:val="en-US" w:eastAsia="zh-CN"/>
              </w:rPr>
            </w:pPr>
          </w:p>
        </w:tc>
        <w:tc>
          <w:tcPr>
            <w:tcW w:w="1336" w:type="dxa"/>
            <w:vMerge w:val="continue"/>
            <w:tcBorders>
              <w:left w:val="single" w:color="auto" w:sz="4" w:space="0"/>
              <w:bottom w:val="single" w:color="auto" w:sz="4" w:space="0"/>
              <w:right w:val="single" w:color="auto" w:sz="8" w:space="0"/>
            </w:tcBorders>
            <w:shd w:val="clear" w:color="auto" w:fill="auto"/>
            <w:vAlign w:val="center"/>
          </w:tcPr>
          <w:p w14:paraId="6684604C">
            <w:pPr>
              <w:widowControl/>
              <w:spacing w:line="520" w:lineRule="exact"/>
              <w:contextualSpacing/>
              <w:jc w:val="center"/>
              <w:rPr>
                <w:rFonts w:hint="eastAsia" w:ascii="宋体" w:hAnsi="宋体" w:cs="宋体"/>
                <w:color w:val="000000" w:themeColor="text1"/>
                <w:kern w:val="0"/>
                <w:szCs w:val="21"/>
                <w:highlight w:val="none"/>
                <w:lang w:val="en-US" w:eastAsia="zh-CN"/>
              </w:rPr>
            </w:pPr>
          </w:p>
        </w:tc>
        <w:tc>
          <w:tcPr>
            <w:tcW w:w="1231" w:type="dxa"/>
            <w:vMerge w:val="continue"/>
            <w:tcBorders>
              <w:left w:val="single" w:color="auto" w:sz="4" w:space="0"/>
              <w:bottom w:val="single" w:color="auto" w:sz="4" w:space="0"/>
              <w:right w:val="single" w:color="auto" w:sz="8" w:space="0"/>
            </w:tcBorders>
            <w:shd w:val="clear" w:color="auto" w:fill="auto"/>
            <w:vAlign w:val="center"/>
          </w:tcPr>
          <w:p w14:paraId="0C4AA85B">
            <w:pPr>
              <w:widowControl/>
              <w:spacing w:line="520" w:lineRule="exact"/>
              <w:contextualSpacing/>
              <w:jc w:val="center"/>
              <w:rPr>
                <w:rFonts w:hint="eastAsia" w:ascii="宋体" w:hAnsi="宋体" w:cs="宋体"/>
                <w:color w:val="000000" w:themeColor="text1"/>
                <w:kern w:val="0"/>
                <w:szCs w:val="21"/>
                <w:highlight w:val="none"/>
                <w:lang w:val="en-US" w:eastAsia="zh-CN"/>
              </w:rPr>
            </w:pPr>
          </w:p>
        </w:tc>
      </w:tr>
      <w:tr w14:paraId="72B44E15">
        <w:tblPrEx>
          <w:tblCellMar>
            <w:top w:w="0" w:type="dxa"/>
            <w:left w:w="108" w:type="dxa"/>
            <w:bottom w:w="0" w:type="dxa"/>
            <w:right w:w="108" w:type="dxa"/>
          </w:tblCellMar>
        </w:tblPrEx>
        <w:trPr>
          <w:trHeight w:val="1629" w:hRule="atLeast"/>
          <w:tblHeader/>
          <w:jc w:val="center"/>
        </w:trPr>
        <w:tc>
          <w:tcPr>
            <w:tcW w:w="680" w:type="dxa"/>
            <w:tcBorders>
              <w:top w:val="single" w:color="auto" w:sz="4" w:space="0"/>
              <w:left w:val="single" w:color="auto" w:sz="8" w:space="0"/>
              <w:bottom w:val="single" w:color="auto" w:sz="4" w:space="0"/>
              <w:right w:val="single" w:color="auto" w:sz="8" w:space="0"/>
            </w:tcBorders>
            <w:shd w:val="clear" w:color="auto" w:fill="auto"/>
            <w:vAlign w:val="center"/>
          </w:tcPr>
          <w:p w14:paraId="7874F01C">
            <w:pPr>
              <w:widowControl/>
              <w:spacing w:line="520" w:lineRule="exact"/>
              <w:contextualSpacing/>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val="en-US" w:eastAsia="zh-CN"/>
              </w:rPr>
              <w:t>三</w:t>
            </w:r>
          </w:p>
        </w:tc>
        <w:tc>
          <w:tcPr>
            <w:tcW w:w="2677" w:type="dxa"/>
            <w:tcBorders>
              <w:top w:val="single" w:color="auto" w:sz="4" w:space="0"/>
              <w:left w:val="single" w:color="auto" w:sz="8" w:space="0"/>
              <w:bottom w:val="single" w:color="auto" w:sz="4" w:space="0"/>
              <w:right w:val="single" w:color="auto" w:sz="8" w:space="0"/>
            </w:tcBorders>
            <w:shd w:val="clear" w:color="auto" w:fill="auto"/>
            <w:vAlign w:val="center"/>
          </w:tcPr>
          <w:p w14:paraId="51F22E59">
            <w:pPr>
              <w:rPr>
                <w:rFonts w:hint="eastAsia" w:asciiTheme="minorEastAsia" w:hAnsiTheme="minorEastAsia" w:eastAsiaTheme="minorEastAsia" w:cstheme="minorEastAsia"/>
                <w:color w:val="000000" w:themeColor="text1"/>
                <w:kern w:val="0"/>
                <w:szCs w:val="21"/>
                <w:highlight w:val="none"/>
                <w:lang w:eastAsia="zh-CN"/>
              </w:rPr>
            </w:pPr>
            <w:r>
              <w:rPr>
                <w:rFonts w:hint="eastAsia" w:asciiTheme="minorEastAsia" w:hAnsiTheme="minorEastAsia" w:eastAsiaTheme="minorEastAsia" w:cstheme="minorEastAsia"/>
                <w:color w:val="000000" w:themeColor="text1"/>
                <w:kern w:val="0"/>
                <w:szCs w:val="21"/>
                <w:highlight w:val="none"/>
              </w:rPr>
              <w:t>新盛宁线二期(K27+800胡陈路口南～K36+500创业路口)</w:t>
            </w:r>
            <w:r>
              <w:rPr>
                <w:rFonts w:hint="eastAsia" w:asciiTheme="minorEastAsia" w:hAnsiTheme="minorEastAsia" w:eastAsiaTheme="minorEastAsia" w:cstheme="minorEastAsia"/>
                <w:color w:val="000000" w:themeColor="text1"/>
                <w:kern w:val="0"/>
                <w:szCs w:val="21"/>
                <w:highlight w:val="none"/>
                <w:lang w:eastAsia="zh-CN"/>
              </w:rPr>
              <w:t>、S215老盛宁线(K105+000胡陈路口北～K116+200力洋水厂)</w:t>
            </w:r>
          </w:p>
        </w:tc>
        <w:tc>
          <w:tcPr>
            <w:tcW w:w="734" w:type="dxa"/>
            <w:tcBorders>
              <w:top w:val="single" w:color="auto" w:sz="4" w:space="0"/>
              <w:left w:val="nil"/>
              <w:bottom w:val="single" w:color="auto" w:sz="4" w:space="0"/>
              <w:right w:val="single" w:color="auto" w:sz="8" w:space="0"/>
            </w:tcBorders>
            <w:shd w:val="clear" w:color="auto" w:fill="auto"/>
            <w:vAlign w:val="center"/>
          </w:tcPr>
          <w:p w14:paraId="26DC2623">
            <w:pPr>
              <w:widowControl/>
              <w:spacing w:line="520" w:lineRule="exact"/>
              <w:contextualSpacing/>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绿地</w:t>
            </w:r>
          </w:p>
        </w:tc>
        <w:tc>
          <w:tcPr>
            <w:tcW w:w="1233" w:type="dxa"/>
            <w:tcBorders>
              <w:top w:val="single" w:color="auto" w:sz="4" w:space="0"/>
              <w:left w:val="nil"/>
              <w:bottom w:val="single" w:color="auto" w:sz="4" w:space="0"/>
              <w:right w:val="single" w:color="auto" w:sz="8" w:space="0"/>
            </w:tcBorders>
            <w:shd w:val="clear" w:color="auto" w:fill="auto"/>
            <w:vAlign w:val="center"/>
          </w:tcPr>
          <w:p w14:paraId="4F40E3B2">
            <w:pPr>
              <w:widowControl/>
              <w:spacing w:line="520" w:lineRule="exact"/>
              <w:contextualSpacing/>
              <w:jc w:val="center"/>
              <w:rPr>
                <w:rFonts w:hint="default"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435049.9</w:t>
            </w:r>
          </w:p>
        </w:tc>
        <w:tc>
          <w:tcPr>
            <w:tcW w:w="828" w:type="dxa"/>
            <w:tcBorders>
              <w:top w:val="single" w:color="auto" w:sz="4" w:space="0"/>
              <w:left w:val="nil"/>
              <w:bottom w:val="single" w:color="auto" w:sz="4" w:space="0"/>
              <w:right w:val="single" w:color="auto" w:sz="8" w:space="0"/>
            </w:tcBorders>
            <w:shd w:val="clear" w:color="auto" w:fill="auto"/>
            <w:vAlign w:val="center"/>
          </w:tcPr>
          <w:p w14:paraId="13A5E88D">
            <w:pPr>
              <w:widowControl/>
              <w:spacing w:line="520" w:lineRule="exact"/>
              <w:contextualSpacing/>
              <w:jc w:val="center"/>
              <w:rPr>
                <w:rFonts w:hint="default"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3.24</w:t>
            </w:r>
          </w:p>
        </w:tc>
        <w:tc>
          <w:tcPr>
            <w:tcW w:w="1282" w:type="dxa"/>
            <w:tcBorders>
              <w:top w:val="single" w:color="auto" w:sz="4" w:space="0"/>
              <w:left w:val="nil"/>
              <w:bottom w:val="single" w:color="auto" w:sz="4" w:space="0"/>
              <w:right w:val="single" w:color="auto" w:sz="8" w:space="0"/>
            </w:tcBorders>
            <w:shd w:val="clear" w:color="auto" w:fill="auto"/>
            <w:vAlign w:val="center"/>
          </w:tcPr>
          <w:p w14:paraId="14B8464B">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1409561.68</w:t>
            </w:r>
          </w:p>
        </w:tc>
        <w:tc>
          <w:tcPr>
            <w:tcW w:w="1418" w:type="dxa"/>
            <w:tcBorders>
              <w:top w:val="single" w:color="auto" w:sz="4" w:space="0"/>
              <w:left w:val="single" w:color="auto" w:sz="8" w:space="0"/>
              <w:bottom w:val="single" w:color="auto" w:sz="4" w:space="0"/>
              <w:right w:val="single" w:color="auto" w:sz="4" w:space="0"/>
            </w:tcBorders>
            <w:shd w:val="clear" w:color="auto" w:fill="auto"/>
            <w:vAlign w:val="center"/>
          </w:tcPr>
          <w:p w14:paraId="2E11677D">
            <w:pPr>
              <w:widowControl/>
              <w:spacing w:line="520" w:lineRule="exact"/>
              <w:contextualSpacing/>
              <w:jc w:val="center"/>
              <w:rPr>
                <w:rFonts w:hint="eastAsia"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1409561.68</w:t>
            </w:r>
          </w:p>
        </w:tc>
        <w:tc>
          <w:tcPr>
            <w:tcW w:w="1336" w:type="dxa"/>
            <w:tcBorders>
              <w:top w:val="single" w:color="auto" w:sz="4" w:space="0"/>
              <w:left w:val="single" w:color="auto" w:sz="4" w:space="0"/>
              <w:bottom w:val="single" w:color="auto" w:sz="4" w:space="0"/>
              <w:right w:val="single" w:color="auto" w:sz="8" w:space="0"/>
            </w:tcBorders>
            <w:shd w:val="clear" w:color="auto" w:fill="auto"/>
            <w:vAlign w:val="center"/>
          </w:tcPr>
          <w:p w14:paraId="5582946F">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3523904.20</w:t>
            </w:r>
          </w:p>
        </w:tc>
        <w:tc>
          <w:tcPr>
            <w:tcW w:w="1231"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32B382F7">
            <w:pPr>
              <w:widowControl/>
              <w:spacing w:line="520" w:lineRule="exact"/>
              <w:contextualSpacing/>
              <w:jc w:val="center"/>
              <w:rPr>
                <w:rFonts w:hint="eastAsia" w:ascii="宋体" w:hAnsi="宋体" w:cs="宋体"/>
                <w:color w:val="000000" w:themeColor="text1"/>
                <w:kern w:val="0"/>
                <w:szCs w:val="21"/>
                <w:highlight w:val="none"/>
                <w:lang w:val="en-US" w:eastAsia="zh-CN"/>
              </w:rPr>
            </w:pPr>
          </w:p>
        </w:tc>
      </w:tr>
      <w:tr w14:paraId="0C593D0C">
        <w:tblPrEx>
          <w:tblCellMar>
            <w:top w:w="0" w:type="dxa"/>
            <w:left w:w="108" w:type="dxa"/>
            <w:bottom w:w="0" w:type="dxa"/>
            <w:right w:w="108" w:type="dxa"/>
          </w:tblCellMar>
        </w:tblPrEx>
        <w:trPr>
          <w:trHeight w:val="910" w:hRule="atLeast"/>
          <w:tblHeader/>
          <w:jc w:val="center"/>
        </w:trPr>
        <w:tc>
          <w:tcPr>
            <w:tcW w:w="680" w:type="dxa"/>
            <w:vMerge w:val="restart"/>
            <w:tcBorders>
              <w:top w:val="single" w:color="auto" w:sz="4" w:space="0"/>
              <w:left w:val="single" w:color="auto" w:sz="8" w:space="0"/>
              <w:right w:val="single" w:color="auto" w:sz="8" w:space="0"/>
            </w:tcBorders>
            <w:shd w:val="clear" w:color="auto" w:fill="auto"/>
            <w:vAlign w:val="center"/>
          </w:tcPr>
          <w:p w14:paraId="0AFBDA70">
            <w:pPr>
              <w:widowControl/>
              <w:spacing w:line="520" w:lineRule="exact"/>
              <w:contextualSpacing/>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val="en-US" w:eastAsia="zh-CN"/>
              </w:rPr>
              <w:t>四</w:t>
            </w:r>
          </w:p>
        </w:tc>
        <w:tc>
          <w:tcPr>
            <w:tcW w:w="2677" w:type="dxa"/>
            <w:vMerge w:val="restart"/>
            <w:tcBorders>
              <w:top w:val="single" w:color="auto" w:sz="4" w:space="0"/>
              <w:left w:val="single" w:color="auto" w:sz="8" w:space="0"/>
              <w:right w:val="single" w:color="auto" w:sz="8" w:space="0"/>
            </w:tcBorders>
            <w:shd w:val="clear" w:color="auto" w:fill="auto"/>
            <w:vAlign w:val="center"/>
          </w:tcPr>
          <w:p w14:paraId="17A0EA58">
            <w:pPr>
              <w:rPr>
                <w:rFonts w:hint="eastAsia" w:asciiTheme="minorEastAsia" w:hAnsiTheme="minorEastAsia" w:eastAsiaTheme="minorEastAsia" w:cstheme="minorEastAsia"/>
                <w:color w:val="000000" w:themeColor="text1"/>
                <w:kern w:val="0"/>
                <w:szCs w:val="21"/>
                <w:highlight w:val="none"/>
                <w:lang w:eastAsia="zh-CN"/>
              </w:rPr>
            </w:pPr>
            <w:r>
              <w:rPr>
                <w:rFonts w:hint="eastAsia" w:asciiTheme="minorEastAsia" w:hAnsiTheme="minorEastAsia" w:eastAsiaTheme="minorEastAsia" w:cstheme="minorEastAsia"/>
                <w:color w:val="000000" w:themeColor="text1"/>
                <w:kern w:val="0"/>
                <w:szCs w:val="21"/>
                <w:highlight w:val="none"/>
              </w:rPr>
              <w:t>G527(K36+879创业路口～K52+355兴海北路口)</w:t>
            </w:r>
            <w:r>
              <w:rPr>
                <w:rFonts w:hint="eastAsia" w:asciiTheme="minorEastAsia" w:hAnsiTheme="minorEastAsia" w:eastAsiaTheme="minorEastAsia" w:cstheme="minorEastAsia"/>
                <w:color w:val="000000" w:themeColor="text1"/>
                <w:kern w:val="0"/>
                <w:szCs w:val="21"/>
                <w:highlight w:val="none"/>
                <w:lang w:eastAsia="zh-CN"/>
              </w:rPr>
              <w:t>、许民线K0+000～K3+800、S215老盛宁线(K119+800茶院北路口～K126+000路湾)</w:t>
            </w:r>
          </w:p>
        </w:tc>
        <w:tc>
          <w:tcPr>
            <w:tcW w:w="734" w:type="dxa"/>
            <w:tcBorders>
              <w:top w:val="single" w:color="auto" w:sz="4" w:space="0"/>
              <w:left w:val="nil"/>
              <w:bottom w:val="single" w:color="auto" w:sz="4" w:space="0"/>
              <w:right w:val="single" w:color="auto" w:sz="8" w:space="0"/>
            </w:tcBorders>
            <w:shd w:val="clear" w:color="auto" w:fill="auto"/>
            <w:vAlign w:val="center"/>
          </w:tcPr>
          <w:p w14:paraId="6532F8EE">
            <w:pPr>
              <w:widowControl/>
              <w:spacing w:line="520" w:lineRule="exact"/>
              <w:contextualSpacing/>
              <w:jc w:val="center"/>
              <w:rPr>
                <w:rFonts w:hint="eastAsia"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绿地</w:t>
            </w:r>
          </w:p>
        </w:tc>
        <w:tc>
          <w:tcPr>
            <w:tcW w:w="1233" w:type="dxa"/>
            <w:tcBorders>
              <w:top w:val="single" w:color="auto" w:sz="4" w:space="0"/>
              <w:left w:val="nil"/>
              <w:bottom w:val="single" w:color="auto" w:sz="4" w:space="0"/>
              <w:right w:val="single" w:color="auto" w:sz="8" w:space="0"/>
            </w:tcBorders>
            <w:shd w:val="clear" w:color="auto" w:fill="auto"/>
            <w:vAlign w:val="center"/>
          </w:tcPr>
          <w:p w14:paraId="7ADE6718">
            <w:pPr>
              <w:widowControl/>
              <w:spacing w:line="520" w:lineRule="exact"/>
              <w:contextualSpacing/>
              <w:jc w:val="center"/>
              <w:rPr>
                <w:rFonts w:hint="default"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57320.5</w:t>
            </w:r>
          </w:p>
        </w:tc>
        <w:tc>
          <w:tcPr>
            <w:tcW w:w="828" w:type="dxa"/>
            <w:tcBorders>
              <w:top w:val="single" w:color="auto" w:sz="4" w:space="0"/>
              <w:left w:val="nil"/>
              <w:bottom w:val="single" w:color="auto" w:sz="4" w:space="0"/>
              <w:right w:val="single" w:color="auto" w:sz="8" w:space="0"/>
            </w:tcBorders>
            <w:shd w:val="clear" w:color="auto" w:fill="auto"/>
            <w:vAlign w:val="center"/>
          </w:tcPr>
          <w:p w14:paraId="4591A458">
            <w:pPr>
              <w:widowControl/>
              <w:spacing w:line="520" w:lineRule="exact"/>
              <w:contextualSpacing/>
              <w:jc w:val="center"/>
              <w:rPr>
                <w:rFonts w:hint="default"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3.24</w:t>
            </w:r>
          </w:p>
        </w:tc>
        <w:tc>
          <w:tcPr>
            <w:tcW w:w="1282" w:type="dxa"/>
            <w:tcBorders>
              <w:top w:val="single" w:color="auto" w:sz="4" w:space="0"/>
              <w:left w:val="nil"/>
              <w:bottom w:val="single" w:color="auto" w:sz="4" w:space="0"/>
              <w:right w:val="single" w:color="auto" w:sz="8" w:space="0"/>
            </w:tcBorders>
            <w:shd w:val="clear" w:color="auto" w:fill="auto"/>
            <w:vAlign w:val="center"/>
          </w:tcPr>
          <w:p w14:paraId="1AF3E3CD">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185718.42</w:t>
            </w:r>
          </w:p>
        </w:tc>
        <w:tc>
          <w:tcPr>
            <w:tcW w:w="1418"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FD21D1E">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default" w:ascii="宋体" w:hAnsi="宋体" w:cs="宋体"/>
                <w:color w:val="000000" w:themeColor="text1"/>
                <w:kern w:val="0"/>
                <w:szCs w:val="21"/>
                <w:highlight w:val="none"/>
                <w:lang w:val="en-US" w:eastAsia="zh-CN"/>
              </w:rPr>
              <w:t>1556547.69</w:t>
            </w:r>
          </w:p>
        </w:tc>
        <w:tc>
          <w:tcPr>
            <w:tcW w:w="1336"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764D2616">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3891369.23</w:t>
            </w:r>
          </w:p>
        </w:tc>
        <w:tc>
          <w:tcPr>
            <w:tcW w:w="1231"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26E42A25">
            <w:pPr>
              <w:widowControl/>
              <w:spacing w:line="520" w:lineRule="exact"/>
              <w:contextualSpacing/>
              <w:jc w:val="center"/>
              <w:rPr>
                <w:rFonts w:hint="eastAsia" w:ascii="宋体" w:hAnsi="宋体" w:cs="宋体"/>
                <w:color w:val="000000" w:themeColor="text1"/>
                <w:kern w:val="0"/>
                <w:szCs w:val="21"/>
                <w:highlight w:val="none"/>
                <w:lang w:val="en-US" w:eastAsia="zh-CN"/>
              </w:rPr>
            </w:pPr>
          </w:p>
        </w:tc>
      </w:tr>
      <w:tr w14:paraId="5DEAFEEA">
        <w:tblPrEx>
          <w:tblCellMar>
            <w:top w:w="0" w:type="dxa"/>
            <w:left w:w="108" w:type="dxa"/>
            <w:bottom w:w="0" w:type="dxa"/>
            <w:right w:w="108" w:type="dxa"/>
          </w:tblCellMar>
        </w:tblPrEx>
        <w:trPr>
          <w:trHeight w:val="831" w:hRule="atLeast"/>
          <w:tblHeader/>
          <w:jc w:val="center"/>
        </w:trPr>
        <w:tc>
          <w:tcPr>
            <w:tcW w:w="680" w:type="dxa"/>
            <w:vMerge w:val="continue"/>
            <w:tcBorders>
              <w:left w:val="single" w:color="auto" w:sz="8" w:space="0"/>
              <w:bottom w:val="single" w:color="000000" w:sz="8" w:space="0"/>
              <w:right w:val="single" w:color="auto" w:sz="8" w:space="0"/>
            </w:tcBorders>
            <w:shd w:val="clear" w:color="auto" w:fill="auto"/>
            <w:vAlign w:val="center"/>
          </w:tcPr>
          <w:p w14:paraId="3A149DAA">
            <w:pPr>
              <w:widowControl/>
              <w:spacing w:line="520" w:lineRule="exact"/>
              <w:contextualSpacing/>
              <w:jc w:val="center"/>
              <w:rPr>
                <w:rFonts w:hint="eastAsia" w:ascii="宋体" w:hAnsi="宋体" w:cs="宋体"/>
                <w:color w:val="000000" w:themeColor="text1"/>
                <w:kern w:val="0"/>
                <w:szCs w:val="21"/>
                <w:highlight w:val="none"/>
                <w:lang w:eastAsia="zh-CN"/>
              </w:rPr>
            </w:pPr>
          </w:p>
        </w:tc>
        <w:tc>
          <w:tcPr>
            <w:tcW w:w="2677" w:type="dxa"/>
            <w:vMerge w:val="continue"/>
            <w:tcBorders>
              <w:left w:val="single" w:color="auto" w:sz="8" w:space="0"/>
              <w:bottom w:val="single" w:color="000000" w:sz="8" w:space="0"/>
              <w:right w:val="single" w:color="auto" w:sz="8" w:space="0"/>
            </w:tcBorders>
            <w:shd w:val="clear" w:color="auto" w:fill="auto"/>
            <w:vAlign w:val="center"/>
          </w:tcPr>
          <w:p w14:paraId="55E9EECA">
            <w:pPr>
              <w:rPr>
                <w:rFonts w:hint="eastAsia" w:asciiTheme="minorEastAsia" w:hAnsiTheme="minorEastAsia" w:eastAsiaTheme="minorEastAsia" w:cstheme="minorEastAsia"/>
                <w:color w:val="000000" w:themeColor="text1"/>
                <w:kern w:val="0"/>
                <w:szCs w:val="21"/>
                <w:highlight w:val="none"/>
              </w:rPr>
            </w:pPr>
          </w:p>
        </w:tc>
        <w:tc>
          <w:tcPr>
            <w:tcW w:w="734" w:type="dxa"/>
            <w:tcBorders>
              <w:top w:val="single" w:color="auto" w:sz="4" w:space="0"/>
              <w:left w:val="nil"/>
              <w:bottom w:val="single" w:color="auto" w:sz="8" w:space="0"/>
              <w:right w:val="single" w:color="auto" w:sz="8" w:space="0"/>
            </w:tcBorders>
            <w:shd w:val="clear" w:color="auto" w:fill="auto"/>
            <w:vAlign w:val="center"/>
          </w:tcPr>
          <w:p w14:paraId="4CDC7B11">
            <w:pPr>
              <w:widowControl/>
              <w:spacing w:line="520" w:lineRule="exact"/>
              <w:contextualSpacing/>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eastAsia="zh-CN"/>
              </w:rPr>
              <w:t>精品路线</w:t>
            </w:r>
          </w:p>
        </w:tc>
        <w:tc>
          <w:tcPr>
            <w:tcW w:w="1233" w:type="dxa"/>
            <w:tcBorders>
              <w:top w:val="single" w:color="auto" w:sz="4" w:space="0"/>
              <w:left w:val="nil"/>
              <w:bottom w:val="single" w:color="auto" w:sz="8" w:space="0"/>
              <w:right w:val="single" w:color="auto" w:sz="8" w:space="0"/>
            </w:tcBorders>
            <w:shd w:val="clear" w:color="auto" w:fill="auto"/>
            <w:vAlign w:val="center"/>
          </w:tcPr>
          <w:p w14:paraId="189163BD">
            <w:pPr>
              <w:widowControl/>
              <w:spacing w:line="520" w:lineRule="exact"/>
              <w:contextualSpacing/>
              <w:jc w:val="center"/>
              <w:rPr>
                <w:rFonts w:hint="eastAsia" w:asciiTheme="minorEastAsia" w:hAnsiTheme="minorEastAsia" w:eastAsiaTheme="minorEastAsia" w:cstheme="minorEastAsia"/>
                <w:color w:val="000000" w:themeColor="text1"/>
                <w:kern w:val="0"/>
                <w:szCs w:val="21"/>
                <w:highlight w:val="none"/>
                <w:lang w:eastAsia="zh-CN"/>
              </w:rPr>
            </w:pPr>
            <w:r>
              <w:rPr>
                <w:rFonts w:hint="eastAsia" w:asciiTheme="minorEastAsia" w:hAnsiTheme="minorEastAsia" w:eastAsiaTheme="minorEastAsia" w:cstheme="minorEastAsia"/>
                <w:color w:val="000000" w:themeColor="text1"/>
                <w:kern w:val="0"/>
                <w:szCs w:val="21"/>
                <w:highlight w:val="none"/>
                <w:lang w:eastAsia="zh-CN"/>
              </w:rPr>
              <w:t>415421.9</w:t>
            </w:r>
          </w:p>
        </w:tc>
        <w:tc>
          <w:tcPr>
            <w:tcW w:w="828" w:type="dxa"/>
            <w:tcBorders>
              <w:top w:val="single" w:color="auto" w:sz="4" w:space="0"/>
              <w:left w:val="nil"/>
              <w:bottom w:val="single" w:color="auto" w:sz="8" w:space="0"/>
              <w:right w:val="single" w:color="auto" w:sz="8" w:space="0"/>
            </w:tcBorders>
            <w:shd w:val="clear" w:color="auto" w:fill="auto"/>
            <w:vAlign w:val="center"/>
          </w:tcPr>
          <w:p w14:paraId="00704CBC">
            <w:pPr>
              <w:widowControl/>
              <w:spacing w:line="520" w:lineRule="exact"/>
              <w:contextualSpacing/>
              <w:jc w:val="center"/>
              <w:rPr>
                <w:rFonts w:hint="default" w:ascii="宋体" w:hAnsi="宋体" w:eastAsia="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3.3</w:t>
            </w:r>
          </w:p>
        </w:tc>
        <w:tc>
          <w:tcPr>
            <w:tcW w:w="1282" w:type="dxa"/>
            <w:tcBorders>
              <w:top w:val="single" w:color="auto" w:sz="4" w:space="0"/>
              <w:left w:val="nil"/>
              <w:bottom w:val="single" w:color="auto" w:sz="8" w:space="0"/>
              <w:right w:val="single" w:color="auto" w:sz="8" w:space="0"/>
            </w:tcBorders>
            <w:shd w:val="clear" w:color="auto" w:fill="auto"/>
            <w:vAlign w:val="center"/>
          </w:tcPr>
          <w:p w14:paraId="5856D6A9">
            <w:pPr>
              <w:widowControl/>
              <w:spacing w:line="520" w:lineRule="exact"/>
              <w:contextualSpacing/>
              <w:jc w:val="center"/>
              <w:rPr>
                <w:rFonts w:hint="default"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1370829.27</w:t>
            </w:r>
          </w:p>
        </w:tc>
        <w:tc>
          <w:tcPr>
            <w:tcW w:w="141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0C1178B">
            <w:pPr>
              <w:widowControl/>
              <w:spacing w:line="520" w:lineRule="exact"/>
              <w:contextualSpacing/>
              <w:jc w:val="center"/>
              <w:rPr>
                <w:rFonts w:hint="eastAsia" w:ascii="宋体" w:hAnsi="宋体" w:cs="宋体"/>
                <w:color w:val="000000" w:themeColor="text1"/>
                <w:kern w:val="0"/>
                <w:szCs w:val="21"/>
                <w:highlight w:val="none"/>
                <w:lang w:val="en-US" w:eastAsia="zh-CN"/>
              </w:rPr>
            </w:pPr>
          </w:p>
        </w:tc>
        <w:tc>
          <w:tcPr>
            <w:tcW w:w="1336"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3E27CA61">
            <w:pPr>
              <w:widowControl/>
              <w:spacing w:line="520" w:lineRule="exact"/>
              <w:contextualSpacing/>
              <w:jc w:val="center"/>
              <w:rPr>
                <w:rFonts w:hint="eastAsia" w:ascii="宋体" w:hAnsi="宋体" w:cs="宋体"/>
                <w:color w:val="000000" w:themeColor="text1"/>
                <w:kern w:val="0"/>
                <w:szCs w:val="21"/>
                <w:highlight w:val="none"/>
                <w:lang w:val="en-US" w:eastAsia="zh-CN"/>
              </w:rPr>
            </w:pPr>
          </w:p>
        </w:tc>
        <w:tc>
          <w:tcPr>
            <w:tcW w:w="1231"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7CEE6736">
            <w:pPr>
              <w:widowControl/>
              <w:spacing w:line="520" w:lineRule="exact"/>
              <w:contextualSpacing/>
              <w:jc w:val="center"/>
              <w:rPr>
                <w:rFonts w:hint="eastAsia" w:ascii="宋体" w:hAnsi="宋体" w:cs="宋体"/>
                <w:color w:val="000000" w:themeColor="text1"/>
                <w:kern w:val="0"/>
                <w:szCs w:val="21"/>
                <w:highlight w:val="none"/>
                <w:lang w:val="en-US" w:eastAsia="zh-CN"/>
              </w:rPr>
            </w:pPr>
          </w:p>
        </w:tc>
      </w:tr>
    </w:tbl>
    <w:p w14:paraId="7EEBC9BD">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 xml:space="preserve">★服务期限: </w:t>
      </w:r>
      <w:r>
        <w:rPr>
          <w:rFonts w:hint="eastAsia"/>
          <w:highlight w:val="none"/>
          <w:lang w:eastAsia="zh-CN"/>
        </w:rPr>
        <w:t>养护期限为</w:t>
      </w:r>
      <w:r>
        <w:rPr>
          <w:rFonts w:hint="eastAsia"/>
          <w:highlight w:val="none"/>
          <w:lang w:val="en-US" w:eastAsia="zh-CN"/>
        </w:rPr>
        <w:t>2025年7月1日至2027年12月31日（暂定30个月）</w:t>
      </w:r>
      <w:r>
        <w:rPr>
          <w:rFonts w:hint="eastAsia"/>
          <w:highlight w:val="none"/>
        </w:rPr>
        <w:t>。</w:t>
      </w:r>
      <w:r>
        <w:rPr>
          <w:rFonts w:hint="eastAsia"/>
        </w:rPr>
        <w:t>协议一年一签。由采购人及行业主管部门根据中标人的合同履约情况决定是否续签，并在符合县级年度预算安排要求下，方可续签下一年度合同。除不可抗力外，精品苗木在养护期内出现死亡，中标人须按原规格赔偿，否则死一赔二。</w:t>
      </w:r>
    </w:p>
    <w:p w14:paraId="32074DCB">
      <w:pPr>
        <w:spacing w:line="360" w:lineRule="auto"/>
        <w:ind w:firstLine="420" w:firstLineChars="200"/>
        <w:rPr>
          <w:rFonts w:ascii="宋体" w:hAnsi="宋体" w:cs="宋体"/>
          <w:szCs w:val="21"/>
          <w:highlight w:val="none"/>
        </w:rPr>
      </w:pPr>
      <w:r>
        <w:rPr>
          <w:rFonts w:hint="eastAsia" w:ascii="宋体" w:hAnsi="宋体" w:cs="宋体"/>
          <w:szCs w:val="21"/>
          <w:highlight w:val="none"/>
        </w:rPr>
        <w:t>数量:</w:t>
      </w:r>
      <w:r>
        <w:rPr>
          <w:rFonts w:hint="eastAsia" w:ascii="宋体" w:hAnsi="宋体" w:cs="宋体"/>
          <w:szCs w:val="21"/>
          <w:highlight w:val="none"/>
          <w:lang w:val="en-US" w:eastAsia="zh-CN"/>
        </w:rPr>
        <w:t>4</w:t>
      </w:r>
      <w:r>
        <w:rPr>
          <w:rFonts w:hint="eastAsia" w:ascii="宋体" w:hAnsi="宋体" w:cs="宋体"/>
          <w:szCs w:val="21"/>
          <w:highlight w:val="none"/>
        </w:rPr>
        <w:t>个标段</w:t>
      </w:r>
    </w:p>
    <w:p w14:paraId="37EE13F1">
      <w:pPr>
        <w:pStyle w:val="36"/>
        <w:spacing w:line="360" w:lineRule="auto"/>
        <w:ind w:firstLine="420"/>
        <w:rPr>
          <w:rFonts w:hint="eastAsia" w:ascii="宋体" w:hAnsi="宋体" w:cs="宋体"/>
          <w:szCs w:val="21"/>
          <w:highlight w:val="none"/>
        </w:rPr>
      </w:pPr>
      <w:r>
        <w:rPr>
          <w:rFonts w:hint="eastAsia" w:ascii="宋体" w:hAnsi="宋体" w:eastAsia="宋体" w:cs="宋体"/>
          <w:b/>
          <w:bCs/>
          <w:sz w:val="21"/>
          <w:szCs w:val="21"/>
        </w:rPr>
        <w:t>备注：（适用所有标段）。投标人可就其中1个标段参加投标或同时参加几个标段的投标，但1个投标人仅能中标1个标段。</w:t>
      </w:r>
    </w:p>
    <w:p w14:paraId="22728F53">
      <w:pPr>
        <w:spacing w:line="360" w:lineRule="auto"/>
        <w:ind w:firstLine="420" w:firstLineChars="200"/>
        <w:rPr>
          <w:rFonts w:ascii="宋体" w:hAnsi="宋体" w:cs="宋体"/>
          <w:szCs w:val="21"/>
          <w:highlight w:val="none"/>
        </w:rPr>
      </w:pPr>
      <w:r>
        <w:rPr>
          <w:rFonts w:hint="eastAsia" w:ascii="宋体" w:hAnsi="宋体" w:cs="宋体"/>
          <w:szCs w:val="21"/>
          <w:highlight w:val="none"/>
        </w:rPr>
        <w:t>简要规格描述或项目基本概况介绍、用途：</w:t>
      </w:r>
      <w:r>
        <w:rPr>
          <w:rFonts w:hint="eastAsia"/>
          <w:highlight w:val="none"/>
        </w:rPr>
        <w:t>具体详见第二章 采购需求。</w:t>
      </w:r>
    </w:p>
    <w:p w14:paraId="246255DE">
      <w:pPr>
        <w:pStyle w:val="3"/>
        <w:spacing w:line="360" w:lineRule="auto"/>
        <w:ind w:left="452" w:leftChars="100" w:hanging="242" w:hangingChars="115"/>
        <w:rPr>
          <w:rFonts w:ascii="宋体" w:hAnsi="宋体" w:eastAsia="宋体" w:cs="宋体"/>
          <w:bCs w:val="0"/>
          <w:sz w:val="21"/>
          <w:szCs w:val="21"/>
          <w:highlight w:val="none"/>
        </w:rPr>
      </w:pPr>
      <w:bookmarkStart w:id="12" w:name="_Toc28359080"/>
      <w:bookmarkStart w:id="13" w:name="_Toc28359003"/>
      <w:bookmarkStart w:id="14" w:name="_Toc35393622"/>
      <w:bookmarkStart w:id="15" w:name="_Toc35393791"/>
      <w:r>
        <w:rPr>
          <w:rFonts w:hint="eastAsia" w:ascii="宋体" w:hAnsi="宋体" w:eastAsia="宋体" w:cs="宋体"/>
          <w:bCs w:val="0"/>
          <w:sz w:val="21"/>
          <w:szCs w:val="21"/>
          <w:highlight w:val="none"/>
        </w:rPr>
        <w:t>二、申请人的资格要求：</w:t>
      </w:r>
      <w:bookmarkEnd w:id="12"/>
      <w:bookmarkEnd w:id="13"/>
      <w:bookmarkEnd w:id="14"/>
      <w:bookmarkEnd w:id="15"/>
    </w:p>
    <w:p w14:paraId="208FC33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EDB9750">
      <w:pPr>
        <w:spacing w:line="360" w:lineRule="auto"/>
        <w:ind w:firstLine="420" w:firstLineChars="200"/>
        <w:rPr>
          <w:rFonts w:hint="eastAsia" w:ascii="宋体" w:hAnsi="宋体" w:eastAsia="宋体" w:cs="宋体"/>
          <w:szCs w:val="21"/>
          <w:highlight w:val="none"/>
        </w:rPr>
      </w:pPr>
      <w:bookmarkStart w:id="16" w:name="_Toc28359081"/>
      <w:bookmarkStart w:id="17" w:name="_Toc28359004"/>
      <w:r>
        <w:rPr>
          <w:rFonts w:hint="eastAsia" w:ascii="宋体" w:hAnsi="宋体" w:eastAsia="宋体" w:cs="宋体"/>
          <w:szCs w:val="21"/>
          <w:highlight w:val="none"/>
        </w:rPr>
        <w:t>2.落实政府采购政策需满足的资格要求：</w:t>
      </w:r>
      <w:bookmarkStart w:id="18" w:name="OLE_LINK19"/>
      <w:r>
        <w:rPr>
          <w:rFonts w:hint="eastAsia" w:ascii="宋体" w:hAnsi="宋体" w:eastAsia="宋体" w:cs="宋体"/>
          <w:b/>
          <w:bCs/>
          <w:szCs w:val="21"/>
          <w:highlight w:val="none"/>
        </w:rPr>
        <w:t>本项目专门面向中小企业/小微企业采购，</w:t>
      </w:r>
      <w:r>
        <w:rPr>
          <w:rFonts w:hint="eastAsia" w:ascii="宋体" w:hAnsi="宋体" w:eastAsia="宋体" w:cs="宋体"/>
          <w:b/>
          <w:bCs/>
          <w:szCs w:val="21"/>
          <w:highlight w:val="none"/>
          <w:lang w:val="en-US" w:eastAsia="zh-CN"/>
        </w:rPr>
        <w:t>供应商</w:t>
      </w:r>
      <w:r>
        <w:rPr>
          <w:rFonts w:hint="eastAsia" w:ascii="宋体" w:hAnsi="宋体" w:eastAsia="宋体" w:cs="宋体"/>
          <w:b/>
          <w:bCs/>
          <w:szCs w:val="21"/>
          <w:highlight w:val="none"/>
        </w:rPr>
        <w:t>须为符合《政府采购促进中小企业发展管理办法》（财库﹝2020﹞46 号）规定的中小企业（其中，小微企业包括视同为小型、微型企业的监狱企业、残疾人福利性单位）。</w:t>
      </w:r>
    </w:p>
    <w:bookmarkEnd w:id="18"/>
    <w:p w14:paraId="5A370302">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r>
        <w:rPr>
          <w:rFonts w:hint="eastAsia" w:ascii="宋体" w:hAnsi="宋体" w:eastAsia="宋体" w:cs="宋体"/>
          <w:szCs w:val="21"/>
          <w:highlight w:val="none"/>
          <w:lang w:eastAsia="zh-CN"/>
        </w:rPr>
        <w:t>无</w:t>
      </w:r>
      <w:r>
        <w:rPr>
          <w:rFonts w:hint="eastAsia" w:ascii="宋体" w:hAnsi="宋体" w:eastAsia="宋体" w:cs="宋体"/>
          <w:szCs w:val="21"/>
          <w:highlight w:val="none"/>
        </w:rPr>
        <w:t>。</w:t>
      </w:r>
    </w:p>
    <w:p w14:paraId="5E4F659B">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rPr>
        <w:t>4.必须为未被列入信用中国网站(www.creditchina.gov.cn)、中国政府采购(www.ccgp.gov.cn)渠道信用记录失信被执行人、重大税收违法失信主体、政府采购严重违法失信行为记录名单的投标人。</w:t>
      </w:r>
    </w:p>
    <w:p w14:paraId="513BAAE9">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.本项目</w:t>
      </w:r>
      <w:r>
        <w:rPr>
          <w:rFonts w:hint="eastAsia" w:ascii="宋体" w:hAnsi="宋体" w:eastAsia="宋体" w:cs="宋体"/>
          <w:szCs w:val="21"/>
          <w:highlight w:val="none"/>
          <w:u w:val="single"/>
        </w:rPr>
        <w:t>不接受</w:t>
      </w:r>
      <w:r>
        <w:rPr>
          <w:rFonts w:hint="eastAsia" w:ascii="宋体" w:hAnsi="宋体" w:eastAsia="宋体" w:cs="宋体"/>
          <w:szCs w:val="21"/>
          <w:highlight w:val="none"/>
        </w:rPr>
        <w:t>联合体投标。</w:t>
      </w:r>
    </w:p>
    <w:p w14:paraId="293BCC1E">
      <w:pPr>
        <w:pStyle w:val="3"/>
        <w:spacing w:line="360" w:lineRule="auto"/>
        <w:ind w:left="452" w:leftChars="100" w:hanging="242" w:hangingChars="115"/>
        <w:rPr>
          <w:rFonts w:ascii="宋体" w:hAnsi="宋体" w:eastAsia="宋体" w:cs="宋体"/>
          <w:bCs w:val="0"/>
          <w:sz w:val="21"/>
          <w:szCs w:val="21"/>
          <w:highlight w:val="none"/>
        </w:rPr>
      </w:pPr>
      <w:bookmarkStart w:id="19" w:name="_Toc35393792"/>
      <w:bookmarkStart w:id="20" w:name="_Toc35393623"/>
      <w:r>
        <w:rPr>
          <w:rFonts w:hint="eastAsia" w:ascii="宋体" w:hAnsi="宋体" w:eastAsia="宋体" w:cs="宋体"/>
          <w:bCs w:val="0"/>
          <w:sz w:val="21"/>
          <w:szCs w:val="21"/>
          <w:highlight w:val="none"/>
        </w:rPr>
        <w:t>三、获取招标文件</w:t>
      </w:r>
      <w:bookmarkEnd w:id="16"/>
      <w:bookmarkEnd w:id="17"/>
      <w:bookmarkEnd w:id="19"/>
      <w:bookmarkEnd w:id="20"/>
    </w:p>
    <w:p w14:paraId="6C33D9C3">
      <w:pPr>
        <w:spacing w:line="360" w:lineRule="auto"/>
        <w:ind w:firstLine="54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u w:val="single"/>
          <w:lang w:val="en-US" w:eastAsia="zh-CN"/>
        </w:rPr>
        <w:t>2025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日</w:t>
      </w:r>
      <w:r>
        <w:rPr>
          <w:rFonts w:hint="eastAsia" w:ascii="宋体" w:hAnsi="宋体" w:cs="宋体"/>
          <w:szCs w:val="21"/>
          <w:highlight w:val="none"/>
        </w:rPr>
        <w:t>至</w:t>
      </w:r>
      <w:r>
        <w:rPr>
          <w:rFonts w:hint="eastAsia" w:ascii="宋体" w:hAnsi="宋体" w:cs="宋体"/>
          <w:szCs w:val="21"/>
          <w:highlight w:val="none"/>
          <w:u w:val="single"/>
          <w:lang w:val="en-US" w:eastAsia="zh-CN"/>
        </w:rPr>
        <w:t>2025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日</w:t>
      </w:r>
      <w:r>
        <w:rPr>
          <w:rFonts w:hint="eastAsia" w:ascii="宋体" w:hAnsi="宋体" w:cs="宋体"/>
          <w:szCs w:val="21"/>
          <w:highlight w:val="none"/>
        </w:rPr>
        <w:t>，每天上午</w:t>
      </w:r>
      <w:r>
        <w:rPr>
          <w:rFonts w:hint="eastAsia" w:ascii="宋体" w:hAnsi="宋体" w:cs="宋体"/>
          <w:szCs w:val="21"/>
          <w:highlight w:val="none"/>
          <w:u w:val="single"/>
        </w:rPr>
        <w:t>00:00</w:t>
      </w:r>
      <w:r>
        <w:rPr>
          <w:rFonts w:hint="eastAsia" w:ascii="宋体" w:hAnsi="宋体" w:cs="宋体"/>
          <w:szCs w:val="21"/>
          <w:highlight w:val="none"/>
        </w:rPr>
        <w:t>至</w:t>
      </w:r>
      <w:r>
        <w:rPr>
          <w:rFonts w:hint="eastAsia" w:ascii="宋体" w:hAnsi="宋体" w:cs="宋体"/>
          <w:szCs w:val="21"/>
          <w:highlight w:val="none"/>
          <w:u w:val="single"/>
        </w:rPr>
        <w:t>12:00</w:t>
      </w:r>
      <w:r>
        <w:rPr>
          <w:rFonts w:hint="eastAsia" w:ascii="宋体" w:hAnsi="宋体" w:cs="宋体"/>
          <w:szCs w:val="21"/>
          <w:highlight w:val="none"/>
        </w:rPr>
        <w:t>，下午</w:t>
      </w:r>
      <w:r>
        <w:rPr>
          <w:rFonts w:hint="eastAsia" w:ascii="宋体" w:hAnsi="宋体" w:cs="宋体"/>
          <w:szCs w:val="21"/>
          <w:highlight w:val="none"/>
          <w:u w:val="single"/>
        </w:rPr>
        <w:t>12:00</w:t>
      </w:r>
      <w:r>
        <w:rPr>
          <w:rFonts w:hint="eastAsia" w:ascii="宋体" w:hAnsi="宋体" w:cs="宋体"/>
          <w:szCs w:val="21"/>
          <w:highlight w:val="none"/>
        </w:rPr>
        <w:t>至</w:t>
      </w:r>
      <w:r>
        <w:rPr>
          <w:rFonts w:hint="eastAsia" w:ascii="宋体" w:hAnsi="宋体" w:cs="宋体"/>
          <w:szCs w:val="21"/>
          <w:highlight w:val="none"/>
          <w:u w:val="single"/>
        </w:rPr>
        <w:t>23:59</w:t>
      </w:r>
      <w:r>
        <w:rPr>
          <w:rFonts w:hint="eastAsia" w:ascii="宋体" w:hAnsi="宋体" w:cs="宋体"/>
          <w:szCs w:val="21"/>
          <w:highlight w:val="none"/>
        </w:rPr>
        <w:t>（北京时间，线上获取法定节假日均可，线下获取文件法定节假日除外）。</w:t>
      </w:r>
    </w:p>
    <w:p w14:paraId="5856D50F">
      <w:pPr>
        <w:spacing w:line="360" w:lineRule="auto"/>
        <w:ind w:firstLine="540"/>
        <w:rPr>
          <w:rFonts w:ascii="宋体" w:hAnsi="宋体" w:cs="宋体"/>
          <w:szCs w:val="21"/>
          <w:highlight w:val="none"/>
          <w:u w:val="single"/>
        </w:rPr>
      </w:pPr>
      <w:r>
        <w:rPr>
          <w:rFonts w:hint="eastAsia" w:ascii="宋体" w:hAnsi="宋体" w:cs="宋体"/>
          <w:szCs w:val="21"/>
          <w:highlight w:val="none"/>
        </w:rPr>
        <w:t>2.地点（网址）：</w:t>
      </w:r>
      <w:bookmarkStart w:id="21" w:name="OLE_LINK20"/>
      <w:r>
        <w:rPr>
          <w:rFonts w:hint="eastAsia" w:ascii="宋体" w:hAnsi="宋体" w:cs="宋体"/>
          <w:szCs w:val="21"/>
          <w:highlight w:val="none"/>
        </w:rPr>
        <w:t>政府采购云平台（www.zcygov.cn）</w:t>
      </w:r>
      <w:bookmarkEnd w:id="21"/>
      <w:r>
        <w:rPr>
          <w:rFonts w:hint="eastAsia" w:ascii="宋体" w:hAnsi="宋体" w:cs="宋体"/>
          <w:szCs w:val="21"/>
          <w:highlight w:val="none"/>
        </w:rPr>
        <w:t>。</w:t>
      </w:r>
    </w:p>
    <w:p w14:paraId="639A4FCB">
      <w:pPr>
        <w:spacing w:line="360" w:lineRule="auto"/>
        <w:ind w:firstLine="540"/>
        <w:rPr>
          <w:rFonts w:ascii="宋体" w:hAnsi="宋体" w:cs="宋体"/>
          <w:szCs w:val="21"/>
          <w:highlight w:val="none"/>
          <w:u w:val="single"/>
        </w:rPr>
      </w:pPr>
      <w:r>
        <w:rPr>
          <w:rFonts w:hint="eastAsia" w:ascii="宋体" w:hAnsi="宋体" w:cs="宋体"/>
          <w:szCs w:val="21"/>
          <w:highlight w:val="none"/>
        </w:rPr>
        <w:t>3.方式：供应商注册后直接登录“政府采购云平台”（www.zcygov.cn）下载电子招标文件。供应商未在规定时间内或未按上述方式获取招标文件的，其投标无效。</w:t>
      </w:r>
    </w:p>
    <w:p w14:paraId="51B90D27">
      <w:pPr>
        <w:spacing w:line="360" w:lineRule="auto"/>
        <w:ind w:firstLine="540"/>
        <w:rPr>
          <w:rFonts w:ascii="宋体" w:hAnsi="宋体" w:cs="宋体"/>
          <w:szCs w:val="21"/>
          <w:highlight w:val="none"/>
        </w:rPr>
      </w:pPr>
      <w:r>
        <w:rPr>
          <w:rFonts w:hint="eastAsia" w:ascii="宋体" w:hAnsi="宋体" w:cs="宋体"/>
          <w:szCs w:val="21"/>
          <w:highlight w:val="none"/>
        </w:rPr>
        <w:t>4.售价（元）：0</w:t>
      </w:r>
    </w:p>
    <w:p w14:paraId="44E1F81E">
      <w:pPr>
        <w:pStyle w:val="3"/>
        <w:spacing w:line="360" w:lineRule="auto"/>
        <w:ind w:left="452" w:leftChars="100" w:hanging="242" w:hangingChars="115"/>
        <w:rPr>
          <w:rFonts w:ascii="宋体" w:hAnsi="宋体" w:eastAsia="宋体" w:cs="宋体"/>
          <w:bCs w:val="0"/>
          <w:sz w:val="21"/>
          <w:szCs w:val="21"/>
          <w:highlight w:val="none"/>
        </w:rPr>
      </w:pPr>
      <w:bookmarkStart w:id="22" w:name="_Toc28359005"/>
      <w:bookmarkStart w:id="23" w:name="_Toc28359082"/>
      <w:bookmarkStart w:id="24" w:name="_Toc35393624"/>
      <w:bookmarkStart w:id="25" w:name="_Toc35393793"/>
      <w:r>
        <w:rPr>
          <w:rFonts w:hint="eastAsia" w:ascii="宋体" w:hAnsi="宋体" w:eastAsia="宋体" w:cs="宋体"/>
          <w:bCs w:val="0"/>
          <w:sz w:val="21"/>
          <w:szCs w:val="21"/>
          <w:highlight w:val="none"/>
        </w:rPr>
        <w:t>四、提交投标文件</w:t>
      </w:r>
      <w:bookmarkEnd w:id="22"/>
      <w:bookmarkEnd w:id="23"/>
      <w:r>
        <w:rPr>
          <w:rFonts w:hint="eastAsia" w:ascii="宋体" w:hAnsi="宋体" w:eastAsia="宋体" w:cs="宋体"/>
          <w:bCs w:val="0"/>
          <w:sz w:val="21"/>
          <w:szCs w:val="21"/>
          <w:highlight w:val="none"/>
        </w:rPr>
        <w:t>截止时间、开标时间和地点</w:t>
      </w:r>
      <w:bookmarkEnd w:id="24"/>
      <w:bookmarkEnd w:id="25"/>
    </w:p>
    <w:p w14:paraId="6210E5FD">
      <w:pPr>
        <w:spacing w:line="336" w:lineRule="auto"/>
        <w:ind w:firstLine="540"/>
        <w:rPr>
          <w:rFonts w:ascii="宋体" w:hAnsi="宋体" w:cs="宋体"/>
          <w:szCs w:val="21"/>
          <w:highlight w:val="none"/>
        </w:rPr>
      </w:pPr>
      <w:r>
        <w:rPr>
          <w:rFonts w:hint="eastAsia" w:ascii="宋体" w:hAnsi="宋体" w:cs="宋体"/>
          <w:szCs w:val="21"/>
          <w:highlight w:val="none"/>
        </w:rPr>
        <w:t>1.提交投标文件截止时间：</w:t>
      </w:r>
      <w:r>
        <w:rPr>
          <w:rFonts w:hint="eastAsia" w:ascii="宋体" w:hAnsi="宋体" w:cs="宋体"/>
          <w:szCs w:val="21"/>
          <w:highlight w:val="none"/>
          <w:lang w:val="en-US" w:eastAsia="zh-CN"/>
        </w:rPr>
        <w:t>2025</w:t>
      </w: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w:t>
      </w:r>
      <w:r>
        <w:rPr>
          <w:rFonts w:hint="eastAsia" w:ascii="宋体" w:hAnsi="宋体" w:cs="宋体"/>
          <w:szCs w:val="21"/>
          <w:highlight w:val="none"/>
          <w:lang w:val="en-US" w:eastAsia="zh-CN"/>
        </w:rPr>
        <w:t>00</w:t>
      </w:r>
      <w:r>
        <w:rPr>
          <w:rFonts w:hint="eastAsia" w:ascii="宋体" w:hAnsi="宋体" w:cs="宋体"/>
          <w:szCs w:val="21"/>
          <w:highlight w:val="none"/>
        </w:rPr>
        <w:t>时（北京时间）。</w:t>
      </w:r>
    </w:p>
    <w:p w14:paraId="6A392294">
      <w:pPr>
        <w:spacing w:line="336" w:lineRule="auto"/>
        <w:ind w:firstLine="540"/>
        <w:rPr>
          <w:rFonts w:ascii="宋体" w:hAnsi="宋体" w:cs="宋体"/>
          <w:szCs w:val="21"/>
          <w:highlight w:val="none"/>
        </w:rPr>
      </w:pPr>
      <w:r>
        <w:rPr>
          <w:rFonts w:hint="eastAsia" w:ascii="宋体" w:hAnsi="宋体" w:cs="宋体"/>
          <w:szCs w:val="21"/>
          <w:highlight w:val="none"/>
        </w:rPr>
        <w:t>2.投标地点（网址）：</w:t>
      </w:r>
      <w:r>
        <w:rPr>
          <w:rFonts w:hint="eastAsia" w:ascii="宋体" w:hAnsi="宋体" w:cs="宋体"/>
          <w:szCs w:val="21"/>
          <w:highlight w:val="none"/>
          <w:u w:val="single"/>
        </w:rPr>
        <w:t>政府采购云平台（www.zcygov.cn）</w:t>
      </w:r>
      <w:r>
        <w:rPr>
          <w:rFonts w:hint="eastAsia" w:ascii="宋体" w:hAnsi="宋体" w:cs="宋体"/>
          <w:szCs w:val="21"/>
          <w:highlight w:val="none"/>
        </w:rPr>
        <w:t>。</w:t>
      </w:r>
    </w:p>
    <w:p w14:paraId="51FC423A">
      <w:pPr>
        <w:spacing w:line="336" w:lineRule="auto"/>
        <w:ind w:firstLine="540"/>
        <w:rPr>
          <w:rFonts w:ascii="宋体" w:hAnsi="宋体" w:cs="宋体"/>
          <w:szCs w:val="21"/>
          <w:highlight w:val="none"/>
        </w:rPr>
      </w:pPr>
      <w:r>
        <w:rPr>
          <w:rFonts w:hint="eastAsia" w:ascii="宋体" w:hAnsi="宋体" w:cs="宋体"/>
          <w:szCs w:val="21"/>
          <w:highlight w:val="none"/>
        </w:rPr>
        <w:t>3.开标时间：</w:t>
      </w:r>
      <w:r>
        <w:rPr>
          <w:rFonts w:hint="eastAsia" w:ascii="宋体" w:hAnsi="宋体" w:cs="宋体"/>
          <w:szCs w:val="21"/>
          <w:highlight w:val="none"/>
          <w:lang w:val="en-US" w:eastAsia="zh-CN"/>
        </w:rPr>
        <w:t>2025</w:t>
      </w: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w:t>
      </w:r>
      <w:r>
        <w:rPr>
          <w:rFonts w:hint="eastAsia" w:ascii="宋体" w:hAnsi="宋体" w:cs="宋体"/>
          <w:szCs w:val="21"/>
          <w:highlight w:val="none"/>
          <w:lang w:val="en-US" w:eastAsia="zh-CN"/>
        </w:rPr>
        <w:t>00</w:t>
      </w:r>
      <w:r>
        <w:rPr>
          <w:rFonts w:hint="eastAsia" w:ascii="宋体" w:hAnsi="宋体" w:cs="宋体"/>
          <w:szCs w:val="21"/>
          <w:highlight w:val="none"/>
        </w:rPr>
        <w:t>时（北京时间）。</w:t>
      </w:r>
    </w:p>
    <w:p w14:paraId="5D71F931">
      <w:pPr>
        <w:spacing w:line="360" w:lineRule="auto"/>
        <w:ind w:firstLine="540"/>
        <w:rPr>
          <w:rFonts w:ascii="宋体" w:hAnsi="宋体" w:cs="宋体"/>
          <w:szCs w:val="21"/>
          <w:highlight w:val="none"/>
        </w:rPr>
      </w:pPr>
      <w:r>
        <w:rPr>
          <w:rFonts w:hint="eastAsia" w:ascii="宋体" w:hAnsi="宋体" w:cs="宋体"/>
          <w:szCs w:val="21"/>
          <w:highlight w:val="none"/>
        </w:rPr>
        <w:t>4.开标地点（网址）：</w:t>
      </w:r>
      <w:r>
        <w:rPr>
          <w:rFonts w:hint="eastAsia" w:ascii="宋体" w:hAnsi="宋体" w:cs="宋体"/>
          <w:szCs w:val="21"/>
          <w:highlight w:val="none"/>
          <w:u w:val="single"/>
        </w:rPr>
        <w:t>政府采购云平台（www.zcygov.cn）</w:t>
      </w:r>
      <w:r>
        <w:rPr>
          <w:rFonts w:hint="eastAsia" w:ascii="宋体" w:hAnsi="宋体" w:cs="宋体"/>
          <w:szCs w:val="21"/>
          <w:highlight w:val="none"/>
        </w:rPr>
        <w:t>。</w:t>
      </w:r>
    </w:p>
    <w:p w14:paraId="72087BC2">
      <w:pPr>
        <w:pStyle w:val="3"/>
        <w:spacing w:line="360" w:lineRule="auto"/>
        <w:ind w:left="452" w:leftChars="100" w:hanging="242" w:hangingChars="115"/>
        <w:rPr>
          <w:rFonts w:ascii="宋体" w:hAnsi="宋体" w:eastAsia="宋体" w:cs="宋体"/>
          <w:bCs w:val="0"/>
          <w:sz w:val="21"/>
          <w:szCs w:val="21"/>
        </w:rPr>
      </w:pPr>
      <w:bookmarkStart w:id="26" w:name="_Toc35393794"/>
      <w:bookmarkStart w:id="27" w:name="_Toc28359007"/>
      <w:bookmarkStart w:id="28" w:name="_Toc28359084"/>
      <w:bookmarkStart w:id="29" w:name="_Toc35393625"/>
      <w:r>
        <w:rPr>
          <w:rFonts w:hint="eastAsia" w:ascii="宋体" w:hAnsi="宋体" w:eastAsia="宋体" w:cs="宋体"/>
          <w:bCs w:val="0"/>
          <w:sz w:val="21"/>
          <w:szCs w:val="21"/>
        </w:rPr>
        <w:t>五、公告期限</w:t>
      </w:r>
      <w:bookmarkEnd w:id="26"/>
      <w:bookmarkEnd w:id="27"/>
      <w:bookmarkEnd w:id="28"/>
      <w:bookmarkEnd w:id="29"/>
    </w:p>
    <w:p w14:paraId="6239254F">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49BC0E06">
      <w:pPr>
        <w:pStyle w:val="3"/>
        <w:spacing w:line="360" w:lineRule="auto"/>
        <w:ind w:left="452" w:leftChars="100" w:hanging="242" w:hangingChars="115"/>
        <w:rPr>
          <w:rFonts w:ascii="宋体" w:hAnsi="宋体" w:eastAsia="宋体" w:cs="宋体"/>
          <w:bCs w:val="0"/>
          <w:sz w:val="21"/>
          <w:szCs w:val="21"/>
        </w:rPr>
      </w:pPr>
      <w:bookmarkStart w:id="30" w:name="_Toc35393626"/>
      <w:bookmarkStart w:id="31" w:name="_Toc35393795"/>
      <w:r>
        <w:rPr>
          <w:rFonts w:hint="eastAsia" w:ascii="宋体" w:hAnsi="宋体" w:eastAsia="宋体" w:cs="宋体"/>
          <w:bCs w:val="0"/>
          <w:sz w:val="21"/>
          <w:szCs w:val="21"/>
        </w:rPr>
        <w:t>六、其他补充事宜</w:t>
      </w:r>
      <w:bookmarkEnd w:id="30"/>
      <w:bookmarkEnd w:id="31"/>
    </w:p>
    <w:p w14:paraId="15C06302">
      <w:pPr>
        <w:widowControl/>
        <w:spacing w:line="336" w:lineRule="auto"/>
        <w:ind w:firstLine="420" w:firstLineChars="200"/>
        <w:rPr>
          <w:rFonts w:ascii="宋体" w:hAnsi="宋体" w:cs="宋体"/>
          <w:kern w:val="0"/>
          <w:szCs w:val="21"/>
        </w:rPr>
      </w:pPr>
      <w:bookmarkStart w:id="32" w:name="OLE_LINK21"/>
      <w:r>
        <w:rPr>
          <w:rFonts w:hint="eastAsia" w:ascii="宋体" w:hAnsi="宋体" w:cs="宋体"/>
          <w:kern w:val="0"/>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D65D48">
      <w:pPr>
        <w:widowControl/>
        <w:spacing w:line="336" w:lineRule="auto"/>
        <w:ind w:firstLine="420" w:firstLineChars="200"/>
        <w:rPr>
          <w:rFonts w:ascii="宋体" w:hAnsi="宋体" w:cs="宋体"/>
          <w:kern w:val="0"/>
          <w:szCs w:val="21"/>
        </w:rPr>
      </w:pPr>
      <w:r>
        <w:rPr>
          <w:rFonts w:hint="eastAsia" w:ascii="宋体" w:hAnsi="宋体" w:cs="宋体"/>
          <w:kern w:val="0"/>
          <w:szCs w:val="21"/>
        </w:rPr>
        <w:t>2.其他事项：</w:t>
      </w:r>
    </w:p>
    <w:p w14:paraId="2CB936D9">
      <w:pPr>
        <w:widowControl/>
        <w:spacing w:line="336" w:lineRule="auto"/>
        <w:ind w:firstLine="420" w:firstLineChars="200"/>
        <w:rPr>
          <w:rFonts w:ascii="宋体" w:hAnsi="宋体" w:cs="宋体"/>
          <w:kern w:val="0"/>
          <w:szCs w:val="21"/>
        </w:rPr>
      </w:pPr>
      <w:r>
        <w:rPr>
          <w:rFonts w:hint="eastAsia" w:ascii="宋体" w:hAnsi="宋体" w:cs="宋体"/>
          <w:kern w:val="0"/>
          <w:szCs w:val="21"/>
        </w:rPr>
        <w:t>2.1落实的政策：</w:t>
      </w:r>
    </w:p>
    <w:p w14:paraId="3E0F2409">
      <w:pPr>
        <w:widowControl/>
        <w:spacing w:line="336" w:lineRule="auto"/>
        <w:ind w:firstLine="420" w:firstLineChars="200"/>
        <w:rPr>
          <w:rFonts w:ascii="宋体" w:hAnsi="宋体" w:cs="宋体"/>
          <w:kern w:val="0"/>
          <w:szCs w:val="21"/>
        </w:rPr>
      </w:pPr>
      <w:r>
        <w:rPr>
          <w:rFonts w:hint="eastAsia" w:ascii="宋体" w:hAnsi="宋体" w:cs="宋体"/>
          <w:kern w:val="0"/>
          <w:szCs w:val="21"/>
        </w:rPr>
        <w:t>2.1.1对小微企业的产品给予价格优惠（监狱企业、残疾人福利性单位视同小微企业；残疾人福利性单位属于小型、微型企业的，不重复享受政策）；</w:t>
      </w:r>
    </w:p>
    <w:p w14:paraId="0326FD8D">
      <w:pPr>
        <w:widowControl/>
        <w:spacing w:line="336" w:lineRule="auto"/>
        <w:ind w:firstLine="420" w:firstLineChars="200"/>
        <w:rPr>
          <w:rFonts w:ascii="宋体" w:hAnsi="宋体" w:cs="宋体"/>
          <w:kern w:val="0"/>
          <w:szCs w:val="21"/>
        </w:rPr>
      </w:pPr>
      <w:r>
        <w:rPr>
          <w:rFonts w:hint="eastAsia" w:ascii="宋体" w:hAnsi="宋体" w:cs="宋体"/>
          <w:kern w:val="0"/>
          <w:szCs w:val="21"/>
        </w:rPr>
        <w:t>2.1.2扶持不发达地区和少数民族地区；</w:t>
      </w:r>
    </w:p>
    <w:p w14:paraId="4B6809C6">
      <w:pPr>
        <w:widowControl/>
        <w:spacing w:line="336" w:lineRule="auto"/>
        <w:ind w:firstLine="420" w:firstLineChars="200"/>
        <w:rPr>
          <w:rFonts w:ascii="宋体" w:hAnsi="宋体" w:cs="宋体"/>
          <w:kern w:val="0"/>
          <w:szCs w:val="21"/>
        </w:rPr>
      </w:pPr>
      <w:r>
        <w:rPr>
          <w:rFonts w:hint="eastAsia" w:ascii="宋体" w:hAnsi="宋体" w:cs="宋体"/>
          <w:kern w:val="0"/>
          <w:szCs w:val="21"/>
        </w:rPr>
        <w:t>2.2供应商需按照《浙江省政府采购供应商注册及诚信管理暂行办法》的规定在“浙江政府采购网”政采云平台注册登记的，成为浙江省政府采购注册供应商。如未注册的供应商，请注意注册所需时间。</w:t>
      </w:r>
    </w:p>
    <w:p w14:paraId="3BF354A1">
      <w:pPr>
        <w:widowControl/>
        <w:spacing w:line="336" w:lineRule="auto"/>
        <w:ind w:firstLine="420" w:firstLineChars="200"/>
        <w:rPr>
          <w:rFonts w:ascii="宋体" w:hAnsi="宋体" w:cs="宋体"/>
          <w:kern w:val="0"/>
          <w:szCs w:val="21"/>
        </w:rPr>
      </w:pPr>
      <w:r>
        <w:rPr>
          <w:rFonts w:hint="eastAsia" w:ascii="宋体" w:hAnsi="宋体" w:cs="宋体"/>
          <w:kern w:val="0"/>
          <w:szCs w:val="21"/>
        </w:rPr>
        <w:t>2.3投标与开标注意事项</w:t>
      </w:r>
    </w:p>
    <w:p w14:paraId="7E8D5E48">
      <w:pPr>
        <w:widowControl/>
        <w:spacing w:line="336" w:lineRule="auto"/>
        <w:ind w:firstLine="420" w:firstLineChars="200"/>
        <w:rPr>
          <w:rFonts w:ascii="宋体" w:hAnsi="宋体" w:cs="宋体"/>
          <w:kern w:val="0"/>
          <w:szCs w:val="21"/>
        </w:rPr>
      </w:pPr>
      <w:r>
        <w:rPr>
          <w:rFonts w:hint="eastAsia" w:ascii="宋体" w:hAnsi="宋体" w:cs="宋体"/>
          <w:kern w:val="0"/>
          <w:szCs w:val="21"/>
        </w:rPr>
        <w:t>2.3.1本项目实行网上投标，采用电子投标文件。若供应商参与投标，自行承担投标一切费用。</w:t>
      </w:r>
    </w:p>
    <w:p w14:paraId="1A0334D4">
      <w:pPr>
        <w:widowControl/>
        <w:spacing w:line="336" w:lineRule="auto"/>
        <w:ind w:firstLine="420" w:firstLineChars="200"/>
        <w:rPr>
          <w:rFonts w:ascii="宋体" w:hAnsi="宋体" w:cs="宋体"/>
          <w:kern w:val="0"/>
          <w:szCs w:val="21"/>
        </w:rPr>
      </w:pPr>
      <w:r>
        <w:rPr>
          <w:rFonts w:hint="eastAsia" w:ascii="宋体" w:hAnsi="宋体" w:cs="宋体"/>
          <w:kern w:val="0"/>
          <w:szCs w:val="21"/>
        </w:rPr>
        <w:t>2.3.2标前准备：各供应商应在开标前确保成为浙江政府采购网正式注册入库供应商，并完成CA数字证书办理。因未注册入库、未办理CA数字证书等原因造成无法投标或投标失败等后果由供应商自行承担。</w:t>
      </w:r>
    </w:p>
    <w:p w14:paraId="6BAF6D96">
      <w:pPr>
        <w:widowControl/>
        <w:spacing w:line="336" w:lineRule="auto"/>
        <w:ind w:firstLine="420" w:firstLineChars="200"/>
        <w:rPr>
          <w:rFonts w:ascii="宋体" w:hAnsi="宋体" w:cs="宋体"/>
          <w:kern w:val="0"/>
          <w:szCs w:val="21"/>
        </w:rPr>
      </w:pPr>
      <w:r>
        <w:rPr>
          <w:rFonts w:hint="eastAsia" w:ascii="宋体" w:hAnsi="宋体" w:cs="宋体"/>
          <w:kern w:val="0"/>
          <w:szCs w:val="21"/>
        </w:rPr>
        <w:t>2.3.3投标文件制作：</w:t>
      </w:r>
    </w:p>
    <w:p w14:paraId="1F35B224">
      <w:pPr>
        <w:widowControl/>
        <w:spacing w:line="336" w:lineRule="auto"/>
        <w:ind w:firstLine="420" w:firstLineChars="200"/>
        <w:rPr>
          <w:rFonts w:ascii="宋体" w:hAnsi="宋体" w:cs="宋体"/>
          <w:kern w:val="0"/>
          <w:szCs w:val="21"/>
        </w:rPr>
      </w:pPr>
      <w:r>
        <w:rPr>
          <w:rFonts w:hint="eastAsia" w:ascii="宋体" w:hAnsi="宋体" w:cs="宋体"/>
          <w:kern w:val="0"/>
          <w:szCs w:val="21"/>
        </w:rPr>
        <w:t>2.3.3.1应按照本项目招标文件和政府采购云平台的要求编制、加密并递交投标文件。供应商在使用系统进行投标的过程中遇到涉及平台使用的任何问题，可致电政府采购云平台技术支持热线咨询，联系方式：95763。</w:t>
      </w:r>
    </w:p>
    <w:p w14:paraId="4D8C0F33">
      <w:pPr>
        <w:widowControl/>
        <w:spacing w:line="336" w:lineRule="auto"/>
        <w:ind w:firstLine="420" w:firstLineChars="200"/>
        <w:rPr>
          <w:rFonts w:ascii="宋体" w:hAnsi="宋体" w:cs="宋体"/>
          <w:kern w:val="0"/>
          <w:szCs w:val="21"/>
        </w:rPr>
      </w:pPr>
      <w:r>
        <w:rPr>
          <w:rFonts w:hint="eastAsia" w:ascii="宋体" w:hAnsi="宋体" w:cs="宋体"/>
          <w:kern w:val="0"/>
          <w:szCs w:val="21"/>
        </w:rPr>
        <w:t>2.3.3.2供应商通过政府采购云平台电子投标工具制作投标文件，电子投标工具请供应商自行前往浙江政府采购网下载并安装，投标文件制作具体流程详见政府采购云平台。</w:t>
      </w:r>
    </w:p>
    <w:p w14:paraId="7117920A">
      <w:pPr>
        <w:widowControl/>
        <w:spacing w:line="336" w:lineRule="auto"/>
        <w:ind w:firstLine="420" w:firstLineChars="200"/>
        <w:rPr>
          <w:rFonts w:ascii="宋体" w:hAnsi="宋体" w:cs="宋体"/>
          <w:kern w:val="0"/>
          <w:szCs w:val="21"/>
        </w:rPr>
      </w:pPr>
      <w:r>
        <w:rPr>
          <w:rFonts w:hint="eastAsia" w:ascii="宋体" w:hAnsi="宋体" w:cs="宋体"/>
          <w:kern w:val="0"/>
          <w:szCs w:val="21"/>
        </w:rPr>
        <w:t>2.3.3.3以U盘存储的电子备份投标文件1份，按政府采购云平台要求</w:t>
      </w:r>
      <w:r>
        <w:rPr>
          <w:rFonts w:hint="eastAsia" w:ascii="宋体" w:hAnsi="宋体" w:cs="宋体"/>
          <w:szCs w:val="21"/>
        </w:rPr>
        <w:t>制作的电子备份文件</w:t>
      </w:r>
      <w:r>
        <w:rPr>
          <w:rFonts w:hint="eastAsia" w:ascii="宋体" w:hAnsi="宋体" w:cs="宋体"/>
          <w:kern w:val="0"/>
          <w:szCs w:val="21"/>
        </w:rPr>
        <w:t>，以用于异常情况处理。</w:t>
      </w:r>
    </w:p>
    <w:p w14:paraId="2D0F2515">
      <w:pPr>
        <w:snapToGrid w:val="0"/>
        <w:spacing w:line="360" w:lineRule="auto"/>
        <w:ind w:firstLine="420"/>
        <w:rPr>
          <w:rFonts w:ascii="宋体" w:hAnsi="宋体" w:cs="宋体"/>
          <w:bCs/>
          <w:szCs w:val="21"/>
        </w:rPr>
      </w:pPr>
      <w:r>
        <w:rPr>
          <w:rFonts w:hint="eastAsia" w:ascii="宋体" w:hAnsi="宋体" w:cs="宋体"/>
          <w:kern w:val="0"/>
          <w:szCs w:val="21"/>
        </w:rPr>
        <w:t>2.4本招标公告附件中的招标文件仅供阅览使用，供应商应在规定的招标文件获取期限内在政采云平台登录供应商注册的账号后获取招标文件，未按上述方式获取招标文件的，不得对招标文件提起质疑投诉。</w:t>
      </w:r>
    </w:p>
    <w:p w14:paraId="79F0552D">
      <w:pPr>
        <w:widowControl/>
        <w:spacing w:line="336" w:lineRule="auto"/>
        <w:ind w:firstLine="420" w:firstLineChars="200"/>
        <w:rPr>
          <w:rFonts w:ascii="宋体" w:hAnsi="宋体" w:cs="宋体"/>
          <w:kern w:val="0"/>
          <w:szCs w:val="21"/>
        </w:rPr>
      </w:pPr>
      <w:r>
        <w:rPr>
          <w:rFonts w:hint="eastAsia" w:ascii="宋体" w:hAnsi="宋体" w:cs="宋体"/>
          <w:kern w:val="0"/>
          <w:szCs w:val="21"/>
        </w:rPr>
        <w:t>2.5供应商应于投标截止时间前将电子投标文件上传到政府采购云平台www.zcygov.cn，未上传电子投标文件，视为供应商放弃投标。</w:t>
      </w:r>
    </w:p>
    <w:p w14:paraId="3C29F392">
      <w:pPr>
        <w:widowControl/>
        <w:spacing w:line="336" w:lineRule="auto"/>
        <w:ind w:firstLine="420" w:firstLineChars="200"/>
        <w:rPr>
          <w:rFonts w:ascii="宋体" w:hAnsi="宋体" w:cs="宋体"/>
          <w:kern w:val="0"/>
          <w:szCs w:val="21"/>
        </w:rPr>
      </w:pPr>
      <w:r>
        <w:rPr>
          <w:rFonts w:hint="eastAsia" w:ascii="宋体" w:hAnsi="宋体" w:cs="宋体"/>
          <w:kern w:val="0"/>
          <w:szCs w:val="21"/>
        </w:rPr>
        <w:t>2.6供应商如提供备份投标文件的，应于提交投标文件截止时间前，将以U盘存储的电子备份投标文件密封，递交至</w:t>
      </w:r>
      <w:r>
        <w:rPr>
          <w:rFonts w:hint="eastAsia" w:ascii="宋体" w:hAnsi="宋体" w:cs="宋体"/>
          <w:szCs w:val="21"/>
          <w:u w:val="single"/>
        </w:rPr>
        <w:t>宁海县兴工二路29号3楼</w:t>
      </w:r>
      <w:r>
        <w:rPr>
          <w:rFonts w:hint="eastAsia" w:ascii="宋体" w:hAnsi="宋体" w:cs="宋体"/>
          <w:kern w:val="0"/>
          <w:szCs w:val="21"/>
        </w:rPr>
        <w:t>，逾期送达或未密封将予以拒收。供应商仅提供以U盘存储的电子备份投标文件的，投标无效。</w:t>
      </w:r>
    </w:p>
    <w:p w14:paraId="0AFD358C">
      <w:pPr>
        <w:widowControl/>
        <w:spacing w:line="360" w:lineRule="auto"/>
        <w:ind w:firstLine="420" w:firstLineChars="200"/>
        <w:rPr>
          <w:rFonts w:ascii="宋体" w:hAnsi="宋体" w:cs="宋体"/>
          <w:kern w:val="0"/>
          <w:szCs w:val="21"/>
        </w:rPr>
      </w:pPr>
      <w:r>
        <w:rPr>
          <w:rFonts w:hint="eastAsia" w:ascii="宋体" w:hAnsi="宋体" w:cs="宋体"/>
          <w:kern w:val="0"/>
          <w:szCs w:val="21"/>
        </w:rPr>
        <w:t>2.7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w:t>
      </w:r>
    </w:p>
    <w:p w14:paraId="34BBAB11">
      <w:pPr>
        <w:widowControl/>
        <w:spacing w:line="360" w:lineRule="auto"/>
        <w:ind w:firstLine="420" w:firstLineChars="200"/>
        <w:rPr>
          <w:rFonts w:ascii="宋体" w:hAnsi="宋体" w:cs="宋体"/>
          <w:kern w:val="0"/>
          <w:szCs w:val="21"/>
        </w:rPr>
      </w:pPr>
      <w:r>
        <w:rPr>
          <w:rFonts w:hint="eastAsia" w:ascii="宋体" w:hAnsi="宋体" w:cs="宋体"/>
          <w:kern w:val="0"/>
          <w:szCs w:val="21"/>
        </w:rPr>
        <w:t>2.8供应商可采用邮寄（含快递）方式或现场方式递交备份投标文件。</w:t>
      </w:r>
    </w:p>
    <w:p w14:paraId="30D3A8D2">
      <w:pPr>
        <w:widowControl/>
        <w:spacing w:line="360" w:lineRule="auto"/>
        <w:ind w:firstLine="420" w:firstLineChars="200"/>
        <w:rPr>
          <w:rFonts w:ascii="宋体" w:hAnsi="宋体" w:cs="宋体"/>
          <w:kern w:val="0"/>
          <w:szCs w:val="21"/>
        </w:rPr>
      </w:pPr>
      <w:r>
        <w:rPr>
          <w:rFonts w:hint="eastAsia" w:ascii="宋体" w:hAnsi="宋体" w:cs="宋体"/>
          <w:kern w:val="0"/>
          <w:szCs w:val="21"/>
        </w:rPr>
        <w:t>2.8.1采用邮寄方式递交备份投标文件，需按以下要求递交：</w:t>
      </w:r>
    </w:p>
    <w:p w14:paraId="2004829D">
      <w:pPr>
        <w:widowControl/>
        <w:spacing w:line="360" w:lineRule="auto"/>
        <w:ind w:firstLine="420" w:firstLineChars="200"/>
        <w:rPr>
          <w:rFonts w:ascii="宋体" w:hAnsi="宋体" w:cs="宋体"/>
          <w:kern w:val="0"/>
          <w:szCs w:val="21"/>
        </w:rPr>
      </w:pPr>
      <w:r>
        <w:rPr>
          <w:rFonts w:hint="eastAsia" w:ascii="宋体" w:hAnsi="宋体" w:cs="宋体"/>
          <w:kern w:val="0"/>
          <w:szCs w:val="21"/>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66C42A1">
      <w:pPr>
        <w:widowControl/>
        <w:spacing w:line="360" w:lineRule="auto"/>
        <w:ind w:firstLine="420" w:firstLineChars="200"/>
        <w:rPr>
          <w:rFonts w:ascii="宋体" w:hAnsi="宋体" w:cs="宋体"/>
          <w:kern w:val="0"/>
          <w:szCs w:val="21"/>
        </w:rPr>
      </w:pPr>
      <w:r>
        <w:rPr>
          <w:rFonts w:hint="eastAsia" w:ascii="宋体" w:hAnsi="宋体" w:cs="宋体"/>
          <w:kern w:val="0"/>
          <w:szCs w:val="21"/>
        </w:rPr>
        <w:t>邮寄须在</w:t>
      </w:r>
      <w:r>
        <w:rPr>
          <w:rFonts w:hint="eastAsia" w:ascii="宋体" w:hAnsi="宋体" w:cs="宋体"/>
          <w:kern w:val="0"/>
          <w:szCs w:val="21"/>
          <w:lang w:val="en-US" w:eastAsia="zh-CN"/>
        </w:rPr>
        <w:t>2025</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日（含）17:00前到件，邮寄地址为：宁海县兴工二路29号3楼中冠工程管理咨询有限公司；</w:t>
      </w:r>
    </w:p>
    <w:p w14:paraId="54F603FB">
      <w:pPr>
        <w:widowControl/>
        <w:spacing w:line="360" w:lineRule="auto"/>
        <w:ind w:firstLine="420" w:firstLineChars="200"/>
        <w:rPr>
          <w:rFonts w:ascii="宋体" w:hAnsi="宋体" w:cs="宋体"/>
          <w:kern w:val="0"/>
          <w:szCs w:val="21"/>
        </w:rPr>
      </w:pPr>
      <w:r>
        <w:rPr>
          <w:rFonts w:hint="eastAsia" w:ascii="宋体" w:hAnsi="宋体" w:cs="宋体"/>
          <w:kern w:val="0"/>
          <w:szCs w:val="21"/>
        </w:rPr>
        <w:t>请各供应商确保密封包装在邮寄过程密封包装完好，因邮寄过程的密封破损造成不符合开标要求的，本采购代理及采购人概不负责。</w:t>
      </w:r>
    </w:p>
    <w:p w14:paraId="31E86995">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2.9开标过程全程视频监控记录。</w:t>
      </w:r>
    </w:p>
    <w:p w14:paraId="2EE2F92D">
      <w:pPr>
        <w:widowControl/>
        <w:spacing w:line="360" w:lineRule="auto"/>
        <w:ind w:firstLine="420" w:firstLineChars="200"/>
        <w:rPr>
          <w:rFonts w:hint="default" w:ascii="宋体" w:hAnsi="宋体" w:eastAsia="宋体" w:cs="宋体"/>
          <w:kern w:val="0"/>
          <w:szCs w:val="21"/>
          <w:lang w:val="en-US" w:eastAsia="zh-CN"/>
        </w:rPr>
      </w:pPr>
      <w:r>
        <w:rPr>
          <w:rFonts w:hint="eastAsia" w:ascii="宋体" w:hAnsi="宋体" w:cs="宋体"/>
          <w:kern w:val="0"/>
          <w:szCs w:val="21"/>
          <w:lang w:val="en-US" w:eastAsia="zh-CN"/>
        </w:rPr>
        <w:t>3.</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bookmarkEnd w:id="32"/>
    <w:p w14:paraId="738F545F">
      <w:pPr>
        <w:pStyle w:val="3"/>
        <w:spacing w:line="360" w:lineRule="auto"/>
        <w:ind w:left="452" w:leftChars="100" w:hanging="242" w:hangingChars="115"/>
        <w:rPr>
          <w:rFonts w:ascii="宋体" w:hAnsi="宋体" w:eastAsia="宋体" w:cs="宋体"/>
          <w:bCs w:val="0"/>
          <w:sz w:val="21"/>
          <w:szCs w:val="21"/>
        </w:rPr>
      </w:pPr>
      <w:bookmarkStart w:id="33" w:name="_Toc28359008"/>
      <w:bookmarkStart w:id="34" w:name="_Toc28359085"/>
      <w:bookmarkStart w:id="35" w:name="_Toc35393796"/>
      <w:bookmarkStart w:id="36" w:name="_Toc35393627"/>
      <w:r>
        <w:rPr>
          <w:rFonts w:hint="eastAsia" w:ascii="宋体" w:hAnsi="宋体" w:eastAsia="宋体" w:cs="宋体"/>
          <w:bCs w:val="0"/>
          <w:sz w:val="21"/>
          <w:szCs w:val="21"/>
        </w:rPr>
        <w:t>七、对本次采购提出询问、质疑、投诉，请按以下方式联系。</w:t>
      </w:r>
      <w:bookmarkEnd w:id="33"/>
      <w:bookmarkEnd w:id="34"/>
      <w:bookmarkEnd w:id="35"/>
      <w:bookmarkEnd w:id="36"/>
    </w:p>
    <w:p w14:paraId="6CCB8BC1">
      <w:pPr>
        <w:widowControl/>
        <w:spacing w:line="440" w:lineRule="exact"/>
        <w:ind w:firstLine="630" w:firstLineChars="300"/>
        <w:jc w:val="left"/>
        <w:rPr>
          <w:rFonts w:ascii="宋体" w:hAnsi="宋体" w:cs="宋体"/>
        </w:rPr>
      </w:pPr>
      <w:bookmarkStart w:id="37" w:name="OLE_LINK12"/>
      <w:r>
        <w:rPr>
          <w:rFonts w:hint="eastAsia" w:ascii="宋体" w:hAnsi="宋体" w:cs="宋体"/>
        </w:rPr>
        <w:t xml:space="preserve">  采购人：</w:t>
      </w:r>
      <w:bookmarkStart w:id="38" w:name="OLE_LINK10"/>
      <w:bookmarkStart w:id="39" w:name="OLE_LINK13"/>
      <w:r>
        <w:rPr>
          <w:rFonts w:hint="eastAsia" w:ascii="宋体" w:hAnsi="宋体" w:cs="宋体"/>
          <w:lang w:eastAsia="zh-CN"/>
        </w:rPr>
        <w:t>宁海县交通运输局</w:t>
      </w:r>
      <w:bookmarkEnd w:id="38"/>
      <w:r>
        <w:rPr>
          <w:rFonts w:hint="eastAsia" w:ascii="宋体" w:hAnsi="宋体" w:cs="宋体"/>
        </w:rPr>
        <w:t xml:space="preserve"> </w:t>
      </w:r>
      <w:bookmarkEnd w:id="39"/>
      <w:r>
        <w:rPr>
          <w:rFonts w:hint="eastAsia" w:ascii="宋体" w:hAnsi="宋体" w:cs="宋体"/>
        </w:rPr>
        <w:t xml:space="preserve"> </w:t>
      </w:r>
    </w:p>
    <w:p w14:paraId="7A4DB40B">
      <w:pPr>
        <w:widowControl/>
        <w:spacing w:line="440" w:lineRule="exact"/>
        <w:ind w:firstLine="630" w:firstLineChars="300"/>
        <w:jc w:val="left"/>
        <w:rPr>
          <w:rFonts w:ascii="宋体" w:hAnsi="宋体" w:cs="宋体"/>
        </w:rPr>
      </w:pPr>
      <w:r>
        <w:rPr>
          <w:rFonts w:hint="eastAsia" w:ascii="宋体" w:hAnsi="宋体" w:cs="宋体"/>
        </w:rPr>
        <w:t xml:space="preserve">  联系人：叶先生   </w:t>
      </w:r>
    </w:p>
    <w:p w14:paraId="3723FFC6">
      <w:pPr>
        <w:widowControl/>
        <w:spacing w:line="440" w:lineRule="exact"/>
        <w:ind w:firstLine="840" w:firstLineChars="400"/>
        <w:jc w:val="left"/>
        <w:rPr>
          <w:rFonts w:ascii="宋体" w:hAnsi="宋体" w:cs="宋体"/>
        </w:rPr>
      </w:pPr>
      <w:r>
        <w:rPr>
          <w:rFonts w:hint="eastAsia" w:ascii="宋体" w:hAnsi="宋体" w:cs="宋体"/>
        </w:rPr>
        <w:t>地    址：</w:t>
      </w:r>
      <w:bookmarkStart w:id="40" w:name="OLE_LINK14"/>
      <w:r>
        <w:rPr>
          <w:rFonts w:hint="eastAsia" w:ascii="宋体" w:hAnsi="宋体" w:cs="宋体"/>
        </w:rPr>
        <w:t>宁海县桃源街道兴海北路99号</w:t>
      </w:r>
      <w:bookmarkEnd w:id="40"/>
    </w:p>
    <w:p w14:paraId="381FE732">
      <w:pPr>
        <w:widowControl/>
        <w:spacing w:line="440" w:lineRule="exact"/>
        <w:ind w:firstLine="630" w:firstLineChars="300"/>
        <w:jc w:val="left"/>
        <w:rPr>
          <w:rFonts w:ascii="宋体" w:hAnsi="宋体" w:cs="宋体"/>
        </w:rPr>
      </w:pPr>
      <w:r>
        <w:rPr>
          <w:rFonts w:hint="eastAsia" w:ascii="宋体" w:hAnsi="宋体" w:cs="宋体"/>
        </w:rPr>
        <w:t xml:space="preserve">  联系电话：</w:t>
      </w:r>
      <w:bookmarkStart w:id="41" w:name="OLE_LINK15"/>
      <w:bookmarkStart w:id="42" w:name="OLE_LINK16"/>
      <w:r>
        <w:rPr>
          <w:rFonts w:hint="eastAsia" w:ascii="宋体" w:hAnsi="宋体" w:cs="宋体"/>
        </w:rPr>
        <w:t>0574-83522171</w:t>
      </w:r>
      <w:bookmarkEnd w:id="41"/>
    </w:p>
    <w:bookmarkEnd w:id="42"/>
    <w:p w14:paraId="54FFD420">
      <w:pPr>
        <w:widowControl/>
        <w:spacing w:line="440" w:lineRule="exact"/>
        <w:ind w:firstLine="840" w:firstLineChars="400"/>
        <w:jc w:val="left"/>
        <w:rPr>
          <w:rFonts w:ascii="宋体" w:hAnsi="宋体" w:cs="宋体"/>
        </w:rPr>
      </w:pPr>
      <w:r>
        <w:rPr>
          <w:rFonts w:hint="eastAsia" w:ascii="宋体" w:hAnsi="宋体" w:cs="宋体"/>
        </w:rPr>
        <w:t>质疑联系人：</w:t>
      </w:r>
      <w:bookmarkStart w:id="43" w:name="OLE_LINK5"/>
      <w:r>
        <w:rPr>
          <w:rFonts w:hint="eastAsia" w:ascii="宋体" w:hAnsi="宋体" w:cs="宋体"/>
        </w:rPr>
        <w:t>叶先生</w:t>
      </w:r>
      <w:bookmarkEnd w:id="43"/>
      <w:r>
        <w:rPr>
          <w:rFonts w:hint="eastAsia" w:ascii="宋体" w:hAnsi="宋体" w:cs="宋体"/>
        </w:rPr>
        <w:t>    </w:t>
      </w:r>
    </w:p>
    <w:p w14:paraId="09C1D9E1">
      <w:pPr>
        <w:widowControl/>
        <w:spacing w:line="440" w:lineRule="exact"/>
        <w:ind w:firstLine="840" w:firstLineChars="400"/>
        <w:jc w:val="left"/>
        <w:rPr>
          <w:rFonts w:ascii="宋体" w:hAnsi="宋体" w:cs="宋体"/>
        </w:rPr>
      </w:pPr>
      <w:r>
        <w:rPr>
          <w:rFonts w:hint="eastAsia" w:ascii="宋体" w:hAnsi="宋体" w:cs="宋体"/>
        </w:rPr>
        <w:t>质疑联系方式：</w:t>
      </w:r>
      <w:bookmarkStart w:id="44" w:name="OLE_LINK8"/>
      <w:r>
        <w:rPr>
          <w:rFonts w:hint="eastAsia" w:ascii="宋体" w:hAnsi="宋体" w:cs="宋体"/>
        </w:rPr>
        <w:t>0574-83522171</w:t>
      </w:r>
      <w:bookmarkEnd w:id="44"/>
    </w:p>
    <w:bookmarkEnd w:id="37"/>
    <w:p w14:paraId="4960EB08">
      <w:pPr>
        <w:widowControl/>
        <w:spacing w:line="440" w:lineRule="exact"/>
        <w:jc w:val="left"/>
        <w:rPr>
          <w:rFonts w:ascii="宋体" w:hAnsi="宋体" w:cs="宋体"/>
        </w:rPr>
      </w:pPr>
    </w:p>
    <w:p w14:paraId="12023C27">
      <w:pPr>
        <w:widowControl/>
        <w:spacing w:line="440" w:lineRule="exact"/>
        <w:ind w:firstLine="840" w:firstLineChars="400"/>
        <w:jc w:val="left"/>
        <w:rPr>
          <w:rFonts w:ascii="宋体" w:hAnsi="宋体" w:cs="宋体"/>
        </w:rPr>
      </w:pPr>
      <w:r>
        <w:rPr>
          <w:rFonts w:hint="eastAsia" w:ascii="宋体" w:hAnsi="宋体" w:cs="宋体"/>
        </w:rPr>
        <w:t>代理机构：中冠工程管理咨询有限公司</w:t>
      </w:r>
    </w:p>
    <w:p w14:paraId="210D6315">
      <w:pPr>
        <w:widowControl/>
        <w:spacing w:line="440" w:lineRule="exact"/>
        <w:ind w:firstLine="420" w:firstLineChars="200"/>
        <w:jc w:val="left"/>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地    址：</w:t>
      </w:r>
      <w:r>
        <w:rPr>
          <w:rFonts w:hint="eastAsia" w:ascii="宋体" w:hAnsi="宋体"/>
          <w:szCs w:val="21"/>
        </w:rPr>
        <w:t>宁海县兴工二路29号3楼</w:t>
      </w:r>
    </w:p>
    <w:p w14:paraId="55CF4283">
      <w:pPr>
        <w:widowControl/>
        <w:spacing w:line="440" w:lineRule="exact"/>
        <w:ind w:firstLine="420" w:firstLineChars="200"/>
        <w:jc w:val="left"/>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联 系 人：鲍建锋        </w:t>
      </w:r>
    </w:p>
    <w:p w14:paraId="2F6FD9D3">
      <w:pPr>
        <w:widowControl/>
        <w:spacing w:line="440" w:lineRule="exact"/>
        <w:ind w:firstLine="420" w:firstLineChars="200"/>
        <w:jc w:val="left"/>
        <w:rPr>
          <w:rFonts w:ascii="宋体" w:hAnsi="宋体"/>
          <w:szCs w:val="21"/>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联系电话（传真）：</w:t>
      </w:r>
      <w:r>
        <w:rPr>
          <w:rFonts w:hint="eastAsia" w:ascii="宋体" w:hAnsi="宋体"/>
          <w:szCs w:val="21"/>
        </w:rPr>
        <w:t>0574-83556096</w:t>
      </w:r>
    </w:p>
    <w:p w14:paraId="00EB57E1">
      <w:pPr>
        <w:widowControl/>
        <w:spacing w:line="440" w:lineRule="exact"/>
        <w:ind w:firstLine="840" w:firstLineChars="400"/>
        <w:jc w:val="left"/>
        <w:rPr>
          <w:rFonts w:ascii="宋体" w:hAnsi="宋体"/>
          <w:szCs w:val="21"/>
        </w:rPr>
      </w:pPr>
      <w:r>
        <w:rPr>
          <w:rFonts w:hint="eastAsia" w:ascii="宋体" w:hAnsi="宋体"/>
          <w:szCs w:val="21"/>
        </w:rPr>
        <w:t>质疑联系人：周全   </w:t>
      </w:r>
    </w:p>
    <w:p w14:paraId="12D88018">
      <w:pPr>
        <w:widowControl/>
        <w:spacing w:line="440" w:lineRule="exact"/>
        <w:ind w:firstLine="840" w:firstLineChars="400"/>
        <w:jc w:val="left"/>
        <w:rPr>
          <w:rFonts w:ascii="宋体" w:hAnsi="宋体" w:cs="宋体"/>
        </w:rPr>
      </w:pPr>
      <w:r>
        <w:rPr>
          <w:rFonts w:hint="eastAsia" w:ascii="宋体" w:hAnsi="宋体"/>
          <w:szCs w:val="21"/>
        </w:rPr>
        <w:t>质疑联系方式：0574-83556096</w:t>
      </w:r>
    </w:p>
    <w:p w14:paraId="699DBDAB">
      <w:pPr>
        <w:widowControl/>
        <w:spacing w:line="440" w:lineRule="exact"/>
        <w:ind w:firstLine="420" w:firstLineChars="200"/>
        <w:jc w:val="left"/>
        <w:rPr>
          <w:rFonts w:ascii="宋体" w:hAnsi="宋体" w:cs="宋体"/>
        </w:rPr>
      </w:pPr>
    </w:p>
    <w:p w14:paraId="79DD6066">
      <w:pPr>
        <w:widowControl/>
        <w:spacing w:line="440" w:lineRule="exact"/>
        <w:ind w:firstLine="840" w:firstLineChars="400"/>
        <w:jc w:val="left"/>
        <w:rPr>
          <w:rFonts w:ascii="宋体" w:hAnsi="宋体" w:cs="宋体"/>
        </w:rPr>
      </w:pPr>
      <w:r>
        <w:rPr>
          <w:rFonts w:hint="eastAsia" w:ascii="宋体" w:hAnsi="宋体" w:cs="宋体"/>
        </w:rPr>
        <w:t>财政部门：</w:t>
      </w:r>
      <w:bookmarkStart w:id="45" w:name="OLE_LINK22"/>
      <w:r>
        <w:rPr>
          <w:rFonts w:hint="eastAsia" w:ascii="宋体" w:hAnsi="宋体" w:cs="宋体"/>
        </w:rPr>
        <w:t>宁海县政府采购管理办公室</w:t>
      </w:r>
      <w:bookmarkEnd w:id="45"/>
    </w:p>
    <w:p w14:paraId="5379E4D6">
      <w:pPr>
        <w:widowControl/>
        <w:spacing w:line="440" w:lineRule="exact"/>
        <w:ind w:firstLine="630" w:firstLineChars="300"/>
        <w:jc w:val="left"/>
        <w:rPr>
          <w:rFonts w:ascii="宋体" w:hAnsi="宋体" w:cs="宋体"/>
        </w:rPr>
      </w:pPr>
      <w:r>
        <w:rPr>
          <w:rFonts w:hint="eastAsia" w:ascii="宋体" w:hAnsi="宋体" w:cs="宋体"/>
        </w:rPr>
        <w:t> 地    址：</w:t>
      </w:r>
      <w:bookmarkStart w:id="46" w:name="OLE_LINK25"/>
      <w:r>
        <w:rPr>
          <w:rFonts w:hint="eastAsia" w:ascii="宋体" w:hAnsi="宋体" w:cs="宋体"/>
        </w:rPr>
        <w:t>宁海县桃源中路218号</w:t>
      </w:r>
      <w:bookmarkEnd w:id="46"/>
    </w:p>
    <w:p w14:paraId="038DC6CA">
      <w:pPr>
        <w:widowControl/>
        <w:spacing w:line="440" w:lineRule="exact"/>
        <w:ind w:firstLine="420" w:firstLineChars="200"/>
        <w:jc w:val="left"/>
        <w:rPr>
          <w:rFonts w:ascii="宋体" w:hAnsi="宋体" w:cs="宋体"/>
        </w:rPr>
      </w:pPr>
      <w:r>
        <w:rPr>
          <w:rFonts w:hint="eastAsia" w:ascii="宋体" w:hAnsi="宋体" w:cs="宋体"/>
        </w:rPr>
        <w:t> </w:t>
      </w:r>
      <w:r>
        <w:rPr>
          <w:rFonts w:hint="eastAsia" w:ascii="宋体" w:hAnsi="宋体" w:cs="宋体"/>
          <w:lang w:val="en-US" w:eastAsia="zh-CN"/>
        </w:rPr>
        <w:t xml:space="preserve">  </w:t>
      </w:r>
      <w:r>
        <w:rPr>
          <w:rFonts w:hint="eastAsia" w:ascii="宋体" w:hAnsi="宋体" w:cs="宋体"/>
        </w:rPr>
        <w:t>联系人：</w:t>
      </w:r>
      <w:bookmarkStart w:id="47" w:name="OLE_LINK23"/>
      <w:r>
        <w:rPr>
          <w:rFonts w:hint="eastAsia" w:ascii="宋体" w:hAnsi="宋体" w:cs="宋体"/>
        </w:rPr>
        <w:t>王老师</w:t>
      </w:r>
      <w:bookmarkEnd w:id="47"/>
    </w:p>
    <w:p w14:paraId="59487ACE">
      <w:pPr>
        <w:widowControl/>
        <w:spacing w:line="440" w:lineRule="exact"/>
        <w:ind w:firstLine="840" w:firstLineChars="400"/>
        <w:jc w:val="left"/>
        <w:rPr>
          <w:rFonts w:ascii="宋体" w:hAnsi="宋体" w:cs="宋体"/>
        </w:rPr>
      </w:pPr>
      <w:r>
        <w:rPr>
          <w:rFonts w:hint="eastAsia" w:ascii="宋体" w:hAnsi="宋体" w:cs="宋体"/>
        </w:rPr>
        <w:t>联系电话：</w:t>
      </w:r>
      <w:bookmarkStart w:id="48" w:name="OLE_LINK24"/>
      <w:r>
        <w:rPr>
          <w:rFonts w:hint="eastAsia" w:ascii="宋体" w:hAnsi="宋体" w:cs="宋体"/>
        </w:rPr>
        <w:t>0574-65265668</w:t>
      </w:r>
      <w:bookmarkEnd w:id="48"/>
    </w:p>
    <w:p w14:paraId="0612F9CA">
      <w:pPr>
        <w:spacing w:line="360" w:lineRule="auto"/>
        <w:ind w:firstLine="420" w:firstLineChars="200"/>
        <w:rPr>
          <w:rFonts w:ascii="宋体" w:hAnsi="宋体" w:cs="宋体"/>
        </w:rPr>
      </w:pPr>
    </w:p>
    <w:p w14:paraId="63860404">
      <w:pPr>
        <w:spacing w:line="360" w:lineRule="auto"/>
        <w:ind w:firstLine="420" w:firstLineChars="200"/>
        <w:rPr>
          <w:rFonts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若对项目采购电子交易系统操作有疑问，可登录政采云（https://www.zcygov.cn/），点击右侧咨询小采，获取采小蜜智能服务管家帮助，或拨打政采云服务热线95763获取热线服务帮助。</w:t>
      </w:r>
    </w:p>
    <w:p w14:paraId="0900A5B8">
      <w:pPr>
        <w:snapToGrid w:val="0"/>
        <w:spacing w:line="360" w:lineRule="auto"/>
        <w:ind w:firstLine="420" w:firstLineChars="200"/>
        <w:rPr>
          <w:rFonts w:ascii="宋体" w:hAnsi="宋体" w:cs="宋体"/>
        </w:rPr>
      </w:pPr>
      <w:r>
        <w:rPr>
          <w:rFonts w:hint="eastAsia" w:ascii="宋体" w:hAnsi="宋体" w:cs="宋体"/>
        </w:rPr>
        <w:t>CA问题联系电话（人工）：汇信CA 400-888-4636；天谷CA 400-087-8198。</w:t>
      </w:r>
    </w:p>
    <w:p w14:paraId="326361D3">
      <w:pPr>
        <w:snapToGrid w:val="0"/>
        <w:spacing w:line="360" w:lineRule="auto"/>
        <w:ind w:firstLine="420" w:firstLineChars="200"/>
        <w:rPr>
          <w:rFonts w:ascii="宋体" w:hAnsi="宋体" w:cs="宋体"/>
        </w:rPr>
      </w:pPr>
    </w:p>
    <w:p w14:paraId="11F3E24E">
      <w:pPr>
        <w:snapToGrid w:val="0"/>
        <w:spacing w:line="360" w:lineRule="auto"/>
        <w:ind w:firstLine="420" w:firstLineChars="200"/>
        <w:rPr>
          <w:rFonts w:ascii="宋体" w:hAnsi="宋体" w:cs="宋体"/>
        </w:rPr>
      </w:pPr>
    </w:p>
    <w:p w14:paraId="69143F31">
      <w:pPr>
        <w:snapToGrid w:val="0"/>
        <w:spacing w:line="360" w:lineRule="auto"/>
        <w:ind w:firstLine="420" w:firstLineChars="200"/>
        <w:rPr>
          <w:rFonts w:ascii="宋体" w:hAnsi="宋体" w:cs="宋体"/>
        </w:rPr>
      </w:pPr>
    </w:p>
    <w:p w14:paraId="5B291416">
      <w:pPr>
        <w:snapToGrid w:val="0"/>
        <w:spacing w:line="360" w:lineRule="auto"/>
        <w:ind w:firstLine="420" w:firstLineChars="200"/>
        <w:rPr>
          <w:rFonts w:ascii="宋体" w:hAnsi="宋体" w:cs="宋体"/>
        </w:rPr>
      </w:pPr>
    </w:p>
    <w:p w14:paraId="74A2B51F">
      <w:pPr>
        <w:snapToGrid w:val="0"/>
        <w:spacing w:line="360" w:lineRule="auto"/>
        <w:ind w:firstLine="420" w:firstLineChars="200"/>
        <w:rPr>
          <w:rFonts w:ascii="宋体" w:hAnsi="宋体" w:cs="宋体"/>
        </w:rPr>
      </w:pPr>
    </w:p>
    <w:p w14:paraId="70E2E2C3">
      <w:pPr>
        <w:snapToGrid w:val="0"/>
        <w:spacing w:line="360" w:lineRule="auto"/>
        <w:ind w:firstLine="420" w:firstLineChars="200"/>
        <w:rPr>
          <w:rFonts w:ascii="宋体" w:hAnsi="宋体" w:cs="宋体"/>
        </w:rPr>
      </w:pPr>
    </w:p>
    <w:p w14:paraId="5B975AFF">
      <w:pPr>
        <w:snapToGrid w:val="0"/>
        <w:spacing w:line="360" w:lineRule="auto"/>
        <w:ind w:firstLine="420" w:firstLineChars="200"/>
        <w:rPr>
          <w:rFonts w:ascii="宋体" w:hAnsi="宋体" w:cs="宋体"/>
        </w:rPr>
      </w:pPr>
    </w:p>
    <w:p w14:paraId="0E1F4387">
      <w:pPr>
        <w:snapToGrid w:val="0"/>
        <w:spacing w:line="360" w:lineRule="auto"/>
        <w:ind w:firstLine="420" w:firstLineChars="200"/>
        <w:rPr>
          <w:rFonts w:ascii="宋体" w:hAnsi="宋体" w:cs="宋体"/>
        </w:rPr>
      </w:pPr>
    </w:p>
    <w:p w14:paraId="699C58B5">
      <w:pPr>
        <w:snapToGrid w:val="0"/>
        <w:spacing w:line="360" w:lineRule="auto"/>
        <w:ind w:firstLine="420" w:firstLineChars="200"/>
        <w:rPr>
          <w:rFonts w:ascii="宋体" w:hAnsi="宋体" w:cs="宋体"/>
        </w:rPr>
      </w:pPr>
    </w:p>
    <w:p w14:paraId="789D4675">
      <w:pPr>
        <w:snapToGrid w:val="0"/>
        <w:spacing w:line="360" w:lineRule="auto"/>
        <w:ind w:firstLine="420" w:firstLineChars="200"/>
        <w:rPr>
          <w:rFonts w:ascii="宋体" w:hAnsi="宋体" w:cs="宋体"/>
        </w:rPr>
      </w:pPr>
    </w:p>
    <w:p w14:paraId="6D020478">
      <w:pPr>
        <w:snapToGrid w:val="0"/>
        <w:spacing w:line="360" w:lineRule="auto"/>
        <w:ind w:firstLine="420" w:firstLineChars="200"/>
        <w:rPr>
          <w:rFonts w:ascii="宋体" w:hAnsi="宋体" w:cs="宋体"/>
        </w:rPr>
      </w:pPr>
    </w:p>
    <w:p w14:paraId="111078C0">
      <w:pPr>
        <w:snapToGrid w:val="0"/>
        <w:spacing w:line="360" w:lineRule="auto"/>
        <w:ind w:firstLine="420" w:firstLineChars="200"/>
        <w:rPr>
          <w:rFonts w:ascii="宋体" w:hAnsi="宋体" w:cs="宋体"/>
        </w:rPr>
      </w:pPr>
    </w:p>
    <w:p w14:paraId="26234269">
      <w:pPr>
        <w:snapToGrid w:val="0"/>
        <w:spacing w:line="360" w:lineRule="auto"/>
        <w:ind w:firstLine="420" w:firstLineChars="200"/>
        <w:rPr>
          <w:rFonts w:ascii="宋体" w:hAnsi="宋体" w:cs="宋体"/>
        </w:rPr>
      </w:pPr>
    </w:p>
    <w:p w14:paraId="463B5D05">
      <w:pPr>
        <w:snapToGrid w:val="0"/>
        <w:spacing w:line="360" w:lineRule="auto"/>
        <w:ind w:firstLine="420" w:firstLineChars="200"/>
        <w:rPr>
          <w:rFonts w:ascii="宋体" w:hAnsi="宋体" w:cs="宋体"/>
        </w:rPr>
      </w:pPr>
    </w:p>
    <w:p w14:paraId="33997218">
      <w:pPr>
        <w:snapToGrid w:val="0"/>
        <w:spacing w:line="360" w:lineRule="auto"/>
        <w:ind w:firstLine="420" w:firstLineChars="200"/>
        <w:rPr>
          <w:rFonts w:ascii="宋体" w:hAnsi="宋体" w:cs="宋体"/>
        </w:rPr>
      </w:pPr>
    </w:p>
    <w:p w14:paraId="0365D11D">
      <w:pPr>
        <w:snapToGrid w:val="0"/>
        <w:spacing w:line="360" w:lineRule="auto"/>
        <w:ind w:firstLine="420" w:firstLineChars="200"/>
        <w:rPr>
          <w:rFonts w:ascii="宋体" w:hAnsi="宋体" w:cs="宋体"/>
        </w:rPr>
      </w:pPr>
    </w:p>
    <w:p w14:paraId="111C5676">
      <w:pPr>
        <w:snapToGrid w:val="0"/>
        <w:spacing w:line="360" w:lineRule="auto"/>
        <w:ind w:firstLine="420" w:firstLineChars="200"/>
        <w:rPr>
          <w:rFonts w:ascii="宋体" w:hAnsi="宋体" w:cs="宋体"/>
        </w:rPr>
      </w:pPr>
    </w:p>
    <w:p w14:paraId="3C331C99">
      <w:pPr>
        <w:snapToGrid w:val="0"/>
        <w:spacing w:line="360" w:lineRule="auto"/>
        <w:ind w:firstLine="420" w:firstLineChars="200"/>
        <w:rPr>
          <w:rFonts w:ascii="宋体" w:hAnsi="宋体" w:cs="宋体"/>
        </w:rPr>
      </w:pPr>
    </w:p>
    <w:p w14:paraId="3D12FBF3">
      <w:pPr>
        <w:pStyle w:val="13"/>
        <w:numPr>
          <w:ilvl w:val="0"/>
          <w:numId w:val="4"/>
        </w:numPr>
        <w:snapToGrid w:val="0"/>
        <w:spacing w:beforeLines="0" w:after="120"/>
        <w:jc w:val="center"/>
        <w:outlineLvl w:val="0"/>
        <w:rPr>
          <w:rFonts w:hAnsi="宋体" w:cs="宋体"/>
          <w:b/>
          <w:sz w:val="30"/>
          <w:szCs w:val="30"/>
        </w:rPr>
      </w:pPr>
      <w:r>
        <w:rPr>
          <w:rFonts w:hint="eastAsia" w:hAnsi="宋体" w:cs="宋体"/>
          <w:b/>
          <w:sz w:val="30"/>
          <w:szCs w:val="30"/>
        </w:rPr>
        <w:t>招标需求</w:t>
      </w:r>
    </w:p>
    <w:p w14:paraId="2FADF519">
      <w:pPr>
        <w:shd w:val="clear"/>
        <w:kinsoku/>
        <w:wordWrap/>
        <w:overflowPunct/>
        <w:topLinePunct w:val="0"/>
        <w:bidi w:val="0"/>
        <w:adjustRightInd/>
        <w:spacing w:line="360" w:lineRule="auto"/>
        <w:ind w:firstLine="0" w:firstLineChars="0"/>
        <w:jc w:val="center"/>
        <w:outlineLvl w:val="9"/>
        <w:rPr>
          <w:rFonts w:hint="eastAsia" w:ascii="宋体" w:hAnsi="宋体" w:eastAsia="宋体" w:cs="宋体"/>
          <w:b/>
          <w:color w:val="auto"/>
          <w:sz w:val="32"/>
          <w:szCs w:val="20"/>
          <w:highlight w:val="none"/>
          <w:lang w:eastAsia="zh-CN"/>
        </w:rPr>
      </w:pPr>
      <w:bookmarkStart w:id="49" w:name="_Toc281485984"/>
      <w:bookmarkStart w:id="50" w:name="_Toc372870929"/>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适用于所有标项</w:t>
      </w:r>
      <w:r>
        <w:rPr>
          <w:rFonts w:hint="eastAsia" w:ascii="宋体" w:hAnsi="宋体" w:cs="宋体"/>
          <w:b/>
          <w:color w:val="auto"/>
          <w:sz w:val="32"/>
          <w:szCs w:val="20"/>
          <w:highlight w:val="none"/>
          <w:lang w:eastAsia="zh-CN"/>
        </w:rPr>
        <w:t>）</w:t>
      </w:r>
    </w:p>
    <w:p w14:paraId="2B5F5F8A">
      <w:pPr>
        <w:shd w:val="clear"/>
        <w:kinsoku/>
        <w:wordWrap/>
        <w:overflowPunct/>
        <w:topLinePunct w:val="0"/>
        <w:bidi w:val="0"/>
        <w:adjustRightInd/>
        <w:spacing w:line="360" w:lineRule="auto"/>
        <w:ind w:firstLine="3845" w:firstLineChars="1197"/>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28"/>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14:paraId="3974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14:paraId="3726BC59">
            <w:pPr>
              <w:pageBreakBefore w:val="0"/>
              <w:widowControl w:val="0"/>
              <w:kinsoku/>
              <w:wordWrap/>
              <w:overflowPunct/>
              <w:topLinePunct w:val="0"/>
              <w:autoSpaceDE/>
              <w:autoSpaceDN/>
              <w:bidi w:val="0"/>
              <w:adjustRightInd/>
              <w:snapToGrid/>
              <w:spacing w:line="480" w:lineRule="exac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序号</w:t>
            </w:r>
          </w:p>
        </w:tc>
        <w:tc>
          <w:tcPr>
            <w:tcW w:w="2318" w:type="dxa"/>
            <w:noWrap w:val="0"/>
            <w:vAlign w:val="center"/>
          </w:tcPr>
          <w:p w14:paraId="7928BED8">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项目</w:t>
            </w:r>
          </w:p>
        </w:tc>
        <w:tc>
          <w:tcPr>
            <w:tcW w:w="5630" w:type="dxa"/>
            <w:noWrap w:val="0"/>
            <w:vAlign w:val="center"/>
          </w:tcPr>
          <w:p w14:paraId="42E2C9DA">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采购需求内容</w:t>
            </w:r>
          </w:p>
        </w:tc>
      </w:tr>
      <w:tr w14:paraId="5C8B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4033F9A2">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1</w:t>
            </w:r>
          </w:p>
        </w:tc>
        <w:tc>
          <w:tcPr>
            <w:tcW w:w="2318" w:type="dxa"/>
            <w:noWrap w:val="0"/>
            <w:vAlign w:val="center"/>
          </w:tcPr>
          <w:p w14:paraId="24007457">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采购内容</w:t>
            </w:r>
          </w:p>
        </w:tc>
        <w:tc>
          <w:tcPr>
            <w:tcW w:w="5630" w:type="dxa"/>
            <w:noWrap w:val="0"/>
            <w:vAlign w:val="center"/>
          </w:tcPr>
          <w:p w14:paraId="1E730226">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详见本章内容</w:t>
            </w:r>
          </w:p>
        </w:tc>
      </w:tr>
      <w:tr w14:paraId="43D6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5BEDA84A">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2</w:t>
            </w:r>
          </w:p>
        </w:tc>
        <w:tc>
          <w:tcPr>
            <w:tcW w:w="2318" w:type="dxa"/>
            <w:noWrap w:val="0"/>
            <w:vAlign w:val="center"/>
          </w:tcPr>
          <w:p w14:paraId="1F3003A3">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单位及数量</w:t>
            </w:r>
          </w:p>
        </w:tc>
        <w:tc>
          <w:tcPr>
            <w:tcW w:w="5630" w:type="dxa"/>
            <w:noWrap w:val="0"/>
            <w:vAlign w:val="center"/>
          </w:tcPr>
          <w:p w14:paraId="46E32799">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详见第一部分 招标公告</w:t>
            </w:r>
          </w:p>
        </w:tc>
      </w:tr>
      <w:tr w14:paraId="5A4A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14:paraId="7FA940C2">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3</w:t>
            </w:r>
          </w:p>
        </w:tc>
        <w:tc>
          <w:tcPr>
            <w:tcW w:w="2318" w:type="dxa"/>
            <w:noWrap w:val="0"/>
            <w:vAlign w:val="center"/>
          </w:tcPr>
          <w:p w14:paraId="2167DC8E">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交付或者实施的时间和地点</w:t>
            </w:r>
          </w:p>
        </w:tc>
        <w:tc>
          <w:tcPr>
            <w:tcW w:w="5630" w:type="dxa"/>
            <w:noWrap w:val="0"/>
            <w:vAlign w:val="center"/>
          </w:tcPr>
          <w:p w14:paraId="14FBAA40">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合同履行期限：详见第一部分 招标公告</w:t>
            </w:r>
          </w:p>
          <w:p w14:paraId="3D35B8CA">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实施地点：详见本章内容</w:t>
            </w:r>
          </w:p>
        </w:tc>
      </w:tr>
      <w:tr w14:paraId="386B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14:paraId="40A6CF89">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4</w:t>
            </w:r>
          </w:p>
        </w:tc>
        <w:tc>
          <w:tcPr>
            <w:tcW w:w="2318" w:type="dxa"/>
            <w:noWrap w:val="0"/>
            <w:vAlign w:val="center"/>
          </w:tcPr>
          <w:p w14:paraId="681B8C05">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需实现的功能或者目标</w:t>
            </w:r>
          </w:p>
        </w:tc>
        <w:tc>
          <w:tcPr>
            <w:tcW w:w="5630" w:type="dxa"/>
            <w:noWrap w:val="0"/>
            <w:vAlign w:val="center"/>
          </w:tcPr>
          <w:p w14:paraId="19DA98C7">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保证养护范围内的环境整洁、保持生态平衡（含苗木补种等）、美化景观。</w:t>
            </w:r>
          </w:p>
        </w:tc>
      </w:tr>
      <w:tr w14:paraId="77EC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noWrap w:val="0"/>
            <w:vAlign w:val="center"/>
          </w:tcPr>
          <w:p w14:paraId="3327FAE6">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5</w:t>
            </w:r>
          </w:p>
        </w:tc>
        <w:tc>
          <w:tcPr>
            <w:tcW w:w="2318" w:type="dxa"/>
            <w:noWrap w:val="0"/>
            <w:vAlign w:val="center"/>
          </w:tcPr>
          <w:p w14:paraId="79D51EB7">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执行的国家相关标准、行业标准、地方标准或者其他标准、规范</w:t>
            </w:r>
          </w:p>
        </w:tc>
        <w:tc>
          <w:tcPr>
            <w:tcW w:w="5630" w:type="dxa"/>
            <w:noWrap w:val="0"/>
            <w:vAlign w:val="center"/>
          </w:tcPr>
          <w:p w14:paraId="6C2ECD4B">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国家相关标准、行业标准、地方标准或者其他标准规范。</w:t>
            </w:r>
          </w:p>
        </w:tc>
      </w:tr>
      <w:tr w14:paraId="7CEE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14:paraId="0DDE0401">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6</w:t>
            </w:r>
          </w:p>
        </w:tc>
        <w:tc>
          <w:tcPr>
            <w:tcW w:w="2318" w:type="dxa"/>
            <w:noWrap w:val="0"/>
            <w:vAlign w:val="center"/>
          </w:tcPr>
          <w:p w14:paraId="410946F1">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技术规格要求</w:t>
            </w:r>
          </w:p>
        </w:tc>
        <w:tc>
          <w:tcPr>
            <w:tcW w:w="5630" w:type="dxa"/>
            <w:noWrap w:val="0"/>
            <w:vAlign w:val="center"/>
          </w:tcPr>
          <w:p w14:paraId="7C250EB8">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详见本章内容</w:t>
            </w:r>
          </w:p>
        </w:tc>
      </w:tr>
      <w:tr w14:paraId="6677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1EF6617C">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7</w:t>
            </w:r>
          </w:p>
        </w:tc>
        <w:tc>
          <w:tcPr>
            <w:tcW w:w="2318" w:type="dxa"/>
            <w:noWrap w:val="0"/>
            <w:vAlign w:val="center"/>
          </w:tcPr>
          <w:p w14:paraId="3E604F7A">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物理特性要求</w:t>
            </w:r>
          </w:p>
        </w:tc>
        <w:tc>
          <w:tcPr>
            <w:tcW w:w="5630" w:type="dxa"/>
            <w:noWrap w:val="0"/>
            <w:vAlign w:val="center"/>
          </w:tcPr>
          <w:p w14:paraId="51791CFC">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详见本章内容</w:t>
            </w:r>
          </w:p>
        </w:tc>
      </w:tr>
      <w:tr w14:paraId="4805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6601E29D">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8</w:t>
            </w:r>
          </w:p>
        </w:tc>
        <w:tc>
          <w:tcPr>
            <w:tcW w:w="2318" w:type="dxa"/>
            <w:noWrap w:val="0"/>
            <w:vAlign w:val="center"/>
          </w:tcPr>
          <w:p w14:paraId="76DB015A">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质量、安全要求</w:t>
            </w:r>
          </w:p>
        </w:tc>
        <w:tc>
          <w:tcPr>
            <w:tcW w:w="5630" w:type="dxa"/>
            <w:noWrap w:val="0"/>
            <w:vAlign w:val="center"/>
          </w:tcPr>
          <w:p w14:paraId="292CACEA">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（1）质量要求：详见本章内容。</w:t>
            </w:r>
          </w:p>
          <w:p w14:paraId="7F50C454">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（2）安全要求：合格</w:t>
            </w:r>
          </w:p>
        </w:tc>
      </w:tr>
      <w:tr w14:paraId="6843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14:paraId="72227C86">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9</w:t>
            </w:r>
          </w:p>
        </w:tc>
        <w:tc>
          <w:tcPr>
            <w:tcW w:w="2318" w:type="dxa"/>
            <w:noWrap w:val="0"/>
            <w:vAlign w:val="center"/>
          </w:tcPr>
          <w:p w14:paraId="1BC57B56">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验收标准</w:t>
            </w:r>
          </w:p>
        </w:tc>
        <w:tc>
          <w:tcPr>
            <w:tcW w:w="5630" w:type="dxa"/>
            <w:noWrap w:val="0"/>
            <w:vAlign w:val="center"/>
          </w:tcPr>
          <w:p w14:paraId="7E4C230C">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按照中标人提供的投标文件及中标人和采购人签订的政府采购合同为标准进行验收。</w:t>
            </w:r>
          </w:p>
        </w:tc>
      </w:tr>
      <w:tr w14:paraId="04CC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3A490CBA">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10</w:t>
            </w:r>
          </w:p>
        </w:tc>
        <w:tc>
          <w:tcPr>
            <w:tcW w:w="2318" w:type="dxa"/>
            <w:noWrap w:val="0"/>
            <w:vAlign w:val="center"/>
          </w:tcPr>
          <w:p w14:paraId="5BE61561">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现场踏勘</w:t>
            </w:r>
          </w:p>
        </w:tc>
        <w:tc>
          <w:tcPr>
            <w:tcW w:w="5630" w:type="dxa"/>
            <w:noWrap w:val="0"/>
            <w:vAlign w:val="center"/>
          </w:tcPr>
          <w:p w14:paraId="0473FAAB">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他损失、损害和引起的费用和开支承担责任。</w:t>
            </w:r>
          </w:p>
        </w:tc>
      </w:tr>
      <w:tr w14:paraId="1007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1" w:type="dxa"/>
            <w:noWrap w:val="0"/>
            <w:vAlign w:val="center"/>
          </w:tcPr>
          <w:p w14:paraId="58722A44">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11</w:t>
            </w:r>
          </w:p>
        </w:tc>
        <w:tc>
          <w:tcPr>
            <w:tcW w:w="2318" w:type="dxa"/>
            <w:noWrap w:val="0"/>
            <w:vAlign w:val="center"/>
          </w:tcPr>
          <w:p w14:paraId="0C6455C5">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演示时间及地点</w:t>
            </w:r>
          </w:p>
        </w:tc>
        <w:tc>
          <w:tcPr>
            <w:tcW w:w="5630" w:type="dxa"/>
            <w:noWrap w:val="0"/>
            <w:vAlign w:val="center"/>
          </w:tcPr>
          <w:p w14:paraId="7D97CA68">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无</w:t>
            </w:r>
          </w:p>
        </w:tc>
      </w:tr>
      <w:tr w14:paraId="152E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7809C681">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12</w:t>
            </w:r>
          </w:p>
        </w:tc>
        <w:tc>
          <w:tcPr>
            <w:tcW w:w="2318" w:type="dxa"/>
            <w:noWrap w:val="0"/>
            <w:vAlign w:val="center"/>
          </w:tcPr>
          <w:p w14:paraId="201DE2B2">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样品要求</w:t>
            </w:r>
          </w:p>
        </w:tc>
        <w:tc>
          <w:tcPr>
            <w:tcW w:w="5630" w:type="dxa"/>
            <w:noWrap w:val="0"/>
            <w:vAlign w:val="center"/>
          </w:tcPr>
          <w:p w14:paraId="06129331">
            <w:pPr>
              <w:pageBreakBefore w:val="0"/>
              <w:widowControl w:val="0"/>
              <w:kinsoku/>
              <w:wordWrap/>
              <w:overflowPunct/>
              <w:topLinePunct w:val="0"/>
              <w:autoSpaceDE/>
              <w:autoSpaceDN/>
              <w:bidi w:val="0"/>
              <w:adjustRightInd/>
              <w:snapToGrid/>
              <w:spacing w:line="480" w:lineRule="exact"/>
              <w:jc w:val="lef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无</w:t>
            </w:r>
          </w:p>
        </w:tc>
      </w:tr>
      <w:tr w14:paraId="131E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1" w:type="dxa"/>
            <w:noWrap w:val="0"/>
            <w:vAlign w:val="center"/>
          </w:tcPr>
          <w:p w14:paraId="51F9E84C">
            <w:pPr>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13</w:t>
            </w:r>
          </w:p>
        </w:tc>
        <w:tc>
          <w:tcPr>
            <w:tcW w:w="2318" w:type="dxa"/>
            <w:noWrap w:val="0"/>
            <w:vAlign w:val="center"/>
          </w:tcPr>
          <w:p w14:paraId="0F77568E">
            <w:pPr>
              <w:pageBreakBefore w:val="0"/>
              <w:widowControl w:val="0"/>
              <w:kinsoku/>
              <w:wordWrap/>
              <w:overflowPunct/>
              <w:topLinePunct w:val="0"/>
              <w:autoSpaceDE/>
              <w:autoSpaceDN/>
              <w:bidi w:val="0"/>
              <w:adjustRightInd/>
              <w:snapToGrid/>
              <w:spacing w:line="480" w:lineRule="exac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本项目的核心产品</w:t>
            </w:r>
          </w:p>
        </w:tc>
        <w:tc>
          <w:tcPr>
            <w:tcW w:w="5630" w:type="dxa"/>
            <w:noWrap w:val="0"/>
            <w:vAlign w:val="center"/>
          </w:tcPr>
          <w:p w14:paraId="59A0C783">
            <w:pPr>
              <w:pageBreakBefore w:val="0"/>
              <w:widowControl w:val="0"/>
              <w:kinsoku/>
              <w:wordWrap/>
              <w:overflowPunct/>
              <w:topLinePunct w:val="0"/>
              <w:autoSpaceDE/>
              <w:autoSpaceDN/>
              <w:bidi w:val="0"/>
              <w:adjustRightInd/>
              <w:snapToGrid/>
              <w:spacing w:line="480" w:lineRule="exact"/>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无</w:t>
            </w:r>
          </w:p>
        </w:tc>
      </w:tr>
    </w:tbl>
    <w:p w14:paraId="565D172C">
      <w:pPr>
        <w:pageBreakBefore w:val="0"/>
        <w:widowControl w:val="0"/>
        <w:tabs>
          <w:tab w:val="left" w:pos="0"/>
        </w:tabs>
        <w:kinsoku/>
        <w:wordWrap/>
        <w:overflowPunct/>
        <w:topLinePunct w:val="0"/>
        <w:autoSpaceDE/>
        <w:autoSpaceDN/>
        <w:bidi w:val="0"/>
        <w:adjustRightInd/>
        <w:snapToGrid/>
        <w:spacing w:line="480" w:lineRule="exact"/>
        <w:contextualSpacing/>
        <w:textAlignment w:val="auto"/>
        <w:rPr>
          <w:rFonts w:hint="eastAsia" w:ascii="宋体" w:hAnsi="宋体" w:cs="宋体"/>
          <w:b/>
          <w:color w:val="000000"/>
          <w:szCs w:val="21"/>
        </w:rPr>
      </w:pPr>
    </w:p>
    <w:p w14:paraId="1C64500B">
      <w:pPr>
        <w:pageBreakBefore w:val="0"/>
        <w:widowControl w:val="0"/>
        <w:tabs>
          <w:tab w:val="left" w:pos="0"/>
        </w:tabs>
        <w:kinsoku/>
        <w:wordWrap/>
        <w:overflowPunct/>
        <w:topLinePunct w:val="0"/>
        <w:autoSpaceDE/>
        <w:autoSpaceDN/>
        <w:bidi w:val="0"/>
        <w:adjustRightInd/>
        <w:snapToGrid/>
        <w:spacing w:line="480" w:lineRule="exact"/>
        <w:contextualSpacing/>
        <w:textAlignment w:val="auto"/>
        <w:rPr>
          <w:rFonts w:ascii="宋体" w:hAnsi="宋体" w:cs="宋体"/>
          <w:b/>
          <w:color w:val="000000"/>
          <w:szCs w:val="21"/>
        </w:rPr>
      </w:pPr>
      <w:r>
        <w:rPr>
          <w:rFonts w:hint="eastAsia" w:ascii="宋体" w:hAnsi="宋体" w:cs="宋体"/>
          <w:b/>
          <w:color w:val="000000"/>
          <w:szCs w:val="21"/>
        </w:rPr>
        <w:t>一、养护管理内容</w:t>
      </w:r>
    </w:p>
    <w:p w14:paraId="7ADD5830">
      <w:pPr>
        <w:pStyle w:val="4"/>
        <w:pageBreakBefore w:val="0"/>
        <w:widowControl w:val="0"/>
        <w:kinsoku/>
        <w:wordWrap/>
        <w:overflowPunct/>
        <w:topLinePunct w:val="0"/>
        <w:autoSpaceDE/>
        <w:autoSpaceDN/>
        <w:bidi w:val="0"/>
        <w:adjustRightInd/>
        <w:snapToGrid/>
        <w:spacing w:before="0" w:after="0" w:line="480" w:lineRule="exact"/>
        <w:ind w:left="425"/>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1.1项目名称</w:t>
      </w:r>
      <w:bookmarkEnd w:id="49"/>
      <w:bookmarkEnd w:id="50"/>
      <w:bookmarkStart w:id="51" w:name="_Toc281485985"/>
      <w:bookmarkStart w:id="52" w:name="_Toc372870930"/>
      <w:r>
        <w:rPr>
          <w:rFonts w:hint="eastAsia" w:ascii="Calibri" w:hAnsi="Calibri" w:eastAsia="宋体" w:cs="黑体"/>
          <w:b w:val="0"/>
          <w:bCs/>
          <w:kern w:val="2"/>
          <w:sz w:val="21"/>
          <w:szCs w:val="21"/>
          <w:highlight w:val="none"/>
          <w:lang w:val="en-US" w:eastAsia="zh-CN" w:bidi="ar-SA"/>
        </w:rPr>
        <w:t>：</w:t>
      </w:r>
    </w:p>
    <w:p w14:paraId="5C8C26D9">
      <w:pPr>
        <w:pStyle w:val="4"/>
        <w:pageBreakBefore w:val="0"/>
        <w:widowControl w:val="0"/>
        <w:kinsoku/>
        <w:wordWrap/>
        <w:overflowPunct/>
        <w:topLinePunct w:val="0"/>
        <w:autoSpaceDE/>
        <w:autoSpaceDN/>
        <w:bidi w:val="0"/>
        <w:adjustRightInd/>
        <w:snapToGrid/>
        <w:spacing w:before="0" w:after="0" w:line="480" w:lineRule="exact"/>
        <w:ind w:firstLine="420" w:firstLineChars="200"/>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宁海县交通运输局2025年公路绿化养护服务采购（</w:t>
      </w:r>
      <w:r>
        <w:rPr>
          <w:rFonts w:hint="eastAsia" w:cs="黑体"/>
          <w:b w:val="0"/>
          <w:bCs/>
          <w:kern w:val="2"/>
          <w:sz w:val="21"/>
          <w:szCs w:val="21"/>
          <w:highlight w:val="none"/>
          <w:lang w:val="en-US" w:eastAsia="zh-CN" w:bidi="ar-SA"/>
        </w:rPr>
        <w:t>第二批</w:t>
      </w:r>
      <w:r>
        <w:rPr>
          <w:rFonts w:hint="eastAsia" w:ascii="Calibri" w:hAnsi="Calibri" w:eastAsia="宋体" w:cs="黑体"/>
          <w:b w:val="0"/>
          <w:bCs/>
          <w:kern w:val="2"/>
          <w:sz w:val="21"/>
          <w:szCs w:val="21"/>
          <w:highlight w:val="none"/>
          <w:lang w:val="en-US" w:eastAsia="zh-CN" w:bidi="ar-SA"/>
        </w:rPr>
        <w:t>）</w:t>
      </w:r>
    </w:p>
    <w:p w14:paraId="469F7A29">
      <w:pPr>
        <w:pStyle w:val="4"/>
        <w:pageBreakBefore w:val="0"/>
        <w:widowControl w:val="0"/>
        <w:kinsoku/>
        <w:wordWrap/>
        <w:overflowPunct/>
        <w:topLinePunct w:val="0"/>
        <w:autoSpaceDE/>
        <w:autoSpaceDN/>
        <w:bidi w:val="0"/>
        <w:adjustRightInd/>
        <w:snapToGrid/>
        <w:spacing w:before="0" w:after="0" w:line="480" w:lineRule="exact"/>
        <w:ind w:left="1778" w:leftChars="201" w:hanging="1356" w:hangingChars="646"/>
        <w:textAlignment w:val="auto"/>
        <w:rPr>
          <w:rFonts w:hint="eastAsia" w:ascii="Calibri" w:hAnsi="Calibri" w:eastAsia="宋体" w:cs="黑体"/>
          <w:b w:val="0"/>
          <w:bCs/>
          <w:kern w:val="2"/>
          <w:sz w:val="21"/>
          <w:szCs w:val="21"/>
          <w:highlight w:val="none"/>
          <w:lang w:val="en-US" w:eastAsia="zh-CN" w:bidi="ar-SA"/>
        </w:rPr>
      </w:pPr>
      <w:r>
        <w:rPr>
          <w:rFonts w:hint="eastAsia" w:ascii="Calibri" w:hAnsi="Calibri" w:eastAsia="宋体" w:cs="黑体"/>
          <w:b w:val="0"/>
          <w:bCs/>
          <w:kern w:val="2"/>
          <w:sz w:val="21"/>
          <w:szCs w:val="21"/>
          <w:highlight w:val="none"/>
          <w:lang w:val="en-US" w:eastAsia="zh-CN" w:bidi="ar-SA"/>
        </w:rPr>
        <w:t>1.2服务期限</w:t>
      </w:r>
      <w:bookmarkEnd w:id="51"/>
      <w:r>
        <w:rPr>
          <w:rFonts w:hint="eastAsia" w:ascii="Calibri" w:hAnsi="Calibri" w:eastAsia="宋体" w:cs="黑体"/>
          <w:b w:val="0"/>
          <w:bCs/>
          <w:kern w:val="2"/>
          <w:sz w:val="21"/>
          <w:szCs w:val="21"/>
          <w:highlight w:val="none"/>
          <w:lang w:val="en-US" w:eastAsia="zh-CN" w:bidi="ar-SA"/>
        </w:rPr>
        <w:t>：</w:t>
      </w:r>
      <w:bookmarkEnd w:id="52"/>
    </w:p>
    <w:p w14:paraId="296C5033">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Calibri" w:hAnsi="Calibri" w:eastAsia="宋体" w:cs="黑体"/>
          <w:b w:val="0"/>
          <w:bCs/>
          <w:kern w:val="2"/>
          <w:sz w:val="21"/>
          <w:szCs w:val="21"/>
          <w:highlight w:val="none"/>
          <w:lang w:val="en-US" w:eastAsia="zh-CN" w:bidi="ar-SA"/>
        </w:rPr>
      </w:pPr>
      <w:bookmarkStart w:id="53" w:name="OLE_LINK1"/>
      <w:bookmarkStart w:id="54" w:name="_Toc372870931"/>
      <w:bookmarkStart w:id="55" w:name="_Toc281485986"/>
      <w:r>
        <w:rPr>
          <w:rFonts w:hint="eastAsia"/>
          <w:highlight w:val="none"/>
          <w:lang w:eastAsia="zh-CN"/>
        </w:rPr>
        <w:t>养护期限为</w:t>
      </w:r>
      <w:r>
        <w:rPr>
          <w:rFonts w:hint="eastAsia"/>
          <w:highlight w:val="none"/>
          <w:lang w:val="en-US" w:eastAsia="zh-CN"/>
        </w:rPr>
        <w:t>2025年7月1日至2027年12月31日（暂定30个月）；</w:t>
      </w:r>
    </w:p>
    <w:bookmarkEnd w:id="53"/>
    <w:p w14:paraId="4B22ED2D">
      <w:pPr>
        <w:pStyle w:val="4"/>
        <w:pageBreakBefore w:val="0"/>
        <w:widowControl w:val="0"/>
        <w:kinsoku/>
        <w:wordWrap/>
        <w:overflowPunct/>
        <w:topLinePunct w:val="0"/>
        <w:autoSpaceDE/>
        <w:autoSpaceDN/>
        <w:bidi w:val="0"/>
        <w:adjustRightInd/>
        <w:snapToGrid/>
        <w:spacing w:before="0" w:after="0" w:line="480" w:lineRule="exact"/>
        <w:ind w:left="425"/>
        <w:textAlignment w:val="auto"/>
        <w:rPr>
          <w:b w:val="0"/>
          <w:bCs w:val="0"/>
          <w:sz w:val="21"/>
          <w:szCs w:val="24"/>
          <w:highlight w:val="none"/>
        </w:rPr>
      </w:pPr>
      <w:r>
        <w:rPr>
          <w:b w:val="0"/>
          <w:bCs w:val="0"/>
          <w:sz w:val="21"/>
          <w:szCs w:val="24"/>
          <w:highlight w:val="none"/>
        </w:rPr>
        <w:t>1.3服务内容</w:t>
      </w:r>
      <w:bookmarkEnd w:id="54"/>
      <w:bookmarkEnd w:id="55"/>
      <w:r>
        <w:rPr>
          <w:rFonts w:hint="eastAsia"/>
          <w:b w:val="0"/>
          <w:bCs w:val="0"/>
          <w:sz w:val="21"/>
          <w:szCs w:val="24"/>
          <w:highlight w:val="none"/>
        </w:rPr>
        <w:t>：</w:t>
      </w:r>
    </w:p>
    <w:p w14:paraId="334A55F6">
      <w:pPr>
        <w:pageBreakBefore w:val="0"/>
        <w:widowControl w:val="0"/>
        <w:tabs>
          <w:tab w:val="left" w:pos="0"/>
        </w:tabs>
        <w:kinsoku/>
        <w:wordWrap/>
        <w:overflowPunct/>
        <w:topLinePunct w:val="0"/>
        <w:autoSpaceDE/>
        <w:autoSpaceDN/>
        <w:bidi w:val="0"/>
        <w:adjustRightInd/>
        <w:snapToGrid/>
        <w:spacing w:line="480" w:lineRule="exact"/>
        <w:ind w:firstLine="420" w:firstLineChars="200"/>
        <w:contextualSpacing/>
        <w:textAlignment w:val="auto"/>
        <w:rPr>
          <w:bCs/>
          <w:szCs w:val="21"/>
          <w:highlight w:val="none"/>
        </w:rPr>
      </w:pPr>
      <w:bookmarkStart w:id="56" w:name="_Toc6253"/>
      <w:r>
        <w:rPr>
          <w:rFonts w:hint="eastAsia"/>
          <w:bCs/>
          <w:szCs w:val="21"/>
          <w:highlight w:val="none"/>
        </w:rPr>
        <w:t>养护管理内容：绿化养护范围内的日常巡查管理、绿化养护（整</w:t>
      </w:r>
      <w:r>
        <w:rPr>
          <w:rFonts w:hint="eastAsia" w:asciiTheme="minorEastAsia" w:hAnsiTheme="minorEastAsia" w:cstheme="minorEastAsia"/>
          <w:szCs w:val="21"/>
          <w:highlight w:val="none"/>
        </w:rPr>
        <w:t>形修剪、病虫害防治、割草、除草、浇水、扶正、补植、松土切边、施肥、涂白、看护、鲜花日常养护等</w:t>
      </w:r>
      <w:r>
        <w:rPr>
          <w:rFonts w:hint="eastAsia"/>
          <w:bCs/>
          <w:szCs w:val="21"/>
          <w:highlight w:val="none"/>
        </w:rPr>
        <w:t>）、绿地巡查、绿地保洁（包括两侧林带、中央绿化带、侧分带）、配套设施维护、应急或突发事件处理、抗台防汛、冰冻雪灾、暴雨、重大活动保障等涉及绿化养护、绿地管理的一系列工作。</w:t>
      </w:r>
      <w:bookmarkEnd w:id="56"/>
    </w:p>
    <w:p w14:paraId="54F4D1EF">
      <w:pPr>
        <w:pStyle w:val="4"/>
        <w:pageBreakBefore w:val="0"/>
        <w:widowControl w:val="0"/>
        <w:kinsoku/>
        <w:wordWrap/>
        <w:overflowPunct/>
        <w:topLinePunct w:val="0"/>
        <w:autoSpaceDE/>
        <w:autoSpaceDN/>
        <w:bidi w:val="0"/>
        <w:adjustRightInd/>
        <w:snapToGrid/>
        <w:spacing w:before="0" w:after="0" w:line="480" w:lineRule="exact"/>
        <w:ind w:left="425"/>
        <w:textAlignment w:val="auto"/>
        <w:rPr>
          <w:b w:val="0"/>
          <w:bCs w:val="0"/>
          <w:sz w:val="21"/>
          <w:szCs w:val="24"/>
          <w:highlight w:val="none"/>
        </w:rPr>
      </w:pPr>
      <w:r>
        <w:rPr>
          <w:rFonts w:hint="eastAsia"/>
          <w:b w:val="0"/>
          <w:bCs w:val="0"/>
          <w:sz w:val="21"/>
          <w:szCs w:val="24"/>
          <w:highlight w:val="none"/>
        </w:rPr>
        <w:t>1.4</w:t>
      </w:r>
      <w:bookmarkStart w:id="57" w:name="_Toc18535"/>
      <w:r>
        <w:rPr>
          <w:rFonts w:hint="eastAsia"/>
          <w:b w:val="0"/>
          <w:bCs w:val="0"/>
          <w:sz w:val="21"/>
          <w:szCs w:val="24"/>
          <w:highlight w:val="none"/>
        </w:rPr>
        <w:t>养护作业人员配备要求：</w:t>
      </w:r>
    </w:p>
    <w:p w14:paraId="203ED34B">
      <w:pPr>
        <w:pStyle w:val="4"/>
        <w:pageBreakBefore w:val="0"/>
        <w:widowControl w:val="0"/>
        <w:kinsoku/>
        <w:wordWrap/>
        <w:overflowPunct/>
        <w:topLinePunct w:val="0"/>
        <w:autoSpaceDE/>
        <w:autoSpaceDN/>
        <w:bidi w:val="0"/>
        <w:adjustRightInd/>
        <w:snapToGrid/>
        <w:spacing w:before="0" w:after="0" w:line="480" w:lineRule="exact"/>
        <w:ind w:firstLine="420" w:firstLineChars="200"/>
        <w:textAlignment w:val="auto"/>
        <w:rPr>
          <w:b w:val="0"/>
          <w:bCs w:val="0"/>
          <w:sz w:val="21"/>
          <w:szCs w:val="24"/>
        </w:rPr>
      </w:pPr>
      <w:r>
        <w:rPr>
          <w:rFonts w:hint="eastAsia"/>
          <w:b w:val="0"/>
          <w:bCs w:val="0"/>
          <w:sz w:val="21"/>
          <w:szCs w:val="24"/>
          <w:highlight w:val="none"/>
        </w:rPr>
        <w:t>根据项目情况自行配备必要的养护工</w:t>
      </w:r>
      <w:r>
        <w:rPr>
          <w:rFonts w:hint="eastAsia"/>
          <w:b w:val="0"/>
          <w:bCs w:val="0"/>
          <w:sz w:val="21"/>
          <w:szCs w:val="24"/>
        </w:rPr>
        <w:t>作人员但不得低于附表人员、施肥、水泵及洒水车最低配置标准，投标文件中须列清所有人员清单、资质、工作经验等相关资料。</w:t>
      </w:r>
      <w:bookmarkEnd w:id="57"/>
    </w:p>
    <w:p w14:paraId="385E4272">
      <w:pPr>
        <w:pStyle w:val="4"/>
        <w:pageBreakBefore w:val="0"/>
        <w:widowControl w:val="0"/>
        <w:kinsoku/>
        <w:wordWrap/>
        <w:overflowPunct/>
        <w:topLinePunct w:val="0"/>
        <w:autoSpaceDE/>
        <w:autoSpaceDN/>
        <w:bidi w:val="0"/>
        <w:adjustRightInd/>
        <w:snapToGrid/>
        <w:spacing w:before="0" w:after="0" w:line="480" w:lineRule="exact"/>
        <w:ind w:left="425"/>
        <w:textAlignment w:val="auto"/>
        <w:rPr>
          <w:b w:val="0"/>
          <w:bCs w:val="0"/>
          <w:sz w:val="21"/>
          <w:szCs w:val="24"/>
        </w:rPr>
      </w:pPr>
      <w:r>
        <w:rPr>
          <w:rFonts w:hint="eastAsia"/>
          <w:b w:val="0"/>
          <w:bCs w:val="0"/>
          <w:sz w:val="21"/>
          <w:szCs w:val="24"/>
        </w:rPr>
        <w:t>1.</w:t>
      </w:r>
      <w:r>
        <w:rPr>
          <w:rFonts w:hint="eastAsia"/>
          <w:b w:val="0"/>
          <w:sz w:val="21"/>
          <w:szCs w:val="21"/>
        </w:rPr>
        <w:t>5</w:t>
      </w:r>
      <w:r>
        <w:rPr>
          <w:rFonts w:hint="eastAsia"/>
          <w:b w:val="0"/>
          <w:bCs w:val="0"/>
          <w:sz w:val="21"/>
          <w:szCs w:val="24"/>
        </w:rPr>
        <w:t>根据养护设施量、养护质量标准及考核标准等，由投标人按要求自行购置（优先考虑自行购置）或巡查、作业所需的车辆、机械和设备，但不得低于附表人员、施肥、水泵及洒水车最低配置标准。投标人应在投标文件中明确拟投入的车辆和设备种类、数量及费用。</w:t>
      </w:r>
    </w:p>
    <w:p w14:paraId="72C1BAB6">
      <w:pPr>
        <w:pStyle w:val="4"/>
        <w:pageBreakBefore w:val="0"/>
        <w:widowControl w:val="0"/>
        <w:kinsoku/>
        <w:wordWrap/>
        <w:overflowPunct/>
        <w:topLinePunct w:val="0"/>
        <w:autoSpaceDE/>
        <w:autoSpaceDN/>
        <w:bidi w:val="0"/>
        <w:adjustRightInd/>
        <w:snapToGrid/>
        <w:spacing w:before="0" w:after="0" w:line="480" w:lineRule="exact"/>
        <w:ind w:firstLine="420" w:firstLineChars="200"/>
        <w:textAlignment w:val="auto"/>
        <w:rPr>
          <w:b w:val="0"/>
          <w:bCs w:val="0"/>
          <w:sz w:val="21"/>
          <w:szCs w:val="24"/>
        </w:rPr>
      </w:pPr>
      <w:r>
        <w:rPr>
          <w:rFonts w:hint="eastAsia"/>
          <w:b w:val="0"/>
          <w:bCs w:val="0"/>
          <w:sz w:val="21"/>
          <w:szCs w:val="24"/>
        </w:rPr>
        <w:t>1.6投标人须考虑因城市建设等因素而导致的工程数量及养护区域变更或合同无法继续履行等情况，在投标时充分考虑该风险并自行承担因此而造成的一切损失和责任，并服从政策和招标人针对本项目内容的调整方式及管理规定，且不得向招标人提出索赔。</w:t>
      </w:r>
    </w:p>
    <w:p w14:paraId="64AD1BE8">
      <w:pPr>
        <w:pStyle w:val="4"/>
        <w:pageBreakBefore w:val="0"/>
        <w:widowControl w:val="0"/>
        <w:kinsoku/>
        <w:wordWrap/>
        <w:overflowPunct/>
        <w:topLinePunct w:val="0"/>
        <w:autoSpaceDE/>
        <w:autoSpaceDN/>
        <w:bidi w:val="0"/>
        <w:adjustRightInd/>
        <w:snapToGrid/>
        <w:spacing w:before="0" w:after="0" w:line="480" w:lineRule="exact"/>
        <w:ind w:firstLine="420" w:firstLineChars="200"/>
        <w:textAlignment w:val="auto"/>
      </w:pPr>
      <w:r>
        <w:rPr>
          <w:rFonts w:hint="eastAsia"/>
          <w:b w:val="0"/>
          <w:bCs w:val="0"/>
          <w:sz w:val="21"/>
          <w:szCs w:val="24"/>
        </w:rPr>
        <w:t>*注：如因道路建设等原因，造成合同执行期内养护内容、面积、设施数量的增加或减少，则以实际工作量按中标单价按实结算，投标人不得有异议。</w:t>
      </w:r>
    </w:p>
    <w:p w14:paraId="79940D59">
      <w:pPr>
        <w:tabs>
          <w:tab w:val="left" w:pos="0"/>
        </w:tabs>
        <w:spacing w:line="440" w:lineRule="exact"/>
        <w:contextualSpacing/>
      </w:pPr>
      <w:r>
        <w:rPr>
          <w:rFonts w:hint="eastAsia" w:ascii="宋体" w:hAnsi="宋体" w:cs="宋体"/>
          <w:b/>
          <w:color w:val="000000"/>
          <w:szCs w:val="21"/>
        </w:rPr>
        <w:t>二、实施路段划分</w:t>
      </w:r>
      <w:bookmarkStart w:id="58" w:name="_Toc372870933"/>
      <w:bookmarkStart w:id="59" w:name="_Toc281485988"/>
    </w:p>
    <w:tbl>
      <w:tblPr>
        <w:tblStyle w:val="28"/>
        <w:tblW w:w="8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636"/>
        <w:gridCol w:w="2746"/>
        <w:gridCol w:w="1476"/>
        <w:gridCol w:w="1476"/>
        <w:gridCol w:w="1686"/>
      </w:tblGrid>
      <w:tr w14:paraId="23CD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A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3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49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养护范围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FD1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面积(㎡)</w:t>
            </w:r>
          </w:p>
        </w:tc>
      </w:tr>
      <w:tr w14:paraId="5D28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19A1">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249A">
            <w:pPr>
              <w:jc w:val="center"/>
              <w:rPr>
                <w:rFonts w:hint="eastAsia" w:ascii="宋体" w:hAnsi="宋体" w:eastAsia="宋体" w:cs="宋体"/>
                <w:i w:val="0"/>
                <w:iCs w:val="0"/>
                <w:color w:val="000000"/>
                <w:sz w:val="21"/>
                <w:szCs w:val="21"/>
                <w:u w:val="none"/>
              </w:rPr>
            </w:pPr>
          </w:p>
        </w:tc>
        <w:tc>
          <w:tcPr>
            <w:tcW w:w="4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7F68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4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C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林带面积(㎡)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0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精品线面积(㎡)</w:t>
            </w:r>
          </w:p>
        </w:tc>
      </w:tr>
      <w:tr w14:paraId="0146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7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1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6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X421桥电线K0+000～K11+970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E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221525.5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2D13">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05BB">
            <w:pPr>
              <w:jc w:val="center"/>
              <w:rPr>
                <w:rFonts w:hint="eastAsia" w:ascii="宋体" w:hAnsi="宋体" w:eastAsia="宋体" w:cs="宋体"/>
                <w:i w:val="0"/>
                <w:iCs w:val="0"/>
                <w:color w:val="000000"/>
                <w:sz w:val="21"/>
                <w:szCs w:val="21"/>
                <w:u w:val="none"/>
              </w:rPr>
            </w:pPr>
          </w:p>
        </w:tc>
      </w:tr>
      <w:tr w14:paraId="1075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17DE">
            <w:pP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92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55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S311象西线K33+300～K46+400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C2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148089.7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69FD">
            <w:pP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A40E">
            <w:pPr>
              <w:jc w:val="center"/>
              <w:rPr>
                <w:rFonts w:hint="eastAsia" w:ascii="宋体" w:hAnsi="宋体" w:eastAsia="宋体" w:cs="宋体"/>
                <w:i w:val="0"/>
                <w:iCs w:val="0"/>
                <w:color w:val="000000"/>
                <w:sz w:val="21"/>
                <w:szCs w:val="21"/>
                <w:highlight w:val="none"/>
                <w:u w:val="none"/>
              </w:rPr>
            </w:pPr>
          </w:p>
        </w:tc>
      </w:tr>
      <w:tr w14:paraId="4897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7F7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7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0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沈海高速(K1551+400塔珠岭隧道-K1564+450檀树头)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2B67">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4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711019.7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0D05">
            <w:pPr>
              <w:jc w:val="center"/>
              <w:rPr>
                <w:rFonts w:hint="eastAsia" w:ascii="宋体" w:hAnsi="宋体" w:eastAsia="宋体" w:cs="宋体"/>
                <w:b/>
                <w:bCs/>
                <w:i w:val="0"/>
                <w:iCs w:val="0"/>
                <w:color w:val="000000"/>
                <w:sz w:val="21"/>
                <w:szCs w:val="21"/>
                <w:u w:val="none"/>
              </w:rPr>
            </w:pPr>
          </w:p>
        </w:tc>
      </w:tr>
      <w:tr w14:paraId="5B49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A86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E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F56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59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369615.2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8C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711019.7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65B0">
            <w:pPr>
              <w:jc w:val="center"/>
              <w:rPr>
                <w:rFonts w:hint="eastAsia" w:ascii="宋体" w:hAnsi="宋体" w:eastAsia="宋体" w:cs="宋体"/>
                <w:b/>
                <w:bCs/>
                <w:i w:val="0"/>
                <w:iCs w:val="0"/>
                <w:color w:val="000000"/>
                <w:sz w:val="21"/>
                <w:szCs w:val="21"/>
                <w:u w:val="none"/>
              </w:rPr>
            </w:pPr>
          </w:p>
        </w:tc>
      </w:tr>
      <w:tr w14:paraId="49F0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2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5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B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G228</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K3809+400～K3817+913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B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104507.9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B38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6520">
            <w:pPr>
              <w:jc w:val="center"/>
              <w:rPr>
                <w:rFonts w:hint="eastAsia" w:ascii="宋体" w:hAnsi="宋体" w:eastAsia="宋体" w:cs="宋体"/>
                <w:i w:val="0"/>
                <w:iCs w:val="0"/>
                <w:color w:val="000000"/>
                <w:sz w:val="21"/>
                <w:szCs w:val="21"/>
                <w:u w:val="none"/>
              </w:rPr>
            </w:pPr>
          </w:p>
        </w:tc>
      </w:tr>
      <w:tr w14:paraId="6E19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281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9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8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陈蟠线K12+512～K21+192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E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71789.4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93A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A396">
            <w:pPr>
              <w:jc w:val="center"/>
              <w:rPr>
                <w:rFonts w:hint="eastAsia" w:ascii="宋体" w:hAnsi="宋体" w:eastAsia="宋体" w:cs="宋体"/>
                <w:i w:val="0"/>
                <w:iCs w:val="0"/>
                <w:color w:val="000000"/>
                <w:sz w:val="21"/>
                <w:szCs w:val="21"/>
                <w:u w:val="none"/>
              </w:rPr>
            </w:pPr>
          </w:p>
        </w:tc>
      </w:tr>
      <w:tr w14:paraId="52B7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E11C">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D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枫槎岭三期K3806+800～K3809+400（含城逐线飞凤山隧道</w:t>
            </w:r>
            <w:r>
              <w:rPr>
                <w:rFonts w:hint="eastAsia" w:ascii="宋体" w:hAnsi="宋体" w:cs="宋体"/>
                <w:i w:val="0"/>
                <w:iCs w:val="0"/>
                <w:color w:val="000000"/>
                <w:kern w:val="0"/>
                <w:sz w:val="21"/>
                <w:szCs w:val="21"/>
                <w:u w:val="none"/>
                <w:lang w:val="en-US" w:eastAsia="zh-CN" w:bidi="ar"/>
              </w:rPr>
              <w:t>东</w:t>
            </w: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85E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B8E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5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129305.1 </w:t>
            </w:r>
          </w:p>
        </w:tc>
      </w:tr>
      <w:tr w14:paraId="1563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3CB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4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6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削壁岭隧道口两端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F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10821.0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EC0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07C0">
            <w:pPr>
              <w:jc w:val="center"/>
              <w:rPr>
                <w:rFonts w:hint="eastAsia" w:ascii="宋体" w:hAnsi="宋体" w:eastAsia="宋体" w:cs="宋体"/>
                <w:i w:val="0"/>
                <w:iCs w:val="0"/>
                <w:color w:val="000000"/>
                <w:sz w:val="21"/>
                <w:szCs w:val="21"/>
                <w:u w:val="none"/>
              </w:rPr>
            </w:pPr>
          </w:p>
        </w:tc>
      </w:tr>
      <w:tr w14:paraId="6CC3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ACB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C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1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S215老盛宁线</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K126+000～K138+900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C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159625.4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6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57181.7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8633">
            <w:pPr>
              <w:jc w:val="center"/>
              <w:rPr>
                <w:rFonts w:hint="eastAsia" w:ascii="宋体" w:hAnsi="宋体" w:eastAsia="宋体" w:cs="宋体"/>
                <w:i w:val="0"/>
                <w:iCs w:val="0"/>
                <w:color w:val="000000"/>
                <w:sz w:val="21"/>
                <w:szCs w:val="21"/>
                <w:u w:val="none"/>
              </w:rPr>
            </w:pPr>
          </w:p>
        </w:tc>
      </w:tr>
      <w:tr w14:paraId="2491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7F2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0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A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越沙线K0+000～K0+630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B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6793.5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F84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4F2">
            <w:pPr>
              <w:jc w:val="center"/>
              <w:rPr>
                <w:rFonts w:hint="eastAsia" w:ascii="宋体" w:hAnsi="宋体" w:eastAsia="宋体" w:cs="宋体"/>
                <w:i w:val="0"/>
                <w:iCs w:val="0"/>
                <w:color w:val="000000"/>
                <w:sz w:val="21"/>
                <w:szCs w:val="21"/>
                <w:u w:val="none"/>
              </w:rPr>
            </w:pPr>
          </w:p>
        </w:tc>
      </w:tr>
      <w:tr w14:paraId="2A6F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533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B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4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城逐线K0+700-K2+600(飞凤山隧道</w:t>
            </w:r>
            <w:r>
              <w:rPr>
                <w:rFonts w:hint="eastAsia" w:ascii="宋体" w:hAnsi="宋体" w:cs="宋体"/>
                <w:i w:val="0"/>
                <w:iCs w:val="0"/>
                <w:color w:val="000000"/>
                <w:kern w:val="0"/>
                <w:sz w:val="21"/>
                <w:szCs w:val="21"/>
                <w:u w:val="none"/>
                <w:lang w:val="en-US" w:eastAsia="zh-CN" w:bidi="ar"/>
              </w:rPr>
              <w:t>西</w:t>
            </w:r>
            <w:r>
              <w:rPr>
                <w:rFonts w:hint="eastAsia" w:ascii="宋体" w:hAnsi="宋体" w:eastAsia="宋体" w:cs="宋体"/>
                <w:i w:val="0"/>
                <w:iCs w:val="0"/>
                <w:color w:val="000000"/>
                <w:kern w:val="0"/>
                <w:sz w:val="21"/>
                <w:szCs w:val="21"/>
                <w:u w:val="none"/>
                <w:lang w:val="en-US" w:eastAsia="zh-CN" w:bidi="ar"/>
              </w:rPr>
              <w:t>-S204路口)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DDD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FB11">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4980">
            <w:pPr>
              <w:jc w:val="center"/>
              <w:rPr>
                <w:rFonts w:hint="eastAsia" w:ascii="宋体" w:hAnsi="宋体" w:eastAsia="宋体" w:cs="宋体"/>
                <w:b/>
                <w:bCs/>
                <w:i w:val="0"/>
                <w:iCs w:val="0"/>
                <w:color w:val="000000"/>
                <w:sz w:val="21"/>
                <w:szCs w:val="21"/>
                <w:u w:val="none"/>
              </w:rPr>
            </w:pPr>
          </w:p>
        </w:tc>
      </w:tr>
      <w:tr w14:paraId="540B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B34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2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4F5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1D0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359195.2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21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57181.7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D6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129305.1 </w:t>
            </w:r>
          </w:p>
        </w:tc>
      </w:tr>
      <w:tr w14:paraId="37DC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D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6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新盛宁线二期(K27+800胡陈路口南～K36+500创业路口)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9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354248.0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789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BEE3">
            <w:pPr>
              <w:jc w:val="center"/>
              <w:rPr>
                <w:rFonts w:hint="eastAsia" w:ascii="宋体" w:hAnsi="宋体" w:eastAsia="宋体" w:cs="宋体"/>
                <w:i w:val="0"/>
                <w:iCs w:val="0"/>
                <w:color w:val="000000"/>
                <w:sz w:val="21"/>
                <w:szCs w:val="21"/>
                <w:u w:val="none"/>
              </w:rPr>
            </w:pPr>
          </w:p>
        </w:tc>
      </w:tr>
      <w:tr w14:paraId="05E2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53D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C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0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S215老盛宁线(K105+000胡陈路口北～K116+200力洋水厂)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0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80801.9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EFE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2E18">
            <w:pPr>
              <w:jc w:val="center"/>
              <w:rPr>
                <w:rFonts w:hint="eastAsia" w:ascii="宋体" w:hAnsi="宋体" w:eastAsia="宋体" w:cs="宋体"/>
                <w:i w:val="0"/>
                <w:iCs w:val="0"/>
                <w:color w:val="000000"/>
                <w:sz w:val="21"/>
                <w:szCs w:val="21"/>
                <w:u w:val="none"/>
              </w:rPr>
            </w:pPr>
          </w:p>
        </w:tc>
      </w:tr>
      <w:tr w14:paraId="16F1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EF8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C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DA4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67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435049.9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B339">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8782">
            <w:pPr>
              <w:jc w:val="center"/>
              <w:rPr>
                <w:rFonts w:hint="eastAsia" w:ascii="宋体" w:hAnsi="宋体" w:eastAsia="宋体" w:cs="宋体"/>
                <w:b/>
                <w:bCs/>
                <w:i w:val="0"/>
                <w:iCs w:val="0"/>
                <w:color w:val="000000"/>
                <w:sz w:val="21"/>
                <w:szCs w:val="21"/>
                <w:u w:val="none"/>
              </w:rPr>
            </w:pPr>
          </w:p>
        </w:tc>
      </w:tr>
      <w:tr w14:paraId="2FE7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3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C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9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G527(K36+879创业路口～K52+355兴海北路口)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D413">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3C2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7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415421.9 </w:t>
            </w:r>
          </w:p>
        </w:tc>
      </w:tr>
      <w:tr w14:paraId="6109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347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5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F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许民线K0+000～K3+800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3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21422.9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6C6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FBE7">
            <w:pPr>
              <w:jc w:val="center"/>
              <w:rPr>
                <w:rFonts w:hint="eastAsia" w:ascii="宋体" w:hAnsi="宋体" w:eastAsia="宋体" w:cs="宋体"/>
                <w:i w:val="0"/>
                <w:iCs w:val="0"/>
                <w:color w:val="000000"/>
                <w:sz w:val="21"/>
                <w:szCs w:val="21"/>
                <w:u w:val="none"/>
              </w:rPr>
            </w:pPr>
          </w:p>
        </w:tc>
      </w:tr>
      <w:tr w14:paraId="1175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850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D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D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S215老盛宁线(K119+800茶院北路口～K126+000路湾)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4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35897.6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017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DB24">
            <w:pPr>
              <w:jc w:val="center"/>
              <w:rPr>
                <w:rFonts w:hint="eastAsia" w:ascii="宋体" w:hAnsi="宋体" w:eastAsia="宋体" w:cs="宋体"/>
                <w:i w:val="0"/>
                <w:iCs w:val="0"/>
                <w:color w:val="000000"/>
                <w:sz w:val="21"/>
                <w:szCs w:val="21"/>
                <w:u w:val="none"/>
              </w:rPr>
            </w:pPr>
          </w:p>
        </w:tc>
      </w:tr>
      <w:tr w14:paraId="444C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01D0">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4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64D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CB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57320.5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F93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01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415421.9 </w:t>
            </w:r>
          </w:p>
        </w:tc>
      </w:tr>
      <w:tr w14:paraId="67B2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07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D849">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1221180.8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9DE8">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768201.4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8DDF">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544727</w:t>
            </w:r>
          </w:p>
        </w:tc>
      </w:tr>
    </w:tbl>
    <w:p w14:paraId="0C20DDFE">
      <w:pPr>
        <w:pStyle w:val="36"/>
        <w:rPr>
          <w:sz w:val="21"/>
          <w:szCs w:val="21"/>
        </w:rPr>
      </w:pPr>
    </w:p>
    <w:p w14:paraId="2787794B">
      <w:pPr>
        <w:spacing w:line="360" w:lineRule="auto"/>
        <w:ind w:firstLine="420" w:firstLineChars="200"/>
        <w:jc w:val="center"/>
        <w:rPr>
          <w:szCs w:val="21"/>
        </w:rPr>
      </w:pPr>
      <w:r>
        <w:rPr>
          <w:rFonts w:hint="eastAsia" w:ascii="宋体" w:hAnsi="宋体" w:cs="宋体"/>
          <w:szCs w:val="21"/>
        </w:rPr>
        <w:t>★</w:t>
      </w:r>
      <w:r>
        <w:rPr>
          <w:rFonts w:hint="eastAsia"/>
          <w:szCs w:val="21"/>
        </w:rPr>
        <w:t>1.10苗木清单：具体清单以中标后中标人和采购人现场实地确认的为准，中标人应于合同签订前和采购人共同至养护现场清点苗木，双方确认无误后签字确认。</w:t>
      </w:r>
    </w:p>
    <w:p w14:paraId="3D43AFC9">
      <w:pPr>
        <w:pStyle w:val="36"/>
        <w:rPr>
          <w:szCs w:val="24"/>
        </w:rPr>
      </w:pPr>
    </w:p>
    <w:p w14:paraId="0C259A6D">
      <w:pPr>
        <w:pStyle w:val="36"/>
        <w:rPr>
          <w:rFonts w:ascii="宋体" w:hAnsi="宋体" w:eastAsia="宋体" w:cs="宋体"/>
          <w:b/>
          <w:color w:val="000000"/>
          <w:sz w:val="21"/>
          <w:szCs w:val="21"/>
        </w:rPr>
      </w:pPr>
      <w:r>
        <w:rPr>
          <w:rFonts w:hint="eastAsia" w:ascii="宋体" w:hAnsi="宋体" w:eastAsia="宋体" w:cs="宋体"/>
          <w:b/>
          <w:color w:val="000000"/>
          <w:sz w:val="21"/>
          <w:szCs w:val="21"/>
        </w:rPr>
        <w:t>三、技术规范</w:t>
      </w:r>
    </w:p>
    <w:p w14:paraId="04FC6D56">
      <w:pPr>
        <w:tabs>
          <w:tab w:val="left" w:pos="1834"/>
        </w:tabs>
        <w:spacing w:line="480" w:lineRule="exact"/>
        <w:ind w:firstLine="420" w:firstLineChars="200"/>
      </w:pPr>
      <w:r>
        <w:rPr>
          <w:rFonts w:hint="eastAsia"/>
        </w:rPr>
        <w:t>3.1执行标准</w:t>
      </w:r>
      <w:bookmarkEnd w:id="58"/>
      <w:bookmarkEnd w:id="59"/>
    </w:p>
    <w:p w14:paraId="0291AE24">
      <w:pPr>
        <w:spacing w:line="480" w:lineRule="exact"/>
        <w:ind w:firstLine="420" w:firstLineChars="200"/>
      </w:pPr>
      <w:r>
        <w:rPr>
          <w:rFonts w:hint="eastAsia"/>
        </w:rPr>
        <w:t>《宁波市道路绿地等级标准》</w:t>
      </w:r>
    </w:p>
    <w:p w14:paraId="36554A2F">
      <w:pPr>
        <w:tabs>
          <w:tab w:val="left" w:pos="1834"/>
        </w:tabs>
        <w:spacing w:line="480" w:lineRule="exact"/>
        <w:ind w:firstLine="420" w:firstLineChars="200"/>
      </w:pPr>
      <w:r>
        <w:t>《宁波市城市绿地养护质量等级标准》</w:t>
      </w:r>
    </w:p>
    <w:p w14:paraId="4E683D1D">
      <w:pPr>
        <w:tabs>
          <w:tab w:val="left" w:pos="1834"/>
        </w:tabs>
        <w:spacing w:line="480" w:lineRule="exact"/>
        <w:ind w:firstLine="420" w:firstLineChars="200"/>
      </w:pPr>
      <w:r>
        <w:t>《宁波市城市绿地养护技术规程》</w:t>
      </w:r>
    </w:p>
    <w:p w14:paraId="7752B498">
      <w:pPr>
        <w:spacing w:line="480" w:lineRule="exact"/>
        <w:ind w:firstLine="420" w:firstLineChars="200"/>
      </w:pPr>
      <w:r>
        <w:rPr>
          <w:rFonts w:hint="eastAsia"/>
        </w:rPr>
        <w:t>《</w:t>
      </w:r>
      <w:r>
        <w:rPr>
          <w:rFonts w:hint="eastAsia"/>
          <w:lang w:eastAsia="zh-CN"/>
        </w:rPr>
        <w:t>宁海县交通运输局</w:t>
      </w:r>
      <w:r>
        <w:rPr>
          <w:rFonts w:hint="eastAsia"/>
        </w:rPr>
        <w:t>对外承包养护绿地考核办法》</w:t>
      </w:r>
    </w:p>
    <w:p w14:paraId="72D40CDC">
      <w:pPr>
        <w:tabs>
          <w:tab w:val="left" w:pos="1834"/>
        </w:tabs>
        <w:spacing w:line="480" w:lineRule="exact"/>
        <w:ind w:firstLine="420" w:firstLineChars="200"/>
      </w:pPr>
      <w:r>
        <w:rPr>
          <w:rFonts w:hint="eastAsia"/>
        </w:rPr>
        <w:t>《</w:t>
      </w:r>
      <w:r>
        <w:t>宁波市园林绿化养护定额</w:t>
      </w:r>
      <w:r>
        <w:rPr>
          <w:rFonts w:hint="eastAsia"/>
        </w:rPr>
        <w:t>》</w:t>
      </w:r>
    </w:p>
    <w:p w14:paraId="302E58BF">
      <w:pPr>
        <w:spacing w:line="480" w:lineRule="exact"/>
        <w:ind w:firstLine="420" w:firstLineChars="200"/>
      </w:pPr>
      <w:bookmarkStart w:id="60" w:name="_Toc281485989"/>
      <w:bookmarkStart w:id="61" w:name="_Toc372870934"/>
      <w:r>
        <w:rPr>
          <w:rFonts w:hint="eastAsia"/>
        </w:rPr>
        <w:t>3.2依据法规</w:t>
      </w:r>
      <w:bookmarkEnd w:id="60"/>
      <w:bookmarkEnd w:id="61"/>
    </w:p>
    <w:p w14:paraId="555AD429">
      <w:pPr>
        <w:tabs>
          <w:tab w:val="left" w:pos="1834"/>
        </w:tabs>
        <w:spacing w:line="480" w:lineRule="exact"/>
        <w:ind w:firstLine="420" w:firstLineChars="200"/>
      </w:pPr>
      <w:r>
        <w:rPr>
          <w:rFonts w:hint="eastAsia"/>
        </w:rPr>
        <w:t>《公路养护技术规范》</w:t>
      </w:r>
    </w:p>
    <w:p w14:paraId="28621881">
      <w:pPr>
        <w:tabs>
          <w:tab w:val="left" w:pos="1834"/>
        </w:tabs>
        <w:spacing w:line="480" w:lineRule="exact"/>
        <w:ind w:firstLine="420" w:firstLineChars="200"/>
      </w:pPr>
      <w:r>
        <w:rPr>
          <w:rFonts w:hint="eastAsia"/>
        </w:rPr>
        <w:t>《中国公路养护安全作业规程》</w:t>
      </w:r>
    </w:p>
    <w:p w14:paraId="06A29F0E">
      <w:pPr>
        <w:tabs>
          <w:tab w:val="left" w:pos="1834"/>
        </w:tabs>
        <w:spacing w:line="480" w:lineRule="exact"/>
        <w:ind w:firstLine="420" w:firstLineChars="200"/>
      </w:pPr>
      <w:r>
        <w:rPr>
          <w:rFonts w:hint="eastAsia"/>
        </w:rPr>
        <w:t>《公路技术状况评定标准》</w:t>
      </w:r>
    </w:p>
    <w:p w14:paraId="7E787CA4">
      <w:pPr>
        <w:tabs>
          <w:tab w:val="left" w:pos="1834"/>
        </w:tabs>
        <w:spacing w:line="480" w:lineRule="exact"/>
        <w:ind w:firstLine="420" w:firstLineChars="200"/>
      </w:pPr>
      <w:r>
        <w:rPr>
          <w:rFonts w:hint="eastAsia"/>
        </w:rPr>
        <w:t>《宁波市公路养护条例》</w:t>
      </w:r>
    </w:p>
    <w:p w14:paraId="40C25663">
      <w:pPr>
        <w:tabs>
          <w:tab w:val="left" w:pos="1834"/>
        </w:tabs>
        <w:spacing w:line="480" w:lineRule="exact"/>
        <w:ind w:firstLine="420" w:firstLineChars="200"/>
      </w:pPr>
      <w:r>
        <w:t>《城市绿化条例》（国务院100号令）</w:t>
      </w:r>
    </w:p>
    <w:p w14:paraId="05CA321C">
      <w:pPr>
        <w:tabs>
          <w:tab w:val="left" w:pos="1834"/>
        </w:tabs>
        <w:spacing w:line="480" w:lineRule="exact"/>
        <w:ind w:firstLine="420" w:firstLineChars="200"/>
      </w:pPr>
      <w:r>
        <w:t>《城市绿线管理办法》（中华人民共和国建设部令第112号）</w:t>
      </w:r>
    </w:p>
    <w:p w14:paraId="24A50692">
      <w:pPr>
        <w:tabs>
          <w:tab w:val="left" w:pos="1834"/>
        </w:tabs>
        <w:spacing w:line="480" w:lineRule="exact"/>
        <w:ind w:firstLine="420" w:firstLineChars="200"/>
      </w:pPr>
      <w:r>
        <w:t>《浙江省城市绿化管理办法》（浙江省政府令第206号）</w:t>
      </w:r>
    </w:p>
    <w:p w14:paraId="4BE51154">
      <w:pPr>
        <w:tabs>
          <w:tab w:val="left" w:pos="1834"/>
        </w:tabs>
        <w:spacing w:line="480" w:lineRule="exact"/>
        <w:ind w:firstLine="420" w:firstLineChars="200"/>
      </w:pPr>
      <w:r>
        <w:t>《宁波市城市绿化条例》（宁波市人大公告第38号）</w:t>
      </w:r>
    </w:p>
    <w:p w14:paraId="1921FB65">
      <w:pPr>
        <w:tabs>
          <w:tab w:val="left" w:pos="1834"/>
        </w:tabs>
        <w:spacing w:line="480" w:lineRule="exact"/>
        <w:ind w:firstLine="420" w:firstLineChars="200"/>
        <w:rPr>
          <w:szCs w:val="21"/>
        </w:rPr>
      </w:pPr>
      <w:r>
        <w:rPr>
          <w:rFonts w:hint="eastAsia"/>
          <w:szCs w:val="21"/>
        </w:rPr>
        <w:t>注：以上技术规程、标准和办法如有新版本颁布实施的，执行新颁布的版本。</w:t>
      </w:r>
    </w:p>
    <w:p w14:paraId="2BAC3895">
      <w:pPr>
        <w:pStyle w:val="13"/>
        <w:snapToGrid w:val="0"/>
        <w:spacing w:beforeLines="0" w:after="120"/>
        <w:outlineLvl w:val="0"/>
        <w:rPr>
          <w:rFonts w:ascii="Calibri" w:hAnsi="Calibri"/>
          <w:sz w:val="21"/>
          <w:szCs w:val="21"/>
        </w:rPr>
      </w:pPr>
    </w:p>
    <w:p w14:paraId="44146CAF">
      <w:pPr>
        <w:pStyle w:val="14"/>
        <w:rPr>
          <w:rFonts w:ascii="Calibri" w:hAnsi="Calibri"/>
          <w:sz w:val="21"/>
          <w:szCs w:val="21"/>
        </w:rPr>
      </w:pPr>
    </w:p>
    <w:p w14:paraId="708FEBBC">
      <w:pPr>
        <w:rPr>
          <w:rFonts w:ascii="Calibri" w:hAnsi="Calibri"/>
          <w:sz w:val="21"/>
          <w:szCs w:val="21"/>
        </w:rPr>
      </w:pPr>
    </w:p>
    <w:p w14:paraId="7DAA51FC">
      <w:pPr>
        <w:pStyle w:val="36"/>
        <w:rPr>
          <w:rFonts w:ascii="Calibri" w:hAnsi="Calibri"/>
          <w:sz w:val="21"/>
          <w:szCs w:val="21"/>
        </w:rPr>
      </w:pPr>
    </w:p>
    <w:p w14:paraId="6E9606E7">
      <w:pPr>
        <w:pStyle w:val="36"/>
        <w:rPr>
          <w:rFonts w:ascii="Calibri" w:hAnsi="Calibri"/>
          <w:sz w:val="21"/>
          <w:szCs w:val="21"/>
        </w:rPr>
      </w:pPr>
    </w:p>
    <w:p w14:paraId="08A7251D">
      <w:pPr>
        <w:pStyle w:val="36"/>
        <w:rPr>
          <w:rFonts w:ascii="Calibri" w:hAnsi="Calibri"/>
          <w:sz w:val="21"/>
          <w:szCs w:val="21"/>
        </w:rPr>
      </w:pPr>
    </w:p>
    <w:p w14:paraId="7FB938E2">
      <w:pPr>
        <w:pStyle w:val="36"/>
        <w:rPr>
          <w:rFonts w:ascii="Calibri" w:hAnsi="Calibri"/>
          <w:sz w:val="21"/>
          <w:szCs w:val="21"/>
        </w:rPr>
      </w:pPr>
    </w:p>
    <w:p w14:paraId="7F610465">
      <w:pPr>
        <w:pStyle w:val="36"/>
        <w:rPr>
          <w:rFonts w:ascii="Calibri" w:hAnsi="Calibri"/>
          <w:sz w:val="21"/>
          <w:szCs w:val="21"/>
        </w:rPr>
      </w:pPr>
    </w:p>
    <w:p w14:paraId="040980B2">
      <w:pPr>
        <w:pStyle w:val="36"/>
        <w:rPr>
          <w:rFonts w:ascii="Calibri" w:hAnsi="Calibri"/>
          <w:sz w:val="21"/>
          <w:szCs w:val="21"/>
        </w:rPr>
      </w:pPr>
    </w:p>
    <w:p w14:paraId="211074C5">
      <w:pPr>
        <w:pStyle w:val="36"/>
        <w:rPr>
          <w:rFonts w:ascii="Calibri" w:hAnsi="Calibri"/>
          <w:sz w:val="21"/>
          <w:szCs w:val="21"/>
        </w:rPr>
      </w:pPr>
    </w:p>
    <w:p w14:paraId="080D71E9">
      <w:pPr>
        <w:pStyle w:val="36"/>
        <w:rPr>
          <w:rFonts w:ascii="Calibri" w:hAnsi="Calibri"/>
          <w:sz w:val="21"/>
          <w:szCs w:val="21"/>
        </w:rPr>
      </w:pPr>
    </w:p>
    <w:p w14:paraId="2DDD44D2">
      <w:pPr>
        <w:pStyle w:val="36"/>
        <w:rPr>
          <w:rFonts w:ascii="Calibri" w:hAnsi="Calibri"/>
          <w:sz w:val="21"/>
          <w:szCs w:val="21"/>
        </w:rPr>
      </w:pPr>
    </w:p>
    <w:p w14:paraId="74C11283">
      <w:pPr>
        <w:pStyle w:val="36"/>
        <w:rPr>
          <w:rFonts w:ascii="Calibri" w:hAnsi="Calibri"/>
          <w:sz w:val="21"/>
          <w:szCs w:val="21"/>
        </w:rPr>
      </w:pPr>
    </w:p>
    <w:p w14:paraId="3F1BBD89">
      <w:pPr>
        <w:pStyle w:val="36"/>
        <w:rPr>
          <w:rFonts w:ascii="Calibri" w:hAnsi="Calibri"/>
          <w:sz w:val="21"/>
          <w:szCs w:val="21"/>
        </w:rPr>
      </w:pPr>
    </w:p>
    <w:p w14:paraId="10C83753">
      <w:pPr>
        <w:pStyle w:val="36"/>
        <w:rPr>
          <w:rFonts w:ascii="Calibri" w:hAnsi="Calibri"/>
          <w:sz w:val="21"/>
          <w:szCs w:val="21"/>
        </w:rPr>
      </w:pPr>
    </w:p>
    <w:p w14:paraId="487A830C">
      <w:pPr>
        <w:pStyle w:val="36"/>
        <w:rPr>
          <w:rFonts w:ascii="Calibri" w:hAnsi="Calibri"/>
          <w:sz w:val="21"/>
          <w:szCs w:val="21"/>
        </w:rPr>
      </w:pPr>
    </w:p>
    <w:p w14:paraId="3323877C">
      <w:pPr>
        <w:pStyle w:val="36"/>
        <w:rPr>
          <w:rFonts w:ascii="Calibri" w:hAnsi="Calibri"/>
          <w:sz w:val="21"/>
          <w:szCs w:val="21"/>
        </w:rPr>
      </w:pPr>
    </w:p>
    <w:p w14:paraId="3039F3E5">
      <w:pPr>
        <w:pStyle w:val="36"/>
        <w:rPr>
          <w:rFonts w:ascii="Calibri" w:hAnsi="Calibri"/>
          <w:sz w:val="21"/>
          <w:szCs w:val="21"/>
        </w:rPr>
      </w:pPr>
    </w:p>
    <w:p w14:paraId="071EB0F4">
      <w:pPr>
        <w:pStyle w:val="36"/>
        <w:rPr>
          <w:rFonts w:ascii="Calibri" w:hAnsi="Calibri"/>
          <w:sz w:val="21"/>
          <w:szCs w:val="21"/>
        </w:rPr>
      </w:pPr>
    </w:p>
    <w:p w14:paraId="4AB26B74">
      <w:pPr>
        <w:pStyle w:val="36"/>
        <w:rPr>
          <w:rFonts w:ascii="Calibri" w:hAnsi="Calibri"/>
          <w:sz w:val="21"/>
          <w:szCs w:val="21"/>
        </w:rPr>
      </w:pPr>
    </w:p>
    <w:p w14:paraId="420F2F37">
      <w:pPr>
        <w:pStyle w:val="36"/>
        <w:rPr>
          <w:rFonts w:ascii="Calibri" w:hAnsi="Calibri"/>
          <w:sz w:val="21"/>
          <w:szCs w:val="21"/>
        </w:rPr>
      </w:pPr>
    </w:p>
    <w:p w14:paraId="36108003">
      <w:pPr>
        <w:pStyle w:val="36"/>
        <w:rPr>
          <w:rFonts w:ascii="Calibri" w:hAnsi="Calibri"/>
          <w:sz w:val="21"/>
          <w:szCs w:val="21"/>
        </w:rPr>
      </w:pPr>
    </w:p>
    <w:p w14:paraId="098F6881">
      <w:pPr>
        <w:pStyle w:val="36"/>
        <w:rPr>
          <w:rFonts w:ascii="Calibri" w:hAnsi="Calibri"/>
          <w:sz w:val="21"/>
          <w:szCs w:val="21"/>
        </w:rPr>
      </w:pPr>
    </w:p>
    <w:p w14:paraId="55BCFB01">
      <w:pPr>
        <w:pStyle w:val="36"/>
        <w:rPr>
          <w:rFonts w:ascii="Calibri" w:hAnsi="Calibri"/>
          <w:sz w:val="21"/>
          <w:szCs w:val="21"/>
        </w:rPr>
      </w:pPr>
    </w:p>
    <w:p w14:paraId="442425F9">
      <w:pPr>
        <w:pStyle w:val="36"/>
        <w:rPr>
          <w:rFonts w:ascii="Calibri" w:hAnsi="Calibri"/>
          <w:sz w:val="21"/>
          <w:szCs w:val="21"/>
        </w:rPr>
      </w:pPr>
    </w:p>
    <w:p w14:paraId="5330EFB0">
      <w:pPr>
        <w:pStyle w:val="36"/>
        <w:rPr>
          <w:rFonts w:ascii="Calibri" w:hAnsi="Calibri"/>
          <w:sz w:val="21"/>
          <w:szCs w:val="21"/>
        </w:rPr>
      </w:pPr>
    </w:p>
    <w:p w14:paraId="0DAA2BAE">
      <w:pPr>
        <w:pStyle w:val="36"/>
        <w:rPr>
          <w:rFonts w:ascii="Calibri" w:hAnsi="Calibri"/>
          <w:sz w:val="21"/>
          <w:szCs w:val="21"/>
        </w:rPr>
      </w:pPr>
    </w:p>
    <w:p w14:paraId="2E8AC34E">
      <w:pPr>
        <w:pStyle w:val="36"/>
        <w:rPr>
          <w:rFonts w:ascii="Calibri" w:hAnsi="Calibri"/>
          <w:sz w:val="21"/>
          <w:szCs w:val="21"/>
        </w:rPr>
      </w:pPr>
    </w:p>
    <w:p w14:paraId="2AA0F5F9">
      <w:pPr>
        <w:pStyle w:val="36"/>
        <w:rPr>
          <w:rFonts w:ascii="Calibri" w:hAnsi="Calibri"/>
          <w:sz w:val="21"/>
          <w:szCs w:val="21"/>
        </w:rPr>
      </w:pPr>
    </w:p>
    <w:p w14:paraId="3922B981">
      <w:pPr>
        <w:pStyle w:val="36"/>
        <w:rPr>
          <w:rFonts w:ascii="Calibri" w:hAnsi="Calibri"/>
          <w:sz w:val="21"/>
          <w:szCs w:val="21"/>
        </w:rPr>
      </w:pPr>
    </w:p>
    <w:p w14:paraId="5432A701">
      <w:pPr>
        <w:pStyle w:val="36"/>
        <w:rPr>
          <w:rFonts w:ascii="Calibri" w:hAnsi="Calibri"/>
          <w:sz w:val="21"/>
          <w:szCs w:val="21"/>
        </w:rPr>
      </w:pPr>
    </w:p>
    <w:p w14:paraId="4C042D62">
      <w:pPr>
        <w:pStyle w:val="36"/>
        <w:rPr>
          <w:rFonts w:ascii="Calibri" w:hAnsi="Calibri"/>
          <w:sz w:val="21"/>
          <w:szCs w:val="21"/>
        </w:rPr>
      </w:pPr>
    </w:p>
    <w:p w14:paraId="690482EF">
      <w:pPr>
        <w:pStyle w:val="36"/>
        <w:rPr>
          <w:rFonts w:ascii="Calibri" w:hAnsi="Calibri"/>
          <w:sz w:val="21"/>
          <w:szCs w:val="21"/>
        </w:rPr>
      </w:pPr>
    </w:p>
    <w:p w14:paraId="2EF5B259">
      <w:pPr>
        <w:pStyle w:val="36"/>
        <w:rPr>
          <w:rFonts w:ascii="Calibri" w:hAnsi="Calibri"/>
          <w:sz w:val="21"/>
          <w:szCs w:val="21"/>
        </w:rPr>
      </w:pPr>
    </w:p>
    <w:p w14:paraId="4C9D8FBF">
      <w:pPr>
        <w:spacing w:line="360" w:lineRule="auto"/>
        <w:ind w:firstLine="422" w:firstLineChars="200"/>
        <w:jc w:val="center"/>
        <w:rPr>
          <w:szCs w:val="21"/>
        </w:rPr>
      </w:pPr>
      <w:r>
        <w:rPr>
          <w:rFonts w:hint="eastAsia" w:hAnsi="宋体"/>
          <w:b/>
          <w:szCs w:val="21"/>
        </w:rPr>
        <w:t>四、</w:t>
      </w:r>
      <w:r>
        <w:rPr>
          <w:rFonts w:hAnsi="宋体"/>
          <w:b/>
          <w:szCs w:val="21"/>
        </w:rPr>
        <w:t>商务要求</w:t>
      </w:r>
    </w:p>
    <w:tbl>
      <w:tblPr>
        <w:tblStyle w:val="28"/>
        <w:tblW w:w="91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3"/>
        <w:gridCol w:w="8235"/>
      </w:tblGrid>
      <w:tr w14:paraId="48195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63" w:type="dxa"/>
            <w:vAlign w:val="center"/>
          </w:tcPr>
          <w:p w14:paraId="3F5E6DE6">
            <w:pPr>
              <w:spacing w:line="480" w:lineRule="exact"/>
              <w:contextualSpacing/>
              <w:jc w:val="center"/>
              <w:rPr>
                <w:rFonts w:ascii="宋体" w:hAnsi="宋体"/>
                <w:snapToGrid w:val="0"/>
                <w:szCs w:val="21"/>
              </w:rPr>
            </w:pPr>
            <w:r>
              <w:rPr>
                <w:rFonts w:hint="eastAsia" w:ascii="宋体" w:hAnsi="宋体" w:cs="Times New Roman"/>
                <w:szCs w:val="21"/>
              </w:rPr>
              <w:t>★</w:t>
            </w:r>
            <w:r>
              <w:rPr>
                <w:rFonts w:hint="eastAsia" w:ascii="宋体" w:hAnsi="宋体"/>
                <w:snapToGrid w:val="0"/>
                <w:szCs w:val="21"/>
              </w:rPr>
              <w:t>1</w:t>
            </w:r>
          </w:p>
        </w:tc>
        <w:tc>
          <w:tcPr>
            <w:tcW w:w="8235" w:type="dxa"/>
            <w:vAlign w:val="center"/>
          </w:tcPr>
          <w:p w14:paraId="73218922">
            <w:pPr>
              <w:pageBreakBefore w:val="0"/>
              <w:widowControl w:val="0"/>
              <w:kinsoku/>
              <w:wordWrap/>
              <w:overflowPunct/>
              <w:topLinePunct w:val="0"/>
              <w:autoSpaceDE/>
              <w:autoSpaceDN/>
              <w:bidi w:val="0"/>
              <w:adjustRightInd/>
              <w:snapToGrid/>
              <w:spacing w:line="480" w:lineRule="exact"/>
              <w:textAlignment w:val="auto"/>
              <w:rPr>
                <w:rFonts w:ascii="宋体" w:hAnsi="宋体"/>
                <w:snapToGrid w:val="0"/>
                <w:szCs w:val="21"/>
              </w:rPr>
            </w:pPr>
            <w:r>
              <w:rPr>
                <w:rFonts w:hint="eastAsia" w:asciiTheme="minorEastAsia" w:hAnsiTheme="minorEastAsia" w:eastAsiaTheme="minorEastAsia" w:cstheme="minorEastAsia"/>
                <w:b w:val="0"/>
                <w:bCs w:val="0"/>
                <w:kern w:val="2"/>
                <w:sz w:val="21"/>
                <w:szCs w:val="21"/>
                <w:highlight w:val="none"/>
                <w:lang w:val="en-US" w:eastAsia="zh-CN" w:bidi="ar-SA"/>
              </w:rPr>
              <w:t>服务期限：</w:t>
            </w:r>
            <w:r>
              <w:rPr>
                <w:rFonts w:hint="eastAsia"/>
                <w:highlight w:val="none"/>
                <w:lang w:eastAsia="zh-CN"/>
              </w:rPr>
              <w:t>养护期限为</w:t>
            </w:r>
            <w:r>
              <w:rPr>
                <w:rFonts w:hint="eastAsia"/>
                <w:highlight w:val="none"/>
                <w:lang w:val="en-US" w:eastAsia="zh-CN"/>
              </w:rPr>
              <w:t>2025年7月1日至2027年12月31日（暂定30个月）；</w:t>
            </w:r>
          </w:p>
        </w:tc>
      </w:tr>
      <w:tr w14:paraId="22A9B5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63" w:type="dxa"/>
            <w:vAlign w:val="center"/>
          </w:tcPr>
          <w:p w14:paraId="0D255774">
            <w:pPr>
              <w:spacing w:line="480" w:lineRule="exact"/>
              <w:contextualSpacing/>
              <w:jc w:val="center"/>
              <w:rPr>
                <w:rFonts w:ascii="宋体" w:hAnsi="宋体"/>
                <w:snapToGrid w:val="0"/>
                <w:szCs w:val="21"/>
              </w:rPr>
            </w:pPr>
            <w:r>
              <w:rPr>
                <w:rFonts w:hint="eastAsia" w:ascii="宋体" w:hAnsi="宋体" w:cs="Times New Roman"/>
                <w:szCs w:val="21"/>
              </w:rPr>
              <w:t>★</w:t>
            </w:r>
            <w:r>
              <w:rPr>
                <w:rFonts w:hint="eastAsia" w:ascii="宋体" w:hAnsi="宋体"/>
                <w:snapToGrid w:val="0"/>
                <w:szCs w:val="21"/>
              </w:rPr>
              <w:t>2</w:t>
            </w:r>
          </w:p>
        </w:tc>
        <w:tc>
          <w:tcPr>
            <w:tcW w:w="8235" w:type="dxa"/>
            <w:vAlign w:val="center"/>
          </w:tcPr>
          <w:p w14:paraId="16B3C7CE">
            <w:pPr>
              <w:pStyle w:val="9"/>
              <w:spacing w:line="480" w:lineRule="exact"/>
              <w:contextualSpacing/>
              <w:rPr>
                <w:rFonts w:ascii="宋体" w:hAnsi="宋体"/>
                <w:snapToGrid w:val="0"/>
                <w:sz w:val="21"/>
                <w:szCs w:val="21"/>
              </w:rPr>
            </w:pPr>
            <w:r>
              <w:rPr>
                <w:rFonts w:hint="eastAsia" w:ascii="宋体" w:hAnsi="宋体" w:eastAsia="宋体" w:cs="宋体"/>
                <w:b w:val="0"/>
                <w:color w:val="000000"/>
                <w:spacing w:val="0"/>
                <w:kern w:val="2"/>
                <w:sz w:val="21"/>
                <w:szCs w:val="21"/>
              </w:rPr>
              <w:t>实施地点：按招标人指定地点</w:t>
            </w:r>
          </w:p>
        </w:tc>
      </w:tr>
      <w:tr w14:paraId="0AD57C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jc w:val="center"/>
        </w:trPr>
        <w:tc>
          <w:tcPr>
            <w:tcW w:w="963" w:type="dxa"/>
            <w:vAlign w:val="center"/>
          </w:tcPr>
          <w:p w14:paraId="7919C0C1">
            <w:pPr>
              <w:spacing w:line="480" w:lineRule="exact"/>
              <w:contextualSpacing/>
              <w:rPr>
                <w:rFonts w:ascii="宋体" w:hAnsi="宋体"/>
                <w:snapToGrid w:val="0"/>
                <w:szCs w:val="21"/>
              </w:rPr>
            </w:pPr>
            <w:r>
              <w:rPr>
                <w:rFonts w:hint="eastAsia" w:ascii="宋体" w:hAnsi="宋体"/>
                <w:snapToGrid w:val="0"/>
                <w:szCs w:val="21"/>
              </w:rPr>
              <w:t xml:space="preserve"> </w:t>
            </w:r>
            <w:r>
              <w:rPr>
                <w:rFonts w:hint="eastAsia" w:ascii="宋体" w:hAnsi="宋体" w:cs="Times New Roman"/>
                <w:szCs w:val="21"/>
              </w:rPr>
              <w:t>★</w:t>
            </w:r>
            <w:r>
              <w:rPr>
                <w:rFonts w:hint="eastAsia" w:ascii="宋体" w:hAnsi="宋体"/>
                <w:snapToGrid w:val="0"/>
                <w:szCs w:val="21"/>
              </w:rPr>
              <w:t xml:space="preserve"> 3</w:t>
            </w:r>
          </w:p>
        </w:tc>
        <w:tc>
          <w:tcPr>
            <w:tcW w:w="8235" w:type="dxa"/>
            <w:vAlign w:val="center"/>
          </w:tcPr>
          <w:p w14:paraId="60CEEB2E">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付款方式：实行日常巡查、月度检查、季度考核相结合的办法。每季度评分一次，每季度结算一次。</w:t>
            </w:r>
          </w:p>
          <w:p w14:paraId="2D5E58B2">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季度考核综合得分在90分以上（包含90分）的为合格；95分以上的为优秀。低于90分的按以下规定执行：</w:t>
            </w:r>
          </w:p>
          <w:p w14:paraId="28FC22E3">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1.季度考核综合得分低于90分的，每下降一分，扣除当季养护经费的百分之三。</w:t>
            </w:r>
          </w:p>
          <w:p w14:paraId="02CE6FD2">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2.季度考核综合得分低于80分的，暂不</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当季养护经费；连续两个季度考核综合得分不合格的甲方有权终止养护合同且只</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第一季度的50%养护经费，取消第二季度养护经费</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w:t>
            </w:r>
          </w:p>
          <w:p w14:paraId="4C8F7DC0">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3.季度考核综合得分低于75分取消其养护资格，解除合同并取消当季养护经费。</w:t>
            </w:r>
            <w:r>
              <w:rPr>
                <w:rFonts w:hint="eastAsia" w:asciiTheme="minorEastAsia" w:hAnsiTheme="minorEastAsia" w:eastAsiaTheme="minorEastAsia" w:cstheme="minorEastAsia"/>
                <w:b/>
                <w:bCs/>
                <w:szCs w:val="21"/>
                <w:highlight w:val="none"/>
                <w:lang w:eastAsia="zh-CN"/>
              </w:rPr>
              <w:t>中标人还</w:t>
            </w:r>
            <w:r>
              <w:rPr>
                <w:rFonts w:hint="eastAsia" w:asciiTheme="minorEastAsia" w:hAnsiTheme="minorEastAsia" w:eastAsiaTheme="minorEastAsia" w:cstheme="minorEastAsia"/>
                <w:b/>
                <w:bCs/>
                <w:szCs w:val="21"/>
                <w:highlight w:val="none"/>
              </w:rPr>
              <w:t>应按本合同金额的10%</w:t>
            </w:r>
            <w:r>
              <w:rPr>
                <w:rFonts w:hint="eastAsia" w:asciiTheme="minorEastAsia" w:hAnsiTheme="minorEastAsia" w:eastAsiaTheme="minorEastAsia" w:cstheme="minorEastAsia"/>
                <w:b/>
                <w:bCs/>
                <w:szCs w:val="21"/>
                <w:highlight w:val="none"/>
                <w:lang w:eastAsia="zh-CN"/>
              </w:rPr>
              <w:t>（</w:t>
            </w:r>
            <w:r>
              <w:rPr>
                <w:rFonts w:hint="eastAsia" w:asciiTheme="minorEastAsia" w:hAnsiTheme="minorEastAsia" w:eastAsiaTheme="minorEastAsia" w:cstheme="minorEastAsia"/>
                <w:b/>
                <w:bCs/>
                <w:szCs w:val="21"/>
                <w:highlight w:val="none"/>
                <w:lang w:val="en-US" w:eastAsia="zh-CN"/>
              </w:rPr>
              <w:t>含履约保证金）</w:t>
            </w:r>
            <w:r>
              <w:rPr>
                <w:rFonts w:hint="eastAsia" w:asciiTheme="minorEastAsia" w:hAnsiTheme="minorEastAsia" w:eastAsiaTheme="minorEastAsia" w:cstheme="minorEastAsia"/>
                <w:b/>
                <w:bCs/>
                <w:szCs w:val="21"/>
                <w:highlight w:val="none"/>
              </w:rPr>
              <w:t>向甲方支付违约金</w:t>
            </w:r>
            <w:r>
              <w:rPr>
                <w:rFonts w:hint="eastAsia" w:asciiTheme="minorEastAsia" w:hAnsiTheme="minorEastAsia" w:eastAsiaTheme="minorEastAsia" w:cstheme="minorEastAsia"/>
                <w:b/>
                <w:bCs/>
                <w:szCs w:val="21"/>
                <w:highlight w:val="none"/>
                <w:lang w:eastAsia="zh-CN"/>
              </w:rPr>
              <w:t>。</w:t>
            </w:r>
          </w:p>
          <w:p w14:paraId="1977C14B">
            <w:pPr>
              <w:spacing w:line="360" w:lineRule="auto"/>
              <w:rPr>
                <w:rFonts w:ascii="宋体" w:hAnsi="宋体"/>
                <w:snapToGrid w:val="0"/>
                <w:szCs w:val="21"/>
              </w:rPr>
            </w:pPr>
            <w:r>
              <w:rPr>
                <w:rFonts w:hint="eastAsia" w:asciiTheme="minorEastAsia" w:hAnsiTheme="minorEastAsia" w:eastAsiaTheme="minorEastAsia" w:cstheme="minorEastAsia"/>
                <w:szCs w:val="21"/>
                <w:highlight w:val="none"/>
              </w:rPr>
              <w:t>（详细付款方式见采购文件第五章）</w:t>
            </w:r>
          </w:p>
        </w:tc>
      </w:tr>
      <w:tr w14:paraId="19F08A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jc w:val="center"/>
        </w:trPr>
        <w:tc>
          <w:tcPr>
            <w:tcW w:w="963" w:type="dxa"/>
            <w:vAlign w:val="center"/>
          </w:tcPr>
          <w:p w14:paraId="4150B7FB">
            <w:pPr>
              <w:spacing w:line="480" w:lineRule="exact"/>
              <w:contextualSpacing/>
              <w:jc w:val="center"/>
              <w:rPr>
                <w:rFonts w:ascii="宋体" w:hAnsi="宋体"/>
                <w:snapToGrid w:val="0"/>
                <w:szCs w:val="21"/>
              </w:rPr>
            </w:pPr>
            <w:r>
              <w:rPr>
                <w:rFonts w:hint="eastAsia" w:ascii="宋体" w:hAnsi="宋体" w:cs="Times New Roman"/>
                <w:szCs w:val="21"/>
              </w:rPr>
              <w:t>★</w:t>
            </w:r>
            <w:r>
              <w:rPr>
                <w:rFonts w:hint="eastAsia" w:ascii="宋体" w:hAnsi="宋体"/>
                <w:snapToGrid w:val="0"/>
                <w:szCs w:val="21"/>
              </w:rPr>
              <w:t>4</w:t>
            </w:r>
          </w:p>
        </w:tc>
        <w:tc>
          <w:tcPr>
            <w:tcW w:w="8235" w:type="dxa"/>
            <w:vAlign w:val="center"/>
          </w:tcPr>
          <w:p w14:paraId="579A4192">
            <w:pPr>
              <w:spacing w:line="360" w:lineRule="auto"/>
              <w:rPr>
                <w:rFonts w:ascii="宋体" w:hAnsi="宋体" w:cs="Arial"/>
                <w:kern w:val="0"/>
                <w:szCs w:val="21"/>
              </w:rPr>
            </w:pPr>
            <w:r>
              <w:rPr>
                <w:rFonts w:hint="eastAsia" w:ascii="宋体" w:hAnsi="宋体" w:cs="Arial"/>
                <w:kern w:val="0"/>
                <w:szCs w:val="21"/>
              </w:rPr>
              <w:t>人员考勤：中标人需自行配备考勤设备，对中标人的项目负责人及评分表加分人员的出勤进行人脸特征识别考勤。离开工地必须向招标人书面请假，并经招标人同意后才能离开；每月在工地天数应大于22天（特殊情况经招标人批准同意例外），少一天扣除罚款1000元，以此类推。累计两个月到岗率达不到50%，甲方有权终止合同。</w:t>
            </w:r>
          </w:p>
        </w:tc>
      </w:tr>
      <w:tr w14:paraId="5E56F6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63" w:type="dxa"/>
            <w:vAlign w:val="center"/>
          </w:tcPr>
          <w:p w14:paraId="5E2F18C7">
            <w:pPr>
              <w:spacing w:line="480" w:lineRule="exact"/>
              <w:contextualSpacing/>
              <w:jc w:val="center"/>
              <w:rPr>
                <w:rFonts w:ascii="宋体" w:hAnsi="宋体"/>
                <w:snapToGrid w:val="0"/>
                <w:szCs w:val="21"/>
              </w:rPr>
            </w:pPr>
            <w:r>
              <w:rPr>
                <w:rFonts w:hint="eastAsia" w:ascii="宋体" w:hAnsi="宋体" w:cs="Times New Roman"/>
                <w:szCs w:val="21"/>
              </w:rPr>
              <w:t>★</w:t>
            </w:r>
            <w:r>
              <w:rPr>
                <w:rFonts w:hint="eastAsia" w:ascii="宋体" w:hAnsi="宋体"/>
                <w:snapToGrid w:val="0"/>
                <w:szCs w:val="21"/>
              </w:rPr>
              <w:t>5</w:t>
            </w:r>
          </w:p>
        </w:tc>
        <w:tc>
          <w:tcPr>
            <w:tcW w:w="8235" w:type="dxa"/>
            <w:vAlign w:val="center"/>
          </w:tcPr>
          <w:p w14:paraId="127DE20C">
            <w:pPr>
              <w:autoSpaceDE w:val="0"/>
              <w:autoSpaceDN w:val="0"/>
              <w:spacing w:line="480" w:lineRule="exact"/>
              <w:contextualSpacing/>
              <w:textAlignment w:val="bottom"/>
              <w:rPr>
                <w:rFonts w:ascii="宋体" w:hAnsi="宋体"/>
                <w:snapToGrid w:val="0"/>
                <w:szCs w:val="21"/>
              </w:rPr>
            </w:pPr>
            <w:r>
              <w:rPr>
                <w:rFonts w:hint="eastAsia" w:ascii="宋体" w:hAnsi="宋体" w:cs="Arial"/>
                <w:kern w:val="0"/>
                <w:szCs w:val="21"/>
              </w:rPr>
              <w:t>履约保证金：每年签订合同时，提供</w:t>
            </w:r>
            <w:r>
              <w:rPr>
                <w:rFonts w:ascii="宋体" w:hAnsi="宋体" w:cs="Arial"/>
                <w:kern w:val="0"/>
                <w:szCs w:val="21"/>
              </w:rPr>
              <w:t>签约合同价的</w:t>
            </w:r>
            <w:r>
              <w:rPr>
                <w:rFonts w:hint="eastAsia" w:ascii="宋体" w:hAnsi="宋体" w:cs="Arial"/>
                <w:kern w:val="0"/>
                <w:szCs w:val="21"/>
              </w:rPr>
              <w:t>1</w:t>
            </w:r>
            <w:r>
              <w:rPr>
                <w:rFonts w:ascii="宋体" w:hAnsi="宋体" w:cs="Arial"/>
                <w:kern w:val="0"/>
                <w:szCs w:val="21"/>
              </w:rPr>
              <w:t>%（若工程量超过的按实追加履约保证金金额）；履约保证金形式：</w:t>
            </w:r>
            <w:r>
              <w:rPr>
                <w:rFonts w:hint="eastAsia" w:ascii="宋体" w:hAnsi="宋体" w:cs="Arial"/>
                <w:kern w:val="0"/>
                <w:szCs w:val="21"/>
              </w:rPr>
              <w:t>现金、银行转账、银行保函等采购人认可的方式。</w:t>
            </w:r>
          </w:p>
        </w:tc>
      </w:tr>
      <w:tr w14:paraId="1CFCA9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63" w:type="dxa"/>
            <w:vAlign w:val="center"/>
          </w:tcPr>
          <w:p w14:paraId="14171DDC">
            <w:pPr>
              <w:spacing w:line="480" w:lineRule="exact"/>
              <w:contextualSpacing/>
              <w:jc w:val="center"/>
              <w:rPr>
                <w:rFonts w:ascii="宋体" w:hAnsi="宋体"/>
                <w:snapToGrid w:val="0"/>
                <w:szCs w:val="21"/>
              </w:rPr>
            </w:pPr>
            <w:r>
              <w:rPr>
                <w:rFonts w:hint="eastAsia" w:ascii="宋体" w:hAnsi="宋体" w:cs="Times New Roman"/>
                <w:szCs w:val="21"/>
              </w:rPr>
              <w:t>★</w:t>
            </w:r>
            <w:r>
              <w:rPr>
                <w:rFonts w:hint="eastAsia" w:ascii="宋体" w:hAnsi="宋体"/>
                <w:snapToGrid w:val="0"/>
                <w:szCs w:val="21"/>
              </w:rPr>
              <w:t>6</w:t>
            </w:r>
          </w:p>
        </w:tc>
        <w:tc>
          <w:tcPr>
            <w:tcW w:w="8235" w:type="dxa"/>
            <w:vAlign w:val="center"/>
          </w:tcPr>
          <w:p w14:paraId="168824F5">
            <w:pPr>
              <w:tabs>
                <w:tab w:val="left" w:pos="625"/>
              </w:tabs>
              <w:spacing w:line="440" w:lineRule="exact"/>
            </w:pPr>
            <w:r>
              <w:rPr>
                <w:rFonts w:hint="eastAsia" w:ascii="宋体" w:hAnsi="宋体" w:cs="Times New Roman"/>
                <w:szCs w:val="21"/>
              </w:rPr>
              <w:t>同意采购方对投</w:t>
            </w:r>
            <w:r>
              <w:rPr>
                <w:rFonts w:hint="eastAsia" w:ascii="宋体" w:hAnsi="宋体"/>
                <w:szCs w:val="21"/>
              </w:rPr>
              <w:t>标文件内容的真实性和有效性进行监督审查、验证</w:t>
            </w:r>
            <w:r>
              <w:rPr>
                <w:rFonts w:hint="eastAsia" w:ascii="宋体" w:hAnsi="宋体"/>
                <w:bCs/>
                <w:szCs w:val="21"/>
              </w:rPr>
              <w:t>。</w:t>
            </w:r>
          </w:p>
        </w:tc>
      </w:tr>
    </w:tbl>
    <w:p w14:paraId="08D72535">
      <w:pPr>
        <w:pStyle w:val="37"/>
        <w:ind w:firstLine="0" w:firstLineChars="0"/>
        <w:rPr>
          <w:rFonts w:asciiTheme="minorEastAsia" w:hAnsiTheme="minorEastAsia" w:eastAsiaTheme="minorEastAsia" w:cstheme="minorEastAsia"/>
          <w:b/>
          <w:bCs/>
          <w:szCs w:val="21"/>
        </w:rPr>
      </w:pPr>
    </w:p>
    <w:p w14:paraId="591ABED8">
      <w:pPr>
        <w:spacing w:line="360" w:lineRule="auto"/>
        <w:ind w:firstLine="422" w:firstLineChars="200"/>
        <w:jc w:val="center"/>
        <w:rPr>
          <w:rFonts w:hint="eastAsia" w:asciiTheme="minorEastAsia" w:hAnsiTheme="minorEastAsia" w:eastAsiaTheme="minorEastAsia" w:cstheme="minorEastAsia"/>
          <w:b/>
          <w:bCs/>
          <w:szCs w:val="21"/>
        </w:rPr>
      </w:pPr>
    </w:p>
    <w:p w14:paraId="767CF0B2">
      <w:pPr>
        <w:spacing w:line="360" w:lineRule="auto"/>
        <w:ind w:firstLine="422" w:firstLineChars="200"/>
        <w:jc w:val="center"/>
        <w:rPr>
          <w:rFonts w:hint="eastAsia" w:asciiTheme="minorEastAsia" w:hAnsiTheme="minorEastAsia" w:eastAsiaTheme="minorEastAsia" w:cstheme="minorEastAsia"/>
          <w:b/>
          <w:bCs/>
          <w:szCs w:val="21"/>
        </w:rPr>
      </w:pPr>
    </w:p>
    <w:p w14:paraId="13421FF3">
      <w:pPr>
        <w:spacing w:line="360" w:lineRule="auto"/>
        <w:ind w:firstLine="422" w:firstLineChars="200"/>
        <w:jc w:val="center"/>
        <w:rPr>
          <w:rFonts w:hint="eastAsia" w:asciiTheme="minorEastAsia" w:hAnsiTheme="minorEastAsia" w:eastAsiaTheme="minorEastAsia" w:cstheme="minorEastAsia"/>
          <w:b/>
          <w:bCs/>
          <w:szCs w:val="21"/>
        </w:rPr>
      </w:pPr>
    </w:p>
    <w:p w14:paraId="5836A038">
      <w:pPr>
        <w:spacing w:line="360" w:lineRule="auto"/>
        <w:ind w:firstLine="422" w:firstLineChars="200"/>
        <w:jc w:val="center"/>
        <w:rPr>
          <w:rFonts w:hint="eastAsia" w:asciiTheme="minorEastAsia" w:hAnsiTheme="minorEastAsia" w:eastAsiaTheme="minorEastAsia" w:cstheme="minorEastAsia"/>
          <w:b/>
          <w:bCs/>
          <w:szCs w:val="21"/>
        </w:rPr>
      </w:pPr>
    </w:p>
    <w:p w14:paraId="482B1381">
      <w:pPr>
        <w:spacing w:line="360" w:lineRule="auto"/>
        <w:ind w:firstLine="422" w:firstLineChars="200"/>
        <w:jc w:val="center"/>
        <w:rPr>
          <w:rFonts w:hint="eastAsia" w:asciiTheme="minorEastAsia" w:hAnsiTheme="minorEastAsia" w:eastAsiaTheme="minorEastAsia" w:cstheme="minorEastAsia"/>
          <w:b/>
          <w:bCs/>
          <w:szCs w:val="21"/>
        </w:rPr>
      </w:pPr>
    </w:p>
    <w:p w14:paraId="41A3D260">
      <w:pPr>
        <w:spacing w:line="360" w:lineRule="auto"/>
        <w:ind w:firstLine="422" w:firstLineChars="200"/>
        <w:jc w:val="center"/>
        <w:rPr>
          <w:rFonts w:hint="eastAsia" w:asciiTheme="minorEastAsia" w:hAnsiTheme="minorEastAsia" w:eastAsiaTheme="minorEastAsia" w:cstheme="minorEastAsia"/>
          <w:b/>
          <w:bCs/>
          <w:szCs w:val="21"/>
        </w:rPr>
      </w:pPr>
    </w:p>
    <w:p w14:paraId="2D5565CE">
      <w:pPr>
        <w:pStyle w:val="27"/>
        <w:rPr>
          <w:rFonts w:hint="eastAsia" w:asciiTheme="minorEastAsia" w:hAnsiTheme="minorEastAsia" w:eastAsiaTheme="minorEastAsia" w:cstheme="minorEastAsia"/>
          <w:b/>
          <w:bCs/>
          <w:szCs w:val="21"/>
        </w:rPr>
      </w:pPr>
    </w:p>
    <w:p w14:paraId="385598B4">
      <w:pPr>
        <w:rPr>
          <w:rFonts w:hint="eastAsia" w:asciiTheme="minorEastAsia" w:hAnsiTheme="minorEastAsia" w:eastAsiaTheme="minorEastAsia" w:cstheme="minorEastAsia"/>
          <w:b/>
          <w:bCs/>
          <w:szCs w:val="21"/>
        </w:rPr>
      </w:pPr>
    </w:p>
    <w:p w14:paraId="10E0E4E4">
      <w:pPr>
        <w:pStyle w:val="27"/>
        <w:rPr>
          <w:rFonts w:hint="eastAsia"/>
        </w:rPr>
      </w:pPr>
    </w:p>
    <w:p w14:paraId="107C6ACF">
      <w:pPr>
        <w:spacing w:line="360" w:lineRule="auto"/>
        <w:ind w:firstLine="422" w:firstLineChars="200"/>
        <w:jc w:val="center"/>
        <w:rPr>
          <w:rFonts w:hint="eastAsia" w:asciiTheme="minorEastAsia" w:hAnsiTheme="minorEastAsia" w:eastAsiaTheme="minorEastAsia" w:cstheme="minorEastAsia"/>
          <w:b/>
          <w:bCs/>
          <w:szCs w:val="21"/>
        </w:rPr>
      </w:pPr>
    </w:p>
    <w:p w14:paraId="199368C1">
      <w:pPr>
        <w:spacing w:line="360" w:lineRule="auto"/>
        <w:ind w:firstLine="422" w:firstLineChars="200"/>
        <w:jc w:val="center"/>
        <w:rPr>
          <w:rFonts w:hint="eastAsia" w:asciiTheme="minorEastAsia" w:hAnsiTheme="minorEastAsia" w:eastAsiaTheme="minorEastAsia" w:cstheme="minorEastAsia"/>
          <w:b/>
          <w:bCs/>
          <w:szCs w:val="21"/>
        </w:rPr>
      </w:pPr>
    </w:p>
    <w:p w14:paraId="1A4B4AC4">
      <w:pPr>
        <w:pStyle w:val="35"/>
        <w:rPr>
          <w:rFonts w:hint="eastAsia"/>
        </w:rPr>
      </w:pPr>
    </w:p>
    <w:p w14:paraId="1CB94229">
      <w:pPr>
        <w:spacing w:line="360" w:lineRule="auto"/>
        <w:ind w:firstLine="422" w:firstLineChars="200"/>
        <w:jc w:val="center"/>
        <w:rPr>
          <w:rFonts w:hint="eastAsia" w:asciiTheme="minorEastAsia" w:hAnsiTheme="minorEastAsia" w:eastAsiaTheme="minorEastAsia" w:cstheme="minorEastAsia"/>
          <w:b/>
          <w:bCs/>
          <w:szCs w:val="21"/>
        </w:rPr>
      </w:pPr>
    </w:p>
    <w:p w14:paraId="6F3B4474">
      <w:pPr>
        <w:spacing w:line="360" w:lineRule="auto"/>
        <w:ind w:firstLine="422" w:firstLineChars="20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eastAsia="zh-CN"/>
        </w:rPr>
        <w:t>宁海县交通运输局</w:t>
      </w:r>
      <w:r>
        <w:rPr>
          <w:rFonts w:hint="eastAsia" w:asciiTheme="minorEastAsia" w:hAnsiTheme="minorEastAsia" w:eastAsiaTheme="minorEastAsia" w:cstheme="minorEastAsia"/>
          <w:b/>
          <w:bCs/>
          <w:szCs w:val="21"/>
        </w:rPr>
        <w:t>对外承包养护绿地考核办法</w:t>
      </w:r>
    </w:p>
    <w:p w14:paraId="0875B231">
      <w:pPr>
        <w:snapToGrid w:val="0"/>
        <w:spacing w:beforeLines="15" w:afterLines="15"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根据《公路养护技术规范》、《中国公路养护安全作业规程》、《公路技术状况评定标准》、《宁波市公路养护条例》、文件要求，结合我单位管养绿地的实际情况，制定本考核办法。本</w:t>
      </w:r>
      <w:r>
        <w:rPr>
          <w:rFonts w:hint="eastAsia" w:asciiTheme="minorEastAsia" w:hAnsiTheme="minorEastAsia" w:eastAsiaTheme="minorEastAsia" w:cstheme="minorEastAsia"/>
          <w:szCs w:val="21"/>
          <w:highlight w:val="none"/>
          <w:lang w:eastAsia="zh-CN"/>
        </w:rPr>
        <w:t>考核办法适用宁海县交通运输局2025年公路绿化养护服务采购（第二批），每条线路季度考核的考核公里数须</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eastAsia="zh-CN"/>
        </w:rPr>
        <w:t>公里（含）以上。</w:t>
      </w:r>
    </w:p>
    <w:p w14:paraId="5D77DA21">
      <w:pPr>
        <w:numPr>
          <w:ilvl w:val="0"/>
          <w:numId w:val="5"/>
        </w:num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考核细则（附件A、B、C）：实行百分等级评定。日常巡查考核由公运中心养护中心进行考核，所占比重40%；考核扣分以90分（含90分）为基准，每月平均日常考核所得分数低于90分，每下降1分，扣除1000元，直接从养护经费中扣除；</w:t>
      </w:r>
      <w:r>
        <w:rPr>
          <w:rFonts w:hint="eastAsia" w:asciiTheme="minorEastAsia" w:hAnsiTheme="minorEastAsia" w:eastAsiaTheme="minorEastAsia" w:cstheme="minorEastAsia"/>
          <w:kern w:val="0"/>
          <w:szCs w:val="21"/>
          <w:highlight w:val="none"/>
        </w:rPr>
        <w:t>月度检查由</w:t>
      </w:r>
      <w:r>
        <w:rPr>
          <w:rFonts w:hint="eastAsia" w:asciiTheme="minorEastAsia" w:hAnsiTheme="minorEastAsia" w:eastAsiaTheme="minorEastAsia" w:cstheme="minorEastAsia"/>
          <w:szCs w:val="21"/>
          <w:highlight w:val="none"/>
        </w:rPr>
        <w:t>公运中心</w:t>
      </w:r>
      <w:r>
        <w:rPr>
          <w:rFonts w:hint="eastAsia" w:asciiTheme="minorEastAsia" w:hAnsiTheme="minorEastAsia" w:eastAsiaTheme="minorEastAsia" w:cstheme="minorEastAsia"/>
          <w:kern w:val="0"/>
          <w:szCs w:val="21"/>
          <w:highlight w:val="none"/>
        </w:rPr>
        <w:t>养护科进行考核，所占比重20%；考核扣分以90分（含90分）为基准，所得分数低于90分的，每下降1分，每分扣除1000元，直接从养护经费中扣除。</w:t>
      </w:r>
    </w:p>
    <w:p w14:paraId="0161FB5E">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季度考核由宁海县公路与运输管理中心组织（交通局工程科、公运中心各科室成员参加），季度考核综合得分在90分以上（包含90分）的为合格；95分以上的为优秀。低于90分的按以下规定执行：</w:t>
      </w:r>
    </w:p>
    <w:p w14:paraId="3F2D5706">
      <w:pPr>
        <w:numPr>
          <w:ilvl w:val="0"/>
          <w:numId w:val="6"/>
        </w:num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季度考核综合得分低于90分的，每下降一分，扣除当季养护经费的百分之三。</w:t>
      </w:r>
    </w:p>
    <w:p w14:paraId="6A240114">
      <w:pPr>
        <w:numPr>
          <w:ilvl w:val="0"/>
          <w:numId w:val="6"/>
        </w:num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季度考核综合得分低于80分的，暂不</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当季养护经费；连续两个季度考核综合得分不合格的甲方有权终止养护合同且只</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第一季度的50%养护经费，取消第二季度养护经费</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w:t>
      </w:r>
    </w:p>
    <w:p w14:paraId="1A0E26BE">
      <w:pPr>
        <w:widowControl/>
        <w:spacing w:line="440" w:lineRule="exact"/>
        <w:ind w:firstLine="422" w:firstLineChars="200"/>
        <w:jc w:val="left"/>
        <w:rPr>
          <w:rFonts w:hint="eastAsia"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rPr>
        <w:t>季度考核综合得分低于75分取消其养护资格，解除合同并</w:t>
      </w:r>
      <w:r>
        <w:rPr>
          <w:rFonts w:hint="eastAsia" w:asciiTheme="minorEastAsia" w:hAnsiTheme="minorEastAsia" w:eastAsiaTheme="minorEastAsia" w:cstheme="minorEastAsia"/>
          <w:b/>
          <w:bCs/>
          <w:szCs w:val="21"/>
          <w:highlight w:val="none"/>
          <w:lang w:eastAsia="zh-CN"/>
        </w:rPr>
        <w:t>扣除一个季度的</w:t>
      </w:r>
      <w:r>
        <w:rPr>
          <w:rFonts w:hint="eastAsia" w:asciiTheme="minorEastAsia" w:hAnsiTheme="minorEastAsia" w:eastAsiaTheme="minorEastAsia" w:cstheme="minorEastAsia"/>
          <w:b/>
          <w:bCs/>
          <w:szCs w:val="21"/>
          <w:highlight w:val="none"/>
        </w:rPr>
        <w:t>养护经费。</w:t>
      </w:r>
      <w:r>
        <w:rPr>
          <w:rFonts w:hint="eastAsia" w:asciiTheme="minorEastAsia" w:hAnsiTheme="minorEastAsia" w:eastAsiaTheme="minorEastAsia" w:cstheme="minorEastAsia"/>
          <w:b/>
          <w:bCs/>
          <w:szCs w:val="21"/>
          <w:highlight w:val="none"/>
          <w:lang w:eastAsia="zh-CN"/>
        </w:rPr>
        <w:t>中标人还</w:t>
      </w:r>
      <w:r>
        <w:rPr>
          <w:rFonts w:hint="eastAsia" w:asciiTheme="minorEastAsia" w:hAnsiTheme="minorEastAsia" w:eastAsiaTheme="minorEastAsia" w:cstheme="minorEastAsia"/>
          <w:b/>
          <w:bCs/>
          <w:szCs w:val="21"/>
          <w:highlight w:val="none"/>
        </w:rPr>
        <w:t>应按本合同金额的10%</w:t>
      </w:r>
      <w:r>
        <w:rPr>
          <w:rFonts w:hint="eastAsia" w:asciiTheme="minorEastAsia" w:hAnsiTheme="minorEastAsia" w:eastAsiaTheme="minorEastAsia" w:cstheme="minorEastAsia"/>
          <w:b/>
          <w:bCs/>
          <w:szCs w:val="21"/>
          <w:highlight w:val="none"/>
          <w:lang w:eastAsia="zh-CN"/>
        </w:rPr>
        <w:t>（</w:t>
      </w:r>
      <w:r>
        <w:rPr>
          <w:rFonts w:hint="eastAsia" w:asciiTheme="minorEastAsia" w:hAnsiTheme="minorEastAsia" w:eastAsiaTheme="minorEastAsia" w:cstheme="minorEastAsia"/>
          <w:b/>
          <w:bCs/>
          <w:szCs w:val="21"/>
          <w:highlight w:val="none"/>
          <w:lang w:val="en-US" w:eastAsia="zh-CN"/>
        </w:rPr>
        <w:t>含履约保证金）</w:t>
      </w:r>
      <w:r>
        <w:rPr>
          <w:rFonts w:hint="eastAsia" w:asciiTheme="minorEastAsia" w:hAnsiTheme="minorEastAsia" w:eastAsiaTheme="minorEastAsia" w:cstheme="minorEastAsia"/>
          <w:b/>
          <w:bCs/>
          <w:szCs w:val="21"/>
          <w:highlight w:val="none"/>
        </w:rPr>
        <w:t>向甲方支付违约金</w:t>
      </w:r>
      <w:r>
        <w:rPr>
          <w:rFonts w:hint="eastAsia" w:asciiTheme="minorEastAsia" w:hAnsiTheme="minorEastAsia" w:eastAsiaTheme="minorEastAsia" w:cstheme="minorEastAsia"/>
          <w:b/>
          <w:bCs/>
          <w:szCs w:val="21"/>
          <w:highlight w:val="none"/>
          <w:lang w:eastAsia="zh-CN"/>
        </w:rPr>
        <w:t>。</w:t>
      </w:r>
    </w:p>
    <w:p w14:paraId="06402EDD">
      <w:pPr>
        <w:numPr>
          <w:ilvl w:val="0"/>
          <w:numId w:val="0"/>
        </w:numPr>
        <w:spacing w:line="460" w:lineRule="exact"/>
        <w:ind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考核办法：实行日常巡查、月度检查、季度考核相结合的办法。每季度评分一次，实行百分等级评定。季度考核综合得分分值构成：日常巡查（40分）、月度检查（20）、季度考核（40分）。对照考核表实际养护内容缺项的，得基本分90分。</w:t>
      </w:r>
    </w:p>
    <w:p w14:paraId="70901E12">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三、考核人员：</w:t>
      </w:r>
    </w:p>
    <w:p w14:paraId="719F7A30">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1、日常巡查由宁海县公路与运输管理中心执行；</w:t>
      </w:r>
    </w:p>
    <w:p w14:paraId="3DEE91DD">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2、月度检查由宁海县公路与运输管理中心养护科执行；</w:t>
      </w:r>
    </w:p>
    <w:p w14:paraId="7D72B6F6">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3、季度考核由宁海县公路与运输管理中心组织（交通局工程科、公运中心各科室成员参加）；</w:t>
      </w:r>
    </w:p>
    <w:p w14:paraId="1CBB8FE7">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4、年终验收由宁海县公路与运输管理中心组织（交通局工程科、公运中心各科室成员参加）。</w:t>
      </w:r>
    </w:p>
    <w:p w14:paraId="5CD84DE1">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四、季度考核综合得分计分：等于本季度考核分的百分之四十加月度检查平均分的百分之二十加日常巡查平均分的百分之四十。</w:t>
      </w:r>
    </w:p>
    <w:p w14:paraId="299FB497">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五、养护问题及处理办法：</w:t>
      </w:r>
    </w:p>
    <w:p w14:paraId="120AF8A4">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在绿化养护过程中，如发现以下问题，处罚从当季养护经费中扣除，处理办法如下：</w:t>
      </w:r>
    </w:p>
    <w:p w14:paraId="027D4E44">
      <w:pPr>
        <w:spacing w:line="460" w:lineRule="exact"/>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sym w:font="Wingdings" w:char="F081"/>
      </w:r>
      <w:r>
        <w:rPr>
          <w:rFonts w:hint="eastAsia" w:asciiTheme="minorEastAsia" w:hAnsiTheme="minorEastAsia" w:eastAsiaTheme="minorEastAsia" w:cstheme="minorEastAsia"/>
          <w:b/>
          <w:bCs/>
          <w:szCs w:val="21"/>
          <w:highlight w:val="none"/>
        </w:rPr>
        <w:t>处罚标准</w:t>
      </w:r>
    </w:p>
    <w:p w14:paraId="6759D5AF">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1.受到新闻媒体曝光、县及县以上领导书面批评的，视情节扣除当季养护费20000-50000元。</w:t>
      </w:r>
    </w:p>
    <w:p w14:paraId="1B05E1FF">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2.受到市公运中心、县交通局养护督查反馈书面批评意见的，并扣除当季养护费5000元-20000元。</w:t>
      </w:r>
    </w:p>
    <w:p w14:paraId="633FD132">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3.对重大节庆和重大活动布置的临时任务完成情况不好，造成不良影响或受到批评的，每次直接扣除当季养护费5000元-10000元。</w:t>
      </w:r>
    </w:p>
    <w:p w14:paraId="34E2CDD6">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4.如发生投诉、站长上报或业主单位养护人员发现中标人在日常养护中存在的问题的，扣除当季养护费200元/次。并要求限期整改，在</w:t>
      </w:r>
      <w:r>
        <w:rPr>
          <w:rFonts w:hint="eastAsia" w:asciiTheme="minorEastAsia" w:hAnsiTheme="minorEastAsia" w:eastAsiaTheme="minorEastAsia" w:cstheme="minorEastAsia"/>
          <w:szCs w:val="21"/>
        </w:rPr>
        <w:t>整改期限范围内未整改完成的，扣除双倍金额。</w:t>
      </w:r>
    </w:p>
    <w:p w14:paraId="68B2AEE0">
      <w:pPr>
        <w:spacing w:line="4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sym w:font="Wingdings" w:char="F082"/>
      </w:r>
      <w:r>
        <w:rPr>
          <w:rFonts w:hint="eastAsia" w:asciiTheme="minorEastAsia" w:hAnsiTheme="minorEastAsia" w:eastAsiaTheme="minorEastAsia" w:cstheme="minorEastAsia"/>
          <w:b/>
          <w:bCs/>
          <w:szCs w:val="21"/>
        </w:rPr>
        <w:t>基本配置标准</w:t>
      </w:r>
    </w:p>
    <w:p w14:paraId="35D558CC">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1．如果未按投标文件中响应的人员配置和车辆设备配置标准执行的，检查中发现每人每次扣除1000元，每台车辆设备每次扣除1000元。</w:t>
      </w:r>
    </w:p>
    <w:p w14:paraId="5D366007">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2．每年春冬两季必须落实规范施肥到位、肥量充足（由甲方现场监督），未及时规范落实施肥的，按绿地养护面积0.2元/m2扣除相应养护经费。要求复合肥市场价不低于5000元每吨，由甲方现场验收后再施肥。</w:t>
      </w:r>
    </w:p>
    <w:p w14:paraId="74083911">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所用的农药包装物未集中收集，未办好转移单手续，每次扣1000元。</w:t>
      </w:r>
    </w:p>
    <w:p w14:paraId="2D7392F6">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在高温抗旱季节，水泵及洒水车不能按招标文件规定的最低标准到位的，按每台4000元计算扣除相应费用。</w:t>
      </w:r>
    </w:p>
    <w:p w14:paraId="1B29F2BE">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项目负责人每年参加业主召开的各种会议到会率在75%以下的，每缺席一次扣1000元（年底季度养护费中扣除）。</w:t>
      </w:r>
    </w:p>
    <w:p w14:paraId="7595E065">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6.中标人应配备用于本项目的养护管理用房，面积不少于100平方米，检查中发现未配备或面积不达标的，每次扣除当季养护费5000元。</w:t>
      </w:r>
    </w:p>
    <w:p w14:paraId="365FC1E7">
      <w:pPr>
        <w:spacing w:line="4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
          <w:bCs/>
          <w:szCs w:val="21"/>
        </w:rPr>
        <w:sym w:font="Wingdings" w:char="F083"/>
      </w:r>
      <w:r>
        <w:rPr>
          <w:rFonts w:hint="eastAsia" w:asciiTheme="minorEastAsia" w:hAnsiTheme="minorEastAsia" w:eastAsiaTheme="minorEastAsia" w:cstheme="minorEastAsia"/>
          <w:b/>
          <w:bCs/>
          <w:szCs w:val="21"/>
        </w:rPr>
        <w:t>安全标准</w:t>
      </w:r>
    </w:p>
    <w:p w14:paraId="1D5C0EEA">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1.防火、抗台、抗旱及预防各类自然灾害措施不力，灾后救治不力，未按要求人员及时到位、未及时上报受灾情况，扣除当季养护费1000-5000元。</w:t>
      </w:r>
    </w:p>
    <w:p w14:paraId="6218B940">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.突发性事故，未及时向甲方汇报，对上报处置方案及损失统计不实的、对台风过后不及时上报损失统计或数字不实的，扣1000-5000元。</w:t>
      </w:r>
    </w:p>
    <w:p w14:paraId="1BFA9282">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发生安全事故，除责任赔偿外，有死亡人员，扣当季养护费5000元；有重伤人员，扣当季养护费3000元；有轻伤人员及设施损失，扣当季养护费2000元。未及时上报安全事故，视情节加扣除当季养护费3000-5000元。</w:t>
      </w:r>
    </w:p>
    <w:p w14:paraId="7430E9DF">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4.发生绿地火灾，面积大于1000平方米的，扣除当季养护费5000-10000元；500-1000平方米的，扣除当季养护费2000-5000元；300-500平方米的，扣除当季养护费1000-2000元，另外补种费用由乙方承担。</w:t>
      </w:r>
    </w:p>
    <w:p w14:paraId="0D1C91B7">
      <w:pPr>
        <w:spacing w:line="46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5. 林带使用化学剂除草造成农作物死亡，未及时上报处理并被投诉，除责任赔偿外，加扣500-1000元</w:t>
      </w:r>
      <w:r>
        <w:rPr>
          <w:rFonts w:hint="eastAsia" w:asciiTheme="minorEastAsia" w:hAnsiTheme="minorEastAsia" w:eastAsiaTheme="minorEastAsia" w:cstheme="minorEastAsia"/>
          <w:szCs w:val="21"/>
          <w:lang w:eastAsia="zh-CN"/>
        </w:rPr>
        <w:t>。</w:t>
      </w:r>
    </w:p>
    <w:p w14:paraId="4B5FAF20">
      <w:pPr>
        <w:spacing w:line="4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④.绿化养护标准</w:t>
      </w:r>
    </w:p>
    <w:p w14:paraId="5254E54C">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1.对清除的垃圾及生产垃圾乱堆乱倒，未出具消纳场地或垃圾乱堆乱倒被相关部门查处，扣当季养护费2000元；</w:t>
      </w:r>
    </w:p>
    <w:p w14:paraId="7252C741">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2.发现绿地面积长草杂草面积较大时（规定完成日期外）面积大于1000平方米，扣5000-10000元/次。面积大于500-1000平方米（含1000平方米），扣2000-5000元/次。面积大于300-500平方米（含500平方米），扣1000-2000元/次。</w:t>
      </w:r>
    </w:p>
    <w:p w14:paraId="2E1BFA18">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3.定期对互通和高架下荫蔽（淋不到雨地方）的部分进行浇水工作，视季节而定。若死亡面积大于300-500平方米（含500平方米），扣1000元/次，另外补种费用自理。</w:t>
      </w:r>
    </w:p>
    <w:p w14:paraId="0B3D6E5A">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4.入冬乔木树干按规范刷白每年一次 。</w:t>
      </w:r>
    </w:p>
    <w:p w14:paraId="56BA52C6">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5.严禁使用化学剂除草，每发现一次扣5000-20000元，另外补种费自理。</w:t>
      </w:r>
      <w:r>
        <w:rPr>
          <w:rFonts w:hint="eastAsia" w:asciiTheme="minorEastAsia" w:hAnsiTheme="minorEastAsia" w:eastAsiaTheme="minorEastAsia" w:cstheme="minorEastAsia"/>
          <w:szCs w:val="21"/>
          <w:highlight w:val="none"/>
          <w:lang w:eastAsia="zh-CN"/>
        </w:rPr>
        <w:t>如发生上述情况三次及以上的，业主有权解除合同</w:t>
      </w:r>
      <w:r>
        <w:rPr>
          <w:rFonts w:hint="eastAsia" w:asciiTheme="minorEastAsia" w:hAnsiTheme="minorEastAsia" w:eastAsiaTheme="minorEastAsia" w:cstheme="minorEastAsia"/>
          <w:szCs w:val="21"/>
          <w:highlight w:val="none"/>
        </w:rPr>
        <w:t>。</w:t>
      </w:r>
    </w:p>
    <w:p w14:paraId="2CCFA48A">
      <w:pPr>
        <w:tabs>
          <w:tab w:val="left" w:pos="510"/>
        </w:tabs>
        <w:spacing w:line="420" w:lineRule="exact"/>
        <w:ind w:right="84"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六、考核内容：主要有植物养护、绿地保洁、人员到位、养护计划台帐等。人员名单（附身份证复印件）、养护计划、台帐按月上报并考核，每月25日前上报下月计划，当月台帐在下月8日前上报。如有巡查通知书、抄告单等书面形式下发的整改通知，中标人应在书面通知下发后7日内提交书面反馈。</w:t>
      </w:r>
    </w:p>
    <w:p w14:paraId="2A316359">
      <w:pPr>
        <w:tabs>
          <w:tab w:val="left" w:pos="510"/>
        </w:tabs>
        <w:spacing w:line="420" w:lineRule="exact"/>
        <w:ind w:right="84" w:firstLine="420" w:firstLineChars="200"/>
      </w:pPr>
      <w:r>
        <w:rPr>
          <w:rFonts w:hint="eastAsia" w:asciiTheme="minorEastAsia" w:hAnsiTheme="minorEastAsia" w:eastAsiaTheme="minorEastAsia" w:cstheme="minorEastAsia"/>
          <w:szCs w:val="21"/>
        </w:rPr>
        <w:t>七、如考核办法变更，经</w:t>
      </w:r>
      <w:r>
        <w:rPr>
          <w:rFonts w:hint="eastAsia" w:asciiTheme="minorEastAsia" w:hAnsiTheme="minorEastAsia" w:eastAsiaTheme="minorEastAsia" w:cstheme="minorEastAsia"/>
          <w:szCs w:val="21"/>
          <w:lang w:eastAsia="zh-CN"/>
        </w:rPr>
        <w:t>宁海县交通运输局</w:t>
      </w:r>
      <w:r>
        <w:rPr>
          <w:rFonts w:hint="eastAsia" w:asciiTheme="minorEastAsia" w:hAnsiTheme="minorEastAsia" w:eastAsiaTheme="minorEastAsia" w:cstheme="minorEastAsia"/>
          <w:szCs w:val="21"/>
        </w:rPr>
        <w:t>重新发文，需遵循新考核办法。</w:t>
      </w:r>
    </w:p>
    <w:p w14:paraId="35F94A87">
      <w:pPr>
        <w:widowControl/>
        <w:ind w:firstLine="420"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bCs/>
          <w:kern w:val="0"/>
          <w:szCs w:val="21"/>
        </w:rPr>
        <w:t>附件A：</w:t>
      </w:r>
    </w:p>
    <w:tbl>
      <w:tblPr>
        <w:tblStyle w:val="28"/>
        <w:tblW w:w="9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951"/>
        <w:gridCol w:w="3375"/>
        <w:gridCol w:w="754"/>
        <w:gridCol w:w="307"/>
        <w:gridCol w:w="329"/>
        <w:gridCol w:w="422"/>
      </w:tblGrid>
      <w:tr w14:paraId="1F87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14:paraId="2F81DABC">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日常巡查表</w:t>
            </w:r>
          </w:p>
        </w:tc>
      </w:tr>
      <w:tr w14:paraId="0ED0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14:paraId="754EC3F4">
            <w:pPr>
              <w:widowControl/>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养护地段：                                               考核时间：      年     月     日</w:t>
            </w:r>
          </w:p>
        </w:tc>
      </w:tr>
      <w:tr w14:paraId="25A9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dxa"/>
            <w:vAlign w:val="center"/>
          </w:tcPr>
          <w:p w14:paraId="75D53AF3">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项目</w:t>
            </w:r>
          </w:p>
        </w:tc>
        <w:tc>
          <w:tcPr>
            <w:tcW w:w="3951" w:type="dxa"/>
            <w:vAlign w:val="center"/>
          </w:tcPr>
          <w:p w14:paraId="77EA61F6">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考核标准</w:t>
            </w:r>
          </w:p>
        </w:tc>
        <w:tc>
          <w:tcPr>
            <w:tcW w:w="3375" w:type="dxa"/>
            <w:vAlign w:val="center"/>
          </w:tcPr>
          <w:p w14:paraId="0673643E">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考核评分办法</w:t>
            </w:r>
          </w:p>
        </w:tc>
        <w:tc>
          <w:tcPr>
            <w:tcW w:w="754" w:type="dxa"/>
            <w:vAlign w:val="center"/>
          </w:tcPr>
          <w:p w14:paraId="034A9E67">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分值</w:t>
            </w:r>
          </w:p>
        </w:tc>
        <w:tc>
          <w:tcPr>
            <w:tcW w:w="307" w:type="dxa"/>
            <w:vAlign w:val="center"/>
          </w:tcPr>
          <w:p w14:paraId="15058514">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扣分</w:t>
            </w:r>
          </w:p>
        </w:tc>
        <w:tc>
          <w:tcPr>
            <w:tcW w:w="329" w:type="dxa"/>
            <w:vAlign w:val="center"/>
          </w:tcPr>
          <w:p w14:paraId="0CD48709">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得分</w:t>
            </w:r>
          </w:p>
        </w:tc>
        <w:tc>
          <w:tcPr>
            <w:tcW w:w="422" w:type="dxa"/>
            <w:vAlign w:val="center"/>
          </w:tcPr>
          <w:p w14:paraId="3730B79F">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15E0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7CA83A34">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w:t>
            </w:r>
          </w:p>
        </w:tc>
        <w:tc>
          <w:tcPr>
            <w:tcW w:w="7326" w:type="dxa"/>
            <w:gridSpan w:val="2"/>
            <w:vAlign w:val="center"/>
          </w:tcPr>
          <w:p w14:paraId="305E2186">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绿化养护质量标准</w:t>
            </w:r>
          </w:p>
        </w:tc>
        <w:tc>
          <w:tcPr>
            <w:tcW w:w="754" w:type="dxa"/>
            <w:vAlign w:val="center"/>
          </w:tcPr>
          <w:p w14:paraId="75B04FBE">
            <w:pPr>
              <w:jc w:val="center"/>
              <w:rPr>
                <w:szCs w:val="22"/>
              </w:rPr>
            </w:pPr>
            <w:r>
              <w:rPr>
                <w:rFonts w:hint="eastAsia"/>
                <w:b/>
                <w:bCs/>
                <w:szCs w:val="22"/>
              </w:rPr>
              <w:t>[71]</w:t>
            </w:r>
          </w:p>
        </w:tc>
        <w:tc>
          <w:tcPr>
            <w:tcW w:w="307" w:type="dxa"/>
            <w:vAlign w:val="center"/>
          </w:tcPr>
          <w:p w14:paraId="7B1A4CBD">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65C2F79E">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E580860">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973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2" w:type="dxa"/>
            <w:vMerge w:val="restart"/>
            <w:vAlign w:val="center"/>
          </w:tcPr>
          <w:p w14:paraId="25037F20">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绿化</w:t>
            </w:r>
          </w:p>
          <w:p w14:paraId="65447732">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w:t>
            </w:r>
          </w:p>
        </w:tc>
        <w:tc>
          <w:tcPr>
            <w:tcW w:w="3951" w:type="dxa"/>
            <w:vAlign w:val="center"/>
          </w:tcPr>
          <w:p w14:paraId="6D737FD5">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1.绿地：绿篱、球类、柱类齐全，高度适宜，无成块缺档，无明显枯枝，无病虫枝。</w:t>
            </w:r>
          </w:p>
        </w:tc>
        <w:tc>
          <w:tcPr>
            <w:tcW w:w="3375" w:type="dxa"/>
            <w:vAlign w:val="center"/>
          </w:tcPr>
          <w:p w14:paraId="66947099">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绿地：修剪不整齐、不到位，绿篱色块不全的，每10平方米扣0.5分；缺档、枯枝、病虫枝每平方米扣0.5分。</w:t>
            </w:r>
          </w:p>
        </w:tc>
        <w:tc>
          <w:tcPr>
            <w:tcW w:w="754" w:type="dxa"/>
            <w:vAlign w:val="center"/>
          </w:tcPr>
          <w:p w14:paraId="00072CD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307" w:type="dxa"/>
            <w:vAlign w:val="center"/>
          </w:tcPr>
          <w:p w14:paraId="3E00117A">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76375C52">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4BA0A49A">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1073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82" w:type="dxa"/>
            <w:vMerge w:val="continue"/>
            <w:vAlign w:val="center"/>
          </w:tcPr>
          <w:p w14:paraId="34E73853">
            <w:pPr>
              <w:widowControl/>
              <w:spacing w:line="220" w:lineRule="exact"/>
              <w:rPr>
                <w:rFonts w:asciiTheme="minorEastAsia" w:hAnsiTheme="minorEastAsia" w:eastAsiaTheme="minorEastAsia" w:cstheme="minorEastAsia"/>
                <w:b/>
                <w:bCs/>
                <w:kern w:val="0"/>
                <w:szCs w:val="21"/>
              </w:rPr>
            </w:pPr>
          </w:p>
        </w:tc>
        <w:tc>
          <w:tcPr>
            <w:tcW w:w="3951" w:type="dxa"/>
            <w:vAlign w:val="center"/>
          </w:tcPr>
          <w:p w14:paraId="0ADB633F">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2.林带乔木生长姿态良好，无明显枯枝。</w:t>
            </w:r>
          </w:p>
        </w:tc>
        <w:tc>
          <w:tcPr>
            <w:tcW w:w="3375" w:type="dxa"/>
            <w:vAlign w:val="center"/>
          </w:tcPr>
          <w:p w14:paraId="40FFD8C7">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乔木明显枯枝扣0.5分/株，乔木死株每株扣1分。</w:t>
            </w:r>
          </w:p>
        </w:tc>
        <w:tc>
          <w:tcPr>
            <w:tcW w:w="754" w:type="dxa"/>
            <w:vAlign w:val="center"/>
          </w:tcPr>
          <w:p w14:paraId="35FCD25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07" w:type="dxa"/>
            <w:vAlign w:val="center"/>
          </w:tcPr>
          <w:p w14:paraId="347A3DD8">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6428164A">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4086271F">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5622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82" w:type="dxa"/>
            <w:vMerge w:val="continue"/>
            <w:vAlign w:val="center"/>
          </w:tcPr>
          <w:p w14:paraId="2623DDE7">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798A26B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3.绿地生长良好，草坪平整，高度适宜，无残缺，无杂草长草、残花。</w:t>
            </w:r>
          </w:p>
        </w:tc>
        <w:tc>
          <w:tcPr>
            <w:tcW w:w="3375" w:type="dxa"/>
            <w:vAlign w:val="center"/>
          </w:tcPr>
          <w:p w14:paraId="4513F89A">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绿地管养不善每100平方米扣1分。</w:t>
            </w:r>
          </w:p>
        </w:tc>
        <w:tc>
          <w:tcPr>
            <w:tcW w:w="754" w:type="dxa"/>
            <w:vAlign w:val="center"/>
          </w:tcPr>
          <w:p w14:paraId="5C0133C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307" w:type="dxa"/>
            <w:vAlign w:val="center"/>
          </w:tcPr>
          <w:p w14:paraId="0834F09A">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5436369C">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11414DF9">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2859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14:paraId="08AC6B87">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4203BC6B">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4.林带杂草高度不得超过20厘米。</w:t>
            </w:r>
          </w:p>
        </w:tc>
        <w:tc>
          <w:tcPr>
            <w:tcW w:w="3375" w:type="dxa"/>
            <w:vAlign w:val="center"/>
          </w:tcPr>
          <w:p w14:paraId="65AD3ECB">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林地管养不善每1000平方米扣1分。</w:t>
            </w:r>
          </w:p>
        </w:tc>
        <w:tc>
          <w:tcPr>
            <w:tcW w:w="754" w:type="dxa"/>
            <w:vAlign w:val="center"/>
          </w:tcPr>
          <w:p w14:paraId="4D7AB35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07" w:type="dxa"/>
            <w:vAlign w:val="center"/>
          </w:tcPr>
          <w:p w14:paraId="428E4C33">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12A4791A">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3B64EA8A">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183E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14:paraId="5C058F0E">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1076EC17">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5.病虫害防治及时、有效，除虫记录齐全，常见病虫害在5%以下，乔木入冬按规范刷白。定期对林带乔木、花卉、草坪等进行施肥。</w:t>
            </w:r>
          </w:p>
        </w:tc>
        <w:tc>
          <w:tcPr>
            <w:tcW w:w="3375" w:type="dxa"/>
            <w:vAlign w:val="center"/>
          </w:tcPr>
          <w:p w14:paraId="65DB7E49">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造成景观不佳每100平方米扣0.5分，乔木刷白不规范扣0.5-5分，乔木未刷白此项不得分。未定期对林带乔木、花卉、草坪等进行施肥扣0.5-5分。</w:t>
            </w:r>
          </w:p>
        </w:tc>
        <w:tc>
          <w:tcPr>
            <w:tcW w:w="754" w:type="dxa"/>
            <w:vAlign w:val="center"/>
          </w:tcPr>
          <w:p w14:paraId="0291C5D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307" w:type="dxa"/>
            <w:vAlign w:val="center"/>
          </w:tcPr>
          <w:p w14:paraId="706174FF">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34E140B1">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524B6D9F">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4D34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82" w:type="dxa"/>
            <w:vMerge w:val="continue"/>
            <w:vAlign w:val="center"/>
          </w:tcPr>
          <w:p w14:paraId="41F962A2">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7842E71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6.干旱时积极抗旱，合理安排浇水，浇水记录齐全。新种树成活率95%以上，老树存活率在98%以上。</w:t>
            </w:r>
          </w:p>
        </w:tc>
        <w:tc>
          <w:tcPr>
            <w:tcW w:w="3375" w:type="dxa"/>
            <w:vAlign w:val="center"/>
          </w:tcPr>
          <w:p w14:paraId="6E51A19F">
            <w:pPr>
              <w:widowControl/>
              <w:spacing w:line="220" w:lineRule="exact"/>
              <w:ind w:right="-153" w:rightChars="-73"/>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因浇水、养护不到位出现长势不良的，色块每10m2扣0.5分，乔木、柱类、球类3株以上（不足3株按3株算）扣0.5分，每增加一株扣0.1分；出现死株情况的，色块每10m2扣1分，乔木、柱类、球类3株以上（不足3株按3株算）扣1分，每增加一株扣1分,直至扣完该项得分。</w:t>
            </w:r>
          </w:p>
        </w:tc>
        <w:tc>
          <w:tcPr>
            <w:tcW w:w="754" w:type="dxa"/>
            <w:vAlign w:val="center"/>
          </w:tcPr>
          <w:p w14:paraId="63E43D3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07" w:type="dxa"/>
            <w:vAlign w:val="center"/>
          </w:tcPr>
          <w:p w14:paraId="3B35BECC">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1AB865AE">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06553A9C">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2AF1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2" w:type="dxa"/>
            <w:vMerge w:val="continue"/>
            <w:vAlign w:val="center"/>
          </w:tcPr>
          <w:p w14:paraId="50793296">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1F7EF197">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7.绿地乔木、绿篱及时扶正。</w:t>
            </w:r>
          </w:p>
        </w:tc>
        <w:tc>
          <w:tcPr>
            <w:tcW w:w="3375" w:type="dxa"/>
            <w:vAlign w:val="center"/>
          </w:tcPr>
          <w:p w14:paraId="2FD4AA35">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乔木未及时扶正每株扣0.5分；绿篱未及时扶正，每平方米扣0.2分。</w:t>
            </w:r>
          </w:p>
        </w:tc>
        <w:tc>
          <w:tcPr>
            <w:tcW w:w="754" w:type="dxa"/>
            <w:vAlign w:val="center"/>
          </w:tcPr>
          <w:p w14:paraId="296F572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07" w:type="dxa"/>
            <w:vAlign w:val="center"/>
          </w:tcPr>
          <w:p w14:paraId="07D4FE6B">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762A0984">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4E864EBD">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2DD7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3C7800F9">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3BEE5AE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8.林带乔木及时扶正。</w:t>
            </w:r>
          </w:p>
        </w:tc>
        <w:tc>
          <w:tcPr>
            <w:tcW w:w="3375" w:type="dxa"/>
            <w:vAlign w:val="center"/>
          </w:tcPr>
          <w:p w14:paraId="6FC9FAB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未及时扶正每株扣0.5分。</w:t>
            </w:r>
          </w:p>
        </w:tc>
        <w:tc>
          <w:tcPr>
            <w:tcW w:w="754" w:type="dxa"/>
            <w:vAlign w:val="center"/>
          </w:tcPr>
          <w:p w14:paraId="0A9DAB7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07" w:type="dxa"/>
            <w:vAlign w:val="center"/>
          </w:tcPr>
          <w:p w14:paraId="67756E60">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2F933983">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30B1A7BB">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776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72D3BADC">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6E06B18E">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9.绿地乔木修枝、抹芽。</w:t>
            </w:r>
          </w:p>
        </w:tc>
        <w:tc>
          <w:tcPr>
            <w:tcW w:w="3375" w:type="dxa"/>
            <w:vAlign w:val="center"/>
          </w:tcPr>
          <w:p w14:paraId="7C1BE3F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未按规定修枝、抹芽，每株扣0.2分。</w:t>
            </w:r>
          </w:p>
        </w:tc>
        <w:tc>
          <w:tcPr>
            <w:tcW w:w="754" w:type="dxa"/>
            <w:vAlign w:val="center"/>
          </w:tcPr>
          <w:p w14:paraId="386ECC7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07" w:type="dxa"/>
            <w:vAlign w:val="center"/>
          </w:tcPr>
          <w:p w14:paraId="1D05F5B9">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2E260D05">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5C288DDE">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115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7AF0B691">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49FA4A1A">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10.林带乔木修枝、抹芽。</w:t>
            </w:r>
          </w:p>
        </w:tc>
        <w:tc>
          <w:tcPr>
            <w:tcW w:w="3375" w:type="dxa"/>
            <w:vAlign w:val="center"/>
          </w:tcPr>
          <w:p w14:paraId="0365C53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未按规定修枝、抹芽，每株扣0.2分。</w:t>
            </w:r>
          </w:p>
        </w:tc>
        <w:tc>
          <w:tcPr>
            <w:tcW w:w="754" w:type="dxa"/>
            <w:vAlign w:val="center"/>
          </w:tcPr>
          <w:p w14:paraId="3D9675C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07" w:type="dxa"/>
            <w:vAlign w:val="center"/>
          </w:tcPr>
          <w:p w14:paraId="37BDF504">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1B179FD3">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687474EB">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7959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193286E5">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2A35CA82">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11.巡查中如发现绿化被破坏、挖除等情况的，需及时书面形式上报采购人</w:t>
            </w:r>
          </w:p>
        </w:tc>
        <w:tc>
          <w:tcPr>
            <w:tcW w:w="3375" w:type="dxa"/>
            <w:vAlign w:val="center"/>
          </w:tcPr>
          <w:p w14:paraId="1CCEB022">
            <w:pPr>
              <w:widowControl/>
              <w:spacing w:line="220" w:lineRule="exact"/>
              <w:jc w:val="left"/>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未及时上报的，每次扣</w:t>
            </w:r>
            <w:r>
              <w:rPr>
                <w:rFonts w:hint="eastAsia" w:asciiTheme="minorEastAsia" w:hAnsiTheme="minorEastAsia" w:eastAsiaTheme="minorEastAsia" w:cstheme="minorEastAsia"/>
                <w:kern w:val="0"/>
                <w:sz w:val="18"/>
                <w:szCs w:val="18"/>
              </w:rPr>
              <w:t xml:space="preserve"> 0.5分。</w:t>
            </w:r>
          </w:p>
        </w:tc>
        <w:tc>
          <w:tcPr>
            <w:tcW w:w="754" w:type="dxa"/>
            <w:vAlign w:val="center"/>
          </w:tcPr>
          <w:p w14:paraId="6CB269D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07" w:type="dxa"/>
            <w:vAlign w:val="center"/>
          </w:tcPr>
          <w:p w14:paraId="37096F54">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4C042001">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7B3FA38F">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632A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1385DF67">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w:t>
            </w:r>
          </w:p>
        </w:tc>
        <w:tc>
          <w:tcPr>
            <w:tcW w:w="7326" w:type="dxa"/>
            <w:gridSpan w:val="2"/>
            <w:vAlign w:val="center"/>
          </w:tcPr>
          <w:p w14:paraId="5B0C02AF">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清卫标准</w:t>
            </w:r>
          </w:p>
        </w:tc>
        <w:tc>
          <w:tcPr>
            <w:tcW w:w="754" w:type="dxa"/>
            <w:vAlign w:val="center"/>
          </w:tcPr>
          <w:p w14:paraId="13890888">
            <w:pPr>
              <w:jc w:val="center"/>
              <w:rPr>
                <w:szCs w:val="22"/>
              </w:rPr>
            </w:pPr>
            <w:r>
              <w:rPr>
                <w:rFonts w:hint="eastAsia"/>
                <w:b/>
                <w:bCs/>
                <w:szCs w:val="22"/>
              </w:rPr>
              <w:t>[15]</w:t>
            </w:r>
          </w:p>
        </w:tc>
        <w:tc>
          <w:tcPr>
            <w:tcW w:w="307" w:type="dxa"/>
            <w:vAlign w:val="center"/>
          </w:tcPr>
          <w:p w14:paraId="34EF9670">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04B67597">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012E067">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FE3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2" w:type="dxa"/>
            <w:vAlign w:val="center"/>
          </w:tcPr>
          <w:p w14:paraId="5A3051F3">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日常</w:t>
            </w:r>
          </w:p>
          <w:p w14:paraId="49C024E9">
            <w:pPr>
              <w:widowControl/>
              <w:spacing w:line="2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保洁</w:t>
            </w:r>
          </w:p>
        </w:tc>
        <w:tc>
          <w:tcPr>
            <w:tcW w:w="3951" w:type="dxa"/>
            <w:vAlign w:val="center"/>
          </w:tcPr>
          <w:p w14:paraId="04310466">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林带绿地乔木整齐、无绑扎物、无挂物架线、无堆积物</w:t>
            </w:r>
            <w:r>
              <w:rPr>
                <w:rFonts w:hint="eastAsia" w:asciiTheme="minorEastAsia" w:hAnsiTheme="minorEastAsia" w:eastAsiaTheme="minorEastAsia" w:cstheme="minorEastAsia"/>
                <w:kern w:val="0"/>
                <w:sz w:val="18"/>
                <w:szCs w:val="18"/>
                <w:lang w:eastAsia="zh-CN"/>
              </w:rPr>
              <w:t>、无农作物</w:t>
            </w:r>
            <w:r>
              <w:rPr>
                <w:rFonts w:hint="eastAsia" w:asciiTheme="minorEastAsia" w:hAnsiTheme="minorEastAsia" w:eastAsiaTheme="minorEastAsia" w:cstheme="minorEastAsia"/>
                <w:kern w:val="0"/>
                <w:sz w:val="18"/>
                <w:szCs w:val="18"/>
              </w:rPr>
              <w:t>等现象；林带绿地环境整洁、不乱倒乱放废弃物，无白色污染等现象。</w:t>
            </w:r>
          </w:p>
        </w:tc>
        <w:tc>
          <w:tcPr>
            <w:tcW w:w="3375" w:type="dxa"/>
            <w:vAlign w:val="center"/>
          </w:tcPr>
          <w:p w14:paraId="1C2E59E6">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发现绑扎、挂物、架线一处扣0.5分；发现乱倒乱放废弃物、白色污染现象的每处扣1分。</w:t>
            </w:r>
          </w:p>
        </w:tc>
        <w:tc>
          <w:tcPr>
            <w:tcW w:w="754" w:type="dxa"/>
            <w:vAlign w:val="center"/>
          </w:tcPr>
          <w:p w14:paraId="74CDCAD7">
            <w:pPr>
              <w:jc w:val="center"/>
              <w:rPr>
                <w:szCs w:val="22"/>
              </w:rPr>
            </w:pPr>
            <w:r>
              <w:rPr>
                <w:rFonts w:hint="eastAsia"/>
                <w:szCs w:val="22"/>
              </w:rPr>
              <w:t>15</w:t>
            </w:r>
          </w:p>
        </w:tc>
        <w:tc>
          <w:tcPr>
            <w:tcW w:w="307" w:type="dxa"/>
            <w:vAlign w:val="center"/>
          </w:tcPr>
          <w:p w14:paraId="2D9EAFB3">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1C2A7366">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12D905A">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AEA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498482B3">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w:t>
            </w:r>
          </w:p>
        </w:tc>
        <w:tc>
          <w:tcPr>
            <w:tcW w:w="7326" w:type="dxa"/>
            <w:gridSpan w:val="2"/>
            <w:vAlign w:val="center"/>
          </w:tcPr>
          <w:p w14:paraId="64D23EB5">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安全环保</w:t>
            </w:r>
          </w:p>
        </w:tc>
        <w:tc>
          <w:tcPr>
            <w:tcW w:w="754" w:type="dxa"/>
            <w:vAlign w:val="center"/>
          </w:tcPr>
          <w:p w14:paraId="65FC4610">
            <w:pPr>
              <w:jc w:val="center"/>
              <w:rPr>
                <w:szCs w:val="22"/>
              </w:rPr>
            </w:pPr>
            <w:r>
              <w:rPr>
                <w:rFonts w:hint="eastAsia"/>
                <w:b/>
                <w:bCs/>
                <w:szCs w:val="22"/>
              </w:rPr>
              <w:t>[7]</w:t>
            </w:r>
          </w:p>
        </w:tc>
        <w:tc>
          <w:tcPr>
            <w:tcW w:w="307" w:type="dxa"/>
            <w:vAlign w:val="center"/>
          </w:tcPr>
          <w:p w14:paraId="51572DAA">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35C87954">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069E9652">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C75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Merge w:val="restart"/>
            <w:vAlign w:val="center"/>
          </w:tcPr>
          <w:p w14:paraId="4257694B">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安全</w:t>
            </w:r>
          </w:p>
          <w:p w14:paraId="0AEB7D68">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作业</w:t>
            </w:r>
          </w:p>
        </w:tc>
        <w:tc>
          <w:tcPr>
            <w:tcW w:w="3951" w:type="dxa"/>
            <w:vAlign w:val="center"/>
          </w:tcPr>
          <w:p w14:paraId="1C4FD9FD">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1布设规范，安全设施齐全，施工人员着装规范，交通组织有序，现场无安全隐患，机械设备安全整洁。</w:t>
            </w:r>
          </w:p>
        </w:tc>
        <w:tc>
          <w:tcPr>
            <w:tcW w:w="3375" w:type="dxa"/>
            <w:vAlign w:val="center"/>
          </w:tcPr>
          <w:p w14:paraId="467C42F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作业时未严格遵守安全作业规程的，发现扣0.5-1分/次。</w:t>
            </w:r>
          </w:p>
        </w:tc>
        <w:tc>
          <w:tcPr>
            <w:tcW w:w="754" w:type="dxa"/>
            <w:vAlign w:val="center"/>
          </w:tcPr>
          <w:p w14:paraId="233F0614">
            <w:pPr>
              <w:jc w:val="center"/>
              <w:rPr>
                <w:szCs w:val="22"/>
              </w:rPr>
            </w:pPr>
            <w:r>
              <w:rPr>
                <w:rFonts w:hint="eastAsia"/>
                <w:szCs w:val="22"/>
              </w:rPr>
              <w:t>5</w:t>
            </w:r>
          </w:p>
        </w:tc>
        <w:tc>
          <w:tcPr>
            <w:tcW w:w="307" w:type="dxa"/>
            <w:vAlign w:val="center"/>
          </w:tcPr>
          <w:p w14:paraId="0B0A6804">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2B35592F">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4FA4B6CB">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BFB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0E524325">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3951" w:type="dxa"/>
            <w:vAlign w:val="center"/>
          </w:tcPr>
          <w:p w14:paraId="19022A0A">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2.防火、抗台、抗旱及预防各类自然灾害措施得力。</w:t>
            </w:r>
          </w:p>
        </w:tc>
        <w:tc>
          <w:tcPr>
            <w:tcW w:w="3375" w:type="dxa"/>
            <w:vAlign w:val="center"/>
          </w:tcPr>
          <w:p w14:paraId="29044D61">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预防各类自然灾害措施不力扣0.5-1分/次。</w:t>
            </w:r>
          </w:p>
        </w:tc>
        <w:tc>
          <w:tcPr>
            <w:tcW w:w="754" w:type="dxa"/>
            <w:vAlign w:val="center"/>
          </w:tcPr>
          <w:p w14:paraId="3B6E883D">
            <w:pPr>
              <w:jc w:val="center"/>
              <w:rPr>
                <w:szCs w:val="22"/>
              </w:rPr>
            </w:pPr>
            <w:r>
              <w:rPr>
                <w:rFonts w:hint="eastAsia"/>
                <w:szCs w:val="22"/>
              </w:rPr>
              <w:t>2</w:t>
            </w:r>
          </w:p>
        </w:tc>
        <w:tc>
          <w:tcPr>
            <w:tcW w:w="307" w:type="dxa"/>
            <w:vAlign w:val="center"/>
          </w:tcPr>
          <w:p w14:paraId="74D70D02">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01F7B27C">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968F58F">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1A2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09A40768">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w:t>
            </w:r>
          </w:p>
        </w:tc>
        <w:tc>
          <w:tcPr>
            <w:tcW w:w="7326" w:type="dxa"/>
            <w:gridSpan w:val="2"/>
            <w:vAlign w:val="center"/>
          </w:tcPr>
          <w:p w14:paraId="3AC46EA4">
            <w:pPr>
              <w:widowControl/>
              <w:spacing w:line="220" w:lineRule="exact"/>
              <w:ind w:firstLine="422"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养护管理</w:t>
            </w:r>
          </w:p>
        </w:tc>
        <w:tc>
          <w:tcPr>
            <w:tcW w:w="754" w:type="dxa"/>
            <w:vAlign w:val="center"/>
          </w:tcPr>
          <w:p w14:paraId="229EC9A9">
            <w:pPr>
              <w:jc w:val="center"/>
              <w:rPr>
                <w:szCs w:val="22"/>
              </w:rPr>
            </w:pPr>
            <w:r>
              <w:rPr>
                <w:rFonts w:hint="eastAsia"/>
                <w:b/>
                <w:bCs/>
                <w:szCs w:val="22"/>
              </w:rPr>
              <w:t>[5]</w:t>
            </w:r>
          </w:p>
        </w:tc>
        <w:tc>
          <w:tcPr>
            <w:tcW w:w="307" w:type="dxa"/>
            <w:vAlign w:val="center"/>
          </w:tcPr>
          <w:p w14:paraId="6387594C">
            <w:pPr>
              <w:widowControl/>
              <w:spacing w:line="220" w:lineRule="exact"/>
              <w:ind w:firstLine="420" w:firstLineChars="200"/>
              <w:jc w:val="left"/>
              <w:rPr>
                <w:rFonts w:asciiTheme="minorEastAsia" w:hAnsiTheme="minorEastAsia" w:eastAsiaTheme="minorEastAsia" w:cstheme="minorEastAsia"/>
                <w:kern w:val="0"/>
                <w:szCs w:val="21"/>
              </w:rPr>
            </w:pPr>
          </w:p>
        </w:tc>
        <w:tc>
          <w:tcPr>
            <w:tcW w:w="329" w:type="dxa"/>
            <w:vAlign w:val="center"/>
          </w:tcPr>
          <w:p w14:paraId="785D0BAF">
            <w:pPr>
              <w:widowControl/>
              <w:spacing w:line="220" w:lineRule="exact"/>
              <w:ind w:firstLine="420" w:firstLineChars="200"/>
              <w:jc w:val="left"/>
              <w:rPr>
                <w:rFonts w:asciiTheme="minorEastAsia" w:hAnsiTheme="minorEastAsia" w:eastAsiaTheme="minorEastAsia" w:cstheme="minorEastAsia"/>
                <w:kern w:val="0"/>
                <w:szCs w:val="21"/>
              </w:rPr>
            </w:pPr>
          </w:p>
        </w:tc>
        <w:tc>
          <w:tcPr>
            <w:tcW w:w="422" w:type="dxa"/>
            <w:vAlign w:val="center"/>
          </w:tcPr>
          <w:p w14:paraId="527C058A">
            <w:pPr>
              <w:widowControl/>
              <w:spacing w:line="220" w:lineRule="exact"/>
              <w:ind w:firstLine="420" w:firstLineChars="200"/>
              <w:jc w:val="left"/>
              <w:rPr>
                <w:rFonts w:asciiTheme="minorEastAsia" w:hAnsiTheme="minorEastAsia" w:eastAsiaTheme="minorEastAsia" w:cstheme="minorEastAsia"/>
                <w:kern w:val="0"/>
                <w:szCs w:val="21"/>
              </w:rPr>
            </w:pPr>
          </w:p>
        </w:tc>
      </w:tr>
      <w:tr w14:paraId="71C1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2" w:type="dxa"/>
            <w:vAlign w:val="center"/>
          </w:tcPr>
          <w:p w14:paraId="26A98E66">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w:t>
            </w:r>
          </w:p>
          <w:p w14:paraId="50412AD6">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管理</w:t>
            </w:r>
          </w:p>
        </w:tc>
        <w:tc>
          <w:tcPr>
            <w:tcW w:w="3951" w:type="dxa"/>
            <w:vAlign w:val="center"/>
          </w:tcPr>
          <w:p w14:paraId="31CCC201">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日常养护措施得力，管理有方；对交办的指令性、突发性、临时性任务完成情况及时得力。</w:t>
            </w:r>
          </w:p>
        </w:tc>
        <w:tc>
          <w:tcPr>
            <w:tcW w:w="3375" w:type="dxa"/>
            <w:vAlign w:val="center"/>
          </w:tcPr>
          <w:p w14:paraId="04B2D518">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未按规定日常保养，未及时完成任务的扣0.5-5分。</w:t>
            </w:r>
          </w:p>
        </w:tc>
        <w:tc>
          <w:tcPr>
            <w:tcW w:w="754" w:type="dxa"/>
            <w:vAlign w:val="center"/>
          </w:tcPr>
          <w:p w14:paraId="7007104A">
            <w:pPr>
              <w:jc w:val="center"/>
              <w:rPr>
                <w:szCs w:val="22"/>
              </w:rPr>
            </w:pPr>
            <w:r>
              <w:rPr>
                <w:rFonts w:hint="eastAsia"/>
                <w:szCs w:val="22"/>
              </w:rPr>
              <w:t>5</w:t>
            </w:r>
          </w:p>
        </w:tc>
        <w:tc>
          <w:tcPr>
            <w:tcW w:w="307" w:type="dxa"/>
            <w:vAlign w:val="center"/>
          </w:tcPr>
          <w:p w14:paraId="011A024E">
            <w:pPr>
              <w:widowControl/>
              <w:spacing w:line="220" w:lineRule="exact"/>
              <w:ind w:firstLine="420" w:firstLineChars="200"/>
              <w:jc w:val="left"/>
              <w:rPr>
                <w:rFonts w:asciiTheme="minorEastAsia" w:hAnsiTheme="minorEastAsia" w:eastAsiaTheme="minorEastAsia" w:cstheme="minorEastAsia"/>
                <w:kern w:val="0"/>
                <w:szCs w:val="21"/>
              </w:rPr>
            </w:pPr>
          </w:p>
        </w:tc>
        <w:tc>
          <w:tcPr>
            <w:tcW w:w="329" w:type="dxa"/>
            <w:vAlign w:val="center"/>
          </w:tcPr>
          <w:p w14:paraId="74783B1A">
            <w:pPr>
              <w:widowControl/>
              <w:spacing w:line="220" w:lineRule="exact"/>
              <w:ind w:firstLine="420" w:firstLineChars="200"/>
              <w:jc w:val="left"/>
              <w:rPr>
                <w:rFonts w:asciiTheme="minorEastAsia" w:hAnsiTheme="minorEastAsia" w:eastAsiaTheme="minorEastAsia" w:cstheme="minorEastAsia"/>
                <w:kern w:val="0"/>
                <w:szCs w:val="21"/>
              </w:rPr>
            </w:pPr>
          </w:p>
        </w:tc>
        <w:tc>
          <w:tcPr>
            <w:tcW w:w="422" w:type="dxa"/>
            <w:vAlign w:val="center"/>
          </w:tcPr>
          <w:p w14:paraId="4625169F">
            <w:pPr>
              <w:widowControl/>
              <w:spacing w:line="220" w:lineRule="exact"/>
              <w:ind w:firstLine="420" w:firstLineChars="200"/>
              <w:jc w:val="left"/>
              <w:rPr>
                <w:rFonts w:asciiTheme="minorEastAsia" w:hAnsiTheme="minorEastAsia" w:eastAsiaTheme="minorEastAsia" w:cstheme="minorEastAsia"/>
                <w:kern w:val="0"/>
                <w:szCs w:val="21"/>
              </w:rPr>
            </w:pPr>
          </w:p>
        </w:tc>
      </w:tr>
      <w:tr w14:paraId="54D0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2C5D019F">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w:t>
            </w:r>
          </w:p>
        </w:tc>
        <w:tc>
          <w:tcPr>
            <w:tcW w:w="7326" w:type="dxa"/>
            <w:gridSpan w:val="2"/>
            <w:vAlign w:val="center"/>
          </w:tcPr>
          <w:p w14:paraId="0D554CBE">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内业资料</w:t>
            </w:r>
          </w:p>
        </w:tc>
        <w:tc>
          <w:tcPr>
            <w:tcW w:w="754" w:type="dxa"/>
            <w:vAlign w:val="center"/>
          </w:tcPr>
          <w:p w14:paraId="18941C9E">
            <w:pPr>
              <w:jc w:val="center"/>
              <w:rPr>
                <w:szCs w:val="22"/>
              </w:rPr>
            </w:pPr>
            <w:r>
              <w:rPr>
                <w:rFonts w:hint="eastAsia"/>
                <w:b/>
                <w:bCs/>
                <w:szCs w:val="22"/>
              </w:rPr>
              <w:t>[2]</w:t>
            </w:r>
          </w:p>
        </w:tc>
        <w:tc>
          <w:tcPr>
            <w:tcW w:w="307" w:type="dxa"/>
            <w:vAlign w:val="center"/>
          </w:tcPr>
          <w:p w14:paraId="4823E1D5">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05F8349C">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1F0DEA23">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22F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82" w:type="dxa"/>
            <w:vAlign w:val="center"/>
          </w:tcPr>
          <w:p w14:paraId="673D11DA">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文明</w:t>
            </w:r>
          </w:p>
          <w:p w14:paraId="4D4EF27B">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作业</w:t>
            </w:r>
          </w:p>
        </w:tc>
        <w:tc>
          <w:tcPr>
            <w:tcW w:w="3951" w:type="dxa"/>
            <w:vAlign w:val="center"/>
          </w:tcPr>
          <w:p w14:paraId="7685DB6F">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每月按时上交下月工作计划表以上月工作完成反馈表及其他内业资料。</w:t>
            </w:r>
          </w:p>
        </w:tc>
        <w:tc>
          <w:tcPr>
            <w:tcW w:w="3375" w:type="dxa"/>
            <w:vAlign w:val="center"/>
          </w:tcPr>
          <w:p w14:paraId="1E684F4F">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未及时上交工作计划扣0.5-2分。</w:t>
            </w:r>
          </w:p>
        </w:tc>
        <w:tc>
          <w:tcPr>
            <w:tcW w:w="754" w:type="dxa"/>
            <w:vAlign w:val="center"/>
          </w:tcPr>
          <w:p w14:paraId="60734047">
            <w:pPr>
              <w:jc w:val="center"/>
              <w:rPr>
                <w:szCs w:val="22"/>
              </w:rPr>
            </w:pPr>
            <w:r>
              <w:rPr>
                <w:rFonts w:hint="eastAsia"/>
                <w:szCs w:val="22"/>
              </w:rPr>
              <w:t>2</w:t>
            </w:r>
          </w:p>
        </w:tc>
        <w:tc>
          <w:tcPr>
            <w:tcW w:w="307" w:type="dxa"/>
            <w:vAlign w:val="center"/>
          </w:tcPr>
          <w:p w14:paraId="17DC3AB8">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3DE7210E">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595AE164">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A8B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2" w:type="dxa"/>
            <w:vAlign w:val="center"/>
          </w:tcPr>
          <w:p w14:paraId="270A1751">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六</w:t>
            </w:r>
          </w:p>
        </w:tc>
        <w:tc>
          <w:tcPr>
            <w:tcW w:w="7326" w:type="dxa"/>
            <w:gridSpan w:val="2"/>
            <w:vAlign w:val="center"/>
          </w:tcPr>
          <w:p w14:paraId="11C332C5">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总计</w:t>
            </w:r>
          </w:p>
        </w:tc>
        <w:tc>
          <w:tcPr>
            <w:tcW w:w="754" w:type="dxa"/>
            <w:vAlign w:val="center"/>
          </w:tcPr>
          <w:p w14:paraId="035A62F4">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[100]</w:t>
            </w:r>
          </w:p>
        </w:tc>
        <w:tc>
          <w:tcPr>
            <w:tcW w:w="307" w:type="dxa"/>
            <w:vAlign w:val="center"/>
          </w:tcPr>
          <w:p w14:paraId="5245D057">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1165178D">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47464FB">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FC3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14:paraId="5AD0B936">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r>
              <w:rPr>
                <w:rFonts w:hint="eastAsia" w:asciiTheme="minorEastAsia" w:hAnsiTheme="minorEastAsia" w:eastAsiaTheme="minorEastAsia" w:cstheme="minorEastAsia"/>
                <w:szCs w:val="21"/>
              </w:rPr>
              <w:t>实际养护内容缺项的，得基本分90分。</w:t>
            </w:r>
          </w:p>
        </w:tc>
      </w:tr>
      <w:tr w14:paraId="3101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720" w:type="dxa"/>
            <w:gridSpan w:val="7"/>
            <w:vAlign w:val="center"/>
          </w:tcPr>
          <w:p w14:paraId="017990FC">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科室负责人:                                  检查人员：                                                                          </w:t>
            </w:r>
          </w:p>
        </w:tc>
      </w:tr>
    </w:tbl>
    <w:p w14:paraId="50884F17">
      <w:pPr>
        <w:widowControl/>
        <w:jc w:val="left"/>
        <w:rPr>
          <w:rFonts w:asciiTheme="minorEastAsia" w:hAnsiTheme="minorEastAsia" w:eastAsiaTheme="minorEastAsia" w:cstheme="minorEastAsia"/>
          <w:b/>
          <w:bCs/>
          <w:kern w:val="0"/>
          <w:szCs w:val="21"/>
        </w:rPr>
      </w:pPr>
    </w:p>
    <w:p w14:paraId="428688A9">
      <w:pPr>
        <w:widowControl/>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附件B</w:t>
      </w:r>
    </w:p>
    <w:tbl>
      <w:tblPr>
        <w:tblStyle w:val="28"/>
        <w:tblW w:w="9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111"/>
        <w:gridCol w:w="3260"/>
        <w:gridCol w:w="765"/>
        <w:gridCol w:w="251"/>
        <w:gridCol w:w="329"/>
        <w:gridCol w:w="422"/>
      </w:tblGrid>
      <w:tr w14:paraId="52B7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14:paraId="2DC33714">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月度检查表</w:t>
            </w:r>
          </w:p>
        </w:tc>
      </w:tr>
      <w:tr w14:paraId="3B01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14:paraId="19863BE6">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养护地段：                                               考核时间：      年     月     日</w:t>
            </w:r>
          </w:p>
        </w:tc>
      </w:tr>
      <w:tr w14:paraId="3948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dxa"/>
            <w:vAlign w:val="center"/>
          </w:tcPr>
          <w:p w14:paraId="37EB983F">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项目</w:t>
            </w:r>
          </w:p>
        </w:tc>
        <w:tc>
          <w:tcPr>
            <w:tcW w:w="4111" w:type="dxa"/>
            <w:vAlign w:val="center"/>
          </w:tcPr>
          <w:p w14:paraId="638B2158">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考核标准</w:t>
            </w:r>
          </w:p>
        </w:tc>
        <w:tc>
          <w:tcPr>
            <w:tcW w:w="3260" w:type="dxa"/>
            <w:vAlign w:val="center"/>
          </w:tcPr>
          <w:p w14:paraId="2E0728F4">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考核评分办法</w:t>
            </w:r>
          </w:p>
        </w:tc>
        <w:tc>
          <w:tcPr>
            <w:tcW w:w="765" w:type="dxa"/>
            <w:vAlign w:val="center"/>
          </w:tcPr>
          <w:p w14:paraId="1B405BC2">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分值</w:t>
            </w:r>
          </w:p>
        </w:tc>
        <w:tc>
          <w:tcPr>
            <w:tcW w:w="251" w:type="dxa"/>
            <w:vAlign w:val="center"/>
          </w:tcPr>
          <w:p w14:paraId="2E8FC325">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扣分</w:t>
            </w:r>
          </w:p>
        </w:tc>
        <w:tc>
          <w:tcPr>
            <w:tcW w:w="329" w:type="dxa"/>
            <w:vAlign w:val="center"/>
          </w:tcPr>
          <w:p w14:paraId="5E8D5B1C">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得分</w:t>
            </w:r>
          </w:p>
        </w:tc>
        <w:tc>
          <w:tcPr>
            <w:tcW w:w="422" w:type="dxa"/>
            <w:vAlign w:val="center"/>
          </w:tcPr>
          <w:p w14:paraId="186E0EB3">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4C43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44BA8621">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w:t>
            </w:r>
          </w:p>
        </w:tc>
        <w:tc>
          <w:tcPr>
            <w:tcW w:w="7371" w:type="dxa"/>
            <w:gridSpan w:val="2"/>
            <w:vAlign w:val="center"/>
          </w:tcPr>
          <w:p w14:paraId="08986D96">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绿化养护质量标准</w:t>
            </w:r>
          </w:p>
        </w:tc>
        <w:tc>
          <w:tcPr>
            <w:tcW w:w="765" w:type="dxa"/>
            <w:vAlign w:val="center"/>
          </w:tcPr>
          <w:p w14:paraId="16F1EAD3">
            <w:pPr>
              <w:jc w:val="center"/>
              <w:rPr>
                <w:szCs w:val="22"/>
              </w:rPr>
            </w:pPr>
            <w:r>
              <w:rPr>
                <w:rFonts w:hint="eastAsia"/>
                <w:b/>
                <w:bCs/>
                <w:szCs w:val="22"/>
              </w:rPr>
              <w:t>[71]</w:t>
            </w:r>
          </w:p>
        </w:tc>
        <w:tc>
          <w:tcPr>
            <w:tcW w:w="251" w:type="dxa"/>
            <w:vAlign w:val="center"/>
          </w:tcPr>
          <w:p w14:paraId="6B8E43BC">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4F6149EC">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1666E44D">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DAA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2" w:type="dxa"/>
            <w:vMerge w:val="restart"/>
            <w:vAlign w:val="center"/>
          </w:tcPr>
          <w:p w14:paraId="1CF03DCF">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绿化</w:t>
            </w:r>
          </w:p>
          <w:p w14:paraId="2557C6D1">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w:t>
            </w:r>
          </w:p>
        </w:tc>
        <w:tc>
          <w:tcPr>
            <w:tcW w:w="4111" w:type="dxa"/>
            <w:vAlign w:val="center"/>
          </w:tcPr>
          <w:p w14:paraId="74941598">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1.绿地：绿篱、球类、柱类齐全，高度适宜，无成块缺档，无明显枯枝，无病虫枝。</w:t>
            </w:r>
          </w:p>
        </w:tc>
        <w:tc>
          <w:tcPr>
            <w:tcW w:w="3260" w:type="dxa"/>
            <w:vAlign w:val="center"/>
          </w:tcPr>
          <w:p w14:paraId="40305809">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绿地：修剪不整齐、不到位，绿篱色块不全的，每10平方米扣0.5分；缺档、枯枝、病虫枝每平方米扣0.5分。</w:t>
            </w:r>
          </w:p>
        </w:tc>
        <w:tc>
          <w:tcPr>
            <w:tcW w:w="765" w:type="dxa"/>
            <w:vAlign w:val="center"/>
          </w:tcPr>
          <w:p w14:paraId="560763E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251" w:type="dxa"/>
            <w:vAlign w:val="center"/>
          </w:tcPr>
          <w:p w14:paraId="3D165834">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015EA299">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210758D3">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4A0F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82" w:type="dxa"/>
            <w:vMerge w:val="continue"/>
            <w:vAlign w:val="center"/>
          </w:tcPr>
          <w:p w14:paraId="677173E7">
            <w:pPr>
              <w:widowControl/>
              <w:spacing w:line="220" w:lineRule="exact"/>
              <w:rPr>
                <w:rFonts w:asciiTheme="minorEastAsia" w:hAnsiTheme="minorEastAsia" w:eastAsiaTheme="minorEastAsia" w:cstheme="minorEastAsia"/>
                <w:b/>
                <w:bCs/>
                <w:kern w:val="0"/>
                <w:szCs w:val="21"/>
              </w:rPr>
            </w:pPr>
          </w:p>
        </w:tc>
        <w:tc>
          <w:tcPr>
            <w:tcW w:w="4111" w:type="dxa"/>
            <w:vAlign w:val="center"/>
          </w:tcPr>
          <w:p w14:paraId="6928A0A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2.林带乔木生长姿态良好，无明显枯枝。</w:t>
            </w:r>
          </w:p>
        </w:tc>
        <w:tc>
          <w:tcPr>
            <w:tcW w:w="3260" w:type="dxa"/>
            <w:vAlign w:val="center"/>
          </w:tcPr>
          <w:p w14:paraId="79C591CC">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乔木明显枯枝扣0.5分/株，乔木死株每株扣1分。</w:t>
            </w:r>
          </w:p>
        </w:tc>
        <w:tc>
          <w:tcPr>
            <w:tcW w:w="765" w:type="dxa"/>
            <w:vAlign w:val="center"/>
          </w:tcPr>
          <w:p w14:paraId="1EABE10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51" w:type="dxa"/>
            <w:vAlign w:val="center"/>
          </w:tcPr>
          <w:p w14:paraId="5007935F">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31872D02">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1E8DEEEA">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21E5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82" w:type="dxa"/>
            <w:vMerge w:val="continue"/>
            <w:vAlign w:val="center"/>
          </w:tcPr>
          <w:p w14:paraId="2A1F056B">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523F73A2">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3.绿地生长良好，草坪平整，高度适宜，无残缺，无杂草长草、残花。</w:t>
            </w:r>
          </w:p>
        </w:tc>
        <w:tc>
          <w:tcPr>
            <w:tcW w:w="3260" w:type="dxa"/>
            <w:vAlign w:val="center"/>
          </w:tcPr>
          <w:p w14:paraId="41F6506D">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绿地管养不善每100平方米扣1分。</w:t>
            </w:r>
          </w:p>
        </w:tc>
        <w:tc>
          <w:tcPr>
            <w:tcW w:w="765" w:type="dxa"/>
            <w:vAlign w:val="center"/>
          </w:tcPr>
          <w:p w14:paraId="4518982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251" w:type="dxa"/>
            <w:vAlign w:val="center"/>
          </w:tcPr>
          <w:p w14:paraId="208E0B9F">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317457D5">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4431114F">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21BD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14:paraId="7D5F0210">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14280061">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4.林带杂草高度不得超过20厘米。</w:t>
            </w:r>
          </w:p>
        </w:tc>
        <w:tc>
          <w:tcPr>
            <w:tcW w:w="3260" w:type="dxa"/>
            <w:vAlign w:val="center"/>
          </w:tcPr>
          <w:p w14:paraId="3F4DFA72">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林地管养不善每1000平方米扣1分。</w:t>
            </w:r>
          </w:p>
        </w:tc>
        <w:tc>
          <w:tcPr>
            <w:tcW w:w="765" w:type="dxa"/>
            <w:vAlign w:val="center"/>
          </w:tcPr>
          <w:p w14:paraId="2E70C1F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51" w:type="dxa"/>
            <w:vAlign w:val="center"/>
          </w:tcPr>
          <w:p w14:paraId="71A0581D">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0263506A">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003C1FDB">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4C70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14:paraId="63D6FEF7">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76C34F1C">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5.病虫害防治及时、有效，除虫记录齐全，常见病虫害在5%以下，乔木入冬按规范刷白。定期对林带乔木、花卉、草坪等进行施肥。</w:t>
            </w:r>
          </w:p>
        </w:tc>
        <w:tc>
          <w:tcPr>
            <w:tcW w:w="3260" w:type="dxa"/>
            <w:vAlign w:val="center"/>
          </w:tcPr>
          <w:p w14:paraId="55B942D2">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造成景观不佳每100平方米扣0.5分，乔木刷白不规范扣0.5-5分，乔木未刷白此项不得分。未定期对林带乔木、花卉、草坪等进行施肥扣0.5-5分。</w:t>
            </w:r>
          </w:p>
        </w:tc>
        <w:tc>
          <w:tcPr>
            <w:tcW w:w="765" w:type="dxa"/>
            <w:vAlign w:val="center"/>
          </w:tcPr>
          <w:p w14:paraId="306488B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51" w:type="dxa"/>
            <w:vAlign w:val="center"/>
          </w:tcPr>
          <w:p w14:paraId="206B493D">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49E636A3">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15256020">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32D6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2" w:type="dxa"/>
            <w:vMerge w:val="continue"/>
            <w:vAlign w:val="center"/>
          </w:tcPr>
          <w:p w14:paraId="7682821A">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058BA001">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6.干旱时积极抗旱，合理安排浇水，浇水记录齐全。新种树成活率95%以上，老树存活率在98%以上。</w:t>
            </w:r>
          </w:p>
        </w:tc>
        <w:tc>
          <w:tcPr>
            <w:tcW w:w="3260" w:type="dxa"/>
            <w:vAlign w:val="center"/>
          </w:tcPr>
          <w:p w14:paraId="38336CE5">
            <w:pPr>
              <w:widowControl/>
              <w:spacing w:line="220" w:lineRule="exact"/>
              <w:ind w:right="-153" w:rightChars="-73"/>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因浇水、养护不到位出现长势不良的，色块每10m2扣0.5分，乔木、柱类、球类3株以上（不足3株按3株算）扣0.5分，每增加一株扣0.1分；出现死株情况的，色块每10m2扣1分，乔木、柱类、球类3株以上（不足3株按3株算）扣1分，每增加一株扣1分,直至扣完该项得分。</w:t>
            </w:r>
          </w:p>
        </w:tc>
        <w:tc>
          <w:tcPr>
            <w:tcW w:w="765" w:type="dxa"/>
            <w:vAlign w:val="center"/>
          </w:tcPr>
          <w:p w14:paraId="5204ECE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51" w:type="dxa"/>
            <w:vAlign w:val="center"/>
          </w:tcPr>
          <w:p w14:paraId="6547B901">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70B9088B">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7F1211EB">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37CC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2" w:type="dxa"/>
            <w:vMerge w:val="continue"/>
            <w:vAlign w:val="center"/>
          </w:tcPr>
          <w:p w14:paraId="244933B7">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4435315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7.绿地乔木、绿篱及时扶正。</w:t>
            </w:r>
          </w:p>
        </w:tc>
        <w:tc>
          <w:tcPr>
            <w:tcW w:w="3260" w:type="dxa"/>
            <w:vAlign w:val="center"/>
          </w:tcPr>
          <w:p w14:paraId="022D83E3">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乔木未及时扶正每株扣0.5分；绿篱未及时扶正，每平方米扣0.2分。</w:t>
            </w:r>
          </w:p>
        </w:tc>
        <w:tc>
          <w:tcPr>
            <w:tcW w:w="765" w:type="dxa"/>
            <w:vAlign w:val="center"/>
          </w:tcPr>
          <w:p w14:paraId="35E1BE2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51" w:type="dxa"/>
            <w:vAlign w:val="center"/>
          </w:tcPr>
          <w:p w14:paraId="13E8B20C">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53DE6D00">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61D2A4BD">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4643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086F6070">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37195312">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8.林带乔木及时扶正。</w:t>
            </w:r>
          </w:p>
        </w:tc>
        <w:tc>
          <w:tcPr>
            <w:tcW w:w="3260" w:type="dxa"/>
            <w:vAlign w:val="center"/>
          </w:tcPr>
          <w:p w14:paraId="29BAF72A">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未及时扶正每株扣0.5分。</w:t>
            </w:r>
          </w:p>
        </w:tc>
        <w:tc>
          <w:tcPr>
            <w:tcW w:w="765" w:type="dxa"/>
            <w:vAlign w:val="center"/>
          </w:tcPr>
          <w:p w14:paraId="6D76E7C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51" w:type="dxa"/>
            <w:vAlign w:val="center"/>
          </w:tcPr>
          <w:p w14:paraId="395A4967">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0E2086A1">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4141F7FA">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65D1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355AF587">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0AE43087">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9.绿地乔木修枝、抹芽。</w:t>
            </w:r>
          </w:p>
        </w:tc>
        <w:tc>
          <w:tcPr>
            <w:tcW w:w="3260" w:type="dxa"/>
            <w:vAlign w:val="center"/>
          </w:tcPr>
          <w:p w14:paraId="654A4D9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未按规定修枝、抹芽，每株扣0.2分。</w:t>
            </w:r>
          </w:p>
        </w:tc>
        <w:tc>
          <w:tcPr>
            <w:tcW w:w="765" w:type="dxa"/>
            <w:vAlign w:val="center"/>
          </w:tcPr>
          <w:p w14:paraId="1B17785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51" w:type="dxa"/>
            <w:vAlign w:val="center"/>
          </w:tcPr>
          <w:p w14:paraId="7D63780F">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24B0B0AA">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2F7403BC">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3594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72E3E292">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52F701B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10.林带乔木修枝、抹芽。</w:t>
            </w:r>
          </w:p>
        </w:tc>
        <w:tc>
          <w:tcPr>
            <w:tcW w:w="3260" w:type="dxa"/>
            <w:vAlign w:val="center"/>
          </w:tcPr>
          <w:p w14:paraId="6C92E18E">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未按规定修枝、抹芽，每株扣0.2分。</w:t>
            </w:r>
          </w:p>
        </w:tc>
        <w:tc>
          <w:tcPr>
            <w:tcW w:w="765" w:type="dxa"/>
            <w:vAlign w:val="center"/>
          </w:tcPr>
          <w:p w14:paraId="6C167CD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51" w:type="dxa"/>
            <w:vAlign w:val="center"/>
          </w:tcPr>
          <w:p w14:paraId="32E0DC58">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4388240B">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04D7333D">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4EB7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1271FA72">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67BFDFC6">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11.巡查中如发现绿化被破坏、挖除等情况的，需及时书面形式上报采购人</w:t>
            </w:r>
          </w:p>
        </w:tc>
        <w:tc>
          <w:tcPr>
            <w:tcW w:w="3260" w:type="dxa"/>
            <w:vAlign w:val="center"/>
          </w:tcPr>
          <w:p w14:paraId="5FD54399">
            <w:pPr>
              <w:widowControl/>
              <w:spacing w:line="220" w:lineRule="exact"/>
              <w:jc w:val="left"/>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未及时上报的，每次扣</w:t>
            </w:r>
            <w:r>
              <w:rPr>
                <w:rFonts w:hint="eastAsia" w:asciiTheme="minorEastAsia" w:hAnsiTheme="minorEastAsia" w:eastAsiaTheme="minorEastAsia" w:cstheme="minorEastAsia"/>
                <w:kern w:val="0"/>
                <w:sz w:val="18"/>
                <w:szCs w:val="18"/>
              </w:rPr>
              <w:t>0.5分。</w:t>
            </w:r>
          </w:p>
        </w:tc>
        <w:tc>
          <w:tcPr>
            <w:tcW w:w="765" w:type="dxa"/>
            <w:vAlign w:val="center"/>
          </w:tcPr>
          <w:p w14:paraId="7266B56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51" w:type="dxa"/>
            <w:vAlign w:val="center"/>
          </w:tcPr>
          <w:p w14:paraId="29F7AF27">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53B85765">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60031CF4">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1D79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3738C59A">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w:t>
            </w:r>
          </w:p>
        </w:tc>
        <w:tc>
          <w:tcPr>
            <w:tcW w:w="7371" w:type="dxa"/>
            <w:gridSpan w:val="2"/>
            <w:vAlign w:val="center"/>
          </w:tcPr>
          <w:p w14:paraId="47BD3E94">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清卫标准</w:t>
            </w:r>
          </w:p>
        </w:tc>
        <w:tc>
          <w:tcPr>
            <w:tcW w:w="765" w:type="dxa"/>
            <w:vAlign w:val="center"/>
          </w:tcPr>
          <w:p w14:paraId="3CEC1E65">
            <w:pPr>
              <w:jc w:val="center"/>
              <w:rPr>
                <w:szCs w:val="22"/>
              </w:rPr>
            </w:pPr>
            <w:r>
              <w:rPr>
                <w:rFonts w:hint="eastAsia"/>
                <w:b/>
                <w:bCs/>
                <w:szCs w:val="22"/>
              </w:rPr>
              <w:t>[15]</w:t>
            </w:r>
          </w:p>
        </w:tc>
        <w:tc>
          <w:tcPr>
            <w:tcW w:w="251" w:type="dxa"/>
            <w:vAlign w:val="center"/>
          </w:tcPr>
          <w:p w14:paraId="5F91E569">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27292113">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66A93DAF">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D59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2" w:type="dxa"/>
            <w:vAlign w:val="center"/>
          </w:tcPr>
          <w:p w14:paraId="10F58477">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日常</w:t>
            </w:r>
          </w:p>
          <w:p w14:paraId="4B52618C">
            <w:pPr>
              <w:widowControl/>
              <w:spacing w:line="2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保洁</w:t>
            </w:r>
          </w:p>
        </w:tc>
        <w:tc>
          <w:tcPr>
            <w:tcW w:w="4111" w:type="dxa"/>
            <w:vAlign w:val="center"/>
          </w:tcPr>
          <w:p w14:paraId="483EF5F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林带绿地乔木整齐、无绑扎物、无挂物架线、无堆积物</w:t>
            </w:r>
            <w:r>
              <w:rPr>
                <w:rFonts w:hint="eastAsia" w:asciiTheme="minorEastAsia" w:hAnsiTheme="minorEastAsia" w:eastAsiaTheme="minorEastAsia" w:cstheme="minorEastAsia"/>
                <w:kern w:val="0"/>
                <w:sz w:val="18"/>
                <w:szCs w:val="18"/>
                <w:lang w:eastAsia="zh-CN"/>
              </w:rPr>
              <w:t>、无农作物</w:t>
            </w:r>
            <w:r>
              <w:rPr>
                <w:rFonts w:hint="eastAsia" w:asciiTheme="minorEastAsia" w:hAnsiTheme="minorEastAsia" w:eastAsiaTheme="minorEastAsia" w:cstheme="minorEastAsia"/>
                <w:kern w:val="0"/>
                <w:sz w:val="18"/>
                <w:szCs w:val="18"/>
              </w:rPr>
              <w:t>等现象；林带绿地环境整洁、不乱倒乱放废弃物，无白色污染等现象。</w:t>
            </w:r>
          </w:p>
        </w:tc>
        <w:tc>
          <w:tcPr>
            <w:tcW w:w="3260" w:type="dxa"/>
            <w:vAlign w:val="center"/>
          </w:tcPr>
          <w:p w14:paraId="5C3B48EE">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发现绑扎、挂物、架线一处扣0.5分；发现乱倒乱放废弃物、白色污染现象的每处扣1分。</w:t>
            </w:r>
          </w:p>
        </w:tc>
        <w:tc>
          <w:tcPr>
            <w:tcW w:w="765" w:type="dxa"/>
            <w:vAlign w:val="center"/>
          </w:tcPr>
          <w:p w14:paraId="1D7357B3">
            <w:pPr>
              <w:jc w:val="center"/>
              <w:rPr>
                <w:szCs w:val="22"/>
              </w:rPr>
            </w:pPr>
            <w:r>
              <w:rPr>
                <w:rFonts w:hint="eastAsia"/>
                <w:szCs w:val="22"/>
              </w:rPr>
              <w:t>15</w:t>
            </w:r>
          </w:p>
        </w:tc>
        <w:tc>
          <w:tcPr>
            <w:tcW w:w="251" w:type="dxa"/>
            <w:vAlign w:val="center"/>
          </w:tcPr>
          <w:p w14:paraId="74934D9B">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3D9B159B">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466A3DCB">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0CD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27546F52">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w:t>
            </w:r>
          </w:p>
        </w:tc>
        <w:tc>
          <w:tcPr>
            <w:tcW w:w="7371" w:type="dxa"/>
            <w:gridSpan w:val="2"/>
            <w:vAlign w:val="center"/>
          </w:tcPr>
          <w:p w14:paraId="36FF2F63">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安全环保</w:t>
            </w:r>
          </w:p>
        </w:tc>
        <w:tc>
          <w:tcPr>
            <w:tcW w:w="765" w:type="dxa"/>
            <w:vAlign w:val="center"/>
          </w:tcPr>
          <w:p w14:paraId="32FA5194">
            <w:pPr>
              <w:jc w:val="center"/>
              <w:rPr>
                <w:szCs w:val="22"/>
              </w:rPr>
            </w:pPr>
            <w:r>
              <w:rPr>
                <w:rFonts w:hint="eastAsia"/>
                <w:b/>
                <w:bCs/>
                <w:szCs w:val="22"/>
              </w:rPr>
              <w:t>[7]</w:t>
            </w:r>
          </w:p>
        </w:tc>
        <w:tc>
          <w:tcPr>
            <w:tcW w:w="251" w:type="dxa"/>
            <w:vAlign w:val="center"/>
          </w:tcPr>
          <w:p w14:paraId="75F9461A">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372EB7D6">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3047113">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F6F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Merge w:val="restart"/>
            <w:vAlign w:val="center"/>
          </w:tcPr>
          <w:p w14:paraId="58273500">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安全</w:t>
            </w:r>
          </w:p>
          <w:p w14:paraId="3E39F24C">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作业</w:t>
            </w:r>
          </w:p>
        </w:tc>
        <w:tc>
          <w:tcPr>
            <w:tcW w:w="4111" w:type="dxa"/>
            <w:vAlign w:val="center"/>
          </w:tcPr>
          <w:p w14:paraId="52EF5E47">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1布设规范，安全设施齐全，施工人员着装规范，交通组织有序，现场无安全隐患，机械设备安全整洁。</w:t>
            </w:r>
          </w:p>
        </w:tc>
        <w:tc>
          <w:tcPr>
            <w:tcW w:w="3260" w:type="dxa"/>
            <w:vAlign w:val="center"/>
          </w:tcPr>
          <w:p w14:paraId="7F9D998F">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作业时未严格遵守安全作业规程的，发现扣0.5-1分/次。</w:t>
            </w:r>
          </w:p>
        </w:tc>
        <w:tc>
          <w:tcPr>
            <w:tcW w:w="765" w:type="dxa"/>
            <w:vAlign w:val="center"/>
          </w:tcPr>
          <w:p w14:paraId="26F1083C">
            <w:pPr>
              <w:jc w:val="center"/>
              <w:rPr>
                <w:szCs w:val="22"/>
              </w:rPr>
            </w:pPr>
            <w:r>
              <w:rPr>
                <w:rFonts w:hint="eastAsia"/>
                <w:szCs w:val="22"/>
              </w:rPr>
              <w:t>5</w:t>
            </w:r>
          </w:p>
        </w:tc>
        <w:tc>
          <w:tcPr>
            <w:tcW w:w="251" w:type="dxa"/>
            <w:vAlign w:val="center"/>
          </w:tcPr>
          <w:p w14:paraId="148DA878">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47E6ED53">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0BAFEB9">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E7C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4AF0E535">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5D74FEC5">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2.防火、抗台、抗旱及预防各类自然灾害措施得力。</w:t>
            </w:r>
          </w:p>
        </w:tc>
        <w:tc>
          <w:tcPr>
            <w:tcW w:w="3260" w:type="dxa"/>
            <w:vAlign w:val="center"/>
          </w:tcPr>
          <w:p w14:paraId="577D2B0A">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预防各类自然灾害措施不力扣0.5-1分/次。</w:t>
            </w:r>
          </w:p>
        </w:tc>
        <w:tc>
          <w:tcPr>
            <w:tcW w:w="765" w:type="dxa"/>
            <w:vAlign w:val="center"/>
          </w:tcPr>
          <w:p w14:paraId="4ACD44F8">
            <w:pPr>
              <w:jc w:val="center"/>
              <w:rPr>
                <w:szCs w:val="22"/>
              </w:rPr>
            </w:pPr>
            <w:r>
              <w:rPr>
                <w:rFonts w:hint="eastAsia"/>
                <w:szCs w:val="22"/>
              </w:rPr>
              <w:t>2</w:t>
            </w:r>
          </w:p>
        </w:tc>
        <w:tc>
          <w:tcPr>
            <w:tcW w:w="251" w:type="dxa"/>
            <w:vAlign w:val="center"/>
          </w:tcPr>
          <w:p w14:paraId="13CA13ED">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69B31747">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D856E45">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C5F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78B60685">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w:t>
            </w:r>
          </w:p>
        </w:tc>
        <w:tc>
          <w:tcPr>
            <w:tcW w:w="7371" w:type="dxa"/>
            <w:gridSpan w:val="2"/>
            <w:vAlign w:val="center"/>
          </w:tcPr>
          <w:p w14:paraId="4A1B20B6">
            <w:pPr>
              <w:widowControl/>
              <w:spacing w:line="220" w:lineRule="exact"/>
              <w:ind w:firstLine="422"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养护管理</w:t>
            </w:r>
          </w:p>
        </w:tc>
        <w:tc>
          <w:tcPr>
            <w:tcW w:w="765" w:type="dxa"/>
            <w:vAlign w:val="center"/>
          </w:tcPr>
          <w:p w14:paraId="3E3AF3BA">
            <w:pPr>
              <w:jc w:val="center"/>
              <w:rPr>
                <w:szCs w:val="22"/>
              </w:rPr>
            </w:pPr>
            <w:r>
              <w:rPr>
                <w:rFonts w:hint="eastAsia"/>
                <w:b/>
                <w:bCs/>
                <w:szCs w:val="22"/>
              </w:rPr>
              <w:t>[5]</w:t>
            </w:r>
          </w:p>
        </w:tc>
        <w:tc>
          <w:tcPr>
            <w:tcW w:w="251" w:type="dxa"/>
            <w:vAlign w:val="center"/>
          </w:tcPr>
          <w:p w14:paraId="4D815F3F">
            <w:pPr>
              <w:widowControl/>
              <w:spacing w:line="220" w:lineRule="exact"/>
              <w:ind w:firstLine="420" w:firstLineChars="200"/>
              <w:jc w:val="left"/>
              <w:rPr>
                <w:rFonts w:asciiTheme="minorEastAsia" w:hAnsiTheme="minorEastAsia" w:eastAsiaTheme="minorEastAsia" w:cstheme="minorEastAsia"/>
                <w:kern w:val="0"/>
                <w:szCs w:val="21"/>
              </w:rPr>
            </w:pPr>
          </w:p>
        </w:tc>
        <w:tc>
          <w:tcPr>
            <w:tcW w:w="329" w:type="dxa"/>
            <w:vAlign w:val="center"/>
          </w:tcPr>
          <w:p w14:paraId="507D478F">
            <w:pPr>
              <w:widowControl/>
              <w:spacing w:line="220" w:lineRule="exact"/>
              <w:ind w:firstLine="420" w:firstLineChars="200"/>
              <w:jc w:val="left"/>
              <w:rPr>
                <w:rFonts w:asciiTheme="minorEastAsia" w:hAnsiTheme="minorEastAsia" w:eastAsiaTheme="minorEastAsia" w:cstheme="minorEastAsia"/>
                <w:kern w:val="0"/>
                <w:szCs w:val="21"/>
              </w:rPr>
            </w:pPr>
          </w:p>
        </w:tc>
        <w:tc>
          <w:tcPr>
            <w:tcW w:w="422" w:type="dxa"/>
            <w:vAlign w:val="center"/>
          </w:tcPr>
          <w:p w14:paraId="06947FFF">
            <w:pPr>
              <w:widowControl/>
              <w:spacing w:line="220" w:lineRule="exact"/>
              <w:ind w:firstLine="420" w:firstLineChars="200"/>
              <w:jc w:val="left"/>
              <w:rPr>
                <w:rFonts w:asciiTheme="minorEastAsia" w:hAnsiTheme="minorEastAsia" w:eastAsiaTheme="minorEastAsia" w:cstheme="minorEastAsia"/>
                <w:kern w:val="0"/>
                <w:szCs w:val="21"/>
              </w:rPr>
            </w:pPr>
          </w:p>
        </w:tc>
      </w:tr>
      <w:tr w14:paraId="080F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Align w:val="center"/>
          </w:tcPr>
          <w:p w14:paraId="13F942BC">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w:t>
            </w:r>
          </w:p>
          <w:p w14:paraId="7327923F">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管理</w:t>
            </w:r>
          </w:p>
        </w:tc>
        <w:tc>
          <w:tcPr>
            <w:tcW w:w="4111" w:type="dxa"/>
            <w:vAlign w:val="center"/>
          </w:tcPr>
          <w:p w14:paraId="10F42EFC">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日常养护措施得力，管理有方；对交办的指令性、突发性、临时性任务完成情况及时得力。</w:t>
            </w:r>
          </w:p>
        </w:tc>
        <w:tc>
          <w:tcPr>
            <w:tcW w:w="3260" w:type="dxa"/>
            <w:vAlign w:val="center"/>
          </w:tcPr>
          <w:p w14:paraId="17FA1333">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未按规定日常保养，未及时完成任务的扣0.5-5分。</w:t>
            </w:r>
          </w:p>
        </w:tc>
        <w:tc>
          <w:tcPr>
            <w:tcW w:w="765" w:type="dxa"/>
            <w:vAlign w:val="center"/>
          </w:tcPr>
          <w:p w14:paraId="06EF49C9">
            <w:pPr>
              <w:jc w:val="center"/>
              <w:rPr>
                <w:szCs w:val="22"/>
              </w:rPr>
            </w:pPr>
            <w:r>
              <w:rPr>
                <w:rFonts w:hint="eastAsia"/>
                <w:szCs w:val="22"/>
              </w:rPr>
              <w:t>5</w:t>
            </w:r>
          </w:p>
        </w:tc>
        <w:tc>
          <w:tcPr>
            <w:tcW w:w="251" w:type="dxa"/>
            <w:vAlign w:val="center"/>
          </w:tcPr>
          <w:p w14:paraId="462DC7A3">
            <w:pPr>
              <w:widowControl/>
              <w:spacing w:line="220" w:lineRule="exact"/>
              <w:ind w:firstLine="420" w:firstLineChars="200"/>
              <w:jc w:val="left"/>
              <w:rPr>
                <w:rFonts w:asciiTheme="minorEastAsia" w:hAnsiTheme="minorEastAsia" w:eastAsiaTheme="minorEastAsia" w:cstheme="minorEastAsia"/>
                <w:kern w:val="0"/>
                <w:szCs w:val="21"/>
              </w:rPr>
            </w:pPr>
          </w:p>
        </w:tc>
        <w:tc>
          <w:tcPr>
            <w:tcW w:w="329" w:type="dxa"/>
            <w:vAlign w:val="center"/>
          </w:tcPr>
          <w:p w14:paraId="1E471147">
            <w:pPr>
              <w:widowControl/>
              <w:spacing w:line="220" w:lineRule="exact"/>
              <w:ind w:firstLine="420" w:firstLineChars="200"/>
              <w:jc w:val="left"/>
              <w:rPr>
                <w:rFonts w:asciiTheme="minorEastAsia" w:hAnsiTheme="minorEastAsia" w:eastAsiaTheme="minorEastAsia" w:cstheme="minorEastAsia"/>
                <w:kern w:val="0"/>
                <w:szCs w:val="21"/>
              </w:rPr>
            </w:pPr>
          </w:p>
        </w:tc>
        <w:tc>
          <w:tcPr>
            <w:tcW w:w="422" w:type="dxa"/>
            <w:vAlign w:val="center"/>
          </w:tcPr>
          <w:p w14:paraId="302D300D">
            <w:pPr>
              <w:widowControl/>
              <w:spacing w:line="220" w:lineRule="exact"/>
              <w:ind w:firstLine="420" w:firstLineChars="200"/>
              <w:jc w:val="left"/>
              <w:rPr>
                <w:rFonts w:asciiTheme="minorEastAsia" w:hAnsiTheme="minorEastAsia" w:eastAsiaTheme="minorEastAsia" w:cstheme="minorEastAsia"/>
                <w:kern w:val="0"/>
                <w:szCs w:val="21"/>
              </w:rPr>
            </w:pPr>
          </w:p>
        </w:tc>
      </w:tr>
      <w:tr w14:paraId="189D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3336090D">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w:t>
            </w:r>
          </w:p>
        </w:tc>
        <w:tc>
          <w:tcPr>
            <w:tcW w:w="7371" w:type="dxa"/>
            <w:gridSpan w:val="2"/>
            <w:vAlign w:val="center"/>
          </w:tcPr>
          <w:p w14:paraId="0187E0B8">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内业资料</w:t>
            </w:r>
          </w:p>
        </w:tc>
        <w:tc>
          <w:tcPr>
            <w:tcW w:w="765" w:type="dxa"/>
            <w:vAlign w:val="center"/>
          </w:tcPr>
          <w:p w14:paraId="40B01F3C">
            <w:pPr>
              <w:jc w:val="center"/>
              <w:rPr>
                <w:szCs w:val="22"/>
              </w:rPr>
            </w:pPr>
            <w:r>
              <w:rPr>
                <w:rFonts w:hint="eastAsia"/>
                <w:b/>
                <w:bCs/>
                <w:szCs w:val="22"/>
              </w:rPr>
              <w:t>[2]</w:t>
            </w:r>
          </w:p>
        </w:tc>
        <w:tc>
          <w:tcPr>
            <w:tcW w:w="251" w:type="dxa"/>
            <w:vAlign w:val="center"/>
          </w:tcPr>
          <w:p w14:paraId="511E28A8">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1CC83521">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09531548">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B40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82" w:type="dxa"/>
            <w:vAlign w:val="center"/>
          </w:tcPr>
          <w:p w14:paraId="6BC852E3">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文明</w:t>
            </w:r>
          </w:p>
          <w:p w14:paraId="6C6C1FF2">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作业</w:t>
            </w:r>
          </w:p>
        </w:tc>
        <w:tc>
          <w:tcPr>
            <w:tcW w:w="4111" w:type="dxa"/>
            <w:vAlign w:val="center"/>
          </w:tcPr>
          <w:p w14:paraId="2B68FD15">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每月按时上交下月工作计划表以上月工作完成反馈表及其他内业资料。</w:t>
            </w:r>
          </w:p>
        </w:tc>
        <w:tc>
          <w:tcPr>
            <w:tcW w:w="3260" w:type="dxa"/>
            <w:vAlign w:val="center"/>
          </w:tcPr>
          <w:p w14:paraId="2EEEB2ED">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未及时上交工作计划扣0.5-2分。</w:t>
            </w:r>
          </w:p>
        </w:tc>
        <w:tc>
          <w:tcPr>
            <w:tcW w:w="765" w:type="dxa"/>
            <w:vAlign w:val="center"/>
          </w:tcPr>
          <w:p w14:paraId="4A94C26F">
            <w:pPr>
              <w:jc w:val="center"/>
              <w:rPr>
                <w:szCs w:val="22"/>
              </w:rPr>
            </w:pPr>
            <w:r>
              <w:rPr>
                <w:rFonts w:hint="eastAsia"/>
                <w:szCs w:val="22"/>
              </w:rPr>
              <w:t>2</w:t>
            </w:r>
          </w:p>
        </w:tc>
        <w:tc>
          <w:tcPr>
            <w:tcW w:w="251" w:type="dxa"/>
            <w:vAlign w:val="center"/>
          </w:tcPr>
          <w:p w14:paraId="1A5462E4">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24AE5DDA">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027C8247">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D57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2" w:type="dxa"/>
            <w:vAlign w:val="center"/>
          </w:tcPr>
          <w:p w14:paraId="780235D5">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六</w:t>
            </w:r>
          </w:p>
        </w:tc>
        <w:tc>
          <w:tcPr>
            <w:tcW w:w="7371" w:type="dxa"/>
            <w:gridSpan w:val="2"/>
            <w:vAlign w:val="center"/>
          </w:tcPr>
          <w:p w14:paraId="564FA3D8">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总计</w:t>
            </w:r>
          </w:p>
        </w:tc>
        <w:tc>
          <w:tcPr>
            <w:tcW w:w="765" w:type="dxa"/>
            <w:vAlign w:val="center"/>
          </w:tcPr>
          <w:p w14:paraId="656C44DD">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[100]</w:t>
            </w:r>
          </w:p>
        </w:tc>
        <w:tc>
          <w:tcPr>
            <w:tcW w:w="251" w:type="dxa"/>
            <w:vAlign w:val="center"/>
          </w:tcPr>
          <w:p w14:paraId="161C4EA6">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25386A65">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5FFF2237">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4B1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14:paraId="3771A609">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r>
              <w:rPr>
                <w:rFonts w:hint="eastAsia" w:asciiTheme="minorEastAsia" w:hAnsiTheme="minorEastAsia" w:eastAsiaTheme="minorEastAsia" w:cstheme="minorEastAsia"/>
                <w:szCs w:val="21"/>
              </w:rPr>
              <w:t>实际养护内容缺项的，得基本分90分。</w:t>
            </w:r>
          </w:p>
        </w:tc>
      </w:tr>
      <w:tr w14:paraId="0509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720" w:type="dxa"/>
            <w:gridSpan w:val="7"/>
            <w:vAlign w:val="center"/>
          </w:tcPr>
          <w:p w14:paraId="53F6ACC6">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科室负责人:                                  检查人员：                                                                          </w:t>
            </w:r>
          </w:p>
        </w:tc>
      </w:tr>
    </w:tbl>
    <w:p w14:paraId="13BED35B">
      <w:pPr>
        <w:widowControl/>
        <w:jc w:val="left"/>
        <w:rPr>
          <w:rFonts w:asciiTheme="minorEastAsia" w:hAnsiTheme="minorEastAsia" w:eastAsiaTheme="minorEastAsia" w:cstheme="minorEastAsia"/>
          <w:b/>
          <w:bCs/>
          <w:kern w:val="0"/>
          <w:szCs w:val="21"/>
        </w:rPr>
      </w:pPr>
    </w:p>
    <w:p w14:paraId="25717F6E">
      <w:pPr>
        <w:widowControl/>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附件C:</w:t>
      </w:r>
    </w:p>
    <w:tbl>
      <w:tblPr>
        <w:tblStyle w:val="28"/>
        <w:tblW w:w="9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111"/>
        <w:gridCol w:w="3402"/>
        <w:gridCol w:w="567"/>
        <w:gridCol w:w="307"/>
        <w:gridCol w:w="329"/>
        <w:gridCol w:w="422"/>
      </w:tblGrid>
      <w:tr w14:paraId="0D61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14:paraId="5874EE2A">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季度考核表</w:t>
            </w:r>
          </w:p>
        </w:tc>
      </w:tr>
      <w:tr w14:paraId="1290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14:paraId="1EC14F46">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养护地段：                                               考核时间：      年     月     日</w:t>
            </w:r>
          </w:p>
        </w:tc>
      </w:tr>
      <w:tr w14:paraId="3CEB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2" w:type="dxa"/>
            <w:vAlign w:val="center"/>
          </w:tcPr>
          <w:p w14:paraId="50E694E6">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项目</w:t>
            </w:r>
          </w:p>
        </w:tc>
        <w:tc>
          <w:tcPr>
            <w:tcW w:w="4111" w:type="dxa"/>
            <w:vAlign w:val="center"/>
          </w:tcPr>
          <w:p w14:paraId="2460ABDC">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考核标准</w:t>
            </w:r>
          </w:p>
        </w:tc>
        <w:tc>
          <w:tcPr>
            <w:tcW w:w="3402" w:type="dxa"/>
            <w:vAlign w:val="center"/>
          </w:tcPr>
          <w:p w14:paraId="301C4BC0">
            <w:pPr>
              <w:widowControl/>
              <w:ind w:firstLine="422" w:firstLineChars="20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考核评分办法</w:t>
            </w:r>
          </w:p>
        </w:tc>
        <w:tc>
          <w:tcPr>
            <w:tcW w:w="567" w:type="dxa"/>
            <w:vAlign w:val="center"/>
          </w:tcPr>
          <w:p w14:paraId="7559BAF7">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分值</w:t>
            </w:r>
          </w:p>
        </w:tc>
        <w:tc>
          <w:tcPr>
            <w:tcW w:w="307" w:type="dxa"/>
            <w:vAlign w:val="center"/>
          </w:tcPr>
          <w:p w14:paraId="0CAB9292">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扣分</w:t>
            </w:r>
          </w:p>
        </w:tc>
        <w:tc>
          <w:tcPr>
            <w:tcW w:w="329" w:type="dxa"/>
            <w:vAlign w:val="center"/>
          </w:tcPr>
          <w:p w14:paraId="7CC1D0B9">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得分</w:t>
            </w:r>
          </w:p>
        </w:tc>
        <w:tc>
          <w:tcPr>
            <w:tcW w:w="422" w:type="dxa"/>
            <w:vAlign w:val="center"/>
          </w:tcPr>
          <w:p w14:paraId="73B0689D">
            <w:pPr>
              <w:widowControl/>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66F1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28AC59DD">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w:t>
            </w:r>
          </w:p>
        </w:tc>
        <w:tc>
          <w:tcPr>
            <w:tcW w:w="7513" w:type="dxa"/>
            <w:gridSpan w:val="2"/>
            <w:vAlign w:val="center"/>
          </w:tcPr>
          <w:p w14:paraId="0B67A1D0">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绿化养护质量标准</w:t>
            </w:r>
          </w:p>
        </w:tc>
        <w:tc>
          <w:tcPr>
            <w:tcW w:w="567" w:type="dxa"/>
            <w:vAlign w:val="center"/>
          </w:tcPr>
          <w:p w14:paraId="18144B0E">
            <w:pPr>
              <w:jc w:val="center"/>
              <w:rPr>
                <w:szCs w:val="22"/>
              </w:rPr>
            </w:pPr>
            <w:r>
              <w:rPr>
                <w:rFonts w:hint="eastAsia"/>
                <w:b/>
                <w:bCs/>
                <w:szCs w:val="22"/>
              </w:rPr>
              <w:t>[71]</w:t>
            </w:r>
          </w:p>
        </w:tc>
        <w:tc>
          <w:tcPr>
            <w:tcW w:w="307" w:type="dxa"/>
            <w:vAlign w:val="center"/>
          </w:tcPr>
          <w:p w14:paraId="78664280">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2AD7AAEB">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1E2AB7E8">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432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2" w:type="dxa"/>
            <w:vMerge w:val="restart"/>
            <w:vAlign w:val="center"/>
          </w:tcPr>
          <w:p w14:paraId="79BD3C09">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绿化</w:t>
            </w:r>
          </w:p>
          <w:p w14:paraId="09748354">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w:t>
            </w:r>
          </w:p>
        </w:tc>
        <w:tc>
          <w:tcPr>
            <w:tcW w:w="4111" w:type="dxa"/>
            <w:vAlign w:val="center"/>
          </w:tcPr>
          <w:p w14:paraId="28119E61">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1.绿地：绿篱、球类、柱类齐全，高度适宜，无成块缺档，无明显枯枝，无病虫枝。</w:t>
            </w:r>
          </w:p>
        </w:tc>
        <w:tc>
          <w:tcPr>
            <w:tcW w:w="3402" w:type="dxa"/>
            <w:vAlign w:val="center"/>
          </w:tcPr>
          <w:p w14:paraId="33074955">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绿地：修剪不整齐、不到位，绿篱色块不全的，每10平方米扣0.5分；缺档、枯枝、病虫枝每平方米扣0.5分。</w:t>
            </w:r>
          </w:p>
        </w:tc>
        <w:tc>
          <w:tcPr>
            <w:tcW w:w="567" w:type="dxa"/>
            <w:vAlign w:val="center"/>
          </w:tcPr>
          <w:p w14:paraId="678F3CB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307" w:type="dxa"/>
            <w:vAlign w:val="center"/>
          </w:tcPr>
          <w:p w14:paraId="650748E0">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4B57E83E">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4210F8C5">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027F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82" w:type="dxa"/>
            <w:vMerge w:val="continue"/>
            <w:vAlign w:val="center"/>
          </w:tcPr>
          <w:p w14:paraId="480AA742">
            <w:pPr>
              <w:widowControl/>
              <w:spacing w:line="220" w:lineRule="exact"/>
              <w:rPr>
                <w:rFonts w:asciiTheme="minorEastAsia" w:hAnsiTheme="minorEastAsia" w:eastAsiaTheme="minorEastAsia" w:cstheme="minorEastAsia"/>
                <w:b/>
                <w:bCs/>
                <w:kern w:val="0"/>
                <w:szCs w:val="21"/>
              </w:rPr>
            </w:pPr>
          </w:p>
        </w:tc>
        <w:tc>
          <w:tcPr>
            <w:tcW w:w="4111" w:type="dxa"/>
            <w:vAlign w:val="center"/>
          </w:tcPr>
          <w:p w14:paraId="5EF38A12">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2.林带乔木生长姿态良好，无明显枯枝。</w:t>
            </w:r>
          </w:p>
        </w:tc>
        <w:tc>
          <w:tcPr>
            <w:tcW w:w="3402" w:type="dxa"/>
            <w:vAlign w:val="center"/>
          </w:tcPr>
          <w:p w14:paraId="0D72D459">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乔木明显枯枝扣0.5分/株，乔木死株每株扣1分。</w:t>
            </w:r>
          </w:p>
        </w:tc>
        <w:tc>
          <w:tcPr>
            <w:tcW w:w="567" w:type="dxa"/>
            <w:vAlign w:val="center"/>
          </w:tcPr>
          <w:p w14:paraId="680632F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07" w:type="dxa"/>
            <w:vAlign w:val="center"/>
          </w:tcPr>
          <w:p w14:paraId="35564AF5">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0EE81F6E">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31B4F635">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74E5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82" w:type="dxa"/>
            <w:vMerge w:val="continue"/>
            <w:vAlign w:val="center"/>
          </w:tcPr>
          <w:p w14:paraId="7A8BD868">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4FFB11E6">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3.绿地生长良好，草坪平整，高度适宜，无残缺，无杂草长草、残花。</w:t>
            </w:r>
          </w:p>
        </w:tc>
        <w:tc>
          <w:tcPr>
            <w:tcW w:w="3402" w:type="dxa"/>
            <w:vAlign w:val="center"/>
          </w:tcPr>
          <w:p w14:paraId="7AF320AD">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绿地管养不善每100平方米扣1分。</w:t>
            </w:r>
          </w:p>
        </w:tc>
        <w:tc>
          <w:tcPr>
            <w:tcW w:w="567" w:type="dxa"/>
            <w:vAlign w:val="center"/>
          </w:tcPr>
          <w:p w14:paraId="7628999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307" w:type="dxa"/>
            <w:vAlign w:val="center"/>
          </w:tcPr>
          <w:p w14:paraId="0105271B">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1354E8EE">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309B30F5">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384F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14:paraId="0EBC4C30">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05026A6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4.林带杂草高度不得超过20厘米。</w:t>
            </w:r>
          </w:p>
        </w:tc>
        <w:tc>
          <w:tcPr>
            <w:tcW w:w="3402" w:type="dxa"/>
            <w:vAlign w:val="center"/>
          </w:tcPr>
          <w:p w14:paraId="73B72648">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林地管养不善每1000平方米扣1分。</w:t>
            </w:r>
          </w:p>
        </w:tc>
        <w:tc>
          <w:tcPr>
            <w:tcW w:w="567" w:type="dxa"/>
            <w:vAlign w:val="center"/>
          </w:tcPr>
          <w:p w14:paraId="69FB299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07" w:type="dxa"/>
            <w:vAlign w:val="center"/>
          </w:tcPr>
          <w:p w14:paraId="6D004A85">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3A9EC08B">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3C28D0F6">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1B11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2" w:type="dxa"/>
            <w:vMerge w:val="continue"/>
            <w:vAlign w:val="center"/>
          </w:tcPr>
          <w:p w14:paraId="7851795D">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0B1C8DA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5.病虫害防治及时、有效，除虫记录齐全，常见病虫害在5%以下，乔木入冬按规范刷白。定期对林带乔木、花卉、草坪等进行施肥。</w:t>
            </w:r>
          </w:p>
        </w:tc>
        <w:tc>
          <w:tcPr>
            <w:tcW w:w="3402" w:type="dxa"/>
            <w:vAlign w:val="center"/>
          </w:tcPr>
          <w:p w14:paraId="36479695">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造成景观不佳每100平方米扣0.5分，乔木刷白不规范扣0.5-5分，乔木未刷白此项不得分。未定期对林带乔木、花卉、草坪等进行施肥扣0.5-5分。</w:t>
            </w:r>
          </w:p>
        </w:tc>
        <w:tc>
          <w:tcPr>
            <w:tcW w:w="567" w:type="dxa"/>
            <w:vAlign w:val="center"/>
          </w:tcPr>
          <w:p w14:paraId="20E1F7D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307" w:type="dxa"/>
            <w:vAlign w:val="center"/>
          </w:tcPr>
          <w:p w14:paraId="1E4D55DF">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48E7A7CD">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186FE85A">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4102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2" w:type="dxa"/>
            <w:vMerge w:val="continue"/>
            <w:vAlign w:val="center"/>
          </w:tcPr>
          <w:p w14:paraId="3B7086D0">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769B440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6.干旱时积极抗旱，合理安排浇水，浇水记录齐全。新种树成活率95%以上，老树存活率在98%以上。</w:t>
            </w:r>
          </w:p>
        </w:tc>
        <w:tc>
          <w:tcPr>
            <w:tcW w:w="3402" w:type="dxa"/>
            <w:vAlign w:val="center"/>
          </w:tcPr>
          <w:p w14:paraId="6576816F">
            <w:pPr>
              <w:widowControl/>
              <w:spacing w:line="220" w:lineRule="exact"/>
              <w:ind w:right="-153" w:rightChars="-73"/>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因浇水、养护不到位出现长势不良的，色块每10m2扣0.5分，乔木、柱类、球类3株以上（不足3株按3株算）扣0.5分，每增加一株扣0.1分；出现死株情况的，色块每10m2扣1分，乔木、柱类、球类3株以上（不足3株按3株算）扣1分，每增加一株扣1分,直至扣完该项得分。</w:t>
            </w:r>
          </w:p>
        </w:tc>
        <w:tc>
          <w:tcPr>
            <w:tcW w:w="567" w:type="dxa"/>
            <w:vAlign w:val="center"/>
          </w:tcPr>
          <w:p w14:paraId="75F3299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07" w:type="dxa"/>
            <w:vAlign w:val="center"/>
          </w:tcPr>
          <w:p w14:paraId="07C0805B">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7A83D6D9">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48867108">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6F71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82" w:type="dxa"/>
            <w:vMerge w:val="continue"/>
            <w:vAlign w:val="center"/>
          </w:tcPr>
          <w:p w14:paraId="197AAF76">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54C166A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7.绿地乔木、绿篱及时扶正。</w:t>
            </w:r>
          </w:p>
        </w:tc>
        <w:tc>
          <w:tcPr>
            <w:tcW w:w="3402" w:type="dxa"/>
            <w:vAlign w:val="center"/>
          </w:tcPr>
          <w:p w14:paraId="052B45E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乔木未及时扶正每株扣0.5分；绿篱未及时扶正，每平方米扣0.2分。</w:t>
            </w:r>
          </w:p>
        </w:tc>
        <w:tc>
          <w:tcPr>
            <w:tcW w:w="567" w:type="dxa"/>
            <w:vAlign w:val="center"/>
          </w:tcPr>
          <w:p w14:paraId="52F495A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07" w:type="dxa"/>
            <w:vAlign w:val="center"/>
          </w:tcPr>
          <w:p w14:paraId="62939EDA">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329" w:type="dxa"/>
            <w:vAlign w:val="center"/>
          </w:tcPr>
          <w:p w14:paraId="0F474B87">
            <w:pPr>
              <w:widowControl/>
              <w:spacing w:line="220" w:lineRule="exact"/>
              <w:ind w:firstLine="360" w:firstLineChars="200"/>
              <w:jc w:val="left"/>
              <w:rPr>
                <w:rFonts w:asciiTheme="minorEastAsia" w:hAnsiTheme="minorEastAsia" w:eastAsiaTheme="minorEastAsia" w:cstheme="minorEastAsia"/>
                <w:kern w:val="0"/>
                <w:sz w:val="18"/>
                <w:szCs w:val="18"/>
              </w:rPr>
            </w:pPr>
          </w:p>
        </w:tc>
        <w:tc>
          <w:tcPr>
            <w:tcW w:w="422" w:type="dxa"/>
            <w:vAlign w:val="center"/>
          </w:tcPr>
          <w:p w14:paraId="78C87A53">
            <w:pPr>
              <w:widowControl/>
              <w:spacing w:line="220" w:lineRule="exact"/>
              <w:ind w:firstLine="360" w:firstLineChars="200"/>
              <w:jc w:val="left"/>
              <w:rPr>
                <w:rFonts w:asciiTheme="minorEastAsia" w:hAnsiTheme="minorEastAsia" w:eastAsiaTheme="minorEastAsia" w:cstheme="minorEastAsia"/>
                <w:kern w:val="0"/>
                <w:sz w:val="18"/>
                <w:szCs w:val="18"/>
              </w:rPr>
            </w:pPr>
          </w:p>
        </w:tc>
      </w:tr>
      <w:tr w14:paraId="1628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03502003">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058C84DB">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8.林带乔木及时扶正。</w:t>
            </w:r>
          </w:p>
        </w:tc>
        <w:tc>
          <w:tcPr>
            <w:tcW w:w="3402" w:type="dxa"/>
            <w:vAlign w:val="center"/>
          </w:tcPr>
          <w:p w14:paraId="6C9D3D3E">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未及时扶正每株扣0.5分。</w:t>
            </w:r>
          </w:p>
        </w:tc>
        <w:tc>
          <w:tcPr>
            <w:tcW w:w="567" w:type="dxa"/>
            <w:vAlign w:val="center"/>
          </w:tcPr>
          <w:p w14:paraId="69F2E32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07" w:type="dxa"/>
            <w:vAlign w:val="center"/>
          </w:tcPr>
          <w:p w14:paraId="093B83F3">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7B423354">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2CD452FC">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603E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785A620F">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755977A0">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9.绿地乔木修枝、抹芽。</w:t>
            </w:r>
          </w:p>
        </w:tc>
        <w:tc>
          <w:tcPr>
            <w:tcW w:w="3402" w:type="dxa"/>
            <w:vAlign w:val="center"/>
          </w:tcPr>
          <w:p w14:paraId="6C2A6FA2">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未按规定修枝、抹芽，每株扣0.2分。</w:t>
            </w:r>
          </w:p>
        </w:tc>
        <w:tc>
          <w:tcPr>
            <w:tcW w:w="567" w:type="dxa"/>
            <w:vAlign w:val="center"/>
          </w:tcPr>
          <w:p w14:paraId="3D8CCD6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07" w:type="dxa"/>
            <w:vAlign w:val="center"/>
          </w:tcPr>
          <w:p w14:paraId="6DEC4012">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6DE6280E">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22BA8F45">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4E67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58D6E826">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5B5886B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10.林带乔木修枝、抹芽。</w:t>
            </w:r>
          </w:p>
        </w:tc>
        <w:tc>
          <w:tcPr>
            <w:tcW w:w="3402" w:type="dxa"/>
            <w:vAlign w:val="center"/>
          </w:tcPr>
          <w:p w14:paraId="237C4B19">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未按规定修枝、抹芽，每株扣0.2分。</w:t>
            </w:r>
          </w:p>
        </w:tc>
        <w:tc>
          <w:tcPr>
            <w:tcW w:w="567" w:type="dxa"/>
            <w:vAlign w:val="center"/>
          </w:tcPr>
          <w:p w14:paraId="28FE8ED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07" w:type="dxa"/>
            <w:vAlign w:val="center"/>
          </w:tcPr>
          <w:p w14:paraId="4FD88CCD">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329" w:type="dxa"/>
            <w:vAlign w:val="center"/>
          </w:tcPr>
          <w:p w14:paraId="0870D064">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422" w:type="dxa"/>
            <w:vAlign w:val="center"/>
          </w:tcPr>
          <w:p w14:paraId="06DB5BFE">
            <w:pPr>
              <w:widowControl/>
              <w:spacing w:line="220" w:lineRule="exact"/>
              <w:ind w:firstLine="360" w:firstLineChars="20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14:paraId="310B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4EF0F7B7">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w:t>
            </w:r>
          </w:p>
        </w:tc>
        <w:tc>
          <w:tcPr>
            <w:tcW w:w="7513" w:type="dxa"/>
            <w:gridSpan w:val="2"/>
            <w:vAlign w:val="center"/>
          </w:tcPr>
          <w:p w14:paraId="1AFF9316">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清卫标准</w:t>
            </w:r>
          </w:p>
        </w:tc>
        <w:tc>
          <w:tcPr>
            <w:tcW w:w="567" w:type="dxa"/>
            <w:vAlign w:val="center"/>
          </w:tcPr>
          <w:p w14:paraId="7B7E5F6C">
            <w:pPr>
              <w:jc w:val="center"/>
              <w:rPr>
                <w:szCs w:val="22"/>
              </w:rPr>
            </w:pPr>
            <w:r>
              <w:rPr>
                <w:rFonts w:hint="eastAsia"/>
                <w:b/>
                <w:bCs/>
                <w:szCs w:val="22"/>
              </w:rPr>
              <w:t>[15]</w:t>
            </w:r>
          </w:p>
        </w:tc>
        <w:tc>
          <w:tcPr>
            <w:tcW w:w="307" w:type="dxa"/>
            <w:vAlign w:val="center"/>
          </w:tcPr>
          <w:p w14:paraId="6CBE3D78">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5F954B19">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21C0225">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BDE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2" w:type="dxa"/>
            <w:vAlign w:val="center"/>
          </w:tcPr>
          <w:p w14:paraId="31412B0D">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日常</w:t>
            </w:r>
          </w:p>
          <w:p w14:paraId="5661B153">
            <w:pPr>
              <w:widowControl/>
              <w:spacing w:line="2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保洁</w:t>
            </w:r>
          </w:p>
        </w:tc>
        <w:tc>
          <w:tcPr>
            <w:tcW w:w="4111" w:type="dxa"/>
            <w:vAlign w:val="center"/>
          </w:tcPr>
          <w:p w14:paraId="1806ED6C">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林带绿地乔木整齐、无绑扎物、无挂物架线、无堆积物</w:t>
            </w:r>
            <w:r>
              <w:rPr>
                <w:rFonts w:hint="eastAsia" w:asciiTheme="minorEastAsia" w:hAnsiTheme="minorEastAsia" w:eastAsiaTheme="minorEastAsia" w:cstheme="minorEastAsia"/>
                <w:kern w:val="0"/>
                <w:sz w:val="18"/>
                <w:szCs w:val="18"/>
                <w:lang w:eastAsia="zh-CN"/>
              </w:rPr>
              <w:t>、无农作物</w:t>
            </w:r>
            <w:r>
              <w:rPr>
                <w:rFonts w:hint="eastAsia" w:asciiTheme="minorEastAsia" w:hAnsiTheme="minorEastAsia" w:eastAsiaTheme="minorEastAsia" w:cstheme="minorEastAsia"/>
                <w:kern w:val="0"/>
                <w:sz w:val="18"/>
                <w:szCs w:val="18"/>
              </w:rPr>
              <w:t>等现象；林带绿地环境整洁、不乱倒乱放废弃物，无白色污染等现象。</w:t>
            </w:r>
          </w:p>
        </w:tc>
        <w:tc>
          <w:tcPr>
            <w:tcW w:w="3402" w:type="dxa"/>
            <w:vAlign w:val="center"/>
          </w:tcPr>
          <w:p w14:paraId="12506559">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发现绑扎、挂物、架线一处扣0.5分；发现乱倒乱放废弃物、白色污染现象的每处扣1分。</w:t>
            </w:r>
          </w:p>
        </w:tc>
        <w:tc>
          <w:tcPr>
            <w:tcW w:w="567" w:type="dxa"/>
            <w:vAlign w:val="center"/>
          </w:tcPr>
          <w:p w14:paraId="6FAD28E4">
            <w:pPr>
              <w:jc w:val="center"/>
              <w:rPr>
                <w:szCs w:val="22"/>
              </w:rPr>
            </w:pPr>
            <w:r>
              <w:rPr>
                <w:rFonts w:hint="eastAsia"/>
                <w:szCs w:val="22"/>
              </w:rPr>
              <w:t>15</w:t>
            </w:r>
          </w:p>
        </w:tc>
        <w:tc>
          <w:tcPr>
            <w:tcW w:w="307" w:type="dxa"/>
            <w:vAlign w:val="center"/>
          </w:tcPr>
          <w:p w14:paraId="5AFF1EFD">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70AAA519">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213CAE4">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6E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512A96A8">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w:t>
            </w:r>
          </w:p>
        </w:tc>
        <w:tc>
          <w:tcPr>
            <w:tcW w:w="7513" w:type="dxa"/>
            <w:gridSpan w:val="2"/>
            <w:vAlign w:val="center"/>
          </w:tcPr>
          <w:p w14:paraId="046C1C31">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安全环保</w:t>
            </w:r>
          </w:p>
        </w:tc>
        <w:tc>
          <w:tcPr>
            <w:tcW w:w="567" w:type="dxa"/>
            <w:vAlign w:val="center"/>
          </w:tcPr>
          <w:p w14:paraId="7457B521">
            <w:pPr>
              <w:jc w:val="center"/>
              <w:rPr>
                <w:szCs w:val="22"/>
              </w:rPr>
            </w:pPr>
            <w:r>
              <w:rPr>
                <w:rFonts w:hint="eastAsia"/>
                <w:b/>
                <w:bCs/>
                <w:szCs w:val="22"/>
              </w:rPr>
              <w:t>[7]</w:t>
            </w:r>
          </w:p>
        </w:tc>
        <w:tc>
          <w:tcPr>
            <w:tcW w:w="307" w:type="dxa"/>
            <w:vAlign w:val="center"/>
          </w:tcPr>
          <w:p w14:paraId="0D58ACF8">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57056BCD">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2A725C37">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4E2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Merge w:val="restart"/>
            <w:vAlign w:val="center"/>
          </w:tcPr>
          <w:p w14:paraId="5D9880F7">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安全</w:t>
            </w:r>
          </w:p>
          <w:p w14:paraId="107F03FB">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作业</w:t>
            </w:r>
          </w:p>
        </w:tc>
        <w:tc>
          <w:tcPr>
            <w:tcW w:w="4111" w:type="dxa"/>
            <w:vAlign w:val="center"/>
          </w:tcPr>
          <w:p w14:paraId="50D41545">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1布设规范，安全设施齐全，施工人员着装规范，交通组织有序，现场无安全隐患，机械设备安全整洁。</w:t>
            </w:r>
          </w:p>
        </w:tc>
        <w:tc>
          <w:tcPr>
            <w:tcW w:w="3402" w:type="dxa"/>
            <w:vAlign w:val="center"/>
          </w:tcPr>
          <w:p w14:paraId="7453BC36">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作业时未严格遵守安全作业规程的，发现扣0.5-1分/次。</w:t>
            </w:r>
          </w:p>
        </w:tc>
        <w:tc>
          <w:tcPr>
            <w:tcW w:w="567" w:type="dxa"/>
            <w:vAlign w:val="center"/>
          </w:tcPr>
          <w:p w14:paraId="37E1EE82">
            <w:pPr>
              <w:jc w:val="center"/>
              <w:rPr>
                <w:szCs w:val="22"/>
              </w:rPr>
            </w:pPr>
            <w:r>
              <w:rPr>
                <w:rFonts w:hint="eastAsia"/>
                <w:szCs w:val="22"/>
              </w:rPr>
              <w:t>5</w:t>
            </w:r>
          </w:p>
        </w:tc>
        <w:tc>
          <w:tcPr>
            <w:tcW w:w="307" w:type="dxa"/>
            <w:vAlign w:val="center"/>
          </w:tcPr>
          <w:p w14:paraId="3FC5ACAF">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6FA85763">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747EEB29">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4B1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2" w:type="dxa"/>
            <w:vMerge w:val="continue"/>
            <w:vAlign w:val="center"/>
          </w:tcPr>
          <w:p w14:paraId="171539B1">
            <w:pPr>
              <w:widowControl/>
              <w:spacing w:line="220" w:lineRule="exact"/>
              <w:ind w:firstLine="422" w:firstLineChars="200"/>
              <w:jc w:val="left"/>
              <w:rPr>
                <w:rFonts w:asciiTheme="minorEastAsia" w:hAnsiTheme="minorEastAsia" w:eastAsiaTheme="minorEastAsia" w:cstheme="minorEastAsia"/>
                <w:b/>
                <w:bCs/>
                <w:kern w:val="0"/>
                <w:szCs w:val="21"/>
              </w:rPr>
            </w:pPr>
          </w:p>
        </w:tc>
        <w:tc>
          <w:tcPr>
            <w:tcW w:w="4111" w:type="dxa"/>
            <w:vAlign w:val="center"/>
          </w:tcPr>
          <w:p w14:paraId="30643C63">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2.防火、抗台、抗旱及预防各类自然灾害措施得力。</w:t>
            </w:r>
          </w:p>
        </w:tc>
        <w:tc>
          <w:tcPr>
            <w:tcW w:w="3402" w:type="dxa"/>
            <w:vAlign w:val="center"/>
          </w:tcPr>
          <w:p w14:paraId="4957C035">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预防各类自然灾害措施不力扣0.5-1分/次。</w:t>
            </w:r>
          </w:p>
        </w:tc>
        <w:tc>
          <w:tcPr>
            <w:tcW w:w="567" w:type="dxa"/>
            <w:vAlign w:val="center"/>
          </w:tcPr>
          <w:p w14:paraId="5DDA3EB7">
            <w:pPr>
              <w:jc w:val="center"/>
              <w:rPr>
                <w:szCs w:val="22"/>
              </w:rPr>
            </w:pPr>
            <w:r>
              <w:rPr>
                <w:rFonts w:hint="eastAsia"/>
                <w:szCs w:val="22"/>
              </w:rPr>
              <w:t>2</w:t>
            </w:r>
          </w:p>
        </w:tc>
        <w:tc>
          <w:tcPr>
            <w:tcW w:w="307" w:type="dxa"/>
            <w:vAlign w:val="center"/>
          </w:tcPr>
          <w:p w14:paraId="708931E1">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335D8F6F">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28FD9FE0">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F02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5D7577A1">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w:t>
            </w:r>
          </w:p>
        </w:tc>
        <w:tc>
          <w:tcPr>
            <w:tcW w:w="7513" w:type="dxa"/>
            <w:gridSpan w:val="2"/>
            <w:vAlign w:val="center"/>
          </w:tcPr>
          <w:p w14:paraId="3280C600">
            <w:pPr>
              <w:widowControl/>
              <w:spacing w:line="220" w:lineRule="exact"/>
              <w:ind w:firstLine="422"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养护管理</w:t>
            </w:r>
          </w:p>
        </w:tc>
        <w:tc>
          <w:tcPr>
            <w:tcW w:w="567" w:type="dxa"/>
            <w:vAlign w:val="center"/>
          </w:tcPr>
          <w:p w14:paraId="7FCA2619">
            <w:pPr>
              <w:jc w:val="center"/>
              <w:rPr>
                <w:szCs w:val="22"/>
              </w:rPr>
            </w:pPr>
            <w:r>
              <w:rPr>
                <w:rFonts w:hint="eastAsia"/>
                <w:b/>
                <w:bCs/>
                <w:szCs w:val="22"/>
              </w:rPr>
              <w:t>[5]</w:t>
            </w:r>
          </w:p>
        </w:tc>
        <w:tc>
          <w:tcPr>
            <w:tcW w:w="307" w:type="dxa"/>
            <w:vAlign w:val="center"/>
          </w:tcPr>
          <w:p w14:paraId="7B6BF8EB">
            <w:pPr>
              <w:widowControl/>
              <w:spacing w:line="220" w:lineRule="exact"/>
              <w:ind w:firstLine="420" w:firstLineChars="200"/>
              <w:jc w:val="left"/>
              <w:rPr>
                <w:rFonts w:asciiTheme="minorEastAsia" w:hAnsiTheme="minorEastAsia" w:eastAsiaTheme="minorEastAsia" w:cstheme="minorEastAsia"/>
                <w:kern w:val="0"/>
                <w:szCs w:val="21"/>
              </w:rPr>
            </w:pPr>
          </w:p>
        </w:tc>
        <w:tc>
          <w:tcPr>
            <w:tcW w:w="329" w:type="dxa"/>
            <w:vAlign w:val="center"/>
          </w:tcPr>
          <w:p w14:paraId="506C4CA4">
            <w:pPr>
              <w:widowControl/>
              <w:spacing w:line="220" w:lineRule="exact"/>
              <w:ind w:firstLine="420" w:firstLineChars="200"/>
              <w:jc w:val="left"/>
              <w:rPr>
                <w:rFonts w:asciiTheme="minorEastAsia" w:hAnsiTheme="minorEastAsia" w:eastAsiaTheme="minorEastAsia" w:cstheme="minorEastAsia"/>
                <w:kern w:val="0"/>
                <w:szCs w:val="21"/>
              </w:rPr>
            </w:pPr>
          </w:p>
        </w:tc>
        <w:tc>
          <w:tcPr>
            <w:tcW w:w="422" w:type="dxa"/>
            <w:vAlign w:val="center"/>
          </w:tcPr>
          <w:p w14:paraId="029C5700">
            <w:pPr>
              <w:widowControl/>
              <w:spacing w:line="220" w:lineRule="exact"/>
              <w:ind w:firstLine="420" w:firstLineChars="200"/>
              <w:jc w:val="left"/>
              <w:rPr>
                <w:rFonts w:asciiTheme="minorEastAsia" w:hAnsiTheme="minorEastAsia" w:eastAsiaTheme="minorEastAsia" w:cstheme="minorEastAsia"/>
                <w:kern w:val="0"/>
                <w:szCs w:val="21"/>
              </w:rPr>
            </w:pPr>
          </w:p>
        </w:tc>
      </w:tr>
      <w:tr w14:paraId="4771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2" w:type="dxa"/>
            <w:vAlign w:val="center"/>
          </w:tcPr>
          <w:p w14:paraId="2DBA99D5">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养护</w:t>
            </w:r>
          </w:p>
          <w:p w14:paraId="132351E3">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管理</w:t>
            </w:r>
          </w:p>
        </w:tc>
        <w:tc>
          <w:tcPr>
            <w:tcW w:w="4111" w:type="dxa"/>
            <w:vAlign w:val="center"/>
          </w:tcPr>
          <w:p w14:paraId="1F2951CD">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日常养护措施得力，管理有方；对交办的指令性、突发性、临时性任务完成情况及时得力。</w:t>
            </w:r>
          </w:p>
        </w:tc>
        <w:tc>
          <w:tcPr>
            <w:tcW w:w="3402" w:type="dxa"/>
            <w:vAlign w:val="center"/>
          </w:tcPr>
          <w:p w14:paraId="3ECE322A">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未按规定日常保养，未及时完成任务的扣0.5-5分。</w:t>
            </w:r>
          </w:p>
        </w:tc>
        <w:tc>
          <w:tcPr>
            <w:tcW w:w="567" w:type="dxa"/>
            <w:vAlign w:val="center"/>
          </w:tcPr>
          <w:p w14:paraId="6B12E4CB">
            <w:pPr>
              <w:jc w:val="center"/>
              <w:rPr>
                <w:szCs w:val="22"/>
              </w:rPr>
            </w:pPr>
            <w:r>
              <w:rPr>
                <w:rFonts w:hint="eastAsia"/>
                <w:szCs w:val="22"/>
              </w:rPr>
              <w:t>5</w:t>
            </w:r>
          </w:p>
        </w:tc>
        <w:tc>
          <w:tcPr>
            <w:tcW w:w="307" w:type="dxa"/>
            <w:vAlign w:val="center"/>
          </w:tcPr>
          <w:p w14:paraId="0E4341FE">
            <w:pPr>
              <w:widowControl/>
              <w:spacing w:line="220" w:lineRule="exact"/>
              <w:ind w:firstLine="420" w:firstLineChars="200"/>
              <w:jc w:val="left"/>
              <w:rPr>
                <w:rFonts w:asciiTheme="minorEastAsia" w:hAnsiTheme="minorEastAsia" w:eastAsiaTheme="minorEastAsia" w:cstheme="minorEastAsia"/>
                <w:kern w:val="0"/>
                <w:szCs w:val="21"/>
              </w:rPr>
            </w:pPr>
          </w:p>
        </w:tc>
        <w:tc>
          <w:tcPr>
            <w:tcW w:w="329" w:type="dxa"/>
            <w:vAlign w:val="center"/>
          </w:tcPr>
          <w:p w14:paraId="2FD15DCB">
            <w:pPr>
              <w:widowControl/>
              <w:spacing w:line="220" w:lineRule="exact"/>
              <w:ind w:firstLine="420" w:firstLineChars="200"/>
              <w:jc w:val="left"/>
              <w:rPr>
                <w:rFonts w:asciiTheme="minorEastAsia" w:hAnsiTheme="minorEastAsia" w:eastAsiaTheme="minorEastAsia" w:cstheme="minorEastAsia"/>
                <w:kern w:val="0"/>
                <w:szCs w:val="21"/>
              </w:rPr>
            </w:pPr>
          </w:p>
        </w:tc>
        <w:tc>
          <w:tcPr>
            <w:tcW w:w="422" w:type="dxa"/>
            <w:vAlign w:val="center"/>
          </w:tcPr>
          <w:p w14:paraId="1107D586">
            <w:pPr>
              <w:widowControl/>
              <w:spacing w:line="220" w:lineRule="exact"/>
              <w:ind w:firstLine="420" w:firstLineChars="200"/>
              <w:jc w:val="left"/>
              <w:rPr>
                <w:rFonts w:asciiTheme="minorEastAsia" w:hAnsiTheme="minorEastAsia" w:eastAsiaTheme="minorEastAsia" w:cstheme="minorEastAsia"/>
                <w:kern w:val="0"/>
                <w:szCs w:val="21"/>
              </w:rPr>
            </w:pPr>
          </w:p>
        </w:tc>
      </w:tr>
      <w:tr w14:paraId="2D39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82" w:type="dxa"/>
            <w:vAlign w:val="center"/>
          </w:tcPr>
          <w:p w14:paraId="76A3ED3B">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w:t>
            </w:r>
          </w:p>
        </w:tc>
        <w:tc>
          <w:tcPr>
            <w:tcW w:w="7513" w:type="dxa"/>
            <w:gridSpan w:val="2"/>
            <w:vAlign w:val="center"/>
          </w:tcPr>
          <w:p w14:paraId="41CE2E0E">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内业资料</w:t>
            </w:r>
          </w:p>
        </w:tc>
        <w:tc>
          <w:tcPr>
            <w:tcW w:w="567" w:type="dxa"/>
            <w:vAlign w:val="center"/>
          </w:tcPr>
          <w:p w14:paraId="4C3197E6">
            <w:pPr>
              <w:jc w:val="center"/>
              <w:rPr>
                <w:szCs w:val="22"/>
              </w:rPr>
            </w:pPr>
            <w:r>
              <w:rPr>
                <w:rFonts w:hint="eastAsia"/>
                <w:b/>
                <w:bCs/>
                <w:szCs w:val="22"/>
              </w:rPr>
              <w:t>[2]</w:t>
            </w:r>
          </w:p>
        </w:tc>
        <w:tc>
          <w:tcPr>
            <w:tcW w:w="307" w:type="dxa"/>
            <w:vAlign w:val="center"/>
          </w:tcPr>
          <w:p w14:paraId="66C5DF42">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6C0A71F5">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1AB1B0B4">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CDF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82" w:type="dxa"/>
            <w:vAlign w:val="center"/>
          </w:tcPr>
          <w:p w14:paraId="401BDD31">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文明</w:t>
            </w:r>
          </w:p>
          <w:p w14:paraId="547B37AF">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作业</w:t>
            </w:r>
          </w:p>
        </w:tc>
        <w:tc>
          <w:tcPr>
            <w:tcW w:w="4111" w:type="dxa"/>
            <w:vAlign w:val="center"/>
          </w:tcPr>
          <w:p w14:paraId="48CE7B94">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每月按时上交下月工作计划表以上月工作完成反馈表及其他内业资料。</w:t>
            </w:r>
          </w:p>
        </w:tc>
        <w:tc>
          <w:tcPr>
            <w:tcW w:w="3402" w:type="dxa"/>
            <w:vAlign w:val="center"/>
          </w:tcPr>
          <w:p w14:paraId="4203F39E">
            <w:pPr>
              <w:widowControl/>
              <w:spacing w:line="22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未及时上交工作计划扣0.5-2分。</w:t>
            </w:r>
          </w:p>
        </w:tc>
        <w:tc>
          <w:tcPr>
            <w:tcW w:w="567" w:type="dxa"/>
            <w:vAlign w:val="center"/>
          </w:tcPr>
          <w:p w14:paraId="22684B83">
            <w:pPr>
              <w:jc w:val="center"/>
              <w:rPr>
                <w:szCs w:val="22"/>
              </w:rPr>
            </w:pPr>
            <w:r>
              <w:rPr>
                <w:rFonts w:hint="eastAsia"/>
                <w:szCs w:val="22"/>
              </w:rPr>
              <w:t>2</w:t>
            </w:r>
          </w:p>
        </w:tc>
        <w:tc>
          <w:tcPr>
            <w:tcW w:w="307" w:type="dxa"/>
            <w:vAlign w:val="center"/>
          </w:tcPr>
          <w:p w14:paraId="150BEDD6">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456F7D48">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07E98921">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EDA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2" w:type="dxa"/>
            <w:vAlign w:val="center"/>
          </w:tcPr>
          <w:p w14:paraId="130C38A8">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六</w:t>
            </w:r>
          </w:p>
        </w:tc>
        <w:tc>
          <w:tcPr>
            <w:tcW w:w="7513" w:type="dxa"/>
            <w:gridSpan w:val="2"/>
            <w:vAlign w:val="center"/>
          </w:tcPr>
          <w:p w14:paraId="734F9DF9">
            <w:pPr>
              <w:widowControl/>
              <w:spacing w:line="22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总计</w:t>
            </w:r>
          </w:p>
        </w:tc>
        <w:tc>
          <w:tcPr>
            <w:tcW w:w="567" w:type="dxa"/>
            <w:vAlign w:val="center"/>
          </w:tcPr>
          <w:p w14:paraId="1364A172">
            <w:pPr>
              <w:widowControl/>
              <w:spacing w:line="220" w:lineRule="exac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[100]</w:t>
            </w:r>
          </w:p>
        </w:tc>
        <w:tc>
          <w:tcPr>
            <w:tcW w:w="307" w:type="dxa"/>
            <w:vAlign w:val="center"/>
          </w:tcPr>
          <w:p w14:paraId="50EE58BE">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29" w:type="dxa"/>
            <w:vAlign w:val="center"/>
          </w:tcPr>
          <w:p w14:paraId="4D7D5647">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422" w:type="dxa"/>
            <w:vAlign w:val="center"/>
          </w:tcPr>
          <w:p w14:paraId="5D2F389E">
            <w:pPr>
              <w:widowControl/>
              <w:spacing w:line="22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E42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7"/>
            <w:vAlign w:val="center"/>
          </w:tcPr>
          <w:p w14:paraId="5BB9591D">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r>
              <w:rPr>
                <w:rFonts w:hint="eastAsia" w:asciiTheme="minorEastAsia" w:hAnsiTheme="minorEastAsia" w:eastAsiaTheme="minorEastAsia" w:cstheme="minorEastAsia"/>
                <w:szCs w:val="21"/>
              </w:rPr>
              <w:t>实际养护内容缺项的，得基本分90分。</w:t>
            </w:r>
          </w:p>
        </w:tc>
      </w:tr>
      <w:tr w14:paraId="0073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720" w:type="dxa"/>
            <w:gridSpan w:val="7"/>
            <w:vAlign w:val="center"/>
          </w:tcPr>
          <w:p w14:paraId="43B4223C">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科室负责人:                                  检查人员：                                                                          </w:t>
            </w:r>
          </w:p>
        </w:tc>
      </w:tr>
    </w:tbl>
    <w:p w14:paraId="6FFDCC63">
      <w:pPr>
        <w:widowControl/>
        <w:jc w:val="left"/>
        <w:rPr>
          <w:rFonts w:asciiTheme="minorEastAsia" w:hAnsiTheme="minorEastAsia" w:eastAsiaTheme="minorEastAsia" w:cstheme="minorEastAsia"/>
          <w:b/>
          <w:bCs/>
          <w:kern w:val="0"/>
          <w:szCs w:val="21"/>
        </w:rPr>
        <w:sectPr>
          <w:headerReference r:id="rId11" w:type="default"/>
          <w:footerReference r:id="rId12" w:type="default"/>
          <w:pgSz w:w="11907" w:h="16840"/>
          <w:pgMar w:top="1247" w:right="1843" w:bottom="1304" w:left="1531" w:header="426" w:footer="708" w:gutter="0"/>
          <w:pgNumType w:start="1"/>
          <w:cols w:space="720" w:num="1"/>
          <w:docGrid w:linePitch="286" w:charSpace="0"/>
        </w:sectPr>
      </w:pPr>
    </w:p>
    <w:p w14:paraId="1703DACC">
      <w:pPr>
        <w:widowControl/>
        <w:jc w:val="left"/>
        <w:rPr>
          <w:rFonts w:asciiTheme="minorEastAsia" w:hAnsiTheme="minorEastAsia" w:eastAsiaTheme="minorEastAsia" w:cstheme="minorEastAsia"/>
          <w:b/>
          <w:kern w:val="0"/>
          <w:szCs w:val="21"/>
        </w:rPr>
      </w:pPr>
      <w:r>
        <w:rPr>
          <w:rFonts w:asciiTheme="minorEastAsia" w:hAnsiTheme="minorEastAsia" w:eastAsiaTheme="minorEastAsia" w:cstheme="minorEastAsia"/>
          <w:b/>
          <w:kern w:val="0"/>
          <w:szCs w:val="21"/>
        </w:rPr>
        <w:t>附表</w:t>
      </w:r>
    </w:p>
    <w:p w14:paraId="3959A7F5">
      <w:pPr>
        <w:widowControl/>
        <w:jc w:val="center"/>
      </w:pPr>
      <w:r>
        <w:rPr>
          <w:rFonts w:hint="eastAsia" w:ascii="宋体" w:hAnsi="宋体" w:cs="宋体"/>
          <w:szCs w:val="21"/>
        </w:rPr>
        <w:t>★</w:t>
      </w:r>
      <w:r>
        <w:rPr>
          <w:rFonts w:hint="eastAsia" w:asciiTheme="minorEastAsia" w:hAnsiTheme="minorEastAsia" w:eastAsiaTheme="minorEastAsia" w:cstheme="minorEastAsia"/>
          <w:b/>
          <w:kern w:val="0"/>
          <w:szCs w:val="21"/>
        </w:rPr>
        <w:t>人员、施肥、水泵及洒水车最低配置标准</w:t>
      </w:r>
    </w:p>
    <w:tbl>
      <w:tblPr>
        <w:tblStyle w:val="28"/>
        <w:tblW w:w="14148" w:type="dxa"/>
        <w:tblInd w:w="93" w:type="dxa"/>
        <w:tblLayout w:type="fixed"/>
        <w:tblCellMar>
          <w:top w:w="0" w:type="dxa"/>
          <w:left w:w="108" w:type="dxa"/>
          <w:bottom w:w="0" w:type="dxa"/>
          <w:right w:w="108" w:type="dxa"/>
        </w:tblCellMar>
      </w:tblPr>
      <w:tblGrid>
        <w:gridCol w:w="724"/>
        <w:gridCol w:w="3874"/>
        <w:gridCol w:w="950"/>
        <w:gridCol w:w="1117"/>
        <w:gridCol w:w="1200"/>
        <w:gridCol w:w="1150"/>
        <w:gridCol w:w="945"/>
        <w:gridCol w:w="1262"/>
        <w:gridCol w:w="1157"/>
        <w:gridCol w:w="857"/>
        <w:gridCol w:w="912"/>
      </w:tblGrid>
      <w:tr w14:paraId="689E29FD">
        <w:tblPrEx>
          <w:tblCellMar>
            <w:top w:w="0" w:type="dxa"/>
            <w:left w:w="108" w:type="dxa"/>
            <w:bottom w:w="0" w:type="dxa"/>
            <w:right w:w="108" w:type="dxa"/>
          </w:tblCellMar>
        </w:tblPrEx>
        <w:trPr>
          <w:trHeight w:val="834" w:hRule="exact"/>
        </w:trPr>
        <w:tc>
          <w:tcPr>
            <w:tcW w:w="724" w:type="dxa"/>
            <w:tcBorders>
              <w:top w:val="single" w:color="auto" w:sz="4" w:space="0"/>
              <w:left w:val="single" w:color="auto" w:sz="4" w:space="0"/>
              <w:bottom w:val="single" w:color="auto" w:sz="4" w:space="0"/>
              <w:right w:val="single" w:color="auto" w:sz="4" w:space="0"/>
            </w:tcBorders>
            <w:vAlign w:val="center"/>
          </w:tcPr>
          <w:p w14:paraId="1D85C07B">
            <w:pPr>
              <w:widowControl/>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3874" w:type="dxa"/>
            <w:tcBorders>
              <w:top w:val="single" w:color="auto" w:sz="4" w:space="0"/>
              <w:left w:val="nil"/>
              <w:bottom w:val="single" w:color="auto" w:sz="4" w:space="0"/>
              <w:right w:val="single" w:color="auto" w:sz="4" w:space="0"/>
            </w:tcBorders>
            <w:vAlign w:val="center"/>
          </w:tcPr>
          <w:p w14:paraId="76D4EB81">
            <w:pPr>
              <w:widowControl/>
              <w:ind w:firstLine="422" w:firstLineChars="20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养护范围</w:t>
            </w:r>
          </w:p>
        </w:tc>
        <w:tc>
          <w:tcPr>
            <w:tcW w:w="950" w:type="dxa"/>
            <w:tcBorders>
              <w:top w:val="single" w:color="auto" w:sz="4" w:space="0"/>
              <w:left w:val="nil"/>
              <w:bottom w:val="single" w:color="auto" w:sz="4" w:space="0"/>
              <w:right w:val="single" w:color="auto" w:sz="4" w:space="0"/>
            </w:tcBorders>
            <w:vAlign w:val="center"/>
          </w:tcPr>
          <w:p w14:paraId="6DA0EA78">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里程(KM)</w:t>
            </w:r>
          </w:p>
        </w:tc>
        <w:tc>
          <w:tcPr>
            <w:tcW w:w="1117" w:type="dxa"/>
            <w:tcBorders>
              <w:top w:val="single" w:color="auto" w:sz="4" w:space="0"/>
              <w:left w:val="single" w:color="auto" w:sz="4" w:space="0"/>
              <w:bottom w:val="single" w:color="auto" w:sz="4" w:space="0"/>
              <w:right w:val="single" w:color="auto" w:sz="4" w:space="0"/>
            </w:tcBorders>
            <w:vAlign w:val="center"/>
          </w:tcPr>
          <w:p w14:paraId="42376CC2">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绿地面积（M</w:t>
            </w:r>
            <w:r>
              <w:rPr>
                <w:rFonts w:hint="eastAsia" w:asciiTheme="minorEastAsia" w:hAnsiTheme="minorEastAsia" w:eastAsiaTheme="minorEastAsia" w:cstheme="minorEastAsia"/>
                <w:b/>
                <w:kern w:val="0"/>
                <w:szCs w:val="21"/>
                <w:vertAlign w:val="superscript"/>
              </w:rPr>
              <w:t>2</w:t>
            </w:r>
            <w:r>
              <w:rPr>
                <w:rFonts w:hint="eastAsia" w:asciiTheme="minorEastAsia" w:hAnsiTheme="minorEastAsia" w:eastAsiaTheme="minorEastAsia" w:cstheme="minorEastAsia"/>
                <w:b/>
                <w:kern w:val="0"/>
                <w:szCs w:val="21"/>
              </w:rPr>
              <w:t>）</w:t>
            </w:r>
          </w:p>
        </w:tc>
        <w:tc>
          <w:tcPr>
            <w:tcW w:w="1200" w:type="dxa"/>
            <w:tcBorders>
              <w:top w:val="single" w:color="auto" w:sz="4" w:space="0"/>
              <w:left w:val="single" w:color="auto" w:sz="4" w:space="0"/>
              <w:bottom w:val="single" w:color="auto" w:sz="4" w:space="0"/>
              <w:right w:val="single" w:color="auto" w:sz="4" w:space="0"/>
            </w:tcBorders>
            <w:vAlign w:val="center"/>
          </w:tcPr>
          <w:p w14:paraId="3166E16A">
            <w:pPr>
              <w:widowControl/>
              <w:jc w:val="center"/>
              <w:rPr>
                <w:rFonts w:asciiTheme="minorEastAsia" w:hAnsiTheme="minorEastAsia" w:eastAsiaTheme="minorEastAsia" w:cstheme="minorEastAsia"/>
                <w:b/>
                <w:kern w:val="0"/>
                <w:szCs w:val="21"/>
              </w:rPr>
            </w:pPr>
            <w:r>
              <w:rPr>
                <w:rFonts w:asciiTheme="minorEastAsia" w:hAnsiTheme="minorEastAsia" w:eastAsiaTheme="minorEastAsia" w:cstheme="minorEastAsia"/>
                <w:b/>
                <w:kern w:val="0"/>
                <w:szCs w:val="21"/>
              </w:rPr>
              <w:t>林带面积</w:t>
            </w:r>
            <w:r>
              <w:rPr>
                <w:rFonts w:hint="eastAsia" w:asciiTheme="minorEastAsia" w:hAnsiTheme="minorEastAsia" w:eastAsiaTheme="minorEastAsia" w:cstheme="minorEastAsia"/>
                <w:b/>
                <w:kern w:val="0"/>
                <w:szCs w:val="21"/>
              </w:rPr>
              <w:t>（M</w:t>
            </w:r>
            <w:r>
              <w:rPr>
                <w:rFonts w:hint="eastAsia" w:asciiTheme="minorEastAsia" w:hAnsiTheme="minorEastAsia" w:eastAsiaTheme="minorEastAsia" w:cstheme="minorEastAsia"/>
                <w:b/>
                <w:kern w:val="0"/>
                <w:szCs w:val="21"/>
                <w:vertAlign w:val="superscript"/>
              </w:rPr>
              <w:t>2</w:t>
            </w:r>
            <w:r>
              <w:rPr>
                <w:rFonts w:hint="eastAsia" w:asciiTheme="minorEastAsia" w:hAnsiTheme="minorEastAsia" w:eastAsiaTheme="minorEastAsia" w:cstheme="minorEastAsia"/>
                <w:b/>
                <w:kern w:val="0"/>
                <w:szCs w:val="21"/>
              </w:rPr>
              <w:t>）</w:t>
            </w:r>
          </w:p>
        </w:tc>
        <w:tc>
          <w:tcPr>
            <w:tcW w:w="1150" w:type="dxa"/>
            <w:tcBorders>
              <w:top w:val="single" w:color="auto" w:sz="4" w:space="0"/>
              <w:left w:val="single" w:color="auto" w:sz="4" w:space="0"/>
              <w:bottom w:val="single" w:color="auto" w:sz="4" w:space="0"/>
              <w:right w:val="single" w:color="auto" w:sz="4" w:space="0"/>
            </w:tcBorders>
            <w:vAlign w:val="center"/>
          </w:tcPr>
          <w:p w14:paraId="367EF63A">
            <w:pPr>
              <w:widowControl/>
              <w:jc w:val="center"/>
              <w:rPr>
                <w:rFonts w:asciiTheme="minorEastAsia" w:hAnsiTheme="minorEastAsia" w:eastAsiaTheme="minorEastAsia" w:cstheme="minorEastAsia"/>
                <w:b/>
                <w:kern w:val="0"/>
                <w:szCs w:val="21"/>
              </w:rPr>
            </w:pPr>
            <w:r>
              <w:rPr>
                <w:rFonts w:asciiTheme="minorEastAsia" w:hAnsiTheme="minorEastAsia" w:eastAsiaTheme="minorEastAsia" w:cstheme="minorEastAsia"/>
                <w:b/>
                <w:kern w:val="0"/>
                <w:szCs w:val="21"/>
              </w:rPr>
              <w:t>精品路线面积</w:t>
            </w:r>
            <w:r>
              <w:rPr>
                <w:rFonts w:hint="eastAsia" w:asciiTheme="minorEastAsia" w:hAnsiTheme="minorEastAsia" w:eastAsiaTheme="minorEastAsia" w:cstheme="minorEastAsia"/>
                <w:b/>
                <w:kern w:val="0"/>
                <w:szCs w:val="21"/>
              </w:rPr>
              <w:t>（M</w:t>
            </w:r>
            <w:r>
              <w:rPr>
                <w:rFonts w:hint="eastAsia" w:asciiTheme="minorEastAsia" w:hAnsiTheme="minorEastAsia" w:eastAsiaTheme="minorEastAsia" w:cstheme="minorEastAsia"/>
                <w:b/>
                <w:kern w:val="0"/>
                <w:szCs w:val="21"/>
                <w:vertAlign w:val="superscript"/>
              </w:rPr>
              <w:t>2</w:t>
            </w:r>
            <w:r>
              <w:rPr>
                <w:rFonts w:hint="eastAsia" w:asciiTheme="minorEastAsia" w:hAnsiTheme="minorEastAsia" w:eastAsiaTheme="minorEastAsia" w:cstheme="minorEastAsia"/>
                <w:b/>
                <w:kern w:val="0"/>
                <w:szCs w:val="21"/>
              </w:rPr>
              <w:t>）</w:t>
            </w:r>
          </w:p>
        </w:tc>
        <w:tc>
          <w:tcPr>
            <w:tcW w:w="945" w:type="dxa"/>
            <w:tcBorders>
              <w:top w:val="single" w:color="auto" w:sz="4" w:space="0"/>
              <w:left w:val="nil"/>
              <w:bottom w:val="single" w:color="auto" w:sz="4" w:space="0"/>
              <w:right w:val="single" w:color="auto" w:sz="4" w:space="0"/>
            </w:tcBorders>
            <w:vAlign w:val="center"/>
          </w:tcPr>
          <w:p w14:paraId="20AFE657">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固定人员（人）</w:t>
            </w:r>
          </w:p>
        </w:tc>
        <w:tc>
          <w:tcPr>
            <w:tcW w:w="1262" w:type="dxa"/>
            <w:tcBorders>
              <w:top w:val="single" w:color="auto" w:sz="4" w:space="0"/>
              <w:left w:val="nil"/>
              <w:bottom w:val="single" w:color="auto" w:sz="4" w:space="0"/>
              <w:right w:val="single" w:color="auto" w:sz="4" w:space="0"/>
            </w:tcBorders>
            <w:vAlign w:val="center"/>
          </w:tcPr>
          <w:p w14:paraId="280222C9">
            <w:pPr>
              <w:widowControl/>
              <w:ind w:firstLine="211" w:firstLineChars="10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施肥1次</w:t>
            </w:r>
          </w:p>
          <w:p w14:paraId="59DA1E8F">
            <w:pPr>
              <w:widowControl/>
              <w:ind w:firstLine="211" w:firstLineChars="10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（吨）</w:t>
            </w:r>
          </w:p>
        </w:tc>
        <w:tc>
          <w:tcPr>
            <w:tcW w:w="1157" w:type="dxa"/>
            <w:tcBorders>
              <w:top w:val="single" w:color="auto" w:sz="4" w:space="0"/>
              <w:left w:val="nil"/>
              <w:bottom w:val="single" w:color="auto" w:sz="4" w:space="0"/>
              <w:right w:val="single" w:color="auto" w:sz="4" w:space="0"/>
            </w:tcBorders>
            <w:vAlign w:val="center"/>
          </w:tcPr>
          <w:p w14:paraId="41B5E7ED">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抗旱水泵</w:t>
            </w:r>
          </w:p>
          <w:p w14:paraId="145AC73E">
            <w:pPr>
              <w:widowControl/>
              <w:ind w:firstLine="211" w:firstLineChars="10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（台）</w:t>
            </w:r>
          </w:p>
        </w:tc>
        <w:tc>
          <w:tcPr>
            <w:tcW w:w="857" w:type="dxa"/>
            <w:tcBorders>
              <w:top w:val="single" w:color="auto" w:sz="4" w:space="0"/>
              <w:left w:val="nil"/>
              <w:bottom w:val="single" w:color="auto" w:sz="4" w:space="0"/>
              <w:right w:val="single" w:color="auto" w:sz="4" w:space="0"/>
            </w:tcBorders>
            <w:vAlign w:val="center"/>
          </w:tcPr>
          <w:p w14:paraId="36BD75E1">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洒水车</w:t>
            </w:r>
          </w:p>
          <w:p w14:paraId="4D47336B">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（辆）</w:t>
            </w:r>
          </w:p>
        </w:tc>
        <w:tc>
          <w:tcPr>
            <w:tcW w:w="912" w:type="dxa"/>
            <w:tcBorders>
              <w:top w:val="single" w:color="auto" w:sz="4" w:space="0"/>
              <w:left w:val="nil"/>
              <w:bottom w:val="single" w:color="auto" w:sz="4" w:space="0"/>
              <w:right w:val="single" w:color="auto" w:sz="4" w:space="0"/>
            </w:tcBorders>
            <w:vAlign w:val="center"/>
          </w:tcPr>
          <w:p w14:paraId="280DE57B">
            <w:pPr>
              <w:widowControl/>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备注</w:t>
            </w:r>
          </w:p>
        </w:tc>
      </w:tr>
      <w:tr w14:paraId="128E04E3">
        <w:tblPrEx>
          <w:tblCellMar>
            <w:top w:w="0" w:type="dxa"/>
            <w:left w:w="108" w:type="dxa"/>
            <w:bottom w:w="0" w:type="dxa"/>
            <w:right w:w="108" w:type="dxa"/>
          </w:tblCellMar>
        </w:tblPrEx>
        <w:trPr>
          <w:trHeight w:val="1827" w:hRule="exact"/>
        </w:trPr>
        <w:tc>
          <w:tcPr>
            <w:tcW w:w="724" w:type="dxa"/>
            <w:tcBorders>
              <w:top w:val="single" w:color="auto" w:sz="4" w:space="0"/>
              <w:left w:val="single" w:color="auto" w:sz="4" w:space="0"/>
              <w:bottom w:val="single" w:color="auto" w:sz="4" w:space="0"/>
              <w:right w:val="single" w:color="auto" w:sz="4" w:space="0"/>
            </w:tcBorders>
            <w:vAlign w:val="center"/>
          </w:tcPr>
          <w:p w14:paraId="4B4AF10C">
            <w:pPr>
              <w:widowControl/>
              <w:jc w:val="center"/>
              <w:rPr>
                <w:rFonts w:hint="eastAsia" w:asciiTheme="minorEastAsia" w:hAnsiTheme="minorEastAsia" w:eastAsiaTheme="minorEastAsia" w:cstheme="minorEastAsia"/>
                <w:b/>
                <w:kern w:val="0"/>
                <w:szCs w:val="21"/>
                <w:lang w:eastAsia="zh-CN"/>
              </w:rPr>
            </w:pPr>
            <w:r>
              <w:rPr>
                <w:rFonts w:hint="eastAsia" w:asciiTheme="minorEastAsia" w:hAnsiTheme="minorEastAsia" w:eastAsiaTheme="minorEastAsia" w:cstheme="minorEastAsia"/>
                <w:b/>
                <w:kern w:val="0"/>
                <w:szCs w:val="21"/>
                <w:lang w:val="en-US" w:eastAsia="zh-CN"/>
              </w:rPr>
              <w:t>1</w:t>
            </w:r>
          </w:p>
        </w:tc>
        <w:tc>
          <w:tcPr>
            <w:tcW w:w="3874" w:type="dxa"/>
            <w:tcBorders>
              <w:top w:val="single" w:color="auto" w:sz="4" w:space="0"/>
              <w:left w:val="nil"/>
              <w:bottom w:val="single" w:color="auto" w:sz="4" w:space="0"/>
              <w:right w:val="single" w:color="auto" w:sz="4" w:space="0"/>
            </w:tcBorders>
            <w:vAlign w:val="center"/>
          </w:tcPr>
          <w:p w14:paraId="29BAD9F8">
            <w:pPr>
              <w:rPr>
                <w:rFonts w:ascii="宋体" w:hAnsi="宋体" w:cs="宋体"/>
                <w:color w:val="000000" w:themeColor="text1"/>
                <w:kern w:val="0"/>
                <w:szCs w:val="21"/>
              </w:rPr>
            </w:pPr>
            <w:r>
              <w:rPr>
                <w:rFonts w:hint="eastAsia" w:asciiTheme="minorEastAsia" w:hAnsiTheme="minorEastAsia" w:eastAsiaTheme="minorEastAsia" w:cstheme="minorEastAsia"/>
                <w:color w:val="000000" w:themeColor="text1"/>
                <w:kern w:val="0"/>
                <w:szCs w:val="21"/>
                <w:highlight w:val="none"/>
                <w:lang w:eastAsia="zh-CN"/>
              </w:rPr>
              <w:t>X421桥电线K0+000～K11+970、S311象西线K33+300～K46+400、沈海高速(K1551+400塔珠岭隧道-K1564+450檀树头)</w:t>
            </w:r>
          </w:p>
        </w:tc>
        <w:tc>
          <w:tcPr>
            <w:tcW w:w="950" w:type="dxa"/>
            <w:tcBorders>
              <w:top w:val="single" w:color="auto" w:sz="4" w:space="0"/>
              <w:left w:val="nil"/>
              <w:bottom w:val="single" w:color="auto" w:sz="4" w:space="0"/>
              <w:right w:val="single" w:color="auto" w:sz="4" w:space="0"/>
            </w:tcBorders>
            <w:vAlign w:val="center"/>
          </w:tcPr>
          <w:p w14:paraId="2E70342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55.22</w:t>
            </w:r>
          </w:p>
        </w:tc>
        <w:tc>
          <w:tcPr>
            <w:tcW w:w="1117" w:type="dxa"/>
            <w:tcBorders>
              <w:top w:val="single" w:color="auto" w:sz="4" w:space="0"/>
              <w:left w:val="single" w:color="auto" w:sz="4" w:space="0"/>
              <w:bottom w:val="single" w:color="auto" w:sz="4" w:space="0"/>
              <w:right w:val="single" w:color="auto" w:sz="4" w:space="0"/>
            </w:tcBorders>
            <w:vAlign w:val="center"/>
          </w:tcPr>
          <w:p w14:paraId="585A8B62">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369615.2</w:t>
            </w:r>
          </w:p>
        </w:tc>
        <w:tc>
          <w:tcPr>
            <w:tcW w:w="1200" w:type="dxa"/>
            <w:tcBorders>
              <w:top w:val="single" w:color="auto" w:sz="4" w:space="0"/>
              <w:left w:val="single" w:color="auto" w:sz="4" w:space="0"/>
              <w:bottom w:val="single" w:color="auto" w:sz="4" w:space="0"/>
              <w:right w:val="single" w:color="auto" w:sz="4" w:space="0"/>
            </w:tcBorders>
            <w:vAlign w:val="center"/>
          </w:tcPr>
          <w:p w14:paraId="7E2689A3">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711019.7</w:t>
            </w:r>
          </w:p>
        </w:tc>
        <w:tc>
          <w:tcPr>
            <w:tcW w:w="1150" w:type="dxa"/>
            <w:tcBorders>
              <w:top w:val="single" w:color="auto" w:sz="4" w:space="0"/>
              <w:left w:val="single" w:color="auto" w:sz="4" w:space="0"/>
              <w:bottom w:val="single" w:color="auto" w:sz="4" w:space="0"/>
              <w:right w:val="single" w:color="auto" w:sz="4" w:space="0"/>
            </w:tcBorders>
            <w:vAlign w:val="center"/>
          </w:tcPr>
          <w:p w14:paraId="43952C89">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w:t>
            </w:r>
          </w:p>
        </w:tc>
        <w:tc>
          <w:tcPr>
            <w:tcW w:w="945" w:type="dxa"/>
            <w:tcBorders>
              <w:top w:val="single" w:color="auto" w:sz="4" w:space="0"/>
              <w:left w:val="nil"/>
              <w:bottom w:val="single" w:color="auto" w:sz="4" w:space="0"/>
              <w:right w:val="single" w:color="auto" w:sz="4" w:space="0"/>
            </w:tcBorders>
            <w:vAlign w:val="center"/>
          </w:tcPr>
          <w:p w14:paraId="53B274AD">
            <w:pPr>
              <w:widowControl/>
              <w:ind w:firstLine="420" w:firstLineChars="20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12</w:t>
            </w:r>
          </w:p>
        </w:tc>
        <w:tc>
          <w:tcPr>
            <w:tcW w:w="1262" w:type="dxa"/>
            <w:tcBorders>
              <w:top w:val="single" w:color="auto" w:sz="4" w:space="0"/>
              <w:left w:val="nil"/>
              <w:bottom w:val="single" w:color="auto" w:sz="4" w:space="0"/>
              <w:right w:val="single" w:color="auto" w:sz="4" w:space="0"/>
            </w:tcBorders>
            <w:vAlign w:val="center"/>
          </w:tcPr>
          <w:p w14:paraId="3ACC2019">
            <w:pPr>
              <w:widowControl/>
              <w:ind w:firstLine="420" w:firstLineChars="20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11</w:t>
            </w:r>
          </w:p>
        </w:tc>
        <w:tc>
          <w:tcPr>
            <w:tcW w:w="1157" w:type="dxa"/>
            <w:tcBorders>
              <w:top w:val="single" w:color="auto" w:sz="4" w:space="0"/>
              <w:left w:val="single" w:color="auto" w:sz="4" w:space="0"/>
              <w:bottom w:val="single" w:color="auto" w:sz="4" w:space="0"/>
              <w:right w:val="single" w:color="auto" w:sz="4" w:space="0"/>
            </w:tcBorders>
            <w:vAlign w:val="center"/>
          </w:tcPr>
          <w:p w14:paraId="25603A42">
            <w:pPr>
              <w:widowControl/>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57" w:type="dxa"/>
            <w:tcBorders>
              <w:top w:val="single" w:color="auto" w:sz="4" w:space="0"/>
              <w:left w:val="single" w:color="auto" w:sz="4" w:space="0"/>
              <w:bottom w:val="single" w:color="auto" w:sz="4" w:space="0"/>
              <w:right w:val="single" w:color="auto" w:sz="4" w:space="0"/>
            </w:tcBorders>
            <w:vAlign w:val="center"/>
          </w:tcPr>
          <w:p w14:paraId="4778B7B8">
            <w:pPr>
              <w:widowControl/>
              <w:ind w:firstLine="210" w:firstLineChars="100"/>
              <w:jc w:val="both"/>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912" w:type="dxa"/>
            <w:vMerge w:val="restart"/>
            <w:tcBorders>
              <w:left w:val="single" w:color="auto" w:sz="4" w:space="0"/>
              <w:right w:val="single" w:color="auto" w:sz="4" w:space="0"/>
            </w:tcBorders>
            <w:vAlign w:val="center"/>
          </w:tcPr>
          <w:p w14:paraId="2C65A60E">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跟踪施肥（每年至少2次施肥）</w:t>
            </w:r>
          </w:p>
        </w:tc>
      </w:tr>
      <w:tr w14:paraId="589F1A33">
        <w:tblPrEx>
          <w:tblCellMar>
            <w:top w:w="0" w:type="dxa"/>
            <w:left w:w="108" w:type="dxa"/>
            <w:bottom w:w="0" w:type="dxa"/>
            <w:right w:w="108" w:type="dxa"/>
          </w:tblCellMar>
        </w:tblPrEx>
        <w:trPr>
          <w:trHeight w:val="2260" w:hRule="exact"/>
        </w:trPr>
        <w:tc>
          <w:tcPr>
            <w:tcW w:w="724" w:type="dxa"/>
            <w:tcBorders>
              <w:top w:val="single" w:color="auto" w:sz="4" w:space="0"/>
              <w:left w:val="single" w:color="auto" w:sz="4" w:space="0"/>
              <w:bottom w:val="single" w:color="auto" w:sz="4" w:space="0"/>
              <w:right w:val="single" w:color="auto" w:sz="4" w:space="0"/>
            </w:tcBorders>
            <w:vAlign w:val="center"/>
          </w:tcPr>
          <w:p w14:paraId="13FFF657">
            <w:pPr>
              <w:widowControl/>
              <w:jc w:val="center"/>
              <w:rPr>
                <w:rFonts w:hint="eastAsia" w:asciiTheme="minorEastAsia" w:hAnsiTheme="minorEastAsia" w:eastAsiaTheme="minorEastAsia" w:cstheme="minorEastAsia"/>
                <w:b/>
                <w:kern w:val="0"/>
                <w:szCs w:val="21"/>
                <w:lang w:val="en-US" w:eastAsia="zh-CN"/>
              </w:rPr>
            </w:pPr>
            <w:r>
              <w:rPr>
                <w:rFonts w:hint="eastAsia" w:asciiTheme="minorEastAsia" w:hAnsiTheme="minorEastAsia" w:eastAsiaTheme="minorEastAsia" w:cstheme="minorEastAsia"/>
                <w:b/>
                <w:kern w:val="0"/>
                <w:szCs w:val="21"/>
                <w:lang w:val="en-US" w:eastAsia="zh-CN"/>
              </w:rPr>
              <w:t>2</w:t>
            </w:r>
          </w:p>
        </w:tc>
        <w:tc>
          <w:tcPr>
            <w:tcW w:w="3874" w:type="dxa"/>
            <w:tcBorders>
              <w:top w:val="single" w:color="auto" w:sz="4" w:space="0"/>
              <w:left w:val="nil"/>
              <w:bottom w:val="single" w:color="auto" w:sz="4" w:space="0"/>
              <w:right w:val="single" w:color="auto" w:sz="4" w:space="0"/>
            </w:tcBorders>
            <w:vAlign w:val="center"/>
          </w:tcPr>
          <w:p w14:paraId="647EAC98">
            <w:pPr>
              <w:rPr>
                <w:rFonts w:hint="eastAsia" w:ascii="宋体" w:hAnsi="宋体" w:cs="宋体"/>
                <w:color w:val="000000" w:themeColor="text1"/>
                <w:kern w:val="0"/>
                <w:szCs w:val="21"/>
              </w:rPr>
            </w:pPr>
            <w:r>
              <w:rPr>
                <w:rFonts w:hint="eastAsia" w:asciiTheme="minorEastAsia" w:hAnsiTheme="minorEastAsia" w:eastAsiaTheme="minorEastAsia" w:cstheme="minorEastAsia"/>
                <w:color w:val="000000" w:themeColor="text1"/>
                <w:kern w:val="0"/>
                <w:szCs w:val="21"/>
                <w:highlight w:val="none"/>
              </w:rPr>
              <w:t>G228K3809+400～K3817+913</w:t>
            </w:r>
            <w:r>
              <w:rPr>
                <w:rFonts w:hint="eastAsia" w:asciiTheme="minorEastAsia" w:hAnsiTheme="minorEastAsia" w:eastAsiaTheme="minorEastAsia" w:cstheme="minorEastAsia"/>
                <w:color w:val="000000" w:themeColor="text1"/>
                <w:kern w:val="0"/>
                <w:szCs w:val="21"/>
                <w:highlight w:val="none"/>
                <w:lang w:eastAsia="zh-CN"/>
              </w:rPr>
              <w:t>、陈蟠线（K12+512～K21+192）、枫槎岭三期K3806+800～K3809+400（含城逐线飞凤山隧道</w:t>
            </w:r>
            <w:r>
              <w:rPr>
                <w:rFonts w:hint="eastAsia" w:asciiTheme="minorEastAsia" w:hAnsiTheme="minorEastAsia" w:eastAsiaTheme="minorEastAsia" w:cstheme="minorEastAsia"/>
                <w:color w:val="000000" w:themeColor="text1"/>
                <w:kern w:val="0"/>
                <w:szCs w:val="21"/>
                <w:highlight w:val="none"/>
                <w:lang w:val="en-US" w:eastAsia="zh-CN"/>
              </w:rPr>
              <w:t>东</w:t>
            </w:r>
            <w:r>
              <w:rPr>
                <w:rFonts w:hint="eastAsia" w:asciiTheme="minorEastAsia" w:hAnsiTheme="minorEastAsia" w:eastAsiaTheme="minorEastAsia" w:cstheme="minorEastAsia"/>
                <w:color w:val="000000" w:themeColor="text1"/>
                <w:kern w:val="0"/>
                <w:szCs w:val="21"/>
                <w:highlight w:val="none"/>
                <w:lang w:eastAsia="zh-CN"/>
              </w:rPr>
              <w:t>）、削壁岭隧道口两端、S215老盛宁线(K126+000～K138+900)、越沙线K0+000～K0+630、城逐线（K0+700-K2+600）(飞凤山隧道</w:t>
            </w:r>
            <w:r>
              <w:rPr>
                <w:rFonts w:hint="eastAsia" w:asciiTheme="minorEastAsia" w:hAnsiTheme="minorEastAsia" w:eastAsiaTheme="minorEastAsia" w:cstheme="minorEastAsia"/>
                <w:color w:val="000000" w:themeColor="text1"/>
                <w:kern w:val="0"/>
                <w:szCs w:val="21"/>
                <w:highlight w:val="none"/>
                <w:lang w:val="en-US" w:eastAsia="zh-CN"/>
              </w:rPr>
              <w:t>西</w:t>
            </w:r>
            <w:r>
              <w:rPr>
                <w:rFonts w:hint="eastAsia" w:asciiTheme="minorEastAsia" w:hAnsiTheme="minorEastAsia" w:eastAsiaTheme="minorEastAsia" w:cstheme="minorEastAsia"/>
                <w:color w:val="000000" w:themeColor="text1"/>
                <w:kern w:val="0"/>
                <w:szCs w:val="21"/>
                <w:highlight w:val="none"/>
                <w:lang w:eastAsia="zh-CN"/>
              </w:rPr>
              <w:t>-S204路口)</w:t>
            </w:r>
          </w:p>
        </w:tc>
        <w:tc>
          <w:tcPr>
            <w:tcW w:w="950" w:type="dxa"/>
            <w:tcBorders>
              <w:top w:val="single" w:color="auto" w:sz="4" w:space="0"/>
              <w:left w:val="nil"/>
              <w:bottom w:val="single" w:color="auto" w:sz="4" w:space="0"/>
              <w:right w:val="single" w:color="auto" w:sz="4" w:space="0"/>
            </w:tcBorders>
            <w:vAlign w:val="center"/>
          </w:tcPr>
          <w:p w14:paraId="1A5AB81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35.223</w:t>
            </w:r>
          </w:p>
        </w:tc>
        <w:tc>
          <w:tcPr>
            <w:tcW w:w="1117" w:type="dxa"/>
            <w:tcBorders>
              <w:top w:val="single" w:color="auto" w:sz="4" w:space="0"/>
              <w:left w:val="single" w:color="auto" w:sz="4" w:space="0"/>
              <w:bottom w:val="single" w:color="auto" w:sz="4" w:space="0"/>
              <w:right w:val="single" w:color="auto" w:sz="4" w:space="0"/>
            </w:tcBorders>
            <w:vAlign w:val="center"/>
          </w:tcPr>
          <w:p w14:paraId="0A3CA55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359195.2</w:t>
            </w:r>
          </w:p>
        </w:tc>
        <w:tc>
          <w:tcPr>
            <w:tcW w:w="1200" w:type="dxa"/>
            <w:tcBorders>
              <w:top w:val="single" w:color="auto" w:sz="4" w:space="0"/>
              <w:left w:val="single" w:color="auto" w:sz="4" w:space="0"/>
              <w:bottom w:val="single" w:color="auto" w:sz="4" w:space="0"/>
              <w:right w:val="single" w:color="auto" w:sz="4" w:space="0"/>
            </w:tcBorders>
            <w:vAlign w:val="center"/>
          </w:tcPr>
          <w:p w14:paraId="2FCD89EC">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57181.7</w:t>
            </w:r>
          </w:p>
        </w:tc>
        <w:tc>
          <w:tcPr>
            <w:tcW w:w="1150" w:type="dxa"/>
            <w:tcBorders>
              <w:top w:val="single" w:color="auto" w:sz="4" w:space="0"/>
              <w:left w:val="single" w:color="auto" w:sz="4" w:space="0"/>
              <w:bottom w:val="single" w:color="auto" w:sz="4" w:space="0"/>
              <w:right w:val="single" w:color="auto" w:sz="4" w:space="0"/>
            </w:tcBorders>
            <w:vAlign w:val="center"/>
          </w:tcPr>
          <w:p w14:paraId="0BBB8CD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129305.1</w:t>
            </w:r>
          </w:p>
        </w:tc>
        <w:tc>
          <w:tcPr>
            <w:tcW w:w="945" w:type="dxa"/>
            <w:tcBorders>
              <w:top w:val="single" w:color="auto" w:sz="4" w:space="0"/>
              <w:left w:val="nil"/>
              <w:bottom w:val="single" w:color="auto" w:sz="4" w:space="0"/>
              <w:right w:val="single" w:color="auto" w:sz="4" w:space="0"/>
            </w:tcBorders>
            <w:vAlign w:val="center"/>
          </w:tcPr>
          <w:p w14:paraId="4C94250B">
            <w:pPr>
              <w:widowControl/>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262" w:type="dxa"/>
            <w:tcBorders>
              <w:top w:val="single" w:color="auto" w:sz="4" w:space="0"/>
              <w:left w:val="nil"/>
              <w:bottom w:val="single" w:color="auto" w:sz="4" w:space="0"/>
              <w:right w:val="single" w:color="auto" w:sz="4" w:space="0"/>
            </w:tcBorders>
            <w:vAlign w:val="center"/>
          </w:tcPr>
          <w:p w14:paraId="3441E744">
            <w:pPr>
              <w:widowControl/>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157" w:type="dxa"/>
            <w:tcBorders>
              <w:top w:val="single" w:color="auto" w:sz="4" w:space="0"/>
              <w:left w:val="single" w:color="auto" w:sz="4" w:space="0"/>
              <w:bottom w:val="single" w:color="auto" w:sz="4" w:space="0"/>
              <w:right w:val="single" w:color="auto" w:sz="4" w:space="0"/>
            </w:tcBorders>
            <w:vAlign w:val="center"/>
          </w:tcPr>
          <w:p w14:paraId="789E2F9B">
            <w:pPr>
              <w:widowControl/>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57" w:type="dxa"/>
            <w:tcBorders>
              <w:top w:val="single" w:color="auto" w:sz="4" w:space="0"/>
              <w:left w:val="single" w:color="auto" w:sz="4" w:space="0"/>
              <w:bottom w:val="single" w:color="auto" w:sz="4" w:space="0"/>
              <w:right w:val="single" w:color="auto" w:sz="4" w:space="0"/>
            </w:tcBorders>
            <w:vAlign w:val="center"/>
          </w:tcPr>
          <w:p w14:paraId="128F1B80">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912" w:type="dxa"/>
            <w:vMerge w:val="continue"/>
            <w:tcBorders>
              <w:left w:val="single" w:color="auto" w:sz="4" w:space="0"/>
              <w:right w:val="single" w:color="auto" w:sz="4" w:space="0"/>
            </w:tcBorders>
            <w:vAlign w:val="center"/>
          </w:tcPr>
          <w:p w14:paraId="380968D7">
            <w:pPr>
              <w:widowControl/>
              <w:ind w:firstLine="420" w:firstLineChars="200"/>
              <w:jc w:val="left"/>
              <w:rPr>
                <w:rFonts w:asciiTheme="minorEastAsia" w:hAnsiTheme="minorEastAsia" w:eastAsiaTheme="minorEastAsia" w:cstheme="minorEastAsia"/>
                <w:kern w:val="0"/>
                <w:szCs w:val="21"/>
              </w:rPr>
            </w:pPr>
          </w:p>
        </w:tc>
      </w:tr>
      <w:tr w14:paraId="446A436A">
        <w:tblPrEx>
          <w:tblCellMar>
            <w:top w:w="0" w:type="dxa"/>
            <w:left w:w="108" w:type="dxa"/>
            <w:bottom w:w="0" w:type="dxa"/>
            <w:right w:w="108" w:type="dxa"/>
          </w:tblCellMar>
        </w:tblPrEx>
        <w:trPr>
          <w:trHeight w:val="1410" w:hRule="exact"/>
        </w:trPr>
        <w:tc>
          <w:tcPr>
            <w:tcW w:w="724" w:type="dxa"/>
            <w:tcBorders>
              <w:top w:val="single" w:color="auto" w:sz="4" w:space="0"/>
              <w:left w:val="single" w:color="auto" w:sz="4" w:space="0"/>
              <w:bottom w:val="single" w:color="auto" w:sz="4" w:space="0"/>
              <w:right w:val="single" w:color="auto" w:sz="4" w:space="0"/>
            </w:tcBorders>
            <w:vAlign w:val="center"/>
          </w:tcPr>
          <w:p w14:paraId="79301667">
            <w:pPr>
              <w:widowControl/>
              <w:jc w:val="center"/>
              <w:rPr>
                <w:rFonts w:hint="eastAsia" w:asciiTheme="minorEastAsia" w:hAnsiTheme="minorEastAsia" w:eastAsiaTheme="minorEastAsia" w:cstheme="minorEastAsia"/>
                <w:b/>
                <w:kern w:val="0"/>
                <w:szCs w:val="21"/>
                <w:lang w:val="en-US" w:eastAsia="zh-CN"/>
              </w:rPr>
            </w:pPr>
            <w:r>
              <w:rPr>
                <w:rFonts w:hint="eastAsia" w:asciiTheme="minorEastAsia" w:hAnsiTheme="minorEastAsia" w:eastAsiaTheme="minorEastAsia" w:cstheme="minorEastAsia"/>
                <w:b/>
                <w:kern w:val="0"/>
                <w:szCs w:val="21"/>
                <w:lang w:val="en-US" w:eastAsia="zh-CN"/>
              </w:rPr>
              <w:t>3</w:t>
            </w:r>
          </w:p>
        </w:tc>
        <w:tc>
          <w:tcPr>
            <w:tcW w:w="3874" w:type="dxa"/>
            <w:tcBorders>
              <w:top w:val="single" w:color="auto" w:sz="4" w:space="0"/>
              <w:left w:val="nil"/>
              <w:bottom w:val="single" w:color="auto" w:sz="4" w:space="0"/>
              <w:right w:val="single" w:color="auto" w:sz="4" w:space="0"/>
            </w:tcBorders>
            <w:vAlign w:val="center"/>
          </w:tcPr>
          <w:p w14:paraId="297654B6">
            <w:pPr>
              <w:rPr>
                <w:rFonts w:hint="eastAsia" w:ascii="宋体" w:hAnsi="宋体" w:cs="宋体"/>
                <w:color w:val="000000" w:themeColor="text1"/>
                <w:kern w:val="0"/>
                <w:szCs w:val="21"/>
              </w:rPr>
            </w:pPr>
            <w:r>
              <w:rPr>
                <w:rFonts w:hint="eastAsia" w:asciiTheme="minorEastAsia" w:hAnsiTheme="minorEastAsia" w:eastAsiaTheme="minorEastAsia" w:cstheme="minorEastAsia"/>
                <w:color w:val="000000" w:themeColor="text1"/>
                <w:kern w:val="0"/>
                <w:szCs w:val="21"/>
                <w:highlight w:val="none"/>
              </w:rPr>
              <w:t>新盛宁线二期(K27+800胡陈路口南～K36+500创业路口)</w:t>
            </w:r>
            <w:r>
              <w:rPr>
                <w:rFonts w:hint="eastAsia" w:asciiTheme="minorEastAsia" w:hAnsiTheme="minorEastAsia" w:eastAsiaTheme="minorEastAsia" w:cstheme="minorEastAsia"/>
                <w:color w:val="000000" w:themeColor="text1"/>
                <w:kern w:val="0"/>
                <w:szCs w:val="21"/>
                <w:highlight w:val="none"/>
                <w:lang w:eastAsia="zh-CN"/>
              </w:rPr>
              <w:t>、S215老盛宁线(K105+000胡陈路口北～K116+200力洋水厂)</w:t>
            </w:r>
          </w:p>
        </w:tc>
        <w:tc>
          <w:tcPr>
            <w:tcW w:w="950" w:type="dxa"/>
            <w:tcBorders>
              <w:top w:val="single" w:color="auto" w:sz="4" w:space="0"/>
              <w:left w:val="nil"/>
              <w:bottom w:val="single" w:color="auto" w:sz="4" w:space="0"/>
              <w:right w:val="single" w:color="auto" w:sz="4" w:space="0"/>
            </w:tcBorders>
            <w:vAlign w:val="center"/>
          </w:tcPr>
          <w:p w14:paraId="2E90DAC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19.9</w:t>
            </w:r>
          </w:p>
        </w:tc>
        <w:tc>
          <w:tcPr>
            <w:tcW w:w="1117" w:type="dxa"/>
            <w:tcBorders>
              <w:top w:val="single" w:color="auto" w:sz="4" w:space="0"/>
              <w:left w:val="single" w:color="auto" w:sz="4" w:space="0"/>
              <w:bottom w:val="single" w:color="auto" w:sz="4" w:space="0"/>
              <w:right w:val="single" w:color="auto" w:sz="4" w:space="0"/>
            </w:tcBorders>
            <w:vAlign w:val="center"/>
          </w:tcPr>
          <w:p w14:paraId="0F804A22">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435049.9</w:t>
            </w:r>
          </w:p>
        </w:tc>
        <w:tc>
          <w:tcPr>
            <w:tcW w:w="1200" w:type="dxa"/>
            <w:tcBorders>
              <w:top w:val="single" w:color="auto" w:sz="4" w:space="0"/>
              <w:left w:val="single" w:color="auto" w:sz="4" w:space="0"/>
              <w:bottom w:val="single" w:color="auto" w:sz="4" w:space="0"/>
              <w:right w:val="single" w:color="auto" w:sz="4" w:space="0"/>
            </w:tcBorders>
            <w:vAlign w:val="center"/>
          </w:tcPr>
          <w:p w14:paraId="4272BAAA">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150" w:type="dxa"/>
            <w:tcBorders>
              <w:top w:val="single" w:color="auto" w:sz="4" w:space="0"/>
              <w:left w:val="single" w:color="auto" w:sz="4" w:space="0"/>
              <w:bottom w:val="single" w:color="auto" w:sz="4" w:space="0"/>
              <w:right w:val="single" w:color="auto" w:sz="4" w:space="0"/>
            </w:tcBorders>
            <w:vAlign w:val="center"/>
          </w:tcPr>
          <w:p w14:paraId="1501DAE9">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945" w:type="dxa"/>
            <w:tcBorders>
              <w:top w:val="single" w:color="auto" w:sz="4" w:space="0"/>
              <w:left w:val="nil"/>
              <w:bottom w:val="single" w:color="auto" w:sz="4" w:space="0"/>
              <w:right w:val="single" w:color="auto" w:sz="4" w:space="0"/>
            </w:tcBorders>
            <w:vAlign w:val="center"/>
          </w:tcPr>
          <w:p w14:paraId="0A83BB7F">
            <w:pPr>
              <w:widowControl/>
              <w:ind w:firstLine="420" w:firstLineChars="20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12</w:t>
            </w:r>
          </w:p>
        </w:tc>
        <w:tc>
          <w:tcPr>
            <w:tcW w:w="1262" w:type="dxa"/>
            <w:tcBorders>
              <w:top w:val="single" w:color="auto" w:sz="4" w:space="0"/>
              <w:left w:val="nil"/>
              <w:bottom w:val="single" w:color="auto" w:sz="4" w:space="0"/>
              <w:right w:val="single" w:color="auto" w:sz="4" w:space="0"/>
            </w:tcBorders>
            <w:vAlign w:val="center"/>
          </w:tcPr>
          <w:p w14:paraId="4A069193">
            <w:pPr>
              <w:widowControl/>
              <w:ind w:firstLine="420" w:firstLineChars="20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11</w:t>
            </w:r>
          </w:p>
        </w:tc>
        <w:tc>
          <w:tcPr>
            <w:tcW w:w="1157" w:type="dxa"/>
            <w:tcBorders>
              <w:top w:val="single" w:color="auto" w:sz="4" w:space="0"/>
              <w:left w:val="single" w:color="auto" w:sz="4" w:space="0"/>
              <w:bottom w:val="single" w:color="auto" w:sz="4" w:space="0"/>
              <w:right w:val="single" w:color="auto" w:sz="4" w:space="0"/>
            </w:tcBorders>
            <w:vAlign w:val="center"/>
          </w:tcPr>
          <w:p w14:paraId="7068C687">
            <w:pPr>
              <w:widowControl/>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57" w:type="dxa"/>
            <w:tcBorders>
              <w:top w:val="single" w:color="auto" w:sz="4" w:space="0"/>
              <w:left w:val="single" w:color="auto" w:sz="4" w:space="0"/>
              <w:bottom w:val="single" w:color="auto" w:sz="4" w:space="0"/>
              <w:right w:val="single" w:color="auto" w:sz="4" w:space="0"/>
            </w:tcBorders>
            <w:vAlign w:val="center"/>
          </w:tcPr>
          <w:p w14:paraId="46CE2739">
            <w:pPr>
              <w:widowControl/>
              <w:ind w:firstLine="210" w:firstLine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912" w:type="dxa"/>
            <w:vMerge w:val="continue"/>
            <w:tcBorders>
              <w:left w:val="single" w:color="auto" w:sz="4" w:space="0"/>
              <w:right w:val="single" w:color="auto" w:sz="4" w:space="0"/>
            </w:tcBorders>
            <w:vAlign w:val="center"/>
          </w:tcPr>
          <w:p w14:paraId="5CAE274B">
            <w:pPr>
              <w:widowControl/>
              <w:ind w:firstLine="420" w:firstLineChars="200"/>
              <w:jc w:val="left"/>
              <w:rPr>
                <w:rFonts w:asciiTheme="minorEastAsia" w:hAnsiTheme="minorEastAsia" w:eastAsiaTheme="minorEastAsia" w:cstheme="minorEastAsia"/>
                <w:kern w:val="0"/>
                <w:szCs w:val="21"/>
              </w:rPr>
            </w:pPr>
          </w:p>
        </w:tc>
      </w:tr>
      <w:tr w14:paraId="6F5E8A66">
        <w:tblPrEx>
          <w:tblCellMar>
            <w:top w:w="0" w:type="dxa"/>
            <w:left w:w="108" w:type="dxa"/>
            <w:bottom w:w="0" w:type="dxa"/>
            <w:right w:w="108" w:type="dxa"/>
          </w:tblCellMar>
        </w:tblPrEx>
        <w:trPr>
          <w:trHeight w:val="1410" w:hRule="exact"/>
        </w:trPr>
        <w:tc>
          <w:tcPr>
            <w:tcW w:w="724" w:type="dxa"/>
            <w:tcBorders>
              <w:top w:val="single" w:color="auto" w:sz="4" w:space="0"/>
              <w:left w:val="single" w:color="auto" w:sz="4" w:space="0"/>
              <w:bottom w:val="single" w:color="auto" w:sz="4" w:space="0"/>
              <w:right w:val="single" w:color="auto" w:sz="4" w:space="0"/>
            </w:tcBorders>
            <w:vAlign w:val="center"/>
          </w:tcPr>
          <w:p w14:paraId="2AACA580">
            <w:pPr>
              <w:widowControl/>
              <w:jc w:val="center"/>
              <w:rPr>
                <w:rFonts w:hint="eastAsia" w:asciiTheme="minorEastAsia" w:hAnsiTheme="minorEastAsia" w:eastAsiaTheme="minorEastAsia" w:cstheme="minorEastAsia"/>
                <w:b/>
                <w:kern w:val="0"/>
                <w:szCs w:val="21"/>
                <w:lang w:val="en-US" w:eastAsia="zh-CN"/>
              </w:rPr>
            </w:pPr>
            <w:r>
              <w:rPr>
                <w:rFonts w:hint="eastAsia" w:asciiTheme="minorEastAsia" w:hAnsiTheme="minorEastAsia" w:eastAsiaTheme="minorEastAsia" w:cstheme="minorEastAsia"/>
                <w:b/>
                <w:kern w:val="0"/>
                <w:szCs w:val="21"/>
                <w:lang w:val="en-US" w:eastAsia="zh-CN"/>
              </w:rPr>
              <w:t>4</w:t>
            </w:r>
          </w:p>
        </w:tc>
        <w:tc>
          <w:tcPr>
            <w:tcW w:w="3874" w:type="dxa"/>
            <w:tcBorders>
              <w:top w:val="single" w:color="auto" w:sz="4" w:space="0"/>
              <w:left w:val="nil"/>
              <w:bottom w:val="single" w:color="auto" w:sz="4" w:space="0"/>
              <w:right w:val="single" w:color="auto" w:sz="4" w:space="0"/>
            </w:tcBorders>
            <w:vAlign w:val="center"/>
          </w:tcPr>
          <w:p w14:paraId="65C46776">
            <w:pPr>
              <w:rPr>
                <w:rFonts w:hint="eastAsia" w:ascii="宋体" w:hAnsi="宋体" w:cs="宋体"/>
                <w:color w:val="000000" w:themeColor="text1"/>
                <w:kern w:val="0"/>
                <w:szCs w:val="21"/>
              </w:rPr>
            </w:pPr>
            <w:r>
              <w:rPr>
                <w:rFonts w:hint="eastAsia" w:asciiTheme="minorEastAsia" w:hAnsiTheme="minorEastAsia" w:eastAsiaTheme="minorEastAsia" w:cstheme="minorEastAsia"/>
                <w:color w:val="000000" w:themeColor="text1"/>
                <w:kern w:val="0"/>
                <w:szCs w:val="21"/>
                <w:highlight w:val="none"/>
              </w:rPr>
              <w:t>G527(K36+879创业路口～K52+355兴海北路口)</w:t>
            </w:r>
            <w:r>
              <w:rPr>
                <w:rFonts w:hint="eastAsia" w:asciiTheme="minorEastAsia" w:hAnsiTheme="minorEastAsia" w:eastAsiaTheme="minorEastAsia" w:cstheme="minorEastAsia"/>
                <w:color w:val="000000" w:themeColor="text1"/>
                <w:kern w:val="0"/>
                <w:szCs w:val="21"/>
                <w:highlight w:val="none"/>
                <w:lang w:eastAsia="zh-CN"/>
              </w:rPr>
              <w:t>、许民线K0+000～K3+800、S215老盛宁线(K119+800茶院北路口～K126+000路湾)</w:t>
            </w:r>
          </w:p>
        </w:tc>
        <w:tc>
          <w:tcPr>
            <w:tcW w:w="950" w:type="dxa"/>
            <w:tcBorders>
              <w:top w:val="single" w:color="auto" w:sz="4" w:space="0"/>
              <w:left w:val="nil"/>
              <w:bottom w:val="single" w:color="auto" w:sz="4" w:space="0"/>
              <w:right w:val="single" w:color="auto" w:sz="4" w:space="0"/>
            </w:tcBorders>
            <w:vAlign w:val="center"/>
          </w:tcPr>
          <w:p w14:paraId="720F4FE8">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25.476</w:t>
            </w:r>
          </w:p>
        </w:tc>
        <w:tc>
          <w:tcPr>
            <w:tcW w:w="1117" w:type="dxa"/>
            <w:tcBorders>
              <w:top w:val="single" w:color="auto" w:sz="4" w:space="0"/>
              <w:left w:val="single" w:color="auto" w:sz="4" w:space="0"/>
              <w:bottom w:val="single" w:color="auto" w:sz="4" w:space="0"/>
              <w:right w:val="single" w:color="auto" w:sz="4" w:space="0"/>
            </w:tcBorders>
            <w:vAlign w:val="center"/>
          </w:tcPr>
          <w:p w14:paraId="44BE1A7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57320.5</w:t>
            </w:r>
          </w:p>
        </w:tc>
        <w:tc>
          <w:tcPr>
            <w:tcW w:w="1200" w:type="dxa"/>
            <w:tcBorders>
              <w:top w:val="single" w:color="auto" w:sz="4" w:space="0"/>
              <w:left w:val="single" w:color="auto" w:sz="4" w:space="0"/>
              <w:bottom w:val="single" w:color="auto" w:sz="4" w:space="0"/>
              <w:right w:val="single" w:color="auto" w:sz="4" w:space="0"/>
            </w:tcBorders>
            <w:vAlign w:val="center"/>
          </w:tcPr>
          <w:p w14:paraId="42BE6BD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150" w:type="dxa"/>
            <w:tcBorders>
              <w:top w:val="single" w:color="auto" w:sz="4" w:space="0"/>
              <w:left w:val="single" w:color="auto" w:sz="4" w:space="0"/>
              <w:bottom w:val="single" w:color="auto" w:sz="4" w:space="0"/>
              <w:right w:val="single" w:color="auto" w:sz="4" w:space="0"/>
            </w:tcBorders>
            <w:vAlign w:val="center"/>
          </w:tcPr>
          <w:p w14:paraId="6574CA38">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415121.9</w:t>
            </w:r>
          </w:p>
        </w:tc>
        <w:tc>
          <w:tcPr>
            <w:tcW w:w="945" w:type="dxa"/>
            <w:tcBorders>
              <w:top w:val="single" w:color="auto" w:sz="4" w:space="0"/>
              <w:left w:val="nil"/>
              <w:bottom w:val="single" w:color="auto" w:sz="4" w:space="0"/>
              <w:right w:val="single" w:color="auto" w:sz="4" w:space="0"/>
            </w:tcBorders>
            <w:vAlign w:val="center"/>
          </w:tcPr>
          <w:p w14:paraId="64479CFF">
            <w:pPr>
              <w:widowControl/>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262" w:type="dxa"/>
            <w:tcBorders>
              <w:top w:val="single" w:color="auto" w:sz="4" w:space="0"/>
              <w:left w:val="nil"/>
              <w:bottom w:val="single" w:color="auto" w:sz="4" w:space="0"/>
              <w:right w:val="single" w:color="auto" w:sz="4" w:space="0"/>
            </w:tcBorders>
            <w:vAlign w:val="center"/>
          </w:tcPr>
          <w:p w14:paraId="6DDD4856">
            <w:pPr>
              <w:widowControl/>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157" w:type="dxa"/>
            <w:tcBorders>
              <w:top w:val="single" w:color="auto" w:sz="4" w:space="0"/>
              <w:left w:val="single" w:color="auto" w:sz="4" w:space="0"/>
              <w:bottom w:val="single" w:color="auto" w:sz="4" w:space="0"/>
              <w:right w:val="single" w:color="auto" w:sz="4" w:space="0"/>
            </w:tcBorders>
            <w:vAlign w:val="center"/>
          </w:tcPr>
          <w:p w14:paraId="7EB7738F">
            <w:pPr>
              <w:widowControl/>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57" w:type="dxa"/>
            <w:tcBorders>
              <w:top w:val="single" w:color="auto" w:sz="4" w:space="0"/>
              <w:left w:val="single" w:color="auto" w:sz="4" w:space="0"/>
              <w:bottom w:val="single" w:color="auto" w:sz="4" w:space="0"/>
              <w:right w:val="single" w:color="auto" w:sz="4" w:space="0"/>
            </w:tcBorders>
            <w:vAlign w:val="center"/>
          </w:tcPr>
          <w:p w14:paraId="134648D9">
            <w:pPr>
              <w:widowControl/>
              <w:ind w:firstLine="210" w:firstLine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912" w:type="dxa"/>
            <w:tcBorders>
              <w:left w:val="single" w:color="auto" w:sz="4" w:space="0"/>
              <w:bottom w:val="single" w:color="auto" w:sz="4" w:space="0"/>
              <w:right w:val="single" w:color="auto" w:sz="4" w:space="0"/>
            </w:tcBorders>
            <w:vAlign w:val="center"/>
          </w:tcPr>
          <w:p w14:paraId="1AB27107">
            <w:pPr>
              <w:widowControl/>
              <w:ind w:firstLine="420" w:firstLineChars="200"/>
              <w:jc w:val="left"/>
              <w:rPr>
                <w:rFonts w:asciiTheme="minorEastAsia" w:hAnsiTheme="minorEastAsia" w:eastAsiaTheme="minorEastAsia" w:cstheme="minorEastAsia"/>
                <w:kern w:val="0"/>
                <w:szCs w:val="21"/>
              </w:rPr>
            </w:pPr>
          </w:p>
        </w:tc>
      </w:tr>
    </w:tbl>
    <w:p w14:paraId="0F0A0F10">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注：1.如在高温天气，抗旱季节，中标单位未按投标文件的承诺提供相应机具，业主按合同价扣除当月50%的养护费。</w:t>
      </w:r>
    </w:p>
    <w:p w14:paraId="0EACE550">
      <w:pPr>
        <w:spacing w:line="400" w:lineRule="exact"/>
        <w:ind w:firstLine="420" w:firstLineChars="200"/>
        <w:rPr>
          <w:rFonts w:asciiTheme="minorEastAsia" w:hAnsiTheme="minorEastAsia" w:eastAsiaTheme="minorEastAsia" w:cstheme="minorEastAsia"/>
          <w:b/>
          <w:szCs w:val="21"/>
        </w:rPr>
        <w:sectPr>
          <w:pgSz w:w="16840" w:h="11907" w:orient="landscape"/>
          <w:pgMar w:top="1531" w:right="1247" w:bottom="1843" w:left="1304" w:header="426" w:footer="708" w:gutter="0"/>
          <w:cols w:space="720" w:num="1"/>
          <w:docGrid w:linePitch="286" w:charSpace="0"/>
        </w:sectPr>
      </w:pPr>
      <w:r>
        <w:rPr>
          <w:rFonts w:hint="eastAsia"/>
          <w:szCs w:val="21"/>
        </w:rPr>
        <w:t>★</w:t>
      </w:r>
      <w:r>
        <w:rPr>
          <w:rFonts w:hint="eastAsia" w:asciiTheme="minorEastAsia" w:hAnsiTheme="minorEastAsia" w:eastAsiaTheme="minorEastAsia" w:cstheme="minorEastAsia"/>
          <w:b/>
          <w:szCs w:val="21"/>
        </w:rPr>
        <w:t>2.固定人员组成：项目负责人1人、项目技术负责人1人</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rPr>
        <w:t>内业资料员1人，其余为保洁人员（不含修剪、拔草人员）。投标人投标文件内响应的人数和车辆设备少于以上人数的，将作无效标处理。</w:t>
      </w:r>
      <w:bookmarkStart w:id="122" w:name="_GoBack"/>
      <w:bookmarkEnd w:id="122"/>
    </w:p>
    <w:p w14:paraId="13B59840">
      <w:pPr>
        <w:pStyle w:val="13"/>
        <w:snapToGrid w:val="0"/>
        <w:spacing w:beforeLines="0" w:after="120"/>
        <w:jc w:val="center"/>
        <w:outlineLvl w:val="0"/>
        <w:rPr>
          <w:rFonts w:hAnsi="宋体" w:cs="宋体"/>
          <w:b/>
          <w:sz w:val="30"/>
          <w:szCs w:val="30"/>
        </w:rPr>
      </w:pPr>
      <w:r>
        <w:rPr>
          <w:rFonts w:hint="eastAsia" w:hAnsi="宋体" w:cs="宋体"/>
          <w:b/>
          <w:sz w:val="30"/>
          <w:szCs w:val="30"/>
        </w:rPr>
        <w:t>第三章 投标人须知</w:t>
      </w:r>
    </w:p>
    <w:p w14:paraId="3ED168A1">
      <w:pPr>
        <w:snapToGrid w:val="0"/>
        <w:spacing w:beforeLines="50" w:afterLines="50" w:line="400" w:lineRule="exact"/>
        <w:ind w:left="238"/>
        <w:jc w:val="center"/>
        <w:outlineLvl w:val="1"/>
        <w:rPr>
          <w:rFonts w:ascii="宋体" w:hAnsi="宋体" w:cs="宋体"/>
          <w:b/>
        </w:rPr>
      </w:pPr>
      <w:bookmarkStart w:id="62" w:name="_Toc28564"/>
      <w:r>
        <w:rPr>
          <w:rFonts w:hint="eastAsia" w:ascii="宋体" w:hAnsi="宋体" w:cs="宋体"/>
          <w:b/>
        </w:rPr>
        <w:t>前附表</w:t>
      </w:r>
      <w:bookmarkEnd w:id="62"/>
    </w:p>
    <w:tbl>
      <w:tblPr>
        <w:tblStyle w:val="28"/>
        <w:tblW w:w="92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525"/>
      </w:tblGrid>
      <w:tr w14:paraId="6C5B4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0" w:type="dxa"/>
            <w:tcBorders>
              <w:top w:val="single" w:color="auto" w:sz="4" w:space="0"/>
              <w:left w:val="single" w:color="auto" w:sz="4" w:space="0"/>
              <w:bottom w:val="single" w:color="auto" w:sz="4" w:space="0"/>
              <w:right w:val="single" w:color="auto" w:sz="4" w:space="0"/>
            </w:tcBorders>
          </w:tcPr>
          <w:p w14:paraId="689798A8">
            <w:pPr>
              <w:snapToGrid w:val="0"/>
              <w:spacing w:line="480" w:lineRule="exact"/>
              <w:jc w:val="center"/>
              <w:rPr>
                <w:rFonts w:ascii="宋体" w:hAnsi="宋体" w:cs="宋体"/>
                <w:szCs w:val="21"/>
              </w:rPr>
            </w:pPr>
            <w:r>
              <w:rPr>
                <w:rFonts w:hint="eastAsia" w:ascii="宋体" w:hAnsi="宋体" w:cs="宋体"/>
                <w:szCs w:val="21"/>
              </w:rPr>
              <w:t>序号</w:t>
            </w:r>
          </w:p>
        </w:tc>
        <w:tc>
          <w:tcPr>
            <w:tcW w:w="8525" w:type="dxa"/>
            <w:tcBorders>
              <w:top w:val="single" w:color="auto" w:sz="4" w:space="0"/>
              <w:left w:val="single" w:color="auto" w:sz="4" w:space="0"/>
              <w:bottom w:val="single" w:color="auto" w:sz="4" w:space="0"/>
              <w:right w:val="single" w:color="auto" w:sz="4" w:space="0"/>
            </w:tcBorders>
          </w:tcPr>
          <w:p w14:paraId="02D09359">
            <w:pPr>
              <w:snapToGrid w:val="0"/>
              <w:spacing w:line="480" w:lineRule="exact"/>
              <w:jc w:val="center"/>
              <w:rPr>
                <w:rFonts w:ascii="宋体" w:hAnsi="宋体" w:cs="宋体"/>
                <w:szCs w:val="21"/>
              </w:rPr>
            </w:pPr>
            <w:r>
              <w:rPr>
                <w:rFonts w:hint="eastAsia" w:ascii="宋体" w:hAnsi="宋体" w:cs="宋体"/>
                <w:szCs w:val="21"/>
              </w:rPr>
              <w:t>内容、要求</w:t>
            </w:r>
          </w:p>
        </w:tc>
      </w:tr>
      <w:tr w14:paraId="26A55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FF4944A">
            <w:pPr>
              <w:snapToGrid w:val="0"/>
              <w:spacing w:line="480" w:lineRule="exact"/>
              <w:jc w:val="center"/>
              <w:rPr>
                <w:rFonts w:ascii="宋体" w:hAnsi="宋体" w:cs="宋体"/>
                <w:szCs w:val="21"/>
              </w:rPr>
            </w:pPr>
            <w:r>
              <w:rPr>
                <w:rFonts w:hint="eastAsia" w:ascii="宋体" w:hAnsi="宋体" w:cs="宋体"/>
                <w:szCs w:val="21"/>
              </w:rPr>
              <w:t>1</w:t>
            </w:r>
          </w:p>
        </w:tc>
        <w:tc>
          <w:tcPr>
            <w:tcW w:w="8525" w:type="dxa"/>
            <w:tcBorders>
              <w:top w:val="single" w:color="auto" w:sz="4" w:space="0"/>
              <w:left w:val="single" w:color="auto" w:sz="4" w:space="0"/>
              <w:bottom w:val="single" w:color="auto" w:sz="4" w:space="0"/>
              <w:right w:val="single" w:color="auto" w:sz="4" w:space="0"/>
            </w:tcBorders>
            <w:vAlign w:val="center"/>
          </w:tcPr>
          <w:p w14:paraId="0C8C1954">
            <w:pPr>
              <w:spacing w:line="480" w:lineRule="exact"/>
              <w:rPr>
                <w:rFonts w:hint="eastAsia" w:ascii="宋体" w:hAnsi="宋体" w:eastAsia="宋体" w:cs="宋体"/>
                <w:b/>
                <w:szCs w:val="21"/>
                <w:lang w:eastAsia="zh-CN"/>
              </w:rPr>
            </w:pPr>
            <w:r>
              <w:rPr>
                <w:rFonts w:hint="eastAsia" w:ascii="宋体" w:hAnsi="宋体" w:cs="宋体"/>
                <w:b/>
                <w:szCs w:val="21"/>
              </w:rPr>
              <w:t>项目名称：</w:t>
            </w:r>
            <w:r>
              <w:rPr>
                <w:rFonts w:hint="eastAsia" w:ascii="宋体" w:hAnsi="宋体" w:cs="宋体"/>
                <w:b/>
                <w:szCs w:val="21"/>
                <w:lang w:eastAsia="zh-CN"/>
              </w:rPr>
              <w:t>宁海县交通运输局2025年公路绿化养护服务采购（第二批）</w:t>
            </w:r>
          </w:p>
        </w:tc>
      </w:tr>
      <w:tr w14:paraId="05C95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CBF0320">
            <w:pPr>
              <w:snapToGrid w:val="0"/>
              <w:spacing w:line="480" w:lineRule="exact"/>
              <w:jc w:val="center"/>
              <w:rPr>
                <w:rFonts w:ascii="宋体" w:hAnsi="宋体" w:cs="宋体"/>
                <w:szCs w:val="21"/>
              </w:rPr>
            </w:pPr>
            <w:r>
              <w:rPr>
                <w:rFonts w:hint="eastAsia" w:ascii="宋体" w:hAnsi="宋体" w:cs="宋体"/>
                <w:szCs w:val="21"/>
              </w:rPr>
              <w:t>2</w:t>
            </w:r>
          </w:p>
        </w:tc>
        <w:tc>
          <w:tcPr>
            <w:tcW w:w="8525" w:type="dxa"/>
            <w:tcBorders>
              <w:top w:val="single" w:color="auto" w:sz="4" w:space="0"/>
              <w:left w:val="single" w:color="auto" w:sz="4" w:space="0"/>
              <w:bottom w:val="single" w:color="auto" w:sz="4" w:space="0"/>
              <w:right w:val="single" w:color="auto" w:sz="4" w:space="0"/>
            </w:tcBorders>
            <w:vAlign w:val="center"/>
          </w:tcPr>
          <w:p w14:paraId="38DE6B92">
            <w:pPr>
              <w:spacing w:line="480" w:lineRule="exact"/>
              <w:rPr>
                <w:rFonts w:ascii="宋体" w:hAnsi="宋体" w:cs="宋体"/>
                <w:b/>
                <w:bCs/>
                <w:szCs w:val="21"/>
                <w:highlight w:val="none"/>
              </w:rPr>
            </w:pPr>
            <w:r>
              <w:rPr>
                <w:rFonts w:hint="eastAsia" w:ascii="宋体" w:hAnsi="宋体" w:cs="宋体"/>
                <w:b/>
                <w:szCs w:val="21"/>
                <w:highlight w:val="none"/>
              </w:rPr>
              <w:t>预算金额（人民币）：</w:t>
            </w:r>
            <w:r>
              <w:rPr>
                <w:rFonts w:hint="eastAsia" w:ascii="宋体" w:hAnsi="宋体" w:cs="宋体"/>
                <w:color w:val="000000" w:themeColor="text1"/>
                <w:kern w:val="0"/>
                <w:szCs w:val="21"/>
                <w:highlight w:val="none"/>
                <w:lang w:val="en-US" w:eastAsia="zh-CN"/>
              </w:rPr>
              <w:t>15307246.4元</w:t>
            </w:r>
            <w:r>
              <w:rPr>
                <w:rFonts w:hint="eastAsia" w:asciiTheme="minorEastAsia" w:hAnsiTheme="minorEastAsia" w:eastAsiaTheme="minorEastAsia" w:cstheme="minorEastAsia"/>
                <w:szCs w:val="21"/>
                <w:highlight w:val="none"/>
              </w:rPr>
              <w:t>。</w:t>
            </w:r>
          </w:p>
        </w:tc>
      </w:tr>
      <w:tr w14:paraId="3CEE3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8B02F4E">
            <w:pPr>
              <w:snapToGrid w:val="0"/>
              <w:spacing w:line="480" w:lineRule="exact"/>
              <w:jc w:val="center"/>
              <w:rPr>
                <w:rFonts w:ascii="宋体" w:hAnsi="宋体" w:cs="宋体"/>
                <w:szCs w:val="21"/>
              </w:rPr>
            </w:pPr>
            <w:r>
              <w:rPr>
                <w:rFonts w:hint="eastAsia" w:ascii="宋体" w:hAnsi="宋体" w:cs="宋体"/>
                <w:szCs w:val="21"/>
              </w:rPr>
              <w:t>★3</w:t>
            </w:r>
          </w:p>
        </w:tc>
        <w:tc>
          <w:tcPr>
            <w:tcW w:w="8525" w:type="dxa"/>
            <w:tcBorders>
              <w:top w:val="single" w:color="auto" w:sz="4" w:space="0"/>
              <w:left w:val="single" w:color="auto" w:sz="4" w:space="0"/>
              <w:bottom w:val="single" w:color="auto" w:sz="4" w:space="0"/>
              <w:right w:val="single" w:color="auto" w:sz="4" w:space="0"/>
            </w:tcBorders>
            <w:vAlign w:val="center"/>
          </w:tcPr>
          <w:p w14:paraId="49A59A6A">
            <w:pPr>
              <w:snapToGrid w:val="0"/>
              <w:spacing w:line="360" w:lineRule="auto"/>
              <w:rPr>
                <w:rFonts w:ascii="宋体" w:hAnsi="宋体" w:cs="宋体"/>
                <w:szCs w:val="21"/>
                <w:highlight w:val="none"/>
              </w:rPr>
            </w:pPr>
            <w:r>
              <w:rPr>
                <w:rFonts w:hint="eastAsia" w:ascii="宋体" w:hAnsi="宋体" w:cs="宋体"/>
                <w:szCs w:val="21"/>
                <w:highlight w:val="none"/>
              </w:rPr>
              <w:t>投标报价：</w:t>
            </w:r>
          </w:p>
          <w:p w14:paraId="30F6FB15">
            <w:pPr>
              <w:snapToGrid w:val="0"/>
              <w:spacing w:line="360" w:lineRule="auto"/>
              <w:rPr>
                <w:rFonts w:ascii="宋体" w:hAnsi="宋体" w:cs="宋体"/>
                <w:szCs w:val="21"/>
                <w:highlight w:val="none"/>
              </w:rPr>
            </w:pPr>
            <w:r>
              <w:rPr>
                <w:rFonts w:hint="eastAsia" w:ascii="宋体" w:hAnsi="宋体" w:cs="宋体"/>
                <w:szCs w:val="21"/>
                <w:highlight w:val="none"/>
              </w:rPr>
              <w:t>（1）报价构成：完成招标内容及要求所提供的服务过程中涉及的所有费用。包含但不限于绿化养护作业人员费用[包括人员基本工资、各类福利和补贴（如加班补贴等）、社保（五险）、各种保险]，人员工作服、人员所使用作业工具等各类耗材费，苗木成活、设施维护风险费（因管理不力引起苗木损毁、死亡，设施损坏等免费补齐和修复费用），管理费（包括管理人员、考核人员费用及其他管理费用），养护作业车辆和设备折旧费及运行维护费，</w:t>
            </w:r>
            <w:r>
              <w:rPr>
                <w:rFonts w:hint="eastAsia"/>
                <w:highlight w:val="none"/>
              </w:rPr>
              <w:t>安全文明施工费、安全生产费</w:t>
            </w:r>
            <w:r>
              <w:rPr>
                <w:rFonts w:hint="eastAsia" w:ascii="宋体" w:hAnsi="宋体" w:cs="宋体"/>
                <w:szCs w:val="21"/>
                <w:highlight w:val="none"/>
              </w:rPr>
              <w:t>，税金，利润及其他与本次采购相关的一切费用。</w:t>
            </w:r>
          </w:p>
          <w:p w14:paraId="092BEAD5">
            <w:pPr>
              <w:snapToGrid w:val="0"/>
              <w:spacing w:line="360" w:lineRule="auto"/>
              <w:rPr>
                <w:rFonts w:ascii="宋体" w:hAnsi="宋体" w:cs="宋体"/>
                <w:szCs w:val="21"/>
                <w:highlight w:val="none"/>
              </w:rPr>
            </w:pPr>
            <w:r>
              <w:rPr>
                <w:rFonts w:hint="eastAsia" w:ascii="宋体" w:hAnsi="宋体" w:cs="宋体"/>
                <w:szCs w:val="21"/>
                <w:highlight w:val="none"/>
              </w:rPr>
              <w:t>（2）不论投标结果如何，投标人均应自行承担所有与投标有关的全部费用。</w:t>
            </w:r>
          </w:p>
          <w:p w14:paraId="625A1FA4">
            <w:pPr>
              <w:snapToGrid w:val="0"/>
              <w:spacing w:line="360" w:lineRule="auto"/>
              <w:rPr>
                <w:rFonts w:ascii="宋体" w:hAnsi="宋体" w:cs="宋体"/>
                <w:szCs w:val="21"/>
                <w:highlight w:val="none"/>
              </w:rPr>
            </w:pPr>
            <w:r>
              <w:rPr>
                <w:rFonts w:hint="eastAsia" w:ascii="宋体" w:hAnsi="宋体" w:cs="宋体"/>
                <w:szCs w:val="21"/>
                <w:highlight w:val="none"/>
              </w:rPr>
              <w:t>（3）人工工资不得低于宁海县最低工资标准，投标人应考虑潜在的市场风险及政策风险，在合同履行期间如遇法定基本工资上调等政策性因素的情况，合同价均不作调整。</w:t>
            </w:r>
          </w:p>
          <w:p w14:paraId="472FEADE">
            <w:pPr>
              <w:tabs>
                <w:tab w:val="left" w:pos="625"/>
              </w:tabs>
              <w:spacing w:line="360" w:lineRule="auto"/>
              <w:rPr>
                <w:rFonts w:ascii="宋体" w:hAnsi="宋体" w:cs="宋体"/>
                <w:szCs w:val="21"/>
                <w:highlight w:val="none"/>
              </w:rPr>
            </w:pPr>
            <w:r>
              <w:rPr>
                <w:rFonts w:hint="eastAsia" w:ascii="宋体" w:hAnsi="宋体" w:cs="宋体"/>
                <w:szCs w:val="21"/>
                <w:highlight w:val="none"/>
              </w:rPr>
              <w:t>（4）最高投标限价：林带0.48元/平方米·年，绿地3.24元/平方米·年，精品路线3.3元/平方米·年；</w:t>
            </w:r>
            <w:r>
              <w:rPr>
                <w:rFonts w:hint="eastAsia" w:ascii="宋体" w:hAnsi="宋体" w:cs="宋体"/>
                <w:szCs w:val="21"/>
                <w:highlight w:val="none"/>
                <w:lang w:eastAsia="zh-CN"/>
              </w:rPr>
              <w:t>一年</w:t>
            </w:r>
            <w:r>
              <w:rPr>
                <w:rFonts w:hint="eastAsia" w:ascii="宋体" w:hAnsi="宋体" w:cs="宋体"/>
                <w:szCs w:val="21"/>
                <w:highlight w:val="none"/>
              </w:rPr>
              <w:t>最高限价：标段</w:t>
            </w:r>
            <w:r>
              <w:rPr>
                <w:rFonts w:hint="eastAsia" w:ascii="宋体" w:hAnsi="宋体" w:cs="宋体"/>
                <w:szCs w:val="21"/>
                <w:highlight w:val="none"/>
                <w:lang w:val="en-US" w:eastAsia="zh-CN"/>
              </w:rPr>
              <w:t>一</w:t>
            </w:r>
            <w:r>
              <w:rPr>
                <w:rFonts w:hint="eastAsia" w:ascii="宋体" w:hAnsi="宋体" w:cs="宋体"/>
                <w:kern w:val="0"/>
                <w:szCs w:val="21"/>
                <w:highlight w:val="none"/>
                <w:lang w:val="en-US" w:eastAsia="zh-CN"/>
              </w:rPr>
              <w:t>1538842.7</w:t>
            </w:r>
            <w:r>
              <w:rPr>
                <w:rFonts w:hint="eastAsia" w:ascii="宋体" w:hAnsi="宋体" w:cs="宋体"/>
                <w:szCs w:val="21"/>
                <w:highlight w:val="none"/>
              </w:rPr>
              <w:t>元，标段</w:t>
            </w:r>
            <w:r>
              <w:rPr>
                <w:rFonts w:hint="eastAsia" w:ascii="宋体" w:hAnsi="宋体" w:cs="宋体"/>
                <w:szCs w:val="21"/>
                <w:highlight w:val="none"/>
                <w:lang w:val="en-US" w:eastAsia="zh-CN"/>
              </w:rPr>
              <w:t>二</w:t>
            </w:r>
            <w:r>
              <w:rPr>
                <w:rFonts w:hint="eastAsia" w:ascii="宋体" w:hAnsi="宋体" w:cs="宋体"/>
                <w:kern w:val="0"/>
                <w:szCs w:val="21"/>
                <w:highlight w:val="none"/>
                <w:lang w:val="en-US" w:eastAsia="zh-CN"/>
              </w:rPr>
              <w:t>1617946.49</w:t>
            </w:r>
            <w:r>
              <w:rPr>
                <w:rFonts w:hint="eastAsia" w:ascii="宋体" w:hAnsi="宋体" w:cs="宋体"/>
                <w:szCs w:val="21"/>
                <w:highlight w:val="none"/>
              </w:rPr>
              <w:t>元，标段</w:t>
            </w:r>
            <w:r>
              <w:rPr>
                <w:rFonts w:hint="eastAsia" w:ascii="宋体" w:hAnsi="宋体" w:cs="宋体"/>
                <w:szCs w:val="21"/>
                <w:highlight w:val="none"/>
                <w:lang w:val="en-US" w:eastAsia="zh-CN"/>
              </w:rPr>
              <w:t>三</w:t>
            </w:r>
            <w:r>
              <w:rPr>
                <w:rFonts w:hint="eastAsia" w:ascii="宋体" w:hAnsi="宋体" w:cs="宋体"/>
                <w:kern w:val="0"/>
                <w:szCs w:val="21"/>
                <w:highlight w:val="none"/>
                <w:lang w:val="en-US" w:eastAsia="zh-CN"/>
              </w:rPr>
              <w:t>1409561.68</w:t>
            </w:r>
            <w:r>
              <w:rPr>
                <w:rFonts w:hint="eastAsia" w:ascii="宋体" w:hAnsi="宋体" w:cs="宋体"/>
                <w:szCs w:val="21"/>
                <w:highlight w:val="none"/>
              </w:rPr>
              <w:t>元</w:t>
            </w:r>
            <w:r>
              <w:rPr>
                <w:rFonts w:hint="eastAsia" w:ascii="宋体" w:hAnsi="宋体" w:cs="宋体"/>
                <w:szCs w:val="21"/>
                <w:highlight w:val="none"/>
                <w:lang w:eastAsia="zh-CN"/>
              </w:rPr>
              <w:t>、标段</w:t>
            </w:r>
            <w:r>
              <w:rPr>
                <w:rFonts w:hint="eastAsia" w:ascii="宋体" w:hAnsi="宋体" w:cs="宋体"/>
                <w:szCs w:val="21"/>
                <w:highlight w:val="none"/>
                <w:lang w:val="en-US" w:eastAsia="zh-CN"/>
              </w:rPr>
              <w:t>四</w:t>
            </w:r>
            <w:r>
              <w:rPr>
                <w:rFonts w:hint="default" w:ascii="宋体" w:hAnsi="宋体" w:cs="宋体"/>
                <w:color w:val="000000" w:themeColor="text1"/>
                <w:kern w:val="0"/>
                <w:szCs w:val="21"/>
                <w:highlight w:val="none"/>
                <w:lang w:val="en-US" w:eastAsia="zh-CN"/>
              </w:rPr>
              <w:t>1556547.69</w:t>
            </w:r>
            <w:r>
              <w:rPr>
                <w:rFonts w:hint="eastAsia" w:ascii="宋体" w:hAnsi="宋体" w:cs="宋体"/>
                <w:szCs w:val="21"/>
                <w:highlight w:val="none"/>
                <w:lang w:val="en-US" w:eastAsia="zh-CN"/>
              </w:rPr>
              <w:t xml:space="preserve"> </w:t>
            </w:r>
            <w:r>
              <w:rPr>
                <w:rFonts w:hint="eastAsia" w:ascii="宋体" w:hAnsi="宋体" w:cs="宋体"/>
                <w:szCs w:val="21"/>
                <w:highlight w:val="none"/>
              </w:rPr>
              <w:t>；总价最高限价：标段</w:t>
            </w:r>
            <w:r>
              <w:rPr>
                <w:rFonts w:hint="eastAsia" w:ascii="宋体" w:hAnsi="宋体" w:cs="宋体"/>
                <w:szCs w:val="21"/>
                <w:highlight w:val="none"/>
                <w:lang w:val="en-US" w:eastAsia="zh-CN"/>
              </w:rPr>
              <w:t>一</w:t>
            </w:r>
            <w:r>
              <w:rPr>
                <w:rFonts w:hint="eastAsia" w:ascii="宋体" w:hAnsi="宋体" w:cs="宋体"/>
                <w:kern w:val="0"/>
                <w:szCs w:val="21"/>
                <w:highlight w:val="none"/>
                <w:lang w:val="en-US" w:eastAsia="zh-CN"/>
              </w:rPr>
              <w:t>3847106.75</w:t>
            </w:r>
            <w:r>
              <w:rPr>
                <w:rFonts w:hint="eastAsia" w:ascii="宋体" w:hAnsi="宋体" w:cs="宋体"/>
                <w:szCs w:val="21"/>
                <w:highlight w:val="none"/>
              </w:rPr>
              <w:t>元，标段</w:t>
            </w:r>
            <w:r>
              <w:rPr>
                <w:rFonts w:hint="eastAsia" w:ascii="宋体" w:hAnsi="宋体" w:cs="宋体"/>
                <w:szCs w:val="21"/>
                <w:highlight w:val="none"/>
                <w:lang w:val="en-US" w:eastAsia="zh-CN"/>
              </w:rPr>
              <w:t>二</w:t>
            </w:r>
            <w:r>
              <w:rPr>
                <w:rFonts w:hint="eastAsia" w:ascii="宋体" w:hAnsi="宋体" w:cs="宋体"/>
                <w:kern w:val="0"/>
                <w:szCs w:val="21"/>
                <w:highlight w:val="none"/>
                <w:lang w:val="en-US" w:eastAsia="zh-CN"/>
              </w:rPr>
              <w:t>4044866.22</w:t>
            </w:r>
            <w:r>
              <w:rPr>
                <w:rFonts w:hint="eastAsia" w:ascii="宋体" w:hAnsi="宋体" w:cs="宋体"/>
                <w:szCs w:val="21"/>
                <w:highlight w:val="none"/>
              </w:rPr>
              <w:t>元，标段</w:t>
            </w:r>
            <w:r>
              <w:rPr>
                <w:rFonts w:hint="eastAsia" w:ascii="宋体" w:hAnsi="宋体" w:cs="宋体"/>
                <w:szCs w:val="21"/>
                <w:highlight w:val="none"/>
                <w:lang w:val="en-US" w:eastAsia="zh-CN"/>
              </w:rPr>
              <w:t>三</w:t>
            </w:r>
            <w:r>
              <w:rPr>
                <w:rFonts w:hint="eastAsia" w:ascii="宋体" w:hAnsi="宋体" w:cs="宋体"/>
                <w:kern w:val="0"/>
                <w:szCs w:val="21"/>
                <w:highlight w:val="none"/>
                <w:lang w:val="en-US" w:eastAsia="zh-CN"/>
              </w:rPr>
              <w:t>3523904.20</w:t>
            </w:r>
            <w:r>
              <w:rPr>
                <w:rFonts w:hint="eastAsia" w:ascii="宋体" w:hAnsi="宋体" w:cs="宋体"/>
                <w:szCs w:val="21"/>
                <w:highlight w:val="none"/>
              </w:rPr>
              <w:t>元</w:t>
            </w:r>
            <w:r>
              <w:rPr>
                <w:rFonts w:hint="eastAsia" w:ascii="宋体" w:hAnsi="宋体" w:cs="宋体"/>
                <w:szCs w:val="21"/>
                <w:highlight w:val="none"/>
                <w:lang w:eastAsia="zh-CN"/>
              </w:rPr>
              <w:t>，标段</w:t>
            </w:r>
            <w:r>
              <w:rPr>
                <w:rFonts w:hint="eastAsia" w:ascii="宋体" w:hAnsi="宋体" w:cs="宋体"/>
                <w:szCs w:val="21"/>
                <w:highlight w:val="none"/>
                <w:lang w:val="en-US" w:eastAsia="zh-CN"/>
              </w:rPr>
              <w:t>四</w:t>
            </w:r>
            <w:r>
              <w:rPr>
                <w:rFonts w:hint="eastAsia" w:ascii="宋体" w:hAnsi="宋体" w:cs="宋体"/>
                <w:color w:val="000000" w:themeColor="text1"/>
                <w:kern w:val="0"/>
                <w:szCs w:val="21"/>
                <w:highlight w:val="none"/>
                <w:lang w:val="en-US" w:eastAsia="zh-CN"/>
              </w:rPr>
              <w:t>3891369.23元</w:t>
            </w:r>
            <w:r>
              <w:rPr>
                <w:rFonts w:hint="eastAsia" w:ascii="宋体" w:hAnsi="宋体" w:cs="宋体"/>
                <w:szCs w:val="21"/>
                <w:highlight w:val="none"/>
              </w:rPr>
              <w:t>。</w:t>
            </w:r>
          </w:p>
          <w:p w14:paraId="64462B58">
            <w:pPr>
              <w:tabs>
                <w:tab w:val="left" w:pos="625"/>
              </w:tabs>
              <w:spacing w:line="360" w:lineRule="auto"/>
              <w:rPr>
                <w:highlight w:val="none"/>
              </w:rPr>
            </w:pPr>
            <w:r>
              <w:rPr>
                <w:rFonts w:hint="eastAsia" w:ascii="宋体" w:hAnsi="宋体" w:cs="宋体"/>
                <w:szCs w:val="21"/>
                <w:highlight w:val="none"/>
              </w:rPr>
              <w:t>（5）</w:t>
            </w:r>
            <w:r>
              <w:rPr>
                <w:rFonts w:hint="eastAsia"/>
                <w:highlight w:val="none"/>
              </w:rPr>
              <w:t>计量单位：按照招标内容要求分项分部计量；</w:t>
            </w:r>
          </w:p>
          <w:p w14:paraId="7554282C">
            <w:pPr>
              <w:tabs>
                <w:tab w:val="left" w:pos="625"/>
              </w:tabs>
              <w:spacing w:line="360" w:lineRule="auto"/>
              <w:rPr>
                <w:highlight w:val="none"/>
              </w:rPr>
            </w:pPr>
            <w:r>
              <w:rPr>
                <w:rFonts w:hint="eastAsia" w:ascii="宋体" w:hAnsi="宋体" w:cs="宋体"/>
                <w:szCs w:val="21"/>
                <w:highlight w:val="none"/>
              </w:rPr>
              <w:t>（6）</w:t>
            </w:r>
            <w:r>
              <w:rPr>
                <w:rFonts w:hint="eastAsia"/>
                <w:highlight w:val="none"/>
              </w:rPr>
              <w:t>报价货币：一律以人民币计算。</w:t>
            </w:r>
          </w:p>
          <w:p w14:paraId="0639275D">
            <w:pPr>
              <w:tabs>
                <w:tab w:val="left" w:pos="625"/>
              </w:tabs>
              <w:spacing w:line="360" w:lineRule="auto"/>
              <w:rPr>
                <w:highlight w:val="none"/>
              </w:rPr>
            </w:pPr>
            <w:r>
              <w:rPr>
                <w:rFonts w:hint="eastAsia"/>
                <w:highlight w:val="none"/>
              </w:rPr>
              <w:t>工作量（数量）增减变更：</w:t>
            </w:r>
          </w:p>
          <w:p w14:paraId="05BB263B">
            <w:pPr>
              <w:tabs>
                <w:tab w:val="left" w:pos="625"/>
              </w:tabs>
              <w:spacing w:line="360" w:lineRule="auto"/>
              <w:rPr>
                <w:highlight w:val="none"/>
              </w:rPr>
            </w:pPr>
            <w:r>
              <w:rPr>
                <w:rFonts w:hint="eastAsia" w:ascii="宋体" w:hAnsi="宋体" w:cs="宋体"/>
                <w:szCs w:val="21"/>
                <w:highlight w:val="none"/>
              </w:rPr>
              <w:t>（1）</w:t>
            </w:r>
            <w:r>
              <w:rPr>
                <w:rFonts w:hint="eastAsia"/>
                <w:highlight w:val="none"/>
              </w:rPr>
              <w:t>如养护数量发生变更，采购人根据各标段的综合单价和联系单，按实计算；</w:t>
            </w:r>
          </w:p>
          <w:p w14:paraId="03DC02B2">
            <w:pPr>
              <w:pStyle w:val="36"/>
              <w:spacing w:line="360" w:lineRule="auto"/>
              <w:rPr>
                <w:rFonts w:ascii="宋体" w:hAnsi="宋体" w:cs="宋体"/>
                <w:szCs w:val="21"/>
                <w:highlight w:val="none"/>
              </w:rPr>
            </w:pPr>
            <w:r>
              <w:rPr>
                <w:rFonts w:hint="eastAsia" w:ascii="宋体" w:hAnsi="宋体" w:eastAsia="宋体" w:cs="宋体"/>
                <w:sz w:val="21"/>
                <w:szCs w:val="21"/>
                <w:highlight w:val="none"/>
              </w:rPr>
              <w:t>（2）</w:t>
            </w:r>
            <w:r>
              <w:rPr>
                <w:rFonts w:hint="eastAsia" w:eastAsia="宋体" w:cs="黑体"/>
                <w:sz w:val="21"/>
                <w:szCs w:val="24"/>
                <w:highlight w:val="none"/>
              </w:rPr>
              <w:t>在养护期间养护标准上调的，应按最新的养护标准进行养护。</w:t>
            </w:r>
          </w:p>
        </w:tc>
      </w:tr>
      <w:tr w14:paraId="14DFA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A338BFE">
            <w:pPr>
              <w:snapToGrid w:val="0"/>
              <w:spacing w:line="480" w:lineRule="exact"/>
              <w:jc w:val="center"/>
              <w:rPr>
                <w:rFonts w:ascii="宋体" w:hAnsi="宋体" w:cs="宋体"/>
                <w:szCs w:val="21"/>
              </w:rPr>
            </w:pPr>
            <w:r>
              <w:rPr>
                <w:rFonts w:hint="eastAsia" w:ascii="宋体" w:hAnsi="宋体" w:cs="宋体"/>
                <w:szCs w:val="21"/>
              </w:rPr>
              <w:t>4</w:t>
            </w:r>
          </w:p>
        </w:tc>
        <w:tc>
          <w:tcPr>
            <w:tcW w:w="8525" w:type="dxa"/>
            <w:tcBorders>
              <w:top w:val="single" w:color="auto" w:sz="4" w:space="0"/>
              <w:left w:val="single" w:color="auto" w:sz="4" w:space="0"/>
              <w:bottom w:val="single" w:color="auto" w:sz="4" w:space="0"/>
              <w:right w:val="single" w:color="auto" w:sz="4" w:space="0"/>
            </w:tcBorders>
            <w:vAlign w:val="center"/>
          </w:tcPr>
          <w:p w14:paraId="74C2331B">
            <w:pPr>
              <w:snapToGrid w:val="0"/>
              <w:spacing w:line="360" w:lineRule="auto"/>
              <w:rPr>
                <w:rFonts w:ascii="宋体" w:hAnsi="宋体" w:cs="宋体"/>
                <w:szCs w:val="21"/>
              </w:rPr>
            </w:pPr>
            <w:r>
              <w:rPr>
                <w:rFonts w:hint="eastAsia" w:ascii="宋体" w:hAnsi="宋体" w:cs="宋体"/>
                <w:szCs w:val="21"/>
              </w:rPr>
              <w:t>投标文件数量：</w:t>
            </w:r>
          </w:p>
          <w:p w14:paraId="441F58EB">
            <w:pPr>
              <w:snapToGrid w:val="0"/>
              <w:spacing w:line="360" w:lineRule="auto"/>
              <w:rPr>
                <w:rFonts w:ascii="宋体" w:hAnsi="宋体" w:cs="宋体"/>
                <w:szCs w:val="21"/>
              </w:rPr>
            </w:pPr>
            <w:r>
              <w:rPr>
                <w:rFonts w:hint="eastAsia" w:ascii="宋体" w:hAnsi="宋体" w:cs="宋体"/>
                <w:szCs w:val="21"/>
              </w:rPr>
              <w:t>上传到政府采购云平台的电子投标文件（含资格文件、商务技术文件、报价文件）1份。</w:t>
            </w:r>
          </w:p>
          <w:p w14:paraId="48735AD1">
            <w:pPr>
              <w:snapToGrid w:val="0"/>
              <w:spacing w:line="360" w:lineRule="auto"/>
              <w:rPr>
                <w:rFonts w:ascii="宋体" w:hAnsi="宋体" w:cs="宋体"/>
                <w:szCs w:val="21"/>
              </w:rPr>
            </w:pPr>
            <w:r>
              <w:rPr>
                <w:rFonts w:hint="eastAsia" w:ascii="宋体" w:hAnsi="宋体" w:cs="宋体"/>
                <w:szCs w:val="21"/>
              </w:rPr>
              <w:t>以U盘存储的电子备份投标文件（含资格文件、商务技术文件、报价文件）1份。</w:t>
            </w:r>
          </w:p>
        </w:tc>
      </w:tr>
      <w:tr w14:paraId="424DA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6E70129">
            <w:pPr>
              <w:snapToGrid w:val="0"/>
              <w:spacing w:line="480" w:lineRule="exact"/>
              <w:jc w:val="center"/>
              <w:rPr>
                <w:rFonts w:ascii="宋体" w:hAnsi="宋体" w:cs="宋体"/>
                <w:szCs w:val="21"/>
              </w:rPr>
            </w:pPr>
            <w:r>
              <w:rPr>
                <w:rFonts w:hint="eastAsia" w:ascii="宋体" w:hAnsi="宋体" w:cs="宋体"/>
                <w:szCs w:val="21"/>
              </w:rPr>
              <w:t>★5</w:t>
            </w:r>
          </w:p>
        </w:tc>
        <w:tc>
          <w:tcPr>
            <w:tcW w:w="8525" w:type="dxa"/>
            <w:tcBorders>
              <w:top w:val="single" w:color="auto" w:sz="4" w:space="0"/>
              <w:left w:val="single" w:color="auto" w:sz="4" w:space="0"/>
              <w:bottom w:val="single" w:color="auto" w:sz="4" w:space="0"/>
              <w:right w:val="single" w:color="auto" w:sz="4" w:space="0"/>
            </w:tcBorders>
            <w:vAlign w:val="center"/>
          </w:tcPr>
          <w:p w14:paraId="44C2AFE8">
            <w:pPr>
              <w:autoSpaceDE w:val="0"/>
              <w:autoSpaceDN w:val="0"/>
              <w:snapToGrid w:val="0"/>
              <w:spacing w:line="360" w:lineRule="auto"/>
              <w:ind w:left="877" w:hanging="877"/>
              <w:contextualSpacing/>
            </w:pPr>
            <w:r>
              <w:rPr>
                <w:rFonts w:hint="eastAsia"/>
              </w:rPr>
              <w:t>开标顺序：</w:t>
            </w:r>
          </w:p>
          <w:p w14:paraId="376DA90C">
            <w:pPr>
              <w:tabs>
                <w:tab w:val="left" w:pos="2160"/>
              </w:tabs>
              <w:spacing w:line="360" w:lineRule="auto"/>
            </w:pPr>
            <w:r>
              <w:rPr>
                <w:rFonts w:hint="eastAsia"/>
              </w:rPr>
              <w:t>（1）</w:t>
            </w:r>
            <w:r>
              <w:t>按照投标的顺序依次开标，按照招标内容分类分段依次唱标</w:t>
            </w:r>
            <w:r>
              <w:rPr>
                <w:rFonts w:hint="eastAsia"/>
              </w:rPr>
              <w:t>；</w:t>
            </w:r>
          </w:p>
          <w:p w14:paraId="706E47F8">
            <w:pPr>
              <w:tabs>
                <w:tab w:val="left" w:pos="2160"/>
              </w:tabs>
              <w:spacing w:line="360" w:lineRule="auto"/>
              <w:rPr>
                <w:rFonts w:hint="eastAsia"/>
                <w:lang w:eastAsia="zh-CN"/>
              </w:rPr>
            </w:pPr>
            <w:r>
              <w:t>开标时，先开</w:t>
            </w:r>
            <w:r>
              <w:rPr>
                <w:rFonts w:hint="eastAsia" w:ascii="宋体" w:hAnsi="宋体" w:cs="宋体"/>
                <w:szCs w:val="21"/>
              </w:rPr>
              <w:t>资格审查文件、</w:t>
            </w:r>
            <w:r>
              <w:t>技术商务文件，待技术商务文件</w:t>
            </w:r>
            <w:r>
              <w:rPr>
                <w:rFonts w:hint="eastAsia"/>
              </w:rPr>
              <w:t>、</w:t>
            </w:r>
            <w:r>
              <w:rPr>
                <w:rFonts w:hint="eastAsia" w:ascii="宋体" w:hAnsi="宋体" w:cs="宋体"/>
                <w:szCs w:val="21"/>
              </w:rPr>
              <w:t>资格审查文件</w:t>
            </w:r>
            <w:r>
              <w:t>评审结束后开启投标报价文件。如技术商务文件</w:t>
            </w:r>
            <w:r>
              <w:rPr>
                <w:rFonts w:hint="eastAsia"/>
              </w:rPr>
              <w:t>、</w:t>
            </w:r>
            <w:r>
              <w:rPr>
                <w:rFonts w:hint="eastAsia" w:ascii="宋体" w:hAnsi="宋体" w:cs="宋体"/>
                <w:szCs w:val="21"/>
              </w:rPr>
              <w:t>资格审查文件</w:t>
            </w:r>
            <w:r>
              <w:t>经评审确定为无效</w:t>
            </w:r>
            <w:r>
              <w:rPr>
                <w:rFonts w:hint="eastAsia"/>
              </w:rPr>
              <w:t>标</w:t>
            </w:r>
            <w:r>
              <w:t>的投标单位则不能进</w:t>
            </w:r>
            <w:r>
              <w:rPr>
                <w:rFonts w:hint="eastAsia"/>
              </w:rPr>
              <w:t>行报价文件的评审，作为无效标处理</w:t>
            </w:r>
            <w:r>
              <w:rPr>
                <w:rFonts w:hint="eastAsia"/>
                <w:lang w:eastAsia="zh-CN"/>
              </w:rPr>
              <w:t>。</w:t>
            </w:r>
          </w:p>
          <w:p w14:paraId="3904477E">
            <w:pPr>
              <w:tabs>
                <w:tab w:val="left" w:pos="2160"/>
              </w:tabs>
              <w:spacing w:line="360" w:lineRule="auto"/>
              <w:rPr>
                <w:rFonts w:hint="eastAsia"/>
                <w:lang w:eastAsia="zh-CN"/>
              </w:rPr>
            </w:pPr>
            <w:r>
              <w:rPr>
                <w:rFonts w:hint="eastAsia"/>
                <w:b/>
                <w:bCs/>
                <w:lang w:val="en-US" w:eastAsia="zh-CN"/>
              </w:rPr>
              <w:t>（2）评审顺序按标段序号依次评审，各标段选择不同的中标人，即投标人获得一个标段的第一中标候选人资格后，不得参与后续标段的评审。</w:t>
            </w:r>
          </w:p>
        </w:tc>
      </w:tr>
      <w:tr w14:paraId="4F76F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A9D9BF">
            <w:pPr>
              <w:snapToGrid w:val="0"/>
              <w:spacing w:line="480" w:lineRule="exact"/>
              <w:jc w:val="center"/>
              <w:rPr>
                <w:rFonts w:ascii="宋体" w:hAnsi="宋体" w:cs="宋体"/>
                <w:szCs w:val="21"/>
              </w:rPr>
            </w:pPr>
            <w:r>
              <w:rPr>
                <w:rFonts w:hint="eastAsia" w:ascii="宋体" w:hAnsi="宋体" w:cs="宋体"/>
                <w:szCs w:val="21"/>
              </w:rPr>
              <w:t>6</w:t>
            </w:r>
          </w:p>
        </w:tc>
        <w:tc>
          <w:tcPr>
            <w:tcW w:w="8525" w:type="dxa"/>
            <w:tcBorders>
              <w:top w:val="single" w:color="auto" w:sz="4" w:space="0"/>
              <w:left w:val="single" w:color="auto" w:sz="4" w:space="0"/>
              <w:bottom w:val="single" w:color="auto" w:sz="4" w:space="0"/>
              <w:right w:val="single" w:color="auto" w:sz="4" w:space="0"/>
            </w:tcBorders>
            <w:vAlign w:val="center"/>
          </w:tcPr>
          <w:p w14:paraId="147017BE">
            <w:pPr>
              <w:spacing w:line="360" w:lineRule="auto"/>
              <w:jc w:val="left"/>
              <w:rPr>
                <w:rFonts w:ascii="宋体" w:hAnsi="宋体" w:cs="宋体"/>
                <w:szCs w:val="21"/>
              </w:rPr>
            </w:pPr>
            <w:r>
              <w:rPr>
                <w:rFonts w:hint="eastAsia" w:ascii="宋体" w:hAnsi="宋体" w:cs="宋体"/>
                <w:szCs w:val="21"/>
              </w:rPr>
              <w:t>招标代理服务费:</w:t>
            </w:r>
          </w:p>
          <w:p w14:paraId="50FECB2E">
            <w:pPr>
              <w:snapToGrid w:val="0"/>
              <w:spacing w:line="360" w:lineRule="auto"/>
              <w:jc w:val="left"/>
              <w:rPr>
                <w:rFonts w:ascii="宋体" w:hAnsi="宋体" w:cs="宋体"/>
                <w:szCs w:val="21"/>
              </w:rPr>
            </w:pPr>
            <w:r>
              <w:rPr>
                <w:rFonts w:hint="eastAsia" w:ascii="宋体" w:hAnsi="宋体" w:cs="宋体"/>
                <w:szCs w:val="21"/>
              </w:rPr>
              <w:t>1）招标代理服务费的收取标准：本招标代理公司按照如下服务招标收费率，按照中标通知书确定的中标总金额，向各标段中标供应商收取招标代理服务费。中标供应商在领取中标通知书前向本招标公司支付招标代理服务费。（附表）</w:t>
            </w:r>
          </w:p>
          <w:p w14:paraId="50216A01">
            <w:pPr>
              <w:snapToGrid w:val="0"/>
              <w:spacing w:line="360" w:lineRule="auto"/>
              <w:jc w:val="left"/>
              <w:rPr>
                <w:rFonts w:ascii="宋体" w:hAnsi="宋体" w:cs="宋体"/>
                <w:szCs w:val="21"/>
              </w:rPr>
            </w:pPr>
            <w:r>
              <w:rPr>
                <w:rFonts w:hint="eastAsia" w:ascii="宋体" w:hAnsi="宋体" w:cs="宋体"/>
                <w:szCs w:val="21"/>
              </w:rPr>
              <w:t>（2）招标服务费只收现金、银行票汇款、电.汇款、银行转账。</w:t>
            </w:r>
          </w:p>
          <w:p w14:paraId="3F69649B">
            <w:pPr>
              <w:snapToGrid w:val="0"/>
              <w:spacing w:line="360" w:lineRule="auto"/>
              <w:jc w:val="left"/>
            </w:pPr>
            <w:r>
              <w:rPr>
                <w:rFonts w:hint="eastAsia" w:ascii="宋体" w:hAnsi="宋体" w:cs="宋体"/>
                <w:szCs w:val="21"/>
              </w:rPr>
              <w:t>（3）各标段中标供应商如未按以上1条规定办理。</w:t>
            </w:r>
          </w:p>
          <w:p w14:paraId="4A9CDF86">
            <w:pPr>
              <w:pStyle w:val="27"/>
              <w:ind w:firstLine="0" w:firstLineChars="0"/>
              <w:rPr>
                <w:rFonts w:hAnsi="宋体" w:cs="宋体"/>
                <w:sz w:val="21"/>
                <w:szCs w:val="21"/>
              </w:rPr>
            </w:pPr>
            <w:r>
              <w:rPr>
                <w:rFonts w:hint="eastAsia" w:hAnsi="宋体" w:cs="宋体"/>
                <w:sz w:val="21"/>
                <w:szCs w:val="21"/>
              </w:rPr>
              <w:t>附表：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673"/>
              <w:gridCol w:w="1674"/>
              <w:gridCol w:w="1642"/>
            </w:tblGrid>
            <w:tr w14:paraId="71FE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71" w:type="dxa"/>
                  <w:vAlign w:val="center"/>
                </w:tcPr>
                <w:p w14:paraId="2FDC311F">
                  <w:pPr>
                    <w:tabs>
                      <w:tab w:val="center" w:pos="4153"/>
                      <w:tab w:val="right" w:pos="8306"/>
                    </w:tabs>
                    <w:snapToGrid w:val="0"/>
                    <w:spacing w:line="360" w:lineRule="auto"/>
                    <w:jc w:val="center"/>
                    <w:rPr>
                      <w:rFonts w:ascii="宋体" w:hAnsi="宋体" w:cs="宋体"/>
                      <w:szCs w:val="21"/>
                    </w:rPr>
                  </w:pPr>
                  <w:r>
                    <w:rPr>
                      <w:rFonts w:ascii="微软雅黑" w:hAnsi="微软雅黑" w:eastAsia="微软雅黑" w:cs="微软雅黑"/>
                      <w:snapToGrid w:val="0"/>
                      <w:szCs w:val="21"/>
                      <w:lang w:val="zh-CN"/>
                    </w:rPr>
                    <w:pict>
                      <v:line id="_x0000_s2050" o:spid="_x0000_s2050" o:spt="20" style="position:absolute;left:0pt;margin-left:-4.1pt;margin-top:1.85pt;height:39.05pt;width:112.5pt;z-index:251660288;mso-width-relative:page;mso-height-relative:page;" coordsize="21600,21600" o:gfxdata="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8GGcHWAAAABwEAAA8AAAAAAAAAAQAgAAAAIgAAAGRycy9kb3ducmV2&#10;LnhtbFBLAQIUABQAAAAIAIdO4kAhhgfr/gEAAPcDAAAOAAAAAAAAAAEAIAAAACUBAABkcnMvZTJv&#10;RG9jLnhtbFBLBQYAAAAABgAGAFkBAACVBQAAAAA=&#10;">
                        <v:path arrowok="t"/>
                        <v:fill focussize="0,0"/>
                        <v:stroke/>
                        <v:imagedata o:title=""/>
                        <o:lock v:ext="edit"/>
                      </v:line>
                    </w:pict>
                  </w:r>
                  <w:r>
                    <w:rPr>
                      <w:rFonts w:hint="eastAsia" w:ascii="微软雅黑" w:hAnsi="微软雅黑" w:eastAsia="微软雅黑" w:cs="微软雅黑"/>
                      <w:snapToGrid w:val="0"/>
                      <w:szCs w:val="21"/>
                    </w:rPr>
                    <w:t xml:space="preserve">         </w:t>
                  </w:r>
                  <w:r>
                    <w:rPr>
                      <w:rFonts w:hint="eastAsia" w:ascii="宋体" w:hAnsi="宋体" w:cs="宋体"/>
                      <w:szCs w:val="21"/>
                    </w:rPr>
                    <w:t xml:space="preserve">  费率</w:t>
                  </w:r>
                </w:p>
                <w:p w14:paraId="02D6D2B4">
                  <w:pPr>
                    <w:tabs>
                      <w:tab w:val="center" w:pos="4153"/>
                      <w:tab w:val="right" w:pos="8306"/>
                    </w:tabs>
                    <w:snapToGrid w:val="0"/>
                    <w:spacing w:line="360" w:lineRule="auto"/>
                    <w:rPr>
                      <w:rFonts w:ascii="微软雅黑" w:hAnsi="微软雅黑" w:eastAsia="微软雅黑" w:cs="微软雅黑"/>
                      <w:snapToGrid w:val="0"/>
                      <w:szCs w:val="21"/>
                    </w:rPr>
                  </w:pPr>
                  <w:r>
                    <w:rPr>
                      <w:rFonts w:hint="eastAsia" w:ascii="宋体" w:hAnsi="宋体" w:cs="宋体"/>
                      <w:szCs w:val="21"/>
                    </w:rPr>
                    <w:t>中标金额</w:t>
                  </w:r>
                </w:p>
              </w:tc>
              <w:tc>
                <w:tcPr>
                  <w:tcW w:w="1673" w:type="dxa"/>
                  <w:vAlign w:val="center"/>
                </w:tcPr>
                <w:p w14:paraId="2E0CB532">
                  <w:pPr>
                    <w:snapToGrid w:val="0"/>
                    <w:spacing w:line="480" w:lineRule="exact"/>
                    <w:ind w:firstLine="210" w:firstLineChars="100"/>
                    <w:jc w:val="left"/>
                    <w:rPr>
                      <w:rFonts w:ascii="宋体" w:hAnsi="宋体" w:cs="宋体"/>
                      <w:szCs w:val="21"/>
                    </w:rPr>
                  </w:pPr>
                  <w:r>
                    <w:rPr>
                      <w:rFonts w:hint="eastAsia" w:ascii="宋体" w:hAnsi="宋体" w:cs="宋体"/>
                      <w:szCs w:val="21"/>
                    </w:rPr>
                    <w:t>货物招标</w:t>
                  </w:r>
                </w:p>
              </w:tc>
              <w:tc>
                <w:tcPr>
                  <w:tcW w:w="1674" w:type="dxa"/>
                  <w:vAlign w:val="center"/>
                </w:tcPr>
                <w:p w14:paraId="23BDEF36">
                  <w:pPr>
                    <w:snapToGrid w:val="0"/>
                    <w:spacing w:line="480" w:lineRule="exact"/>
                    <w:ind w:firstLine="210" w:firstLineChars="100"/>
                    <w:jc w:val="left"/>
                    <w:rPr>
                      <w:rFonts w:ascii="宋体" w:hAnsi="宋体" w:cs="宋体"/>
                      <w:szCs w:val="21"/>
                    </w:rPr>
                  </w:pPr>
                  <w:r>
                    <w:rPr>
                      <w:rFonts w:hint="eastAsia" w:ascii="宋体" w:hAnsi="宋体" w:cs="宋体"/>
                      <w:szCs w:val="21"/>
                    </w:rPr>
                    <w:t>服务招标</w:t>
                  </w:r>
                </w:p>
              </w:tc>
              <w:tc>
                <w:tcPr>
                  <w:tcW w:w="1642" w:type="dxa"/>
                  <w:vAlign w:val="center"/>
                </w:tcPr>
                <w:p w14:paraId="108C0071">
                  <w:pPr>
                    <w:snapToGrid w:val="0"/>
                    <w:spacing w:line="480" w:lineRule="exact"/>
                    <w:ind w:firstLine="210" w:firstLineChars="100"/>
                    <w:jc w:val="left"/>
                    <w:rPr>
                      <w:rFonts w:ascii="宋体" w:hAnsi="宋体" w:cs="宋体"/>
                      <w:szCs w:val="21"/>
                    </w:rPr>
                  </w:pPr>
                  <w:r>
                    <w:rPr>
                      <w:rFonts w:hint="eastAsia" w:ascii="宋体" w:hAnsi="宋体" w:cs="宋体"/>
                      <w:szCs w:val="21"/>
                    </w:rPr>
                    <w:t>工程招标</w:t>
                  </w:r>
                </w:p>
              </w:tc>
            </w:tr>
            <w:tr w14:paraId="2090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vAlign w:val="center"/>
                </w:tcPr>
                <w:p w14:paraId="1689BBD0">
                  <w:pPr>
                    <w:tabs>
                      <w:tab w:val="center" w:pos="4153"/>
                      <w:tab w:val="right" w:pos="8306"/>
                    </w:tabs>
                    <w:snapToGrid w:val="0"/>
                    <w:spacing w:line="360" w:lineRule="auto"/>
                    <w:jc w:val="center"/>
                    <w:rPr>
                      <w:rFonts w:ascii="微软雅黑" w:hAnsi="微软雅黑" w:eastAsia="微软雅黑" w:cs="微软雅黑"/>
                      <w:snapToGrid w:val="0"/>
                      <w:szCs w:val="21"/>
                    </w:rPr>
                  </w:pPr>
                  <w:r>
                    <w:rPr>
                      <w:rFonts w:hint="eastAsia" w:ascii="宋体" w:hAnsi="宋体" w:cs="宋体"/>
                      <w:szCs w:val="21"/>
                    </w:rPr>
                    <w:t>100万以下</w:t>
                  </w:r>
                </w:p>
              </w:tc>
              <w:tc>
                <w:tcPr>
                  <w:tcW w:w="1673" w:type="dxa"/>
                  <w:vAlign w:val="center"/>
                </w:tcPr>
                <w:p w14:paraId="0662F30F">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1.5％</w:t>
                  </w:r>
                </w:p>
              </w:tc>
              <w:tc>
                <w:tcPr>
                  <w:tcW w:w="1674" w:type="dxa"/>
                  <w:vAlign w:val="center"/>
                </w:tcPr>
                <w:p w14:paraId="4636E822">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1.5％</w:t>
                  </w:r>
                </w:p>
              </w:tc>
              <w:tc>
                <w:tcPr>
                  <w:tcW w:w="1642" w:type="dxa"/>
                  <w:vAlign w:val="center"/>
                </w:tcPr>
                <w:p w14:paraId="704F6E10">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1.0％</w:t>
                  </w:r>
                </w:p>
              </w:tc>
            </w:tr>
            <w:tr w14:paraId="35CE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vAlign w:val="center"/>
                </w:tcPr>
                <w:p w14:paraId="308417BD">
                  <w:pPr>
                    <w:tabs>
                      <w:tab w:val="center" w:pos="4153"/>
                      <w:tab w:val="right" w:pos="8306"/>
                    </w:tabs>
                    <w:snapToGrid w:val="0"/>
                    <w:spacing w:line="360" w:lineRule="auto"/>
                    <w:jc w:val="center"/>
                    <w:rPr>
                      <w:rFonts w:ascii="微软雅黑" w:hAnsi="微软雅黑" w:eastAsia="微软雅黑" w:cs="微软雅黑"/>
                      <w:snapToGrid w:val="0"/>
                      <w:szCs w:val="21"/>
                    </w:rPr>
                  </w:pPr>
                  <w:r>
                    <w:rPr>
                      <w:rFonts w:hint="eastAsia" w:ascii="宋体" w:hAnsi="宋体" w:cs="宋体"/>
                      <w:szCs w:val="21"/>
                    </w:rPr>
                    <w:t>100～500万</w:t>
                  </w:r>
                </w:p>
              </w:tc>
              <w:tc>
                <w:tcPr>
                  <w:tcW w:w="1673" w:type="dxa"/>
                  <w:vAlign w:val="center"/>
                </w:tcPr>
                <w:p w14:paraId="0E93B2C5">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1.1％</w:t>
                  </w:r>
                </w:p>
              </w:tc>
              <w:tc>
                <w:tcPr>
                  <w:tcW w:w="1674" w:type="dxa"/>
                  <w:vAlign w:val="center"/>
                </w:tcPr>
                <w:p w14:paraId="1F47B407">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0.8％</w:t>
                  </w:r>
                </w:p>
              </w:tc>
              <w:tc>
                <w:tcPr>
                  <w:tcW w:w="1642" w:type="dxa"/>
                  <w:vAlign w:val="center"/>
                </w:tcPr>
                <w:p w14:paraId="7E9C8F1B">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0.7％</w:t>
                  </w:r>
                </w:p>
              </w:tc>
            </w:tr>
            <w:tr w14:paraId="0328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vAlign w:val="center"/>
                </w:tcPr>
                <w:p w14:paraId="1E4A5A04">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500～1000万</w:t>
                  </w:r>
                </w:p>
              </w:tc>
              <w:tc>
                <w:tcPr>
                  <w:tcW w:w="1673" w:type="dxa"/>
                  <w:vAlign w:val="center"/>
                </w:tcPr>
                <w:p w14:paraId="1E328340">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0.8％</w:t>
                  </w:r>
                </w:p>
              </w:tc>
              <w:tc>
                <w:tcPr>
                  <w:tcW w:w="1674" w:type="dxa"/>
                  <w:vAlign w:val="center"/>
                </w:tcPr>
                <w:p w14:paraId="222E5A7A">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0.45％</w:t>
                  </w:r>
                </w:p>
              </w:tc>
              <w:tc>
                <w:tcPr>
                  <w:tcW w:w="1642" w:type="dxa"/>
                  <w:vAlign w:val="center"/>
                </w:tcPr>
                <w:p w14:paraId="549671CB">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0.55％</w:t>
                  </w:r>
                </w:p>
              </w:tc>
            </w:tr>
            <w:tr w14:paraId="24D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vAlign w:val="center"/>
                </w:tcPr>
                <w:p w14:paraId="29AF0D40">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1000～5000万</w:t>
                  </w:r>
                </w:p>
              </w:tc>
              <w:tc>
                <w:tcPr>
                  <w:tcW w:w="1673" w:type="dxa"/>
                  <w:vAlign w:val="center"/>
                </w:tcPr>
                <w:p w14:paraId="6527AB39">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0.5％</w:t>
                  </w:r>
                </w:p>
              </w:tc>
              <w:tc>
                <w:tcPr>
                  <w:tcW w:w="1674" w:type="dxa"/>
                  <w:vAlign w:val="center"/>
                </w:tcPr>
                <w:p w14:paraId="592B486D">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0.25％</w:t>
                  </w:r>
                </w:p>
              </w:tc>
              <w:tc>
                <w:tcPr>
                  <w:tcW w:w="1642" w:type="dxa"/>
                  <w:vAlign w:val="center"/>
                </w:tcPr>
                <w:p w14:paraId="0932AB33">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0.35％</w:t>
                  </w:r>
                </w:p>
              </w:tc>
            </w:tr>
            <w:tr w14:paraId="09D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vAlign w:val="center"/>
                </w:tcPr>
                <w:p w14:paraId="2086C374">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5000万～1亿</w:t>
                  </w:r>
                </w:p>
              </w:tc>
              <w:tc>
                <w:tcPr>
                  <w:tcW w:w="1673" w:type="dxa"/>
                  <w:vAlign w:val="center"/>
                </w:tcPr>
                <w:p w14:paraId="271EAD56">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0.25％</w:t>
                  </w:r>
                </w:p>
              </w:tc>
              <w:tc>
                <w:tcPr>
                  <w:tcW w:w="1674" w:type="dxa"/>
                  <w:vAlign w:val="center"/>
                </w:tcPr>
                <w:p w14:paraId="0566A542">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0.1％</w:t>
                  </w:r>
                </w:p>
              </w:tc>
              <w:tc>
                <w:tcPr>
                  <w:tcW w:w="1642" w:type="dxa"/>
                  <w:vAlign w:val="center"/>
                </w:tcPr>
                <w:p w14:paraId="65F3A019">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0.2％</w:t>
                  </w:r>
                </w:p>
              </w:tc>
            </w:tr>
            <w:tr w14:paraId="586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1" w:type="dxa"/>
                  <w:vAlign w:val="center"/>
                </w:tcPr>
                <w:p w14:paraId="1C660C25">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1～5亿</w:t>
                  </w:r>
                </w:p>
              </w:tc>
              <w:tc>
                <w:tcPr>
                  <w:tcW w:w="1673" w:type="dxa"/>
                  <w:vAlign w:val="center"/>
                </w:tcPr>
                <w:p w14:paraId="7EFF7312">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0.05％</w:t>
                  </w:r>
                </w:p>
              </w:tc>
              <w:tc>
                <w:tcPr>
                  <w:tcW w:w="1674" w:type="dxa"/>
                  <w:vAlign w:val="center"/>
                </w:tcPr>
                <w:p w14:paraId="20C2CD1D">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0.05％</w:t>
                  </w:r>
                </w:p>
              </w:tc>
              <w:tc>
                <w:tcPr>
                  <w:tcW w:w="1642" w:type="dxa"/>
                  <w:vAlign w:val="center"/>
                </w:tcPr>
                <w:p w14:paraId="1AEE8DD1">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0.05％</w:t>
                  </w:r>
                </w:p>
              </w:tc>
            </w:tr>
            <w:tr w14:paraId="591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271" w:type="dxa"/>
                  <w:vAlign w:val="center"/>
                </w:tcPr>
                <w:p w14:paraId="1B7A70AF">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5～10亿</w:t>
                  </w:r>
                </w:p>
              </w:tc>
              <w:tc>
                <w:tcPr>
                  <w:tcW w:w="1673" w:type="dxa"/>
                  <w:vAlign w:val="center"/>
                </w:tcPr>
                <w:p w14:paraId="024BA8E9">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0.01％</w:t>
                  </w:r>
                </w:p>
              </w:tc>
              <w:tc>
                <w:tcPr>
                  <w:tcW w:w="1674" w:type="dxa"/>
                  <w:vAlign w:val="center"/>
                </w:tcPr>
                <w:p w14:paraId="379C89F5">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0.01％</w:t>
                  </w:r>
                </w:p>
              </w:tc>
              <w:tc>
                <w:tcPr>
                  <w:tcW w:w="1642" w:type="dxa"/>
                  <w:vAlign w:val="center"/>
                </w:tcPr>
                <w:p w14:paraId="30191491">
                  <w:pPr>
                    <w:widowControl/>
                    <w:spacing w:before="100" w:beforeAutospacing="1" w:after="100" w:afterAutospacing="1" w:line="210" w:lineRule="atLeast"/>
                    <w:jc w:val="center"/>
                    <w:rPr>
                      <w:rFonts w:ascii="宋体" w:hAnsi="宋体" w:cs="宋体"/>
                      <w:color w:val="000000"/>
                      <w:kern w:val="0"/>
                      <w:sz w:val="24"/>
                    </w:rPr>
                  </w:pPr>
                  <w:r>
                    <w:rPr>
                      <w:rFonts w:hint="eastAsia" w:ascii="宋体" w:hAnsi="宋体" w:cs="宋体"/>
                      <w:color w:val="000000"/>
                      <w:kern w:val="0"/>
                      <w:sz w:val="20"/>
                      <w:szCs w:val="20"/>
                    </w:rPr>
                    <w:t>0.01％</w:t>
                  </w:r>
                </w:p>
              </w:tc>
            </w:tr>
          </w:tbl>
          <w:p w14:paraId="15049612">
            <w:pPr>
              <w:snapToGrid w:val="0"/>
              <w:spacing w:line="360" w:lineRule="auto"/>
              <w:rPr>
                <w:rFonts w:ascii="宋体" w:hAnsi="宋体" w:cs="宋体"/>
                <w:szCs w:val="21"/>
              </w:rPr>
            </w:pPr>
          </w:p>
        </w:tc>
      </w:tr>
      <w:tr w14:paraId="01FAF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7B731D">
            <w:pPr>
              <w:snapToGrid w:val="0"/>
              <w:spacing w:line="480" w:lineRule="exact"/>
              <w:jc w:val="center"/>
              <w:rPr>
                <w:rFonts w:ascii="宋体" w:hAnsi="宋体" w:cs="宋体"/>
                <w:szCs w:val="21"/>
              </w:rPr>
            </w:pPr>
            <w:r>
              <w:rPr>
                <w:rFonts w:hint="eastAsia" w:ascii="宋体" w:hAnsi="宋体" w:cs="宋体"/>
                <w:szCs w:val="21"/>
              </w:rPr>
              <w:t>7</w:t>
            </w:r>
          </w:p>
        </w:tc>
        <w:tc>
          <w:tcPr>
            <w:tcW w:w="8525" w:type="dxa"/>
            <w:tcBorders>
              <w:top w:val="single" w:color="auto" w:sz="4" w:space="0"/>
              <w:left w:val="single" w:color="auto" w:sz="4" w:space="0"/>
              <w:bottom w:val="single" w:color="auto" w:sz="4" w:space="0"/>
              <w:right w:val="single" w:color="auto" w:sz="4" w:space="0"/>
            </w:tcBorders>
            <w:vAlign w:val="center"/>
          </w:tcPr>
          <w:p w14:paraId="255A9E32">
            <w:pPr>
              <w:autoSpaceDE w:val="0"/>
              <w:autoSpaceDN w:val="0"/>
              <w:snapToGrid w:val="0"/>
              <w:spacing w:line="480" w:lineRule="exact"/>
              <w:textAlignment w:val="bottom"/>
              <w:rPr>
                <w:rFonts w:ascii="宋体" w:hAnsi="宋体" w:cs="宋体"/>
                <w:szCs w:val="21"/>
              </w:rPr>
            </w:pPr>
            <w:r>
              <w:rPr>
                <w:rFonts w:hint="eastAsia" w:ascii="宋体" w:hAnsi="宋体" w:cs="宋体"/>
                <w:szCs w:val="21"/>
              </w:rPr>
              <w:t>踏勘现场：绿化养护实际情况由投标人自行调查踏勘现场，决定是否投标，甲方不组织踏勘现场。（费用与安全由投标人自行承担）</w:t>
            </w:r>
          </w:p>
        </w:tc>
      </w:tr>
      <w:tr w14:paraId="6F859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4EE1097">
            <w:pPr>
              <w:snapToGrid w:val="0"/>
              <w:spacing w:line="480" w:lineRule="exact"/>
              <w:jc w:val="center"/>
              <w:rPr>
                <w:rFonts w:ascii="宋体" w:hAnsi="宋体" w:cs="宋体"/>
                <w:szCs w:val="21"/>
              </w:rPr>
            </w:pPr>
            <w:r>
              <w:rPr>
                <w:rFonts w:hint="eastAsia" w:ascii="宋体" w:hAnsi="宋体" w:cs="宋体"/>
                <w:szCs w:val="21"/>
              </w:rPr>
              <w:t>8</w:t>
            </w:r>
          </w:p>
        </w:tc>
        <w:tc>
          <w:tcPr>
            <w:tcW w:w="8525" w:type="dxa"/>
            <w:tcBorders>
              <w:top w:val="single" w:color="auto" w:sz="4" w:space="0"/>
              <w:left w:val="single" w:color="auto" w:sz="4" w:space="0"/>
              <w:bottom w:val="single" w:color="auto" w:sz="4" w:space="0"/>
              <w:right w:val="single" w:color="auto" w:sz="4" w:space="0"/>
            </w:tcBorders>
            <w:vAlign w:val="center"/>
          </w:tcPr>
          <w:p w14:paraId="1A03B40D">
            <w:pPr>
              <w:autoSpaceDE w:val="0"/>
              <w:autoSpaceDN w:val="0"/>
              <w:snapToGrid w:val="0"/>
              <w:spacing w:line="480" w:lineRule="exact"/>
              <w:textAlignment w:val="bottom"/>
              <w:rPr>
                <w:rFonts w:ascii="宋体" w:hAnsi="宋体" w:cs="宋体"/>
                <w:szCs w:val="21"/>
              </w:rPr>
            </w:pPr>
            <w:r>
              <w:rPr>
                <w:rFonts w:hint="eastAsia" w:ascii="宋体" w:hAnsi="宋体" w:cs="宋体"/>
                <w:szCs w:val="21"/>
              </w:rPr>
              <w:t>评标办法及评分标准：综合评分法</w:t>
            </w:r>
          </w:p>
        </w:tc>
      </w:tr>
      <w:tr w14:paraId="31675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0674A1D">
            <w:pPr>
              <w:snapToGrid w:val="0"/>
              <w:spacing w:line="480" w:lineRule="exact"/>
              <w:jc w:val="center"/>
              <w:rPr>
                <w:rFonts w:ascii="宋体" w:hAnsi="宋体" w:cs="宋体"/>
                <w:szCs w:val="21"/>
              </w:rPr>
            </w:pPr>
            <w:r>
              <w:rPr>
                <w:rFonts w:hint="eastAsia" w:ascii="宋体" w:hAnsi="宋体" w:cs="宋体"/>
                <w:szCs w:val="21"/>
              </w:rPr>
              <w:t>9</w:t>
            </w:r>
          </w:p>
        </w:tc>
        <w:tc>
          <w:tcPr>
            <w:tcW w:w="8525" w:type="dxa"/>
            <w:tcBorders>
              <w:top w:val="single" w:color="auto" w:sz="4" w:space="0"/>
              <w:left w:val="single" w:color="auto" w:sz="4" w:space="0"/>
              <w:bottom w:val="single" w:color="auto" w:sz="4" w:space="0"/>
              <w:right w:val="single" w:color="auto" w:sz="4" w:space="0"/>
            </w:tcBorders>
            <w:vAlign w:val="center"/>
          </w:tcPr>
          <w:p w14:paraId="10F6BC19">
            <w:pPr>
              <w:snapToGrid w:val="0"/>
              <w:spacing w:line="360" w:lineRule="auto"/>
              <w:rPr>
                <w:rFonts w:ascii="宋体" w:hAnsi="宋体" w:cs="宋体"/>
                <w:szCs w:val="21"/>
              </w:rPr>
            </w:pPr>
            <w:r>
              <w:rPr>
                <w:rFonts w:hint="eastAsia" w:ascii="宋体" w:hAnsi="宋体" w:cs="宋体"/>
                <w:szCs w:val="21"/>
              </w:rPr>
              <w:t>中标公告及中标通知书：评标结束后5个工作日内，中标公告发布于</w:t>
            </w:r>
            <w:r>
              <w:rPr>
                <w:rFonts w:hint="eastAsia" w:ascii="宋体" w:hAnsi="宋体" w:cs="宋体"/>
                <w:szCs w:val="21"/>
                <w:lang w:val="en-US" w:eastAsia="zh-CN"/>
              </w:rPr>
              <w:t>浙江</w:t>
            </w:r>
            <w:r>
              <w:rPr>
                <w:rFonts w:hint="eastAsia" w:ascii="宋体" w:hAnsi="宋体" w:cs="宋体"/>
                <w:szCs w:val="21"/>
              </w:rPr>
              <w:t>政府采购网(</w:t>
            </w:r>
            <w:r>
              <w:rPr>
                <w:rFonts w:hint="eastAsia"/>
              </w:rPr>
              <w:t>https://zfcg.czt.zj.gov.cn/</w:t>
            </w:r>
            <w:r>
              <w:rPr>
                <w:rFonts w:hint="eastAsia" w:ascii="宋体" w:hAnsi="宋体" w:cs="宋体"/>
                <w:szCs w:val="21"/>
              </w:rPr>
              <w:t>)</w:t>
            </w:r>
            <w:r>
              <w:rPr>
                <w:rFonts w:ascii="宋体" w:hAnsi="宋体" w:cs="宋体"/>
                <w:szCs w:val="21"/>
              </w:rPr>
              <w:t xml:space="preserve"> </w:t>
            </w:r>
          </w:p>
        </w:tc>
      </w:tr>
      <w:tr w14:paraId="1DAB9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8C00CE7">
            <w:pPr>
              <w:snapToGrid w:val="0"/>
              <w:spacing w:line="480" w:lineRule="exact"/>
              <w:jc w:val="center"/>
              <w:rPr>
                <w:rFonts w:ascii="宋体" w:hAnsi="宋体" w:cs="宋体"/>
                <w:szCs w:val="21"/>
              </w:rPr>
            </w:pPr>
            <w:r>
              <w:rPr>
                <w:rFonts w:hint="eastAsia" w:ascii="宋体" w:hAnsi="宋体" w:cs="宋体"/>
                <w:szCs w:val="21"/>
              </w:rPr>
              <w:t>10</w:t>
            </w:r>
          </w:p>
        </w:tc>
        <w:tc>
          <w:tcPr>
            <w:tcW w:w="8525" w:type="dxa"/>
            <w:tcBorders>
              <w:top w:val="single" w:color="auto" w:sz="4" w:space="0"/>
              <w:left w:val="single" w:color="auto" w:sz="4" w:space="0"/>
              <w:bottom w:val="single" w:color="auto" w:sz="4" w:space="0"/>
              <w:right w:val="single" w:color="auto" w:sz="4" w:space="0"/>
            </w:tcBorders>
            <w:vAlign w:val="center"/>
          </w:tcPr>
          <w:p w14:paraId="3BF776E2">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签订合同时间：中标通知书发出后30日内。</w:t>
            </w:r>
          </w:p>
        </w:tc>
      </w:tr>
      <w:tr w14:paraId="4FDAA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328A7E">
            <w:pPr>
              <w:snapToGrid w:val="0"/>
              <w:spacing w:line="480" w:lineRule="exact"/>
              <w:jc w:val="center"/>
              <w:rPr>
                <w:rFonts w:ascii="宋体" w:hAnsi="宋体" w:cs="宋体"/>
                <w:szCs w:val="21"/>
              </w:rPr>
            </w:pPr>
            <w:r>
              <w:rPr>
                <w:rFonts w:hint="eastAsia" w:ascii="宋体" w:hAnsi="宋体" w:cs="宋体"/>
                <w:szCs w:val="21"/>
              </w:rPr>
              <w:t>11</w:t>
            </w:r>
          </w:p>
        </w:tc>
        <w:tc>
          <w:tcPr>
            <w:tcW w:w="8525" w:type="dxa"/>
            <w:tcBorders>
              <w:top w:val="single" w:color="auto" w:sz="4" w:space="0"/>
              <w:left w:val="single" w:color="auto" w:sz="4" w:space="0"/>
              <w:bottom w:val="single" w:color="auto" w:sz="4" w:space="0"/>
              <w:right w:val="single" w:color="auto" w:sz="4" w:space="0"/>
            </w:tcBorders>
            <w:vAlign w:val="center"/>
          </w:tcPr>
          <w:p w14:paraId="3D02990F">
            <w:pPr>
              <w:autoSpaceDE w:val="0"/>
              <w:autoSpaceDN w:val="0"/>
              <w:snapToGrid w:val="0"/>
              <w:spacing w:line="480" w:lineRule="exact"/>
              <w:textAlignment w:val="bottom"/>
              <w:rPr>
                <w:rFonts w:ascii="宋体" w:hAnsi="宋体" w:cs="宋体"/>
                <w:szCs w:val="21"/>
              </w:rPr>
            </w:pPr>
            <w:r>
              <w:rPr>
                <w:rFonts w:hint="eastAsia" w:ascii="宋体" w:hAnsi="宋体" w:cs="宋体"/>
                <w:szCs w:val="21"/>
              </w:rPr>
              <w:t>采购资金来源：财政预算</w:t>
            </w:r>
          </w:p>
        </w:tc>
      </w:tr>
      <w:tr w14:paraId="51517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A6BC0A">
            <w:pPr>
              <w:snapToGrid w:val="0"/>
              <w:spacing w:line="480" w:lineRule="exact"/>
              <w:jc w:val="center"/>
              <w:rPr>
                <w:rFonts w:ascii="宋体" w:hAnsi="宋体" w:cs="宋体"/>
                <w:szCs w:val="21"/>
              </w:rPr>
            </w:pPr>
            <w:r>
              <w:rPr>
                <w:rFonts w:hint="eastAsia" w:ascii="宋体" w:hAnsi="宋体" w:cs="宋体"/>
                <w:szCs w:val="21"/>
              </w:rPr>
              <w:t>★12</w:t>
            </w:r>
          </w:p>
        </w:tc>
        <w:tc>
          <w:tcPr>
            <w:tcW w:w="8525" w:type="dxa"/>
            <w:tcBorders>
              <w:top w:val="single" w:color="auto" w:sz="4" w:space="0"/>
              <w:left w:val="single" w:color="auto" w:sz="4" w:space="0"/>
              <w:bottom w:val="single" w:color="auto" w:sz="4" w:space="0"/>
              <w:right w:val="single" w:color="auto" w:sz="4" w:space="0"/>
            </w:tcBorders>
            <w:vAlign w:val="center"/>
          </w:tcPr>
          <w:p w14:paraId="34BEECB3">
            <w:pPr>
              <w:snapToGrid w:val="0"/>
              <w:spacing w:line="480" w:lineRule="exact"/>
              <w:rPr>
                <w:rFonts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6F399C22">
      <w:pPr>
        <w:pStyle w:val="13"/>
        <w:snapToGrid w:val="0"/>
        <w:spacing w:beforeLines="0" w:after="120" w:line="360" w:lineRule="auto"/>
        <w:rPr>
          <w:rFonts w:hAnsi="宋体" w:cs="宋体"/>
          <w:b/>
          <w:sz w:val="21"/>
          <w:szCs w:val="21"/>
        </w:rPr>
      </w:pPr>
    </w:p>
    <w:p w14:paraId="793043FA">
      <w:pPr>
        <w:pStyle w:val="14"/>
        <w:rPr>
          <w:rFonts w:hAnsi="宋体" w:cs="宋体"/>
          <w:b/>
          <w:sz w:val="21"/>
          <w:szCs w:val="21"/>
        </w:rPr>
      </w:pPr>
    </w:p>
    <w:p w14:paraId="0A07E0FE">
      <w:pPr>
        <w:rPr>
          <w:rFonts w:hAnsi="宋体" w:cs="宋体"/>
          <w:b/>
          <w:sz w:val="21"/>
          <w:szCs w:val="21"/>
        </w:rPr>
      </w:pPr>
    </w:p>
    <w:p w14:paraId="1BD57183">
      <w:pPr>
        <w:pStyle w:val="36"/>
        <w:rPr>
          <w:rFonts w:hAnsi="宋体" w:cs="宋体"/>
          <w:b/>
          <w:sz w:val="21"/>
          <w:szCs w:val="21"/>
        </w:rPr>
      </w:pPr>
    </w:p>
    <w:p w14:paraId="67B78179">
      <w:pPr>
        <w:pStyle w:val="36"/>
        <w:rPr>
          <w:rFonts w:hAnsi="宋体" w:cs="宋体"/>
          <w:b/>
          <w:sz w:val="21"/>
          <w:szCs w:val="21"/>
        </w:rPr>
      </w:pPr>
    </w:p>
    <w:p w14:paraId="734ACF66">
      <w:pPr>
        <w:pStyle w:val="36"/>
        <w:rPr>
          <w:rFonts w:hAnsi="宋体" w:cs="宋体"/>
          <w:b/>
          <w:sz w:val="21"/>
          <w:szCs w:val="21"/>
        </w:rPr>
      </w:pPr>
    </w:p>
    <w:p w14:paraId="405620F9">
      <w:pPr>
        <w:pStyle w:val="36"/>
        <w:rPr>
          <w:rFonts w:hAnsi="宋体" w:cs="宋体"/>
          <w:b/>
          <w:sz w:val="21"/>
          <w:szCs w:val="21"/>
        </w:rPr>
      </w:pPr>
    </w:p>
    <w:p w14:paraId="0BFBB37A">
      <w:pPr>
        <w:pStyle w:val="36"/>
        <w:rPr>
          <w:rFonts w:hAnsi="宋体" w:cs="宋体"/>
          <w:b/>
          <w:sz w:val="21"/>
          <w:szCs w:val="21"/>
        </w:rPr>
      </w:pPr>
    </w:p>
    <w:p w14:paraId="0B2FE651">
      <w:pPr>
        <w:pStyle w:val="36"/>
        <w:rPr>
          <w:rFonts w:hAnsi="宋体" w:cs="宋体"/>
          <w:b/>
          <w:sz w:val="21"/>
          <w:szCs w:val="21"/>
        </w:rPr>
      </w:pPr>
    </w:p>
    <w:p w14:paraId="7B582740">
      <w:pPr>
        <w:pStyle w:val="13"/>
        <w:spacing w:beforeLines="0" w:afterLines="0" w:line="440" w:lineRule="exact"/>
        <w:contextualSpacing/>
        <w:rPr>
          <w:rFonts w:hAnsi="宋体" w:cs="宋体"/>
          <w:b/>
          <w:sz w:val="21"/>
          <w:szCs w:val="21"/>
        </w:rPr>
      </w:pPr>
      <w:r>
        <w:rPr>
          <w:rFonts w:hint="eastAsia" w:hAnsi="宋体" w:cs="宋体"/>
          <w:b/>
          <w:sz w:val="21"/>
          <w:szCs w:val="21"/>
        </w:rPr>
        <w:t>一、总则</w:t>
      </w:r>
    </w:p>
    <w:p w14:paraId="127882B8">
      <w:pPr>
        <w:spacing w:line="440" w:lineRule="exact"/>
        <w:ind w:firstLine="422" w:firstLineChars="200"/>
        <w:contextualSpacing/>
        <w:jc w:val="left"/>
        <w:outlineLvl w:val="1"/>
        <w:rPr>
          <w:rFonts w:ascii="宋体" w:cs="宋体"/>
          <w:b/>
          <w:szCs w:val="21"/>
        </w:rPr>
      </w:pPr>
      <w:bookmarkStart w:id="63" w:name="_Toc8089"/>
      <w:r>
        <w:rPr>
          <w:rFonts w:hint="eastAsia" w:ascii="宋体" w:hAnsi="宋体" w:cs="宋体"/>
          <w:b/>
          <w:szCs w:val="21"/>
        </w:rPr>
        <w:t>（一）适用范围</w:t>
      </w:r>
      <w:bookmarkEnd w:id="63"/>
    </w:p>
    <w:p w14:paraId="7EEC6534">
      <w:pPr>
        <w:spacing w:line="440" w:lineRule="exact"/>
        <w:ind w:firstLine="420" w:firstLineChars="200"/>
        <w:contextualSpacing/>
        <w:jc w:val="left"/>
        <w:rPr>
          <w:rFonts w:ascii="宋体" w:cs="宋体"/>
          <w:b/>
          <w:bCs/>
          <w:szCs w:val="21"/>
          <w:u w:val="single"/>
          <w:lang w:val="zh-CN"/>
        </w:rPr>
      </w:pPr>
      <w:r>
        <w:rPr>
          <w:rFonts w:hint="eastAsia" w:ascii="宋体" w:hAnsi="宋体" w:cs="宋体"/>
          <w:szCs w:val="21"/>
        </w:rPr>
        <w:t>本招标文件适用于</w:t>
      </w:r>
      <w:r>
        <w:rPr>
          <w:rFonts w:hint="eastAsia" w:ascii="宋体" w:hAnsi="宋体"/>
          <w:b/>
          <w:bCs/>
          <w:szCs w:val="21"/>
          <w:u w:val="single"/>
          <w:lang w:eastAsia="zh-CN"/>
        </w:rPr>
        <w:t>宁海县交通运输局2025年公路绿化养护服务采购（第二批）</w:t>
      </w:r>
      <w:r>
        <w:rPr>
          <w:rFonts w:hint="eastAsia" w:ascii="宋体" w:hAnsi="宋体" w:cs="宋体"/>
          <w:szCs w:val="21"/>
        </w:rPr>
        <w:t>的招标、投标、评标、定标、验收、合同履约、付款等行为（法律、法规另有规定的，从其规定）。</w:t>
      </w:r>
    </w:p>
    <w:p w14:paraId="4E0B35B3">
      <w:pPr>
        <w:spacing w:line="440" w:lineRule="exact"/>
        <w:ind w:firstLine="310" w:firstLineChars="147"/>
        <w:contextualSpacing/>
        <w:jc w:val="left"/>
        <w:outlineLvl w:val="1"/>
        <w:rPr>
          <w:rFonts w:ascii="宋体" w:cs="宋体"/>
          <w:b/>
          <w:szCs w:val="21"/>
        </w:rPr>
      </w:pPr>
      <w:bookmarkStart w:id="64" w:name="_Toc11628"/>
      <w:r>
        <w:rPr>
          <w:rFonts w:hint="eastAsia" w:ascii="宋体" w:hAnsi="宋体" w:cs="宋体"/>
          <w:b/>
          <w:szCs w:val="21"/>
        </w:rPr>
        <w:t>（二）定义</w:t>
      </w:r>
      <w:bookmarkEnd w:id="64"/>
    </w:p>
    <w:p w14:paraId="2C49F67B">
      <w:pPr>
        <w:spacing w:line="440" w:lineRule="exact"/>
        <w:ind w:firstLine="420" w:firstLineChars="200"/>
        <w:contextualSpacing/>
        <w:jc w:val="left"/>
        <w:rPr>
          <w:rFonts w:ascii="宋体" w:cs="宋体"/>
          <w:szCs w:val="21"/>
        </w:rPr>
      </w:pPr>
      <w:r>
        <w:rPr>
          <w:rFonts w:ascii="宋体" w:hAnsi="宋体" w:cs="宋体"/>
          <w:szCs w:val="21"/>
        </w:rPr>
        <w:t>1</w:t>
      </w:r>
      <w:r>
        <w:rPr>
          <w:rFonts w:hint="eastAsia" w:ascii="宋体" w:hAnsi="宋体" w:cs="宋体"/>
          <w:szCs w:val="21"/>
        </w:rPr>
        <w:t>、招标采购单位系指组织本次招标的招标代理机构（“招标人”）和采购单位；</w:t>
      </w:r>
    </w:p>
    <w:p w14:paraId="3D731FE3">
      <w:pPr>
        <w:spacing w:line="440" w:lineRule="exact"/>
        <w:ind w:firstLine="420" w:firstLineChars="200"/>
        <w:contextualSpacing/>
        <w:jc w:val="left"/>
        <w:rPr>
          <w:rFonts w:ascii="宋体" w:cs="宋体"/>
          <w:szCs w:val="21"/>
        </w:rPr>
      </w:pPr>
      <w:r>
        <w:rPr>
          <w:rFonts w:ascii="宋体" w:hAnsi="宋体" w:cs="宋体"/>
          <w:szCs w:val="21"/>
        </w:rPr>
        <w:t>2</w:t>
      </w:r>
      <w:r>
        <w:rPr>
          <w:rFonts w:hint="eastAsia" w:ascii="宋体" w:hAnsi="宋体" w:cs="宋体"/>
          <w:szCs w:val="21"/>
        </w:rPr>
        <w:t>、“投标人”系指向招标方提交投标文件的单位；</w:t>
      </w:r>
    </w:p>
    <w:p w14:paraId="0249E86B">
      <w:pPr>
        <w:spacing w:line="440" w:lineRule="exact"/>
        <w:ind w:firstLine="420" w:firstLineChars="200"/>
        <w:contextualSpacing/>
        <w:jc w:val="left"/>
        <w:rPr>
          <w:rFonts w:ascii="宋体" w:cs="宋体"/>
          <w:szCs w:val="21"/>
        </w:rPr>
      </w:pPr>
      <w:r>
        <w:rPr>
          <w:rFonts w:ascii="宋体" w:hAnsi="宋体" w:cs="宋体"/>
          <w:szCs w:val="21"/>
        </w:rPr>
        <w:t>3</w:t>
      </w:r>
      <w:r>
        <w:rPr>
          <w:rFonts w:hint="eastAsia" w:ascii="宋体" w:hAnsi="宋体" w:cs="宋体"/>
          <w:szCs w:val="21"/>
        </w:rPr>
        <w:t>、“服务”系指招标文件规定投标人须承担的安装、调试、技术协助、校准、培训、技术指导以及其他类似的义务；</w:t>
      </w:r>
    </w:p>
    <w:p w14:paraId="16485F17">
      <w:pPr>
        <w:spacing w:line="440" w:lineRule="exact"/>
        <w:ind w:firstLine="420" w:firstLineChars="200"/>
        <w:contextualSpacing/>
        <w:jc w:val="left"/>
        <w:rPr>
          <w:rFonts w:ascii="宋体" w:cs="宋体"/>
          <w:szCs w:val="21"/>
        </w:rPr>
      </w:pPr>
      <w:r>
        <w:rPr>
          <w:rFonts w:ascii="宋体" w:hAnsi="宋体" w:cs="宋体"/>
          <w:szCs w:val="21"/>
        </w:rPr>
        <w:t>4</w:t>
      </w:r>
      <w:r>
        <w:rPr>
          <w:rFonts w:hint="eastAsia" w:ascii="宋体" w:hAnsi="宋体" w:cs="宋体"/>
          <w:szCs w:val="21"/>
        </w:rPr>
        <w:t>、“项目”系指投标人按招标文件规定向采购人提供的服务；</w:t>
      </w:r>
    </w:p>
    <w:p w14:paraId="673066BD">
      <w:pPr>
        <w:spacing w:line="440" w:lineRule="exact"/>
        <w:ind w:firstLine="420" w:firstLineChars="200"/>
        <w:contextualSpacing/>
        <w:jc w:val="left"/>
        <w:rPr>
          <w:rFonts w:ascii="宋体" w:cs="宋体"/>
          <w:szCs w:val="21"/>
        </w:rPr>
      </w:pPr>
      <w:r>
        <w:rPr>
          <w:rFonts w:ascii="宋体" w:hAnsi="宋体" w:cs="宋体"/>
          <w:szCs w:val="21"/>
        </w:rPr>
        <w:t>5</w:t>
      </w:r>
      <w:r>
        <w:rPr>
          <w:rFonts w:hint="eastAsia" w:ascii="宋体" w:hAnsi="宋体" w:cs="宋体"/>
          <w:szCs w:val="21"/>
        </w:rPr>
        <w:t>、“书面形式”包括信函、传真、电报等；</w:t>
      </w:r>
    </w:p>
    <w:p w14:paraId="6417BB76">
      <w:pPr>
        <w:spacing w:line="440" w:lineRule="exact"/>
        <w:ind w:firstLine="420" w:firstLineChars="200"/>
        <w:contextualSpacing/>
        <w:jc w:val="left"/>
        <w:rPr>
          <w:rFonts w:ascii="宋体" w:hAnsi="宋体" w:cs="宋体"/>
          <w:szCs w:val="21"/>
        </w:rPr>
      </w:pPr>
      <w:r>
        <w:rPr>
          <w:rFonts w:ascii="宋体" w:hAnsi="宋体" w:cs="宋体"/>
          <w:szCs w:val="21"/>
        </w:rPr>
        <w:t>6</w:t>
      </w:r>
      <w:r>
        <w:rPr>
          <w:rFonts w:hint="eastAsia" w:ascii="宋体" w:hAnsi="宋体" w:cs="宋体"/>
          <w:szCs w:val="21"/>
        </w:rPr>
        <w:t>、“</w:t>
      </w:r>
      <w:r>
        <w:rPr>
          <w:rFonts w:hint="eastAsia" w:ascii="宋体" w:hAnsi="宋体" w:cs="宋体"/>
          <w:sz w:val="24"/>
        </w:rPr>
        <w:t>★</w:t>
      </w:r>
      <w:r>
        <w:rPr>
          <w:rFonts w:hint="eastAsia" w:ascii="宋体" w:hAnsi="宋体" w:cs="宋体"/>
          <w:szCs w:val="21"/>
        </w:rPr>
        <w:t>”系指实质性要求条款，如发生负偏离则作无效标处理。</w:t>
      </w:r>
    </w:p>
    <w:p w14:paraId="7CD51E7C">
      <w:pPr>
        <w:spacing w:line="440" w:lineRule="exact"/>
        <w:ind w:firstLine="211" w:firstLineChars="100"/>
        <w:contextualSpacing/>
        <w:rPr>
          <w:rFonts w:ascii="宋体" w:hAnsi="宋体" w:cs="宋体"/>
          <w:b/>
          <w:szCs w:val="21"/>
        </w:rPr>
      </w:pPr>
      <w:r>
        <w:rPr>
          <w:rFonts w:hint="eastAsia" w:ascii="宋体" w:hAnsi="宋体" w:cs="宋体"/>
          <w:b/>
          <w:szCs w:val="21"/>
        </w:rPr>
        <w:t>（三）合格的投标人</w:t>
      </w:r>
    </w:p>
    <w:p w14:paraId="3C68465A">
      <w:pPr>
        <w:spacing w:line="440" w:lineRule="exact"/>
        <w:ind w:firstLine="420" w:firstLineChars="200"/>
        <w:contextualSpacing/>
        <w:rPr>
          <w:rFonts w:ascii="宋体" w:hAnsi="宋体" w:cs="宋体"/>
          <w:szCs w:val="21"/>
        </w:rPr>
      </w:pPr>
      <w:r>
        <w:rPr>
          <w:rFonts w:hint="eastAsia" w:ascii="宋体" w:hAnsi="宋体" w:cs="宋体"/>
          <w:szCs w:val="21"/>
        </w:rPr>
        <w:t>1、 合格的投标人应具备以下条件：</w:t>
      </w:r>
    </w:p>
    <w:p w14:paraId="69B8A1A7">
      <w:pPr>
        <w:spacing w:line="440" w:lineRule="exact"/>
        <w:ind w:firstLine="420" w:firstLineChars="200"/>
        <w:contextualSpacing/>
        <w:rPr>
          <w:rFonts w:ascii="宋体" w:hAnsi="宋体" w:cs="宋体"/>
          <w:szCs w:val="21"/>
        </w:rPr>
      </w:pPr>
      <w:r>
        <w:rPr>
          <w:rFonts w:hint="eastAsia" w:ascii="宋体" w:hAnsi="宋体" w:cs="宋体"/>
          <w:szCs w:val="21"/>
        </w:rPr>
        <w:t>1.1 符合《政府采购法》第二十二条第一款规定的关于投标人基本资格条件和采购公告规定的特定条件。</w:t>
      </w:r>
    </w:p>
    <w:p w14:paraId="1800C031">
      <w:pPr>
        <w:spacing w:line="440" w:lineRule="exact"/>
        <w:ind w:firstLine="420" w:firstLineChars="200"/>
        <w:contextualSpacing/>
        <w:rPr>
          <w:rFonts w:ascii="宋体" w:hAnsi="宋体" w:cs="宋体"/>
          <w:szCs w:val="21"/>
        </w:rPr>
      </w:pPr>
      <w:r>
        <w:rPr>
          <w:rFonts w:hint="eastAsia" w:ascii="宋体" w:hAnsi="宋体" w:cs="宋体"/>
          <w:szCs w:val="21"/>
        </w:rPr>
        <w:t>1.2 投标人与采购人应无任何直接或间接的关联，包括接受采购人的委托为本次采购项目提供整体设计、规范编制或者项目管理、监理、检测等服务的投标人。</w:t>
      </w:r>
    </w:p>
    <w:p w14:paraId="4D0FD9A9">
      <w:pPr>
        <w:spacing w:line="440" w:lineRule="exact"/>
        <w:ind w:firstLine="420" w:firstLineChars="200"/>
        <w:contextualSpacing/>
        <w:rPr>
          <w:rFonts w:ascii="宋体" w:hAnsi="宋体" w:cs="宋体"/>
          <w:szCs w:val="21"/>
        </w:rPr>
      </w:pPr>
      <w:r>
        <w:rPr>
          <w:rFonts w:hint="eastAsia" w:ascii="宋体" w:hAnsi="宋体" w:cs="宋体"/>
          <w:szCs w:val="21"/>
        </w:rPr>
        <w:t>1.3 投标方与采购人有下列关系的，系直接或间接的关联，应当回避：</w:t>
      </w:r>
    </w:p>
    <w:p w14:paraId="62EB0CCC">
      <w:pPr>
        <w:spacing w:line="440" w:lineRule="exact"/>
        <w:ind w:firstLine="420" w:firstLineChars="200"/>
        <w:contextualSpacing/>
        <w:rPr>
          <w:rFonts w:ascii="宋体" w:hAnsi="宋体" w:cs="宋体"/>
          <w:szCs w:val="21"/>
        </w:rPr>
      </w:pPr>
      <w:r>
        <w:rPr>
          <w:rFonts w:hint="eastAsia" w:ascii="宋体" w:hAnsi="宋体" w:cs="宋体"/>
          <w:szCs w:val="21"/>
        </w:rPr>
        <w:t>（1）参加采购活动前三年内存在劳动关系；</w:t>
      </w:r>
    </w:p>
    <w:p w14:paraId="6DFC315B">
      <w:pPr>
        <w:spacing w:line="440" w:lineRule="exact"/>
        <w:ind w:firstLine="420" w:firstLineChars="200"/>
        <w:contextualSpacing/>
        <w:rPr>
          <w:rFonts w:ascii="宋体" w:hAnsi="宋体" w:cs="宋体"/>
          <w:szCs w:val="21"/>
        </w:rPr>
      </w:pPr>
      <w:r>
        <w:rPr>
          <w:rFonts w:hint="eastAsia" w:ascii="宋体" w:hAnsi="宋体" w:cs="宋体"/>
          <w:szCs w:val="21"/>
        </w:rPr>
        <w:t>（2）参加采购活动前3年内担任过投标方的董事、监事；</w:t>
      </w:r>
    </w:p>
    <w:p w14:paraId="6BA66AF9">
      <w:pPr>
        <w:spacing w:line="440" w:lineRule="exact"/>
        <w:ind w:firstLine="420" w:firstLineChars="200"/>
        <w:contextualSpacing/>
        <w:rPr>
          <w:rFonts w:ascii="宋体" w:hAnsi="宋体" w:cs="宋体"/>
          <w:szCs w:val="21"/>
        </w:rPr>
      </w:pPr>
      <w:r>
        <w:rPr>
          <w:rFonts w:hint="eastAsia" w:ascii="宋体" w:hAnsi="宋体" w:cs="宋体"/>
          <w:szCs w:val="21"/>
        </w:rPr>
        <w:t>（3）参加采购活动前3年内是投标方的控股股东或者实际控制人；</w:t>
      </w:r>
    </w:p>
    <w:p w14:paraId="2FF612A6">
      <w:pPr>
        <w:spacing w:line="440" w:lineRule="exact"/>
        <w:ind w:firstLine="420" w:firstLineChars="200"/>
        <w:contextualSpacing/>
        <w:rPr>
          <w:rFonts w:ascii="宋体" w:hAnsi="宋体" w:cs="宋体"/>
          <w:szCs w:val="21"/>
        </w:rPr>
      </w:pPr>
      <w:r>
        <w:rPr>
          <w:rFonts w:hint="eastAsia" w:ascii="宋体" w:hAnsi="宋体" w:cs="宋体"/>
          <w:szCs w:val="21"/>
        </w:rPr>
        <w:t>（4）与投标人的法定代表人或者负责人有夫妻、直系血亲、三代以内旁系血亲或者近姻亲关系；</w:t>
      </w:r>
    </w:p>
    <w:p w14:paraId="7F8EF7EB">
      <w:pPr>
        <w:spacing w:line="440" w:lineRule="exact"/>
        <w:ind w:firstLine="420" w:firstLineChars="200"/>
        <w:contextualSpacing/>
        <w:rPr>
          <w:rFonts w:ascii="宋体" w:hAnsi="宋体" w:cs="宋体"/>
          <w:szCs w:val="21"/>
        </w:rPr>
      </w:pPr>
      <w:r>
        <w:rPr>
          <w:rFonts w:hint="eastAsia" w:ascii="宋体" w:hAnsi="宋体" w:cs="宋体"/>
          <w:szCs w:val="21"/>
        </w:rPr>
        <w:t>（5）可能影响政府采购活动公平、公正进行的关系；</w:t>
      </w:r>
    </w:p>
    <w:p w14:paraId="62FB9CD0">
      <w:pPr>
        <w:spacing w:line="440" w:lineRule="exact"/>
        <w:ind w:firstLine="420" w:firstLineChars="200"/>
        <w:contextualSpacing/>
        <w:rPr>
          <w:rFonts w:ascii="宋体" w:hAnsi="宋体" w:cs="宋体"/>
          <w:szCs w:val="21"/>
        </w:rPr>
      </w:pPr>
      <w:r>
        <w:rPr>
          <w:rFonts w:hint="eastAsia" w:ascii="宋体" w:hAnsi="宋体" w:cs="宋体"/>
          <w:szCs w:val="21"/>
        </w:rPr>
        <w:t>1.4 投标人之间存在下列关联关系情形之一的，不得同时参加同一合同项下的项目投标：</w:t>
      </w:r>
    </w:p>
    <w:p w14:paraId="73D76ECB">
      <w:pPr>
        <w:spacing w:line="440" w:lineRule="exact"/>
        <w:ind w:firstLine="420" w:firstLineChars="200"/>
        <w:contextualSpacing/>
        <w:rPr>
          <w:rFonts w:ascii="宋体" w:hAnsi="宋体" w:cs="宋体"/>
          <w:szCs w:val="21"/>
        </w:rPr>
      </w:pPr>
      <w:r>
        <w:rPr>
          <w:rFonts w:hint="eastAsia" w:ascii="宋体" w:hAnsi="宋体" w:cs="宋体"/>
          <w:szCs w:val="21"/>
        </w:rPr>
        <w:t xml:space="preserve">（1）单位负责人为同一人的两个及两个以上法人； </w:t>
      </w:r>
    </w:p>
    <w:p w14:paraId="74D5E41D">
      <w:pPr>
        <w:spacing w:line="440" w:lineRule="exact"/>
        <w:ind w:firstLine="420" w:firstLineChars="200"/>
        <w:contextualSpacing/>
        <w:rPr>
          <w:rFonts w:ascii="宋体" w:hAnsi="宋体" w:cs="宋体"/>
          <w:szCs w:val="21"/>
        </w:rPr>
      </w:pPr>
      <w:r>
        <w:rPr>
          <w:rFonts w:hint="eastAsia" w:ascii="宋体" w:hAnsi="宋体" w:cs="宋体"/>
          <w:szCs w:val="21"/>
        </w:rPr>
        <w:t xml:space="preserve">（2）有相互投资参股或管理与被管理的母子公司关系的投标人； </w:t>
      </w:r>
    </w:p>
    <w:p w14:paraId="268754FB">
      <w:pPr>
        <w:spacing w:line="440" w:lineRule="exact"/>
        <w:ind w:firstLine="420" w:firstLineChars="200"/>
        <w:contextualSpacing/>
        <w:rPr>
          <w:rFonts w:ascii="宋体" w:hAnsi="宋体" w:cs="宋体"/>
          <w:szCs w:val="21"/>
        </w:rPr>
      </w:pPr>
      <w:r>
        <w:rPr>
          <w:rFonts w:hint="eastAsia" w:ascii="宋体" w:hAnsi="宋体" w:cs="宋体"/>
          <w:szCs w:val="21"/>
        </w:rPr>
        <w:t>（3）均为同一家母公司直接或间接持股50%及以上的被投资公司；</w:t>
      </w:r>
    </w:p>
    <w:p w14:paraId="00D5A20F">
      <w:pPr>
        <w:spacing w:line="440" w:lineRule="exact"/>
        <w:ind w:firstLine="420" w:firstLineChars="200"/>
        <w:contextualSpacing/>
        <w:rPr>
          <w:rFonts w:ascii="宋体" w:hAnsi="宋体" w:cs="宋体"/>
          <w:szCs w:val="21"/>
        </w:rPr>
      </w:pPr>
      <w:r>
        <w:rPr>
          <w:rFonts w:hint="eastAsia" w:ascii="宋体" w:hAnsi="宋体" w:cs="宋体"/>
          <w:szCs w:val="21"/>
        </w:rPr>
        <w:t>1.5 一个投标人对一个项目只能提交一个投标文件。</w:t>
      </w:r>
    </w:p>
    <w:p w14:paraId="2939722E">
      <w:pPr>
        <w:spacing w:line="440" w:lineRule="exact"/>
        <w:ind w:firstLine="420" w:firstLineChars="200"/>
        <w:contextualSpacing/>
        <w:rPr>
          <w:rFonts w:ascii="宋体" w:hAnsi="宋体" w:cs="宋体"/>
          <w:szCs w:val="21"/>
        </w:rPr>
      </w:pPr>
      <w:r>
        <w:rPr>
          <w:rFonts w:hint="eastAsia" w:ascii="宋体" w:hAnsi="宋体" w:cs="宋体"/>
          <w:szCs w:val="21"/>
        </w:rPr>
        <w:t>1.6 投标人代理人只能接受一个投标方委托参加投标。</w:t>
      </w:r>
    </w:p>
    <w:p w14:paraId="74AEE0C2">
      <w:pPr>
        <w:spacing w:line="440" w:lineRule="exact"/>
        <w:ind w:firstLine="420" w:firstLineChars="200"/>
        <w:contextualSpacing/>
      </w:pPr>
      <w:r>
        <w:rPr>
          <w:rFonts w:hint="eastAsia" w:ascii="宋体" w:hAnsi="宋体" w:cs="宋体"/>
          <w:szCs w:val="21"/>
        </w:rPr>
        <w:t>1.7 如投标人代理人不是法定代表人，须持有《法定代表人授权书》（统一格式详见投标文件格式）</w:t>
      </w:r>
    </w:p>
    <w:p w14:paraId="2A93533A">
      <w:pPr>
        <w:spacing w:line="440" w:lineRule="exact"/>
        <w:ind w:firstLine="413" w:firstLineChars="196"/>
        <w:contextualSpacing/>
        <w:jc w:val="left"/>
        <w:outlineLvl w:val="1"/>
        <w:rPr>
          <w:rFonts w:ascii="宋体" w:hAnsi="宋体" w:cs="宋体"/>
          <w:b/>
          <w:szCs w:val="21"/>
        </w:rPr>
      </w:pPr>
      <w:bookmarkStart w:id="65" w:name="_Toc29625"/>
      <w:r>
        <w:rPr>
          <w:rFonts w:hint="eastAsia" w:ascii="宋体" w:hAnsi="宋体" w:cs="宋体"/>
          <w:b/>
          <w:szCs w:val="21"/>
        </w:rPr>
        <w:t>（四）招标方式</w:t>
      </w:r>
      <w:bookmarkEnd w:id="65"/>
    </w:p>
    <w:p w14:paraId="3E1BB7F7">
      <w:pPr>
        <w:spacing w:line="440" w:lineRule="exact"/>
        <w:ind w:firstLine="411" w:firstLineChars="196"/>
        <w:contextualSpacing/>
        <w:jc w:val="left"/>
        <w:outlineLvl w:val="1"/>
        <w:rPr>
          <w:rFonts w:ascii="宋体" w:cs="宋体"/>
          <w:szCs w:val="21"/>
        </w:rPr>
      </w:pPr>
      <w:r>
        <w:rPr>
          <w:rFonts w:hint="eastAsia" w:ascii="宋体" w:hAnsi="宋体" w:cs="宋体"/>
          <w:szCs w:val="21"/>
        </w:rPr>
        <w:t>本次招标采用公开招标方式进行。</w:t>
      </w:r>
    </w:p>
    <w:p w14:paraId="286BC28F">
      <w:pPr>
        <w:spacing w:line="440" w:lineRule="exact"/>
        <w:ind w:firstLine="413" w:firstLineChars="196"/>
        <w:contextualSpacing/>
        <w:jc w:val="left"/>
        <w:outlineLvl w:val="1"/>
        <w:rPr>
          <w:rFonts w:ascii="宋体" w:cs="宋体"/>
          <w:b/>
          <w:szCs w:val="21"/>
        </w:rPr>
      </w:pPr>
      <w:bookmarkStart w:id="66" w:name="_Toc13620"/>
      <w:r>
        <w:rPr>
          <w:rFonts w:hint="eastAsia" w:ascii="宋体" w:hAnsi="宋体" w:cs="宋体"/>
          <w:b/>
          <w:szCs w:val="21"/>
        </w:rPr>
        <w:t>（五）投标委托</w:t>
      </w:r>
      <w:bookmarkEnd w:id="66"/>
    </w:p>
    <w:p w14:paraId="3A923282">
      <w:pPr>
        <w:spacing w:line="440" w:lineRule="exact"/>
        <w:ind w:firstLine="422" w:firstLineChars="200"/>
        <w:contextualSpacing/>
        <w:jc w:val="left"/>
        <w:rPr>
          <w:rFonts w:ascii="宋体" w:hAnsi="宋体" w:cs="宋体"/>
          <w:b/>
          <w:bCs/>
          <w:szCs w:val="21"/>
          <w:highlight w:val="none"/>
        </w:rPr>
      </w:pPr>
      <w:bookmarkStart w:id="67" w:name="_Toc18576"/>
      <w:r>
        <w:rPr>
          <w:rFonts w:hint="eastAsia" w:ascii="宋体" w:hAnsi="宋体" w:cs="宋体"/>
          <w:b/>
          <w:bCs/>
          <w:szCs w:val="21"/>
          <w:highlight w:val="none"/>
        </w:rPr>
        <w:t>如投标人代表不是法定代表人，须有法定代表人出具的授权委托书并在投标文件中提供投标人代表的社保部门出具的开标前近</w:t>
      </w:r>
      <w:r>
        <w:rPr>
          <w:rFonts w:hint="eastAsia" w:ascii="宋体" w:hAnsi="宋体" w:cs="宋体"/>
          <w:b/>
          <w:bCs/>
          <w:szCs w:val="21"/>
          <w:highlight w:val="none"/>
          <w:lang w:eastAsia="zh-CN"/>
        </w:rPr>
        <w:t>三个月来任意时间</w:t>
      </w:r>
      <w:r>
        <w:rPr>
          <w:rFonts w:hint="eastAsia" w:ascii="宋体" w:hAnsi="宋体" w:cs="宋体"/>
          <w:b/>
          <w:bCs/>
          <w:szCs w:val="21"/>
          <w:highlight w:val="none"/>
        </w:rPr>
        <w:t>的社保证明，未按上述要求提供社保证明的作无效标处理。</w:t>
      </w:r>
    </w:p>
    <w:p w14:paraId="0B2D7164">
      <w:pPr>
        <w:spacing w:line="440" w:lineRule="exact"/>
        <w:ind w:firstLine="470" w:firstLineChars="196"/>
        <w:contextualSpacing/>
        <w:jc w:val="left"/>
        <w:outlineLvl w:val="1"/>
        <w:rPr>
          <w:rFonts w:ascii="宋体" w:cs="宋体"/>
          <w:b/>
          <w:szCs w:val="21"/>
        </w:rPr>
      </w:pPr>
      <w:r>
        <w:rPr>
          <w:rFonts w:hint="eastAsia" w:ascii="宋体" w:hAnsi="宋体" w:cs="宋体"/>
          <w:sz w:val="24"/>
        </w:rPr>
        <w:t>★</w:t>
      </w:r>
      <w:r>
        <w:rPr>
          <w:rFonts w:hint="eastAsia" w:ascii="宋体" w:hAnsi="宋体" w:cs="宋体"/>
          <w:b/>
          <w:szCs w:val="21"/>
        </w:rPr>
        <w:t>（六）投标费用</w:t>
      </w:r>
      <w:bookmarkEnd w:id="67"/>
    </w:p>
    <w:p w14:paraId="10E65F25">
      <w:pPr>
        <w:spacing w:line="440" w:lineRule="exact"/>
        <w:ind w:firstLine="420" w:firstLineChars="200"/>
        <w:contextualSpacing/>
        <w:jc w:val="left"/>
        <w:rPr>
          <w:rFonts w:ascii="宋体" w:cs="宋体"/>
          <w:szCs w:val="21"/>
        </w:rPr>
      </w:pPr>
      <w:r>
        <w:rPr>
          <w:rFonts w:hint="eastAsia" w:ascii="宋体" w:hAnsi="宋体" w:cs="宋体"/>
          <w:szCs w:val="21"/>
        </w:rPr>
        <w:t>不论投标结果如何，投标人均应自行承担所有与投标有关的全部费用（招标文件有相关规定除外）；</w:t>
      </w:r>
    </w:p>
    <w:p w14:paraId="4C9A2D55">
      <w:pPr>
        <w:spacing w:line="440" w:lineRule="exact"/>
        <w:ind w:firstLine="413" w:firstLineChars="196"/>
        <w:contextualSpacing/>
        <w:jc w:val="left"/>
        <w:rPr>
          <w:rFonts w:ascii="宋体" w:cs="宋体"/>
          <w:b/>
          <w:szCs w:val="21"/>
        </w:rPr>
      </w:pPr>
      <w:r>
        <w:rPr>
          <w:rFonts w:hint="eastAsia" w:ascii="宋体" w:hAnsi="宋体" w:cs="宋体"/>
          <w:b/>
          <w:szCs w:val="21"/>
        </w:rPr>
        <w:t>（七）联合体投标</w:t>
      </w:r>
    </w:p>
    <w:p w14:paraId="38227E35">
      <w:pPr>
        <w:spacing w:line="440" w:lineRule="exact"/>
        <w:ind w:firstLine="630" w:firstLineChars="300"/>
        <w:contextualSpacing/>
        <w:jc w:val="left"/>
        <w:rPr>
          <w:rFonts w:ascii="宋体" w:cs="宋体"/>
          <w:szCs w:val="21"/>
        </w:rPr>
      </w:pPr>
      <w:r>
        <w:rPr>
          <w:rFonts w:hint="eastAsia" w:ascii="宋体" w:hAnsi="宋体" w:cs="宋体"/>
          <w:szCs w:val="21"/>
        </w:rPr>
        <w:t>本项目不接受联合体投标。</w:t>
      </w:r>
    </w:p>
    <w:p w14:paraId="5A8C2413">
      <w:pPr>
        <w:spacing w:line="440" w:lineRule="exact"/>
        <w:ind w:firstLine="413" w:firstLineChars="196"/>
        <w:contextualSpacing/>
        <w:rPr>
          <w:rFonts w:ascii="宋体" w:cs="宋体"/>
          <w:b/>
          <w:kern w:val="0"/>
          <w:szCs w:val="21"/>
        </w:rPr>
      </w:pPr>
      <w:r>
        <w:rPr>
          <w:rFonts w:hint="eastAsia" w:ascii="宋体" w:hAnsi="宋体" w:cs="宋体"/>
          <w:b/>
          <w:szCs w:val="21"/>
        </w:rPr>
        <w:t>（八）</w:t>
      </w:r>
      <w:r>
        <w:rPr>
          <w:rFonts w:hint="eastAsia" w:ascii="宋体" w:hAnsi="宋体" w:cs="宋体"/>
          <w:b/>
          <w:kern w:val="0"/>
          <w:szCs w:val="21"/>
        </w:rPr>
        <w:t>转包与分包</w:t>
      </w:r>
    </w:p>
    <w:p w14:paraId="56A96A28">
      <w:pPr>
        <w:spacing w:line="440" w:lineRule="exact"/>
        <w:ind w:firstLine="420" w:firstLineChars="200"/>
        <w:contextualSpacing/>
        <w:rPr>
          <w:rFonts w:asci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3D0C82F2">
      <w:pPr>
        <w:spacing w:line="440" w:lineRule="exact"/>
        <w:ind w:firstLine="420" w:firstLineChars="200"/>
        <w:contextualSpacing/>
        <w:rPr>
          <w:rFonts w:ascii="宋体" w:cs="宋体"/>
          <w:kern w:val="0"/>
          <w:szCs w:val="21"/>
        </w:rPr>
      </w:pPr>
      <w:r>
        <w:rPr>
          <w:rFonts w:ascii="宋体" w:hAnsi="宋体" w:cs="宋体"/>
          <w:kern w:val="0"/>
          <w:szCs w:val="21"/>
        </w:rPr>
        <w:t>2</w:t>
      </w:r>
      <w:r>
        <w:rPr>
          <w:rFonts w:hint="eastAsia" w:ascii="宋体" w:hAnsi="宋体" w:cs="宋体"/>
          <w:kern w:val="0"/>
          <w:szCs w:val="21"/>
        </w:rPr>
        <w:t>、本项目不可以分包。</w:t>
      </w:r>
    </w:p>
    <w:p w14:paraId="7BD9298E">
      <w:pPr>
        <w:spacing w:line="440" w:lineRule="exact"/>
        <w:ind w:firstLine="413" w:firstLineChars="196"/>
        <w:contextualSpacing/>
        <w:jc w:val="left"/>
        <w:outlineLvl w:val="1"/>
        <w:rPr>
          <w:rFonts w:ascii="宋体" w:cs="宋体"/>
          <w:b/>
          <w:szCs w:val="21"/>
        </w:rPr>
      </w:pPr>
      <w:bookmarkStart w:id="68" w:name="_Toc2114"/>
      <w:r>
        <w:rPr>
          <w:rFonts w:hint="eastAsia" w:ascii="宋体" w:hAnsi="宋体" w:cs="宋体"/>
          <w:b/>
          <w:szCs w:val="21"/>
        </w:rPr>
        <w:t>（九）特别说明</w:t>
      </w:r>
      <w:bookmarkEnd w:id="68"/>
    </w:p>
    <w:p w14:paraId="150B40A0">
      <w:pPr>
        <w:widowControl/>
        <w:spacing w:line="440" w:lineRule="exact"/>
        <w:ind w:firstLine="420" w:firstLineChars="200"/>
        <w:contextualSpacing/>
        <w:jc w:val="left"/>
        <w:rPr>
          <w:rFonts w:hAnsi="宋体" w:cs="宋体"/>
          <w:szCs w:val="21"/>
        </w:rPr>
      </w:pPr>
      <w:r>
        <w:rPr>
          <w:rFonts w:ascii="宋体" w:hAnsi="宋体" w:cs="宋体"/>
          <w:kern w:val="0"/>
          <w:szCs w:val="21"/>
        </w:rPr>
        <w:t>1</w:t>
      </w:r>
      <w:r>
        <w:rPr>
          <w:rFonts w:hint="eastAsia" w:ascii="宋体" w:hAnsi="宋体" w:cs="宋体"/>
          <w:kern w:val="0"/>
          <w:szCs w:val="21"/>
        </w:rPr>
        <w:t>、</w:t>
      </w:r>
      <w:r>
        <w:rPr>
          <w:rFonts w:hint="eastAsia" w:hAnsi="宋体" w:cs="宋体"/>
          <w:szCs w:val="21"/>
        </w:rPr>
        <w:t>投标人应仔细阅读招标文件的所有内容，按照招标文件的要求提交投标文件，并对所提供的全部资料的真实性承担法律责任；</w:t>
      </w:r>
    </w:p>
    <w:p w14:paraId="74589CDA">
      <w:pPr>
        <w:widowControl/>
        <w:spacing w:line="440" w:lineRule="exact"/>
        <w:ind w:firstLine="420" w:firstLineChars="200"/>
        <w:contextualSpacing/>
        <w:jc w:val="left"/>
        <w:rPr>
          <w:rFonts w:hAnsi="宋体" w:cs="宋体"/>
          <w:szCs w:val="21"/>
        </w:rPr>
      </w:pPr>
      <w:r>
        <w:rPr>
          <w:rFonts w:ascii="宋体" w:hAnsi="宋体" w:cs="宋体"/>
          <w:kern w:val="0"/>
          <w:szCs w:val="21"/>
        </w:rPr>
        <w:t>2</w:t>
      </w:r>
      <w:r>
        <w:rPr>
          <w:rFonts w:hint="eastAsia" w:ascii="宋体" w:hAnsi="宋体" w:cs="宋体"/>
          <w:kern w:val="0"/>
          <w:szCs w:val="21"/>
        </w:rPr>
        <w:t>、</w:t>
      </w:r>
      <w:r>
        <w:rPr>
          <w:rFonts w:hint="eastAsia" w:hAnsi="宋体" w:cs="宋体"/>
          <w:szCs w:val="21"/>
        </w:rPr>
        <w:t>投标人在投标活动中提供任何虚假材料，其投标无效，并报监管部门查处；</w:t>
      </w:r>
    </w:p>
    <w:p w14:paraId="6F462F63">
      <w:pPr>
        <w:spacing w:line="440" w:lineRule="exact"/>
        <w:ind w:firstLine="413" w:firstLineChars="196"/>
        <w:contextualSpacing/>
        <w:jc w:val="left"/>
        <w:outlineLvl w:val="1"/>
        <w:rPr>
          <w:rFonts w:ascii="宋体" w:cs="宋体"/>
          <w:b/>
          <w:szCs w:val="21"/>
        </w:rPr>
      </w:pPr>
      <w:r>
        <w:rPr>
          <w:rFonts w:hint="eastAsia" w:ascii="宋体" w:hAnsi="宋体" w:cs="宋体"/>
          <w:b/>
          <w:szCs w:val="21"/>
        </w:rPr>
        <w:t>（十）关于知识产权</w:t>
      </w:r>
    </w:p>
    <w:p w14:paraId="7D77058C">
      <w:pPr>
        <w:widowControl/>
        <w:spacing w:line="440" w:lineRule="exact"/>
        <w:ind w:firstLine="420" w:firstLineChars="200"/>
        <w:contextualSpacing/>
        <w:jc w:val="left"/>
        <w:rPr>
          <w:rFonts w:hAnsi="宋体" w:cs="宋体"/>
          <w:szCs w:val="21"/>
        </w:rPr>
      </w:pPr>
      <w:r>
        <w:rPr>
          <w:rFonts w:ascii="宋体" w:hAnsi="宋体" w:cs="宋体"/>
          <w:kern w:val="0"/>
          <w:szCs w:val="21"/>
        </w:rPr>
        <w:t>1</w:t>
      </w:r>
      <w:r>
        <w:rPr>
          <w:rFonts w:hint="eastAsia" w:ascii="宋体" w:hAnsi="宋体" w:cs="宋体"/>
          <w:kern w:val="0"/>
          <w:szCs w:val="21"/>
        </w:rPr>
        <w:t>、</w:t>
      </w:r>
      <w:r>
        <w:rPr>
          <w:rFonts w:hint="eastAsia" w:hAnsi="宋体" w:cs="宋体"/>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6440ADA9">
      <w:pPr>
        <w:widowControl/>
        <w:spacing w:line="440" w:lineRule="exact"/>
        <w:ind w:firstLine="420" w:firstLineChars="200"/>
        <w:contextualSpacing/>
        <w:jc w:val="left"/>
        <w:rPr>
          <w:rFonts w:hAnsi="宋体" w:cs="宋体"/>
          <w:szCs w:val="21"/>
        </w:rPr>
      </w:pPr>
      <w:r>
        <w:rPr>
          <w:rFonts w:ascii="宋体" w:hAnsi="宋体" w:cs="宋体"/>
          <w:kern w:val="0"/>
          <w:szCs w:val="21"/>
        </w:rPr>
        <w:t>2</w:t>
      </w:r>
      <w:r>
        <w:rPr>
          <w:rFonts w:hint="eastAsia" w:ascii="宋体" w:hAnsi="宋体" w:cs="宋体"/>
          <w:kern w:val="0"/>
          <w:szCs w:val="21"/>
        </w:rPr>
        <w:t>、</w:t>
      </w:r>
      <w:r>
        <w:rPr>
          <w:rFonts w:hint="eastAsia" w:hAnsi="宋体" w:cs="宋体"/>
          <w:szCs w:val="21"/>
        </w:rPr>
        <w:t>投标报价应包含所有应向所有权人支付的专利权、商标权或其它知识产权的一切相关费用；</w:t>
      </w:r>
    </w:p>
    <w:p w14:paraId="7B38A380">
      <w:pPr>
        <w:widowControl/>
        <w:spacing w:line="440" w:lineRule="exact"/>
        <w:ind w:firstLine="420" w:firstLineChars="200"/>
        <w:contextualSpacing/>
        <w:jc w:val="left"/>
        <w:rPr>
          <w:rFonts w:hAnsi="宋体" w:cs="宋体"/>
          <w:szCs w:val="21"/>
        </w:rPr>
      </w:pPr>
      <w:r>
        <w:rPr>
          <w:rFonts w:ascii="宋体" w:hAnsi="宋体" w:cs="宋体"/>
          <w:kern w:val="0"/>
          <w:szCs w:val="21"/>
        </w:rPr>
        <w:t>3</w:t>
      </w:r>
      <w:r>
        <w:rPr>
          <w:rFonts w:hint="eastAsia" w:ascii="宋体" w:hAnsi="宋体" w:cs="宋体"/>
          <w:kern w:val="0"/>
          <w:szCs w:val="21"/>
        </w:rPr>
        <w:t>、</w:t>
      </w:r>
      <w:r>
        <w:rPr>
          <w:rFonts w:hint="eastAsia" w:hAnsi="宋体" w:cs="宋体"/>
          <w:szCs w:val="21"/>
        </w:rPr>
        <w:t>系统软件、通用软件必须是具有在中国境内的合法使用权或版权的正版软件，涉及到第三方提出侵权或知识产权的起诉及支付版税等费用由投标人承担所有责任及费用。</w:t>
      </w:r>
    </w:p>
    <w:p w14:paraId="2FBDABEF">
      <w:pPr>
        <w:pStyle w:val="13"/>
        <w:spacing w:beforeLines="0" w:afterLines="0" w:line="440" w:lineRule="exact"/>
        <w:ind w:left="2" w:leftChars="1" w:firstLine="422" w:firstLineChars="200"/>
        <w:contextualSpacing/>
        <w:rPr>
          <w:rFonts w:hAnsi="宋体" w:cs="宋体"/>
          <w:b/>
          <w:bCs/>
          <w:sz w:val="21"/>
          <w:szCs w:val="21"/>
        </w:rPr>
      </w:pPr>
      <w:r>
        <w:rPr>
          <w:rFonts w:hint="eastAsia" w:hAnsi="宋体" w:cs="宋体"/>
          <w:b/>
          <w:bCs/>
          <w:sz w:val="21"/>
          <w:szCs w:val="21"/>
        </w:rPr>
        <w:t>（十一）质疑和投诉</w:t>
      </w:r>
    </w:p>
    <w:p w14:paraId="4D9D4306">
      <w:pPr>
        <w:spacing w:line="440" w:lineRule="exact"/>
        <w:ind w:firstLine="420" w:firstLineChars="200"/>
        <w:contextualSpacing/>
        <w:rPr>
          <w:rFonts w:ascii="宋体" w:hAnsi="宋体" w:cs="宋体"/>
          <w:szCs w:val="21"/>
        </w:rPr>
      </w:pPr>
      <w:bookmarkStart w:id="69" w:name="_Toc6223"/>
      <w:r>
        <w:rPr>
          <w:rFonts w:hint="eastAsia" w:ascii="宋体" w:hAnsi="宋体" w:cs="宋体"/>
          <w:szCs w:val="21"/>
        </w:rPr>
        <w:t>1、投标人认为采购文件、采购过程、中标或者成交结果使自己的权益受到损害的，须在应知其利益受损之日起七个工作日内以书面形式向采购人、采购代理机构提出质疑。投标人应当在法定质疑期内一次性提出针对同一采购程序环节的质疑。</w:t>
      </w:r>
    </w:p>
    <w:p w14:paraId="6008A9EE">
      <w:pPr>
        <w:spacing w:line="440" w:lineRule="exact"/>
        <w:ind w:firstLine="420" w:firstLineChars="200"/>
        <w:contextualSpacing/>
        <w:rPr>
          <w:rFonts w:ascii="宋体" w:hAnsi="宋体" w:cs="宋体"/>
          <w:szCs w:val="21"/>
        </w:rPr>
      </w:pPr>
      <w:r>
        <w:rPr>
          <w:rFonts w:hint="eastAsia" w:ascii="宋体" w:hAnsi="宋体" w:cs="宋体"/>
          <w:szCs w:val="21"/>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14:paraId="512E323D">
      <w:pPr>
        <w:spacing w:line="440" w:lineRule="exact"/>
        <w:ind w:firstLine="420" w:firstLineChars="200"/>
        <w:contextualSpacing/>
        <w:rPr>
          <w:rFonts w:ascii="宋体" w:hAnsi="宋体" w:cs="宋体"/>
          <w:szCs w:val="21"/>
        </w:rPr>
      </w:pPr>
      <w:r>
        <w:rPr>
          <w:rFonts w:hint="eastAsia" w:ascii="宋体" w:hAnsi="宋体" w:cs="宋体"/>
          <w:szCs w:val="21"/>
        </w:rPr>
        <w:t>3、投标人提出质疑应当提交质疑函和必要的证明材料，质疑函应当面以书面形式提出，质疑函格式和内容须符合财政部《质疑函范本》要求，投标人可到中国政府采购网自行下载财政部《质疑函范本》。</w:t>
      </w:r>
    </w:p>
    <w:p w14:paraId="5044FE87">
      <w:pPr>
        <w:spacing w:line="440" w:lineRule="exact"/>
        <w:ind w:firstLine="420" w:firstLineChars="200"/>
        <w:contextualSpacing/>
        <w:rPr>
          <w:rFonts w:ascii="宋体" w:hAnsi="宋体" w:cs="宋体"/>
          <w:szCs w:val="21"/>
        </w:rPr>
      </w:pPr>
      <w:r>
        <w:rPr>
          <w:rFonts w:hint="eastAsia" w:ascii="宋体" w:hAnsi="宋体" w:cs="宋体"/>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6A387A18">
      <w:pPr>
        <w:spacing w:line="440" w:lineRule="exact"/>
        <w:ind w:firstLine="420" w:firstLineChars="200"/>
        <w:contextualSpacing/>
        <w:rPr>
          <w:rFonts w:ascii="宋体" w:hAnsi="宋体" w:cs="宋体"/>
          <w:szCs w:val="21"/>
        </w:rPr>
      </w:pPr>
      <w:r>
        <w:rPr>
          <w:rFonts w:hint="eastAsia" w:ascii="宋体" w:hAnsi="宋体" w:cs="宋体"/>
          <w:szCs w:val="21"/>
        </w:rPr>
        <w:t>5、投标人对采购人或采购代理机构的质疑答复不满意或者采购人或采购代理机构未在规定时间内作出答复的，可以在答复期满后十五个工作日内向同级采购监管部门投诉。</w:t>
      </w:r>
    </w:p>
    <w:p w14:paraId="2C422C4C">
      <w:pPr>
        <w:pStyle w:val="13"/>
        <w:spacing w:beforeLines="0" w:afterLines="0" w:line="440" w:lineRule="exact"/>
        <w:ind w:firstLine="413" w:firstLineChars="196"/>
        <w:contextualSpacing/>
        <w:outlineLvl w:val="0"/>
        <w:rPr>
          <w:rFonts w:hAnsi="宋体" w:cs="宋体"/>
          <w:b/>
          <w:sz w:val="21"/>
          <w:szCs w:val="21"/>
        </w:rPr>
      </w:pPr>
      <w:r>
        <w:rPr>
          <w:rFonts w:hint="eastAsia" w:hAnsi="宋体" w:cs="宋体"/>
          <w:b/>
          <w:sz w:val="21"/>
          <w:szCs w:val="21"/>
        </w:rPr>
        <w:t>二、招标文件</w:t>
      </w:r>
      <w:bookmarkEnd w:id="69"/>
    </w:p>
    <w:p w14:paraId="49B2276D">
      <w:pPr>
        <w:spacing w:line="440" w:lineRule="exact"/>
        <w:ind w:firstLine="413" w:firstLineChars="196"/>
        <w:contextualSpacing/>
        <w:jc w:val="left"/>
        <w:rPr>
          <w:rFonts w:ascii="宋体" w:cs="宋体"/>
          <w:b/>
          <w:szCs w:val="21"/>
        </w:rPr>
      </w:pPr>
      <w:r>
        <w:rPr>
          <w:rFonts w:hint="eastAsia" w:ascii="宋体" w:hAnsi="宋体" w:cs="宋体"/>
          <w:b/>
          <w:szCs w:val="21"/>
        </w:rPr>
        <w:t>（一）招标文件的构成。本招标文件由以下部分组成：</w:t>
      </w:r>
    </w:p>
    <w:p w14:paraId="289B898F">
      <w:pPr>
        <w:spacing w:line="440" w:lineRule="exact"/>
        <w:ind w:firstLine="420" w:firstLineChars="200"/>
        <w:contextualSpacing/>
        <w:jc w:val="left"/>
        <w:rPr>
          <w:rFonts w:ascii="宋体" w:hAnsi="宋体" w:cs="宋体"/>
          <w:szCs w:val="21"/>
        </w:rPr>
      </w:pPr>
      <w:r>
        <w:rPr>
          <w:rFonts w:hint="eastAsia" w:ascii="宋体" w:hAnsi="宋体" w:cs="宋体"/>
          <w:szCs w:val="21"/>
        </w:rPr>
        <w:t>1、公开招标公告</w:t>
      </w:r>
    </w:p>
    <w:p w14:paraId="39DF7533">
      <w:pPr>
        <w:spacing w:line="440" w:lineRule="exact"/>
        <w:ind w:firstLine="420" w:firstLineChars="200"/>
        <w:contextualSpacing/>
        <w:jc w:val="left"/>
        <w:rPr>
          <w:rFonts w:ascii="宋体" w:hAnsi="宋体" w:cs="宋体"/>
          <w:szCs w:val="21"/>
        </w:rPr>
      </w:pPr>
      <w:r>
        <w:rPr>
          <w:rFonts w:hint="eastAsia" w:ascii="宋体" w:hAnsi="宋体" w:cs="宋体"/>
          <w:szCs w:val="21"/>
        </w:rPr>
        <w:t>2、招标需求</w:t>
      </w:r>
    </w:p>
    <w:p w14:paraId="1A5C0315">
      <w:pPr>
        <w:spacing w:line="440" w:lineRule="exact"/>
        <w:ind w:firstLine="420" w:firstLineChars="200"/>
        <w:contextualSpacing/>
        <w:jc w:val="left"/>
        <w:rPr>
          <w:rFonts w:ascii="宋体" w:hAnsi="宋体" w:cs="宋体"/>
          <w:szCs w:val="21"/>
        </w:rPr>
      </w:pPr>
      <w:r>
        <w:rPr>
          <w:rFonts w:hint="eastAsia" w:ascii="宋体" w:hAnsi="宋体" w:cs="宋体"/>
          <w:szCs w:val="21"/>
        </w:rPr>
        <w:t>3、投标人须知</w:t>
      </w:r>
    </w:p>
    <w:p w14:paraId="100C748C">
      <w:pPr>
        <w:spacing w:line="440" w:lineRule="exact"/>
        <w:ind w:firstLine="420" w:firstLineChars="200"/>
        <w:contextualSpacing/>
        <w:jc w:val="left"/>
        <w:rPr>
          <w:rFonts w:ascii="宋体" w:hAnsi="宋体" w:cs="宋体"/>
          <w:szCs w:val="21"/>
        </w:rPr>
      </w:pPr>
      <w:r>
        <w:rPr>
          <w:rFonts w:hint="eastAsia" w:ascii="宋体" w:hAnsi="宋体" w:cs="宋体"/>
          <w:szCs w:val="21"/>
        </w:rPr>
        <w:t>4、评标办法及评分标准</w:t>
      </w:r>
    </w:p>
    <w:p w14:paraId="7CDA599C">
      <w:pPr>
        <w:spacing w:line="440" w:lineRule="exact"/>
        <w:ind w:firstLine="420" w:firstLineChars="200"/>
        <w:contextualSpacing/>
        <w:jc w:val="left"/>
        <w:rPr>
          <w:rFonts w:ascii="宋体" w:hAnsi="宋体" w:cs="宋体"/>
          <w:szCs w:val="21"/>
        </w:rPr>
      </w:pPr>
      <w:r>
        <w:rPr>
          <w:rFonts w:hint="eastAsia" w:ascii="宋体" w:hAnsi="宋体" w:cs="宋体"/>
          <w:szCs w:val="21"/>
        </w:rPr>
        <w:t>5、投标文件格式</w:t>
      </w:r>
    </w:p>
    <w:p w14:paraId="27D0A2F7">
      <w:pPr>
        <w:spacing w:line="440" w:lineRule="exact"/>
        <w:ind w:firstLine="420" w:firstLineChars="200"/>
        <w:contextualSpacing/>
        <w:jc w:val="left"/>
        <w:rPr>
          <w:rFonts w:ascii="宋体" w:hAnsi="宋体" w:cs="宋体"/>
          <w:szCs w:val="21"/>
        </w:rPr>
      </w:pPr>
      <w:r>
        <w:rPr>
          <w:rFonts w:hint="eastAsia" w:ascii="宋体" w:hAnsi="宋体" w:cs="宋体"/>
          <w:szCs w:val="21"/>
        </w:rPr>
        <w:t>6、投标文件格式</w:t>
      </w:r>
    </w:p>
    <w:p w14:paraId="06292DFE">
      <w:pPr>
        <w:spacing w:line="440" w:lineRule="exact"/>
        <w:ind w:firstLine="420" w:firstLineChars="200"/>
        <w:contextualSpacing/>
        <w:jc w:val="left"/>
        <w:rPr>
          <w:rFonts w:ascii="宋体" w:hAnsi="宋体" w:cs="宋体"/>
          <w:szCs w:val="21"/>
        </w:rPr>
      </w:pPr>
      <w:r>
        <w:rPr>
          <w:rFonts w:hint="eastAsia" w:ascii="宋体" w:hAnsi="宋体" w:cs="宋体"/>
          <w:szCs w:val="21"/>
        </w:rPr>
        <w:t>7、本项目招标文件的澄清、答复、修改、补充的内容。</w:t>
      </w:r>
    </w:p>
    <w:p w14:paraId="1BB7A41A">
      <w:pPr>
        <w:spacing w:line="440" w:lineRule="exact"/>
        <w:ind w:firstLine="413" w:firstLineChars="196"/>
        <w:contextualSpacing/>
        <w:jc w:val="left"/>
        <w:rPr>
          <w:rFonts w:ascii="宋体" w:cs="宋体"/>
          <w:b/>
          <w:szCs w:val="21"/>
        </w:rPr>
      </w:pPr>
      <w:r>
        <w:rPr>
          <w:rFonts w:hint="eastAsia" w:ascii="宋体" w:hAnsi="宋体" w:cs="宋体"/>
          <w:b/>
          <w:szCs w:val="21"/>
        </w:rPr>
        <w:t>（二）投标人的风险</w:t>
      </w:r>
    </w:p>
    <w:p w14:paraId="5E6EB8AB">
      <w:pPr>
        <w:pStyle w:val="21"/>
        <w:snapToGrid/>
        <w:spacing w:line="440" w:lineRule="exact"/>
        <w:ind w:firstLine="420"/>
        <w:contextualSpacing/>
        <w:rPr>
          <w:rFonts w:ascii="宋体" w:eastAsia="宋体" w:cs="宋体"/>
          <w:color w:val="auto"/>
          <w:sz w:val="21"/>
          <w:szCs w:val="21"/>
        </w:rPr>
      </w:pPr>
      <w:r>
        <w:rPr>
          <w:rFonts w:hint="eastAsia" w:ascii="宋体" w:eastAsia="宋体" w:cs="宋体"/>
          <w:color w:val="auto"/>
          <w:sz w:val="21"/>
          <w:szCs w:val="21"/>
        </w:rPr>
        <w:t>投标人没有按照招标文件要求提供全部资料，或者投标人没有对招标文件在各方面作出实质性响应是投标人的风险，并可能导致其投标被拒绝。</w:t>
      </w:r>
    </w:p>
    <w:p w14:paraId="2CB64932">
      <w:pPr>
        <w:pStyle w:val="21"/>
        <w:snapToGrid/>
        <w:spacing w:line="440" w:lineRule="exact"/>
        <w:ind w:firstLine="422"/>
        <w:contextualSpacing/>
        <w:rPr>
          <w:rFonts w:ascii="宋体" w:eastAsia="宋体" w:cs="宋体"/>
          <w:b/>
          <w:color w:val="auto"/>
          <w:sz w:val="21"/>
          <w:szCs w:val="21"/>
        </w:rPr>
      </w:pPr>
      <w:r>
        <w:rPr>
          <w:rFonts w:hint="eastAsia" w:ascii="宋体" w:eastAsia="宋体" w:cs="宋体"/>
          <w:b/>
          <w:color w:val="auto"/>
          <w:sz w:val="21"/>
          <w:szCs w:val="21"/>
        </w:rPr>
        <w:t>（三）招标文件的澄清与修改</w:t>
      </w:r>
    </w:p>
    <w:p w14:paraId="2DDC0A25">
      <w:pPr>
        <w:pStyle w:val="13"/>
        <w:spacing w:beforeLines="0" w:afterLines="0" w:line="440" w:lineRule="exact"/>
        <w:ind w:firstLine="413"/>
        <w:contextualSpacing/>
        <w:rPr>
          <w:rFonts w:hAnsi="宋体" w:cs="宋体"/>
          <w:sz w:val="21"/>
          <w:szCs w:val="21"/>
        </w:rPr>
      </w:pPr>
      <w:r>
        <w:rPr>
          <w:rFonts w:hint="eastAsia" w:hAnsi="宋体" w:cs="宋体"/>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14:paraId="0E80CD77">
      <w:pPr>
        <w:pStyle w:val="13"/>
        <w:spacing w:beforeLines="0" w:afterLines="0" w:line="440" w:lineRule="exact"/>
        <w:ind w:firstLine="413"/>
        <w:contextualSpacing/>
        <w:rPr>
          <w:rFonts w:hAnsi="宋体" w:cs="宋体"/>
          <w:sz w:val="21"/>
          <w:szCs w:val="21"/>
        </w:rPr>
      </w:pPr>
      <w:r>
        <w:rPr>
          <w:rFonts w:hint="eastAsia" w:hAnsi="宋体" w:cs="宋体"/>
          <w:sz w:val="21"/>
          <w:szCs w:val="21"/>
        </w:rPr>
        <w:t>2、更正公告为采购文件的组成部分，一经在网站发布，视同已通知所有采购文件的收受人，不再采用其它方式传达相关信息, 若因未能及时了解到上述网站上发布的相关信息而导致的一切后果自行承担。</w:t>
      </w:r>
    </w:p>
    <w:p w14:paraId="64FC54FC">
      <w:pPr>
        <w:pStyle w:val="13"/>
        <w:spacing w:beforeLines="0" w:afterLines="0" w:line="440" w:lineRule="exact"/>
        <w:ind w:firstLine="413"/>
        <w:contextualSpacing/>
        <w:rPr>
          <w:rFonts w:hAnsi="宋体" w:cs="宋体"/>
          <w:sz w:val="21"/>
          <w:szCs w:val="21"/>
        </w:rPr>
      </w:pPr>
      <w:r>
        <w:rPr>
          <w:rFonts w:hint="eastAsia" w:hAnsi="宋体" w:cs="宋体"/>
          <w:sz w:val="21"/>
          <w:szCs w:val="21"/>
        </w:rPr>
        <w:t>3、如更正公告有重新发布电子采购文件的，投标人应下载最新发布的电子招标文件制作投标文件。</w:t>
      </w:r>
    </w:p>
    <w:p w14:paraId="335A4559">
      <w:pPr>
        <w:pStyle w:val="5"/>
        <w:numPr>
          <w:ilvl w:val="0"/>
          <w:numId w:val="0"/>
        </w:numPr>
        <w:tabs>
          <w:tab w:val="left" w:pos="720"/>
          <w:tab w:val="clear" w:pos="360"/>
        </w:tabs>
        <w:spacing w:line="440" w:lineRule="exact"/>
        <w:ind w:firstLine="420" w:firstLineChars="200"/>
        <w:contextualSpacing/>
        <w:rPr>
          <w:rFonts w:cs="宋体"/>
          <w:szCs w:val="21"/>
        </w:rPr>
      </w:pPr>
      <w:r>
        <w:rPr>
          <w:rFonts w:hint="eastAsia" w:ascii="宋体" w:hAnsi="宋体" w:cs="宋体"/>
          <w:szCs w:val="21"/>
        </w:rPr>
        <w:t>4、</w:t>
      </w:r>
      <w:r>
        <w:rPr>
          <w:rFonts w:hint="eastAsia" w:hAnsi="宋体" w:cs="宋体"/>
          <w:szCs w:val="21"/>
        </w:rPr>
        <w:t>投标人在规定的时间内未对招标文件提出疑问、质疑或要求澄清的，将视其为无异议。对采购文件中描述有歧义或前后不一致的地方，评标委员会有权进行评判，但对同一条款的评判应适用于每个投标人。</w:t>
      </w:r>
    </w:p>
    <w:p w14:paraId="7A9EDF6B">
      <w:pPr>
        <w:pStyle w:val="13"/>
        <w:spacing w:beforeLines="0" w:afterLines="0" w:line="440" w:lineRule="exact"/>
        <w:ind w:firstLine="413" w:firstLineChars="196"/>
        <w:contextualSpacing/>
        <w:outlineLvl w:val="1"/>
        <w:rPr>
          <w:rFonts w:hAnsi="宋体" w:cs="宋体"/>
          <w:b/>
          <w:sz w:val="21"/>
          <w:szCs w:val="21"/>
        </w:rPr>
      </w:pPr>
      <w:bookmarkStart w:id="70" w:name="_Toc1389"/>
      <w:r>
        <w:rPr>
          <w:rFonts w:hint="eastAsia" w:hAnsi="宋体" w:cs="宋体"/>
          <w:b/>
          <w:sz w:val="21"/>
          <w:szCs w:val="21"/>
        </w:rPr>
        <w:t>三、投标文件的编制</w:t>
      </w:r>
      <w:bookmarkEnd w:id="70"/>
    </w:p>
    <w:p w14:paraId="63BFD8AC">
      <w:pPr>
        <w:widowControl/>
        <w:tabs>
          <w:tab w:val="left" w:pos="645"/>
        </w:tabs>
        <w:spacing w:line="440" w:lineRule="exact"/>
        <w:ind w:firstLine="211" w:firstLineChars="100"/>
        <w:contextualSpacing/>
        <w:rPr>
          <w:rFonts w:ascii="宋体" w:hAnsi="宋体"/>
          <w:b/>
          <w:bCs/>
          <w:szCs w:val="21"/>
        </w:rPr>
      </w:pPr>
      <w:bookmarkStart w:id="71" w:name="_Toc1582"/>
      <w:r>
        <w:rPr>
          <w:rFonts w:hint="eastAsia" w:ascii="宋体" w:hAnsi="宋体"/>
          <w:b/>
          <w:bCs/>
          <w:szCs w:val="21"/>
        </w:rPr>
        <w:t>（一）</w:t>
      </w:r>
      <w:r>
        <w:rPr>
          <w:rFonts w:hint="eastAsia" w:ascii="宋体" w:hAnsi="宋体"/>
          <w:b/>
          <w:bCs/>
          <w:szCs w:val="21"/>
          <w:lang w:val="zh-CN"/>
        </w:rPr>
        <w:t>投标</w:t>
      </w:r>
      <w:r>
        <w:rPr>
          <w:rFonts w:ascii="宋体" w:hAnsi="宋体"/>
          <w:b/>
          <w:bCs/>
          <w:szCs w:val="21"/>
          <w:lang w:val="zh-CN"/>
        </w:rPr>
        <w:t>文件</w:t>
      </w:r>
    </w:p>
    <w:p w14:paraId="123EE1B5">
      <w:pPr>
        <w:widowControl/>
        <w:spacing w:line="440" w:lineRule="exact"/>
        <w:ind w:firstLine="420" w:firstLineChars="200"/>
        <w:contextualSpacing/>
        <w:rPr>
          <w:rFonts w:ascii="宋体" w:hAnsi="宋体"/>
          <w:szCs w:val="21"/>
        </w:rPr>
      </w:pPr>
      <w:r>
        <w:rPr>
          <w:rFonts w:hint="eastAsia" w:ascii="宋体" w:hAnsi="宋体"/>
          <w:szCs w:val="21"/>
        </w:rPr>
        <w:t>1、</w:t>
      </w:r>
      <w:r>
        <w:rPr>
          <w:rFonts w:hint="eastAsia" w:ascii="宋体" w:hAnsi="宋体"/>
          <w:szCs w:val="21"/>
          <w:lang w:val="zh-CN"/>
        </w:rPr>
        <w:t>投标</w:t>
      </w:r>
      <w:r>
        <w:rPr>
          <w:rFonts w:ascii="宋体" w:hAnsi="宋体"/>
          <w:szCs w:val="21"/>
          <w:lang w:val="zh-CN"/>
        </w:rPr>
        <w:t>文件以及投标</w:t>
      </w:r>
      <w:r>
        <w:rPr>
          <w:rFonts w:hint="eastAsia" w:ascii="宋体" w:hAnsi="宋体"/>
          <w:szCs w:val="21"/>
          <w:lang w:val="zh-CN"/>
        </w:rPr>
        <w:t>人</w:t>
      </w:r>
      <w:r>
        <w:rPr>
          <w:rFonts w:ascii="宋体" w:hAnsi="宋体"/>
          <w:szCs w:val="21"/>
          <w:lang w:val="zh-CN"/>
        </w:rPr>
        <w:t>与采购代理机构就有关本次采购事宜的所有来往函电均应使用简体中文。</w:t>
      </w:r>
    </w:p>
    <w:p w14:paraId="01CF9616">
      <w:pPr>
        <w:widowControl/>
        <w:spacing w:line="440" w:lineRule="exact"/>
        <w:ind w:firstLine="420" w:firstLineChars="200"/>
        <w:contextualSpacing/>
        <w:rPr>
          <w:rFonts w:ascii="宋体" w:hAnsi="宋体"/>
          <w:szCs w:val="21"/>
          <w:lang w:val="zh-CN"/>
        </w:rPr>
      </w:pPr>
      <w:r>
        <w:rPr>
          <w:rFonts w:hint="eastAsia" w:ascii="宋体" w:hAnsi="宋体"/>
          <w:bCs/>
          <w:szCs w:val="21"/>
        </w:rPr>
        <w:t>2、</w:t>
      </w:r>
      <w:r>
        <w:rPr>
          <w:rFonts w:ascii="宋体" w:hAnsi="宋体"/>
          <w:szCs w:val="21"/>
          <w:lang w:val="zh-CN"/>
        </w:rPr>
        <w:t>除本文件中另有规定外，响应文件所使用的计量单位，均须采用国家法定计量单位。</w:t>
      </w:r>
    </w:p>
    <w:p w14:paraId="483A3B33">
      <w:pPr>
        <w:widowControl/>
        <w:spacing w:line="440" w:lineRule="exact"/>
        <w:ind w:firstLine="211" w:firstLineChars="100"/>
        <w:contextualSpacing/>
        <w:rPr>
          <w:rFonts w:ascii="宋体" w:hAnsi="宋体"/>
          <w:bCs/>
          <w:szCs w:val="21"/>
        </w:rPr>
      </w:pPr>
      <w:r>
        <w:rPr>
          <w:rFonts w:hint="eastAsia" w:ascii="宋体" w:hAnsi="宋体"/>
          <w:b/>
          <w:bCs/>
          <w:szCs w:val="21"/>
        </w:rPr>
        <w:t>（二）投标文件的形式和效力</w:t>
      </w:r>
    </w:p>
    <w:p w14:paraId="630451A6">
      <w:pPr>
        <w:spacing w:line="440" w:lineRule="exact"/>
        <w:ind w:firstLine="411" w:firstLineChars="196"/>
        <w:contextualSpacing/>
        <w:jc w:val="left"/>
        <w:outlineLvl w:val="0"/>
        <w:rPr>
          <w:rFonts w:ascii="宋体" w:hAnsi="宋体"/>
          <w:szCs w:val="21"/>
        </w:rPr>
      </w:pPr>
      <w:r>
        <w:rPr>
          <w:rFonts w:hint="eastAsia" w:ascii="宋体" w:hAnsi="宋体"/>
          <w:szCs w:val="21"/>
        </w:rPr>
        <w:t>1、投标文件分为电子投标文件以及备份投标文件，备份投标文件包括以介质存储的数据电文形式的备份投标文件。</w:t>
      </w:r>
      <w:r>
        <w:rPr>
          <w:rFonts w:hint="eastAsia" w:ascii="宋体" w:hAnsi="宋体"/>
          <w:szCs w:val="21"/>
        </w:rPr>
        <w:cr/>
      </w:r>
      <w:r>
        <w:rPr>
          <w:rFonts w:hint="eastAsia" w:ascii="宋体" w:hAnsi="宋体"/>
          <w:szCs w:val="21"/>
        </w:rPr>
        <w:t xml:space="preserve">   2、电子投标文件，按“供应商-电子招投标操作指南”及本采购文件要求制作、加密并递交，所须加盖公章部分均采用CA签章。</w:t>
      </w:r>
      <w:r>
        <w:rPr>
          <w:rFonts w:hint="eastAsia" w:ascii="宋体" w:hAnsi="宋体"/>
          <w:szCs w:val="21"/>
        </w:rPr>
        <w:cr/>
      </w:r>
      <w:r>
        <w:rPr>
          <w:rFonts w:hint="eastAsia" w:ascii="宋体" w:hAnsi="宋体"/>
          <w:szCs w:val="21"/>
        </w:rPr>
        <w:t xml:space="preserve">   3、以介质存储的数据电文形式的备份投标文件，即电子投标文件按“供应商-电子招投标操作指南”制作的备份文件。</w:t>
      </w:r>
      <w:r>
        <w:rPr>
          <w:rFonts w:hint="eastAsia" w:ascii="宋体" w:hAnsi="宋体"/>
          <w:szCs w:val="21"/>
        </w:rPr>
        <w:cr/>
      </w:r>
      <w:r>
        <w:rPr>
          <w:rFonts w:hint="eastAsia" w:ascii="宋体" w:hAnsi="宋体"/>
          <w:szCs w:val="21"/>
        </w:rPr>
        <w:t xml:space="preserve">   4、投标文件的效力</w:t>
      </w:r>
      <w:r>
        <w:rPr>
          <w:rFonts w:hint="eastAsia" w:ascii="宋体" w:hAnsi="宋体"/>
          <w:szCs w:val="21"/>
        </w:rPr>
        <w:cr/>
      </w:r>
      <w:r>
        <w:rPr>
          <w:rFonts w:hint="eastAsia" w:ascii="宋体" w:hAnsi="宋体"/>
          <w:szCs w:val="21"/>
        </w:rPr>
        <w:t xml:space="preserve">    </w:t>
      </w:r>
      <w:r>
        <w:rPr>
          <w:rFonts w:hint="eastAsia" w:ascii="宋体" w:hAnsi="宋体"/>
          <w:bCs/>
          <w:szCs w:val="21"/>
        </w:rPr>
        <w:t>投标文件的启用，按先后顺位分别为电子响应文件、以介质存储的数据电文形式的备份投标文件。在下一顺位的投标文件启用时，前一顺位的投标文件自动失效。</w:t>
      </w:r>
      <w:r>
        <w:rPr>
          <w:rFonts w:hint="eastAsia" w:ascii="宋体" w:hAnsi="宋体"/>
          <w:bCs/>
          <w:szCs w:val="21"/>
        </w:rPr>
        <w:cr/>
      </w:r>
      <w:r>
        <w:rPr>
          <w:rFonts w:hint="eastAsia" w:ascii="宋体" w:hAnsi="宋体"/>
          <w:bCs/>
          <w:szCs w:val="21"/>
        </w:rPr>
        <w:t xml:space="preserve">    </w:t>
      </w:r>
      <w:r>
        <w:rPr>
          <w:rFonts w:hint="eastAsia" w:ascii="宋体" w:hAnsi="宋体"/>
          <w:szCs w:val="21"/>
        </w:rPr>
        <w:t>投标文件未按时解密，投标人提供了备份投标文件的，以备份投标文件作为依据，否则视为投标文件撤回。投标文件已按时解密的，备份投标文件自动失效。</w:t>
      </w:r>
    </w:p>
    <w:p w14:paraId="5174D9DB">
      <w:pPr>
        <w:spacing w:line="440" w:lineRule="exact"/>
        <w:ind w:firstLine="211" w:firstLineChars="100"/>
        <w:contextualSpacing/>
        <w:jc w:val="left"/>
        <w:outlineLvl w:val="0"/>
        <w:rPr>
          <w:rFonts w:ascii="宋体" w:cs="宋体"/>
          <w:b/>
          <w:szCs w:val="21"/>
        </w:rPr>
      </w:pPr>
      <w:r>
        <w:rPr>
          <w:rFonts w:hint="eastAsia" w:ascii="宋体" w:hAnsi="宋体" w:cs="宋体"/>
          <w:b/>
          <w:szCs w:val="21"/>
        </w:rPr>
        <w:t>（三）投标文件的组成</w:t>
      </w:r>
      <w:bookmarkEnd w:id="71"/>
    </w:p>
    <w:p w14:paraId="15C4FC9D">
      <w:pPr>
        <w:spacing w:line="440" w:lineRule="exact"/>
        <w:ind w:firstLine="420" w:firstLineChars="200"/>
        <w:contextualSpacing/>
        <w:jc w:val="left"/>
        <w:rPr>
          <w:rFonts w:ascii="宋体" w:cs="宋体"/>
          <w:szCs w:val="21"/>
        </w:rPr>
      </w:pPr>
      <w:bookmarkStart w:id="72" w:name="_Toc3020"/>
      <w:r>
        <w:rPr>
          <w:rFonts w:hint="eastAsia" w:ascii="宋体" w:hAnsi="宋体" w:cs="宋体"/>
          <w:szCs w:val="21"/>
        </w:rPr>
        <w:t>投标文件由资格审查文件、商务技术文件、报价文件组成。</w:t>
      </w:r>
    </w:p>
    <w:p w14:paraId="1EE0E9A9">
      <w:pPr>
        <w:spacing w:line="440" w:lineRule="exact"/>
        <w:ind w:firstLine="422" w:firstLineChars="200"/>
        <w:contextualSpacing/>
        <w:jc w:val="left"/>
        <w:rPr>
          <w:rFonts w:asci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资格审查文件：</w:t>
      </w:r>
    </w:p>
    <w:p w14:paraId="5DA2E47A">
      <w:pPr>
        <w:spacing w:line="440" w:lineRule="exact"/>
        <w:ind w:firstLine="411" w:firstLineChars="196"/>
        <w:contextualSpacing/>
        <w:jc w:val="left"/>
        <w:outlineLvl w:val="0"/>
        <w:rPr>
          <w:rFonts w:hint="eastAsia" w:ascii="宋体" w:hAnsi="宋体" w:eastAsia="宋体"/>
          <w:bCs/>
          <w:szCs w:val="21"/>
        </w:rPr>
      </w:pPr>
      <w:r>
        <w:rPr>
          <w:rFonts w:hint="eastAsia" w:ascii="宋体" w:hAnsi="宋体" w:eastAsia="宋体"/>
          <w:bCs/>
          <w:szCs w:val="21"/>
        </w:rPr>
        <w:t>（1）资格条件自查表（格式见附件）；</w:t>
      </w:r>
    </w:p>
    <w:p w14:paraId="1B51FF8E">
      <w:pPr>
        <w:spacing w:line="440" w:lineRule="exact"/>
        <w:ind w:firstLine="411" w:firstLineChars="196"/>
        <w:contextualSpacing/>
        <w:jc w:val="left"/>
        <w:outlineLvl w:val="0"/>
        <w:rPr>
          <w:rFonts w:hint="eastAsia" w:ascii="宋体" w:hAnsi="宋体" w:eastAsia="宋体"/>
          <w:bCs/>
          <w:szCs w:val="21"/>
        </w:rPr>
      </w:pPr>
      <w:r>
        <w:rPr>
          <w:rFonts w:hint="eastAsia" w:ascii="宋体" w:hAnsi="宋体" w:eastAsia="宋体"/>
          <w:bCs/>
          <w:szCs w:val="21"/>
        </w:rPr>
        <w:t>（2）</w:t>
      </w:r>
      <w:bookmarkStart w:id="73" w:name="OLE_LINK26"/>
      <w:r>
        <w:rPr>
          <w:rFonts w:hint="eastAsia" w:ascii="宋体" w:hAnsi="宋体" w:eastAsia="宋体"/>
          <w:bCs/>
          <w:szCs w:val="21"/>
        </w:rPr>
        <w:t>有效的企业法人营业执照（或事业法人登记证）或其他组织（个体工商户）的营业执照或者民办非企业单位登记证书复印件，如为自然人的需附身份证明并签字</w:t>
      </w:r>
      <w:bookmarkEnd w:id="73"/>
      <w:r>
        <w:rPr>
          <w:rFonts w:hint="eastAsia" w:ascii="宋体" w:hAnsi="宋体" w:eastAsia="宋体"/>
          <w:bCs/>
          <w:szCs w:val="21"/>
        </w:rPr>
        <w:t>；</w:t>
      </w:r>
    </w:p>
    <w:p w14:paraId="6B28EDE7">
      <w:pPr>
        <w:spacing w:line="440" w:lineRule="exact"/>
        <w:ind w:firstLine="411" w:firstLineChars="196"/>
        <w:contextualSpacing/>
        <w:jc w:val="left"/>
        <w:outlineLvl w:val="0"/>
        <w:rPr>
          <w:rFonts w:hint="eastAsia" w:ascii="宋体" w:hAnsi="宋体" w:eastAsia="宋体"/>
          <w:bCs/>
          <w:szCs w:val="21"/>
        </w:rPr>
      </w:pPr>
      <w:r>
        <w:rPr>
          <w:rFonts w:hint="eastAsia" w:ascii="宋体" w:hAnsi="宋体" w:eastAsia="宋体"/>
          <w:bCs/>
          <w:szCs w:val="21"/>
        </w:rPr>
        <w:t>（3）关于资格的承诺函（格式见附件）；</w:t>
      </w:r>
    </w:p>
    <w:p w14:paraId="203DF1E8">
      <w:pPr>
        <w:spacing w:line="440" w:lineRule="exact"/>
        <w:ind w:firstLine="413" w:firstLineChars="196"/>
        <w:contextualSpacing/>
        <w:jc w:val="left"/>
        <w:outlineLvl w:val="0"/>
        <w:rPr>
          <w:rFonts w:hint="eastAsia" w:ascii="宋体" w:hAnsi="宋体" w:eastAsia="宋体"/>
          <w:b/>
          <w:bCs w:val="0"/>
          <w:szCs w:val="21"/>
          <w:highlight w:val="none"/>
        </w:rPr>
      </w:pPr>
      <w:r>
        <w:rPr>
          <w:rFonts w:hint="eastAsia" w:ascii="宋体" w:hAnsi="宋体" w:eastAsia="宋体"/>
          <w:b/>
          <w:bCs w:val="0"/>
          <w:szCs w:val="21"/>
          <w:highlight w:val="none"/>
        </w:rPr>
        <w:t>落实政府采购政策需满足的资格要求所对应的证明材料：</w:t>
      </w:r>
    </w:p>
    <w:p w14:paraId="4A1BF51C">
      <w:pPr>
        <w:spacing w:line="440" w:lineRule="exact"/>
        <w:ind w:firstLine="411" w:firstLineChars="196"/>
        <w:contextualSpacing/>
        <w:jc w:val="left"/>
        <w:outlineLvl w:val="0"/>
        <w:rPr>
          <w:rFonts w:hint="eastAsia" w:ascii="宋体" w:hAnsi="宋体" w:eastAsia="宋体"/>
          <w:bCs/>
          <w:szCs w:val="21"/>
          <w:highlight w:val="none"/>
        </w:rPr>
      </w:pPr>
      <w:r>
        <w:rPr>
          <w:rFonts w:hint="eastAsia" w:ascii="宋体" w:hAnsi="宋体" w:eastAsia="宋体"/>
          <w:bCs/>
          <w:szCs w:val="21"/>
          <w:highlight w:val="none"/>
        </w:rPr>
        <w:t>（</w:t>
      </w:r>
      <w:r>
        <w:rPr>
          <w:rFonts w:hint="eastAsia" w:ascii="宋体" w:hAnsi="宋体" w:eastAsia="宋体"/>
          <w:bCs/>
          <w:szCs w:val="21"/>
          <w:highlight w:val="none"/>
          <w:lang w:val="en-US" w:eastAsia="zh-CN"/>
        </w:rPr>
        <w:t>4</w:t>
      </w:r>
      <w:r>
        <w:rPr>
          <w:rFonts w:hint="eastAsia" w:ascii="宋体" w:hAnsi="宋体" w:eastAsia="宋体"/>
          <w:bCs/>
          <w:szCs w:val="21"/>
          <w:highlight w:val="none"/>
        </w:rPr>
        <w:t>）中小企业声明函（格式见第六章）</w:t>
      </w:r>
    </w:p>
    <w:p w14:paraId="4C327526">
      <w:pPr>
        <w:spacing w:line="440" w:lineRule="exact"/>
        <w:ind w:firstLine="411" w:firstLineChars="196"/>
        <w:contextualSpacing/>
        <w:jc w:val="left"/>
        <w:outlineLvl w:val="0"/>
        <w:rPr>
          <w:rFonts w:hint="eastAsia" w:ascii="宋体" w:hAnsi="宋体" w:eastAsia="宋体"/>
          <w:bCs/>
          <w:szCs w:val="21"/>
        </w:rPr>
      </w:pPr>
      <w:r>
        <w:rPr>
          <w:rFonts w:hint="eastAsia" w:ascii="宋体" w:hAnsi="宋体" w:eastAsia="宋体"/>
          <w:bCs/>
          <w:szCs w:val="21"/>
        </w:rPr>
        <w:t>（</w:t>
      </w:r>
      <w:r>
        <w:rPr>
          <w:rFonts w:hint="eastAsia" w:ascii="宋体" w:hAnsi="宋体" w:eastAsia="宋体"/>
          <w:bCs/>
          <w:szCs w:val="21"/>
          <w:lang w:val="en-US" w:eastAsia="zh-CN"/>
        </w:rPr>
        <w:t>5</w:t>
      </w:r>
      <w:r>
        <w:rPr>
          <w:rFonts w:hint="eastAsia" w:ascii="宋体" w:hAnsi="宋体" w:eastAsia="宋体"/>
          <w:bCs/>
          <w:szCs w:val="21"/>
        </w:rPr>
        <w:t>）供应商为监狱企业的证明文件：省级以上监狱管理局、戒毒管理局（含新疆生产建设兵团）出具（如是，请提供）</w:t>
      </w:r>
    </w:p>
    <w:p w14:paraId="120D2D87">
      <w:pPr>
        <w:spacing w:line="440" w:lineRule="exact"/>
        <w:ind w:firstLine="411" w:firstLineChars="196"/>
        <w:contextualSpacing/>
        <w:jc w:val="left"/>
        <w:outlineLvl w:val="0"/>
        <w:rPr>
          <w:rFonts w:hint="eastAsia" w:ascii="宋体" w:hAnsi="宋体" w:eastAsia="宋体"/>
          <w:bCs/>
          <w:szCs w:val="21"/>
          <w:lang w:eastAsia="zh-CN"/>
        </w:rPr>
      </w:pPr>
      <w:r>
        <w:rPr>
          <w:rFonts w:hint="eastAsia" w:ascii="宋体" w:hAnsi="宋体" w:eastAsia="宋体"/>
          <w:bCs/>
          <w:szCs w:val="21"/>
        </w:rPr>
        <w:t>（</w:t>
      </w:r>
      <w:r>
        <w:rPr>
          <w:rFonts w:hint="eastAsia" w:ascii="宋体" w:hAnsi="宋体" w:eastAsia="宋体"/>
          <w:bCs/>
          <w:szCs w:val="21"/>
          <w:lang w:val="en-US" w:eastAsia="zh-CN"/>
        </w:rPr>
        <w:t>6</w:t>
      </w:r>
      <w:r>
        <w:rPr>
          <w:rFonts w:hint="eastAsia" w:ascii="宋体" w:hAnsi="宋体" w:eastAsia="宋体"/>
          <w:bCs/>
          <w:szCs w:val="21"/>
        </w:rPr>
        <w:t>）残疾人福利性单位声明函（如是，请提供，格式见第六章）</w:t>
      </w:r>
      <w:r>
        <w:rPr>
          <w:rFonts w:hint="eastAsia" w:ascii="宋体" w:hAnsi="宋体" w:eastAsia="宋体"/>
          <w:bCs/>
          <w:szCs w:val="21"/>
          <w:lang w:eastAsia="zh-CN"/>
        </w:rPr>
        <w:t>；</w:t>
      </w:r>
    </w:p>
    <w:p w14:paraId="757C6336">
      <w:pPr>
        <w:tabs>
          <w:tab w:val="left" w:pos="1418"/>
        </w:tabs>
        <w:spacing w:line="440" w:lineRule="exact"/>
        <w:ind w:firstLine="420" w:firstLineChars="200"/>
        <w:contextualSpacing/>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）供应商认为需要提交的其他文件资料。</w:t>
      </w:r>
    </w:p>
    <w:p w14:paraId="69707F63">
      <w:pPr>
        <w:spacing w:line="440" w:lineRule="exact"/>
        <w:ind w:firstLine="422" w:firstLineChars="200"/>
        <w:contextualSpacing/>
        <w:jc w:val="left"/>
        <w:rPr>
          <w:rFonts w:ascii="宋体" w:cs="宋体"/>
          <w:b/>
          <w:bCs/>
          <w:szCs w:val="21"/>
        </w:rPr>
      </w:pP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商务技术文件：</w:t>
      </w:r>
    </w:p>
    <w:p w14:paraId="2F156987">
      <w:pPr>
        <w:numPr>
          <w:ilvl w:val="0"/>
          <w:numId w:val="7"/>
        </w:numPr>
        <w:spacing w:line="440" w:lineRule="exact"/>
        <w:ind w:firstLine="420" w:firstLineChars="200"/>
        <w:contextualSpacing/>
        <w:jc w:val="left"/>
        <w:rPr>
          <w:rFonts w:ascii="宋体" w:hAnsi="宋体" w:cs="宋体"/>
          <w:szCs w:val="21"/>
        </w:rPr>
      </w:pPr>
      <w:r>
        <w:rPr>
          <w:rFonts w:hint="eastAsia" w:ascii="宋体" w:hAnsi="宋体" w:cs="宋体"/>
          <w:szCs w:val="21"/>
        </w:rPr>
        <w:t>符合性自查表（格式见第五章）；</w:t>
      </w:r>
    </w:p>
    <w:p w14:paraId="4742AB88">
      <w:pPr>
        <w:numPr>
          <w:ilvl w:val="0"/>
          <w:numId w:val="7"/>
        </w:numPr>
        <w:spacing w:line="440" w:lineRule="exact"/>
        <w:ind w:firstLine="420" w:firstLineChars="200"/>
        <w:contextualSpacing/>
        <w:jc w:val="left"/>
        <w:rPr>
          <w:rFonts w:ascii="宋体" w:hAnsi="宋体" w:cs="宋体"/>
          <w:szCs w:val="21"/>
        </w:rPr>
      </w:pPr>
      <w:r>
        <w:rPr>
          <w:rFonts w:hint="eastAsia" w:ascii="宋体" w:hAnsi="宋体" w:cs="宋体"/>
          <w:szCs w:val="21"/>
        </w:rPr>
        <w:t>投标人响应表（格式见第五章）；</w:t>
      </w:r>
    </w:p>
    <w:p w14:paraId="55878DB1">
      <w:pPr>
        <w:numPr>
          <w:ilvl w:val="0"/>
          <w:numId w:val="7"/>
        </w:numPr>
        <w:spacing w:line="440" w:lineRule="exact"/>
        <w:ind w:firstLine="420" w:firstLineChars="200"/>
        <w:contextualSpacing/>
        <w:jc w:val="left"/>
        <w:rPr>
          <w:rFonts w:ascii="宋体" w:hAnsi="宋体" w:cs="宋体"/>
          <w:szCs w:val="21"/>
        </w:rPr>
      </w:pPr>
      <w:r>
        <w:rPr>
          <w:rFonts w:hint="eastAsia" w:ascii="宋体" w:hAnsi="宋体" w:cs="宋体"/>
          <w:szCs w:val="21"/>
        </w:rPr>
        <w:t>投标函（格式见第五章）；</w:t>
      </w:r>
    </w:p>
    <w:p w14:paraId="02575A38">
      <w:pPr>
        <w:numPr>
          <w:ilvl w:val="0"/>
          <w:numId w:val="7"/>
        </w:numPr>
        <w:spacing w:line="44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法定代表人的身份证明或法定代表人授权书（投标人的代表若为非法定代表人的，必须提交法定代表人授权书及</w:t>
      </w:r>
      <w:r>
        <w:rPr>
          <w:rFonts w:hint="eastAsia" w:ascii="宋体" w:hAnsi="宋体" w:cs="宋体"/>
          <w:b/>
          <w:szCs w:val="21"/>
          <w:highlight w:val="none"/>
        </w:rPr>
        <w:t>授权代表</w:t>
      </w:r>
      <w:r>
        <w:rPr>
          <w:rFonts w:hint="eastAsia" w:ascii="宋体" w:hAnsi="宋体" w:cs="宋体"/>
          <w:b/>
          <w:bCs/>
          <w:szCs w:val="21"/>
          <w:highlight w:val="none"/>
        </w:rPr>
        <w:t>开标前近</w:t>
      </w:r>
      <w:r>
        <w:rPr>
          <w:rFonts w:hint="eastAsia" w:ascii="宋体" w:hAnsi="宋体" w:cs="宋体"/>
          <w:b/>
          <w:bCs/>
          <w:szCs w:val="21"/>
          <w:highlight w:val="none"/>
          <w:lang w:eastAsia="zh-CN"/>
        </w:rPr>
        <w:t>三个月来任意时间</w:t>
      </w:r>
      <w:r>
        <w:rPr>
          <w:rFonts w:hint="eastAsia" w:ascii="宋体" w:hAnsi="宋体" w:cs="宋体"/>
          <w:b/>
          <w:bCs/>
          <w:szCs w:val="21"/>
          <w:highlight w:val="none"/>
        </w:rPr>
        <w:t>的社保证明</w:t>
      </w:r>
      <w:r>
        <w:rPr>
          <w:rFonts w:hint="eastAsia" w:ascii="宋体" w:hAnsi="宋体" w:cs="宋体"/>
          <w:b/>
          <w:szCs w:val="21"/>
          <w:highlight w:val="none"/>
        </w:rPr>
        <w:t>）</w:t>
      </w:r>
      <w:r>
        <w:rPr>
          <w:rFonts w:hint="eastAsia" w:ascii="宋体" w:hAnsi="宋体" w:cs="宋体"/>
          <w:szCs w:val="21"/>
          <w:highlight w:val="none"/>
        </w:rPr>
        <w:t>，并提供法定代表人和授权代表的身份证正反两面复印件（格式见附件）；</w:t>
      </w:r>
    </w:p>
    <w:p w14:paraId="499322B3">
      <w:pPr>
        <w:numPr>
          <w:ilvl w:val="0"/>
          <w:numId w:val="7"/>
        </w:numPr>
        <w:spacing w:line="44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投标人基本情况表（格式见第五章）；</w:t>
      </w:r>
    </w:p>
    <w:p w14:paraId="4D74E4E8">
      <w:pPr>
        <w:numPr>
          <w:ilvl w:val="0"/>
          <w:numId w:val="7"/>
        </w:numPr>
        <w:spacing w:line="44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以往业绩一览表（格式见第五章）；</w:t>
      </w:r>
    </w:p>
    <w:p w14:paraId="3574C6BB">
      <w:pPr>
        <w:numPr>
          <w:ilvl w:val="0"/>
          <w:numId w:val="7"/>
        </w:numPr>
        <w:spacing w:line="44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商务条款偏离表（格式见第五章）；</w:t>
      </w:r>
    </w:p>
    <w:p w14:paraId="0E481E8A">
      <w:pPr>
        <w:numPr>
          <w:ilvl w:val="0"/>
          <w:numId w:val="7"/>
        </w:numPr>
        <w:spacing w:line="44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技术条款偏离表（格式见第五章）；</w:t>
      </w:r>
    </w:p>
    <w:p w14:paraId="6595FD02">
      <w:pPr>
        <w:numPr>
          <w:ilvl w:val="0"/>
          <w:numId w:val="7"/>
        </w:numPr>
        <w:spacing w:line="44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评分标准、招标文件资格要求及投标人认为需要提供的其它投标文件资料（如有）。</w:t>
      </w:r>
    </w:p>
    <w:p w14:paraId="5C78C772">
      <w:pPr>
        <w:spacing w:line="440" w:lineRule="exact"/>
        <w:ind w:firstLine="422" w:firstLineChars="200"/>
        <w:contextualSpacing/>
        <w:jc w:val="left"/>
        <w:rPr>
          <w:rFonts w:ascii="宋体" w:cs="宋体"/>
          <w:b/>
          <w:bCs/>
          <w:szCs w:val="21"/>
          <w:highlight w:val="none"/>
        </w:rPr>
      </w:pPr>
      <w:r>
        <w:rPr>
          <w:rFonts w:hint="eastAsia" w:ascii="宋体" w:hAnsi="宋体" w:cs="宋体"/>
          <w:b/>
          <w:bCs/>
          <w:szCs w:val="21"/>
          <w:highlight w:val="none"/>
        </w:rPr>
        <w:t>3</w:t>
      </w:r>
      <w:r>
        <w:rPr>
          <w:rFonts w:ascii="宋体" w:hAnsi="宋体" w:cs="宋体"/>
          <w:b/>
          <w:bCs/>
          <w:szCs w:val="21"/>
          <w:highlight w:val="none"/>
        </w:rPr>
        <w:t>.</w:t>
      </w:r>
      <w:r>
        <w:rPr>
          <w:rFonts w:hint="eastAsia" w:ascii="宋体" w:hAnsi="宋体" w:cs="宋体"/>
          <w:b/>
          <w:bCs/>
          <w:szCs w:val="21"/>
          <w:highlight w:val="none"/>
        </w:rPr>
        <w:t>报价部分：</w:t>
      </w:r>
    </w:p>
    <w:p w14:paraId="51FD7A98">
      <w:pPr>
        <w:keepNext w:val="0"/>
        <w:keepLines w:val="0"/>
        <w:pageBreakBefore w:val="0"/>
        <w:widowControl w:val="0"/>
        <w:kinsoku/>
        <w:wordWrap/>
        <w:overflowPunct/>
        <w:topLinePunct w:val="0"/>
        <w:autoSpaceDE/>
        <w:autoSpaceDN/>
        <w:bidi w:val="0"/>
        <w:snapToGrid/>
        <w:spacing w:line="480" w:lineRule="exact"/>
        <w:ind w:firstLine="420" w:firstLineChars="200"/>
        <w:contextualSpacing/>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（1）开标一览表（格式见第五章）；</w:t>
      </w:r>
    </w:p>
    <w:p w14:paraId="4F99403B">
      <w:pPr>
        <w:keepNext w:val="0"/>
        <w:keepLines w:val="0"/>
        <w:pageBreakBefore w:val="0"/>
        <w:widowControl w:val="0"/>
        <w:kinsoku/>
        <w:wordWrap/>
        <w:overflowPunct/>
        <w:topLinePunct w:val="0"/>
        <w:autoSpaceDE/>
        <w:autoSpaceDN/>
        <w:bidi w:val="0"/>
        <w:snapToGrid/>
        <w:spacing w:line="480" w:lineRule="exact"/>
        <w:ind w:firstLine="420" w:firstLineChars="200"/>
        <w:contextualSpacing/>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（2）分项报价表（格式见第五章）；</w:t>
      </w:r>
    </w:p>
    <w:p w14:paraId="3F33E3D5">
      <w:pPr>
        <w:keepNext w:val="0"/>
        <w:keepLines w:val="0"/>
        <w:pageBreakBefore w:val="0"/>
        <w:widowControl w:val="0"/>
        <w:kinsoku/>
        <w:wordWrap/>
        <w:overflowPunct/>
        <w:topLinePunct w:val="0"/>
        <w:autoSpaceDE/>
        <w:autoSpaceDN/>
        <w:bidi w:val="0"/>
        <w:snapToGrid/>
        <w:spacing w:line="480" w:lineRule="exact"/>
        <w:ind w:firstLine="420" w:firstLineChars="200"/>
        <w:contextualSpacing/>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（3）投标人认为需提交的其他文件资料</w:t>
      </w:r>
      <w:r>
        <w:rPr>
          <w:rFonts w:hint="eastAsia" w:ascii="宋体" w:hAnsi="宋体" w:eastAsia="宋体" w:cs="宋体"/>
          <w:szCs w:val="21"/>
          <w:highlight w:val="none"/>
          <w:lang w:eastAsia="zh-CN"/>
        </w:rPr>
        <w:t>。</w:t>
      </w:r>
    </w:p>
    <w:p w14:paraId="362EA382">
      <w:pPr>
        <w:numPr>
          <w:ilvl w:val="0"/>
          <w:numId w:val="0"/>
        </w:numPr>
        <w:spacing w:line="440" w:lineRule="exact"/>
        <w:ind w:firstLine="630" w:firstLineChars="300"/>
        <w:contextualSpacing/>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报价明显低于其他通过符合性审查供应商的报价（</w:t>
      </w:r>
      <w:r>
        <w:rPr>
          <w:rFonts w:hint="eastAsia" w:ascii="宋体" w:hAnsi="宋体" w:eastAsia="宋体" w:cs="宋体"/>
          <w:szCs w:val="21"/>
          <w:highlight w:val="none"/>
          <w:lang w:val="en-US" w:eastAsia="zh-CN"/>
        </w:rPr>
        <w:t>低于项目预算50%的）</w:t>
      </w:r>
      <w:r>
        <w:rPr>
          <w:rFonts w:hint="eastAsia" w:ascii="宋体" w:hAnsi="宋体" w:eastAsia="宋体" w:cs="宋体"/>
          <w:szCs w:val="21"/>
          <w:highlight w:val="none"/>
          <w:lang w:eastAsia="zh-CN"/>
        </w:rPr>
        <w:t>，有可能影响产品质量或者不能诚信履约的，未能按要求提供书面说明或者提交相关证明材料，不能证明其报价合理性的；</w:t>
      </w:r>
    </w:p>
    <w:bookmarkEnd w:id="72"/>
    <w:p w14:paraId="0A940C7D">
      <w:pPr>
        <w:tabs>
          <w:tab w:val="left" w:pos="525"/>
        </w:tabs>
        <w:spacing w:line="440" w:lineRule="exact"/>
        <w:ind w:firstLine="422" w:firstLineChars="200"/>
        <w:contextualSpacing/>
        <w:jc w:val="left"/>
        <w:rPr>
          <w:rFonts w:ascii="宋体" w:cs="宋体"/>
          <w:b/>
          <w:bCs/>
          <w:szCs w:val="21"/>
        </w:rPr>
      </w:pPr>
      <w:r>
        <w:rPr>
          <w:rFonts w:hint="eastAsia" w:ascii="宋体" w:hAnsi="宋体" w:cs="宋体"/>
          <w:b/>
          <w:bCs/>
          <w:szCs w:val="21"/>
        </w:rPr>
        <w:t>（四）投标报价</w:t>
      </w:r>
    </w:p>
    <w:p w14:paraId="680CE161">
      <w:pPr>
        <w:spacing w:line="440" w:lineRule="exact"/>
        <w:ind w:firstLine="420" w:firstLineChars="200"/>
        <w:contextualSpacing/>
        <w:jc w:val="left"/>
        <w:rPr>
          <w:rFonts w:ascii="宋体" w:cs="宋体"/>
          <w:szCs w:val="21"/>
        </w:rPr>
      </w:pPr>
      <w:r>
        <w:rPr>
          <w:rFonts w:ascii="宋体" w:hAnsi="宋体" w:cs="宋体"/>
          <w:szCs w:val="21"/>
        </w:rPr>
        <w:t>1</w:t>
      </w:r>
      <w:r>
        <w:rPr>
          <w:rFonts w:hint="eastAsia" w:ascii="宋体" w:hAnsi="宋体" w:cs="宋体"/>
          <w:szCs w:val="21"/>
        </w:rPr>
        <w:t>、投标报价应按采购文件中相关附表格式填写；</w:t>
      </w:r>
    </w:p>
    <w:p w14:paraId="3CD637C3">
      <w:pPr>
        <w:spacing w:line="440" w:lineRule="exact"/>
        <w:ind w:firstLine="420" w:firstLineChars="200"/>
        <w:contextualSpacing/>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、投标报价是履行合同的最终价格，具体详见第三章投标人须知《前附表》；</w:t>
      </w:r>
    </w:p>
    <w:p w14:paraId="6789DE25">
      <w:pPr>
        <w:spacing w:line="440" w:lineRule="exact"/>
        <w:ind w:firstLine="420" w:firstLineChars="200"/>
        <w:contextualSpacing/>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、投标文件只允许有一个报价，有选择的或有条件的报价将不予接受。</w:t>
      </w:r>
    </w:p>
    <w:p w14:paraId="6513C870">
      <w:pPr>
        <w:tabs>
          <w:tab w:val="left" w:pos="525"/>
        </w:tabs>
        <w:spacing w:line="440" w:lineRule="exact"/>
        <w:ind w:firstLine="422" w:firstLineChars="200"/>
        <w:contextualSpacing/>
        <w:jc w:val="left"/>
        <w:rPr>
          <w:rFonts w:ascii="宋体" w:cs="宋体"/>
          <w:b/>
          <w:szCs w:val="21"/>
        </w:rPr>
      </w:pPr>
      <w:r>
        <w:rPr>
          <w:rFonts w:hint="eastAsia" w:ascii="宋体" w:hAnsi="宋体" w:cs="宋体"/>
          <w:b/>
          <w:bCs/>
          <w:szCs w:val="21"/>
        </w:rPr>
        <w:t>（五）</w:t>
      </w:r>
      <w:r>
        <w:rPr>
          <w:rFonts w:hint="eastAsia" w:ascii="宋体" w:hAnsi="宋体" w:cs="宋体"/>
          <w:b/>
          <w:szCs w:val="21"/>
        </w:rPr>
        <w:t>投标文件的有效期</w:t>
      </w:r>
    </w:p>
    <w:p w14:paraId="01A194AE">
      <w:pPr>
        <w:tabs>
          <w:tab w:val="left" w:pos="525"/>
        </w:tabs>
        <w:spacing w:line="440" w:lineRule="exact"/>
        <w:ind w:firstLine="480" w:firstLineChars="200"/>
        <w:contextualSpacing/>
        <w:jc w:val="left"/>
        <w:rPr>
          <w:rFonts w:ascii="宋体" w:cs="宋体"/>
          <w:kern w:val="0"/>
          <w:szCs w:val="21"/>
        </w:rPr>
      </w:pPr>
      <w:r>
        <w:rPr>
          <w:rFonts w:hint="eastAsia" w:ascii="宋体" w:hAnsi="宋体" w:cs="宋体"/>
          <w:sz w:val="24"/>
        </w:rPr>
        <w:t>★</w:t>
      </w:r>
      <w:r>
        <w:rPr>
          <w:rFonts w:ascii="宋体" w:hAnsi="宋体" w:cs="宋体"/>
          <w:kern w:val="0"/>
          <w:szCs w:val="21"/>
        </w:rPr>
        <w:t>1</w:t>
      </w:r>
      <w:r>
        <w:rPr>
          <w:rFonts w:hint="eastAsia" w:ascii="宋体" w:hAnsi="宋体" w:cs="宋体"/>
          <w:kern w:val="0"/>
          <w:szCs w:val="21"/>
        </w:rPr>
        <w:t>、自投标截止日起</w:t>
      </w:r>
      <w:r>
        <w:rPr>
          <w:rFonts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3E1EC801">
      <w:pPr>
        <w:tabs>
          <w:tab w:val="left" w:pos="525"/>
        </w:tabs>
        <w:spacing w:line="440" w:lineRule="exact"/>
        <w:ind w:firstLine="420" w:firstLineChars="200"/>
        <w:contextualSpacing/>
        <w:jc w:val="left"/>
        <w:rPr>
          <w:rFonts w:ascii="宋体" w:cs="宋体"/>
          <w:szCs w:val="21"/>
        </w:rPr>
      </w:pPr>
      <w:r>
        <w:rPr>
          <w:rFonts w:ascii="宋体" w:hAnsi="宋体" w:cs="宋体"/>
          <w:szCs w:val="21"/>
        </w:rPr>
        <w:t>2</w:t>
      </w:r>
      <w:r>
        <w:rPr>
          <w:rFonts w:hint="eastAsia" w:ascii="宋体" w:hAnsi="宋体" w:cs="宋体"/>
          <w:szCs w:val="21"/>
        </w:rPr>
        <w:t>、在特殊情况下，招标人可与投标人协商延长投标书的有效期，这种要求和答复均以书面形式进行；</w:t>
      </w:r>
    </w:p>
    <w:p w14:paraId="27548485">
      <w:pPr>
        <w:spacing w:line="440" w:lineRule="exact"/>
        <w:ind w:firstLine="420" w:firstLineChars="200"/>
        <w:contextualSpacing/>
        <w:jc w:val="left"/>
        <w:outlineLvl w:val="0"/>
        <w:rPr>
          <w:rFonts w:ascii="宋体" w:cs="宋体"/>
          <w:b/>
          <w:szCs w:val="21"/>
        </w:rPr>
      </w:pPr>
      <w:bookmarkStart w:id="74" w:name="_Toc26675"/>
      <w:r>
        <w:rPr>
          <w:rFonts w:ascii="宋体" w:hAnsi="宋体" w:cs="宋体"/>
          <w:szCs w:val="21"/>
        </w:rPr>
        <w:t>3</w:t>
      </w:r>
      <w:r>
        <w:rPr>
          <w:rFonts w:hint="eastAsia" w:ascii="宋体" w:hAnsi="宋体" w:cs="宋体"/>
          <w:szCs w:val="21"/>
        </w:rPr>
        <w:t>、同意延长有效期的投标人不能修改投标文件</w:t>
      </w:r>
      <w:bookmarkEnd w:id="74"/>
      <w:r>
        <w:rPr>
          <w:rFonts w:hint="eastAsia" w:ascii="宋体" w:hAnsi="宋体" w:cs="宋体"/>
          <w:szCs w:val="21"/>
        </w:rPr>
        <w:t>；</w:t>
      </w:r>
    </w:p>
    <w:p w14:paraId="4316814F">
      <w:pPr>
        <w:spacing w:line="440" w:lineRule="exact"/>
        <w:ind w:firstLine="420" w:firstLineChars="200"/>
        <w:contextualSpacing/>
        <w:jc w:val="left"/>
        <w:outlineLvl w:val="0"/>
        <w:rPr>
          <w:rFonts w:ascii="宋体" w:cs="宋体"/>
          <w:b/>
          <w:szCs w:val="21"/>
        </w:rPr>
      </w:pPr>
      <w:bookmarkStart w:id="75" w:name="_Toc29670"/>
      <w:r>
        <w:rPr>
          <w:rFonts w:ascii="宋体" w:hAnsi="宋体" w:cs="宋体"/>
          <w:szCs w:val="21"/>
        </w:rPr>
        <w:t>4</w:t>
      </w:r>
      <w:r>
        <w:rPr>
          <w:rFonts w:hint="eastAsia" w:ascii="宋体" w:hAnsi="宋体" w:cs="宋体"/>
          <w:szCs w:val="21"/>
        </w:rPr>
        <w:t>、中标人的投标文件自开标之日起至合同履行完毕止均应保持有效。</w:t>
      </w:r>
      <w:bookmarkEnd w:id="75"/>
    </w:p>
    <w:p w14:paraId="10C76F0E">
      <w:pPr>
        <w:spacing w:line="440" w:lineRule="exact"/>
        <w:ind w:firstLine="413" w:firstLineChars="196"/>
        <w:contextualSpacing/>
        <w:jc w:val="left"/>
        <w:outlineLvl w:val="0"/>
        <w:rPr>
          <w:rFonts w:ascii="宋体" w:cs="宋体"/>
          <w:b/>
          <w:szCs w:val="21"/>
        </w:rPr>
      </w:pPr>
      <w:bookmarkStart w:id="76" w:name="_Toc1449"/>
      <w:r>
        <w:rPr>
          <w:rFonts w:hint="eastAsia" w:ascii="宋体" w:hAnsi="宋体" w:cs="宋体"/>
          <w:b/>
          <w:szCs w:val="21"/>
        </w:rPr>
        <w:t>（六）投标文件的签署和份数</w:t>
      </w:r>
      <w:bookmarkEnd w:id="76"/>
    </w:p>
    <w:p w14:paraId="2532ED63">
      <w:pPr>
        <w:spacing w:line="440" w:lineRule="exact"/>
        <w:ind w:firstLine="411" w:firstLineChars="196"/>
        <w:contextualSpacing/>
        <w:rPr>
          <w:rFonts w:ascii="宋体" w:hAnsi="宋体" w:cs="宋体"/>
          <w:bCs/>
          <w:szCs w:val="21"/>
        </w:rPr>
      </w:pPr>
      <w:r>
        <w:rPr>
          <w:rFonts w:ascii="宋体" w:hAnsi="宋体" w:cs="宋体"/>
          <w:bCs/>
          <w:szCs w:val="21"/>
        </w:rPr>
        <w:t>1</w:t>
      </w:r>
      <w:r>
        <w:rPr>
          <w:rFonts w:hint="eastAsia" w:ascii="宋体" w:hAnsi="宋体" w:cs="宋体"/>
          <w:bCs/>
          <w:szCs w:val="21"/>
        </w:rPr>
        <w:t>、投标人应按本采购文件规定的格式和顺序编制、装订投标文件，投标文件要求有目录并标注页码，投标文件内容不完整、编排混乱导致投标文件被误读、漏读或者查找不到相关内容的，是投标人的责任；</w:t>
      </w:r>
    </w:p>
    <w:p w14:paraId="0829BD4A">
      <w:pPr>
        <w:spacing w:line="440" w:lineRule="exact"/>
        <w:ind w:firstLine="411" w:firstLineChars="196"/>
        <w:contextualSpacing/>
        <w:rPr>
          <w:rFonts w:ascii="宋体" w:hAnsi="宋体" w:cs="宋体"/>
          <w:bCs/>
          <w:szCs w:val="21"/>
        </w:rPr>
      </w:pPr>
      <w:r>
        <w:rPr>
          <w:rFonts w:hint="eastAsia" w:ascii="宋体" w:hAnsi="宋体" w:cs="宋体"/>
          <w:bCs/>
          <w:szCs w:val="21"/>
        </w:rPr>
        <w:t>2、本项目实行网上投标，投标人应准备以下投标文件：</w:t>
      </w:r>
    </w:p>
    <w:p w14:paraId="73D0BE61">
      <w:pPr>
        <w:spacing w:line="440" w:lineRule="exact"/>
        <w:ind w:firstLine="411" w:firstLineChars="196"/>
        <w:contextualSpacing/>
        <w:rPr>
          <w:rFonts w:ascii="宋体" w:hAnsi="宋体" w:cs="宋体"/>
          <w:bCs/>
          <w:szCs w:val="21"/>
        </w:rPr>
      </w:pPr>
      <w:r>
        <w:rPr>
          <w:rFonts w:hint="eastAsia" w:ascii="宋体" w:hAnsi="宋体" w:cs="宋体"/>
          <w:bCs/>
          <w:szCs w:val="21"/>
        </w:rPr>
        <w:t>（1）投标人于“政采云”上提供电子响应文件；</w:t>
      </w:r>
    </w:p>
    <w:p w14:paraId="057CA519">
      <w:pPr>
        <w:spacing w:line="440" w:lineRule="exact"/>
        <w:ind w:firstLine="411" w:firstLineChars="196"/>
        <w:contextualSpacing/>
        <w:rPr>
          <w:rFonts w:ascii="宋体" w:hAnsi="宋体" w:cs="宋体"/>
          <w:bCs/>
          <w:szCs w:val="21"/>
        </w:rPr>
      </w:pPr>
      <w:r>
        <w:rPr>
          <w:rFonts w:hint="eastAsia" w:ascii="宋体" w:hAnsi="宋体" w:cs="宋体"/>
          <w:bCs/>
          <w:szCs w:val="21"/>
        </w:rPr>
        <w:t>（2）以U盘或DVD光盘等介质存储的数据电文形式的备份电子投标文件，数量1份；</w:t>
      </w:r>
    </w:p>
    <w:p w14:paraId="179E3C63">
      <w:pPr>
        <w:spacing w:line="440" w:lineRule="exact"/>
        <w:ind w:firstLine="411" w:firstLineChars="196"/>
        <w:contextualSpacing/>
        <w:rPr>
          <w:rFonts w:ascii="宋体" w:cs="宋体"/>
          <w:bCs/>
          <w:szCs w:val="21"/>
        </w:rPr>
      </w:pPr>
      <w:r>
        <w:rPr>
          <w:rFonts w:hint="eastAsia" w:ascii="宋体" w:hAnsi="宋体" w:cs="宋体"/>
          <w:bCs/>
          <w:szCs w:val="21"/>
        </w:rPr>
        <w:t>3、投标文件须由投标人在规定位置盖章并由法定代表人或法定代表人的授权委托人签署，投标人应写全称；</w:t>
      </w:r>
    </w:p>
    <w:p w14:paraId="144751F0">
      <w:pPr>
        <w:spacing w:line="440" w:lineRule="exact"/>
        <w:ind w:firstLine="411" w:firstLineChars="196"/>
        <w:contextualSpacing/>
        <w:rPr>
          <w:rFonts w:ascii="宋体" w:cs="宋体"/>
          <w:bCs/>
          <w:szCs w:val="21"/>
        </w:rPr>
      </w:pPr>
      <w:r>
        <w:rPr>
          <w:rFonts w:hint="eastAsia" w:ascii="宋体" w:hAnsi="宋体" w:cs="宋体"/>
          <w:bCs/>
          <w:szCs w:val="21"/>
        </w:rPr>
        <w:t>4、投标文件不得涂改，若有修改错漏处，须加盖单位公章或者法定代表人或授权委托人签字或盖章。投标文件因字迹潦草或表达不清所引起的后果由投标人负责。</w:t>
      </w:r>
    </w:p>
    <w:p w14:paraId="49E2D58B">
      <w:pPr>
        <w:pStyle w:val="11"/>
        <w:spacing w:line="440" w:lineRule="exact"/>
        <w:ind w:firstLine="398" w:firstLineChars="196"/>
        <w:contextualSpacing/>
        <w:outlineLvl w:val="1"/>
        <w:rPr>
          <w:rFonts w:hAnsi="宋体" w:cs="宋体"/>
          <w:b/>
          <w:snapToGrid w:val="0"/>
          <w:sz w:val="21"/>
          <w:szCs w:val="21"/>
        </w:rPr>
      </w:pPr>
      <w:bookmarkStart w:id="77" w:name="_Toc12832"/>
      <w:r>
        <w:rPr>
          <w:rFonts w:hint="eastAsia" w:hAnsi="宋体" w:cs="宋体"/>
          <w:b/>
          <w:sz w:val="21"/>
          <w:szCs w:val="21"/>
        </w:rPr>
        <w:t>四、开标</w:t>
      </w:r>
      <w:bookmarkEnd w:id="77"/>
    </w:p>
    <w:p w14:paraId="206E0FC9">
      <w:pPr>
        <w:spacing w:line="440" w:lineRule="exact"/>
        <w:ind w:firstLine="420" w:firstLineChars="200"/>
        <w:contextualSpacing/>
        <w:jc w:val="left"/>
        <w:rPr>
          <w:rFonts w:ascii="宋体" w:hAnsi="宋体" w:cs="宋体"/>
          <w:bCs/>
          <w:szCs w:val="21"/>
        </w:rPr>
      </w:pPr>
      <w:bookmarkStart w:id="78" w:name="_Toc22883"/>
      <w:r>
        <w:rPr>
          <w:rFonts w:hint="eastAsia" w:ascii="宋体" w:hAnsi="宋体" w:cs="宋体"/>
          <w:bCs/>
          <w:szCs w:val="21"/>
        </w:rPr>
        <w:t>1、电子招投标开标程序：各标段按顺序依次评标</w:t>
      </w:r>
    </w:p>
    <w:p w14:paraId="559BA6B2">
      <w:pPr>
        <w:spacing w:line="440" w:lineRule="exact"/>
        <w:ind w:firstLine="420" w:firstLineChars="200"/>
        <w:contextualSpacing/>
        <w:jc w:val="left"/>
        <w:rPr>
          <w:rFonts w:ascii="宋体" w:hAnsi="宋体"/>
          <w:szCs w:val="21"/>
        </w:rPr>
      </w:pPr>
      <w:r>
        <w:rPr>
          <w:rFonts w:hint="eastAsia" w:ascii="宋体" w:hAnsi="宋体"/>
          <w:szCs w:val="21"/>
        </w:rPr>
        <w:t>第一阶段：</w:t>
      </w:r>
    </w:p>
    <w:p w14:paraId="37F06009">
      <w:pPr>
        <w:numPr>
          <w:ilvl w:val="0"/>
          <w:numId w:val="8"/>
        </w:numPr>
        <w:spacing w:line="440" w:lineRule="exact"/>
        <w:ind w:firstLine="420" w:firstLineChars="200"/>
        <w:contextualSpacing/>
        <w:jc w:val="left"/>
        <w:rPr>
          <w:rFonts w:ascii="宋体" w:hAnsi="宋体"/>
          <w:szCs w:val="21"/>
        </w:rPr>
      </w:pPr>
      <w:r>
        <w:rPr>
          <w:rFonts w:hint="eastAsia" w:ascii="宋体" w:hAnsi="宋体"/>
          <w:szCs w:val="21"/>
        </w:rPr>
        <w:t>投标截止时间后，投标人登录政府采购云平台，用“项目采购-开标评标”功能对电子投标文件对各标段进行在线解密，在线解密电子投标文件时间为开标时间后30分钟内。</w:t>
      </w:r>
    </w:p>
    <w:p w14:paraId="46DD927A">
      <w:pPr>
        <w:numPr>
          <w:ilvl w:val="0"/>
          <w:numId w:val="8"/>
        </w:numPr>
        <w:spacing w:line="440" w:lineRule="exact"/>
        <w:ind w:firstLine="420" w:firstLineChars="200"/>
        <w:contextualSpacing/>
        <w:jc w:val="left"/>
        <w:rPr>
          <w:rFonts w:ascii="宋体" w:hAnsi="宋体"/>
          <w:szCs w:val="21"/>
        </w:rPr>
      </w:pPr>
      <w:r>
        <w:rPr>
          <w:rFonts w:hint="eastAsia" w:ascii="宋体" w:hAnsi="宋体"/>
          <w:szCs w:val="21"/>
        </w:rPr>
        <w:t>在政府采购云平台开启已解密投标人的“资格文件、商务技术文件”，并做开标记录；</w:t>
      </w:r>
    </w:p>
    <w:p w14:paraId="4995180B">
      <w:pPr>
        <w:spacing w:line="440" w:lineRule="exact"/>
        <w:ind w:firstLine="420" w:firstLineChars="200"/>
        <w:contextualSpacing/>
        <w:jc w:val="left"/>
        <w:rPr>
          <w:rFonts w:ascii="宋体" w:hAnsi="宋体"/>
          <w:szCs w:val="21"/>
        </w:rPr>
      </w:pPr>
      <w:r>
        <w:rPr>
          <w:rFonts w:hint="eastAsia" w:ascii="宋体" w:hAnsi="宋体"/>
          <w:szCs w:val="21"/>
        </w:rPr>
        <w:t>第二阶段：</w:t>
      </w:r>
    </w:p>
    <w:p w14:paraId="2B14F6A8">
      <w:pPr>
        <w:spacing w:line="440" w:lineRule="exact"/>
        <w:ind w:firstLine="420" w:firstLineChars="200"/>
        <w:contextualSpacing/>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宣告第一阶段评审无效投标人名单及理由；</w:t>
      </w:r>
    </w:p>
    <w:p w14:paraId="53E39252">
      <w:pPr>
        <w:spacing w:line="440" w:lineRule="exact"/>
        <w:ind w:firstLine="420" w:firstLineChars="200"/>
        <w:contextualSpacing/>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）公布经第一阶段评审符合采购文件要求的投标人的商务技术得分情况；</w:t>
      </w:r>
    </w:p>
    <w:p w14:paraId="0FB0A0AE">
      <w:pPr>
        <w:spacing w:line="440" w:lineRule="exact"/>
        <w:ind w:firstLine="420" w:firstLineChars="200"/>
        <w:contextualSpacing/>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开启除第一阶段无效标外的投标人的“报价文件”，并做开标记录；</w:t>
      </w:r>
    </w:p>
    <w:p w14:paraId="1E25B2ED">
      <w:pPr>
        <w:spacing w:line="440" w:lineRule="exact"/>
        <w:ind w:firstLine="420" w:firstLineChars="200"/>
        <w:contextualSpacing/>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14:paraId="77163CA6">
      <w:pPr>
        <w:autoSpaceDE w:val="0"/>
        <w:autoSpaceDN w:val="0"/>
        <w:spacing w:line="440" w:lineRule="exact"/>
        <w:ind w:left="875" w:leftChars="200" w:hanging="455" w:hangingChars="217"/>
        <w:contextualSpacing/>
        <w:rPr>
          <w:rFonts w:ascii="宋体" w:hAnsi="宋体"/>
          <w:szCs w:val="21"/>
        </w:rPr>
      </w:pPr>
      <w:r>
        <w:rPr>
          <w:rFonts w:hint="eastAsia" w:ascii="宋体" w:hAnsi="宋体"/>
          <w:szCs w:val="21"/>
        </w:rPr>
        <w:t>（5）开标会议结束。</w:t>
      </w:r>
    </w:p>
    <w:p w14:paraId="60E9D9B3">
      <w:pPr>
        <w:spacing w:line="440" w:lineRule="exact"/>
        <w:ind w:firstLine="420" w:firstLineChars="200"/>
        <w:contextualSpacing/>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22010E5E">
      <w:pPr>
        <w:spacing w:line="440" w:lineRule="exact"/>
        <w:ind w:firstLine="420" w:firstLineChars="200"/>
        <w:contextualSpacing/>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电子招投标开标程序</w:t>
      </w:r>
      <w:r>
        <w:rPr>
          <w:rFonts w:hint="eastAsia" w:ascii="宋体" w:hAnsi="宋体"/>
          <w:szCs w:val="21"/>
        </w:rPr>
        <w:t>，但有下情形之一的，按以下情况处理：</w:t>
      </w:r>
    </w:p>
    <w:p w14:paraId="5834BC77">
      <w:pPr>
        <w:spacing w:line="440" w:lineRule="exact"/>
        <w:ind w:firstLine="420" w:firstLineChars="200"/>
        <w:contextualSpacing/>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）若有投标人在规定时间内无法解密或解密失败，代理机构将开启该投标人递交的</w:t>
      </w:r>
      <w:r>
        <w:rPr>
          <w:rFonts w:hint="eastAsia" w:ascii="宋体" w:hAnsi="宋体" w:cs="宋体"/>
          <w:kern w:val="0"/>
          <w:szCs w:val="21"/>
        </w:rPr>
        <w:t>以U盘存储的电子备份投标文件</w:t>
      </w:r>
      <w:r>
        <w:rPr>
          <w:rFonts w:hint="eastAsia" w:ascii="宋体" w:hAnsi="宋体"/>
          <w:szCs w:val="21"/>
        </w:rPr>
        <w:t>，上传至政采云平台项目采购模块，以完成开标，电子投标文件自动失效。</w:t>
      </w:r>
    </w:p>
    <w:p w14:paraId="3B19DE8E">
      <w:pPr>
        <w:spacing w:line="440" w:lineRule="exact"/>
        <w:ind w:firstLine="420" w:firstLineChars="200"/>
        <w:contextualSpacing/>
        <w:jc w:val="left"/>
        <w:rPr>
          <w:rFonts w:ascii="宋体" w:hAnsi="宋体"/>
          <w:szCs w:val="21"/>
        </w:rPr>
      </w:pPr>
      <w:r>
        <w:rPr>
          <w:rFonts w:hint="eastAsia" w:ascii="宋体" w:hAnsi="宋体"/>
          <w:szCs w:val="21"/>
        </w:rPr>
        <w:t>（2）采购过程中出现以下情形，导致电子交易平台无法正常运行，或者无法保证电子交易的公平、公正和安全时，采购人（或代理机构）可中止电子交易活动：</w:t>
      </w:r>
    </w:p>
    <w:p w14:paraId="7B2F1EC5">
      <w:pPr>
        <w:spacing w:line="440" w:lineRule="exact"/>
        <w:ind w:firstLine="420" w:firstLineChars="200"/>
        <w:contextualSpacing/>
        <w:jc w:val="left"/>
        <w:rPr>
          <w:rFonts w:ascii="宋体" w:hAnsi="宋体"/>
          <w:szCs w:val="21"/>
        </w:rPr>
      </w:pPr>
      <w:r>
        <w:rPr>
          <w:rFonts w:hint="eastAsia" w:ascii="宋体" w:hAnsi="宋体"/>
          <w:szCs w:val="21"/>
        </w:rPr>
        <w:t xml:space="preserve">3.1电子交易平台发生故障而无法登录访问的； </w:t>
      </w:r>
    </w:p>
    <w:p w14:paraId="6402F291">
      <w:pPr>
        <w:spacing w:line="440" w:lineRule="exact"/>
        <w:ind w:firstLine="420" w:firstLineChars="200"/>
        <w:contextualSpacing/>
        <w:jc w:val="left"/>
        <w:rPr>
          <w:rFonts w:ascii="宋体" w:hAnsi="宋体"/>
          <w:szCs w:val="21"/>
        </w:rPr>
      </w:pPr>
      <w:r>
        <w:rPr>
          <w:rFonts w:hint="eastAsia" w:ascii="宋体" w:hAnsi="宋体"/>
          <w:szCs w:val="21"/>
        </w:rPr>
        <w:t>3.2电子交易平台应用或数据库出现错误，不能进行正常操作的；</w:t>
      </w:r>
    </w:p>
    <w:p w14:paraId="739791B4">
      <w:pPr>
        <w:spacing w:line="440" w:lineRule="exact"/>
        <w:ind w:firstLine="420" w:firstLineChars="200"/>
        <w:contextualSpacing/>
        <w:jc w:val="left"/>
        <w:rPr>
          <w:rFonts w:ascii="宋体" w:hAnsi="宋体"/>
          <w:szCs w:val="21"/>
        </w:rPr>
      </w:pPr>
      <w:r>
        <w:rPr>
          <w:rFonts w:hint="eastAsia" w:ascii="宋体" w:hAnsi="宋体"/>
          <w:szCs w:val="21"/>
        </w:rPr>
        <w:t>3.3电子交易平台发现严重安全漏洞，有潜在泄密危险的；</w:t>
      </w:r>
    </w:p>
    <w:p w14:paraId="329C1D66">
      <w:pPr>
        <w:spacing w:line="440" w:lineRule="exact"/>
        <w:ind w:firstLine="420" w:firstLineChars="200"/>
        <w:contextualSpacing/>
        <w:jc w:val="left"/>
        <w:rPr>
          <w:rFonts w:ascii="宋体" w:hAnsi="宋体"/>
          <w:szCs w:val="21"/>
        </w:rPr>
      </w:pPr>
      <w:r>
        <w:rPr>
          <w:rFonts w:hint="eastAsia" w:ascii="宋体" w:hAnsi="宋体"/>
          <w:szCs w:val="21"/>
        </w:rPr>
        <w:t xml:space="preserve">3.4病毒发作导致不能进行正常操作的； </w:t>
      </w:r>
    </w:p>
    <w:p w14:paraId="0F4F91C4">
      <w:pPr>
        <w:spacing w:line="440" w:lineRule="exact"/>
        <w:ind w:firstLine="420" w:firstLineChars="200"/>
        <w:contextualSpacing/>
        <w:jc w:val="left"/>
        <w:rPr>
          <w:rFonts w:ascii="宋体" w:hAnsi="宋体"/>
          <w:szCs w:val="21"/>
        </w:rPr>
      </w:pPr>
      <w:r>
        <w:rPr>
          <w:rFonts w:hint="eastAsia" w:ascii="宋体" w:hAnsi="宋体"/>
          <w:szCs w:val="21"/>
        </w:rPr>
        <w:t>3.5其他无法保证电子交易的公平、公正和安全的情况。</w:t>
      </w:r>
    </w:p>
    <w:p w14:paraId="12D422E9">
      <w:pPr>
        <w:spacing w:line="440" w:lineRule="exact"/>
        <w:ind w:firstLine="420" w:firstLineChars="200"/>
        <w:contextualSpacing/>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4B83C37B">
      <w:pPr>
        <w:pStyle w:val="13"/>
        <w:spacing w:beforeLines="0" w:afterLines="0" w:line="440" w:lineRule="exact"/>
        <w:ind w:left="772" w:leftChars="267" w:hanging="211" w:hangingChars="100"/>
        <w:contextualSpacing/>
        <w:outlineLvl w:val="1"/>
        <w:rPr>
          <w:rFonts w:hAnsi="宋体" w:cs="宋体"/>
          <w:b/>
          <w:sz w:val="21"/>
          <w:szCs w:val="21"/>
        </w:rPr>
      </w:pPr>
      <w:r>
        <w:rPr>
          <w:rFonts w:hint="eastAsia" w:hAnsi="宋体" w:cs="宋体"/>
          <w:b/>
          <w:sz w:val="21"/>
          <w:szCs w:val="21"/>
        </w:rPr>
        <w:t>五、评标</w:t>
      </w:r>
      <w:bookmarkEnd w:id="78"/>
    </w:p>
    <w:p w14:paraId="597281D4">
      <w:pPr>
        <w:pStyle w:val="13"/>
        <w:spacing w:beforeLines="0" w:afterLines="0" w:line="440" w:lineRule="exact"/>
        <w:ind w:left="690" w:leftChars="228" w:hanging="211" w:hangingChars="100"/>
        <w:contextualSpacing/>
        <w:rPr>
          <w:rFonts w:hAnsi="宋体" w:cs="宋体"/>
          <w:b/>
          <w:sz w:val="21"/>
          <w:szCs w:val="21"/>
        </w:rPr>
      </w:pPr>
      <w:r>
        <w:rPr>
          <w:rFonts w:hint="eastAsia" w:hAnsi="宋体" w:cs="宋体"/>
          <w:b/>
          <w:sz w:val="21"/>
          <w:szCs w:val="21"/>
        </w:rPr>
        <w:t>（一）组建评标委员会</w:t>
      </w:r>
    </w:p>
    <w:p w14:paraId="1717CE2C">
      <w:pPr>
        <w:pStyle w:val="13"/>
        <w:spacing w:beforeLines="0" w:afterLines="0" w:line="440" w:lineRule="exact"/>
        <w:ind w:firstLine="420" w:firstLineChars="200"/>
        <w:contextualSpacing/>
        <w:rPr>
          <w:rFonts w:hAnsi="宋体" w:cs="宋体"/>
          <w:sz w:val="21"/>
          <w:szCs w:val="21"/>
        </w:rPr>
      </w:pPr>
      <w:r>
        <w:rPr>
          <w:rFonts w:hint="eastAsia" w:hAnsi="宋体" w:cs="宋体"/>
          <w:sz w:val="21"/>
          <w:szCs w:val="21"/>
        </w:rPr>
        <w:t>本项目评标委员会按照相关法律规定组成。</w:t>
      </w:r>
    </w:p>
    <w:p w14:paraId="34278276">
      <w:pPr>
        <w:pStyle w:val="13"/>
        <w:spacing w:beforeLines="0" w:afterLines="0" w:line="440" w:lineRule="exact"/>
        <w:ind w:left="690" w:leftChars="228" w:hanging="211" w:hangingChars="100"/>
        <w:contextualSpacing/>
        <w:rPr>
          <w:rFonts w:hAnsi="宋体" w:cs="宋体"/>
          <w:b/>
          <w:sz w:val="21"/>
          <w:szCs w:val="21"/>
        </w:rPr>
      </w:pPr>
      <w:r>
        <w:rPr>
          <w:rFonts w:hint="eastAsia" w:hAnsi="宋体" w:cs="宋体"/>
          <w:b/>
          <w:sz w:val="21"/>
          <w:szCs w:val="21"/>
        </w:rPr>
        <w:t>（二）评标的方式</w:t>
      </w:r>
    </w:p>
    <w:p w14:paraId="5B18B011">
      <w:pPr>
        <w:pStyle w:val="13"/>
        <w:spacing w:beforeLines="0" w:afterLines="0" w:line="440" w:lineRule="exact"/>
        <w:ind w:firstLine="420" w:firstLineChars="200"/>
        <w:contextualSpacing/>
        <w:rPr>
          <w:rFonts w:hAnsi="宋体" w:cs="宋体"/>
          <w:sz w:val="21"/>
          <w:szCs w:val="21"/>
        </w:rPr>
      </w:pPr>
      <w:r>
        <w:rPr>
          <w:rFonts w:hint="eastAsia" w:hAnsi="宋体" w:cs="宋体"/>
          <w:sz w:val="21"/>
          <w:szCs w:val="21"/>
        </w:rPr>
        <w:t>本项目评标的依据为采购文件和投标文件。</w:t>
      </w:r>
    </w:p>
    <w:p w14:paraId="6026E5F3">
      <w:pPr>
        <w:pStyle w:val="13"/>
        <w:spacing w:beforeLines="0" w:afterLines="0" w:line="440" w:lineRule="exact"/>
        <w:ind w:left="690" w:leftChars="228" w:hanging="211" w:hangingChars="100"/>
        <w:contextualSpacing/>
        <w:rPr>
          <w:rFonts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60AA9C27">
      <w:pPr>
        <w:spacing w:line="440" w:lineRule="exact"/>
        <w:ind w:firstLine="420" w:firstLineChars="200"/>
        <w:contextualSpacing/>
        <w:rPr>
          <w:rFonts w:ascii="宋体" w:cs="宋体"/>
          <w:b/>
          <w:szCs w:val="21"/>
        </w:rPr>
      </w:pPr>
      <w:r>
        <w:rPr>
          <w:rFonts w:ascii="宋体" w:hAnsi="宋体" w:cs="宋体"/>
          <w:szCs w:val="21"/>
        </w:rPr>
        <w:t>1.</w:t>
      </w:r>
      <w:r>
        <w:rPr>
          <w:rFonts w:hint="eastAsia" w:ascii="宋体" w:hAnsi="宋体" w:cs="宋体"/>
          <w:b/>
          <w:szCs w:val="21"/>
        </w:rPr>
        <w:t>资格条件审查</w:t>
      </w:r>
    </w:p>
    <w:p w14:paraId="53646B89">
      <w:pPr>
        <w:spacing w:line="440" w:lineRule="exact"/>
        <w:ind w:firstLine="522" w:firstLineChars="249"/>
        <w:contextualSpacing/>
        <w:rPr>
          <w:rFonts w:ascii="宋体" w:cs="宋体"/>
          <w:szCs w:val="21"/>
        </w:rPr>
      </w:pPr>
      <w:r>
        <w:rPr>
          <w:rFonts w:hint="eastAsia" w:ascii="宋体" w:hAnsi="宋体" w:cs="宋体"/>
          <w:szCs w:val="21"/>
        </w:rPr>
        <w:t>由采购人或代理机构对投标人的资格进行审查。</w:t>
      </w:r>
    </w:p>
    <w:tbl>
      <w:tblPr>
        <w:tblStyle w:val="28"/>
        <w:tblW w:w="879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440"/>
      </w:tblGrid>
      <w:tr w14:paraId="7F0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0E3A55D0">
            <w:pPr>
              <w:spacing w:line="360" w:lineRule="auto"/>
              <w:jc w:val="center"/>
              <w:rPr>
                <w:rFonts w:ascii="宋体" w:cs="宋体"/>
                <w:szCs w:val="21"/>
              </w:rPr>
            </w:pPr>
            <w:r>
              <w:rPr>
                <w:rFonts w:hint="eastAsia" w:ascii="宋体" w:hAnsi="宋体" w:cs="宋体"/>
                <w:szCs w:val="21"/>
              </w:rPr>
              <w:t>审查类别</w:t>
            </w:r>
          </w:p>
        </w:tc>
        <w:tc>
          <w:tcPr>
            <w:tcW w:w="7440" w:type="dxa"/>
          </w:tcPr>
          <w:p w14:paraId="6A41FDBE">
            <w:pPr>
              <w:spacing w:line="360" w:lineRule="auto"/>
              <w:jc w:val="center"/>
              <w:rPr>
                <w:rFonts w:ascii="宋体" w:cs="宋体"/>
                <w:szCs w:val="21"/>
              </w:rPr>
            </w:pPr>
            <w:r>
              <w:rPr>
                <w:rFonts w:hint="eastAsia" w:ascii="宋体" w:hAnsi="宋体" w:cs="宋体"/>
                <w:szCs w:val="21"/>
              </w:rPr>
              <w:t>审查内容</w:t>
            </w:r>
          </w:p>
        </w:tc>
      </w:tr>
      <w:tr w14:paraId="2C90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vAlign w:val="center"/>
          </w:tcPr>
          <w:p w14:paraId="4A22DCE9">
            <w:pPr>
              <w:spacing w:line="360" w:lineRule="auto"/>
              <w:jc w:val="center"/>
              <w:rPr>
                <w:rFonts w:ascii="宋体" w:cs="宋体"/>
                <w:szCs w:val="21"/>
              </w:rPr>
            </w:pPr>
            <w:r>
              <w:rPr>
                <w:rFonts w:hint="eastAsia" w:ascii="宋体" w:hAnsi="宋体" w:cs="宋体"/>
                <w:szCs w:val="21"/>
              </w:rPr>
              <w:t>资格条件审查</w:t>
            </w:r>
          </w:p>
        </w:tc>
        <w:tc>
          <w:tcPr>
            <w:tcW w:w="7440" w:type="dxa"/>
          </w:tcPr>
          <w:p w14:paraId="5B81A215">
            <w:pPr>
              <w:spacing w:line="360" w:lineRule="auto"/>
              <w:rPr>
                <w:rFonts w:ascii="宋体" w:hAnsi="宋体" w:cs="宋体"/>
                <w:szCs w:val="21"/>
              </w:rPr>
            </w:pPr>
            <w:r>
              <w:rPr>
                <w:rFonts w:hint="eastAsia" w:ascii="宋体" w:hAnsi="宋体" w:cs="宋体"/>
                <w:szCs w:val="21"/>
              </w:rPr>
              <w:t>（一）符合《中华人民共和国政府采购法》第二十二条规定的投标人资格条件</w:t>
            </w:r>
          </w:p>
        </w:tc>
      </w:tr>
      <w:tr w14:paraId="2651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14:paraId="4C3B3AA7">
            <w:pPr>
              <w:spacing w:line="360" w:lineRule="auto"/>
              <w:rPr>
                <w:rFonts w:ascii="宋体" w:cs="宋体"/>
                <w:szCs w:val="21"/>
              </w:rPr>
            </w:pPr>
          </w:p>
        </w:tc>
        <w:tc>
          <w:tcPr>
            <w:tcW w:w="7440" w:type="dxa"/>
          </w:tcPr>
          <w:p w14:paraId="69AC2100">
            <w:pPr>
              <w:spacing w:line="360" w:lineRule="auto"/>
              <w:rPr>
                <w:rFonts w:ascii="宋体" w:hAnsi="宋体" w:cs="宋体"/>
                <w:szCs w:val="21"/>
              </w:rPr>
            </w:pPr>
            <w:r>
              <w:rPr>
                <w:rFonts w:hint="eastAsia" w:ascii="宋体" w:hAnsi="宋体" w:cs="宋体"/>
                <w:szCs w:val="21"/>
              </w:rPr>
              <w:t>（二）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0890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14:paraId="070A7379">
            <w:pPr>
              <w:spacing w:line="360" w:lineRule="auto"/>
              <w:rPr>
                <w:rFonts w:ascii="宋体" w:cs="宋体"/>
                <w:szCs w:val="21"/>
              </w:rPr>
            </w:pPr>
          </w:p>
        </w:tc>
        <w:tc>
          <w:tcPr>
            <w:tcW w:w="7440" w:type="dxa"/>
          </w:tcPr>
          <w:p w14:paraId="3760EA9E">
            <w:pPr>
              <w:spacing w:line="360" w:lineRule="auto"/>
              <w:rPr>
                <w:rFonts w:ascii="宋体" w:hAnsi="宋体" w:cs="宋体"/>
                <w:szCs w:val="21"/>
              </w:rPr>
            </w:pPr>
            <w:r>
              <w:rPr>
                <w:rFonts w:hint="eastAsia" w:ascii="宋体" w:hAnsi="宋体" w:cs="宋体"/>
                <w:szCs w:val="21"/>
              </w:rPr>
              <w:t>（三）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投标人需提供相关证明资料）；</w:t>
            </w:r>
          </w:p>
        </w:tc>
      </w:tr>
      <w:tr w14:paraId="1D3F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14:paraId="0D213CF1">
            <w:pPr>
              <w:spacing w:line="360" w:lineRule="auto"/>
              <w:rPr>
                <w:rFonts w:ascii="宋体" w:cs="宋体"/>
                <w:szCs w:val="21"/>
              </w:rPr>
            </w:pPr>
          </w:p>
        </w:tc>
        <w:tc>
          <w:tcPr>
            <w:tcW w:w="7440" w:type="dxa"/>
          </w:tcPr>
          <w:p w14:paraId="569E9B82">
            <w:pPr>
              <w:spacing w:line="360" w:lineRule="auto"/>
              <w:rPr>
                <w:rFonts w:ascii="宋体" w:hAnsi="宋体" w:cs="宋体"/>
                <w:szCs w:val="21"/>
              </w:rPr>
            </w:pPr>
            <w:r>
              <w:rPr>
                <w:rFonts w:hint="eastAsia" w:ascii="宋体" w:hAnsi="宋体" w:cs="宋体"/>
                <w:szCs w:val="21"/>
              </w:rPr>
              <w:t>（四）本次招标不接受联合体投标；</w:t>
            </w:r>
          </w:p>
        </w:tc>
      </w:tr>
      <w:tr w14:paraId="6331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8A537E8">
            <w:pPr>
              <w:spacing w:line="360" w:lineRule="auto"/>
              <w:rPr>
                <w:rFonts w:ascii="宋体" w:cs="宋体"/>
                <w:szCs w:val="21"/>
              </w:rPr>
            </w:pPr>
          </w:p>
        </w:tc>
        <w:tc>
          <w:tcPr>
            <w:tcW w:w="7440" w:type="dxa"/>
          </w:tcPr>
          <w:p w14:paraId="33C15808">
            <w:pPr>
              <w:spacing w:line="360" w:lineRule="auto"/>
              <w:rPr>
                <w:rFonts w:ascii="宋体" w:hAnsi="宋体" w:cs="宋体"/>
                <w:szCs w:val="21"/>
              </w:rPr>
            </w:pPr>
            <w:r>
              <w:rPr>
                <w:rFonts w:hint="eastAsia" w:ascii="宋体" w:hAnsi="宋体" w:cs="宋体"/>
                <w:szCs w:val="21"/>
              </w:rPr>
              <w:t>（五）采购文件要求的其他资格条件（如有）</w:t>
            </w:r>
          </w:p>
        </w:tc>
      </w:tr>
    </w:tbl>
    <w:p w14:paraId="04B59662">
      <w:pPr>
        <w:spacing w:line="360" w:lineRule="auto"/>
        <w:ind w:firstLine="422" w:firstLineChars="200"/>
        <w:rPr>
          <w:rFonts w:ascii="宋体" w:cs="宋体"/>
          <w:b/>
          <w:szCs w:val="21"/>
        </w:rPr>
      </w:pPr>
      <w:r>
        <w:rPr>
          <w:rFonts w:ascii="宋体" w:hAnsi="宋体" w:cs="宋体"/>
          <w:b/>
          <w:szCs w:val="21"/>
        </w:rPr>
        <w:t>2.</w:t>
      </w:r>
      <w:r>
        <w:rPr>
          <w:rFonts w:hint="eastAsia" w:ascii="宋体" w:hAnsi="宋体" w:cs="宋体"/>
          <w:b/>
          <w:szCs w:val="21"/>
        </w:rPr>
        <w:t>符合性审查</w:t>
      </w:r>
    </w:p>
    <w:p w14:paraId="4E7EC86B">
      <w:pPr>
        <w:spacing w:line="360" w:lineRule="auto"/>
        <w:ind w:firstLine="420" w:firstLineChars="200"/>
        <w:rPr>
          <w:rFonts w:ascii="宋体" w:cs="宋体"/>
          <w:szCs w:val="21"/>
        </w:rPr>
      </w:pPr>
      <w:r>
        <w:rPr>
          <w:rFonts w:hint="eastAsia" w:ascii="宋体" w:hAnsi="宋体" w:cs="宋体"/>
          <w:kern w:val="0"/>
          <w:szCs w:val="21"/>
        </w:rPr>
        <w:t>评标委员会应当对符合资格的投标人的投标文件进行符合性审查，以确定其是否满足采购文件的实质性要求。</w:t>
      </w:r>
    </w:p>
    <w:tbl>
      <w:tblPr>
        <w:tblStyle w:val="28"/>
        <w:tblW w:w="874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308"/>
      </w:tblGrid>
      <w:tr w14:paraId="595E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14:paraId="52BE4F32">
            <w:pPr>
              <w:spacing w:line="360" w:lineRule="auto"/>
              <w:jc w:val="center"/>
              <w:rPr>
                <w:rFonts w:ascii="宋体" w:cs="宋体"/>
                <w:szCs w:val="21"/>
              </w:rPr>
            </w:pPr>
            <w:r>
              <w:rPr>
                <w:rFonts w:hint="eastAsia" w:ascii="宋体" w:hAnsi="宋体" w:cs="宋体"/>
                <w:szCs w:val="21"/>
              </w:rPr>
              <w:t>审查类别</w:t>
            </w:r>
          </w:p>
        </w:tc>
        <w:tc>
          <w:tcPr>
            <w:tcW w:w="7308" w:type="dxa"/>
          </w:tcPr>
          <w:p w14:paraId="1BDDF565">
            <w:pPr>
              <w:spacing w:line="360" w:lineRule="auto"/>
              <w:jc w:val="center"/>
              <w:rPr>
                <w:rFonts w:ascii="宋体" w:cs="宋体"/>
                <w:szCs w:val="21"/>
              </w:rPr>
            </w:pPr>
            <w:r>
              <w:rPr>
                <w:rFonts w:hint="eastAsia" w:ascii="宋体" w:hAnsi="宋体" w:cs="宋体"/>
                <w:szCs w:val="21"/>
              </w:rPr>
              <w:t>审查内容</w:t>
            </w:r>
          </w:p>
        </w:tc>
      </w:tr>
      <w:tr w14:paraId="0136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37" w:type="dxa"/>
            <w:vMerge w:val="restart"/>
            <w:vAlign w:val="center"/>
          </w:tcPr>
          <w:p w14:paraId="721B1D4E">
            <w:pPr>
              <w:spacing w:line="360" w:lineRule="auto"/>
              <w:jc w:val="center"/>
              <w:rPr>
                <w:rFonts w:ascii="宋体" w:cs="宋体"/>
                <w:szCs w:val="21"/>
              </w:rPr>
            </w:pPr>
            <w:r>
              <w:rPr>
                <w:rFonts w:hint="eastAsia" w:ascii="宋体" w:hAnsi="宋体" w:cs="宋体"/>
                <w:szCs w:val="21"/>
              </w:rPr>
              <w:t>符合性审查</w:t>
            </w:r>
          </w:p>
        </w:tc>
        <w:tc>
          <w:tcPr>
            <w:tcW w:w="7308" w:type="dxa"/>
            <w:vAlign w:val="center"/>
          </w:tcPr>
          <w:p w14:paraId="18F0F43F">
            <w:pPr>
              <w:tabs>
                <w:tab w:val="left" w:pos="612"/>
              </w:tabs>
              <w:spacing w:beforeLines="50" w:afterLines="50" w:line="360" w:lineRule="auto"/>
              <w:rPr>
                <w:rFonts w:ascii="宋体" w:cs="宋体"/>
                <w:szCs w:val="21"/>
              </w:rPr>
            </w:pPr>
            <w:r>
              <w:rPr>
                <w:rFonts w:hint="eastAsia" w:ascii="宋体" w:hAnsi="宋体" w:cs="宋体"/>
                <w:szCs w:val="21"/>
              </w:rPr>
              <w:t>投标函已提交并符合采购文件要求的</w:t>
            </w:r>
          </w:p>
        </w:tc>
      </w:tr>
      <w:tr w14:paraId="19A8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66710142">
            <w:pPr>
              <w:spacing w:line="360" w:lineRule="auto"/>
              <w:rPr>
                <w:rFonts w:ascii="宋体" w:cs="宋体"/>
                <w:szCs w:val="21"/>
              </w:rPr>
            </w:pPr>
          </w:p>
        </w:tc>
        <w:tc>
          <w:tcPr>
            <w:tcW w:w="7308" w:type="dxa"/>
            <w:vAlign w:val="center"/>
          </w:tcPr>
          <w:p w14:paraId="76841016">
            <w:pPr>
              <w:tabs>
                <w:tab w:val="left" w:pos="612"/>
              </w:tabs>
              <w:spacing w:beforeLines="50" w:afterLines="50" w:line="360" w:lineRule="auto"/>
              <w:rPr>
                <w:rFonts w:asci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签署本人姓名（或印盖本人姓名章）</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14:paraId="4F5C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0D2D365A">
            <w:pPr>
              <w:spacing w:line="360" w:lineRule="auto"/>
              <w:rPr>
                <w:rFonts w:ascii="宋体" w:cs="宋体"/>
                <w:szCs w:val="21"/>
              </w:rPr>
            </w:pPr>
          </w:p>
        </w:tc>
        <w:tc>
          <w:tcPr>
            <w:tcW w:w="7308" w:type="dxa"/>
            <w:vAlign w:val="center"/>
          </w:tcPr>
          <w:p w14:paraId="48B2E60A">
            <w:pPr>
              <w:tabs>
                <w:tab w:val="left" w:pos="612"/>
              </w:tabs>
              <w:spacing w:beforeLines="50" w:afterLines="50" w:line="360" w:lineRule="auto"/>
              <w:rPr>
                <w:rFonts w:ascii="宋体" w:cs="宋体"/>
                <w:kern w:val="0"/>
                <w:szCs w:val="21"/>
              </w:rPr>
            </w:pPr>
            <w:r>
              <w:rPr>
                <w:rFonts w:hint="eastAsia" w:ascii="宋体" w:hAnsi="宋体" w:cs="宋体"/>
                <w:szCs w:val="21"/>
              </w:rPr>
              <w:t>投标文件完全满足采购文件的实质性条款（即标注</w:t>
            </w:r>
            <w:r>
              <w:rPr>
                <w:rFonts w:hint="eastAsia" w:ascii="宋体" w:hAnsi="宋体" w:cs="宋体"/>
                <w:sz w:val="24"/>
              </w:rPr>
              <w:t>★</w:t>
            </w:r>
            <w:r>
              <w:rPr>
                <w:rFonts w:hint="eastAsia" w:ascii="宋体" w:hAnsi="宋体" w:cs="宋体"/>
                <w:szCs w:val="21"/>
              </w:rPr>
              <w:t>号条款）无负偏离的</w:t>
            </w:r>
          </w:p>
        </w:tc>
      </w:tr>
      <w:tr w14:paraId="2C9F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32A0F2CB">
            <w:pPr>
              <w:spacing w:line="360" w:lineRule="auto"/>
              <w:rPr>
                <w:rFonts w:ascii="宋体" w:cs="宋体"/>
                <w:szCs w:val="21"/>
              </w:rPr>
            </w:pPr>
          </w:p>
        </w:tc>
        <w:tc>
          <w:tcPr>
            <w:tcW w:w="7308" w:type="dxa"/>
            <w:vAlign w:val="center"/>
          </w:tcPr>
          <w:p w14:paraId="426BDFE2">
            <w:pPr>
              <w:spacing w:beforeLines="50" w:afterLines="50" w:line="360" w:lineRule="auto"/>
              <w:rPr>
                <w:rFonts w:ascii="宋体" w:cs="宋体"/>
                <w:szCs w:val="21"/>
              </w:rPr>
            </w:pPr>
            <w:r>
              <w:rPr>
                <w:rFonts w:hint="eastAsia" w:ascii="宋体" w:hAnsi="宋体" w:cs="宋体"/>
                <w:szCs w:val="21"/>
              </w:rPr>
              <w:t>投标文件没有采购文件中规定的其它无效投标条款的</w:t>
            </w:r>
          </w:p>
        </w:tc>
      </w:tr>
      <w:tr w14:paraId="3F56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478BCD65">
            <w:pPr>
              <w:spacing w:line="360" w:lineRule="auto"/>
              <w:rPr>
                <w:rFonts w:ascii="宋体" w:cs="宋体"/>
                <w:szCs w:val="21"/>
              </w:rPr>
            </w:pPr>
          </w:p>
        </w:tc>
        <w:tc>
          <w:tcPr>
            <w:tcW w:w="7308" w:type="dxa"/>
            <w:vAlign w:val="center"/>
          </w:tcPr>
          <w:p w14:paraId="591F72E3">
            <w:pPr>
              <w:spacing w:beforeLines="50" w:afterLines="50" w:line="360" w:lineRule="auto"/>
              <w:rPr>
                <w:rFonts w:ascii="宋体" w:cs="宋体"/>
                <w:szCs w:val="21"/>
              </w:rPr>
            </w:pPr>
            <w:r>
              <w:rPr>
                <w:rFonts w:hint="eastAsia" w:ascii="宋体" w:hAnsi="宋体" w:cs="宋体"/>
                <w:szCs w:val="21"/>
              </w:rPr>
              <w:t>按有关法律、法规、规章不属于投标无效的</w:t>
            </w:r>
          </w:p>
        </w:tc>
      </w:tr>
      <w:tr w14:paraId="02E3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28FCCB06">
            <w:pPr>
              <w:spacing w:line="360" w:lineRule="auto"/>
              <w:rPr>
                <w:rFonts w:ascii="宋体" w:cs="宋体"/>
                <w:szCs w:val="21"/>
              </w:rPr>
            </w:pPr>
          </w:p>
        </w:tc>
        <w:tc>
          <w:tcPr>
            <w:tcW w:w="7308" w:type="dxa"/>
            <w:vAlign w:val="center"/>
          </w:tcPr>
          <w:p w14:paraId="64CD86C7">
            <w:pPr>
              <w:spacing w:beforeLines="50" w:afterLines="50" w:line="360" w:lineRule="auto"/>
              <w:rPr>
                <w:rFonts w:ascii="宋体" w:cs="宋体"/>
                <w:szCs w:val="21"/>
              </w:rPr>
            </w:pPr>
            <w:r>
              <w:rPr>
                <w:rFonts w:hint="eastAsia" w:ascii="宋体" w:hAnsi="宋体" w:cs="宋体"/>
                <w:szCs w:val="21"/>
              </w:rPr>
              <w:t>按照采购文件要求提供其他证明材料（如有）</w:t>
            </w:r>
          </w:p>
        </w:tc>
      </w:tr>
    </w:tbl>
    <w:p w14:paraId="31E48C5C">
      <w:pPr>
        <w:spacing w:line="360" w:lineRule="auto"/>
        <w:ind w:firstLine="422" w:firstLineChars="200"/>
        <w:rPr>
          <w:rFonts w:ascii="宋体" w:cs="宋体"/>
          <w:b/>
          <w:szCs w:val="21"/>
        </w:rPr>
      </w:pPr>
      <w:r>
        <w:rPr>
          <w:rFonts w:ascii="宋体" w:hAnsi="宋体" w:cs="宋体"/>
          <w:b/>
          <w:szCs w:val="21"/>
        </w:rPr>
        <w:t>3.</w:t>
      </w:r>
      <w:r>
        <w:rPr>
          <w:rFonts w:hint="eastAsia" w:ascii="宋体" w:hAnsi="宋体" w:cs="宋体"/>
          <w:b/>
          <w:szCs w:val="21"/>
        </w:rPr>
        <w:t>详细评审</w:t>
      </w:r>
    </w:p>
    <w:p w14:paraId="5790B077">
      <w:pPr>
        <w:spacing w:line="360" w:lineRule="auto"/>
        <w:ind w:firstLine="420" w:firstLineChars="200"/>
        <w:rPr>
          <w:rFonts w:asci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评标委员会对资格审查、符合性审查合格的投标文件，依照本办法对投标文件作进一步评审、比较。评标委员会成员经过阅标、审标和询标，对各投标人进行打分；</w:t>
      </w:r>
    </w:p>
    <w:p w14:paraId="192FC7B9">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评委打分参照本部分《宁海县交通运输局2025年公路绿化养护服务采购</w:t>
      </w:r>
      <w:r>
        <w:rPr>
          <w:rFonts w:hint="eastAsia" w:ascii="宋体" w:hAnsi="宋体" w:cs="宋体"/>
          <w:kern w:val="0"/>
          <w:szCs w:val="21"/>
          <w:lang w:val="zh-CN" w:eastAsia="zh-CN"/>
        </w:rPr>
        <w:t>（第二批）</w:t>
      </w:r>
      <w:r>
        <w:rPr>
          <w:rFonts w:hint="eastAsia" w:ascii="宋体" w:hAnsi="宋体" w:cs="宋体"/>
          <w:kern w:val="0"/>
          <w:szCs w:val="21"/>
          <w:lang w:val="zh-CN"/>
        </w:rPr>
        <w:t>评分表》。由各评标委员会成员根据投标人的投标文件及相关澄清文件，进行独立打分。评委打分采用记名方式，取算术平均分（小数点后保留一位小数）。</w:t>
      </w:r>
    </w:p>
    <w:p w14:paraId="5FE91A1C">
      <w:pPr>
        <w:snapToGrid w:val="0"/>
        <w:spacing w:beforeLines="50" w:line="360" w:lineRule="auto"/>
        <w:ind w:firstLine="413" w:firstLineChars="196"/>
        <w:outlineLvl w:val="2"/>
        <w:rPr>
          <w:rFonts w:ascii="宋体" w:cs="宋体"/>
          <w:b/>
          <w:szCs w:val="21"/>
        </w:rPr>
      </w:pPr>
      <w:bookmarkStart w:id="79" w:name="_Toc13921"/>
      <w:r>
        <w:rPr>
          <w:rFonts w:ascii="宋体" w:hAnsi="宋体" w:cs="宋体"/>
          <w:b/>
          <w:szCs w:val="21"/>
        </w:rPr>
        <w:t>4.</w:t>
      </w:r>
      <w:r>
        <w:rPr>
          <w:rFonts w:hint="eastAsia" w:ascii="宋体" w:hAnsi="宋体" w:cs="宋体"/>
          <w:b/>
          <w:szCs w:val="21"/>
        </w:rPr>
        <w:t>投标无效的情形</w:t>
      </w:r>
      <w:bookmarkEnd w:id="79"/>
    </w:p>
    <w:p w14:paraId="2E084584">
      <w:pPr>
        <w:snapToGrid w:val="0"/>
        <w:spacing w:line="360" w:lineRule="auto"/>
        <w:ind w:firstLine="420" w:firstLineChars="200"/>
        <w:rPr>
          <w:rFonts w:ascii="宋体" w:cs="宋体"/>
          <w:bCs/>
          <w:szCs w:val="21"/>
        </w:rPr>
      </w:pPr>
      <w:r>
        <w:rPr>
          <w:rFonts w:hint="eastAsia" w:ascii="宋体" w:hAnsi="宋体" w:cs="宋体"/>
          <w:bCs/>
          <w:szCs w:val="21"/>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97C8432">
      <w:pPr>
        <w:pStyle w:val="11"/>
        <w:snapToGrid w:val="0"/>
        <w:spacing w:line="360" w:lineRule="auto"/>
        <w:ind w:left="420" w:firstLine="0"/>
        <w:rPr>
          <w:rFonts w:hAnsi="宋体" w:cs="宋体"/>
          <w:b/>
          <w:bCs/>
          <w:sz w:val="21"/>
          <w:szCs w:val="21"/>
        </w:rPr>
      </w:pPr>
      <w:r>
        <w:rPr>
          <w:rFonts w:hint="eastAsia" w:hAnsi="宋体" w:cs="宋体"/>
          <w:b/>
          <w:bCs/>
          <w:sz w:val="21"/>
          <w:szCs w:val="21"/>
        </w:rPr>
        <w:t>在资格审查中，如发现下列情形之一的，投标文件将被视为无效：</w:t>
      </w:r>
    </w:p>
    <w:p w14:paraId="43017664">
      <w:pPr>
        <w:numPr>
          <w:ilvl w:val="0"/>
          <w:numId w:val="9"/>
        </w:numPr>
        <w:snapToGrid w:val="0"/>
        <w:spacing w:line="360" w:lineRule="auto"/>
        <w:ind w:firstLine="411" w:firstLineChars="196"/>
        <w:rPr>
          <w:rFonts w:ascii="宋体" w:cs="宋体"/>
          <w:szCs w:val="21"/>
        </w:rPr>
      </w:pPr>
      <w:r>
        <w:rPr>
          <w:rFonts w:hint="eastAsia" w:ascii="宋体" w:hAnsi="宋体" w:cs="宋体"/>
          <w:szCs w:val="21"/>
        </w:rPr>
        <w:t>资格证明文件不全的，或者不符合采购文件标明的资格要求的；</w:t>
      </w:r>
    </w:p>
    <w:p w14:paraId="617AC815">
      <w:pPr>
        <w:pStyle w:val="11"/>
        <w:snapToGrid w:val="0"/>
        <w:spacing w:line="360" w:lineRule="auto"/>
        <w:ind w:left="420" w:firstLine="0"/>
        <w:rPr>
          <w:rFonts w:hAnsi="宋体" w:cs="宋体"/>
          <w:b/>
          <w:bCs/>
          <w:sz w:val="21"/>
          <w:szCs w:val="21"/>
        </w:rPr>
      </w:pPr>
      <w:r>
        <w:rPr>
          <w:rFonts w:hint="eastAsia" w:hAnsi="宋体" w:cs="宋体"/>
          <w:b/>
          <w:bCs/>
          <w:sz w:val="21"/>
          <w:szCs w:val="21"/>
        </w:rPr>
        <w:t>在符合性审查和商务评审时，如发现下列情形之一的，投标文件将被视为无效：</w:t>
      </w:r>
    </w:p>
    <w:p w14:paraId="6CB5DDDF">
      <w:pPr>
        <w:snapToGrid w:val="0"/>
        <w:spacing w:line="360" w:lineRule="auto"/>
        <w:ind w:firstLine="411" w:firstLineChars="196"/>
        <w:rPr>
          <w:rFonts w:ascii="宋体" w:hAnsi="宋体" w:cs="宋体"/>
          <w:bCs/>
          <w:szCs w:val="21"/>
        </w:rPr>
      </w:pPr>
      <w:r>
        <w:rPr>
          <w:rFonts w:hint="eastAsia" w:ascii="宋体" w:hAnsi="宋体" w:cs="宋体"/>
          <w:bCs/>
          <w:szCs w:val="21"/>
        </w:rPr>
        <w:t>（1）投标文件未按采购文件要求签署、签章的；</w:t>
      </w:r>
    </w:p>
    <w:p w14:paraId="53020585">
      <w:pPr>
        <w:snapToGrid w:val="0"/>
        <w:spacing w:line="360" w:lineRule="auto"/>
        <w:ind w:firstLine="411" w:firstLineChars="196"/>
        <w:rPr>
          <w:rFonts w:ascii="宋体" w:hAnsi="宋体" w:cs="宋体"/>
          <w:bCs/>
          <w:szCs w:val="21"/>
        </w:rPr>
      </w:pPr>
      <w:r>
        <w:rPr>
          <w:rFonts w:hint="eastAsia" w:ascii="宋体" w:hAnsi="宋体" w:cs="宋体"/>
          <w:bCs/>
          <w:szCs w:val="21"/>
        </w:rPr>
        <w:t>（2）投标代表人未能出具身份证明或与法定代表人授权委托人身份不符的；</w:t>
      </w:r>
    </w:p>
    <w:p w14:paraId="34A652E4">
      <w:pPr>
        <w:pStyle w:val="11"/>
        <w:snapToGrid w:val="0"/>
        <w:spacing w:line="360" w:lineRule="auto"/>
        <w:ind w:firstLine="411" w:firstLineChars="196"/>
        <w:rPr>
          <w:rFonts w:hAnsi="宋体" w:cs="宋体"/>
          <w:bCs/>
          <w:spacing w:val="0"/>
          <w:sz w:val="21"/>
          <w:szCs w:val="21"/>
        </w:rPr>
      </w:pPr>
      <w:r>
        <w:rPr>
          <w:rFonts w:hint="eastAsia" w:hAnsi="宋体" w:cs="宋体"/>
          <w:bCs/>
          <w:spacing w:val="0"/>
          <w:sz w:val="21"/>
          <w:szCs w:val="21"/>
        </w:rPr>
        <w:t>（3）投标文件格式不规范、项目不齐全或者内容虚假的；</w:t>
      </w:r>
    </w:p>
    <w:p w14:paraId="077F4C7C">
      <w:pPr>
        <w:pStyle w:val="11"/>
        <w:snapToGrid w:val="0"/>
        <w:spacing w:line="360" w:lineRule="auto"/>
        <w:ind w:firstLine="411" w:firstLineChars="196"/>
        <w:rPr>
          <w:rFonts w:hAnsi="宋体" w:cs="宋体"/>
          <w:bCs/>
          <w:spacing w:val="0"/>
          <w:sz w:val="21"/>
          <w:szCs w:val="21"/>
        </w:rPr>
      </w:pPr>
      <w:r>
        <w:rPr>
          <w:rFonts w:hint="eastAsia" w:hAnsi="宋体" w:cs="宋体"/>
          <w:bCs/>
          <w:spacing w:val="0"/>
          <w:sz w:val="21"/>
          <w:szCs w:val="21"/>
        </w:rPr>
        <w:t>（4）投标文件的实质性内容未使用中文表述、意思表述不明确、前后矛盾或者使用计量单位不符合采购文件要求的（经评标委员会认定并允许其当场更正的笔误除外）；</w:t>
      </w:r>
    </w:p>
    <w:p w14:paraId="3E8AD943">
      <w:pPr>
        <w:pStyle w:val="11"/>
        <w:snapToGrid w:val="0"/>
        <w:spacing w:line="360" w:lineRule="auto"/>
        <w:ind w:firstLine="398" w:firstLineChars="196"/>
        <w:rPr>
          <w:rFonts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14:paraId="4D8B8FD9">
      <w:pPr>
        <w:pStyle w:val="11"/>
        <w:snapToGrid w:val="0"/>
        <w:spacing w:line="360" w:lineRule="auto"/>
        <w:ind w:firstLine="395" w:firstLineChars="196"/>
        <w:rPr>
          <w:rFonts w:hAnsi="宋体" w:cs="宋体"/>
          <w:sz w:val="21"/>
          <w:szCs w:val="21"/>
        </w:rPr>
      </w:pPr>
      <w:r>
        <w:rPr>
          <w:rFonts w:hint="eastAsia" w:hAnsi="宋体" w:cs="宋体"/>
          <w:sz w:val="21"/>
          <w:szCs w:val="21"/>
        </w:rPr>
        <w:t>（6）未实质性响应采购文件要求或者投标文件有招标方不能接受的附加条件的；</w:t>
      </w:r>
    </w:p>
    <w:p w14:paraId="172AC81A">
      <w:pPr>
        <w:pStyle w:val="11"/>
        <w:snapToGrid w:val="0"/>
        <w:spacing w:line="360" w:lineRule="auto"/>
        <w:ind w:firstLine="395" w:firstLineChars="196"/>
        <w:rPr>
          <w:rFonts w:hAnsi="宋体" w:cs="宋体"/>
          <w:sz w:val="21"/>
          <w:szCs w:val="21"/>
        </w:rPr>
      </w:pPr>
      <w:r>
        <w:rPr>
          <w:rFonts w:hint="eastAsia" w:hAnsi="宋体" w:cs="宋体"/>
          <w:sz w:val="21"/>
          <w:szCs w:val="21"/>
        </w:rPr>
        <w:t>（7）投标文件的关键内容字迹模糊、无法辨认的，或者投标文件中经修正的内容字迹模糊难以辩认或者修改处未按规定签名盖章。</w:t>
      </w:r>
    </w:p>
    <w:p w14:paraId="0BE13901">
      <w:pPr>
        <w:pStyle w:val="11"/>
        <w:snapToGrid w:val="0"/>
        <w:spacing w:line="360" w:lineRule="auto"/>
        <w:ind w:left="420" w:firstLine="0"/>
        <w:rPr>
          <w:rFonts w:hAnsi="宋体" w:cs="宋体"/>
          <w:b/>
          <w:bCs/>
          <w:sz w:val="21"/>
          <w:szCs w:val="21"/>
        </w:rPr>
      </w:pPr>
      <w:r>
        <w:rPr>
          <w:rFonts w:hint="eastAsia" w:hAnsi="宋体" w:cs="宋体"/>
          <w:b/>
          <w:bCs/>
          <w:sz w:val="21"/>
          <w:szCs w:val="21"/>
        </w:rPr>
        <w:t>在技术评审时，如发现下列情形之一的，投标文件将被视为无效：</w:t>
      </w:r>
    </w:p>
    <w:p w14:paraId="2155E159">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1</w:t>
      </w:r>
      <w:r>
        <w:rPr>
          <w:rFonts w:hint="eastAsia" w:hAnsi="宋体" w:cs="宋体"/>
          <w:sz w:val="21"/>
          <w:szCs w:val="21"/>
        </w:rPr>
        <w:t>）未提供或未如实提供投标货物或服务的技术参数，或者投标文件标明的响应或偏离与事实不符或虚假投标的；</w:t>
      </w:r>
    </w:p>
    <w:p w14:paraId="4C08C7D0">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2</w:t>
      </w:r>
      <w:r>
        <w:rPr>
          <w:rFonts w:hint="eastAsia" w:hAnsi="宋体" w:cs="宋体"/>
          <w:sz w:val="21"/>
          <w:szCs w:val="21"/>
        </w:rPr>
        <w:t>）</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w:t>
      </w:r>
      <w:r>
        <w:rPr>
          <w:rFonts w:hint="eastAsia" w:hAnsi="宋体" w:cs="宋体"/>
          <w:sz w:val="24"/>
        </w:rPr>
        <w:t>★</w:t>
      </w:r>
      <w:r>
        <w:rPr>
          <w:rFonts w:hint="eastAsia" w:hAnsi="宋体" w:cs="宋体"/>
          <w:sz w:val="21"/>
          <w:szCs w:val="21"/>
        </w:rPr>
        <w:t>”的技术指标、主要功能项目发生实质性偏离的；</w:t>
      </w:r>
    </w:p>
    <w:p w14:paraId="52A5B0FD">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3</w:t>
      </w:r>
      <w:r>
        <w:rPr>
          <w:rFonts w:hint="eastAsia" w:hAnsi="宋体" w:cs="宋体"/>
          <w:sz w:val="21"/>
          <w:szCs w:val="21"/>
        </w:rPr>
        <w:t>）投标技术方案不明确，存在一个或一个以上备选（替代）投标方案的；</w:t>
      </w:r>
    </w:p>
    <w:p w14:paraId="61854D9D">
      <w:pPr>
        <w:pStyle w:val="11"/>
        <w:snapToGrid w:val="0"/>
        <w:spacing w:line="360" w:lineRule="auto"/>
        <w:ind w:firstLine="404" w:firstLineChars="200"/>
        <w:rPr>
          <w:rFonts w:hAnsi="宋体" w:cs="宋体"/>
          <w:sz w:val="21"/>
          <w:szCs w:val="21"/>
        </w:rPr>
      </w:pPr>
      <w:r>
        <w:rPr>
          <w:rFonts w:hint="eastAsia" w:hAnsi="宋体" w:cs="宋体"/>
          <w:sz w:val="21"/>
          <w:szCs w:val="21"/>
        </w:rPr>
        <w:t>（</w:t>
      </w:r>
      <w:r>
        <w:rPr>
          <w:rFonts w:hAnsi="宋体" w:cs="宋体"/>
          <w:sz w:val="21"/>
          <w:szCs w:val="21"/>
        </w:rPr>
        <w:t>4</w:t>
      </w:r>
      <w:r>
        <w:rPr>
          <w:rFonts w:hint="eastAsia" w:hAnsi="宋体" w:cs="宋体"/>
          <w:sz w:val="21"/>
          <w:szCs w:val="21"/>
        </w:rPr>
        <w:t>）与其他参加本次投标投标人的投标文件（技术文件）的文字表述内容相同连续</w:t>
      </w:r>
      <w:r>
        <w:rPr>
          <w:rFonts w:hAnsi="宋体" w:cs="宋体"/>
          <w:sz w:val="21"/>
          <w:szCs w:val="21"/>
        </w:rPr>
        <w:t>20</w:t>
      </w:r>
      <w:r>
        <w:rPr>
          <w:rFonts w:hint="eastAsia" w:hAnsi="宋体" w:cs="宋体"/>
          <w:sz w:val="21"/>
          <w:szCs w:val="21"/>
        </w:rPr>
        <w:t>行以上或者差错相同</w:t>
      </w:r>
      <w:r>
        <w:rPr>
          <w:rFonts w:hAnsi="宋体" w:cs="宋体"/>
          <w:sz w:val="21"/>
          <w:szCs w:val="21"/>
        </w:rPr>
        <w:t>2</w:t>
      </w:r>
      <w:r>
        <w:rPr>
          <w:rFonts w:hint="eastAsia" w:hAnsi="宋体" w:cs="宋体"/>
          <w:sz w:val="21"/>
          <w:szCs w:val="21"/>
        </w:rPr>
        <w:t>处以上的。</w:t>
      </w:r>
    </w:p>
    <w:p w14:paraId="72AB821E">
      <w:pPr>
        <w:pStyle w:val="11"/>
        <w:snapToGrid w:val="0"/>
        <w:spacing w:line="360" w:lineRule="auto"/>
        <w:ind w:left="420" w:firstLine="0"/>
        <w:rPr>
          <w:rFonts w:hAnsi="宋体" w:cs="宋体"/>
          <w:b/>
          <w:bCs/>
          <w:sz w:val="21"/>
          <w:szCs w:val="21"/>
        </w:rPr>
      </w:pPr>
      <w:r>
        <w:rPr>
          <w:rFonts w:hint="eastAsia" w:hAnsi="宋体" w:cs="宋体"/>
          <w:b/>
          <w:bCs/>
          <w:sz w:val="21"/>
          <w:szCs w:val="21"/>
        </w:rPr>
        <w:t>在报价评审时，如发现下列情形之一的，投标文件将被视为无效：</w:t>
      </w:r>
    </w:p>
    <w:p w14:paraId="68DE2F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（1）未采用人民币报价或者未按照采购文件标明的币种报价的；</w:t>
      </w:r>
    </w:p>
    <w:p w14:paraId="33E70D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（2）报价超出最高限价，或者超出采购预算金额(自主创新产品除外)，采购人不能支付的；</w:t>
      </w:r>
    </w:p>
    <w:p w14:paraId="2F0F14F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（3）投标报价具有选择性；</w:t>
      </w:r>
    </w:p>
    <w:p w14:paraId="5595BE4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（4）投标报价中出现重大缺项、漏项；</w:t>
      </w:r>
    </w:p>
    <w:p w14:paraId="0AF1DB3B">
      <w:pPr>
        <w:spacing w:line="360" w:lineRule="auto"/>
        <w:ind w:firstLine="420" w:firstLineChars="200"/>
        <w:rPr>
          <w:rFonts w:ascii="宋体" w:cs="宋体"/>
          <w:szCs w:val="21"/>
          <w:highlight w:val="none"/>
        </w:rPr>
      </w:pPr>
      <w:r>
        <w:rPr>
          <w:rFonts w:hint="eastAsia" w:ascii="宋体" w:hAnsi="宋体" w:eastAsia="宋体" w:cs="宋体"/>
          <w:szCs w:val="21"/>
          <w:highlight w:val="none"/>
        </w:rPr>
        <w:t>（5）评标委员会认为</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的报价明显低于其他通过符合性审查</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的报价（低于项目预算50%的），有可能影响产品质量或者不能诚信履约的，应当要求其在合理的时间内提供书面说明，必要时提交相关证明材料</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不能证明其报价合理性的，评标委员会应当将其作为无效投标处理。</w:t>
      </w:r>
    </w:p>
    <w:p w14:paraId="5597E17E">
      <w:pPr>
        <w:pStyle w:val="11"/>
        <w:snapToGrid w:val="0"/>
        <w:spacing w:line="360" w:lineRule="auto"/>
        <w:ind w:left="420" w:firstLine="0"/>
        <w:rPr>
          <w:rFonts w:hAnsi="宋体" w:cs="宋体"/>
          <w:b/>
          <w:sz w:val="21"/>
          <w:szCs w:val="21"/>
        </w:rPr>
      </w:pPr>
      <w:r>
        <w:rPr>
          <w:rFonts w:hint="eastAsia" w:hAnsi="宋体" w:cs="宋体"/>
          <w:b/>
          <w:sz w:val="21"/>
          <w:szCs w:val="21"/>
        </w:rPr>
        <w:t>法律、法规和采购文件规定的其他无效情形。</w:t>
      </w:r>
    </w:p>
    <w:p w14:paraId="526C4359">
      <w:pPr>
        <w:snapToGrid w:val="0"/>
        <w:spacing w:line="360" w:lineRule="auto"/>
        <w:ind w:firstLine="422" w:firstLineChars="200"/>
        <w:rPr>
          <w:rFonts w:ascii="宋体" w:cs="宋体"/>
          <w:b/>
          <w:szCs w:val="21"/>
        </w:rPr>
      </w:pPr>
      <w:r>
        <w:rPr>
          <w:rFonts w:hint="eastAsia" w:ascii="宋体" w:hAnsi="宋体" w:cs="宋体"/>
          <w:b/>
          <w:szCs w:val="21"/>
        </w:rPr>
        <w:t>（四）澄清问题的形式</w:t>
      </w:r>
    </w:p>
    <w:p w14:paraId="76E4F6AF">
      <w:pPr>
        <w:spacing w:line="360" w:lineRule="auto"/>
        <w:ind w:firstLine="420" w:firstLineChars="200"/>
        <w:rPr>
          <w:rFonts w:asci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评标委员会应当以书面形式要求投标人作出必要的澄清、说明或者补正。</w:t>
      </w:r>
      <w:r>
        <w:rPr>
          <w:rFonts w:hint="eastAsia" w:ascii="宋体" w:hAnsi="宋体" w:cs="宋体"/>
          <w:szCs w:val="21"/>
        </w:rPr>
        <w:t>投标人的澄清、说明或者补正应当采用书面形式，并加盖公章，或者由法定代表人或其授权的代表签字</w:t>
      </w:r>
      <w:r>
        <w:rPr>
          <w:rFonts w:hint="eastAsia" w:ascii="宋体" w:hAnsi="宋体" w:cs="宋体"/>
          <w:szCs w:val="21"/>
          <w:lang w:eastAsia="zh-CN"/>
        </w:rPr>
        <w:t>（或盖章）</w:t>
      </w:r>
      <w:r>
        <w:rPr>
          <w:rFonts w:hint="eastAsia" w:ascii="宋体" w:hAnsi="宋体" w:cs="宋体"/>
          <w:szCs w:val="21"/>
        </w:rPr>
        <w:t>。</w:t>
      </w:r>
      <w:r>
        <w:rPr>
          <w:rFonts w:hint="eastAsia" w:ascii="宋体" w:hAnsi="宋体" w:cs="宋体"/>
          <w:b/>
          <w:bCs/>
          <w:szCs w:val="21"/>
        </w:rPr>
        <w:t>投标人的澄清、说明或者补正不得超出投标文件的范围或者改变投标文件的实质性内容。</w:t>
      </w:r>
    </w:p>
    <w:p w14:paraId="3151D3B7">
      <w:pPr>
        <w:pStyle w:val="13"/>
        <w:snapToGrid w:val="0"/>
        <w:spacing w:before="120" w:after="120" w:line="360" w:lineRule="auto"/>
        <w:ind w:left="690" w:leftChars="228" w:hanging="211" w:hangingChars="100"/>
        <w:rPr>
          <w:rFonts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2462F1CB">
      <w:pPr>
        <w:snapToGrid w:val="0"/>
        <w:spacing w:line="360" w:lineRule="auto"/>
        <w:ind w:firstLine="420" w:firstLineChars="200"/>
        <w:rPr>
          <w:rFonts w:ascii="宋体" w:cs="宋体"/>
          <w:szCs w:val="21"/>
        </w:rPr>
      </w:pPr>
      <w:r>
        <w:rPr>
          <w:rFonts w:hint="eastAsia" w:ascii="宋体" w:hAnsi="宋体" w:cs="宋体"/>
          <w:szCs w:val="21"/>
        </w:rPr>
        <w:t>投标文件报价出现前后不一致的，除采购文件另有规定外，按照下列规定修正：</w:t>
      </w:r>
    </w:p>
    <w:p w14:paraId="4846F7DE">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、投标文件中开标一览表（报价表）内容与投标文件中相应内容不一致的，以开标一览表（报价表）为准；</w:t>
      </w:r>
    </w:p>
    <w:p w14:paraId="291CF354">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、大写金额和小写金额不一致的，以大写金额为准；</w:t>
      </w:r>
    </w:p>
    <w:p w14:paraId="7E385111">
      <w:pPr>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、单价金额小数点或者百分比有明显错位的，以开标一览表的总价为准，并修改单价；</w:t>
      </w:r>
    </w:p>
    <w:p w14:paraId="1115B7BA">
      <w:pPr>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、总价金额与按单价汇总金额不一致的，以单价金额计算结果为准。</w:t>
      </w:r>
    </w:p>
    <w:p w14:paraId="317E7A85">
      <w:pPr>
        <w:snapToGrid w:val="0"/>
        <w:spacing w:line="360" w:lineRule="auto"/>
        <w:ind w:firstLine="422" w:firstLineChars="200"/>
        <w:rPr>
          <w:rFonts w:ascii="宋体" w:cs="宋体"/>
          <w:b/>
          <w:bCs/>
          <w:szCs w:val="21"/>
        </w:rPr>
      </w:pPr>
      <w:r>
        <w:rPr>
          <w:rFonts w:hint="eastAsia" w:ascii="宋体" w:hAnsi="宋体" w:cs="宋体"/>
          <w:b/>
          <w:bCs/>
          <w:szCs w:val="21"/>
        </w:rPr>
        <w:t>同时出现两种以上不一致的，按照前款规定的顺序修正。修正后的报价经投标人确认后产生约束力，投标人不确认的，其投标无效。</w:t>
      </w:r>
    </w:p>
    <w:p w14:paraId="282DA93F">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（六）评标原则和评标办法</w:t>
      </w:r>
    </w:p>
    <w:p w14:paraId="00128498">
      <w:pPr>
        <w:pStyle w:val="13"/>
        <w:snapToGrid w:val="0"/>
        <w:spacing w:before="120" w:after="120" w:line="360" w:lineRule="auto"/>
        <w:ind w:firstLine="420" w:firstLineChars="200"/>
        <w:rPr>
          <w:rFonts w:hAnsi="宋体" w:cs="宋体"/>
          <w:sz w:val="21"/>
          <w:szCs w:val="21"/>
        </w:rPr>
      </w:pPr>
      <w:r>
        <w:rPr>
          <w:rFonts w:hAnsi="宋体" w:cs="宋体"/>
          <w:sz w:val="21"/>
          <w:szCs w:val="21"/>
        </w:rPr>
        <w:t>1</w:t>
      </w:r>
      <w:r>
        <w:rPr>
          <w:rFonts w:hint="eastAsia" w:hAnsi="宋体" w:cs="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A7B814B">
      <w:pPr>
        <w:pStyle w:val="13"/>
        <w:snapToGrid w:val="0"/>
        <w:spacing w:before="120" w:after="120" w:line="360" w:lineRule="auto"/>
        <w:ind w:firstLine="420" w:firstLineChars="200"/>
        <w:rPr>
          <w:rFonts w:hAnsi="宋体" w:cs="宋体"/>
          <w:sz w:val="21"/>
          <w:szCs w:val="21"/>
        </w:rPr>
      </w:pPr>
      <w:r>
        <w:rPr>
          <w:rFonts w:hAnsi="宋体" w:cs="宋体"/>
          <w:sz w:val="21"/>
          <w:szCs w:val="21"/>
        </w:rPr>
        <w:t>2</w:t>
      </w:r>
      <w:r>
        <w:rPr>
          <w:rFonts w:hint="eastAsia" w:hAnsi="宋体" w:cs="宋体"/>
          <w:sz w:val="21"/>
          <w:szCs w:val="21"/>
        </w:rPr>
        <w:t>、评标办法。本项目评标办法是</w:t>
      </w:r>
      <w:r>
        <w:rPr>
          <w:rFonts w:hint="eastAsia" w:hAnsi="宋体" w:cs="宋体"/>
          <w:sz w:val="21"/>
          <w:szCs w:val="21"/>
          <w:u w:val="single"/>
        </w:rPr>
        <w:t>综合评分法</w:t>
      </w:r>
      <w:r>
        <w:rPr>
          <w:rFonts w:hint="eastAsia" w:hAnsi="宋体" w:cs="宋体"/>
          <w:sz w:val="21"/>
          <w:szCs w:val="21"/>
        </w:rPr>
        <w:t>，具体评标内容及评分标准等详见《第四章：评标办法及评分标准》。</w:t>
      </w:r>
    </w:p>
    <w:p w14:paraId="03ED3743">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31D36BD2">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、本人、配偶或直系亲属</w:t>
      </w:r>
      <w:r>
        <w:rPr>
          <w:rFonts w:ascii="宋体" w:hAnsi="宋体" w:cs="宋体"/>
          <w:szCs w:val="21"/>
        </w:rPr>
        <w:t>3</w:t>
      </w:r>
      <w:r>
        <w:rPr>
          <w:rFonts w:hint="eastAsia" w:ascii="宋体" w:hAnsi="宋体" w:cs="宋体"/>
          <w:szCs w:val="21"/>
        </w:rPr>
        <w:t>年内曾在参加该采购项目的投标人中任职（包括一般工作）或担任顾问，或与参加该采购项目的投标人发生过法律纠纷；</w:t>
      </w:r>
    </w:p>
    <w:p w14:paraId="201C1FC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、任职单位与采购人或参加该采购项目投标人存在行政隶属关系；</w:t>
      </w:r>
    </w:p>
    <w:p w14:paraId="7F109B0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、曾经参加过该采购项目的进口产品或采购文件、采购需求、采购方式的论证和咨询服务工作；</w:t>
      </w:r>
    </w:p>
    <w:p w14:paraId="18AC9690">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、是参加该采购项目投标人的上级主管部门、控股或参股单位的工作人员，或与该投标人存在其他经济利益关系；</w:t>
      </w:r>
    </w:p>
    <w:p w14:paraId="3A16390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、评审委员会成员之间具有配偶、近亲属关系；</w:t>
      </w:r>
    </w:p>
    <w:p w14:paraId="571CD22C">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、法律、法规、规章规定应当回避以及其他可能影响公正评审的。</w:t>
      </w:r>
    </w:p>
    <w:p w14:paraId="3407891C">
      <w:pPr>
        <w:spacing w:line="360" w:lineRule="auto"/>
        <w:ind w:firstLine="422" w:firstLineChars="200"/>
        <w:rPr>
          <w:rFonts w:ascii="宋体" w:cs="宋体"/>
          <w:szCs w:val="21"/>
        </w:rPr>
      </w:pPr>
      <w:r>
        <w:rPr>
          <w:rFonts w:hint="eastAsia" w:ascii="宋体" w:hAnsi="宋体" w:cs="宋体"/>
          <w:b/>
          <w:szCs w:val="21"/>
        </w:rPr>
        <w:t>（八）评标委员会判断投标文件的有效性、合格性和响应情况，仅依据投标人所递交一切文件的真实表述，不受与本项目无直接关联的外部信息、传言而影响自身的专业判断。</w:t>
      </w:r>
    </w:p>
    <w:p w14:paraId="21D3564D">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61BA6FFA">
      <w:pPr>
        <w:pStyle w:val="13"/>
        <w:snapToGrid w:val="0"/>
        <w:spacing w:before="120" w:after="120" w:line="360" w:lineRule="auto"/>
        <w:ind w:firstLine="420"/>
        <w:rPr>
          <w:rFonts w:hAnsi="宋体" w:cs="宋体"/>
          <w:b/>
          <w:sz w:val="21"/>
          <w:szCs w:val="21"/>
          <w:highlight w:val="none"/>
        </w:rPr>
      </w:pPr>
      <w:r>
        <w:rPr>
          <w:rFonts w:hint="eastAsia" w:hAnsi="宋体" w:cs="宋体"/>
          <w:b/>
          <w:sz w:val="21"/>
          <w:szCs w:val="21"/>
          <w:highlight w:val="none"/>
        </w:rPr>
        <w:t>（十）评标委员会的组建</w:t>
      </w:r>
    </w:p>
    <w:p w14:paraId="79337429">
      <w:pPr>
        <w:pStyle w:val="13"/>
        <w:tabs>
          <w:tab w:val="left" w:pos="630"/>
        </w:tabs>
        <w:snapToGrid w:val="0"/>
        <w:spacing w:before="120" w:after="120" w:line="360" w:lineRule="auto"/>
        <w:ind w:firstLine="411" w:firstLineChars="196"/>
        <w:rPr>
          <w:rFonts w:hint="eastAsia" w:hAnsi="宋体" w:cs="宋体"/>
          <w:sz w:val="21"/>
          <w:szCs w:val="21"/>
          <w:highlight w:val="none"/>
        </w:rPr>
      </w:pPr>
      <w:r>
        <w:rPr>
          <w:rFonts w:hint="eastAsia" w:hAnsi="宋体" w:cs="宋体"/>
          <w:sz w:val="21"/>
          <w:szCs w:val="21"/>
          <w:highlight w:val="none"/>
        </w:rPr>
        <w:t>评标委员会构成: 7人，其中招标人代表：2人，专家5人。</w:t>
      </w:r>
    </w:p>
    <w:p w14:paraId="50CEDC1F">
      <w:pPr>
        <w:pStyle w:val="13"/>
        <w:tabs>
          <w:tab w:val="left" w:pos="630"/>
        </w:tabs>
        <w:snapToGrid w:val="0"/>
        <w:spacing w:before="120" w:after="120" w:line="360" w:lineRule="auto"/>
        <w:ind w:firstLine="413" w:firstLineChars="196"/>
        <w:rPr>
          <w:rFonts w:hAnsi="宋体" w:cs="宋体"/>
          <w:b/>
          <w:sz w:val="21"/>
          <w:szCs w:val="21"/>
          <w:highlight w:val="none"/>
        </w:rPr>
      </w:pPr>
      <w:r>
        <w:rPr>
          <w:rFonts w:hint="eastAsia" w:hAnsi="宋体" w:cs="宋体"/>
          <w:b/>
          <w:sz w:val="21"/>
          <w:szCs w:val="21"/>
          <w:highlight w:val="none"/>
        </w:rPr>
        <w:t>（十一）评标过程的监控</w:t>
      </w:r>
    </w:p>
    <w:p w14:paraId="1915428A">
      <w:pPr>
        <w:pStyle w:val="13"/>
        <w:snapToGrid w:val="0"/>
        <w:spacing w:before="120" w:after="120" w:line="360" w:lineRule="auto"/>
        <w:ind w:firstLine="420"/>
        <w:rPr>
          <w:rFonts w:hAnsi="宋体" w:cs="宋体"/>
          <w:sz w:val="21"/>
          <w:szCs w:val="21"/>
        </w:rPr>
      </w:pPr>
      <w:r>
        <w:rPr>
          <w:rFonts w:hAnsi="宋体" w:cs="宋体"/>
          <w:sz w:val="21"/>
          <w:szCs w:val="21"/>
        </w:rPr>
        <w:t>1</w:t>
      </w:r>
      <w:r>
        <w:rPr>
          <w:rFonts w:hint="eastAsia" w:hAnsi="宋体" w:cs="宋体"/>
          <w:sz w:val="21"/>
          <w:szCs w:val="21"/>
        </w:rPr>
        <w:t>、本项目评标过程实行全程录音、录像监控，投标人在评标过程中所进行的试图影响评标结果的不公正活动，可能导致其投标被拒绝；</w:t>
      </w:r>
    </w:p>
    <w:p w14:paraId="15B948C0">
      <w:pPr>
        <w:pStyle w:val="13"/>
        <w:snapToGrid w:val="0"/>
        <w:spacing w:before="120" w:after="120" w:line="360" w:lineRule="auto"/>
        <w:ind w:firstLine="420"/>
        <w:rPr>
          <w:rFonts w:hAnsi="宋体" w:cs="宋体"/>
          <w:b/>
          <w:sz w:val="21"/>
          <w:szCs w:val="21"/>
        </w:rPr>
      </w:pPr>
      <w:r>
        <w:rPr>
          <w:rFonts w:hAnsi="宋体" w:cs="宋体"/>
          <w:sz w:val="21"/>
          <w:szCs w:val="21"/>
        </w:rPr>
        <w:t>2</w:t>
      </w:r>
      <w:r>
        <w:rPr>
          <w:rFonts w:hint="eastAsia" w:hAnsi="宋体" w:cs="宋体"/>
          <w:sz w:val="21"/>
          <w:szCs w:val="21"/>
        </w:rPr>
        <w:t>、开标后到中标通知书发出之前，所有涉及评标委员会名单以及对投标文件的澄清、评价、比较等情况，评标委员会成员、采购人和采购代理机构的有关人员均不得向投标人或其他无关人员透露。</w:t>
      </w:r>
      <w:bookmarkStart w:id="80" w:name="_Toc317685590"/>
      <w:bookmarkStart w:id="81" w:name="_Toc16897"/>
    </w:p>
    <w:p w14:paraId="28460F11">
      <w:pPr>
        <w:pStyle w:val="13"/>
        <w:snapToGrid w:val="0"/>
        <w:spacing w:before="120" w:after="120" w:line="360" w:lineRule="auto"/>
        <w:ind w:left="772" w:leftChars="267" w:hanging="211" w:hangingChars="100"/>
        <w:outlineLvl w:val="1"/>
        <w:rPr>
          <w:rFonts w:hAnsi="宋体" w:cs="宋体"/>
          <w:b/>
          <w:sz w:val="21"/>
          <w:szCs w:val="21"/>
        </w:rPr>
      </w:pPr>
      <w:r>
        <w:rPr>
          <w:rFonts w:hint="eastAsia" w:hAnsi="宋体" w:cs="宋体"/>
          <w:b/>
          <w:sz w:val="21"/>
          <w:szCs w:val="21"/>
        </w:rPr>
        <w:t>六、采购方式变更</w:t>
      </w:r>
      <w:bookmarkEnd w:id="80"/>
      <w:bookmarkEnd w:id="81"/>
    </w:p>
    <w:p w14:paraId="0C91B9FA">
      <w:pPr>
        <w:pStyle w:val="25"/>
        <w:widowControl w:val="0"/>
        <w:snapToGrid w:val="0"/>
        <w:spacing w:beforeLines="50" w:beforeAutospacing="0" w:afterLines="50" w:afterAutospacing="0" w:line="360" w:lineRule="auto"/>
        <w:ind w:firstLine="420" w:firstLineChars="200"/>
        <w:jc w:val="both"/>
        <w:rPr>
          <w:color w:val="auto"/>
          <w:sz w:val="21"/>
          <w:szCs w:val="21"/>
        </w:rPr>
      </w:pPr>
      <w:r>
        <w:rPr>
          <w:rFonts w:hint="eastAsia"/>
          <w:color w:val="auto"/>
          <w:kern w:val="2"/>
          <w:sz w:val="21"/>
          <w:szCs w:val="21"/>
        </w:rPr>
        <w:t>政府采购的国内公开招标，采购响应截至时间至或评审期间，出现参与采购响应或者对采购文件作出实质性响应的投标人不足</w:t>
      </w:r>
      <w:r>
        <w:rPr>
          <w:color w:val="auto"/>
          <w:kern w:val="2"/>
          <w:sz w:val="21"/>
          <w:szCs w:val="21"/>
        </w:rPr>
        <w:t>3</w:t>
      </w:r>
      <w:r>
        <w:rPr>
          <w:rFonts w:hint="eastAsia"/>
          <w:color w:val="auto"/>
          <w:kern w:val="2"/>
          <w:sz w:val="21"/>
          <w:szCs w:val="21"/>
        </w:rPr>
        <w:t>家的情况，则重新招标。</w:t>
      </w:r>
    </w:p>
    <w:p w14:paraId="4826E239">
      <w:pPr>
        <w:pStyle w:val="13"/>
        <w:snapToGrid w:val="0"/>
        <w:spacing w:before="120" w:after="120" w:line="360" w:lineRule="auto"/>
        <w:ind w:left="772" w:leftChars="267" w:hanging="211" w:hangingChars="100"/>
        <w:outlineLvl w:val="1"/>
        <w:rPr>
          <w:rFonts w:hAnsi="宋体" w:cs="宋体"/>
          <w:b/>
          <w:sz w:val="21"/>
          <w:szCs w:val="21"/>
        </w:rPr>
      </w:pPr>
      <w:bookmarkStart w:id="82" w:name="_Toc9029"/>
      <w:r>
        <w:rPr>
          <w:rFonts w:hint="eastAsia" w:hAnsi="宋体" w:cs="宋体"/>
          <w:b/>
          <w:sz w:val="21"/>
          <w:szCs w:val="21"/>
        </w:rPr>
        <w:t>七、定标</w:t>
      </w:r>
      <w:bookmarkEnd w:id="82"/>
    </w:p>
    <w:p w14:paraId="59F7AFDE">
      <w:pPr>
        <w:pStyle w:val="13"/>
        <w:snapToGrid w:val="0"/>
        <w:spacing w:beforeLines="0" w:afterLines="0" w:line="360" w:lineRule="auto"/>
        <w:ind w:firstLine="413" w:firstLineChars="196"/>
        <w:rPr>
          <w:rFonts w:hAnsi="宋体" w:cs="宋体"/>
          <w:b/>
          <w:bCs/>
          <w:sz w:val="21"/>
          <w:szCs w:val="21"/>
        </w:rPr>
      </w:pPr>
      <w:r>
        <w:rPr>
          <w:rFonts w:hint="eastAsia" w:hAnsi="宋体" w:cs="宋体"/>
          <w:b/>
          <w:bCs/>
          <w:sz w:val="21"/>
          <w:szCs w:val="21"/>
        </w:rPr>
        <w:t>（一）确定中标投标人。本项目由采购人（或采购人事先授权评标委员会）确定中标投标人。</w:t>
      </w:r>
    </w:p>
    <w:p w14:paraId="1DF3CD50">
      <w:pPr>
        <w:pStyle w:val="13"/>
        <w:snapToGrid w:val="0"/>
        <w:spacing w:before="120" w:after="120" w:line="360" w:lineRule="auto"/>
        <w:ind w:firstLine="420"/>
        <w:rPr>
          <w:rFonts w:hAnsi="宋体" w:cs="宋体"/>
          <w:sz w:val="21"/>
          <w:szCs w:val="21"/>
        </w:rPr>
      </w:pPr>
      <w:r>
        <w:rPr>
          <w:rFonts w:hAnsi="宋体" w:cs="宋体"/>
          <w:sz w:val="21"/>
          <w:szCs w:val="21"/>
        </w:rPr>
        <w:t>1</w:t>
      </w:r>
      <w:r>
        <w:rPr>
          <w:rFonts w:hint="eastAsia" w:hAnsi="宋体" w:cs="宋体"/>
          <w:sz w:val="21"/>
          <w:szCs w:val="21"/>
        </w:rPr>
        <w:t>、采购代理机构应当在评标结束后</w:t>
      </w:r>
      <w:r>
        <w:rPr>
          <w:rFonts w:hAnsi="宋体" w:cs="宋体"/>
          <w:sz w:val="21"/>
          <w:szCs w:val="21"/>
        </w:rPr>
        <w:t>2</w:t>
      </w:r>
      <w:r>
        <w:rPr>
          <w:rFonts w:hint="eastAsia" w:hAnsi="宋体" w:cs="宋体"/>
          <w:sz w:val="21"/>
          <w:szCs w:val="21"/>
        </w:rPr>
        <w:t>个工作日内将评标报告送采购人；</w:t>
      </w:r>
    </w:p>
    <w:p w14:paraId="56F7E00A">
      <w:pPr>
        <w:pStyle w:val="13"/>
        <w:snapToGrid w:val="0"/>
        <w:spacing w:before="120" w:after="120" w:line="360" w:lineRule="auto"/>
        <w:ind w:firstLine="420"/>
        <w:rPr>
          <w:rFonts w:hAnsi="宋体" w:cs="宋体"/>
          <w:sz w:val="21"/>
          <w:szCs w:val="21"/>
        </w:rPr>
      </w:pPr>
      <w:r>
        <w:rPr>
          <w:rFonts w:hAnsi="宋体" w:cs="宋体"/>
          <w:sz w:val="21"/>
          <w:szCs w:val="21"/>
        </w:rPr>
        <w:t>2</w:t>
      </w:r>
      <w:r>
        <w:rPr>
          <w:rFonts w:hint="eastAsia" w:hAnsi="宋体" w:cs="宋体"/>
          <w:sz w:val="21"/>
          <w:szCs w:val="21"/>
        </w:rPr>
        <w:t>、采购人应当自收到评标报告之日起</w:t>
      </w:r>
      <w:r>
        <w:rPr>
          <w:rFonts w:hAnsi="宋体" w:cs="宋体"/>
          <w:sz w:val="21"/>
          <w:szCs w:val="21"/>
        </w:rPr>
        <w:t>5</w:t>
      </w:r>
      <w:r>
        <w:rPr>
          <w:rFonts w:hint="eastAsia" w:hAnsi="宋体" w:cs="宋体"/>
          <w:sz w:val="21"/>
          <w:szCs w:val="21"/>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2A4C464">
      <w:pPr>
        <w:pStyle w:val="13"/>
        <w:snapToGrid w:val="0"/>
        <w:spacing w:before="120" w:after="120" w:line="360" w:lineRule="auto"/>
        <w:ind w:firstLine="420"/>
        <w:rPr>
          <w:rFonts w:hAnsi="宋体" w:cs="宋体"/>
          <w:sz w:val="21"/>
          <w:szCs w:val="21"/>
        </w:rPr>
      </w:pPr>
      <w:r>
        <w:rPr>
          <w:rFonts w:hAnsi="宋体" w:cs="宋体"/>
          <w:sz w:val="21"/>
          <w:szCs w:val="21"/>
        </w:rPr>
        <w:t>3</w:t>
      </w:r>
      <w:r>
        <w:rPr>
          <w:rFonts w:hint="eastAsia" w:hAnsi="宋体" w:cs="宋体"/>
          <w:sz w:val="21"/>
          <w:szCs w:val="21"/>
        </w:rPr>
        <w:t>、采购人依法确定中标人后</w:t>
      </w:r>
      <w:r>
        <w:rPr>
          <w:rFonts w:hAnsi="宋体" w:cs="宋体"/>
          <w:sz w:val="21"/>
          <w:szCs w:val="21"/>
        </w:rPr>
        <w:t>2</w:t>
      </w:r>
      <w:r>
        <w:rPr>
          <w:rFonts w:hint="eastAsia" w:hAnsi="宋体" w:cs="宋体"/>
          <w:sz w:val="21"/>
          <w:szCs w:val="21"/>
        </w:rPr>
        <w:t>个工作日内，采购代理机构以书面形式发出《中标通知书》</w:t>
      </w:r>
      <w:r>
        <w:rPr>
          <w:rFonts w:hAnsi="宋体" w:cs="宋体"/>
          <w:sz w:val="21"/>
          <w:szCs w:val="21"/>
        </w:rPr>
        <w:t>,</w:t>
      </w:r>
      <w:r>
        <w:rPr>
          <w:rFonts w:hint="eastAsia" w:hAnsi="宋体" w:cs="宋体"/>
          <w:sz w:val="21"/>
          <w:szCs w:val="21"/>
        </w:rPr>
        <w:t>并同时在相关网站上发布中标公告。不在中标名单之列者即为落标人，采购代理机构不再以其它方式另行通知；</w:t>
      </w:r>
    </w:p>
    <w:p w14:paraId="33AC961E">
      <w:pPr>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、各参加政府采购活动的投标人认为该中标结果和采购过程等使自己的权益受到损害的，可以自本公告期限届满之日（自本公告发布之日起至第</w:t>
      </w:r>
      <w:r>
        <w:rPr>
          <w:rFonts w:ascii="宋体" w:hAnsi="宋体" w:cs="宋体"/>
          <w:szCs w:val="21"/>
        </w:rPr>
        <w:t>2</w:t>
      </w:r>
      <w:r>
        <w:rPr>
          <w:rFonts w:hint="eastAsia" w:ascii="宋体" w:hAnsi="宋体" w:cs="宋体"/>
          <w:szCs w:val="21"/>
        </w:rPr>
        <w:t>日</w:t>
      </w:r>
      <w:r>
        <w:rPr>
          <w:rFonts w:ascii="宋体" w:hAnsi="宋体" w:cs="宋体"/>
          <w:szCs w:val="21"/>
        </w:rPr>
        <w:t>24</w:t>
      </w:r>
      <w:r>
        <w:rPr>
          <w:rFonts w:hint="eastAsia" w:ascii="宋体" w:hAnsi="宋体" w:cs="宋体"/>
          <w:szCs w:val="21"/>
        </w:rPr>
        <w:t>时止）起</w:t>
      </w:r>
      <w:r>
        <w:rPr>
          <w:rFonts w:ascii="宋体" w:hAnsi="宋体" w:cs="宋体"/>
          <w:szCs w:val="21"/>
        </w:rPr>
        <w:t>7</w:t>
      </w:r>
      <w:r>
        <w:rPr>
          <w:rFonts w:hint="eastAsia" w:ascii="宋体" w:hAnsi="宋体" w:cs="宋体"/>
          <w:szCs w:val="21"/>
        </w:rPr>
        <w:t>个工作日内，以书面形式向采购人提出质疑。质疑投标人对采购人、采购代理机构的答复不满意或者采购人、采购代理机构未在规定的时间内作出答复的，可以再答复期满后十五个工作日内向同级政府采购监督管理部门投诉；</w:t>
      </w:r>
    </w:p>
    <w:p w14:paraId="119CB6D0">
      <w:pPr>
        <w:pStyle w:val="13"/>
        <w:snapToGrid w:val="0"/>
        <w:spacing w:before="120" w:after="120" w:line="360" w:lineRule="auto"/>
        <w:ind w:firstLine="211" w:firstLineChars="100"/>
        <w:outlineLvl w:val="1"/>
        <w:rPr>
          <w:rFonts w:hAnsi="宋体" w:cs="宋体"/>
          <w:b/>
          <w:sz w:val="21"/>
          <w:szCs w:val="21"/>
        </w:rPr>
      </w:pPr>
      <w:bookmarkStart w:id="83" w:name="_Toc17747"/>
      <w:r>
        <w:rPr>
          <w:rFonts w:hint="eastAsia" w:hAnsi="宋体" w:cs="宋体"/>
          <w:b/>
          <w:sz w:val="21"/>
          <w:szCs w:val="21"/>
        </w:rPr>
        <w:t>八、合同授予</w:t>
      </w:r>
      <w:bookmarkEnd w:id="83"/>
    </w:p>
    <w:p w14:paraId="3525E52C">
      <w:pPr>
        <w:snapToGrid w:val="0"/>
        <w:spacing w:line="360" w:lineRule="auto"/>
        <w:ind w:firstLine="413" w:firstLineChars="196"/>
        <w:rPr>
          <w:rFonts w:ascii="宋体" w:cs="宋体"/>
          <w:b/>
          <w:bCs/>
          <w:szCs w:val="21"/>
        </w:rPr>
      </w:pPr>
      <w:r>
        <w:rPr>
          <w:rFonts w:hint="eastAsia" w:ascii="宋体" w:hAnsi="宋体" w:cs="宋体"/>
          <w:b/>
          <w:bCs/>
          <w:szCs w:val="21"/>
        </w:rPr>
        <w:t>（一）签订合同</w:t>
      </w:r>
    </w:p>
    <w:p w14:paraId="4F3D6733">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、采购人与中标投标人应当在《中标通知书》发出之日起</w:t>
      </w:r>
      <w:r>
        <w:rPr>
          <w:rFonts w:ascii="宋体" w:hAnsi="宋体" w:cs="宋体"/>
          <w:b/>
          <w:szCs w:val="21"/>
          <w:u w:val="single"/>
        </w:rPr>
        <w:t>30</w:t>
      </w:r>
      <w:r>
        <w:rPr>
          <w:rFonts w:hint="eastAsia" w:ascii="宋体" w:hAnsi="宋体" w:cs="宋体"/>
          <w:szCs w:val="21"/>
        </w:rPr>
        <w:t>日内签订政府采购合同。同时，采购代理机构对合同内容进行审查，如发现与采购结果和投标承诺内容不一致的，应予以纠正；</w:t>
      </w:r>
    </w:p>
    <w:p w14:paraId="7526F1AC">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、中标投标人拖延、拒签合同的，将被取消中标资格。</w:t>
      </w:r>
    </w:p>
    <w:p w14:paraId="772F4F7C">
      <w:pPr>
        <w:pStyle w:val="13"/>
        <w:snapToGrid w:val="0"/>
        <w:spacing w:before="120" w:after="120" w:line="360" w:lineRule="auto"/>
        <w:ind w:firstLine="211" w:firstLineChars="100"/>
        <w:outlineLvl w:val="1"/>
        <w:rPr>
          <w:rFonts w:hAnsi="宋体" w:cs="宋体"/>
          <w:b/>
          <w:sz w:val="21"/>
          <w:szCs w:val="21"/>
          <w:highlight w:val="none"/>
        </w:rPr>
      </w:pPr>
      <w:bookmarkStart w:id="84" w:name="_Toc2054"/>
      <w:r>
        <w:rPr>
          <w:rFonts w:hint="eastAsia" w:hAnsi="宋体" w:cs="宋体"/>
          <w:b/>
          <w:sz w:val="21"/>
          <w:szCs w:val="21"/>
          <w:highlight w:val="none"/>
        </w:rPr>
        <w:t>九、特别说明</w:t>
      </w:r>
      <w:bookmarkEnd w:id="84"/>
    </w:p>
    <w:p w14:paraId="3702EE84">
      <w:pPr>
        <w:snapToGrid w:val="0"/>
        <w:spacing w:line="360" w:lineRule="auto"/>
        <w:ind w:firstLine="420"/>
        <w:rPr>
          <w:rFonts w:ascii="宋体" w:hAnsi="宋体" w:cs="宋体"/>
          <w:szCs w:val="21"/>
          <w:highlight w:val="none"/>
          <w:lang w:val="zh-CN"/>
        </w:rPr>
      </w:pPr>
      <w:r>
        <w:rPr>
          <w:rFonts w:hint="eastAsia" w:ascii="宋体" w:hAnsi="宋体" w:cs="宋体"/>
          <w:szCs w:val="21"/>
          <w:highlight w:val="none"/>
          <w:lang w:val="zh-CN"/>
        </w:rPr>
        <w:t>1、本项目</w:t>
      </w:r>
      <w:r>
        <w:rPr>
          <w:rFonts w:hint="eastAsia" w:ascii="宋体" w:hAnsi="宋体" w:cs="宋体"/>
          <w:szCs w:val="21"/>
          <w:highlight w:val="none"/>
          <w:u w:val="single"/>
          <w:lang w:val="zh-CN"/>
        </w:rPr>
        <w:t xml:space="preserve"> </w:t>
      </w:r>
      <w:r>
        <w:rPr>
          <w:rFonts w:hint="eastAsia" w:ascii="宋体" w:hAnsi="宋体" w:cs="宋体"/>
          <w:szCs w:val="21"/>
          <w:highlight w:val="none"/>
          <w:u w:val="single"/>
          <w:lang w:val="zh-CN" w:eastAsia="zh-CN"/>
        </w:rPr>
        <w:t>是</w:t>
      </w:r>
      <w:r>
        <w:rPr>
          <w:rFonts w:hint="eastAsia" w:hAnsi="宋体" w:cs="宋体"/>
          <w:szCs w:val="21"/>
          <w:highlight w:val="none"/>
          <w:u w:val="single"/>
        </w:rPr>
        <w:t xml:space="preserve"> </w:t>
      </w:r>
      <w:r>
        <w:rPr>
          <w:rFonts w:hint="eastAsia" w:ascii="宋体" w:hAnsi="宋体" w:cs="宋体"/>
          <w:szCs w:val="21"/>
          <w:highlight w:val="none"/>
          <w:lang w:val="zh-CN"/>
        </w:rPr>
        <w:t>专门面向中小企业采购。</w:t>
      </w:r>
    </w:p>
    <w:p w14:paraId="2E35BE53">
      <w:pPr>
        <w:snapToGrid w:val="0"/>
        <w:spacing w:line="360" w:lineRule="auto"/>
        <w:ind w:firstLine="420"/>
        <w:rPr>
          <w:rFonts w:ascii="宋体" w:hAnsi="宋体" w:cs="宋体"/>
          <w:szCs w:val="21"/>
          <w:highlight w:val="none"/>
          <w:lang w:val="zh-CN"/>
        </w:rPr>
      </w:pPr>
      <w:r>
        <w:rPr>
          <w:rFonts w:hint="eastAsia" w:ascii="宋体" w:hAnsi="宋体" w:cs="宋体"/>
          <w:szCs w:val="21"/>
          <w:highlight w:val="none"/>
          <w:lang w:val="zh-CN"/>
        </w:rPr>
        <w:t>2、本项目对应的中小企业划分标准所属行业：</w:t>
      </w:r>
      <w:r>
        <w:rPr>
          <w:rFonts w:hint="eastAsia" w:hAnsi="宋体" w:cs="宋体"/>
          <w:szCs w:val="21"/>
          <w:highlight w:val="none"/>
          <w:u w:val="single"/>
        </w:rPr>
        <w:t xml:space="preserve"> 其他未列明行业 </w:t>
      </w:r>
      <w:r>
        <w:rPr>
          <w:rFonts w:hint="eastAsia" w:ascii="宋体" w:hAnsi="宋体" w:cs="宋体"/>
          <w:szCs w:val="21"/>
          <w:highlight w:val="none"/>
          <w:lang w:val="zh-CN"/>
        </w:rPr>
        <w:t xml:space="preserve">。 </w:t>
      </w:r>
    </w:p>
    <w:p w14:paraId="142294D7">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E1B74BB">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zh-CN"/>
        </w:rPr>
        <w:t>符合中小企业划分标准的个体工商户，在政府采购活动中视同中小企业。</w:t>
      </w:r>
    </w:p>
    <w:p w14:paraId="0179F07E">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FADBC1">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zh-CN"/>
        </w:rPr>
        <w:t>以联合体形式参加政府采购活动，联合体各方均为中小企业的，联合体视同中小企业。其中，联合体各方均为小微企业的，联合体视同小微企业。</w:t>
      </w:r>
    </w:p>
    <w:p w14:paraId="30D512BF">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F32C3F">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符合《关于促进残疾人就业政府采购政策的通知》（财库〔2017〕141号）规定的条件并提供《残疾人福利性单位声明函》（附件1）的残疾人福利性单位视同小型、微型企业；</w:t>
      </w:r>
    </w:p>
    <w:p w14:paraId="72E3822C">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2BD94DD">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E2950F">
      <w:pPr>
        <w:snapToGrid w:val="0"/>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中小企业享受扶持政策获得政府采购合同的，小微企业不得将合同分包给大中型企业，中型企业不得将合同分包给大型企业。</w:t>
      </w:r>
    </w:p>
    <w:p w14:paraId="5103CAA1">
      <w:pPr>
        <w:snapToGrid w:val="0"/>
        <w:spacing w:line="360" w:lineRule="auto"/>
        <w:ind w:firstLine="420" w:firstLineChars="200"/>
        <w:rPr>
          <w:rFonts w:ascii="宋体" w:cs="宋体"/>
          <w:szCs w:val="21"/>
        </w:rPr>
      </w:pPr>
    </w:p>
    <w:p w14:paraId="7EBCE10A">
      <w:pPr>
        <w:pStyle w:val="13"/>
        <w:snapToGrid w:val="0"/>
        <w:spacing w:beforeLines="0" w:after="120" w:line="360" w:lineRule="auto"/>
        <w:jc w:val="center"/>
        <w:outlineLvl w:val="0"/>
        <w:rPr>
          <w:rFonts w:hAnsi="宋体" w:cs="宋体"/>
          <w:b/>
          <w:sz w:val="30"/>
          <w:szCs w:val="30"/>
          <w:highlight w:val="none"/>
        </w:rPr>
      </w:pPr>
      <w:r>
        <w:rPr>
          <w:rFonts w:hAnsi="宋体" w:cs="宋体"/>
          <w:b/>
          <w:sz w:val="30"/>
          <w:szCs w:val="30"/>
        </w:rPr>
        <w:br w:type="page"/>
      </w:r>
      <w:bookmarkStart w:id="85" w:name="_Toc275"/>
      <w:r>
        <w:rPr>
          <w:rFonts w:hint="eastAsia" w:hAnsi="宋体" w:cs="宋体"/>
          <w:b/>
          <w:sz w:val="30"/>
          <w:szCs w:val="30"/>
          <w:highlight w:val="none"/>
        </w:rPr>
        <w:t>第四章 评标办法及评分标准</w:t>
      </w:r>
      <w:bookmarkEnd w:id="85"/>
    </w:p>
    <w:p w14:paraId="17140976">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本办法严格遵照《中华人民共和国政府采购法》、《政府采购货物和服务招标投标管理办法》、《中华人民共和国政府采购法实施条例》等规定，结合项目所在地政府有关政府采购规定和项目的实际情况制定。</w:t>
      </w:r>
      <w:r>
        <w:rPr>
          <w:rFonts w:hint="eastAsia"/>
          <w:b/>
          <w:szCs w:val="21"/>
          <w:highlight w:val="none"/>
        </w:rPr>
        <w:t>本项目是专门面向中小企业/小微企业采购，满足要求的供应商不再享受价格扣除优惠</w:t>
      </w:r>
      <w:r>
        <w:rPr>
          <w:szCs w:val="21"/>
          <w:highlight w:val="none"/>
        </w:rPr>
        <w:t>。</w:t>
      </w:r>
    </w:p>
    <w:p w14:paraId="43F5395E">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ascii="宋体" w:cs="宋体"/>
          <w:b/>
          <w:szCs w:val="21"/>
        </w:rPr>
      </w:pPr>
      <w:r>
        <w:rPr>
          <w:rFonts w:hint="eastAsia" w:ascii="宋体" w:hAnsi="宋体" w:cs="宋体"/>
          <w:b/>
          <w:szCs w:val="21"/>
        </w:rPr>
        <w:t>一、总则</w:t>
      </w:r>
    </w:p>
    <w:p w14:paraId="0C51277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09BF42D7">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ascii="宋体" w:cs="宋体"/>
          <w:b/>
          <w:szCs w:val="21"/>
        </w:rPr>
      </w:pPr>
      <w:r>
        <w:rPr>
          <w:rFonts w:hint="eastAsia" w:ascii="宋体" w:hAnsi="宋体" w:cs="宋体"/>
          <w:b/>
          <w:szCs w:val="21"/>
        </w:rPr>
        <w:t>二、评标组织</w:t>
      </w:r>
    </w:p>
    <w:p w14:paraId="32C0062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ascii="宋体" w:cs="宋体"/>
          <w:szCs w:val="21"/>
        </w:rPr>
      </w:pPr>
      <w:r>
        <w:rPr>
          <w:rFonts w:hint="eastAsia" w:ascii="宋体" w:hAnsi="宋体" w:cs="宋体"/>
          <w:szCs w:val="21"/>
        </w:rPr>
        <w:t>评标委员会：依法组建评标委员会。评标委员会由采购人、技术、经济方面专家等有关人员组成。</w:t>
      </w:r>
    </w:p>
    <w:p w14:paraId="68827E79">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ascii="宋体" w:hAnsi="宋体" w:cs="宋体"/>
          <w:b/>
          <w:szCs w:val="21"/>
        </w:rPr>
      </w:pPr>
      <w:r>
        <w:rPr>
          <w:rFonts w:hint="eastAsia" w:ascii="宋体" w:hAnsi="宋体" w:cs="宋体"/>
          <w:b/>
          <w:szCs w:val="21"/>
        </w:rPr>
        <w:t>评标程序</w:t>
      </w:r>
    </w:p>
    <w:p w14:paraId="5389BCFC">
      <w:pPr>
        <w:keepNext w:val="0"/>
        <w:keepLines w:val="0"/>
        <w:pageBreakBefore w:val="0"/>
        <w:widowControl w:val="0"/>
        <w:tabs>
          <w:tab w:val="left" w:pos="2160"/>
        </w:tabs>
        <w:kinsoku/>
        <w:wordWrap/>
        <w:overflowPunct/>
        <w:topLinePunct w:val="0"/>
        <w:autoSpaceDE/>
        <w:autoSpaceDN/>
        <w:bidi w:val="0"/>
        <w:adjustRightInd/>
        <w:spacing w:line="480" w:lineRule="exact"/>
        <w:ind w:firstLine="420" w:firstLineChars="200"/>
        <w:textAlignment w:val="auto"/>
      </w:pPr>
      <w:r>
        <w:rPr>
          <w:rFonts w:hint="eastAsia"/>
        </w:rPr>
        <w:t>（1）</w:t>
      </w:r>
      <w:r>
        <w:t>按照投标的顺序依次开标，按照招标内容分类分段依次唱标</w:t>
      </w:r>
      <w:r>
        <w:rPr>
          <w:rFonts w:hint="eastAsia"/>
        </w:rPr>
        <w:t>；</w:t>
      </w:r>
    </w:p>
    <w:p w14:paraId="07F89E3C">
      <w:pPr>
        <w:keepNext w:val="0"/>
        <w:keepLines w:val="0"/>
        <w:pageBreakBefore w:val="0"/>
        <w:widowControl w:val="0"/>
        <w:tabs>
          <w:tab w:val="left" w:pos="2160"/>
        </w:tabs>
        <w:kinsoku/>
        <w:wordWrap/>
        <w:overflowPunct/>
        <w:topLinePunct w:val="0"/>
        <w:autoSpaceDE/>
        <w:autoSpaceDN/>
        <w:bidi w:val="0"/>
        <w:adjustRightInd/>
        <w:spacing w:line="480" w:lineRule="exact"/>
        <w:ind w:firstLine="420" w:firstLineChars="200"/>
        <w:textAlignment w:val="auto"/>
      </w:pPr>
      <w:r>
        <w:t>开标时，先开</w:t>
      </w:r>
      <w:r>
        <w:rPr>
          <w:rFonts w:hint="eastAsia"/>
        </w:rPr>
        <w:t>资格审查文件、</w:t>
      </w:r>
      <w:r>
        <w:t>技术商务文件，待技术商务文件</w:t>
      </w:r>
      <w:r>
        <w:rPr>
          <w:rFonts w:hint="eastAsia"/>
        </w:rPr>
        <w:t>、资格审查文件</w:t>
      </w:r>
      <w:r>
        <w:t>评审结束后开启投标报价文件。如技术商务文件</w:t>
      </w:r>
      <w:r>
        <w:rPr>
          <w:rFonts w:hint="eastAsia"/>
        </w:rPr>
        <w:t>、资格审查文件</w:t>
      </w:r>
      <w:r>
        <w:t>经评审确定为无效</w:t>
      </w:r>
      <w:r>
        <w:rPr>
          <w:rFonts w:hint="eastAsia"/>
        </w:rPr>
        <w:t>标</w:t>
      </w:r>
      <w:r>
        <w:t>的投标单位则不能进行报价文件的评审，作为无效标处理</w:t>
      </w:r>
      <w:r>
        <w:rPr>
          <w:rFonts w:hint="eastAsia"/>
        </w:rPr>
        <w:t>；</w:t>
      </w:r>
    </w:p>
    <w:p w14:paraId="5511AF74">
      <w:pPr>
        <w:keepNext w:val="0"/>
        <w:keepLines w:val="0"/>
        <w:pageBreakBefore w:val="0"/>
        <w:widowControl w:val="0"/>
        <w:tabs>
          <w:tab w:val="left" w:pos="2160"/>
        </w:tabs>
        <w:kinsoku/>
        <w:wordWrap/>
        <w:overflowPunct/>
        <w:topLinePunct w:val="0"/>
        <w:autoSpaceDE/>
        <w:autoSpaceDN/>
        <w:bidi w:val="0"/>
        <w:adjustRightInd/>
        <w:spacing w:line="480" w:lineRule="exact"/>
        <w:ind w:firstLine="420" w:firstLineChars="200"/>
        <w:textAlignment w:val="auto"/>
      </w:pPr>
      <w:r>
        <w:rPr>
          <w:rFonts w:hint="eastAsia"/>
        </w:rPr>
        <w:t>（</w:t>
      </w:r>
      <w:r>
        <w:t>2</w:t>
      </w:r>
      <w:r>
        <w:rPr>
          <w:rFonts w:hint="eastAsia"/>
        </w:rPr>
        <w:t>）评审顺序按标段序号依次评审，各标段选择不同的中标人，即投标人获得一个标段的第一中标候选人资格后，不得参与后续标段的评审。</w:t>
      </w:r>
    </w:p>
    <w:p w14:paraId="3AC7656B">
      <w:pPr>
        <w:keepNext w:val="0"/>
        <w:keepLines w:val="0"/>
        <w:pageBreakBefore w:val="0"/>
        <w:widowControl w:val="0"/>
        <w:tabs>
          <w:tab w:val="left" w:pos="2160"/>
        </w:tabs>
        <w:kinsoku/>
        <w:wordWrap/>
        <w:overflowPunct/>
        <w:topLinePunct w:val="0"/>
        <w:autoSpaceDE/>
        <w:autoSpaceDN/>
        <w:bidi w:val="0"/>
        <w:adjustRightInd/>
        <w:spacing w:line="480" w:lineRule="exact"/>
        <w:ind w:firstLine="420" w:firstLineChars="200"/>
        <w:textAlignment w:val="auto"/>
      </w:pPr>
      <w:r>
        <w:rPr>
          <w:rFonts w:hint="eastAsia"/>
        </w:rPr>
        <w:t>详见第三章《投标人须知》</w:t>
      </w:r>
    </w:p>
    <w:p w14:paraId="2C508E98">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ascii="宋体" w:cs="宋体"/>
          <w:b/>
          <w:szCs w:val="21"/>
        </w:rPr>
      </w:pPr>
      <w:r>
        <w:rPr>
          <w:rFonts w:hint="eastAsia" w:ascii="宋体" w:hAnsi="宋体" w:cs="宋体"/>
          <w:b/>
          <w:szCs w:val="21"/>
        </w:rPr>
        <w:t>四、评标过程</w:t>
      </w:r>
    </w:p>
    <w:p w14:paraId="0FEF1802">
      <w:pPr>
        <w:keepNext w:val="0"/>
        <w:keepLines w:val="0"/>
        <w:pageBreakBefore w:val="0"/>
        <w:widowControl w:val="0"/>
        <w:kinsoku/>
        <w:wordWrap/>
        <w:overflowPunct/>
        <w:topLinePunct w:val="0"/>
        <w:autoSpaceDE/>
        <w:autoSpaceDN/>
        <w:bidi w:val="0"/>
        <w:adjustRightInd/>
        <w:spacing w:line="480" w:lineRule="exact"/>
        <w:ind w:firstLine="378" w:firstLineChars="180"/>
        <w:textAlignment w:val="auto"/>
        <w:rPr>
          <w:rFonts w:ascii="宋体" w:cs="宋体"/>
          <w:szCs w:val="21"/>
        </w:rPr>
      </w:pPr>
      <w:r>
        <w:rPr>
          <w:rFonts w:hint="eastAsia" w:ascii="宋体" w:hAnsi="宋体"/>
        </w:rPr>
        <w:t>详见第三章《投标人须知》</w:t>
      </w:r>
    </w:p>
    <w:p w14:paraId="01E8CBD0">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ascii="宋体" w:cs="宋体"/>
          <w:b/>
          <w:szCs w:val="21"/>
        </w:rPr>
      </w:pPr>
      <w:r>
        <w:rPr>
          <w:rFonts w:hint="eastAsia" w:ascii="宋体" w:hAnsi="宋体" w:cs="宋体"/>
          <w:b/>
          <w:szCs w:val="21"/>
        </w:rPr>
        <w:t>五、中标原则</w:t>
      </w:r>
    </w:p>
    <w:p w14:paraId="148280D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ascii="宋体" w:cs="宋体"/>
          <w:szCs w:val="21"/>
          <w:highlight w:val="none"/>
        </w:rPr>
      </w:pPr>
      <w:r>
        <w:rPr>
          <w:rFonts w:hint="eastAsia" w:ascii="宋体" w:hAnsi="宋体" w:cs="宋体"/>
          <w:szCs w:val="21"/>
          <w:highlight w:val="none"/>
        </w:rPr>
        <w:t>评标小组在审标、询标的基础上根据事先制定的评标办法对各投标人的投标文件进行评定，</w:t>
      </w:r>
      <w:r>
        <w:rPr>
          <w:rFonts w:hint="eastAsia" w:ascii="宋体" w:hAnsi="宋体" w:cs="宋体"/>
          <w:szCs w:val="21"/>
          <w:highlight w:val="none"/>
          <w:lang w:eastAsia="zh-CN"/>
        </w:rPr>
        <w:t>各标段</w:t>
      </w:r>
      <w:r>
        <w:rPr>
          <w:rFonts w:hint="eastAsia" w:ascii="宋体" w:hAnsi="宋体" w:cs="宋体"/>
          <w:szCs w:val="21"/>
          <w:highlight w:val="none"/>
        </w:rPr>
        <w:t>推荐综合得分第一的投标人为</w:t>
      </w:r>
      <w:r>
        <w:rPr>
          <w:rFonts w:hint="eastAsia" w:ascii="宋体" w:hAnsi="宋体" w:cs="宋体"/>
          <w:szCs w:val="21"/>
          <w:highlight w:val="none"/>
          <w:lang w:eastAsia="zh-CN"/>
        </w:rPr>
        <w:t>该标段的</w:t>
      </w:r>
      <w:r>
        <w:rPr>
          <w:rFonts w:hint="eastAsia" w:ascii="宋体" w:hAnsi="宋体" w:cs="宋体"/>
          <w:szCs w:val="21"/>
          <w:highlight w:val="none"/>
        </w:rPr>
        <w:t>中标候选人。</w:t>
      </w:r>
    </w:p>
    <w:p w14:paraId="7BC01EA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ascii="宋体" w:cs="宋体"/>
          <w:szCs w:val="21"/>
        </w:rPr>
      </w:pPr>
      <w:r>
        <w:rPr>
          <w:rFonts w:hint="eastAsia" w:ascii="宋体" w:hAnsi="宋体" w:cs="宋体"/>
          <w:szCs w:val="21"/>
        </w:rPr>
        <w:t>六、中标结果</w:t>
      </w:r>
    </w:p>
    <w:p w14:paraId="2DB4D07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ascii="宋体" w:cs="宋体"/>
          <w:szCs w:val="21"/>
        </w:rPr>
      </w:pPr>
      <w:r>
        <w:rPr>
          <w:rFonts w:hint="eastAsia" w:ascii="宋体" w:hAnsi="宋体" w:cs="宋体"/>
          <w:szCs w:val="21"/>
        </w:rPr>
        <w:t>采购机构将中标结果在招标公告发布的网站上公示，根据公示和决标结果，向中标人发出中标通知书。</w:t>
      </w:r>
    </w:p>
    <w:p w14:paraId="12E67C9F">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ascii="宋体" w:cs="宋体"/>
          <w:b/>
          <w:szCs w:val="21"/>
        </w:rPr>
      </w:pPr>
      <w:r>
        <w:rPr>
          <w:rFonts w:hint="eastAsia" w:ascii="宋体" w:hAnsi="宋体" w:cs="宋体"/>
          <w:b/>
          <w:szCs w:val="21"/>
        </w:rPr>
        <w:t>如中标人因自身原因放弃中标或因不可抗力不能履行合同的，则重新招标。</w:t>
      </w:r>
    </w:p>
    <w:p w14:paraId="0D2E58C7">
      <w:pPr>
        <w:snapToGrid w:val="0"/>
        <w:spacing w:line="480" w:lineRule="exact"/>
        <w:jc w:val="center"/>
        <w:rPr>
          <w:rFonts w:hint="eastAsia" w:ascii="宋体" w:hAnsi="宋体" w:cs="宋体"/>
          <w:b/>
          <w:sz w:val="24"/>
          <w:lang w:val="zh-CN"/>
        </w:rPr>
      </w:pPr>
    </w:p>
    <w:p w14:paraId="2FCA78BB">
      <w:pPr>
        <w:snapToGrid w:val="0"/>
        <w:spacing w:line="480" w:lineRule="exact"/>
        <w:jc w:val="center"/>
        <w:rPr>
          <w:rFonts w:hint="eastAsia" w:ascii="宋体" w:hAnsi="宋体" w:cs="宋体"/>
          <w:b/>
          <w:sz w:val="24"/>
          <w:lang w:val="zh-CN"/>
        </w:rPr>
      </w:pPr>
      <w:r>
        <w:rPr>
          <w:rFonts w:hint="eastAsia" w:ascii="宋体" w:hAnsi="宋体" w:cs="宋体"/>
          <w:b/>
          <w:sz w:val="24"/>
          <w:lang w:val="zh-CN"/>
        </w:rPr>
        <w:t>宁海县交通运输局2025年公路绿化养护服务采购</w:t>
      </w:r>
      <w:r>
        <w:rPr>
          <w:rFonts w:hint="eastAsia" w:ascii="宋体" w:hAnsi="宋体" w:cs="宋体"/>
          <w:b/>
          <w:sz w:val="24"/>
          <w:lang w:val="zh-CN" w:eastAsia="zh-CN"/>
        </w:rPr>
        <w:t>（第二批）</w:t>
      </w:r>
      <w:r>
        <w:rPr>
          <w:rFonts w:hint="eastAsia" w:ascii="宋体" w:hAnsi="宋体" w:cs="宋体"/>
          <w:b/>
          <w:sz w:val="24"/>
          <w:lang w:val="zh-CN"/>
        </w:rPr>
        <w:t>评分表</w:t>
      </w:r>
    </w:p>
    <w:p w14:paraId="3B37723D">
      <w:pPr>
        <w:snapToGrid w:val="0"/>
        <w:spacing w:line="480" w:lineRule="exact"/>
        <w:jc w:val="center"/>
        <w:rPr>
          <w:rFonts w:hint="eastAsia" w:ascii="宋体" w:hAnsi="宋体" w:cs="宋体"/>
          <w:b/>
          <w:sz w:val="24"/>
          <w:lang w:val="zh-CN"/>
        </w:rPr>
      </w:pPr>
      <w:r>
        <w:rPr>
          <w:rFonts w:hint="eastAsia" w:ascii="宋体" w:hAnsi="宋体" w:cs="宋体"/>
          <w:b/>
          <w:sz w:val="24"/>
          <w:lang w:val="zh-CN"/>
        </w:rPr>
        <w:t>（适用所有标段）</w:t>
      </w:r>
    </w:p>
    <w:tbl>
      <w:tblPr>
        <w:tblStyle w:val="28"/>
        <w:tblpPr w:leftFromText="180" w:rightFromText="180" w:vertAnchor="text" w:horzAnchor="page" w:tblpX="920" w:tblpY="481"/>
        <w:tblOverlap w:val="never"/>
        <w:tblW w:w="10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877"/>
        <w:gridCol w:w="972"/>
        <w:gridCol w:w="321"/>
        <w:gridCol w:w="6290"/>
        <w:gridCol w:w="767"/>
        <w:gridCol w:w="867"/>
      </w:tblGrid>
      <w:tr w14:paraId="1A27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9030" w:type="dxa"/>
            <w:gridSpan w:val="5"/>
            <w:tcBorders>
              <w:left w:val="single" w:color="auto" w:sz="4" w:space="0"/>
              <w:right w:val="single" w:color="auto" w:sz="2" w:space="0"/>
            </w:tcBorders>
            <w:vAlign w:val="center"/>
          </w:tcPr>
          <w:p w14:paraId="715F3D78">
            <w:pPr>
              <w:spacing w:line="320" w:lineRule="exact"/>
              <w:ind w:right="162"/>
              <w:jc w:val="center"/>
              <w:rPr>
                <w:szCs w:val="21"/>
              </w:rPr>
            </w:pPr>
            <w:r>
              <w:rPr>
                <w:szCs w:val="21"/>
              </w:rPr>
              <w:t>评分项及分值</w:t>
            </w:r>
          </w:p>
        </w:tc>
        <w:tc>
          <w:tcPr>
            <w:tcW w:w="767" w:type="dxa"/>
            <w:tcBorders>
              <w:left w:val="single" w:color="auto" w:sz="4" w:space="0"/>
              <w:right w:val="single" w:color="auto" w:sz="4" w:space="0"/>
            </w:tcBorders>
            <w:vAlign w:val="center"/>
          </w:tcPr>
          <w:p w14:paraId="75A8F159">
            <w:pPr>
              <w:spacing w:line="320" w:lineRule="exact"/>
              <w:ind w:right="162"/>
              <w:jc w:val="center"/>
              <w:rPr>
                <w:rFonts w:hint="eastAsia" w:eastAsia="宋体"/>
                <w:szCs w:val="21"/>
                <w:lang w:eastAsia="zh-CN"/>
              </w:rPr>
            </w:pPr>
            <w:r>
              <w:rPr>
                <w:rFonts w:hint="eastAsia"/>
                <w:szCs w:val="21"/>
                <w:lang w:eastAsia="zh-CN"/>
              </w:rPr>
              <w:t>分值</w:t>
            </w:r>
          </w:p>
        </w:tc>
        <w:tc>
          <w:tcPr>
            <w:tcW w:w="867" w:type="dxa"/>
            <w:tcBorders>
              <w:left w:val="single" w:color="auto" w:sz="4" w:space="0"/>
              <w:right w:val="single" w:color="auto" w:sz="4" w:space="0"/>
            </w:tcBorders>
            <w:vAlign w:val="center"/>
          </w:tcPr>
          <w:p w14:paraId="4DC9DEF2">
            <w:pPr>
              <w:spacing w:line="320" w:lineRule="exact"/>
              <w:ind w:right="162"/>
              <w:jc w:val="center"/>
              <w:rPr>
                <w:rFonts w:hint="eastAsia" w:eastAsia="宋体"/>
                <w:szCs w:val="21"/>
                <w:lang w:eastAsia="zh-CN"/>
              </w:rPr>
            </w:pPr>
            <w:r>
              <w:rPr>
                <w:rFonts w:hint="eastAsia"/>
                <w:szCs w:val="21"/>
                <w:lang w:eastAsia="zh-CN"/>
              </w:rPr>
              <w:t>分值类型</w:t>
            </w:r>
          </w:p>
        </w:tc>
      </w:tr>
      <w:tr w14:paraId="5B69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8" w:hRule="atLeast"/>
        </w:trPr>
        <w:tc>
          <w:tcPr>
            <w:tcW w:w="570" w:type="dxa"/>
            <w:vMerge w:val="restart"/>
            <w:tcBorders>
              <w:left w:val="single" w:color="auto" w:sz="4" w:space="0"/>
              <w:right w:val="single" w:color="auto" w:sz="2" w:space="0"/>
            </w:tcBorders>
            <w:vAlign w:val="center"/>
          </w:tcPr>
          <w:p w14:paraId="744DFA91">
            <w:pPr>
              <w:spacing w:line="320" w:lineRule="exact"/>
              <w:ind w:right="162"/>
              <w:jc w:val="center"/>
              <w:rPr>
                <w:szCs w:val="21"/>
              </w:rPr>
            </w:pPr>
            <w:r>
              <w:rPr>
                <w:szCs w:val="21"/>
              </w:rPr>
              <w:t>技术</w:t>
            </w:r>
            <w:r>
              <w:rPr>
                <w:rFonts w:hint="eastAsia"/>
                <w:szCs w:val="21"/>
              </w:rPr>
              <w:t>商务</w:t>
            </w:r>
          </w:p>
          <w:p w14:paraId="293325D0">
            <w:pPr>
              <w:spacing w:line="320" w:lineRule="exact"/>
              <w:ind w:right="162"/>
              <w:jc w:val="center"/>
              <w:rPr>
                <w:szCs w:val="21"/>
              </w:rPr>
            </w:pPr>
            <w:r>
              <w:rPr>
                <w:rFonts w:hint="eastAsia"/>
                <w:szCs w:val="21"/>
              </w:rPr>
              <w:t>资信分</w:t>
            </w:r>
            <w:r>
              <w:rPr>
                <w:rFonts w:hint="eastAsia"/>
                <w:szCs w:val="21"/>
                <w:lang w:val="en-US" w:eastAsia="zh-CN"/>
              </w:rPr>
              <w:t>70</w:t>
            </w:r>
            <w:r>
              <w:rPr>
                <w:szCs w:val="21"/>
              </w:rPr>
              <w:t>分</w:t>
            </w:r>
          </w:p>
        </w:tc>
        <w:tc>
          <w:tcPr>
            <w:tcW w:w="877" w:type="dxa"/>
            <w:vMerge w:val="restart"/>
            <w:tcBorders>
              <w:top w:val="single" w:color="auto" w:sz="2" w:space="0"/>
              <w:left w:val="single" w:color="auto" w:sz="2" w:space="0"/>
              <w:right w:val="single" w:color="auto" w:sz="2" w:space="0"/>
            </w:tcBorders>
            <w:vAlign w:val="center"/>
          </w:tcPr>
          <w:p w14:paraId="3C9E2F39">
            <w:pPr>
              <w:spacing w:line="276" w:lineRule="auto"/>
              <w:ind w:right="162"/>
              <w:jc w:val="left"/>
              <w:rPr>
                <w:szCs w:val="21"/>
              </w:rPr>
            </w:pPr>
            <w:bookmarkStart w:id="86" w:name="OLE_LINK29"/>
            <w:r>
              <w:rPr>
                <w:rFonts w:hint="eastAsia"/>
                <w:szCs w:val="21"/>
              </w:rPr>
              <w:t>规章制度（</w:t>
            </w:r>
            <w:r>
              <w:rPr>
                <w:rFonts w:hint="eastAsia"/>
                <w:szCs w:val="21"/>
                <w:lang w:val="en-US" w:eastAsia="zh-CN"/>
              </w:rPr>
              <w:t>15</w:t>
            </w:r>
            <w:r>
              <w:rPr>
                <w:rFonts w:hint="eastAsia"/>
                <w:szCs w:val="21"/>
              </w:rPr>
              <w:t>分）</w:t>
            </w:r>
            <w:bookmarkEnd w:id="86"/>
          </w:p>
        </w:tc>
        <w:tc>
          <w:tcPr>
            <w:tcW w:w="1293" w:type="dxa"/>
            <w:gridSpan w:val="2"/>
            <w:vMerge w:val="restart"/>
            <w:tcBorders>
              <w:top w:val="single" w:color="auto" w:sz="2" w:space="0"/>
              <w:left w:val="single" w:color="auto" w:sz="2" w:space="0"/>
              <w:right w:val="single" w:color="auto" w:sz="4" w:space="0"/>
            </w:tcBorders>
            <w:vAlign w:val="center"/>
          </w:tcPr>
          <w:p w14:paraId="0F2F73F9">
            <w:pPr>
              <w:spacing w:line="276" w:lineRule="auto"/>
              <w:ind w:right="162"/>
              <w:jc w:val="left"/>
            </w:pPr>
            <w:bookmarkStart w:id="87" w:name="OLE_LINK28"/>
            <w:r>
              <w:rPr>
                <w:rFonts w:hint="eastAsia"/>
                <w:lang w:val="en-US" w:eastAsia="zh-CN"/>
              </w:rPr>
              <w:t>1、</w:t>
            </w:r>
            <w:r>
              <w:t>各项管理制度与内部考核细则</w:t>
            </w:r>
            <w:r>
              <w:tab/>
            </w:r>
          </w:p>
          <w:bookmarkEnd w:id="87"/>
          <w:p w14:paraId="078911DC">
            <w:pPr>
              <w:spacing w:line="276" w:lineRule="auto"/>
              <w:ind w:right="162"/>
              <w:jc w:val="left"/>
            </w:pPr>
          </w:p>
        </w:tc>
        <w:tc>
          <w:tcPr>
            <w:tcW w:w="6290" w:type="dxa"/>
            <w:tcBorders>
              <w:top w:val="single" w:color="auto" w:sz="2" w:space="0"/>
              <w:left w:val="single" w:color="auto" w:sz="4" w:space="0"/>
              <w:bottom w:val="single" w:color="auto" w:sz="4" w:space="0"/>
              <w:right w:val="single" w:color="auto" w:sz="2" w:space="0"/>
            </w:tcBorders>
            <w:vAlign w:val="center"/>
          </w:tcPr>
          <w:p w14:paraId="21860096">
            <w:pPr>
              <w:numPr>
                <w:ilvl w:val="0"/>
                <w:numId w:val="10"/>
              </w:numPr>
              <w:spacing w:line="276" w:lineRule="auto"/>
              <w:ind w:right="162"/>
              <w:jc w:val="left"/>
            </w:pPr>
            <w:bookmarkStart w:id="88" w:name="OLE_LINK30"/>
            <w:r>
              <w:rPr>
                <w:rFonts w:hint="eastAsia"/>
              </w:rPr>
              <w:t>依据考核要求制定切实可行的考核办法等方面内容进行评比。</w:t>
            </w:r>
          </w:p>
          <w:bookmarkEnd w:id="88"/>
          <w:p w14:paraId="69AFAC9C">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①考核制度规范，可以有效实施的得</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分；</w:t>
            </w:r>
          </w:p>
          <w:p w14:paraId="495B80F6">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②考核制度</w:t>
            </w:r>
            <w:r>
              <w:rPr>
                <w:rFonts w:hint="eastAsia" w:ascii="宋体" w:hAnsi="宋体" w:cs="宋体"/>
                <w:bCs/>
                <w:color w:val="auto"/>
                <w:kern w:val="0"/>
                <w:sz w:val="21"/>
                <w:szCs w:val="21"/>
                <w:highlight w:val="none"/>
                <w:lang w:val="en-US" w:eastAsia="zh-CN"/>
              </w:rPr>
              <w:t>较规范</w:t>
            </w:r>
            <w:r>
              <w:rPr>
                <w:rFonts w:hint="eastAsia" w:ascii="宋体" w:hAnsi="宋体" w:cs="宋体"/>
                <w:bCs/>
                <w:color w:val="auto"/>
                <w:kern w:val="0"/>
                <w:sz w:val="21"/>
                <w:szCs w:val="21"/>
                <w:highlight w:val="none"/>
              </w:rPr>
              <w:t>，可以实施的得</w:t>
            </w:r>
            <w:r>
              <w:rPr>
                <w:rFonts w:hint="eastAsia" w:ascii="宋体" w:hAnsi="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rPr>
              <w:t>分；</w:t>
            </w:r>
          </w:p>
          <w:p w14:paraId="59BC7EB0">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③未能明确阐述考核制度</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存在缺陷，有待改进的得</w:t>
            </w: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rPr>
              <w:t>分；</w:t>
            </w:r>
          </w:p>
          <w:p w14:paraId="2E4E3E3B">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④未提供考核制度，实行上略有欠缺的得</w:t>
            </w:r>
            <w:r>
              <w:rPr>
                <w:rFonts w:hint="eastAsia" w:ascii="宋体" w:hAnsi="宋体" w:cs="宋体"/>
                <w:bCs/>
                <w:color w:val="auto"/>
                <w:kern w:val="0"/>
                <w:sz w:val="21"/>
                <w:szCs w:val="21"/>
                <w:highlight w:val="none"/>
                <w:lang w:val="en-US" w:eastAsia="zh-CN"/>
              </w:rPr>
              <w:t>0.5</w:t>
            </w:r>
            <w:r>
              <w:rPr>
                <w:rFonts w:hint="eastAsia" w:ascii="宋体" w:hAnsi="宋体" w:cs="宋体"/>
                <w:bCs/>
                <w:color w:val="auto"/>
                <w:kern w:val="0"/>
                <w:sz w:val="21"/>
                <w:szCs w:val="21"/>
                <w:highlight w:val="none"/>
              </w:rPr>
              <w:t>分；</w:t>
            </w:r>
          </w:p>
          <w:p w14:paraId="6B89412D">
            <w:pPr>
              <w:spacing w:line="276" w:lineRule="auto"/>
              <w:ind w:right="162"/>
              <w:jc w:val="left"/>
              <w:rPr>
                <w:rFonts w:hint="eastAsia"/>
              </w:rPr>
            </w:pPr>
            <w:r>
              <w:rPr>
                <w:rFonts w:hint="eastAsia" w:ascii="宋体" w:hAnsi="宋体" w:cs="宋体"/>
                <w:bCs/>
                <w:color w:val="auto"/>
                <w:kern w:val="0"/>
                <w:sz w:val="21"/>
                <w:szCs w:val="21"/>
                <w:highlight w:val="none"/>
              </w:rPr>
              <w:t>⑤未提供相关内容的不得分。</w:t>
            </w:r>
          </w:p>
        </w:tc>
        <w:tc>
          <w:tcPr>
            <w:tcW w:w="767" w:type="dxa"/>
            <w:tcBorders>
              <w:top w:val="single" w:color="auto" w:sz="2" w:space="0"/>
              <w:left w:val="single" w:color="auto" w:sz="2" w:space="0"/>
              <w:bottom w:val="single" w:color="auto" w:sz="4" w:space="0"/>
              <w:right w:val="single" w:color="auto" w:sz="4" w:space="0"/>
            </w:tcBorders>
            <w:vAlign w:val="center"/>
          </w:tcPr>
          <w:p w14:paraId="352B9BED">
            <w:pPr>
              <w:spacing w:line="276" w:lineRule="auto"/>
              <w:ind w:right="162"/>
              <w:jc w:val="center"/>
              <w:rPr>
                <w:rFonts w:hint="eastAsia" w:ascii="宋体" w:hAnsi="宋体" w:eastAsia="宋体" w:cs="Times New Roman"/>
                <w:bCs/>
                <w:szCs w:val="21"/>
                <w:lang w:val="en-US" w:eastAsia="zh-CN"/>
              </w:rPr>
            </w:pPr>
            <w:r>
              <w:rPr>
                <w:rFonts w:hint="eastAsia" w:ascii="宋体" w:hAnsi="宋体" w:cs="Times New Roman"/>
                <w:bCs/>
                <w:szCs w:val="21"/>
                <w:lang w:val="en-US" w:eastAsia="zh-CN"/>
              </w:rPr>
              <w:t>3分</w:t>
            </w:r>
          </w:p>
        </w:tc>
        <w:tc>
          <w:tcPr>
            <w:tcW w:w="867" w:type="dxa"/>
            <w:tcBorders>
              <w:top w:val="single" w:color="auto" w:sz="2" w:space="0"/>
              <w:left w:val="single" w:color="auto" w:sz="4" w:space="0"/>
              <w:bottom w:val="single" w:color="auto" w:sz="4" w:space="0"/>
              <w:right w:val="single" w:color="auto" w:sz="4" w:space="0"/>
            </w:tcBorders>
            <w:vAlign w:val="center"/>
          </w:tcPr>
          <w:p w14:paraId="795C28B0">
            <w:pPr>
              <w:spacing w:line="276" w:lineRule="auto"/>
              <w:ind w:right="162"/>
              <w:jc w:val="left"/>
              <w:rPr>
                <w:rFonts w:hint="eastAsia" w:ascii="宋体" w:hAnsi="宋体" w:eastAsia="宋体" w:cs="Times New Roman"/>
                <w:bCs/>
                <w:szCs w:val="21"/>
                <w:lang w:eastAsia="zh-CN"/>
              </w:rPr>
            </w:pPr>
            <w:r>
              <w:rPr>
                <w:rFonts w:hint="eastAsia" w:ascii="宋体" w:hAnsi="宋体" w:cs="Times New Roman"/>
                <w:bCs/>
                <w:szCs w:val="21"/>
                <w:lang w:eastAsia="zh-CN"/>
              </w:rPr>
              <w:t>主观分</w:t>
            </w:r>
          </w:p>
        </w:tc>
      </w:tr>
      <w:tr w14:paraId="726C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6" w:hRule="atLeast"/>
        </w:trPr>
        <w:tc>
          <w:tcPr>
            <w:tcW w:w="570" w:type="dxa"/>
            <w:vMerge w:val="continue"/>
            <w:tcBorders>
              <w:left w:val="single" w:color="auto" w:sz="4" w:space="0"/>
              <w:right w:val="single" w:color="auto" w:sz="2" w:space="0"/>
            </w:tcBorders>
            <w:vAlign w:val="center"/>
          </w:tcPr>
          <w:p w14:paraId="185C5795">
            <w:pPr>
              <w:spacing w:line="320" w:lineRule="exact"/>
              <w:ind w:right="162"/>
              <w:jc w:val="center"/>
              <w:rPr>
                <w:rFonts w:hint="eastAsia"/>
                <w:szCs w:val="21"/>
              </w:rPr>
            </w:pPr>
          </w:p>
        </w:tc>
        <w:tc>
          <w:tcPr>
            <w:tcW w:w="877" w:type="dxa"/>
            <w:vMerge w:val="continue"/>
            <w:tcBorders>
              <w:left w:val="single" w:color="auto" w:sz="2" w:space="0"/>
              <w:right w:val="single" w:color="auto" w:sz="2" w:space="0"/>
            </w:tcBorders>
            <w:vAlign w:val="center"/>
          </w:tcPr>
          <w:p w14:paraId="1DA3B24C">
            <w:pPr>
              <w:spacing w:line="276" w:lineRule="auto"/>
              <w:ind w:right="162"/>
              <w:jc w:val="left"/>
              <w:rPr>
                <w:rFonts w:hint="eastAsia"/>
                <w:szCs w:val="21"/>
              </w:rPr>
            </w:pPr>
          </w:p>
        </w:tc>
        <w:tc>
          <w:tcPr>
            <w:tcW w:w="1293" w:type="dxa"/>
            <w:gridSpan w:val="2"/>
            <w:vMerge w:val="continue"/>
            <w:tcBorders>
              <w:left w:val="single" w:color="auto" w:sz="2" w:space="0"/>
              <w:bottom w:val="single" w:color="auto" w:sz="2" w:space="0"/>
              <w:right w:val="single" w:color="auto" w:sz="4" w:space="0"/>
            </w:tcBorders>
            <w:vAlign w:val="center"/>
          </w:tcPr>
          <w:p w14:paraId="1E9B0E71">
            <w:pPr>
              <w:spacing w:line="276" w:lineRule="auto"/>
              <w:ind w:right="162"/>
              <w:jc w:val="left"/>
            </w:pPr>
          </w:p>
        </w:tc>
        <w:tc>
          <w:tcPr>
            <w:tcW w:w="6290" w:type="dxa"/>
            <w:tcBorders>
              <w:top w:val="single" w:color="auto" w:sz="4" w:space="0"/>
              <w:left w:val="single" w:color="auto" w:sz="4" w:space="0"/>
              <w:bottom w:val="single" w:color="auto" w:sz="2" w:space="0"/>
              <w:right w:val="single" w:color="auto" w:sz="2" w:space="0"/>
            </w:tcBorders>
            <w:vAlign w:val="center"/>
          </w:tcPr>
          <w:p w14:paraId="0F652821">
            <w:pPr>
              <w:numPr>
                <w:ilvl w:val="0"/>
                <w:numId w:val="0"/>
              </w:numPr>
              <w:spacing w:line="276" w:lineRule="auto"/>
              <w:ind w:right="162" w:rightChars="0"/>
              <w:jc w:val="left"/>
            </w:pPr>
            <w:bookmarkStart w:id="89" w:name="OLE_LINK32"/>
            <w:r>
              <w:rPr>
                <w:rFonts w:hint="eastAsia"/>
                <w:lang w:eastAsia="zh-CN"/>
              </w:rPr>
              <w:t>（</w:t>
            </w:r>
            <w:r>
              <w:rPr>
                <w:rFonts w:hint="eastAsia"/>
                <w:lang w:val="en-US" w:eastAsia="zh-CN"/>
              </w:rPr>
              <w:t>2</w:t>
            </w:r>
            <w:r>
              <w:rPr>
                <w:rFonts w:hint="eastAsia"/>
                <w:lang w:eastAsia="zh-CN"/>
              </w:rPr>
              <w:t>）</w:t>
            </w:r>
            <w:r>
              <w:rPr>
                <w:rFonts w:hint="eastAsia"/>
              </w:rPr>
              <w:t>拟成立考核组织、针对考核结果制定切实可行的补救措施和奖罚办法等方面内容进行评比。</w:t>
            </w:r>
          </w:p>
          <w:bookmarkEnd w:id="89"/>
          <w:p w14:paraId="0DD91748">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w:t>
            </w:r>
            <w:r>
              <w:rPr>
                <w:rFonts w:hint="eastAsia"/>
              </w:rPr>
              <w:t>奖罚办法</w:t>
            </w:r>
            <w:r>
              <w:rPr>
                <w:rFonts w:hint="eastAsia" w:ascii="宋体" w:hAnsi="宋体" w:cs="宋体"/>
                <w:bCs/>
                <w:color w:val="auto"/>
                <w:kern w:val="0"/>
                <w:sz w:val="21"/>
                <w:szCs w:val="21"/>
                <w:highlight w:val="none"/>
              </w:rPr>
              <w:t>规范</w:t>
            </w:r>
            <w:r>
              <w:rPr>
                <w:rFonts w:hint="eastAsia" w:ascii="宋体" w:hAnsi="宋体" w:cs="宋体"/>
                <w:bCs/>
                <w:color w:val="auto"/>
                <w:kern w:val="0"/>
                <w:sz w:val="21"/>
                <w:szCs w:val="21"/>
                <w:highlight w:val="none"/>
                <w:lang w:eastAsia="zh-CN"/>
              </w:rPr>
              <w:t>、</w:t>
            </w:r>
            <w:r>
              <w:rPr>
                <w:rFonts w:hint="eastAsia"/>
              </w:rPr>
              <w:t>补救措施</w:t>
            </w:r>
            <w:r>
              <w:rPr>
                <w:rFonts w:hint="eastAsia" w:ascii="宋体" w:hAnsi="宋体" w:eastAsia="宋体" w:cs="宋体"/>
                <w:bCs/>
                <w:color w:val="auto"/>
                <w:kern w:val="0"/>
                <w:sz w:val="21"/>
                <w:szCs w:val="21"/>
                <w:highlight w:val="none"/>
              </w:rPr>
              <w:t>方便实行且有针对性的得</w:t>
            </w: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p w14:paraId="63A5A185">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②</w:t>
            </w:r>
            <w:r>
              <w:rPr>
                <w:rFonts w:hint="eastAsia"/>
              </w:rPr>
              <w:t>奖罚办法</w:t>
            </w:r>
            <w:r>
              <w:rPr>
                <w:rFonts w:hint="eastAsia"/>
                <w:lang w:eastAsia="zh-CN"/>
              </w:rPr>
              <w:t>较</w:t>
            </w:r>
            <w:r>
              <w:rPr>
                <w:rFonts w:hint="eastAsia" w:ascii="宋体" w:hAnsi="宋体" w:cs="宋体"/>
                <w:bCs/>
                <w:color w:val="auto"/>
                <w:kern w:val="0"/>
                <w:sz w:val="21"/>
                <w:szCs w:val="21"/>
                <w:highlight w:val="none"/>
              </w:rPr>
              <w:t>规范</w:t>
            </w:r>
            <w:r>
              <w:rPr>
                <w:rFonts w:hint="eastAsia" w:ascii="宋体" w:hAnsi="宋体" w:cs="宋体"/>
                <w:bCs/>
                <w:color w:val="auto"/>
                <w:kern w:val="0"/>
                <w:sz w:val="21"/>
                <w:szCs w:val="21"/>
                <w:highlight w:val="none"/>
                <w:lang w:eastAsia="zh-CN"/>
              </w:rPr>
              <w:t>、</w:t>
            </w:r>
            <w:r>
              <w:rPr>
                <w:rFonts w:hint="eastAsia"/>
              </w:rPr>
              <w:t>补救措施</w:t>
            </w:r>
            <w:r>
              <w:rPr>
                <w:rFonts w:hint="eastAsia" w:ascii="宋体" w:hAnsi="宋体" w:eastAsia="宋体" w:cs="宋体"/>
                <w:bCs/>
                <w:color w:val="auto"/>
                <w:kern w:val="0"/>
                <w:sz w:val="21"/>
                <w:szCs w:val="21"/>
                <w:highlight w:val="none"/>
                <w:lang w:eastAsia="zh-CN"/>
              </w:rPr>
              <w:t>可以</w:t>
            </w:r>
            <w:r>
              <w:rPr>
                <w:rFonts w:hint="eastAsia" w:ascii="宋体" w:hAnsi="宋体" w:eastAsia="宋体" w:cs="宋体"/>
                <w:bCs/>
                <w:color w:val="auto"/>
                <w:kern w:val="0"/>
                <w:sz w:val="21"/>
                <w:szCs w:val="21"/>
                <w:highlight w:val="none"/>
              </w:rPr>
              <w:t>实行且有针对性的</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但存在一定缺陷有待改进的，得</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p w14:paraId="49106421">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③</w:t>
            </w:r>
            <w:r>
              <w:rPr>
                <w:rFonts w:hint="eastAsia" w:ascii="宋体" w:hAnsi="宋体" w:cs="宋体"/>
                <w:bCs/>
                <w:color w:val="auto"/>
                <w:kern w:val="0"/>
                <w:sz w:val="21"/>
                <w:szCs w:val="21"/>
                <w:highlight w:val="none"/>
              </w:rPr>
              <w:t>未能明确阐述考核制度</w:t>
            </w:r>
            <w:r>
              <w:rPr>
                <w:rFonts w:hint="eastAsia" w:ascii="宋体" w:hAnsi="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未针对性提出管理措施</w:t>
            </w:r>
            <w:r>
              <w:rPr>
                <w:rFonts w:hint="eastAsia" w:ascii="宋体" w:hAnsi="宋体" w:cs="宋体"/>
                <w:bCs/>
                <w:color w:val="auto"/>
                <w:kern w:val="0"/>
                <w:sz w:val="21"/>
                <w:szCs w:val="21"/>
                <w:highlight w:val="none"/>
              </w:rPr>
              <w:t>，有待改进的得</w:t>
            </w: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rPr>
              <w:t>分；</w:t>
            </w:r>
          </w:p>
          <w:p w14:paraId="7D3E4877">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④方案内容不完整，内容分析不充分，与本项目实际需求有差距的得</w:t>
            </w:r>
            <w:r>
              <w:rPr>
                <w:rFonts w:hint="eastAsia" w:ascii="宋体" w:hAnsi="宋体" w:eastAsia="宋体" w:cs="宋体"/>
                <w:bCs/>
                <w:color w:val="auto"/>
                <w:kern w:val="0"/>
                <w:sz w:val="21"/>
                <w:szCs w:val="21"/>
                <w:highlight w:val="none"/>
                <w:lang w:val="en-US" w:eastAsia="zh-CN"/>
              </w:rPr>
              <w:t>0.5</w:t>
            </w:r>
            <w:r>
              <w:rPr>
                <w:rFonts w:hint="eastAsia" w:ascii="宋体" w:hAnsi="宋体" w:eastAsia="宋体" w:cs="宋体"/>
                <w:bCs/>
                <w:color w:val="auto"/>
                <w:kern w:val="0"/>
                <w:sz w:val="21"/>
                <w:szCs w:val="21"/>
                <w:highlight w:val="none"/>
              </w:rPr>
              <w:t>分；</w:t>
            </w:r>
          </w:p>
          <w:p w14:paraId="2C27BF93">
            <w:pPr>
              <w:spacing w:line="276" w:lineRule="auto"/>
              <w:ind w:right="162"/>
              <w:jc w:val="left"/>
              <w:rPr>
                <w:rFonts w:hint="eastAsia"/>
              </w:rPr>
            </w:pPr>
            <w:r>
              <w:rPr>
                <w:rFonts w:hint="eastAsia" w:ascii="宋体" w:hAnsi="宋体" w:cs="宋体"/>
                <w:b w:val="0"/>
                <w:bCs/>
                <w:color w:val="auto"/>
                <w:kern w:val="0"/>
                <w:sz w:val="21"/>
                <w:szCs w:val="21"/>
                <w:highlight w:val="none"/>
              </w:rPr>
              <w:t>⑤未提供相关内容的不得分。</w:t>
            </w:r>
          </w:p>
        </w:tc>
        <w:tc>
          <w:tcPr>
            <w:tcW w:w="767" w:type="dxa"/>
            <w:tcBorders>
              <w:top w:val="single" w:color="auto" w:sz="4" w:space="0"/>
              <w:left w:val="single" w:color="auto" w:sz="2" w:space="0"/>
              <w:bottom w:val="single" w:color="auto" w:sz="2" w:space="0"/>
              <w:right w:val="single" w:color="auto" w:sz="4" w:space="0"/>
            </w:tcBorders>
            <w:vAlign w:val="center"/>
          </w:tcPr>
          <w:p w14:paraId="30D1EB0E">
            <w:pPr>
              <w:spacing w:line="276" w:lineRule="auto"/>
              <w:ind w:right="162"/>
              <w:jc w:val="center"/>
              <w:rPr>
                <w:rFonts w:hint="eastAsia" w:ascii="宋体" w:hAnsi="宋体" w:eastAsia="宋体" w:cs="Times New Roman"/>
                <w:bCs/>
                <w:szCs w:val="21"/>
                <w:lang w:val="en-US" w:eastAsia="zh-CN"/>
              </w:rPr>
            </w:pPr>
            <w:r>
              <w:rPr>
                <w:rFonts w:hint="eastAsia" w:ascii="宋体" w:hAnsi="宋体" w:cs="Times New Roman"/>
                <w:bCs/>
                <w:szCs w:val="21"/>
                <w:lang w:val="en-US" w:eastAsia="zh-CN"/>
              </w:rPr>
              <w:t>3分</w:t>
            </w:r>
          </w:p>
        </w:tc>
        <w:tc>
          <w:tcPr>
            <w:tcW w:w="867" w:type="dxa"/>
            <w:tcBorders>
              <w:top w:val="single" w:color="auto" w:sz="4" w:space="0"/>
              <w:left w:val="single" w:color="auto" w:sz="4" w:space="0"/>
              <w:bottom w:val="single" w:color="auto" w:sz="2" w:space="0"/>
              <w:right w:val="single" w:color="auto" w:sz="4" w:space="0"/>
            </w:tcBorders>
            <w:vAlign w:val="center"/>
          </w:tcPr>
          <w:p w14:paraId="192ACB97">
            <w:pPr>
              <w:spacing w:line="276" w:lineRule="auto"/>
              <w:ind w:right="162"/>
              <w:jc w:val="left"/>
              <w:rPr>
                <w:rFonts w:hint="eastAsia" w:ascii="宋体" w:hAnsi="宋体" w:eastAsia="宋体" w:cs="Times New Roman"/>
                <w:bCs/>
                <w:szCs w:val="21"/>
                <w:lang w:eastAsia="zh-CN"/>
              </w:rPr>
            </w:pPr>
            <w:r>
              <w:rPr>
                <w:rFonts w:hint="eastAsia" w:ascii="宋体" w:hAnsi="宋体" w:cs="Times New Roman"/>
                <w:bCs/>
                <w:szCs w:val="21"/>
                <w:lang w:eastAsia="zh-CN"/>
              </w:rPr>
              <w:t>主观分</w:t>
            </w:r>
          </w:p>
        </w:tc>
      </w:tr>
      <w:tr w14:paraId="18CE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0" w:hRule="atLeast"/>
        </w:trPr>
        <w:tc>
          <w:tcPr>
            <w:tcW w:w="570" w:type="dxa"/>
            <w:vMerge w:val="continue"/>
            <w:tcBorders>
              <w:left w:val="single" w:color="auto" w:sz="4" w:space="0"/>
              <w:right w:val="single" w:color="auto" w:sz="2" w:space="0"/>
            </w:tcBorders>
            <w:vAlign w:val="center"/>
          </w:tcPr>
          <w:p w14:paraId="514C2965">
            <w:pPr>
              <w:spacing w:line="320" w:lineRule="exact"/>
              <w:ind w:right="162"/>
              <w:jc w:val="center"/>
              <w:rPr>
                <w:szCs w:val="21"/>
              </w:rPr>
            </w:pPr>
          </w:p>
        </w:tc>
        <w:tc>
          <w:tcPr>
            <w:tcW w:w="877" w:type="dxa"/>
            <w:vMerge w:val="continue"/>
            <w:tcBorders>
              <w:left w:val="single" w:color="auto" w:sz="2" w:space="0"/>
              <w:right w:val="single" w:color="auto" w:sz="2" w:space="0"/>
            </w:tcBorders>
            <w:vAlign w:val="center"/>
          </w:tcPr>
          <w:p w14:paraId="6FE413C3">
            <w:pPr>
              <w:spacing w:line="276" w:lineRule="auto"/>
              <w:ind w:right="162"/>
              <w:jc w:val="left"/>
              <w:rPr>
                <w:szCs w:val="21"/>
              </w:rPr>
            </w:pPr>
          </w:p>
        </w:tc>
        <w:tc>
          <w:tcPr>
            <w:tcW w:w="1293" w:type="dxa"/>
            <w:gridSpan w:val="2"/>
            <w:tcBorders>
              <w:top w:val="single" w:color="auto" w:sz="2" w:space="0"/>
              <w:left w:val="single" w:color="auto" w:sz="2" w:space="0"/>
              <w:bottom w:val="single" w:color="auto" w:sz="2" w:space="0"/>
              <w:right w:val="single" w:color="auto" w:sz="4" w:space="0"/>
            </w:tcBorders>
            <w:vAlign w:val="center"/>
          </w:tcPr>
          <w:p w14:paraId="19BFBFCE">
            <w:pPr>
              <w:spacing w:line="276" w:lineRule="auto"/>
              <w:ind w:right="162"/>
              <w:jc w:val="left"/>
            </w:pPr>
            <w:r>
              <w:rPr>
                <w:rFonts w:hint="eastAsia"/>
                <w:lang w:val="en-US" w:eastAsia="zh-CN"/>
              </w:rPr>
              <w:t>2</w:t>
            </w:r>
            <w:r>
              <w:rPr>
                <w:rFonts w:hint="eastAsia"/>
              </w:rPr>
              <w:t>、</w:t>
            </w:r>
            <w:bookmarkStart w:id="90" w:name="OLE_LINK33"/>
            <w:r>
              <w:rPr>
                <w:rFonts w:hint="eastAsia"/>
              </w:rPr>
              <w:t>养护管理体系</w:t>
            </w:r>
            <w:r>
              <w:tab/>
            </w:r>
          </w:p>
          <w:bookmarkEnd w:id="90"/>
          <w:p w14:paraId="6585A65F">
            <w:pPr>
              <w:spacing w:line="276" w:lineRule="auto"/>
              <w:ind w:right="162"/>
              <w:jc w:val="left"/>
            </w:pPr>
          </w:p>
        </w:tc>
        <w:tc>
          <w:tcPr>
            <w:tcW w:w="6290" w:type="dxa"/>
            <w:tcBorders>
              <w:top w:val="single" w:color="auto" w:sz="2" w:space="0"/>
              <w:left w:val="single" w:color="auto" w:sz="4" w:space="0"/>
              <w:bottom w:val="single" w:color="auto" w:sz="2" w:space="0"/>
              <w:right w:val="single" w:color="auto" w:sz="2" w:space="0"/>
            </w:tcBorders>
            <w:vAlign w:val="center"/>
          </w:tcPr>
          <w:p w14:paraId="163CED43">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养护管理体系完善、有保障，养护管理制度、规程齐全等方面内容进行评比。</w:t>
            </w:r>
          </w:p>
          <w:p w14:paraId="719027D8">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①养护管理体系完善、有保障，养护管理制度规程齐全的得</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p w14:paraId="72C6599C">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②养护管理体系</w:t>
            </w:r>
            <w:r>
              <w:rPr>
                <w:rFonts w:hint="eastAsia" w:ascii="宋体" w:hAnsi="宋体" w:eastAsia="宋体" w:cs="宋体"/>
                <w:bCs/>
                <w:color w:val="auto"/>
                <w:kern w:val="0"/>
                <w:sz w:val="21"/>
                <w:szCs w:val="21"/>
                <w:highlight w:val="none"/>
                <w:lang w:val="en-US" w:eastAsia="zh-CN"/>
              </w:rPr>
              <w:t>较</w:t>
            </w:r>
            <w:r>
              <w:rPr>
                <w:rFonts w:hint="eastAsia" w:ascii="宋体" w:hAnsi="宋体" w:eastAsia="宋体" w:cs="宋体"/>
                <w:bCs/>
                <w:color w:val="auto"/>
                <w:kern w:val="0"/>
                <w:sz w:val="21"/>
                <w:szCs w:val="21"/>
                <w:highlight w:val="none"/>
              </w:rPr>
              <w:t>完善、有保障，养护管理制度较规程齐全的得</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p w14:paraId="2086257C">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③养护管理体系一般，养护管理制度较规程</w:t>
            </w:r>
            <w:r>
              <w:rPr>
                <w:rFonts w:hint="eastAsia" w:ascii="宋体" w:hAnsi="宋体" w:eastAsia="宋体" w:cs="宋体"/>
                <w:bCs/>
                <w:color w:val="auto"/>
                <w:kern w:val="0"/>
                <w:sz w:val="21"/>
                <w:szCs w:val="21"/>
                <w:highlight w:val="none"/>
                <w:lang w:val="en-US" w:eastAsia="zh-CN"/>
              </w:rPr>
              <w:t>相对</w:t>
            </w:r>
            <w:r>
              <w:rPr>
                <w:rFonts w:hint="eastAsia" w:ascii="宋体" w:hAnsi="宋体" w:eastAsia="宋体" w:cs="宋体"/>
                <w:bCs/>
                <w:color w:val="auto"/>
                <w:kern w:val="0"/>
                <w:sz w:val="21"/>
                <w:szCs w:val="21"/>
                <w:highlight w:val="none"/>
              </w:rPr>
              <w:t>齐全的得</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p w14:paraId="47E13D54">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④养护管理体系不完整，与本项目实际需求有差距的得1分；</w:t>
            </w:r>
          </w:p>
          <w:p w14:paraId="69404763">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rPr>
            </w:pPr>
            <w:r>
              <w:rPr>
                <w:rFonts w:hint="eastAsia" w:ascii="宋体" w:hAnsi="宋体" w:eastAsia="宋体" w:cs="宋体"/>
                <w:bCs/>
                <w:color w:val="auto"/>
                <w:kern w:val="0"/>
                <w:sz w:val="21"/>
                <w:szCs w:val="21"/>
                <w:highlight w:val="none"/>
              </w:rPr>
              <w:t>⑤未提供相关内容的不得分。</w:t>
            </w:r>
          </w:p>
        </w:tc>
        <w:tc>
          <w:tcPr>
            <w:tcW w:w="767" w:type="dxa"/>
            <w:tcBorders>
              <w:top w:val="single" w:color="auto" w:sz="2" w:space="0"/>
              <w:left w:val="single" w:color="auto" w:sz="2" w:space="0"/>
              <w:bottom w:val="single" w:color="auto" w:sz="2" w:space="0"/>
              <w:right w:val="single" w:color="auto" w:sz="4" w:space="0"/>
            </w:tcBorders>
            <w:vAlign w:val="center"/>
          </w:tcPr>
          <w:p w14:paraId="7A936078">
            <w:pPr>
              <w:spacing w:line="276" w:lineRule="auto"/>
              <w:ind w:right="162"/>
              <w:jc w:val="center"/>
              <w:rPr>
                <w:rFonts w:hint="eastAsia" w:eastAsia="宋体"/>
                <w:lang w:val="en-US" w:eastAsia="zh-CN"/>
              </w:rPr>
            </w:pPr>
            <w:r>
              <w:rPr>
                <w:rFonts w:hint="eastAsia"/>
                <w:lang w:val="en-US" w:eastAsia="zh-CN"/>
              </w:rPr>
              <w:t>4分</w:t>
            </w:r>
          </w:p>
        </w:tc>
        <w:tc>
          <w:tcPr>
            <w:tcW w:w="867" w:type="dxa"/>
            <w:tcBorders>
              <w:top w:val="single" w:color="auto" w:sz="2" w:space="0"/>
              <w:left w:val="single" w:color="auto" w:sz="4" w:space="0"/>
              <w:bottom w:val="single" w:color="auto" w:sz="2" w:space="0"/>
              <w:right w:val="single" w:color="auto" w:sz="4" w:space="0"/>
            </w:tcBorders>
            <w:vAlign w:val="center"/>
          </w:tcPr>
          <w:p w14:paraId="4F57F166">
            <w:pPr>
              <w:spacing w:line="276" w:lineRule="auto"/>
              <w:ind w:right="162"/>
              <w:jc w:val="left"/>
              <w:rPr>
                <w:rFonts w:hint="eastAsia" w:eastAsia="宋体"/>
                <w:lang w:eastAsia="zh-CN"/>
              </w:rPr>
            </w:pPr>
            <w:r>
              <w:rPr>
                <w:rFonts w:hint="eastAsia"/>
                <w:lang w:eastAsia="zh-CN"/>
              </w:rPr>
              <w:t>主观分</w:t>
            </w:r>
          </w:p>
        </w:tc>
      </w:tr>
      <w:tr w14:paraId="4AE3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7" w:hRule="atLeast"/>
        </w:trPr>
        <w:tc>
          <w:tcPr>
            <w:tcW w:w="570" w:type="dxa"/>
            <w:vMerge w:val="continue"/>
            <w:tcBorders>
              <w:left w:val="single" w:color="auto" w:sz="4" w:space="0"/>
              <w:right w:val="single" w:color="auto" w:sz="2" w:space="0"/>
            </w:tcBorders>
            <w:vAlign w:val="center"/>
          </w:tcPr>
          <w:p w14:paraId="45DFDA75">
            <w:pPr>
              <w:spacing w:line="320" w:lineRule="exact"/>
              <w:ind w:right="162"/>
              <w:jc w:val="center"/>
              <w:rPr>
                <w:szCs w:val="21"/>
              </w:rPr>
            </w:pPr>
          </w:p>
        </w:tc>
        <w:tc>
          <w:tcPr>
            <w:tcW w:w="877" w:type="dxa"/>
            <w:vMerge w:val="continue"/>
            <w:tcBorders>
              <w:left w:val="single" w:color="auto" w:sz="2" w:space="0"/>
              <w:right w:val="single" w:color="auto" w:sz="2" w:space="0"/>
            </w:tcBorders>
            <w:vAlign w:val="center"/>
          </w:tcPr>
          <w:p w14:paraId="0AB6A9FB">
            <w:pPr>
              <w:spacing w:line="276" w:lineRule="auto"/>
              <w:ind w:right="162"/>
              <w:jc w:val="left"/>
              <w:rPr>
                <w:szCs w:val="21"/>
              </w:rPr>
            </w:pPr>
          </w:p>
        </w:tc>
        <w:tc>
          <w:tcPr>
            <w:tcW w:w="1293" w:type="dxa"/>
            <w:gridSpan w:val="2"/>
            <w:tcBorders>
              <w:top w:val="single" w:color="auto" w:sz="2" w:space="0"/>
              <w:left w:val="single" w:color="auto" w:sz="2" w:space="0"/>
              <w:bottom w:val="single" w:color="auto" w:sz="2" w:space="0"/>
              <w:right w:val="single" w:color="auto" w:sz="4" w:space="0"/>
            </w:tcBorders>
            <w:vAlign w:val="center"/>
          </w:tcPr>
          <w:p w14:paraId="7B3E8E44">
            <w:pPr>
              <w:spacing w:line="276" w:lineRule="auto"/>
              <w:ind w:right="162"/>
              <w:jc w:val="left"/>
            </w:pPr>
            <w:r>
              <w:rPr>
                <w:rFonts w:hint="eastAsia"/>
                <w:lang w:val="en-US" w:eastAsia="zh-CN"/>
              </w:rPr>
              <w:t>3</w:t>
            </w:r>
            <w:r>
              <w:rPr>
                <w:rFonts w:hint="eastAsia"/>
              </w:rPr>
              <w:t>、</w:t>
            </w:r>
            <w:bookmarkStart w:id="91" w:name="OLE_LINK34"/>
            <w:r>
              <w:t>养护</w:t>
            </w:r>
            <w:r>
              <w:rPr>
                <w:rFonts w:hint="eastAsia"/>
              </w:rPr>
              <w:t>质量承诺</w:t>
            </w:r>
            <w:r>
              <w:t>与执行保证</w:t>
            </w:r>
            <w:r>
              <w:tab/>
            </w:r>
          </w:p>
          <w:bookmarkEnd w:id="91"/>
          <w:p w14:paraId="7DEA0045">
            <w:pPr>
              <w:pStyle w:val="27"/>
              <w:ind w:left="0" w:leftChars="0" w:firstLine="0" w:firstLineChars="0"/>
            </w:pPr>
          </w:p>
        </w:tc>
        <w:tc>
          <w:tcPr>
            <w:tcW w:w="6290" w:type="dxa"/>
            <w:tcBorders>
              <w:top w:val="single" w:color="auto" w:sz="2" w:space="0"/>
              <w:left w:val="single" w:color="auto" w:sz="4" w:space="0"/>
              <w:bottom w:val="single" w:color="auto" w:sz="2" w:space="0"/>
              <w:right w:val="single" w:color="auto" w:sz="2" w:space="0"/>
            </w:tcBorders>
            <w:vAlign w:val="center"/>
          </w:tcPr>
          <w:p w14:paraId="5D3AB067">
            <w:pPr>
              <w:spacing w:line="276" w:lineRule="auto"/>
              <w:ind w:right="162"/>
              <w:jc w:val="left"/>
            </w:pPr>
            <w:r>
              <w:rPr>
                <w:rFonts w:hint="eastAsia"/>
              </w:rPr>
              <w:t>养护质量</w:t>
            </w:r>
            <w:r>
              <w:t>保证</w:t>
            </w:r>
            <w:r>
              <w:rPr>
                <w:rFonts w:hint="eastAsia"/>
              </w:rPr>
              <w:t>承诺</w:t>
            </w:r>
            <w:r>
              <w:t>、措施力度、软硬件条件、监督考核</w:t>
            </w:r>
            <w:r>
              <w:rPr>
                <w:rFonts w:hint="eastAsia"/>
              </w:rPr>
              <w:t>等方面内容进行评比，由评委打分。</w:t>
            </w:r>
          </w:p>
          <w:p w14:paraId="6D91D2E6">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color w:val="auto"/>
                <w:sz w:val="21"/>
                <w:szCs w:val="21"/>
                <w:highlight w:val="none"/>
              </w:rPr>
            </w:pPr>
            <w:r>
              <w:rPr>
                <w:rFonts w:hint="eastAsia"/>
                <w:color w:val="auto"/>
                <w:sz w:val="21"/>
                <w:szCs w:val="21"/>
                <w:highlight w:val="none"/>
              </w:rPr>
              <w:t>①养护质量承诺</w:t>
            </w:r>
            <w:r>
              <w:rPr>
                <w:rFonts w:hint="eastAsia"/>
                <w:color w:val="auto"/>
                <w:sz w:val="21"/>
                <w:szCs w:val="21"/>
                <w:highlight w:val="none"/>
                <w:lang w:val="en-US" w:eastAsia="zh-CN"/>
              </w:rPr>
              <w:t>科学合理</w:t>
            </w:r>
            <w:r>
              <w:rPr>
                <w:rFonts w:hint="eastAsia"/>
                <w:color w:val="auto"/>
                <w:sz w:val="21"/>
                <w:szCs w:val="21"/>
                <w:highlight w:val="none"/>
              </w:rPr>
              <w:t>，</w:t>
            </w:r>
            <w:r>
              <w:rPr>
                <w:rFonts w:hint="eastAsia"/>
                <w:color w:val="auto"/>
                <w:sz w:val="21"/>
                <w:szCs w:val="21"/>
                <w:highlight w:val="none"/>
                <w:lang w:val="en-US" w:eastAsia="zh-CN"/>
              </w:rPr>
              <w:t>切实落地</w:t>
            </w:r>
            <w:r>
              <w:rPr>
                <w:rFonts w:hint="eastAsia"/>
                <w:color w:val="auto"/>
                <w:sz w:val="21"/>
                <w:szCs w:val="21"/>
                <w:highlight w:val="none"/>
              </w:rPr>
              <w:t>的得</w:t>
            </w:r>
            <w:r>
              <w:rPr>
                <w:rFonts w:hint="eastAsia"/>
                <w:color w:val="auto"/>
                <w:sz w:val="21"/>
                <w:szCs w:val="21"/>
                <w:highlight w:val="none"/>
                <w:lang w:val="en-US" w:eastAsia="zh-CN"/>
              </w:rPr>
              <w:t>5</w:t>
            </w:r>
            <w:r>
              <w:rPr>
                <w:rFonts w:hint="eastAsia"/>
                <w:color w:val="auto"/>
                <w:sz w:val="21"/>
                <w:szCs w:val="21"/>
                <w:highlight w:val="none"/>
              </w:rPr>
              <w:t>分；</w:t>
            </w:r>
          </w:p>
          <w:p w14:paraId="221274CA">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color w:val="auto"/>
                <w:sz w:val="21"/>
                <w:szCs w:val="21"/>
                <w:highlight w:val="none"/>
              </w:rPr>
            </w:pPr>
            <w:r>
              <w:rPr>
                <w:rFonts w:hint="eastAsia"/>
                <w:color w:val="auto"/>
                <w:sz w:val="21"/>
                <w:szCs w:val="21"/>
                <w:highlight w:val="none"/>
              </w:rPr>
              <w:t>②养护质量承诺</w:t>
            </w:r>
            <w:r>
              <w:rPr>
                <w:rFonts w:hint="eastAsia"/>
                <w:color w:val="auto"/>
                <w:sz w:val="21"/>
                <w:szCs w:val="21"/>
                <w:highlight w:val="none"/>
                <w:lang w:val="en-US" w:eastAsia="zh-CN"/>
              </w:rPr>
              <w:t>较</w:t>
            </w:r>
            <w:r>
              <w:rPr>
                <w:rFonts w:hint="eastAsia"/>
                <w:color w:val="auto"/>
                <w:sz w:val="21"/>
                <w:szCs w:val="21"/>
                <w:highlight w:val="none"/>
              </w:rPr>
              <w:t>科学合理，较切实落地的得</w:t>
            </w:r>
            <w:r>
              <w:rPr>
                <w:rFonts w:hint="eastAsia"/>
                <w:color w:val="auto"/>
                <w:sz w:val="21"/>
                <w:szCs w:val="21"/>
                <w:highlight w:val="none"/>
                <w:lang w:val="en-US" w:eastAsia="zh-CN"/>
              </w:rPr>
              <w:t>4</w:t>
            </w:r>
            <w:r>
              <w:rPr>
                <w:rFonts w:hint="eastAsia"/>
                <w:color w:val="auto"/>
                <w:sz w:val="21"/>
                <w:szCs w:val="21"/>
                <w:highlight w:val="none"/>
              </w:rPr>
              <w:t>分；</w:t>
            </w:r>
          </w:p>
          <w:p w14:paraId="0AF6D83E">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color w:val="auto"/>
                <w:sz w:val="21"/>
                <w:szCs w:val="21"/>
                <w:highlight w:val="none"/>
              </w:rPr>
            </w:pPr>
            <w:r>
              <w:rPr>
                <w:rFonts w:hint="eastAsia"/>
                <w:color w:val="auto"/>
                <w:sz w:val="21"/>
                <w:szCs w:val="21"/>
                <w:highlight w:val="none"/>
              </w:rPr>
              <w:t>③养护质量承诺</w:t>
            </w:r>
            <w:r>
              <w:rPr>
                <w:rFonts w:hint="eastAsia"/>
                <w:color w:val="auto"/>
                <w:sz w:val="21"/>
                <w:szCs w:val="21"/>
                <w:highlight w:val="none"/>
                <w:lang w:val="en-US" w:eastAsia="zh-CN"/>
              </w:rPr>
              <w:t>一般</w:t>
            </w:r>
            <w:r>
              <w:rPr>
                <w:rFonts w:hint="eastAsia"/>
                <w:color w:val="auto"/>
                <w:sz w:val="21"/>
                <w:szCs w:val="21"/>
                <w:highlight w:val="none"/>
              </w:rPr>
              <w:t>，</w:t>
            </w:r>
            <w:r>
              <w:rPr>
                <w:rFonts w:hint="eastAsia"/>
                <w:color w:val="auto"/>
                <w:sz w:val="21"/>
                <w:szCs w:val="21"/>
                <w:highlight w:val="none"/>
                <w:lang w:val="en-US" w:eastAsia="zh-CN"/>
              </w:rPr>
              <w:t>相对</w:t>
            </w:r>
            <w:r>
              <w:rPr>
                <w:rFonts w:hint="eastAsia"/>
                <w:color w:val="auto"/>
                <w:sz w:val="21"/>
                <w:szCs w:val="21"/>
                <w:highlight w:val="none"/>
              </w:rPr>
              <w:t>切实落地的得</w:t>
            </w:r>
            <w:r>
              <w:rPr>
                <w:rFonts w:hint="eastAsia"/>
                <w:color w:val="auto"/>
                <w:sz w:val="21"/>
                <w:szCs w:val="21"/>
                <w:highlight w:val="none"/>
                <w:lang w:val="en-US" w:eastAsia="zh-CN"/>
              </w:rPr>
              <w:t>3</w:t>
            </w:r>
            <w:r>
              <w:rPr>
                <w:rFonts w:hint="eastAsia"/>
                <w:color w:val="auto"/>
                <w:sz w:val="21"/>
                <w:szCs w:val="21"/>
                <w:highlight w:val="none"/>
              </w:rPr>
              <w:t>分；</w:t>
            </w:r>
          </w:p>
          <w:p w14:paraId="656DEE47">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color w:val="auto"/>
                <w:sz w:val="21"/>
                <w:szCs w:val="21"/>
                <w:highlight w:val="none"/>
              </w:rPr>
            </w:pPr>
            <w:r>
              <w:rPr>
                <w:rFonts w:hint="eastAsia"/>
                <w:color w:val="auto"/>
                <w:sz w:val="21"/>
                <w:szCs w:val="21"/>
                <w:highlight w:val="none"/>
              </w:rPr>
              <w:t>④养护质量承诺方案内容不完整，与本项目实际需求有差距的得</w:t>
            </w:r>
            <w:r>
              <w:rPr>
                <w:rFonts w:hint="eastAsia"/>
                <w:color w:val="auto"/>
                <w:sz w:val="21"/>
                <w:szCs w:val="21"/>
                <w:highlight w:val="none"/>
                <w:lang w:val="en-US" w:eastAsia="zh-CN"/>
              </w:rPr>
              <w:t>1</w:t>
            </w:r>
            <w:r>
              <w:rPr>
                <w:rFonts w:hint="eastAsia"/>
                <w:color w:val="auto"/>
                <w:sz w:val="21"/>
                <w:szCs w:val="21"/>
                <w:highlight w:val="none"/>
              </w:rPr>
              <w:t>分；</w:t>
            </w:r>
          </w:p>
          <w:p w14:paraId="7C0A902A">
            <w:pPr>
              <w:pStyle w:val="27"/>
              <w:ind w:left="0" w:leftChars="0" w:firstLine="0" w:firstLineChars="0"/>
            </w:pPr>
            <w:r>
              <w:rPr>
                <w:rFonts w:hint="eastAsia"/>
                <w:color w:val="auto"/>
                <w:sz w:val="21"/>
                <w:szCs w:val="21"/>
                <w:highlight w:val="none"/>
              </w:rPr>
              <w:t>⑤未提供相关内容的不得分。</w:t>
            </w:r>
          </w:p>
        </w:tc>
        <w:tc>
          <w:tcPr>
            <w:tcW w:w="767" w:type="dxa"/>
            <w:tcBorders>
              <w:top w:val="single" w:color="auto" w:sz="2" w:space="0"/>
              <w:left w:val="single" w:color="auto" w:sz="2" w:space="0"/>
              <w:bottom w:val="single" w:color="auto" w:sz="2" w:space="0"/>
              <w:right w:val="single" w:color="auto" w:sz="4" w:space="0"/>
            </w:tcBorders>
            <w:vAlign w:val="center"/>
          </w:tcPr>
          <w:p w14:paraId="35C58080">
            <w:pPr>
              <w:spacing w:line="276" w:lineRule="auto"/>
              <w:ind w:right="162"/>
              <w:jc w:val="center"/>
              <w:rPr>
                <w:rFonts w:hint="eastAsia" w:ascii="宋体" w:hAnsi="宋体" w:eastAsia="宋体" w:cs="宋体"/>
                <w:szCs w:val="21"/>
                <w:lang w:val="en-US" w:eastAsia="zh-CN"/>
              </w:rPr>
            </w:pPr>
            <w:r>
              <w:rPr>
                <w:rFonts w:hint="eastAsia" w:ascii="宋体" w:hAnsi="宋体" w:cs="宋体"/>
                <w:szCs w:val="21"/>
                <w:lang w:val="en-US" w:eastAsia="zh-CN"/>
              </w:rPr>
              <w:t>5分</w:t>
            </w:r>
          </w:p>
        </w:tc>
        <w:tc>
          <w:tcPr>
            <w:tcW w:w="867" w:type="dxa"/>
            <w:tcBorders>
              <w:top w:val="single" w:color="auto" w:sz="2" w:space="0"/>
              <w:left w:val="single" w:color="auto" w:sz="4" w:space="0"/>
              <w:bottom w:val="single" w:color="auto" w:sz="2" w:space="0"/>
              <w:right w:val="single" w:color="auto" w:sz="4" w:space="0"/>
            </w:tcBorders>
            <w:vAlign w:val="center"/>
          </w:tcPr>
          <w:p w14:paraId="620FFB47">
            <w:pPr>
              <w:spacing w:line="276" w:lineRule="auto"/>
              <w:ind w:right="162"/>
              <w:jc w:val="left"/>
              <w:rPr>
                <w:rFonts w:hint="eastAsia" w:ascii="宋体" w:hAnsi="宋体" w:eastAsia="宋体" w:cs="宋体"/>
                <w:szCs w:val="21"/>
                <w:lang w:eastAsia="zh-CN"/>
              </w:rPr>
            </w:pPr>
            <w:r>
              <w:rPr>
                <w:rFonts w:hint="eastAsia" w:ascii="宋体" w:hAnsi="宋体" w:cs="宋体"/>
                <w:szCs w:val="21"/>
                <w:lang w:eastAsia="zh-CN"/>
              </w:rPr>
              <w:t>主观分</w:t>
            </w:r>
          </w:p>
        </w:tc>
      </w:tr>
      <w:tr w14:paraId="50F3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6" w:hRule="atLeast"/>
        </w:trPr>
        <w:tc>
          <w:tcPr>
            <w:tcW w:w="570" w:type="dxa"/>
            <w:vMerge w:val="continue"/>
            <w:tcBorders>
              <w:left w:val="single" w:color="auto" w:sz="4" w:space="0"/>
              <w:right w:val="single" w:color="auto" w:sz="2" w:space="0"/>
            </w:tcBorders>
            <w:textDirection w:val="tbRlV"/>
            <w:vAlign w:val="center"/>
          </w:tcPr>
          <w:p w14:paraId="43C3429F">
            <w:pPr>
              <w:spacing w:line="320" w:lineRule="exact"/>
              <w:ind w:right="162"/>
              <w:jc w:val="left"/>
              <w:rPr>
                <w:szCs w:val="21"/>
              </w:rPr>
            </w:pPr>
          </w:p>
        </w:tc>
        <w:tc>
          <w:tcPr>
            <w:tcW w:w="877" w:type="dxa"/>
            <w:vMerge w:val="restart"/>
            <w:tcBorders>
              <w:top w:val="single" w:color="auto" w:sz="2" w:space="0"/>
              <w:left w:val="single" w:color="auto" w:sz="2" w:space="0"/>
              <w:right w:val="single" w:color="auto" w:sz="2" w:space="0"/>
            </w:tcBorders>
            <w:vAlign w:val="center"/>
          </w:tcPr>
          <w:p w14:paraId="5BBBB337">
            <w:pPr>
              <w:spacing w:line="276" w:lineRule="auto"/>
              <w:ind w:right="162"/>
              <w:jc w:val="left"/>
              <w:rPr>
                <w:szCs w:val="21"/>
              </w:rPr>
            </w:pPr>
            <w:bookmarkStart w:id="92" w:name="OLE_LINK35"/>
            <w:r>
              <w:rPr>
                <w:rFonts w:hint="eastAsia"/>
                <w:szCs w:val="21"/>
              </w:rPr>
              <w:t>养护方案（</w:t>
            </w:r>
            <w:r>
              <w:rPr>
                <w:rFonts w:hint="eastAsia"/>
                <w:szCs w:val="21"/>
                <w:lang w:val="en-US" w:eastAsia="zh-CN"/>
              </w:rPr>
              <w:t>30</w:t>
            </w:r>
            <w:r>
              <w:rPr>
                <w:rFonts w:hint="eastAsia"/>
                <w:szCs w:val="21"/>
              </w:rPr>
              <w:t>分）</w:t>
            </w:r>
            <w:bookmarkEnd w:id="92"/>
          </w:p>
        </w:tc>
        <w:tc>
          <w:tcPr>
            <w:tcW w:w="7583" w:type="dxa"/>
            <w:gridSpan w:val="3"/>
            <w:tcBorders>
              <w:top w:val="single" w:color="auto" w:sz="2" w:space="0"/>
              <w:left w:val="single" w:color="auto" w:sz="2" w:space="0"/>
              <w:bottom w:val="single" w:color="auto" w:sz="2" w:space="0"/>
              <w:right w:val="single" w:color="auto" w:sz="2" w:space="0"/>
            </w:tcBorders>
            <w:vAlign w:val="center"/>
          </w:tcPr>
          <w:p w14:paraId="4AC7FBE8">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bookmarkStart w:id="93" w:name="OLE_LINK31"/>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针对全年度具体养护方案（月度、季度、年度）、是否切合实际、养护目标、针对性、关注点等方面内容进行评比。</w:t>
            </w:r>
          </w:p>
          <w:p w14:paraId="35E4BF9F">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①方案内容完全结合</w:t>
            </w:r>
            <w:r>
              <w:rPr>
                <w:rFonts w:hint="eastAsia" w:ascii="宋体" w:hAnsi="宋体" w:eastAsia="宋体" w:cs="宋体"/>
                <w:bCs/>
                <w:color w:val="auto"/>
                <w:kern w:val="0"/>
                <w:sz w:val="21"/>
                <w:szCs w:val="21"/>
                <w:highlight w:val="none"/>
                <w:lang w:val="en-US" w:eastAsia="zh-CN"/>
              </w:rPr>
              <w:t>项目</w:t>
            </w:r>
            <w:r>
              <w:rPr>
                <w:rFonts w:hint="eastAsia" w:ascii="宋体" w:hAnsi="宋体" w:eastAsia="宋体" w:cs="宋体"/>
                <w:bCs/>
                <w:color w:val="auto"/>
                <w:kern w:val="0"/>
                <w:sz w:val="21"/>
                <w:szCs w:val="21"/>
                <w:highlight w:val="none"/>
              </w:rPr>
              <w:t>实际情况，方便实行和监督，管理目标明确清晰，且有针对性措施的得</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分；</w:t>
            </w:r>
          </w:p>
          <w:p w14:paraId="634035CD">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②方案内容有结合项目实际情况，基本符合项目的管理规范要求，管理目标明确清晰，但存在一定缺陷有待改进的得</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p w14:paraId="23D62D76">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③方案内容基本符合实际需求，对管理要求理解不透彻，未针对性提出管理措施的得</w:t>
            </w: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p w14:paraId="1E5F1C8D">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④方案内容不完整，内容分析不充分，与本项目实际需求有差距的得</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分；</w:t>
            </w:r>
          </w:p>
          <w:p w14:paraId="6C8A03F9">
            <w:pPr>
              <w:spacing w:line="276" w:lineRule="auto"/>
              <w:ind w:right="162"/>
              <w:jc w:val="left"/>
            </w:pPr>
            <w:r>
              <w:rPr>
                <w:rFonts w:hint="eastAsia" w:ascii="宋体" w:hAnsi="宋体" w:cs="宋体"/>
                <w:b w:val="0"/>
                <w:bCs/>
                <w:color w:val="auto"/>
                <w:kern w:val="0"/>
                <w:sz w:val="21"/>
                <w:szCs w:val="21"/>
                <w:highlight w:val="none"/>
              </w:rPr>
              <w:t>⑤未提供相关内容的不得分。</w:t>
            </w:r>
            <w:bookmarkEnd w:id="93"/>
          </w:p>
        </w:tc>
        <w:tc>
          <w:tcPr>
            <w:tcW w:w="767" w:type="dxa"/>
            <w:tcBorders>
              <w:top w:val="single" w:color="auto" w:sz="2" w:space="0"/>
              <w:left w:val="single" w:color="auto" w:sz="2" w:space="0"/>
              <w:bottom w:val="single" w:color="auto" w:sz="2" w:space="0"/>
              <w:right w:val="single" w:color="auto" w:sz="4" w:space="0"/>
            </w:tcBorders>
            <w:vAlign w:val="center"/>
          </w:tcPr>
          <w:p w14:paraId="128EDFFA">
            <w:pPr>
              <w:spacing w:line="276" w:lineRule="auto"/>
              <w:ind w:right="162"/>
              <w:jc w:val="center"/>
              <w:rPr>
                <w:rFonts w:hint="eastAsia" w:ascii="宋体" w:hAnsi="宋体" w:eastAsia="宋体" w:cs="宋体"/>
                <w:szCs w:val="21"/>
                <w:lang w:val="en-US" w:eastAsia="zh-CN"/>
              </w:rPr>
            </w:pPr>
            <w:r>
              <w:rPr>
                <w:rFonts w:hint="eastAsia" w:ascii="宋体" w:hAnsi="宋体" w:cs="宋体"/>
                <w:szCs w:val="21"/>
                <w:lang w:val="en-US" w:eastAsia="zh-CN"/>
              </w:rPr>
              <w:t>5分</w:t>
            </w:r>
          </w:p>
        </w:tc>
        <w:tc>
          <w:tcPr>
            <w:tcW w:w="867" w:type="dxa"/>
            <w:tcBorders>
              <w:top w:val="single" w:color="auto" w:sz="2" w:space="0"/>
              <w:left w:val="single" w:color="auto" w:sz="4" w:space="0"/>
              <w:bottom w:val="single" w:color="auto" w:sz="2" w:space="0"/>
              <w:right w:val="single" w:color="auto" w:sz="4" w:space="0"/>
            </w:tcBorders>
            <w:vAlign w:val="center"/>
          </w:tcPr>
          <w:p w14:paraId="2B10ABDD">
            <w:pPr>
              <w:spacing w:line="276" w:lineRule="auto"/>
              <w:ind w:right="162"/>
              <w:jc w:val="left"/>
              <w:rPr>
                <w:rFonts w:hint="eastAsia" w:ascii="宋体" w:hAnsi="宋体" w:eastAsia="宋体" w:cs="宋体"/>
                <w:szCs w:val="21"/>
                <w:lang w:eastAsia="zh-CN"/>
              </w:rPr>
            </w:pPr>
            <w:r>
              <w:rPr>
                <w:rFonts w:hint="eastAsia" w:ascii="宋体" w:hAnsi="宋体" w:cs="宋体"/>
                <w:szCs w:val="21"/>
                <w:lang w:eastAsia="zh-CN"/>
              </w:rPr>
              <w:t>主观分</w:t>
            </w:r>
          </w:p>
        </w:tc>
      </w:tr>
      <w:tr w14:paraId="6B39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1" w:hRule="atLeast"/>
        </w:trPr>
        <w:tc>
          <w:tcPr>
            <w:tcW w:w="570" w:type="dxa"/>
            <w:vMerge w:val="continue"/>
            <w:tcBorders>
              <w:left w:val="single" w:color="auto" w:sz="4" w:space="0"/>
              <w:right w:val="single" w:color="auto" w:sz="2" w:space="0"/>
            </w:tcBorders>
            <w:textDirection w:val="tbRlV"/>
            <w:vAlign w:val="center"/>
          </w:tcPr>
          <w:p w14:paraId="7391CBB0">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5CDCE9CB">
            <w:pPr>
              <w:pStyle w:val="37"/>
              <w:ind w:firstLine="0" w:firstLineChars="0"/>
            </w:pPr>
          </w:p>
        </w:tc>
        <w:tc>
          <w:tcPr>
            <w:tcW w:w="7583" w:type="dxa"/>
            <w:gridSpan w:val="3"/>
            <w:tcBorders>
              <w:top w:val="single" w:color="auto" w:sz="2" w:space="0"/>
              <w:left w:val="single" w:color="auto" w:sz="2" w:space="0"/>
              <w:bottom w:val="single" w:color="auto" w:sz="2" w:space="0"/>
              <w:right w:val="single" w:color="auto" w:sz="2" w:space="0"/>
            </w:tcBorders>
            <w:vAlign w:val="center"/>
          </w:tcPr>
          <w:p w14:paraId="2EC2FB8F">
            <w:pPr>
              <w:spacing w:line="276" w:lineRule="auto"/>
              <w:ind w:right="162"/>
              <w:jc w:val="left"/>
            </w:pPr>
            <w:r>
              <w:rPr>
                <w:rFonts w:hint="eastAsia"/>
                <w:lang w:val="en-US" w:eastAsia="zh-CN"/>
              </w:rPr>
              <w:t>5</w:t>
            </w:r>
            <w:r>
              <w:rPr>
                <w:rFonts w:hint="eastAsia"/>
              </w:rPr>
              <w:t>、</w:t>
            </w:r>
            <w:bookmarkStart w:id="94" w:name="OLE_LINK37"/>
            <w:r>
              <w:rPr>
                <w:rFonts w:hint="eastAsia"/>
              </w:rPr>
              <w:t>用药方案（</w:t>
            </w:r>
            <w:r>
              <w:rPr>
                <w:rFonts w:hint="eastAsia"/>
                <w:lang w:val="en-US" w:eastAsia="zh-CN"/>
              </w:rPr>
              <w:t>5</w:t>
            </w:r>
            <w:r>
              <w:rPr>
                <w:rFonts w:hint="eastAsia"/>
              </w:rPr>
              <w:t>分）</w:t>
            </w:r>
          </w:p>
          <w:bookmarkEnd w:id="94"/>
          <w:p w14:paraId="7EF9ABFF">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①方案内容完全结合</w:t>
            </w:r>
            <w:r>
              <w:rPr>
                <w:rFonts w:hint="eastAsia" w:ascii="宋体" w:hAnsi="宋体" w:cs="宋体"/>
                <w:bCs/>
                <w:color w:val="auto"/>
                <w:kern w:val="0"/>
                <w:sz w:val="21"/>
                <w:szCs w:val="21"/>
                <w:highlight w:val="none"/>
                <w:lang w:val="en-US" w:eastAsia="zh-CN"/>
              </w:rPr>
              <w:t>项目</w:t>
            </w:r>
            <w:r>
              <w:rPr>
                <w:rFonts w:hint="eastAsia" w:ascii="宋体" w:hAnsi="宋体" w:cs="宋体"/>
                <w:bCs/>
                <w:color w:val="auto"/>
                <w:kern w:val="0"/>
                <w:sz w:val="21"/>
                <w:szCs w:val="21"/>
                <w:highlight w:val="none"/>
              </w:rPr>
              <w:t>实际情况，用药方案全面，且有针对性措施的得</w:t>
            </w:r>
            <w:r>
              <w:rPr>
                <w:rFonts w:hint="eastAsia" w:ascii="宋体" w:hAnsi="宋体" w:cs="宋体"/>
                <w:bCs/>
                <w:color w:val="auto"/>
                <w:kern w:val="0"/>
                <w:sz w:val="21"/>
                <w:szCs w:val="21"/>
                <w:highlight w:val="none"/>
                <w:lang w:val="en-US" w:eastAsia="zh-CN"/>
              </w:rPr>
              <w:t>5</w:t>
            </w:r>
            <w:r>
              <w:rPr>
                <w:rFonts w:hint="eastAsia" w:ascii="宋体" w:hAnsi="宋体" w:cs="宋体"/>
                <w:bCs/>
                <w:color w:val="auto"/>
                <w:kern w:val="0"/>
                <w:sz w:val="21"/>
                <w:szCs w:val="21"/>
                <w:highlight w:val="none"/>
              </w:rPr>
              <w:t>分；</w:t>
            </w:r>
          </w:p>
          <w:p w14:paraId="3BD9DA7A">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②方案内容有结合项目实际情况，用药方案较全面，但存在一定缺陷有待改进的得</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分；</w:t>
            </w:r>
          </w:p>
          <w:p w14:paraId="61A14D39">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③方案内容基本符合项目实际需求，但方案不全面，未针对性提出管理措施的得</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分；</w:t>
            </w:r>
          </w:p>
          <w:p w14:paraId="474D5DE8">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④方案内容不完整，内容分析不充分，与本项目实际需求有差距的得</w:t>
            </w: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rPr>
              <w:t>分；</w:t>
            </w:r>
          </w:p>
          <w:p w14:paraId="4A261F29">
            <w:pPr>
              <w:pStyle w:val="37"/>
              <w:ind w:firstLine="0" w:firstLineChars="0"/>
            </w:pPr>
            <w:r>
              <w:rPr>
                <w:rFonts w:hint="eastAsia" w:ascii="宋体" w:hAnsi="宋体" w:cs="宋体"/>
                <w:bCs/>
                <w:color w:val="auto"/>
                <w:kern w:val="0"/>
                <w:sz w:val="21"/>
                <w:szCs w:val="21"/>
                <w:highlight w:val="none"/>
              </w:rPr>
              <w:t>⑤未提供相关内容的不得分。</w:t>
            </w:r>
          </w:p>
        </w:tc>
        <w:tc>
          <w:tcPr>
            <w:tcW w:w="767" w:type="dxa"/>
            <w:tcBorders>
              <w:top w:val="single" w:color="auto" w:sz="2" w:space="0"/>
              <w:left w:val="single" w:color="auto" w:sz="2" w:space="0"/>
              <w:bottom w:val="single" w:color="auto" w:sz="2" w:space="0"/>
              <w:right w:val="single" w:color="auto" w:sz="4" w:space="0"/>
            </w:tcBorders>
            <w:vAlign w:val="center"/>
          </w:tcPr>
          <w:p w14:paraId="6A185DBA">
            <w:pPr>
              <w:pStyle w:val="37"/>
              <w:ind w:firstLine="0" w:firstLineChars="0"/>
              <w:jc w:val="center"/>
              <w:rPr>
                <w:rFonts w:hint="eastAsia" w:eastAsia="宋体"/>
                <w:lang w:val="en-US" w:eastAsia="zh-CN"/>
              </w:rPr>
            </w:pPr>
            <w:r>
              <w:rPr>
                <w:rFonts w:hint="eastAsia"/>
                <w:lang w:val="en-US" w:eastAsia="zh-CN"/>
              </w:rPr>
              <w:t>5分</w:t>
            </w:r>
          </w:p>
        </w:tc>
        <w:tc>
          <w:tcPr>
            <w:tcW w:w="867" w:type="dxa"/>
            <w:tcBorders>
              <w:top w:val="single" w:color="auto" w:sz="2" w:space="0"/>
              <w:left w:val="single" w:color="auto" w:sz="4" w:space="0"/>
              <w:bottom w:val="single" w:color="auto" w:sz="2" w:space="0"/>
              <w:right w:val="single" w:color="auto" w:sz="4" w:space="0"/>
            </w:tcBorders>
            <w:vAlign w:val="center"/>
          </w:tcPr>
          <w:p w14:paraId="201BD938">
            <w:pPr>
              <w:pStyle w:val="37"/>
              <w:ind w:firstLine="0" w:firstLineChars="0"/>
              <w:rPr>
                <w:rFonts w:hint="eastAsia" w:eastAsia="宋体"/>
                <w:lang w:eastAsia="zh-CN"/>
              </w:rPr>
            </w:pPr>
            <w:r>
              <w:rPr>
                <w:rFonts w:hint="eastAsia"/>
                <w:lang w:eastAsia="zh-CN"/>
              </w:rPr>
              <w:t>主观分</w:t>
            </w:r>
          </w:p>
        </w:tc>
      </w:tr>
      <w:tr w14:paraId="70F4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1" w:hRule="atLeast"/>
        </w:trPr>
        <w:tc>
          <w:tcPr>
            <w:tcW w:w="570" w:type="dxa"/>
            <w:vMerge w:val="continue"/>
            <w:tcBorders>
              <w:left w:val="single" w:color="auto" w:sz="4" w:space="0"/>
              <w:right w:val="single" w:color="auto" w:sz="2" w:space="0"/>
            </w:tcBorders>
            <w:textDirection w:val="tbRlV"/>
            <w:vAlign w:val="center"/>
          </w:tcPr>
          <w:p w14:paraId="2F63E85A">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0726C126">
            <w:pPr>
              <w:pStyle w:val="37"/>
              <w:ind w:firstLine="0" w:firstLineChars="0"/>
            </w:pPr>
          </w:p>
        </w:tc>
        <w:tc>
          <w:tcPr>
            <w:tcW w:w="7583" w:type="dxa"/>
            <w:gridSpan w:val="3"/>
            <w:tcBorders>
              <w:top w:val="single" w:color="auto" w:sz="2" w:space="0"/>
              <w:left w:val="single" w:color="auto" w:sz="2" w:space="0"/>
              <w:bottom w:val="single" w:color="auto" w:sz="2" w:space="0"/>
              <w:right w:val="single" w:color="auto" w:sz="2" w:space="0"/>
            </w:tcBorders>
            <w:vAlign w:val="center"/>
          </w:tcPr>
          <w:p w14:paraId="552EBB47">
            <w:pPr>
              <w:spacing w:line="276" w:lineRule="auto"/>
              <w:rPr>
                <w:szCs w:val="21"/>
              </w:rPr>
            </w:pPr>
            <w:r>
              <w:rPr>
                <w:rFonts w:hint="eastAsia" w:ascii="宋体" w:hAnsi="宋体" w:cs="宋体"/>
                <w:szCs w:val="21"/>
                <w:lang w:val="en-US" w:eastAsia="zh-CN"/>
              </w:rPr>
              <w:t>6</w:t>
            </w:r>
            <w:r>
              <w:rPr>
                <w:rFonts w:hint="eastAsia" w:ascii="宋体" w:hAnsi="宋体" w:cs="宋体"/>
                <w:szCs w:val="21"/>
              </w:rPr>
              <w:t>、</w:t>
            </w:r>
            <w:bookmarkStart w:id="95" w:name="OLE_LINK38"/>
            <w:r>
              <w:rPr>
                <w:rFonts w:hint="eastAsia" w:ascii="宋体" w:hAnsi="宋体" w:cs="宋体"/>
                <w:szCs w:val="21"/>
              </w:rPr>
              <w:t>安全生产、文明作业、环保措施（</w:t>
            </w:r>
            <w:r>
              <w:rPr>
                <w:rFonts w:hint="eastAsia" w:ascii="宋体" w:hAnsi="宋体" w:cs="宋体"/>
                <w:szCs w:val="21"/>
                <w:lang w:val="en-US" w:eastAsia="zh-CN"/>
              </w:rPr>
              <w:t>5</w:t>
            </w:r>
            <w:r>
              <w:rPr>
                <w:rFonts w:hint="eastAsia" w:ascii="宋体" w:hAnsi="宋体" w:cs="宋体"/>
                <w:szCs w:val="21"/>
              </w:rPr>
              <w:t>分）</w:t>
            </w:r>
          </w:p>
          <w:p w14:paraId="3AD5E0A1">
            <w:pPr>
              <w:pStyle w:val="27"/>
              <w:spacing w:line="276" w:lineRule="auto"/>
              <w:ind w:firstLine="0" w:firstLineChars="0"/>
              <w:rPr>
                <w:rFonts w:ascii="Calibri" w:hAnsi="Calibri"/>
                <w:sz w:val="21"/>
                <w:szCs w:val="21"/>
              </w:rPr>
            </w:pPr>
            <w:r>
              <w:rPr>
                <w:rFonts w:hint="eastAsia" w:ascii="Calibri" w:hAnsi="Calibri"/>
                <w:sz w:val="21"/>
                <w:szCs w:val="21"/>
              </w:rPr>
              <w:t>投标人拟对本项目的措施、保证、流程等方案。</w:t>
            </w:r>
          </w:p>
          <w:bookmarkEnd w:id="95"/>
          <w:p w14:paraId="02986322">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①作业保障内容</w:t>
            </w:r>
            <w:r>
              <w:rPr>
                <w:rFonts w:hint="eastAsia" w:ascii="宋体" w:hAnsi="宋体" w:cs="宋体"/>
                <w:bCs/>
                <w:color w:val="auto"/>
                <w:kern w:val="0"/>
                <w:sz w:val="21"/>
                <w:szCs w:val="21"/>
                <w:highlight w:val="none"/>
                <w:lang w:eastAsia="zh-CN"/>
              </w:rPr>
              <w:t>条理清晰</w:t>
            </w:r>
            <w:r>
              <w:rPr>
                <w:rFonts w:hint="eastAsia" w:ascii="宋体" w:hAnsi="宋体" w:cs="宋体"/>
                <w:bCs/>
                <w:color w:val="auto"/>
                <w:kern w:val="0"/>
                <w:sz w:val="21"/>
                <w:szCs w:val="21"/>
                <w:highlight w:val="none"/>
              </w:rPr>
              <w:t>，熟悉相关安全文明作业制度，且有针对性措施的得</w:t>
            </w:r>
            <w:r>
              <w:rPr>
                <w:rFonts w:hint="eastAsia" w:ascii="宋体" w:hAnsi="宋体" w:cs="宋体"/>
                <w:bCs/>
                <w:color w:val="auto"/>
                <w:kern w:val="0"/>
                <w:sz w:val="21"/>
                <w:szCs w:val="21"/>
                <w:highlight w:val="none"/>
                <w:lang w:val="en-US" w:eastAsia="zh-CN"/>
              </w:rPr>
              <w:t>5</w:t>
            </w:r>
            <w:r>
              <w:rPr>
                <w:rFonts w:hint="eastAsia" w:ascii="宋体" w:hAnsi="宋体" w:cs="宋体"/>
                <w:bCs/>
                <w:color w:val="auto"/>
                <w:kern w:val="0"/>
                <w:sz w:val="21"/>
                <w:szCs w:val="21"/>
                <w:highlight w:val="none"/>
              </w:rPr>
              <w:t>分；</w:t>
            </w:r>
          </w:p>
          <w:p w14:paraId="7BF4C555">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②作业保障内容基本全面，了解相关安全文明作业制度，且有针对性措施的得</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分；</w:t>
            </w:r>
          </w:p>
          <w:p w14:paraId="1D63E9F1">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③作业保障内容简单，未针对性提出管理措施的得</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分；</w:t>
            </w:r>
          </w:p>
          <w:p w14:paraId="3A1DAFE8">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④方案内容不完整，内容分析不充分，与本项目实际需求有差距的得1分；</w:t>
            </w:r>
          </w:p>
          <w:p w14:paraId="7E918DCE">
            <w:pPr>
              <w:spacing w:line="276" w:lineRule="auto"/>
              <w:rPr>
                <w:rFonts w:ascii="宋体" w:hAnsi="宋体"/>
                <w:szCs w:val="21"/>
              </w:rPr>
            </w:pPr>
            <w:r>
              <w:rPr>
                <w:rFonts w:hint="eastAsia" w:ascii="宋体" w:hAnsi="宋体" w:cs="宋体"/>
                <w:bCs/>
                <w:color w:val="auto"/>
                <w:kern w:val="0"/>
                <w:sz w:val="21"/>
                <w:szCs w:val="21"/>
                <w:highlight w:val="none"/>
              </w:rPr>
              <w:t>⑤未提供相关内容的不得分。</w:t>
            </w:r>
          </w:p>
        </w:tc>
        <w:tc>
          <w:tcPr>
            <w:tcW w:w="767" w:type="dxa"/>
            <w:tcBorders>
              <w:top w:val="single" w:color="auto" w:sz="2" w:space="0"/>
              <w:left w:val="single" w:color="auto" w:sz="2" w:space="0"/>
              <w:bottom w:val="single" w:color="auto" w:sz="2" w:space="0"/>
              <w:right w:val="single" w:color="auto" w:sz="4" w:space="0"/>
            </w:tcBorders>
            <w:vAlign w:val="center"/>
          </w:tcPr>
          <w:p w14:paraId="5B320B33">
            <w:pPr>
              <w:spacing w:line="276"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5分</w:t>
            </w:r>
          </w:p>
        </w:tc>
        <w:tc>
          <w:tcPr>
            <w:tcW w:w="867" w:type="dxa"/>
            <w:tcBorders>
              <w:top w:val="single" w:color="auto" w:sz="2" w:space="0"/>
              <w:left w:val="single" w:color="auto" w:sz="4" w:space="0"/>
              <w:bottom w:val="single" w:color="auto" w:sz="2" w:space="0"/>
              <w:right w:val="single" w:color="auto" w:sz="4" w:space="0"/>
            </w:tcBorders>
            <w:vAlign w:val="center"/>
          </w:tcPr>
          <w:p w14:paraId="3A5B70AC">
            <w:pPr>
              <w:spacing w:line="276" w:lineRule="auto"/>
              <w:rPr>
                <w:rFonts w:hint="eastAsia" w:ascii="宋体" w:hAnsi="宋体" w:eastAsia="宋体" w:cs="宋体"/>
                <w:bCs/>
                <w:szCs w:val="21"/>
                <w:lang w:eastAsia="zh-CN"/>
              </w:rPr>
            </w:pPr>
            <w:r>
              <w:rPr>
                <w:rFonts w:hint="eastAsia" w:ascii="宋体" w:hAnsi="宋体" w:cs="宋体"/>
                <w:bCs/>
                <w:szCs w:val="21"/>
                <w:lang w:eastAsia="zh-CN"/>
              </w:rPr>
              <w:t>主观分</w:t>
            </w:r>
          </w:p>
        </w:tc>
      </w:tr>
      <w:tr w14:paraId="2B94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1" w:hRule="atLeast"/>
        </w:trPr>
        <w:tc>
          <w:tcPr>
            <w:tcW w:w="570" w:type="dxa"/>
            <w:vMerge w:val="continue"/>
            <w:tcBorders>
              <w:left w:val="single" w:color="auto" w:sz="4" w:space="0"/>
              <w:right w:val="single" w:color="auto" w:sz="2" w:space="0"/>
            </w:tcBorders>
            <w:textDirection w:val="tbRlV"/>
            <w:vAlign w:val="center"/>
          </w:tcPr>
          <w:p w14:paraId="26F7F281">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2BE07470">
            <w:pPr>
              <w:pStyle w:val="37"/>
              <w:ind w:firstLine="0" w:firstLineChars="0"/>
            </w:pPr>
          </w:p>
        </w:tc>
        <w:tc>
          <w:tcPr>
            <w:tcW w:w="7583" w:type="dxa"/>
            <w:gridSpan w:val="3"/>
            <w:tcBorders>
              <w:top w:val="single" w:color="auto" w:sz="2" w:space="0"/>
              <w:left w:val="single" w:color="auto" w:sz="2" w:space="0"/>
              <w:bottom w:val="single" w:color="auto" w:sz="2" w:space="0"/>
              <w:right w:val="single" w:color="auto" w:sz="2" w:space="0"/>
            </w:tcBorders>
            <w:vAlign w:val="center"/>
          </w:tcPr>
          <w:p w14:paraId="7D18176A">
            <w:pPr>
              <w:spacing w:line="276" w:lineRule="auto"/>
              <w:ind w:right="162"/>
              <w:jc w:val="left"/>
              <w:rPr>
                <w:szCs w:val="21"/>
              </w:rPr>
            </w:pPr>
            <w:r>
              <w:rPr>
                <w:rFonts w:hint="eastAsia"/>
                <w:lang w:val="en-US" w:eastAsia="zh-CN"/>
              </w:rPr>
              <w:t>7</w:t>
            </w:r>
            <w:r>
              <w:rPr>
                <w:rFonts w:hint="eastAsia"/>
              </w:rPr>
              <w:t>、</w:t>
            </w:r>
            <w:bookmarkStart w:id="96" w:name="OLE_LINK39"/>
            <w:r>
              <w:rPr>
                <w:rFonts w:hint="eastAsia" w:ascii="宋体" w:hAnsi="宋体" w:cs="宋体"/>
                <w:szCs w:val="21"/>
              </w:rPr>
              <w:t>整体人员管理方案（5分）</w:t>
            </w:r>
          </w:p>
          <w:p w14:paraId="24BA61B2">
            <w:pPr>
              <w:spacing w:line="276" w:lineRule="auto"/>
              <w:ind w:right="162"/>
              <w:jc w:val="left"/>
              <w:rPr>
                <w:rFonts w:ascii="宋体" w:hAnsi="宋体" w:cs="宋体"/>
                <w:szCs w:val="21"/>
              </w:rPr>
            </w:pPr>
            <w:r>
              <w:rPr>
                <w:rFonts w:hint="eastAsia" w:ascii="宋体" w:hAnsi="宋体" w:cs="宋体"/>
                <w:szCs w:val="21"/>
              </w:rPr>
              <w:t>根据人员考核方案、奖惩方案、人员培训方案、合同执行期间的人员数量保障方案、人员安全保障措施、人员管理规范等进行评比。</w:t>
            </w:r>
          </w:p>
          <w:bookmarkEnd w:id="96"/>
          <w:p w14:paraId="33EE075B">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ind w:leftChars="0" w:right="0" w:right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①奖惩制度规范、福利待遇明确、能有效保障员工权益、绩效考核制度健全，可以有效实施的得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14:paraId="70FC3E93">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②奖惩制度、绩效考核制度完整、有利管理，福利待遇基本能保证员工权益的得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14:paraId="09B922A9">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③未能明确阐述各项福利待遇，奖惩制度、考核制度存在缺陷，有待改进的得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14:paraId="18D32F20">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④未提供服务奖惩制度规范、福利待遇，实行上略有欠缺的得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14:paraId="698B26C9">
            <w:pPr>
              <w:spacing w:line="276" w:lineRule="auto"/>
              <w:rPr>
                <w:rFonts w:ascii="宋体" w:hAnsi="宋体" w:cs="宋体"/>
                <w:szCs w:val="21"/>
              </w:rPr>
            </w:pPr>
            <w:r>
              <w:rPr>
                <w:rFonts w:hint="eastAsia" w:ascii="宋体" w:hAnsi="宋体" w:cs="宋体"/>
                <w:color w:val="auto"/>
                <w:kern w:val="0"/>
                <w:sz w:val="21"/>
                <w:szCs w:val="21"/>
                <w:highlight w:val="none"/>
              </w:rPr>
              <w:t>⑤未提供相关内容的不得分。</w:t>
            </w:r>
          </w:p>
        </w:tc>
        <w:tc>
          <w:tcPr>
            <w:tcW w:w="767" w:type="dxa"/>
            <w:tcBorders>
              <w:top w:val="single" w:color="auto" w:sz="2" w:space="0"/>
              <w:left w:val="single" w:color="auto" w:sz="2" w:space="0"/>
              <w:bottom w:val="single" w:color="auto" w:sz="2" w:space="0"/>
              <w:right w:val="single" w:color="auto" w:sz="4" w:space="0"/>
            </w:tcBorders>
            <w:vAlign w:val="center"/>
          </w:tcPr>
          <w:p w14:paraId="16B10152">
            <w:pPr>
              <w:spacing w:line="276" w:lineRule="auto"/>
              <w:jc w:val="center"/>
              <w:rPr>
                <w:rFonts w:hint="eastAsia" w:ascii="宋体" w:eastAsia="宋体"/>
                <w:szCs w:val="21"/>
                <w:lang w:val="en-US" w:eastAsia="zh-CN"/>
              </w:rPr>
            </w:pPr>
            <w:r>
              <w:rPr>
                <w:rFonts w:hint="eastAsia" w:ascii="宋体"/>
                <w:szCs w:val="21"/>
                <w:lang w:val="en-US" w:eastAsia="zh-CN"/>
              </w:rPr>
              <w:t>5分</w:t>
            </w:r>
          </w:p>
        </w:tc>
        <w:tc>
          <w:tcPr>
            <w:tcW w:w="867" w:type="dxa"/>
            <w:tcBorders>
              <w:top w:val="single" w:color="auto" w:sz="2" w:space="0"/>
              <w:left w:val="single" w:color="auto" w:sz="4" w:space="0"/>
              <w:bottom w:val="single" w:color="auto" w:sz="2" w:space="0"/>
              <w:right w:val="single" w:color="auto" w:sz="4" w:space="0"/>
            </w:tcBorders>
            <w:vAlign w:val="center"/>
          </w:tcPr>
          <w:p w14:paraId="1CA25EC6">
            <w:pPr>
              <w:spacing w:line="276" w:lineRule="auto"/>
              <w:rPr>
                <w:rFonts w:hint="eastAsia" w:ascii="宋体" w:eastAsia="宋体"/>
                <w:szCs w:val="21"/>
                <w:lang w:eastAsia="zh-CN"/>
              </w:rPr>
            </w:pPr>
            <w:r>
              <w:rPr>
                <w:rFonts w:hint="eastAsia" w:ascii="宋体"/>
                <w:szCs w:val="21"/>
                <w:lang w:eastAsia="zh-CN"/>
              </w:rPr>
              <w:t>主观分</w:t>
            </w:r>
          </w:p>
        </w:tc>
      </w:tr>
      <w:tr w14:paraId="38B4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1" w:hRule="atLeast"/>
        </w:trPr>
        <w:tc>
          <w:tcPr>
            <w:tcW w:w="570" w:type="dxa"/>
            <w:vMerge w:val="continue"/>
            <w:tcBorders>
              <w:left w:val="single" w:color="auto" w:sz="4" w:space="0"/>
              <w:right w:val="single" w:color="auto" w:sz="2" w:space="0"/>
            </w:tcBorders>
            <w:textDirection w:val="tbRlV"/>
            <w:vAlign w:val="center"/>
          </w:tcPr>
          <w:p w14:paraId="72404BCD">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1F5323BB">
            <w:pPr>
              <w:pStyle w:val="37"/>
              <w:ind w:firstLine="0" w:firstLineChars="0"/>
            </w:pPr>
          </w:p>
        </w:tc>
        <w:tc>
          <w:tcPr>
            <w:tcW w:w="7583" w:type="dxa"/>
            <w:gridSpan w:val="3"/>
            <w:tcBorders>
              <w:top w:val="single" w:color="auto" w:sz="2" w:space="0"/>
              <w:left w:val="single" w:color="auto" w:sz="2" w:space="0"/>
              <w:bottom w:val="single" w:color="auto" w:sz="2" w:space="0"/>
              <w:right w:val="single" w:color="auto" w:sz="2" w:space="0"/>
            </w:tcBorders>
            <w:vAlign w:val="center"/>
          </w:tcPr>
          <w:p w14:paraId="0114405E">
            <w:pPr>
              <w:spacing w:line="276" w:lineRule="auto"/>
              <w:rPr>
                <w:szCs w:val="21"/>
              </w:rPr>
            </w:pPr>
            <w:r>
              <w:rPr>
                <w:rFonts w:hint="eastAsia" w:ascii="宋体" w:hAnsi="宋体"/>
                <w:szCs w:val="21"/>
                <w:lang w:val="en-US" w:eastAsia="zh-CN"/>
              </w:rPr>
              <w:t>8</w:t>
            </w:r>
            <w:r>
              <w:rPr>
                <w:rFonts w:hint="eastAsia" w:ascii="宋体" w:hAnsi="宋体"/>
                <w:szCs w:val="21"/>
              </w:rPr>
              <w:t>、</w:t>
            </w:r>
            <w:bookmarkStart w:id="97" w:name="OLE_LINK40"/>
            <w:r>
              <w:rPr>
                <w:rFonts w:hint="eastAsia"/>
                <w:szCs w:val="21"/>
              </w:rPr>
              <w:t>特殊时期的应急保障措施（</w:t>
            </w:r>
            <w:r>
              <w:rPr>
                <w:rFonts w:hint="eastAsia"/>
                <w:szCs w:val="21"/>
                <w:lang w:val="en-US" w:eastAsia="zh-CN"/>
              </w:rPr>
              <w:t>5</w:t>
            </w:r>
            <w:r>
              <w:rPr>
                <w:rFonts w:hint="eastAsia"/>
                <w:szCs w:val="21"/>
              </w:rPr>
              <w:t>分）</w:t>
            </w:r>
          </w:p>
          <w:p w14:paraId="21BF21BE">
            <w:pPr>
              <w:spacing w:line="276" w:lineRule="auto"/>
              <w:ind w:right="162"/>
              <w:jc w:val="left"/>
              <w:rPr>
                <w:szCs w:val="21"/>
              </w:rPr>
            </w:pPr>
            <w:r>
              <w:rPr>
                <w:rFonts w:hint="eastAsia"/>
                <w:szCs w:val="21"/>
              </w:rPr>
              <w:t>投标人针对大型活动、节庆假日、防台防汛期间、创优评优和突击检查、突发事件等特殊时期的应急保障措施进行评议。</w:t>
            </w:r>
          </w:p>
          <w:bookmarkEnd w:id="97"/>
          <w:p w14:paraId="60E99D26">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①方案具体合理有针对性，能应对防汛防台、抗旱等灾害性天气，能协助</w:t>
            </w:r>
            <w:r>
              <w:rPr>
                <w:rFonts w:hint="eastAsia" w:ascii="宋体" w:hAnsi="宋体" w:cs="宋体"/>
                <w:bCs/>
                <w:color w:val="auto"/>
                <w:kern w:val="0"/>
                <w:sz w:val="21"/>
                <w:szCs w:val="21"/>
                <w:highlight w:val="none"/>
                <w:lang w:eastAsia="zh-CN"/>
              </w:rPr>
              <w:t>公路段</w:t>
            </w:r>
            <w:r>
              <w:rPr>
                <w:rFonts w:hint="eastAsia" w:ascii="宋体" w:hAnsi="宋体" w:cs="宋体"/>
                <w:bCs/>
                <w:color w:val="auto"/>
                <w:kern w:val="0"/>
                <w:sz w:val="21"/>
                <w:szCs w:val="21"/>
                <w:highlight w:val="none"/>
              </w:rPr>
              <w:t>及时处理的得</w:t>
            </w:r>
            <w:r>
              <w:rPr>
                <w:rFonts w:hint="eastAsia" w:ascii="宋体" w:hAnsi="宋体" w:cs="宋体"/>
                <w:bCs/>
                <w:color w:val="auto"/>
                <w:kern w:val="0"/>
                <w:sz w:val="21"/>
                <w:szCs w:val="21"/>
                <w:highlight w:val="none"/>
                <w:lang w:val="en-US" w:eastAsia="zh-CN"/>
              </w:rPr>
              <w:t>5</w:t>
            </w:r>
            <w:r>
              <w:rPr>
                <w:rFonts w:hint="eastAsia" w:ascii="宋体" w:hAnsi="宋体" w:cs="宋体"/>
                <w:bCs/>
                <w:color w:val="auto"/>
                <w:kern w:val="0"/>
                <w:sz w:val="21"/>
                <w:szCs w:val="21"/>
                <w:highlight w:val="none"/>
              </w:rPr>
              <w:t>分；</w:t>
            </w:r>
          </w:p>
          <w:p w14:paraId="1B4891D9">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②方案具体合理，能应对大部分突发应急事件的得</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分；</w:t>
            </w:r>
          </w:p>
          <w:p w14:paraId="3F1B0F47">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rPr>
              <w:t>③方案合理，能应对小部分突发应急事件的得</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分</w:t>
            </w:r>
            <w:r>
              <w:rPr>
                <w:rFonts w:hint="eastAsia" w:ascii="宋体" w:hAnsi="宋体" w:cs="宋体"/>
                <w:bCs/>
                <w:color w:val="auto"/>
                <w:kern w:val="0"/>
                <w:sz w:val="21"/>
                <w:szCs w:val="21"/>
                <w:highlight w:val="none"/>
                <w:lang w:eastAsia="zh-CN"/>
              </w:rPr>
              <w:t>；</w:t>
            </w:r>
          </w:p>
          <w:p w14:paraId="1F2FF538">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rPr>
              <w:t>④方案</w:t>
            </w:r>
            <w:r>
              <w:rPr>
                <w:rFonts w:hint="eastAsia" w:ascii="宋体" w:hAnsi="宋体" w:cs="宋体"/>
                <w:bCs/>
                <w:color w:val="auto"/>
                <w:kern w:val="0"/>
                <w:sz w:val="21"/>
                <w:szCs w:val="21"/>
                <w:highlight w:val="none"/>
                <w:lang w:val="en-US" w:eastAsia="zh-CN"/>
              </w:rPr>
              <w:t>欠</w:t>
            </w:r>
            <w:r>
              <w:rPr>
                <w:rFonts w:hint="eastAsia" w:ascii="宋体" w:hAnsi="宋体" w:cs="宋体"/>
                <w:bCs/>
                <w:color w:val="auto"/>
                <w:kern w:val="0"/>
                <w:sz w:val="21"/>
                <w:szCs w:val="21"/>
                <w:highlight w:val="none"/>
              </w:rPr>
              <w:t>合理，应对突发应急事件</w:t>
            </w:r>
            <w:r>
              <w:rPr>
                <w:rFonts w:hint="eastAsia" w:ascii="宋体" w:hAnsi="宋体" w:cs="宋体"/>
                <w:bCs/>
                <w:color w:val="auto"/>
                <w:kern w:val="0"/>
                <w:sz w:val="21"/>
                <w:szCs w:val="21"/>
                <w:highlight w:val="none"/>
                <w:lang w:val="en-US" w:eastAsia="zh-CN"/>
              </w:rPr>
              <w:t>措施不足</w:t>
            </w:r>
            <w:r>
              <w:rPr>
                <w:rFonts w:hint="eastAsia" w:ascii="宋体" w:hAnsi="宋体" w:cs="宋体"/>
                <w:bCs/>
                <w:color w:val="auto"/>
                <w:kern w:val="0"/>
                <w:sz w:val="21"/>
                <w:szCs w:val="21"/>
                <w:highlight w:val="none"/>
              </w:rPr>
              <w:t>的得</w:t>
            </w:r>
            <w:r>
              <w:rPr>
                <w:rFonts w:hint="eastAsia" w:ascii="宋体" w:hAnsi="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rPr>
              <w:t>分</w:t>
            </w:r>
            <w:r>
              <w:rPr>
                <w:rFonts w:hint="eastAsia" w:ascii="宋体" w:hAnsi="宋体" w:cs="宋体"/>
                <w:bCs/>
                <w:color w:val="auto"/>
                <w:kern w:val="0"/>
                <w:sz w:val="21"/>
                <w:szCs w:val="21"/>
                <w:highlight w:val="none"/>
                <w:lang w:eastAsia="zh-CN"/>
              </w:rPr>
              <w:t>；</w:t>
            </w:r>
          </w:p>
          <w:p w14:paraId="77163EDF">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⑤</w:t>
            </w:r>
            <w:r>
              <w:rPr>
                <w:rFonts w:hint="eastAsia" w:ascii="宋体" w:hAnsi="宋体" w:cs="宋体"/>
                <w:bCs/>
                <w:color w:val="auto"/>
                <w:kern w:val="0"/>
                <w:sz w:val="21"/>
                <w:szCs w:val="21"/>
                <w:highlight w:val="none"/>
              </w:rPr>
              <w:t>应对措施不完整的得</w:t>
            </w: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rPr>
              <w:t>分；</w:t>
            </w:r>
          </w:p>
          <w:p w14:paraId="7F0EE28C">
            <w:pPr>
              <w:spacing w:line="276" w:lineRule="auto"/>
              <w:rPr>
                <w:rFonts w:ascii="宋体" w:hAnsi="宋体" w:cs="宋体"/>
                <w:szCs w:val="21"/>
              </w:rPr>
            </w:pPr>
            <w:r>
              <w:rPr>
                <w:rFonts w:hint="eastAsia" w:ascii="宋体" w:hAnsi="宋体" w:cs="宋体"/>
                <w:bCs/>
                <w:color w:val="auto"/>
                <w:kern w:val="0"/>
                <w:sz w:val="21"/>
                <w:szCs w:val="21"/>
                <w:highlight w:val="none"/>
                <w:lang w:val="en-US" w:eastAsia="zh-CN"/>
              </w:rPr>
              <w:t>⑥</w:t>
            </w:r>
            <w:r>
              <w:rPr>
                <w:rFonts w:hint="eastAsia" w:ascii="宋体" w:hAnsi="宋体" w:cs="宋体"/>
                <w:bCs/>
                <w:color w:val="auto"/>
                <w:kern w:val="0"/>
                <w:sz w:val="21"/>
                <w:szCs w:val="21"/>
                <w:highlight w:val="none"/>
              </w:rPr>
              <w:t>未提供相关内容的不得分。</w:t>
            </w:r>
          </w:p>
        </w:tc>
        <w:tc>
          <w:tcPr>
            <w:tcW w:w="767" w:type="dxa"/>
            <w:tcBorders>
              <w:top w:val="single" w:color="auto" w:sz="2" w:space="0"/>
              <w:left w:val="single" w:color="auto" w:sz="2" w:space="0"/>
              <w:bottom w:val="single" w:color="auto" w:sz="2" w:space="0"/>
              <w:right w:val="single" w:color="auto" w:sz="4" w:space="0"/>
            </w:tcBorders>
            <w:vAlign w:val="center"/>
          </w:tcPr>
          <w:p w14:paraId="1E3DE8E1">
            <w:pPr>
              <w:spacing w:line="276"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5分</w:t>
            </w:r>
          </w:p>
        </w:tc>
        <w:tc>
          <w:tcPr>
            <w:tcW w:w="867" w:type="dxa"/>
            <w:tcBorders>
              <w:top w:val="single" w:color="auto" w:sz="2" w:space="0"/>
              <w:left w:val="single" w:color="auto" w:sz="4" w:space="0"/>
              <w:bottom w:val="single" w:color="auto" w:sz="2" w:space="0"/>
              <w:right w:val="single" w:color="auto" w:sz="4" w:space="0"/>
            </w:tcBorders>
            <w:vAlign w:val="center"/>
          </w:tcPr>
          <w:p w14:paraId="19B6F8FA">
            <w:pPr>
              <w:spacing w:line="276" w:lineRule="auto"/>
              <w:rPr>
                <w:rFonts w:hint="eastAsia" w:ascii="宋体" w:hAnsi="宋体" w:eastAsia="宋体" w:cs="宋体"/>
                <w:bCs/>
                <w:szCs w:val="21"/>
                <w:lang w:eastAsia="zh-CN"/>
              </w:rPr>
            </w:pPr>
            <w:r>
              <w:rPr>
                <w:rFonts w:hint="eastAsia" w:ascii="宋体" w:hAnsi="宋体" w:cs="宋体"/>
                <w:bCs/>
                <w:szCs w:val="21"/>
                <w:lang w:eastAsia="zh-CN"/>
              </w:rPr>
              <w:t>主观分</w:t>
            </w:r>
          </w:p>
        </w:tc>
      </w:tr>
      <w:tr w14:paraId="4B2B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6" w:hRule="atLeast"/>
        </w:trPr>
        <w:tc>
          <w:tcPr>
            <w:tcW w:w="570" w:type="dxa"/>
            <w:vMerge w:val="continue"/>
            <w:tcBorders>
              <w:left w:val="single" w:color="auto" w:sz="4" w:space="0"/>
              <w:right w:val="single" w:color="auto" w:sz="2" w:space="0"/>
            </w:tcBorders>
            <w:textDirection w:val="tbRlV"/>
            <w:vAlign w:val="center"/>
          </w:tcPr>
          <w:p w14:paraId="6946BF2E">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109655B2">
            <w:pPr>
              <w:pStyle w:val="37"/>
              <w:ind w:firstLine="0" w:firstLineChars="0"/>
            </w:pPr>
          </w:p>
        </w:tc>
        <w:tc>
          <w:tcPr>
            <w:tcW w:w="7583" w:type="dxa"/>
            <w:gridSpan w:val="3"/>
            <w:tcBorders>
              <w:top w:val="single" w:color="auto" w:sz="2" w:space="0"/>
              <w:left w:val="single" w:color="auto" w:sz="2" w:space="0"/>
              <w:bottom w:val="single" w:color="auto" w:sz="2" w:space="0"/>
              <w:right w:val="single" w:color="auto" w:sz="2" w:space="0"/>
            </w:tcBorders>
            <w:vAlign w:val="center"/>
          </w:tcPr>
          <w:p w14:paraId="09018105">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养护重点、难点，解决方法及措施</w:t>
            </w:r>
          </w:p>
          <w:p w14:paraId="1F91BD4C">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根据供应商针对养护区域的重点、难点分析是否切合本养护区域的实际情况进行评议。</w:t>
            </w:r>
          </w:p>
          <w:p w14:paraId="743EA90C">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①供应商能够准确理解各标段养护不同的重点难点（四季交替时节、人流量较大的节假日、环境复杂处等）、关键点分析到位、契合项目实际情况，且解决方案有利于项目后期开展的得</w:t>
            </w:r>
            <w:r>
              <w:rPr>
                <w:rFonts w:hint="eastAsia" w:ascii="宋体" w:hAnsi="宋体" w:cs="宋体"/>
                <w:bCs/>
                <w:color w:val="auto"/>
                <w:kern w:val="0"/>
                <w:sz w:val="21"/>
                <w:szCs w:val="21"/>
                <w:highlight w:val="none"/>
                <w:lang w:val="en-US" w:eastAsia="zh-CN"/>
              </w:rPr>
              <w:t>5</w:t>
            </w:r>
            <w:r>
              <w:rPr>
                <w:rFonts w:hint="eastAsia" w:ascii="宋体" w:hAnsi="宋体" w:cs="宋体"/>
                <w:bCs/>
                <w:color w:val="auto"/>
                <w:kern w:val="0"/>
                <w:sz w:val="21"/>
                <w:szCs w:val="21"/>
                <w:highlight w:val="none"/>
              </w:rPr>
              <w:t>分；</w:t>
            </w:r>
          </w:p>
          <w:p w14:paraId="0C0A04DA">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②供应商能够较为全面地理解各标段养护不同的重点难点（四季交替时节、人流量较大的节假日、环境复杂处等）重点、关键点分析基本符合项目情况；解决方案基本达到要求、对项目后期开展不会造成影响的得</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分；</w:t>
            </w:r>
          </w:p>
          <w:p w14:paraId="028D8A32">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③各标段养护的重点、关键点分析不够准确；解决方案不够合理的得</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分；</w:t>
            </w:r>
          </w:p>
          <w:p w14:paraId="6ACB033A">
            <w:pPr>
              <w:spacing w:line="276" w:lineRule="auto"/>
              <w:ind w:right="164"/>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④</w:t>
            </w:r>
            <w:r>
              <w:rPr>
                <w:rFonts w:hint="eastAsia" w:ascii="宋体" w:hAnsi="宋体" w:cs="宋体"/>
                <w:bCs/>
                <w:color w:val="auto"/>
                <w:kern w:val="0"/>
                <w:sz w:val="21"/>
                <w:szCs w:val="21"/>
                <w:highlight w:val="none"/>
                <w:lang w:eastAsia="zh-CN"/>
              </w:rPr>
              <w:t>未有针对性的重点、难点分析；解决方案不合理的，得</w:t>
            </w:r>
            <w:r>
              <w:rPr>
                <w:rFonts w:hint="eastAsia" w:ascii="宋体" w:hAnsi="宋体" w:cs="宋体"/>
                <w:bCs/>
                <w:color w:val="auto"/>
                <w:kern w:val="0"/>
                <w:sz w:val="21"/>
                <w:szCs w:val="21"/>
                <w:highlight w:val="none"/>
                <w:lang w:val="en-US" w:eastAsia="zh-CN"/>
              </w:rPr>
              <w:t>1分</w:t>
            </w:r>
            <w:r>
              <w:rPr>
                <w:rFonts w:hint="eastAsia" w:ascii="宋体" w:hAnsi="宋体" w:cs="宋体"/>
                <w:bCs/>
                <w:color w:val="auto"/>
                <w:kern w:val="0"/>
                <w:sz w:val="21"/>
                <w:szCs w:val="21"/>
                <w:highlight w:val="none"/>
              </w:rPr>
              <w:t>。</w:t>
            </w:r>
          </w:p>
          <w:p w14:paraId="4702C3AA">
            <w:pPr>
              <w:spacing w:line="276" w:lineRule="auto"/>
              <w:ind w:right="164"/>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⑤</w:t>
            </w:r>
            <w:r>
              <w:rPr>
                <w:rFonts w:hint="eastAsia" w:ascii="宋体" w:hAnsi="宋体" w:cs="宋体"/>
                <w:bCs/>
                <w:color w:val="auto"/>
                <w:kern w:val="0"/>
                <w:sz w:val="21"/>
                <w:szCs w:val="21"/>
                <w:highlight w:val="none"/>
              </w:rPr>
              <w:t>未提供相关内容的不得分。</w:t>
            </w:r>
          </w:p>
        </w:tc>
        <w:tc>
          <w:tcPr>
            <w:tcW w:w="767" w:type="dxa"/>
            <w:tcBorders>
              <w:top w:val="single" w:color="auto" w:sz="2" w:space="0"/>
              <w:left w:val="single" w:color="auto" w:sz="2" w:space="0"/>
              <w:bottom w:val="single" w:color="auto" w:sz="2" w:space="0"/>
              <w:right w:val="single" w:color="auto" w:sz="4" w:space="0"/>
            </w:tcBorders>
            <w:vAlign w:val="center"/>
          </w:tcPr>
          <w:p w14:paraId="5B070EA6">
            <w:pPr>
              <w:spacing w:line="276" w:lineRule="auto"/>
              <w:ind w:right="164"/>
              <w:jc w:val="center"/>
              <w:rPr>
                <w:rFonts w:hint="eastAsia" w:eastAsia="宋体"/>
                <w:lang w:val="en-US" w:eastAsia="zh-CN"/>
              </w:rPr>
            </w:pPr>
            <w:r>
              <w:rPr>
                <w:rFonts w:hint="eastAsia"/>
                <w:lang w:val="en-US" w:eastAsia="zh-CN"/>
              </w:rPr>
              <w:t>5分</w:t>
            </w:r>
          </w:p>
        </w:tc>
        <w:tc>
          <w:tcPr>
            <w:tcW w:w="867" w:type="dxa"/>
            <w:tcBorders>
              <w:top w:val="single" w:color="auto" w:sz="2" w:space="0"/>
              <w:left w:val="single" w:color="auto" w:sz="4" w:space="0"/>
              <w:bottom w:val="single" w:color="auto" w:sz="2" w:space="0"/>
              <w:right w:val="single" w:color="auto" w:sz="4" w:space="0"/>
            </w:tcBorders>
            <w:vAlign w:val="center"/>
          </w:tcPr>
          <w:p w14:paraId="44FA6C9E">
            <w:pPr>
              <w:spacing w:line="276" w:lineRule="auto"/>
              <w:ind w:right="164"/>
              <w:jc w:val="center"/>
              <w:rPr>
                <w:rFonts w:hint="eastAsia" w:eastAsia="宋体"/>
                <w:lang w:eastAsia="zh-CN"/>
              </w:rPr>
            </w:pPr>
            <w:r>
              <w:rPr>
                <w:rFonts w:hint="eastAsia"/>
                <w:lang w:eastAsia="zh-CN"/>
              </w:rPr>
              <w:t>主观分</w:t>
            </w:r>
          </w:p>
        </w:tc>
      </w:tr>
      <w:tr w14:paraId="4503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6" w:hRule="atLeast"/>
        </w:trPr>
        <w:tc>
          <w:tcPr>
            <w:tcW w:w="570" w:type="dxa"/>
            <w:vMerge w:val="continue"/>
            <w:tcBorders>
              <w:left w:val="single" w:color="auto" w:sz="4" w:space="0"/>
              <w:right w:val="single" w:color="auto" w:sz="2" w:space="0"/>
            </w:tcBorders>
            <w:vAlign w:val="center"/>
          </w:tcPr>
          <w:p w14:paraId="2BD447B0">
            <w:pPr>
              <w:spacing w:line="320" w:lineRule="exact"/>
              <w:ind w:right="162"/>
              <w:jc w:val="center"/>
              <w:rPr>
                <w:szCs w:val="21"/>
              </w:rPr>
            </w:pPr>
          </w:p>
        </w:tc>
        <w:tc>
          <w:tcPr>
            <w:tcW w:w="877" w:type="dxa"/>
            <w:vMerge w:val="restart"/>
            <w:tcBorders>
              <w:top w:val="single" w:color="auto" w:sz="2" w:space="0"/>
              <w:left w:val="single" w:color="auto" w:sz="2" w:space="0"/>
              <w:right w:val="single" w:color="auto" w:sz="2" w:space="0"/>
            </w:tcBorders>
            <w:vAlign w:val="center"/>
          </w:tcPr>
          <w:p w14:paraId="5FC229A1">
            <w:pPr>
              <w:spacing w:line="276" w:lineRule="auto"/>
              <w:ind w:right="162"/>
              <w:jc w:val="left"/>
              <w:rPr>
                <w:szCs w:val="21"/>
                <w:highlight w:val="none"/>
              </w:rPr>
            </w:pPr>
            <w:bookmarkStart w:id="98" w:name="OLE_LINK42"/>
            <w:r>
              <w:rPr>
                <w:rFonts w:hint="eastAsia"/>
                <w:szCs w:val="21"/>
                <w:highlight w:val="none"/>
              </w:rPr>
              <w:t>企业综合实力（</w:t>
            </w:r>
            <w:r>
              <w:rPr>
                <w:rFonts w:hint="eastAsia"/>
                <w:szCs w:val="21"/>
                <w:highlight w:val="none"/>
                <w:lang w:val="en-US" w:eastAsia="zh-CN"/>
              </w:rPr>
              <w:t>25</w:t>
            </w:r>
            <w:r>
              <w:rPr>
                <w:rFonts w:hint="eastAsia"/>
                <w:szCs w:val="21"/>
                <w:highlight w:val="none"/>
              </w:rPr>
              <w:t>分）</w:t>
            </w:r>
          </w:p>
          <w:bookmarkEnd w:id="98"/>
          <w:p w14:paraId="4DCA5817">
            <w:pPr>
              <w:spacing w:line="276" w:lineRule="auto"/>
              <w:jc w:val="left"/>
              <w:rPr>
                <w:rFonts w:ascii="宋体" w:hAnsi="宋体" w:cs="FangSong_GB2312,Bold"/>
                <w:bCs/>
                <w:highlight w:val="none"/>
              </w:rPr>
            </w:pPr>
            <w:r>
              <w:rPr>
                <w:rFonts w:ascii="宋体" w:hAnsi="宋体" w:cs="FangSong_GB2312,Bold"/>
                <w:bCs/>
                <w:highlight w:val="none"/>
              </w:rPr>
              <w:t xml:space="preserve"> </w:t>
            </w:r>
          </w:p>
        </w:tc>
        <w:tc>
          <w:tcPr>
            <w:tcW w:w="972" w:type="dxa"/>
            <w:vMerge w:val="restart"/>
            <w:tcBorders>
              <w:top w:val="single" w:color="auto" w:sz="2" w:space="0"/>
              <w:left w:val="single" w:color="auto" w:sz="2" w:space="0"/>
              <w:right w:val="single" w:color="auto" w:sz="4" w:space="0"/>
            </w:tcBorders>
            <w:vAlign w:val="center"/>
          </w:tcPr>
          <w:p w14:paraId="5A70978F">
            <w:pPr>
              <w:spacing w:line="276" w:lineRule="auto"/>
              <w:ind w:right="162"/>
              <w:jc w:val="left"/>
              <w:rPr>
                <w:highlight w:val="none"/>
              </w:rPr>
            </w:pPr>
            <w:r>
              <w:rPr>
                <w:rFonts w:hint="eastAsia"/>
                <w:highlight w:val="none"/>
                <w:lang w:val="en-US" w:eastAsia="zh-CN"/>
              </w:rPr>
              <w:t>10</w:t>
            </w:r>
            <w:r>
              <w:rPr>
                <w:rFonts w:hint="eastAsia"/>
                <w:highlight w:val="none"/>
              </w:rPr>
              <w:t>、养护团队人员配置（8分）</w:t>
            </w:r>
          </w:p>
          <w:p w14:paraId="26350C35">
            <w:pPr>
              <w:spacing w:line="276" w:lineRule="auto"/>
              <w:ind w:right="162"/>
              <w:jc w:val="left"/>
              <w:rPr>
                <w:highlight w:val="none"/>
              </w:rPr>
            </w:pPr>
          </w:p>
        </w:tc>
        <w:tc>
          <w:tcPr>
            <w:tcW w:w="6611" w:type="dxa"/>
            <w:gridSpan w:val="2"/>
            <w:tcBorders>
              <w:top w:val="single" w:color="auto" w:sz="2" w:space="0"/>
              <w:left w:val="single" w:color="auto" w:sz="4" w:space="0"/>
              <w:bottom w:val="single" w:color="auto" w:sz="4" w:space="0"/>
              <w:right w:val="single" w:color="auto" w:sz="2" w:space="0"/>
            </w:tcBorders>
            <w:vAlign w:val="center"/>
          </w:tcPr>
          <w:p w14:paraId="33A93D76">
            <w:pPr>
              <w:spacing w:line="276" w:lineRule="auto"/>
              <w:ind w:right="162"/>
              <w:jc w:val="left"/>
              <w:rPr>
                <w:highlight w:val="none"/>
              </w:rPr>
            </w:pPr>
            <w:r>
              <w:rPr>
                <w:rFonts w:hint="eastAsia"/>
                <w:highlight w:val="none"/>
              </w:rPr>
              <w:t>（1）项目负责人：同时具有园林绿化专业</w:t>
            </w:r>
            <w:r>
              <w:rPr>
                <w:highlight w:val="none"/>
              </w:rPr>
              <w:t>中级及以上职称</w:t>
            </w:r>
            <w:r>
              <w:rPr>
                <w:rFonts w:hint="eastAsia"/>
                <w:highlight w:val="none"/>
              </w:rPr>
              <w:t>和市政公用（或公路工程）二级建造师证书及以上的得2分。（须提供证书及投标人为其缴纳的开标前近</w:t>
            </w:r>
            <w:r>
              <w:rPr>
                <w:rFonts w:hint="eastAsia"/>
                <w:highlight w:val="none"/>
                <w:lang w:eastAsia="zh-CN"/>
              </w:rPr>
              <w:t>三个月来任意时间</w:t>
            </w:r>
            <w:r>
              <w:rPr>
                <w:rFonts w:hint="eastAsia"/>
                <w:highlight w:val="none"/>
              </w:rPr>
              <w:t>的社保证明复印件加盖公章编入投标文件</w:t>
            </w:r>
            <w:r>
              <w:rPr>
                <w:rFonts w:hint="eastAsia"/>
                <w:highlight w:val="none"/>
                <w:lang w:eastAsia="zh-CN"/>
              </w:rPr>
              <w:t>，无社保不得分，不接受退休返聘人员</w:t>
            </w:r>
            <w:r>
              <w:rPr>
                <w:rFonts w:hint="eastAsia"/>
                <w:highlight w:val="none"/>
              </w:rPr>
              <w:t>）</w:t>
            </w:r>
            <w:r>
              <w:rPr>
                <w:rFonts w:hint="eastAsia"/>
                <w:highlight w:val="none"/>
                <w:lang w:eastAsia="zh-CN"/>
              </w:rPr>
              <w:t>。</w:t>
            </w:r>
          </w:p>
        </w:tc>
        <w:tc>
          <w:tcPr>
            <w:tcW w:w="767" w:type="dxa"/>
            <w:tcBorders>
              <w:top w:val="single" w:color="auto" w:sz="2" w:space="0"/>
              <w:left w:val="single" w:color="auto" w:sz="2" w:space="0"/>
              <w:bottom w:val="single" w:color="auto" w:sz="4" w:space="0"/>
              <w:right w:val="single" w:color="auto" w:sz="4" w:space="0"/>
            </w:tcBorders>
            <w:vAlign w:val="center"/>
          </w:tcPr>
          <w:p w14:paraId="49933243">
            <w:pPr>
              <w:spacing w:line="276" w:lineRule="auto"/>
              <w:ind w:right="162"/>
              <w:jc w:val="center"/>
              <w:rPr>
                <w:rFonts w:hint="eastAsia" w:eastAsia="宋体"/>
                <w:highlight w:val="none"/>
                <w:lang w:val="en-US" w:eastAsia="zh-CN"/>
              </w:rPr>
            </w:pPr>
            <w:r>
              <w:rPr>
                <w:rFonts w:hint="eastAsia"/>
                <w:highlight w:val="none"/>
                <w:lang w:val="en-US" w:eastAsia="zh-CN"/>
              </w:rPr>
              <w:t>2分</w:t>
            </w:r>
          </w:p>
        </w:tc>
        <w:tc>
          <w:tcPr>
            <w:tcW w:w="867" w:type="dxa"/>
            <w:tcBorders>
              <w:top w:val="single" w:color="auto" w:sz="2" w:space="0"/>
              <w:left w:val="single" w:color="auto" w:sz="4" w:space="0"/>
              <w:bottom w:val="single" w:color="auto" w:sz="4" w:space="0"/>
              <w:right w:val="single" w:color="auto" w:sz="4" w:space="0"/>
            </w:tcBorders>
            <w:vAlign w:val="center"/>
          </w:tcPr>
          <w:p w14:paraId="2D38BBE3">
            <w:pPr>
              <w:spacing w:line="276" w:lineRule="auto"/>
              <w:ind w:right="162"/>
              <w:jc w:val="center"/>
              <w:rPr>
                <w:rFonts w:hint="eastAsia" w:eastAsia="宋体"/>
                <w:highlight w:val="none"/>
                <w:lang w:eastAsia="zh-CN"/>
              </w:rPr>
            </w:pPr>
            <w:r>
              <w:rPr>
                <w:rFonts w:hint="eastAsia"/>
                <w:highlight w:val="none"/>
                <w:lang w:eastAsia="zh-CN"/>
              </w:rPr>
              <w:t>客观分</w:t>
            </w:r>
          </w:p>
        </w:tc>
      </w:tr>
      <w:tr w14:paraId="349B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4" w:hRule="atLeast"/>
        </w:trPr>
        <w:tc>
          <w:tcPr>
            <w:tcW w:w="570" w:type="dxa"/>
            <w:vMerge w:val="continue"/>
            <w:tcBorders>
              <w:left w:val="single" w:color="auto" w:sz="4" w:space="0"/>
              <w:right w:val="single" w:color="auto" w:sz="2" w:space="0"/>
            </w:tcBorders>
            <w:vAlign w:val="center"/>
          </w:tcPr>
          <w:p w14:paraId="694AE55E">
            <w:pPr>
              <w:spacing w:line="320" w:lineRule="exact"/>
              <w:ind w:right="162"/>
              <w:jc w:val="center"/>
              <w:rPr>
                <w:szCs w:val="21"/>
              </w:rPr>
            </w:pPr>
          </w:p>
        </w:tc>
        <w:tc>
          <w:tcPr>
            <w:tcW w:w="877" w:type="dxa"/>
            <w:vMerge w:val="continue"/>
            <w:tcBorders>
              <w:left w:val="single" w:color="auto" w:sz="2" w:space="0"/>
              <w:right w:val="single" w:color="auto" w:sz="2" w:space="0"/>
            </w:tcBorders>
            <w:vAlign w:val="center"/>
          </w:tcPr>
          <w:p w14:paraId="11106AB5">
            <w:pPr>
              <w:spacing w:line="276" w:lineRule="auto"/>
              <w:jc w:val="left"/>
              <w:rPr>
                <w:rFonts w:ascii="宋体" w:hAnsi="宋体" w:cs="FangSong_GB2312,Bold"/>
                <w:bCs/>
                <w:highlight w:val="none"/>
              </w:rPr>
            </w:pPr>
          </w:p>
        </w:tc>
        <w:tc>
          <w:tcPr>
            <w:tcW w:w="972" w:type="dxa"/>
            <w:vMerge w:val="continue"/>
            <w:tcBorders>
              <w:left w:val="single" w:color="auto" w:sz="2" w:space="0"/>
              <w:right w:val="single" w:color="auto" w:sz="4" w:space="0"/>
            </w:tcBorders>
            <w:vAlign w:val="center"/>
          </w:tcPr>
          <w:p w14:paraId="11829D46">
            <w:pPr>
              <w:spacing w:line="276" w:lineRule="auto"/>
              <w:ind w:right="162"/>
              <w:jc w:val="left"/>
              <w:rPr>
                <w:highlight w:val="none"/>
              </w:rPr>
            </w:pPr>
          </w:p>
        </w:tc>
        <w:tc>
          <w:tcPr>
            <w:tcW w:w="6611" w:type="dxa"/>
            <w:gridSpan w:val="2"/>
            <w:tcBorders>
              <w:top w:val="single" w:color="auto" w:sz="4" w:space="0"/>
              <w:left w:val="single" w:color="auto" w:sz="4" w:space="0"/>
              <w:right w:val="single" w:color="auto" w:sz="2" w:space="0"/>
            </w:tcBorders>
            <w:vAlign w:val="center"/>
          </w:tcPr>
          <w:p w14:paraId="2EE51E8F">
            <w:pPr>
              <w:spacing w:line="276" w:lineRule="auto"/>
              <w:ind w:right="162"/>
              <w:jc w:val="left"/>
              <w:rPr>
                <w:highlight w:val="none"/>
              </w:rPr>
            </w:pPr>
            <w:r>
              <w:rPr>
                <w:rFonts w:hint="eastAsia"/>
                <w:highlight w:val="none"/>
              </w:rPr>
              <w:t>（2）项目其他人员（除项目负责人外）：项目其他人员具有园林绿化专业</w:t>
            </w:r>
            <w:r>
              <w:rPr>
                <w:highlight w:val="none"/>
              </w:rPr>
              <w:t>中级及以上职称的</w:t>
            </w:r>
            <w:r>
              <w:rPr>
                <w:rFonts w:hint="eastAsia"/>
                <w:highlight w:val="none"/>
              </w:rPr>
              <w:t>，每个得1分，本项最高得2分。（须提供职称证书及投标人为其缴纳的开标前近</w:t>
            </w:r>
            <w:r>
              <w:rPr>
                <w:rFonts w:hint="eastAsia"/>
                <w:highlight w:val="none"/>
                <w:lang w:eastAsia="zh-CN"/>
              </w:rPr>
              <w:t>三个月来任意时间</w:t>
            </w:r>
            <w:r>
              <w:rPr>
                <w:rFonts w:hint="eastAsia"/>
                <w:highlight w:val="none"/>
              </w:rPr>
              <w:t>的社保证明复印件加盖公章编入投标文件</w:t>
            </w:r>
            <w:r>
              <w:rPr>
                <w:rFonts w:hint="eastAsia"/>
                <w:highlight w:val="none"/>
                <w:lang w:eastAsia="zh-CN"/>
              </w:rPr>
              <w:t>，无社保不得分，不接受退休返聘人员</w:t>
            </w:r>
            <w:r>
              <w:rPr>
                <w:rFonts w:hint="eastAsia"/>
                <w:highlight w:val="none"/>
              </w:rPr>
              <w:t>）</w:t>
            </w:r>
            <w:r>
              <w:rPr>
                <w:rFonts w:hint="eastAsia"/>
                <w:highlight w:val="none"/>
                <w:lang w:eastAsia="zh-CN"/>
              </w:rPr>
              <w:t>。</w:t>
            </w:r>
          </w:p>
        </w:tc>
        <w:tc>
          <w:tcPr>
            <w:tcW w:w="767" w:type="dxa"/>
            <w:tcBorders>
              <w:top w:val="single" w:color="auto" w:sz="4" w:space="0"/>
              <w:left w:val="single" w:color="auto" w:sz="2" w:space="0"/>
              <w:right w:val="single" w:color="auto" w:sz="4" w:space="0"/>
            </w:tcBorders>
            <w:vAlign w:val="center"/>
          </w:tcPr>
          <w:p w14:paraId="056E327E">
            <w:pPr>
              <w:spacing w:line="276" w:lineRule="auto"/>
              <w:ind w:right="162"/>
              <w:jc w:val="center"/>
              <w:rPr>
                <w:rFonts w:hint="eastAsia" w:eastAsia="宋体"/>
                <w:highlight w:val="none"/>
                <w:lang w:val="en-US" w:eastAsia="zh-CN"/>
              </w:rPr>
            </w:pPr>
            <w:r>
              <w:rPr>
                <w:rFonts w:hint="eastAsia"/>
                <w:highlight w:val="none"/>
                <w:lang w:val="en-US" w:eastAsia="zh-CN"/>
              </w:rPr>
              <w:t>2分</w:t>
            </w:r>
          </w:p>
        </w:tc>
        <w:tc>
          <w:tcPr>
            <w:tcW w:w="867" w:type="dxa"/>
            <w:tcBorders>
              <w:top w:val="single" w:color="auto" w:sz="4" w:space="0"/>
              <w:left w:val="single" w:color="auto" w:sz="4" w:space="0"/>
              <w:right w:val="single" w:color="auto" w:sz="4" w:space="0"/>
            </w:tcBorders>
            <w:vAlign w:val="center"/>
          </w:tcPr>
          <w:p w14:paraId="5BB945E7">
            <w:pPr>
              <w:spacing w:line="276" w:lineRule="auto"/>
              <w:ind w:right="162"/>
              <w:jc w:val="center"/>
              <w:rPr>
                <w:rFonts w:hint="eastAsia" w:eastAsia="宋体"/>
                <w:highlight w:val="none"/>
                <w:lang w:eastAsia="zh-CN"/>
              </w:rPr>
            </w:pPr>
            <w:r>
              <w:rPr>
                <w:rFonts w:hint="eastAsia"/>
                <w:highlight w:val="none"/>
                <w:lang w:eastAsia="zh-CN"/>
              </w:rPr>
              <w:t>客观分</w:t>
            </w:r>
          </w:p>
        </w:tc>
      </w:tr>
      <w:tr w14:paraId="0896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2" w:hRule="atLeast"/>
        </w:trPr>
        <w:tc>
          <w:tcPr>
            <w:tcW w:w="570" w:type="dxa"/>
            <w:vMerge w:val="continue"/>
            <w:tcBorders>
              <w:left w:val="single" w:color="auto" w:sz="4" w:space="0"/>
              <w:right w:val="single" w:color="auto" w:sz="2" w:space="0"/>
            </w:tcBorders>
            <w:vAlign w:val="center"/>
          </w:tcPr>
          <w:p w14:paraId="5C445FFE">
            <w:pPr>
              <w:spacing w:line="320" w:lineRule="exact"/>
              <w:ind w:right="162"/>
              <w:jc w:val="center"/>
              <w:rPr>
                <w:szCs w:val="21"/>
              </w:rPr>
            </w:pPr>
          </w:p>
        </w:tc>
        <w:tc>
          <w:tcPr>
            <w:tcW w:w="877" w:type="dxa"/>
            <w:vMerge w:val="continue"/>
            <w:tcBorders>
              <w:left w:val="single" w:color="auto" w:sz="2" w:space="0"/>
              <w:right w:val="single" w:color="auto" w:sz="2" w:space="0"/>
            </w:tcBorders>
            <w:vAlign w:val="center"/>
          </w:tcPr>
          <w:p w14:paraId="19D4860B">
            <w:pPr>
              <w:spacing w:line="276" w:lineRule="auto"/>
              <w:jc w:val="left"/>
              <w:rPr>
                <w:rFonts w:ascii="宋体" w:hAnsi="宋体" w:cs="FangSong_GB2312,Bold"/>
                <w:bCs/>
                <w:highlight w:val="none"/>
              </w:rPr>
            </w:pPr>
          </w:p>
        </w:tc>
        <w:tc>
          <w:tcPr>
            <w:tcW w:w="972" w:type="dxa"/>
            <w:vMerge w:val="continue"/>
            <w:tcBorders>
              <w:left w:val="single" w:color="auto" w:sz="2" w:space="0"/>
              <w:right w:val="single" w:color="auto" w:sz="4" w:space="0"/>
            </w:tcBorders>
            <w:vAlign w:val="center"/>
          </w:tcPr>
          <w:p w14:paraId="61AF9929">
            <w:pPr>
              <w:spacing w:line="276" w:lineRule="auto"/>
              <w:ind w:right="162"/>
              <w:jc w:val="left"/>
              <w:rPr>
                <w:highlight w:val="none"/>
              </w:rPr>
            </w:pPr>
          </w:p>
        </w:tc>
        <w:tc>
          <w:tcPr>
            <w:tcW w:w="6611" w:type="dxa"/>
            <w:gridSpan w:val="2"/>
            <w:tcBorders>
              <w:top w:val="single" w:color="auto" w:sz="4" w:space="0"/>
              <w:left w:val="single" w:color="auto" w:sz="4" w:space="0"/>
              <w:right w:val="single" w:color="auto" w:sz="2" w:space="0"/>
            </w:tcBorders>
            <w:vAlign w:val="center"/>
          </w:tcPr>
          <w:p w14:paraId="472AEB86">
            <w:pPr>
              <w:spacing w:line="276" w:lineRule="auto"/>
              <w:ind w:right="162"/>
              <w:jc w:val="left"/>
              <w:rPr>
                <w:rFonts w:hint="eastAsia" w:eastAsia="宋体"/>
                <w:highlight w:val="none"/>
              </w:rPr>
            </w:pPr>
            <w:r>
              <w:rPr>
                <w:rFonts w:hint="eastAsia" w:eastAsia="宋体"/>
                <w:highlight w:val="none"/>
              </w:rPr>
              <w:t>（3）服务人员：根据配置方案（专业人员数量、工种配置等）。</w:t>
            </w:r>
          </w:p>
          <w:p w14:paraId="1DB87921">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w:t>
            </w:r>
            <w:r>
              <w:rPr>
                <w:rFonts w:hint="eastAsia" w:ascii="宋体" w:hAnsi="宋体" w:cs="宋体"/>
                <w:color w:val="auto"/>
                <w:kern w:val="0"/>
                <w:sz w:val="21"/>
                <w:szCs w:val="21"/>
                <w:highlight w:val="none"/>
                <w:lang w:eastAsia="zh-CN"/>
              </w:rPr>
              <w:t>人员配置方案</w:t>
            </w:r>
            <w:r>
              <w:rPr>
                <w:rFonts w:hint="eastAsia" w:ascii="宋体" w:hAnsi="宋体" w:cs="宋体"/>
                <w:color w:val="auto"/>
                <w:kern w:val="0"/>
                <w:sz w:val="21"/>
                <w:szCs w:val="21"/>
                <w:highlight w:val="none"/>
              </w:rPr>
              <w:t>方案详细、</w:t>
            </w:r>
            <w:r>
              <w:rPr>
                <w:rFonts w:hint="eastAsia" w:eastAsia="宋体"/>
                <w:highlight w:val="none"/>
              </w:rPr>
              <w:t>专业人员数量、工种配置</w:t>
            </w:r>
            <w:r>
              <w:rPr>
                <w:rFonts w:hint="eastAsia" w:eastAsia="宋体"/>
                <w:highlight w:val="none"/>
                <w:lang w:eastAsia="zh-CN"/>
              </w:rPr>
              <w:t>完全符合</w:t>
            </w:r>
            <w:r>
              <w:rPr>
                <w:rFonts w:hint="eastAsia" w:ascii="宋体" w:hAnsi="宋体" w:eastAsia="宋体" w:cs="宋体"/>
                <w:color w:val="auto"/>
                <w:kern w:val="0"/>
                <w:sz w:val="21"/>
                <w:szCs w:val="21"/>
                <w:highlight w:val="none"/>
                <w:lang w:eastAsia="zh-CN"/>
              </w:rPr>
              <w:t>本标段绿化养护</w:t>
            </w:r>
            <w:r>
              <w:rPr>
                <w:rFonts w:hint="eastAsia" w:ascii="宋体" w:hAnsi="宋体" w:cs="宋体"/>
                <w:color w:val="auto"/>
                <w:kern w:val="0"/>
                <w:sz w:val="21"/>
                <w:szCs w:val="21"/>
                <w:highlight w:val="none"/>
              </w:rPr>
              <w:t>要求的得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14:paraId="19A45894">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w:t>
            </w:r>
            <w:r>
              <w:rPr>
                <w:rFonts w:hint="eastAsia" w:ascii="宋体" w:hAnsi="宋体" w:cs="宋体"/>
                <w:color w:val="auto"/>
                <w:kern w:val="0"/>
                <w:sz w:val="21"/>
                <w:szCs w:val="21"/>
                <w:highlight w:val="none"/>
                <w:lang w:eastAsia="zh-CN"/>
              </w:rPr>
              <w:t>人员配置方案较详细，</w:t>
            </w:r>
            <w:r>
              <w:rPr>
                <w:rFonts w:hint="eastAsia" w:eastAsia="宋体"/>
                <w:highlight w:val="none"/>
              </w:rPr>
              <w:t>专业人员数量、工种配置</w:t>
            </w:r>
            <w:r>
              <w:rPr>
                <w:rFonts w:hint="eastAsia" w:eastAsia="宋体"/>
                <w:highlight w:val="none"/>
                <w:lang w:eastAsia="zh-CN"/>
              </w:rPr>
              <w:t>基本</w:t>
            </w:r>
            <w:r>
              <w:rPr>
                <w:rFonts w:hint="eastAsia" w:ascii="宋体" w:hAnsi="宋体" w:cs="宋体"/>
                <w:color w:val="auto"/>
                <w:kern w:val="0"/>
                <w:sz w:val="21"/>
                <w:szCs w:val="21"/>
                <w:highlight w:val="none"/>
              </w:rPr>
              <w:t>符合</w:t>
            </w:r>
            <w:r>
              <w:rPr>
                <w:rFonts w:hint="eastAsia" w:ascii="宋体" w:hAnsi="宋体" w:cs="宋体"/>
                <w:color w:val="auto"/>
                <w:kern w:val="0"/>
                <w:sz w:val="21"/>
                <w:szCs w:val="21"/>
                <w:highlight w:val="none"/>
                <w:lang w:eastAsia="zh-CN"/>
              </w:rPr>
              <w:t>标段绿化养护</w:t>
            </w:r>
            <w:r>
              <w:rPr>
                <w:rFonts w:hint="eastAsia" w:ascii="宋体" w:hAnsi="宋体" w:cs="宋体"/>
                <w:color w:val="auto"/>
                <w:kern w:val="0"/>
                <w:sz w:val="21"/>
                <w:szCs w:val="21"/>
                <w:highlight w:val="none"/>
              </w:rPr>
              <w:t>要求，但存在一定缺陷的得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14:paraId="172A25AB">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w:t>
            </w:r>
            <w:r>
              <w:rPr>
                <w:rFonts w:hint="eastAsia" w:ascii="宋体" w:hAnsi="宋体" w:cs="宋体"/>
                <w:color w:val="auto"/>
                <w:kern w:val="0"/>
                <w:sz w:val="21"/>
                <w:szCs w:val="21"/>
                <w:highlight w:val="none"/>
                <w:lang w:eastAsia="zh-CN"/>
              </w:rPr>
              <w:t>人员配置方案</w:t>
            </w:r>
            <w:r>
              <w:rPr>
                <w:rFonts w:hint="eastAsia" w:ascii="宋体" w:hAnsi="宋体" w:cs="宋体"/>
                <w:color w:val="auto"/>
                <w:kern w:val="0"/>
                <w:sz w:val="21"/>
                <w:szCs w:val="21"/>
                <w:highlight w:val="none"/>
              </w:rPr>
              <w:t>方案详细存在明显缺陷，实行上略有困难的得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14:paraId="4FFC9D6E">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④</w:t>
            </w:r>
            <w:r>
              <w:rPr>
                <w:rFonts w:hint="eastAsia" w:ascii="宋体" w:hAnsi="宋体" w:cs="宋体"/>
                <w:color w:val="auto"/>
                <w:kern w:val="0"/>
                <w:sz w:val="21"/>
                <w:szCs w:val="21"/>
                <w:highlight w:val="none"/>
                <w:lang w:eastAsia="zh-CN"/>
              </w:rPr>
              <w:t>人员配置方案</w:t>
            </w:r>
            <w:r>
              <w:rPr>
                <w:rFonts w:hint="eastAsia" w:ascii="宋体" w:hAnsi="宋体" w:cs="宋体"/>
                <w:color w:val="auto"/>
                <w:kern w:val="0"/>
                <w:sz w:val="21"/>
                <w:szCs w:val="21"/>
                <w:highlight w:val="none"/>
              </w:rPr>
              <w:t>方案详细不合理，无法确保人员轮换顺利的得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14:paraId="7F4E3C51">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highlight w:val="none"/>
              </w:rPr>
            </w:pPr>
            <w:r>
              <w:rPr>
                <w:rFonts w:hint="eastAsia" w:ascii="宋体" w:hAnsi="宋体" w:cs="宋体"/>
                <w:color w:val="auto"/>
                <w:kern w:val="0"/>
                <w:sz w:val="21"/>
                <w:szCs w:val="21"/>
                <w:highlight w:val="none"/>
              </w:rPr>
              <w:t>⑤未提供相关内容的不得分。</w:t>
            </w:r>
          </w:p>
        </w:tc>
        <w:tc>
          <w:tcPr>
            <w:tcW w:w="767" w:type="dxa"/>
            <w:tcBorders>
              <w:top w:val="single" w:color="auto" w:sz="4" w:space="0"/>
              <w:left w:val="single" w:color="auto" w:sz="2" w:space="0"/>
              <w:right w:val="single" w:color="auto" w:sz="4" w:space="0"/>
            </w:tcBorders>
            <w:vAlign w:val="center"/>
          </w:tcPr>
          <w:p w14:paraId="2E31F98B">
            <w:pPr>
              <w:spacing w:line="276" w:lineRule="auto"/>
              <w:ind w:right="162"/>
              <w:jc w:val="center"/>
              <w:rPr>
                <w:rFonts w:hint="eastAsia" w:eastAsia="宋体"/>
                <w:highlight w:val="none"/>
                <w:lang w:val="en-US" w:eastAsia="zh-CN"/>
              </w:rPr>
            </w:pPr>
            <w:r>
              <w:rPr>
                <w:rFonts w:hint="eastAsia"/>
                <w:highlight w:val="none"/>
                <w:lang w:val="en-US" w:eastAsia="zh-CN"/>
              </w:rPr>
              <w:t>4分</w:t>
            </w:r>
          </w:p>
        </w:tc>
        <w:tc>
          <w:tcPr>
            <w:tcW w:w="867" w:type="dxa"/>
            <w:tcBorders>
              <w:top w:val="single" w:color="auto" w:sz="4" w:space="0"/>
              <w:left w:val="single" w:color="auto" w:sz="4" w:space="0"/>
              <w:right w:val="single" w:color="auto" w:sz="4" w:space="0"/>
            </w:tcBorders>
            <w:vAlign w:val="center"/>
          </w:tcPr>
          <w:p w14:paraId="2BFF6C14">
            <w:pPr>
              <w:spacing w:line="276" w:lineRule="auto"/>
              <w:ind w:right="162"/>
              <w:jc w:val="center"/>
              <w:rPr>
                <w:rFonts w:hint="eastAsia" w:eastAsia="宋体"/>
                <w:highlight w:val="none"/>
                <w:lang w:eastAsia="zh-CN"/>
              </w:rPr>
            </w:pPr>
            <w:r>
              <w:rPr>
                <w:rFonts w:hint="eastAsia"/>
                <w:highlight w:val="none"/>
                <w:lang w:eastAsia="zh-CN"/>
              </w:rPr>
              <w:t>主观分</w:t>
            </w:r>
          </w:p>
        </w:tc>
      </w:tr>
      <w:tr w14:paraId="7D53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570" w:type="dxa"/>
            <w:vMerge w:val="continue"/>
            <w:tcBorders>
              <w:left w:val="single" w:color="auto" w:sz="4" w:space="0"/>
              <w:right w:val="single" w:color="auto" w:sz="2" w:space="0"/>
            </w:tcBorders>
            <w:vAlign w:val="center"/>
          </w:tcPr>
          <w:p w14:paraId="7E41B01D">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22CAF69F">
            <w:pPr>
              <w:spacing w:line="276" w:lineRule="auto"/>
              <w:ind w:right="162"/>
              <w:jc w:val="left"/>
              <w:rPr>
                <w:szCs w:val="21"/>
              </w:rPr>
            </w:pPr>
          </w:p>
        </w:tc>
        <w:tc>
          <w:tcPr>
            <w:tcW w:w="972" w:type="dxa"/>
            <w:vMerge w:val="restart"/>
            <w:tcBorders>
              <w:top w:val="single" w:color="auto" w:sz="2" w:space="0"/>
              <w:left w:val="single" w:color="auto" w:sz="2" w:space="0"/>
              <w:right w:val="single" w:color="auto" w:sz="4" w:space="0"/>
            </w:tcBorders>
            <w:vAlign w:val="center"/>
          </w:tcPr>
          <w:p w14:paraId="7F8731D0">
            <w:pPr>
              <w:spacing w:line="276" w:lineRule="auto"/>
              <w:ind w:right="162"/>
              <w:jc w:val="left"/>
              <w:rPr>
                <w:szCs w:val="21"/>
                <w:highlight w:val="none"/>
              </w:rPr>
            </w:pPr>
            <w:r>
              <w:rPr>
                <w:rFonts w:hint="eastAsia"/>
                <w:highlight w:val="none"/>
                <w:lang w:val="en-US" w:eastAsia="zh-CN"/>
              </w:rPr>
              <w:t>11</w:t>
            </w:r>
            <w:r>
              <w:rPr>
                <w:rFonts w:hint="eastAsia"/>
                <w:highlight w:val="none"/>
              </w:rPr>
              <w:t>、</w:t>
            </w:r>
            <w:r>
              <w:rPr>
                <w:szCs w:val="21"/>
                <w:highlight w:val="none"/>
              </w:rPr>
              <w:t>主要机械设备与工具装备</w:t>
            </w:r>
            <w:r>
              <w:rPr>
                <w:rFonts w:hint="eastAsia"/>
                <w:szCs w:val="21"/>
                <w:highlight w:val="none"/>
              </w:rPr>
              <w:t>（</w:t>
            </w:r>
            <w:r>
              <w:rPr>
                <w:rFonts w:hint="eastAsia"/>
                <w:szCs w:val="21"/>
                <w:highlight w:val="none"/>
                <w:lang w:val="en-US" w:eastAsia="zh-CN"/>
              </w:rPr>
              <w:t>9</w:t>
            </w:r>
            <w:r>
              <w:rPr>
                <w:rFonts w:hint="eastAsia"/>
                <w:szCs w:val="21"/>
                <w:highlight w:val="none"/>
              </w:rPr>
              <w:t>分）</w:t>
            </w:r>
          </w:p>
          <w:p w14:paraId="7DF4E76B">
            <w:pPr>
              <w:spacing w:line="276" w:lineRule="auto"/>
              <w:ind w:right="162"/>
              <w:jc w:val="left"/>
              <w:rPr>
                <w:rFonts w:ascii="宋体" w:hAnsi="宋体"/>
                <w:szCs w:val="21"/>
                <w:highlight w:val="none"/>
              </w:rPr>
            </w:pPr>
          </w:p>
        </w:tc>
        <w:tc>
          <w:tcPr>
            <w:tcW w:w="6611" w:type="dxa"/>
            <w:gridSpan w:val="2"/>
            <w:tcBorders>
              <w:top w:val="single" w:color="auto" w:sz="2" w:space="0"/>
              <w:left w:val="single" w:color="auto" w:sz="4" w:space="0"/>
              <w:bottom w:val="single" w:color="auto" w:sz="2" w:space="0"/>
              <w:right w:val="single" w:color="auto" w:sz="2" w:space="0"/>
            </w:tcBorders>
            <w:vAlign w:val="center"/>
          </w:tcPr>
          <w:p w14:paraId="472F792A">
            <w:pPr>
              <w:spacing w:line="276" w:lineRule="auto"/>
              <w:ind w:right="162"/>
              <w:jc w:val="left"/>
              <w:rPr>
                <w:rFonts w:ascii="宋体" w:hAnsi="宋体"/>
                <w:szCs w:val="21"/>
                <w:highlight w:val="none"/>
              </w:rPr>
            </w:pPr>
            <w:r>
              <w:rPr>
                <w:rFonts w:hint="eastAsia" w:ascii="宋体" w:hAnsi="宋体"/>
                <w:szCs w:val="21"/>
                <w:highlight w:val="none"/>
              </w:rPr>
              <w:t>（1）洒水车（容量5立方米及以上）：1辆得2分。</w:t>
            </w:r>
          </w:p>
        </w:tc>
        <w:tc>
          <w:tcPr>
            <w:tcW w:w="767" w:type="dxa"/>
            <w:tcBorders>
              <w:top w:val="single" w:color="auto" w:sz="2" w:space="0"/>
              <w:left w:val="single" w:color="auto" w:sz="2" w:space="0"/>
              <w:bottom w:val="single" w:color="auto" w:sz="2" w:space="0"/>
              <w:right w:val="single" w:color="auto" w:sz="4" w:space="0"/>
            </w:tcBorders>
            <w:vAlign w:val="center"/>
          </w:tcPr>
          <w:p w14:paraId="5966FD9C">
            <w:pPr>
              <w:spacing w:line="276" w:lineRule="auto"/>
              <w:ind w:right="162"/>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2分</w:t>
            </w:r>
          </w:p>
        </w:tc>
        <w:tc>
          <w:tcPr>
            <w:tcW w:w="867" w:type="dxa"/>
            <w:tcBorders>
              <w:top w:val="single" w:color="auto" w:sz="2" w:space="0"/>
              <w:left w:val="single" w:color="auto" w:sz="4" w:space="0"/>
              <w:bottom w:val="single" w:color="auto" w:sz="2" w:space="0"/>
              <w:right w:val="single" w:color="auto" w:sz="4" w:space="0"/>
            </w:tcBorders>
            <w:vAlign w:val="center"/>
          </w:tcPr>
          <w:p w14:paraId="3B2C483C">
            <w:pPr>
              <w:spacing w:line="276" w:lineRule="auto"/>
              <w:ind w:right="162"/>
              <w:jc w:val="center"/>
              <w:rPr>
                <w:rFonts w:hint="eastAsia" w:ascii="宋体" w:hAnsi="宋体" w:eastAsia="宋体"/>
                <w:szCs w:val="21"/>
                <w:highlight w:val="none"/>
                <w:lang w:eastAsia="zh-CN"/>
              </w:rPr>
            </w:pPr>
            <w:r>
              <w:rPr>
                <w:rFonts w:hint="eastAsia" w:ascii="宋体" w:hAnsi="宋体"/>
                <w:szCs w:val="21"/>
                <w:highlight w:val="none"/>
                <w:lang w:eastAsia="zh-CN"/>
              </w:rPr>
              <w:t>客观分</w:t>
            </w:r>
          </w:p>
        </w:tc>
      </w:tr>
      <w:tr w14:paraId="5325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70" w:type="dxa"/>
            <w:vMerge w:val="continue"/>
            <w:tcBorders>
              <w:left w:val="single" w:color="auto" w:sz="4" w:space="0"/>
              <w:right w:val="single" w:color="auto" w:sz="2" w:space="0"/>
            </w:tcBorders>
            <w:vAlign w:val="center"/>
          </w:tcPr>
          <w:p w14:paraId="0388ACB6">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2F3496B2">
            <w:pPr>
              <w:spacing w:line="276" w:lineRule="auto"/>
              <w:ind w:right="162"/>
              <w:jc w:val="left"/>
              <w:rPr>
                <w:szCs w:val="21"/>
              </w:rPr>
            </w:pPr>
          </w:p>
        </w:tc>
        <w:tc>
          <w:tcPr>
            <w:tcW w:w="972" w:type="dxa"/>
            <w:vMerge w:val="continue"/>
            <w:tcBorders>
              <w:left w:val="single" w:color="auto" w:sz="2" w:space="0"/>
              <w:right w:val="single" w:color="auto" w:sz="4" w:space="0"/>
            </w:tcBorders>
            <w:vAlign w:val="center"/>
          </w:tcPr>
          <w:p w14:paraId="45D75DDA">
            <w:pPr>
              <w:spacing w:line="276" w:lineRule="auto"/>
              <w:ind w:right="162"/>
              <w:jc w:val="left"/>
              <w:rPr>
                <w:rFonts w:ascii="宋体" w:hAnsi="宋体"/>
                <w:szCs w:val="21"/>
              </w:rPr>
            </w:pPr>
          </w:p>
        </w:tc>
        <w:tc>
          <w:tcPr>
            <w:tcW w:w="6611" w:type="dxa"/>
            <w:gridSpan w:val="2"/>
            <w:tcBorders>
              <w:top w:val="single" w:color="auto" w:sz="2" w:space="0"/>
              <w:left w:val="single" w:color="auto" w:sz="4" w:space="0"/>
              <w:bottom w:val="single" w:color="auto" w:sz="2" w:space="0"/>
              <w:right w:val="single" w:color="auto" w:sz="2" w:space="0"/>
            </w:tcBorders>
            <w:vAlign w:val="center"/>
          </w:tcPr>
          <w:p w14:paraId="682F0E33">
            <w:pPr>
              <w:spacing w:line="276" w:lineRule="auto"/>
              <w:ind w:right="162"/>
              <w:jc w:val="left"/>
              <w:rPr>
                <w:rFonts w:ascii="宋体" w:hAnsi="宋体"/>
                <w:szCs w:val="21"/>
              </w:rPr>
            </w:pPr>
            <w:r>
              <w:rPr>
                <w:rFonts w:hint="eastAsia" w:ascii="宋体" w:hAnsi="宋体"/>
                <w:szCs w:val="21"/>
              </w:rPr>
              <w:t>（2）应急抢险用的吊车（5吨及以上）：车辆自有得2分，车辆为租赁的得1分。（2分）（提供自有购车发票、有效期内的行驶证及机械设备实景照片；车辆租赁需提供租赁合同，有效期内的行驶证及机械设备实景照片，以上资料复印件编入投标文件。）</w:t>
            </w:r>
          </w:p>
        </w:tc>
        <w:tc>
          <w:tcPr>
            <w:tcW w:w="767" w:type="dxa"/>
            <w:tcBorders>
              <w:top w:val="single" w:color="auto" w:sz="2" w:space="0"/>
              <w:left w:val="single" w:color="auto" w:sz="2" w:space="0"/>
              <w:bottom w:val="single" w:color="auto" w:sz="2" w:space="0"/>
              <w:right w:val="single" w:color="auto" w:sz="4" w:space="0"/>
            </w:tcBorders>
            <w:vAlign w:val="center"/>
          </w:tcPr>
          <w:p w14:paraId="6488A9E9">
            <w:pPr>
              <w:spacing w:line="276" w:lineRule="auto"/>
              <w:ind w:right="162" w:rightChars="0"/>
              <w:jc w:val="center"/>
              <w:rPr>
                <w:rFonts w:hint="eastAsia" w:ascii="宋体" w:hAnsi="宋体"/>
                <w:szCs w:val="21"/>
              </w:rPr>
            </w:pPr>
            <w:r>
              <w:rPr>
                <w:rFonts w:hint="eastAsia" w:ascii="宋体" w:hAnsi="宋体"/>
                <w:szCs w:val="21"/>
                <w:lang w:val="en-US" w:eastAsia="zh-CN"/>
              </w:rPr>
              <w:t>2分</w:t>
            </w:r>
          </w:p>
        </w:tc>
        <w:tc>
          <w:tcPr>
            <w:tcW w:w="867" w:type="dxa"/>
            <w:tcBorders>
              <w:top w:val="single" w:color="auto" w:sz="2" w:space="0"/>
              <w:left w:val="single" w:color="auto" w:sz="4" w:space="0"/>
              <w:bottom w:val="single" w:color="auto" w:sz="2" w:space="0"/>
              <w:right w:val="single" w:color="auto" w:sz="4" w:space="0"/>
            </w:tcBorders>
            <w:vAlign w:val="center"/>
          </w:tcPr>
          <w:p w14:paraId="5C730435">
            <w:pPr>
              <w:spacing w:line="276" w:lineRule="auto"/>
              <w:ind w:right="162" w:rightChars="0"/>
              <w:jc w:val="center"/>
              <w:rPr>
                <w:rFonts w:hint="eastAsia" w:ascii="宋体" w:hAnsi="宋体"/>
                <w:szCs w:val="21"/>
              </w:rPr>
            </w:pPr>
            <w:r>
              <w:rPr>
                <w:rFonts w:hint="eastAsia" w:ascii="宋体" w:hAnsi="宋体"/>
                <w:szCs w:val="21"/>
                <w:lang w:eastAsia="zh-CN"/>
              </w:rPr>
              <w:t>客观分</w:t>
            </w:r>
          </w:p>
        </w:tc>
      </w:tr>
      <w:tr w14:paraId="2E26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70" w:type="dxa"/>
            <w:vMerge w:val="continue"/>
            <w:tcBorders>
              <w:left w:val="single" w:color="auto" w:sz="4" w:space="0"/>
              <w:right w:val="single" w:color="auto" w:sz="2" w:space="0"/>
            </w:tcBorders>
            <w:vAlign w:val="center"/>
          </w:tcPr>
          <w:p w14:paraId="593CB2D8">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7699C881">
            <w:pPr>
              <w:spacing w:line="276" w:lineRule="auto"/>
              <w:ind w:right="162"/>
              <w:jc w:val="left"/>
              <w:rPr>
                <w:szCs w:val="21"/>
              </w:rPr>
            </w:pPr>
          </w:p>
        </w:tc>
        <w:tc>
          <w:tcPr>
            <w:tcW w:w="972" w:type="dxa"/>
            <w:vMerge w:val="continue"/>
            <w:tcBorders>
              <w:left w:val="single" w:color="auto" w:sz="2" w:space="0"/>
              <w:right w:val="single" w:color="auto" w:sz="4" w:space="0"/>
            </w:tcBorders>
            <w:vAlign w:val="center"/>
          </w:tcPr>
          <w:p w14:paraId="463291EC">
            <w:pPr>
              <w:spacing w:line="276" w:lineRule="auto"/>
              <w:ind w:right="162"/>
              <w:jc w:val="left"/>
              <w:rPr>
                <w:rFonts w:ascii="宋体" w:hAnsi="宋体"/>
                <w:szCs w:val="21"/>
              </w:rPr>
            </w:pPr>
          </w:p>
        </w:tc>
        <w:tc>
          <w:tcPr>
            <w:tcW w:w="6611" w:type="dxa"/>
            <w:gridSpan w:val="2"/>
            <w:tcBorders>
              <w:top w:val="single" w:color="auto" w:sz="2" w:space="0"/>
              <w:left w:val="single" w:color="auto" w:sz="4" w:space="0"/>
              <w:bottom w:val="single" w:color="auto" w:sz="2" w:space="0"/>
              <w:right w:val="single" w:color="auto" w:sz="2" w:space="0"/>
            </w:tcBorders>
            <w:vAlign w:val="center"/>
          </w:tcPr>
          <w:p w14:paraId="2799678C">
            <w:pPr>
              <w:spacing w:line="276" w:lineRule="auto"/>
              <w:ind w:right="162"/>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非箱式货车</w:t>
            </w:r>
            <w:r>
              <w:rPr>
                <w:rFonts w:hint="eastAsia" w:ascii="宋体" w:hAnsi="宋体"/>
                <w:szCs w:val="21"/>
                <w:highlight w:val="none"/>
              </w:rPr>
              <w:t>（含皮卡车）：2辆得2分，每增加1辆得1分，最高得3分。</w:t>
            </w:r>
          </w:p>
        </w:tc>
        <w:tc>
          <w:tcPr>
            <w:tcW w:w="767" w:type="dxa"/>
            <w:tcBorders>
              <w:top w:val="single" w:color="auto" w:sz="2" w:space="0"/>
              <w:left w:val="single" w:color="auto" w:sz="2" w:space="0"/>
              <w:bottom w:val="single" w:color="auto" w:sz="2" w:space="0"/>
              <w:right w:val="single" w:color="auto" w:sz="4" w:space="0"/>
            </w:tcBorders>
            <w:vAlign w:val="center"/>
          </w:tcPr>
          <w:p w14:paraId="1B7964A9">
            <w:pPr>
              <w:spacing w:line="276" w:lineRule="auto"/>
              <w:ind w:right="162"/>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3分</w:t>
            </w:r>
          </w:p>
        </w:tc>
        <w:tc>
          <w:tcPr>
            <w:tcW w:w="867" w:type="dxa"/>
            <w:tcBorders>
              <w:top w:val="single" w:color="auto" w:sz="2" w:space="0"/>
              <w:left w:val="single" w:color="auto" w:sz="4" w:space="0"/>
              <w:bottom w:val="single" w:color="auto" w:sz="2" w:space="0"/>
              <w:right w:val="single" w:color="auto" w:sz="4" w:space="0"/>
            </w:tcBorders>
            <w:vAlign w:val="center"/>
          </w:tcPr>
          <w:p w14:paraId="460DC6AB">
            <w:pPr>
              <w:spacing w:line="276" w:lineRule="auto"/>
              <w:ind w:right="162"/>
              <w:jc w:val="center"/>
              <w:rPr>
                <w:rFonts w:hint="eastAsia" w:ascii="宋体" w:hAnsi="宋体"/>
                <w:szCs w:val="21"/>
                <w:highlight w:val="none"/>
              </w:rPr>
            </w:pPr>
            <w:r>
              <w:rPr>
                <w:rFonts w:hint="eastAsia" w:ascii="宋体" w:hAnsi="宋体"/>
                <w:szCs w:val="21"/>
                <w:highlight w:val="none"/>
                <w:lang w:eastAsia="zh-CN"/>
              </w:rPr>
              <w:t>客观分</w:t>
            </w:r>
          </w:p>
        </w:tc>
      </w:tr>
      <w:tr w14:paraId="2C67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7" w:hRule="atLeast"/>
        </w:trPr>
        <w:tc>
          <w:tcPr>
            <w:tcW w:w="570" w:type="dxa"/>
            <w:vMerge w:val="continue"/>
            <w:tcBorders>
              <w:left w:val="single" w:color="auto" w:sz="4" w:space="0"/>
              <w:right w:val="single" w:color="auto" w:sz="2" w:space="0"/>
            </w:tcBorders>
            <w:vAlign w:val="center"/>
          </w:tcPr>
          <w:p w14:paraId="6A6800F4">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096500FE">
            <w:pPr>
              <w:spacing w:line="276" w:lineRule="auto"/>
              <w:ind w:right="162"/>
              <w:jc w:val="left"/>
              <w:rPr>
                <w:szCs w:val="21"/>
                <w:highlight w:val="none"/>
              </w:rPr>
            </w:pPr>
          </w:p>
        </w:tc>
        <w:tc>
          <w:tcPr>
            <w:tcW w:w="972" w:type="dxa"/>
            <w:vMerge w:val="continue"/>
            <w:tcBorders>
              <w:left w:val="single" w:color="auto" w:sz="2" w:space="0"/>
              <w:bottom w:val="single" w:color="auto" w:sz="2" w:space="0"/>
              <w:right w:val="single" w:color="auto" w:sz="4" w:space="0"/>
            </w:tcBorders>
            <w:vAlign w:val="center"/>
          </w:tcPr>
          <w:p w14:paraId="48FDABE5">
            <w:pPr>
              <w:spacing w:line="276" w:lineRule="auto"/>
              <w:ind w:right="162"/>
              <w:jc w:val="left"/>
              <w:rPr>
                <w:rFonts w:ascii="宋体" w:hAnsi="宋体"/>
                <w:szCs w:val="21"/>
                <w:highlight w:val="none"/>
              </w:rPr>
            </w:pPr>
          </w:p>
        </w:tc>
        <w:tc>
          <w:tcPr>
            <w:tcW w:w="6611" w:type="dxa"/>
            <w:gridSpan w:val="2"/>
            <w:tcBorders>
              <w:top w:val="single" w:color="auto" w:sz="2" w:space="0"/>
              <w:left w:val="single" w:color="auto" w:sz="4" w:space="0"/>
              <w:bottom w:val="single" w:color="auto" w:sz="4" w:space="0"/>
              <w:right w:val="single" w:color="auto" w:sz="2" w:space="0"/>
            </w:tcBorders>
            <w:vAlign w:val="center"/>
          </w:tcPr>
          <w:p w14:paraId="0852C9EC">
            <w:pPr>
              <w:spacing w:line="276" w:lineRule="auto"/>
              <w:ind w:right="162"/>
              <w:jc w:val="left"/>
              <w:rPr>
                <w:rFonts w:ascii="宋体" w:hAnsi="宋体"/>
                <w:szCs w:val="21"/>
                <w:highlight w:val="none"/>
              </w:rPr>
            </w:pPr>
            <w:r>
              <w:rPr>
                <w:rFonts w:hint="eastAsia" w:ascii="宋体" w:hAnsi="宋体"/>
                <w:szCs w:val="21"/>
                <w:highlight w:val="none"/>
              </w:rPr>
              <w:t>（4）其他设备包括：高空修剪机、草坪机、打药机、绿篱机、水泵等，每个得0.5分，本项最高得</w:t>
            </w:r>
            <w:r>
              <w:rPr>
                <w:rFonts w:hint="eastAsia" w:ascii="宋体" w:hAnsi="宋体"/>
                <w:szCs w:val="21"/>
                <w:highlight w:val="none"/>
                <w:lang w:val="en-US" w:eastAsia="zh-CN"/>
              </w:rPr>
              <w:t>2</w:t>
            </w:r>
            <w:r>
              <w:rPr>
                <w:rFonts w:hint="eastAsia" w:ascii="宋体" w:hAnsi="宋体"/>
                <w:szCs w:val="21"/>
                <w:highlight w:val="none"/>
              </w:rPr>
              <w:t>分。</w:t>
            </w:r>
          </w:p>
        </w:tc>
        <w:tc>
          <w:tcPr>
            <w:tcW w:w="767" w:type="dxa"/>
            <w:tcBorders>
              <w:top w:val="single" w:color="auto" w:sz="2" w:space="0"/>
              <w:left w:val="single" w:color="auto" w:sz="2" w:space="0"/>
              <w:bottom w:val="single" w:color="auto" w:sz="4" w:space="0"/>
              <w:right w:val="single" w:color="auto" w:sz="4" w:space="0"/>
            </w:tcBorders>
            <w:vAlign w:val="center"/>
          </w:tcPr>
          <w:p w14:paraId="18B75431">
            <w:pPr>
              <w:spacing w:line="276" w:lineRule="auto"/>
              <w:ind w:right="162"/>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2分</w:t>
            </w:r>
          </w:p>
        </w:tc>
        <w:tc>
          <w:tcPr>
            <w:tcW w:w="867" w:type="dxa"/>
            <w:tcBorders>
              <w:top w:val="single" w:color="auto" w:sz="2" w:space="0"/>
              <w:left w:val="single" w:color="auto" w:sz="4" w:space="0"/>
              <w:bottom w:val="single" w:color="auto" w:sz="4" w:space="0"/>
              <w:right w:val="single" w:color="auto" w:sz="4" w:space="0"/>
            </w:tcBorders>
            <w:vAlign w:val="center"/>
          </w:tcPr>
          <w:p w14:paraId="15E35422">
            <w:pPr>
              <w:spacing w:line="276" w:lineRule="auto"/>
              <w:ind w:right="162"/>
              <w:jc w:val="center"/>
              <w:rPr>
                <w:rFonts w:hint="eastAsia" w:ascii="宋体" w:hAnsi="宋体"/>
                <w:szCs w:val="21"/>
                <w:highlight w:val="none"/>
              </w:rPr>
            </w:pPr>
            <w:r>
              <w:rPr>
                <w:rFonts w:hint="eastAsia" w:ascii="宋体" w:hAnsi="宋体"/>
                <w:szCs w:val="21"/>
                <w:highlight w:val="none"/>
                <w:lang w:eastAsia="zh-CN"/>
              </w:rPr>
              <w:t>客观分</w:t>
            </w:r>
          </w:p>
        </w:tc>
      </w:tr>
      <w:tr w14:paraId="675B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 w:hRule="atLeast"/>
        </w:trPr>
        <w:tc>
          <w:tcPr>
            <w:tcW w:w="570" w:type="dxa"/>
            <w:vMerge w:val="continue"/>
            <w:tcBorders>
              <w:left w:val="single" w:color="auto" w:sz="4" w:space="0"/>
              <w:right w:val="single" w:color="auto" w:sz="2" w:space="0"/>
            </w:tcBorders>
            <w:vAlign w:val="center"/>
          </w:tcPr>
          <w:p w14:paraId="280CA772">
            <w:pPr>
              <w:spacing w:line="320" w:lineRule="exact"/>
              <w:ind w:right="162"/>
              <w:jc w:val="left"/>
              <w:rPr>
                <w:szCs w:val="21"/>
              </w:rPr>
            </w:pPr>
          </w:p>
        </w:tc>
        <w:tc>
          <w:tcPr>
            <w:tcW w:w="877" w:type="dxa"/>
            <w:vMerge w:val="continue"/>
            <w:tcBorders>
              <w:left w:val="single" w:color="auto" w:sz="2" w:space="0"/>
              <w:right w:val="single" w:color="auto" w:sz="2" w:space="0"/>
            </w:tcBorders>
            <w:vAlign w:val="center"/>
          </w:tcPr>
          <w:p w14:paraId="7FA3BB11">
            <w:pPr>
              <w:spacing w:line="276" w:lineRule="auto"/>
              <w:ind w:right="162"/>
              <w:jc w:val="left"/>
              <w:rPr>
                <w:szCs w:val="21"/>
              </w:rPr>
            </w:pPr>
          </w:p>
        </w:tc>
        <w:tc>
          <w:tcPr>
            <w:tcW w:w="972" w:type="dxa"/>
            <w:vMerge w:val="continue"/>
            <w:tcBorders>
              <w:left w:val="single" w:color="auto" w:sz="2" w:space="0"/>
              <w:bottom w:val="single" w:color="auto" w:sz="2" w:space="0"/>
              <w:right w:val="single" w:color="auto" w:sz="4" w:space="0"/>
            </w:tcBorders>
            <w:vAlign w:val="center"/>
          </w:tcPr>
          <w:p w14:paraId="48086354">
            <w:pPr>
              <w:spacing w:line="276" w:lineRule="auto"/>
              <w:ind w:right="162"/>
              <w:jc w:val="left"/>
              <w:rPr>
                <w:rFonts w:ascii="宋体" w:hAnsi="宋体"/>
                <w:szCs w:val="21"/>
              </w:rPr>
            </w:pPr>
          </w:p>
        </w:tc>
        <w:tc>
          <w:tcPr>
            <w:tcW w:w="8245" w:type="dxa"/>
            <w:gridSpan w:val="4"/>
            <w:tcBorders>
              <w:top w:val="single" w:color="auto" w:sz="4" w:space="0"/>
              <w:left w:val="single" w:color="auto" w:sz="4" w:space="0"/>
              <w:bottom w:val="single" w:color="auto" w:sz="2" w:space="0"/>
              <w:right w:val="single" w:color="auto" w:sz="4" w:space="0"/>
            </w:tcBorders>
            <w:vAlign w:val="center"/>
          </w:tcPr>
          <w:p w14:paraId="38ED3090">
            <w:pPr>
              <w:spacing w:line="276" w:lineRule="auto"/>
              <w:ind w:right="162"/>
              <w:jc w:val="left"/>
              <w:rPr>
                <w:rFonts w:hint="eastAsia" w:ascii="宋体" w:hAnsi="宋体"/>
                <w:szCs w:val="21"/>
              </w:rPr>
            </w:pPr>
            <w:r>
              <w:rPr>
                <w:rFonts w:hint="eastAsia" w:ascii="宋体" w:hAnsi="宋体"/>
                <w:szCs w:val="21"/>
                <w:lang w:eastAsia="zh-CN"/>
              </w:rPr>
              <w:t>备注：</w:t>
            </w:r>
            <w:r>
              <w:rPr>
                <w:rFonts w:hint="eastAsia" w:ascii="宋体" w:hAnsi="宋体"/>
                <w:szCs w:val="21"/>
              </w:rPr>
              <w:t>以上设备除吊车以外需提供自有购车发票、有效期内的行驶证及机械设备实景照片，以上资料复印件编入投标文件。</w:t>
            </w:r>
          </w:p>
        </w:tc>
      </w:tr>
      <w:tr w14:paraId="2D60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4" w:hRule="atLeast"/>
        </w:trPr>
        <w:tc>
          <w:tcPr>
            <w:tcW w:w="570" w:type="dxa"/>
            <w:vMerge w:val="continue"/>
            <w:tcBorders>
              <w:left w:val="single" w:color="auto" w:sz="4" w:space="0"/>
              <w:right w:val="single" w:color="auto" w:sz="2" w:space="0"/>
            </w:tcBorders>
            <w:vAlign w:val="center"/>
          </w:tcPr>
          <w:p w14:paraId="7A5A7259">
            <w:pPr>
              <w:spacing w:line="320" w:lineRule="exact"/>
              <w:ind w:right="162"/>
              <w:jc w:val="left"/>
              <w:rPr>
                <w:szCs w:val="21"/>
              </w:rPr>
            </w:pPr>
          </w:p>
        </w:tc>
        <w:tc>
          <w:tcPr>
            <w:tcW w:w="877" w:type="dxa"/>
            <w:vMerge w:val="continue"/>
            <w:tcBorders>
              <w:left w:val="single" w:color="auto" w:sz="2" w:space="0"/>
              <w:right w:val="single" w:color="auto" w:sz="2" w:space="0"/>
            </w:tcBorders>
          </w:tcPr>
          <w:p w14:paraId="24288EA3">
            <w:pPr>
              <w:pStyle w:val="37"/>
              <w:ind w:firstLine="0" w:firstLineChars="0"/>
            </w:pPr>
          </w:p>
        </w:tc>
        <w:tc>
          <w:tcPr>
            <w:tcW w:w="7583" w:type="dxa"/>
            <w:gridSpan w:val="3"/>
            <w:tcBorders>
              <w:top w:val="single" w:color="auto" w:sz="2" w:space="0"/>
              <w:left w:val="single" w:color="auto" w:sz="2" w:space="0"/>
              <w:bottom w:val="single" w:color="auto" w:sz="2" w:space="0"/>
              <w:right w:val="single" w:color="auto" w:sz="2" w:space="0"/>
            </w:tcBorders>
          </w:tcPr>
          <w:p w14:paraId="3F1476C8">
            <w:pPr>
              <w:spacing w:line="276" w:lineRule="auto"/>
              <w:ind w:right="162"/>
              <w:jc w:val="left"/>
            </w:pPr>
            <w:r>
              <w:rPr>
                <w:rFonts w:hint="eastAsia"/>
                <w:lang w:val="en-US" w:eastAsia="zh-CN"/>
              </w:rPr>
              <w:t>12</w:t>
            </w:r>
            <w:r>
              <w:rPr>
                <w:rFonts w:hint="eastAsia"/>
              </w:rPr>
              <w:t>、公路养护工程从业资质（2分）</w:t>
            </w:r>
          </w:p>
          <w:p w14:paraId="6A0B6E4E">
            <w:pPr>
              <w:spacing w:line="276" w:lineRule="auto"/>
              <w:ind w:right="162"/>
              <w:jc w:val="left"/>
              <w:rPr>
                <w:rFonts w:ascii="宋体" w:hAnsi="宋体"/>
                <w:szCs w:val="21"/>
              </w:rPr>
            </w:pPr>
            <w:r>
              <w:rPr>
                <w:rFonts w:hint="eastAsia" w:ascii="宋体" w:hAnsi="宋体"/>
                <w:szCs w:val="21"/>
              </w:rPr>
              <w:t>投标人具有二类公路养护甲级（路基路面养护甲级）工程资质的得2分，二类公路养护乙级工程（路基路面养护乙级）工程资质得1分。</w:t>
            </w:r>
          </w:p>
          <w:p w14:paraId="77DE726D">
            <w:pPr>
              <w:spacing w:line="276" w:lineRule="auto"/>
              <w:ind w:right="162"/>
              <w:jc w:val="left"/>
              <w:rPr>
                <w:szCs w:val="21"/>
              </w:rPr>
            </w:pPr>
            <w:r>
              <w:rPr>
                <w:rFonts w:hint="eastAsia" w:ascii="宋体" w:hAnsi="宋体"/>
                <w:szCs w:val="21"/>
              </w:rPr>
              <w:t>注：投标文件须提供证书复印件加盖公章。</w:t>
            </w:r>
          </w:p>
        </w:tc>
        <w:tc>
          <w:tcPr>
            <w:tcW w:w="767" w:type="dxa"/>
            <w:tcBorders>
              <w:top w:val="single" w:color="auto" w:sz="2" w:space="0"/>
              <w:left w:val="single" w:color="auto" w:sz="2" w:space="0"/>
              <w:bottom w:val="single" w:color="auto" w:sz="2" w:space="0"/>
              <w:right w:val="single" w:color="auto" w:sz="4" w:space="0"/>
            </w:tcBorders>
            <w:vAlign w:val="center"/>
          </w:tcPr>
          <w:p w14:paraId="404A6B11">
            <w:pPr>
              <w:spacing w:line="276" w:lineRule="auto"/>
              <w:ind w:right="162"/>
              <w:jc w:val="center"/>
              <w:rPr>
                <w:rFonts w:hint="eastAsia" w:ascii="宋体" w:hAnsi="宋体" w:eastAsia="宋体"/>
                <w:szCs w:val="21"/>
                <w:lang w:val="en-US" w:eastAsia="zh-CN"/>
              </w:rPr>
            </w:pPr>
            <w:r>
              <w:rPr>
                <w:rFonts w:hint="eastAsia" w:ascii="宋体" w:hAnsi="宋体"/>
                <w:szCs w:val="21"/>
                <w:lang w:val="en-US" w:eastAsia="zh-CN"/>
              </w:rPr>
              <w:t>2分</w:t>
            </w:r>
          </w:p>
        </w:tc>
        <w:tc>
          <w:tcPr>
            <w:tcW w:w="867" w:type="dxa"/>
            <w:tcBorders>
              <w:top w:val="single" w:color="auto" w:sz="2" w:space="0"/>
              <w:left w:val="single" w:color="auto" w:sz="4" w:space="0"/>
              <w:bottom w:val="single" w:color="auto" w:sz="2" w:space="0"/>
              <w:right w:val="single" w:color="auto" w:sz="4" w:space="0"/>
            </w:tcBorders>
            <w:vAlign w:val="center"/>
          </w:tcPr>
          <w:p w14:paraId="2B2039A3">
            <w:pPr>
              <w:spacing w:line="276" w:lineRule="auto"/>
              <w:ind w:right="162"/>
              <w:jc w:val="center"/>
              <w:rPr>
                <w:rFonts w:hint="eastAsia" w:ascii="宋体" w:hAnsi="宋体" w:eastAsia="宋体"/>
                <w:szCs w:val="21"/>
                <w:lang w:eastAsia="zh-CN"/>
              </w:rPr>
            </w:pPr>
            <w:r>
              <w:rPr>
                <w:rFonts w:hint="eastAsia" w:ascii="宋体" w:hAnsi="宋体"/>
                <w:szCs w:val="21"/>
                <w:lang w:eastAsia="zh-CN"/>
              </w:rPr>
              <w:t>客观分</w:t>
            </w:r>
          </w:p>
        </w:tc>
      </w:tr>
      <w:tr w14:paraId="7FAB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47" w:hRule="atLeast"/>
        </w:trPr>
        <w:tc>
          <w:tcPr>
            <w:tcW w:w="570" w:type="dxa"/>
            <w:vMerge w:val="continue"/>
            <w:tcBorders>
              <w:left w:val="single" w:color="auto" w:sz="4" w:space="0"/>
              <w:right w:val="single" w:color="auto" w:sz="2" w:space="0"/>
            </w:tcBorders>
            <w:textDirection w:val="tbRlV"/>
            <w:vAlign w:val="center"/>
          </w:tcPr>
          <w:p w14:paraId="2794F237">
            <w:pPr>
              <w:spacing w:line="320" w:lineRule="exact"/>
              <w:ind w:right="162"/>
              <w:jc w:val="left"/>
              <w:rPr>
                <w:szCs w:val="21"/>
              </w:rPr>
            </w:pPr>
          </w:p>
        </w:tc>
        <w:tc>
          <w:tcPr>
            <w:tcW w:w="877" w:type="dxa"/>
            <w:vMerge w:val="continue"/>
            <w:tcBorders>
              <w:left w:val="single" w:color="auto" w:sz="2" w:space="0"/>
              <w:bottom w:val="single" w:color="auto" w:sz="2" w:space="0"/>
              <w:right w:val="single" w:color="auto" w:sz="2" w:space="0"/>
            </w:tcBorders>
            <w:vAlign w:val="center"/>
          </w:tcPr>
          <w:p w14:paraId="716172B8">
            <w:pPr>
              <w:spacing w:line="276" w:lineRule="auto"/>
              <w:jc w:val="left"/>
              <w:rPr>
                <w:rFonts w:ascii="宋体" w:hAnsi="宋体" w:cs="FangSong_GB2312,Bold"/>
                <w:bCs/>
                <w:highlight w:val="none"/>
              </w:rPr>
            </w:pPr>
          </w:p>
        </w:tc>
        <w:tc>
          <w:tcPr>
            <w:tcW w:w="7583" w:type="dxa"/>
            <w:gridSpan w:val="3"/>
            <w:tcBorders>
              <w:top w:val="single" w:color="auto" w:sz="2" w:space="0"/>
              <w:left w:val="single" w:color="auto" w:sz="2" w:space="0"/>
              <w:bottom w:val="single" w:color="auto" w:sz="2" w:space="0"/>
              <w:right w:val="single" w:color="auto" w:sz="2" w:space="0"/>
            </w:tcBorders>
            <w:vAlign w:val="center"/>
          </w:tcPr>
          <w:p w14:paraId="1A439BD7">
            <w:pPr>
              <w:spacing w:line="276" w:lineRule="auto"/>
              <w:ind w:right="164"/>
              <w:jc w:val="left"/>
              <w:rPr>
                <w:highlight w:val="none"/>
              </w:rPr>
            </w:pPr>
            <w:r>
              <w:rPr>
                <w:rFonts w:hint="eastAsia"/>
                <w:highlight w:val="none"/>
                <w:lang w:val="en-US" w:eastAsia="zh-CN"/>
              </w:rPr>
              <w:t>13</w:t>
            </w:r>
            <w:r>
              <w:rPr>
                <w:rFonts w:hint="eastAsia"/>
                <w:highlight w:val="none"/>
              </w:rPr>
              <w:t>、绿化</w:t>
            </w:r>
            <w:r>
              <w:rPr>
                <w:highlight w:val="none"/>
              </w:rPr>
              <w:t>养护</w:t>
            </w:r>
            <w:r>
              <w:rPr>
                <w:rFonts w:hint="eastAsia"/>
                <w:highlight w:val="none"/>
              </w:rPr>
              <w:t>业绩（</w:t>
            </w:r>
            <w:r>
              <w:rPr>
                <w:rFonts w:hint="eastAsia"/>
                <w:highlight w:val="none"/>
                <w:lang w:val="en-US" w:eastAsia="zh-CN"/>
              </w:rPr>
              <w:t>3</w:t>
            </w:r>
            <w:r>
              <w:rPr>
                <w:rFonts w:hint="eastAsia"/>
                <w:highlight w:val="none"/>
              </w:rPr>
              <w:t>分）</w:t>
            </w:r>
            <w:r>
              <w:rPr>
                <w:highlight w:val="none"/>
              </w:rPr>
              <w:tab/>
            </w:r>
          </w:p>
          <w:p w14:paraId="0E43B021">
            <w:pPr>
              <w:numPr>
                <w:ilvl w:val="0"/>
                <w:numId w:val="11"/>
              </w:numPr>
              <w:spacing w:line="276" w:lineRule="auto"/>
              <w:ind w:right="164"/>
              <w:jc w:val="left"/>
              <w:rPr>
                <w:highlight w:val="none"/>
              </w:rPr>
            </w:pPr>
            <w:r>
              <w:rPr>
                <w:highlight w:val="none"/>
              </w:rPr>
              <w:t>投标人</w:t>
            </w:r>
            <w:r>
              <w:rPr>
                <w:rFonts w:hint="eastAsia"/>
                <w:highlight w:val="none"/>
              </w:rPr>
              <w:t>自</w:t>
            </w:r>
            <w:r>
              <w:rPr>
                <w:rFonts w:hint="eastAsia"/>
                <w:highlight w:val="none"/>
                <w:lang w:val="en-US" w:eastAsia="zh-CN"/>
              </w:rPr>
              <w:t>2022</w:t>
            </w:r>
            <w:r>
              <w:rPr>
                <w:rFonts w:hint="eastAsia"/>
                <w:highlight w:val="none"/>
              </w:rPr>
              <w:t>年1月1日起（以合同约订时间为准）</w:t>
            </w:r>
            <w:r>
              <w:rPr>
                <w:rFonts w:hint="eastAsia"/>
                <w:highlight w:val="none"/>
                <w:lang w:eastAsia="zh-CN"/>
              </w:rPr>
              <w:t>承担过</w:t>
            </w:r>
            <w:r>
              <w:rPr>
                <w:rFonts w:hint="eastAsia"/>
                <w:highlight w:val="none"/>
              </w:rPr>
              <w:t>公路</w:t>
            </w:r>
            <w:r>
              <w:rPr>
                <w:rFonts w:hint="eastAsia"/>
                <w:highlight w:val="none"/>
                <w:lang w:val="en-US" w:eastAsia="zh-CN"/>
              </w:rPr>
              <w:t>或市政道路</w:t>
            </w:r>
            <w:r>
              <w:rPr>
                <w:rFonts w:hint="eastAsia"/>
                <w:highlight w:val="none"/>
              </w:rPr>
              <w:t>绿化</w:t>
            </w:r>
            <w:r>
              <w:rPr>
                <w:highlight w:val="none"/>
              </w:rPr>
              <w:t>养护的</w:t>
            </w:r>
            <w:r>
              <w:rPr>
                <w:rFonts w:hint="eastAsia"/>
                <w:highlight w:val="none"/>
              </w:rPr>
              <w:t>，</w:t>
            </w:r>
            <w:r>
              <w:rPr>
                <w:highlight w:val="none"/>
              </w:rPr>
              <w:t>得</w:t>
            </w:r>
            <w:r>
              <w:rPr>
                <w:rFonts w:hint="eastAsia"/>
                <w:highlight w:val="none"/>
                <w:lang w:val="en-US" w:eastAsia="zh-CN"/>
              </w:rPr>
              <w:t>3.0</w:t>
            </w:r>
            <w:r>
              <w:rPr>
                <w:highlight w:val="none"/>
              </w:rPr>
              <w:t>分</w:t>
            </w:r>
            <w:r>
              <w:rPr>
                <w:rFonts w:hint="eastAsia"/>
                <w:highlight w:val="none"/>
              </w:rPr>
              <w:t>。</w:t>
            </w:r>
            <w:r>
              <w:rPr>
                <w:highlight w:val="none"/>
              </w:rPr>
              <w:t>（提供</w:t>
            </w:r>
            <w:r>
              <w:rPr>
                <w:rFonts w:hint="eastAsia"/>
                <w:highlight w:val="none"/>
              </w:rPr>
              <w:t>中标通知书（或中标结果公告）、</w:t>
            </w:r>
            <w:r>
              <w:rPr>
                <w:highlight w:val="none"/>
              </w:rPr>
              <w:t>合同复印件</w:t>
            </w:r>
            <w:r>
              <w:rPr>
                <w:rFonts w:hint="eastAsia"/>
                <w:highlight w:val="none"/>
              </w:rPr>
              <w:t>加盖单位公章及各地公共资源交易中心网页</w:t>
            </w:r>
            <w:r>
              <w:rPr>
                <w:rFonts w:hint="eastAsia"/>
                <w:highlight w:val="none"/>
                <w:lang w:eastAsia="zh-CN"/>
              </w:rPr>
              <w:t>（或政府采购网）</w:t>
            </w:r>
            <w:r>
              <w:rPr>
                <w:rFonts w:hint="eastAsia"/>
                <w:highlight w:val="none"/>
              </w:rPr>
              <w:t>公示截图加盖单位公章编入投标文件</w:t>
            </w:r>
            <w:r>
              <w:rPr>
                <w:highlight w:val="none"/>
              </w:rPr>
              <w:t>）</w:t>
            </w:r>
          </w:p>
          <w:p w14:paraId="17E53C64">
            <w:pPr>
              <w:numPr>
                <w:ilvl w:val="0"/>
                <w:numId w:val="12"/>
              </w:numPr>
              <w:spacing w:line="276" w:lineRule="auto"/>
              <w:jc w:val="left"/>
              <w:rPr>
                <w:highlight w:val="none"/>
              </w:rPr>
            </w:pPr>
            <w:r>
              <w:rPr>
                <w:rFonts w:hint="eastAsia"/>
                <w:highlight w:val="none"/>
              </w:rPr>
              <w:t>同一项目不重复计分；</w:t>
            </w:r>
          </w:p>
          <w:p w14:paraId="2A0B0011">
            <w:pPr>
              <w:pStyle w:val="36"/>
              <w:rPr>
                <w:highlight w:val="none"/>
              </w:rPr>
            </w:pPr>
            <w:r>
              <w:rPr>
                <w:rFonts w:hint="eastAsia" w:eastAsia="宋体" w:cs="黑体"/>
                <w:sz w:val="21"/>
                <w:szCs w:val="24"/>
                <w:highlight w:val="none"/>
              </w:rPr>
              <w:t>备注：业绩要求以公开招标（以各地公共资源交易中心或相关主管部门网站中标公示截图为准）形式的项目，非公开招标项目业绩不予认可。</w:t>
            </w:r>
          </w:p>
        </w:tc>
        <w:tc>
          <w:tcPr>
            <w:tcW w:w="767" w:type="dxa"/>
            <w:tcBorders>
              <w:top w:val="single" w:color="auto" w:sz="2" w:space="0"/>
              <w:left w:val="single" w:color="auto" w:sz="2" w:space="0"/>
              <w:bottom w:val="single" w:color="auto" w:sz="2" w:space="0"/>
              <w:right w:val="single" w:color="auto" w:sz="4" w:space="0"/>
            </w:tcBorders>
            <w:vAlign w:val="center"/>
          </w:tcPr>
          <w:p w14:paraId="66299DD4">
            <w:pPr>
              <w:pStyle w:val="36"/>
              <w:jc w:val="center"/>
              <w:rPr>
                <w:rFonts w:hint="eastAsia" w:eastAsia="宋体" w:cs="黑体"/>
                <w:sz w:val="21"/>
                <w:szCs w:val="24"/>
                <w:lang w:val="en-US" w:eastAsia="zh-CN"/>
              </w:rPr>
            </w:pPr>
            <w:r>
              <w:rPr>
                <w:rFonts w:hint="eastAsia" w:eastAsia="宋体" w:cs="黑体"/>
                <w:sz w:val="21"/>
                <w:szCs w:val="24"/>
                <w:lang w:val="en-US" w:eastAsia="zh-CN"/>
              </w:rPr>
              <w:t>3分</w:t>
            </w:r>
          </w:p>
        </w:tc>
        <w:tc>
          <w:tcPr>
            <w:tcW w:w="867" w:type="dxa"/>
            <w:tcBorders>
              <w:top w:val="single" w:color="auto" w:sz="2" w:space="0"/>
              <w:left w:val="single" w:color="auto" w:sz="4" w:space="0"/>
              <w:bottom w:val="single" w:color="auto" w:sz="2" w:space="0"/>
              <w:right w:val="single" w:color="auto" w:sz="4" w:space="0"/>
            </w:tcBorders>
            <w:vAlign w:val="center"/>
          </w:tcPr>
          <w:p w14:paraId="692036DA">
            <w:pPr>
              <w:pStyle w:val="36"/>
              <w:jc w:val="center"/>
              <w:rPr>
                <w:rFonts w:hint="eastAsia" w:eastAsia="宋体" w:cs="黑体"/>
                <w:sz w:val="21"/>
                <w:szCs w:val="24"/>
                <w:lang w:eastAsia="zh-CN"/>
              </w:rPr>
            </w:pPr>
            <w:r>
              <w:rPr>
                <w:rFonts w:hint="eastAsia" w:eastAsia="宋体" w:cs="黑体"/>
                <w:sz w:val="21"/>
                <w:szCs w:val="24"/>
                <w:lang w:eastAsia="zh-CN"/>
              </w:rPr>
              <w:t>客观分</w:t>
            </w:r>
          </w:p>
        </w:tc>
      </w:tr>
      <w:tr w14:paraId="6A25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51" w:hRule="atLeast"/>
        </w:trPr>
        <w:tc>
          <w:tcPr>
            <w:tcW w:w="570" w:type="dxa"/>
            <w:vMerge w:val="continue"/>
            <w:tcBorders>
              <w:left w:val="single" w:color="auto" w:sz="4" w:space="0"/>
              <w:right w:val="single" w:color="auto" w:sz="2" w:space="0"/>
            </w:tcBorders>
            <w:textDirection w:val="tbRlV"/>
            <w:vAlign w:val="center"/>
          </w:tcPr>
          <w:p w14:paraId="77023109">
            <w:pPr>
              <w:spacing w:line="320" w:lineRule="exact"/>
              <w:ind w:right="162"/>
              <w:jc w:val="left"/>
              <w:rPr>
                <w:szCs w:val="21"/>
              </w:rPr>
            </w:pPr>
          </w:p>
        </w:tc>
        <w:tc>
          <w:tcPr>
            <w:tcW w:w="877" w:type="dxa"/>
            <w:tcBorders>
              <w:top w:val="single" w:color="auto" w:sz="2" w:space="0"/>
              <w:left w:val="single" w:color="auto" w:sz="2" w:space="0"/>
              <w:right w:val="single" w:color="auto" w:sz="2" w:space="0"/>
            </w:tcBorders>
            <w:vAlign w:val="center"/>
          </w:tcPr>
          <w:p w14:paraId="24A9237A">
            <w:pPr>
              <w:spacing w:line="276" w:lineRule="auto"/>
              <w:jc w:val="left"/>
              <w:rPr>
                <w:szCs w:val="21"/>
              </w:rPr>
            </w:pPr>
            <w:r>
              <w:rPr>
                <w:rFonts w:hint="eastAsia" w:ascii="宋体" w:hAnsi="宋体" w:cs="宋体"/>
                <w:bCs/>
                <w:szCs w:val="21"/>
              </w:rPr>
              <w:t>服务便捷性</w:t>
            </w:r>
            <w:r>
              <w:rPr>
                <w:rFonts w:hint="eastAsia"/>
                <w:szCs w:val="21"/>
              </w:rPr>
              <w:t>（3分）</w:t>
            </w:r>
          </w:p>
        </w:tc>
        <w:tc>
          <w:tcPr>
            <w:tcW w:w="7583" w:type="dxa"/>
            <w:gridSpan w:val="3"/>
            <w:tcBorders>
              <w:top w:val="single" w:color="auto" w:sz="2" w:space="0"/>
              <w:left w:val="single" w:color="auto" w:sz="2" w:space="0"/>
              <w:right w:val="single" w:color="auto" w:sz="2" w:space="0"/>
            </w:tcBorders>
            <w:vAlign w:val="center"/>
          </w:tcPr>
          <w:p w14:paraId="194B5B76">
            <w:pPr>
              <w:spacing w:line="276" w:lineRule="auto"/>
              <w:rPr>
                <w:rFonts w:ascii="宋体" w:hAnsi="宋体"/>
                <w:szCs w:val="21"/>
              </w:rPr>
            </w:pPr>
            <w:r>
              <w:rPr>
                <w:rFonts w:hint="eastAsia"/>
                <w:lang w:val="en-US" w:eastAsia="zh-CN"/>
              </w:rPr>
              <w:t>14</w:t>
            </w:r>
            <w:r>
              <w:rPr>
                <w:rFonts w:hint="eastAsia"/>
              </w:rPr>
              <w:t>、</w:t>
            </w:r>
            <w:r>
              <w:rPr>
                <w:rFonts w:hint="eastAsia"/>
                <w:szCs w:val="21"/>
              </w:rPr>
              <w:t>服务便捷性（3分）</w:t>
            </w:r>
            <w:r>
              <w:rPr>
                <w:rFonts w:ascii="宋体" w:hAnsi="宋体"/>
                <w:szCs w:val="21"/>
              </w:rPr>
              <w:tab/>
            </w:r>
          </w:p>
          <w:p w14:paraId="73B9A98C">
            <w:pPr>
              <w:spacing w:line="276" w:lineRule="auto"/>
              <w:jc w:val="left"/>
              <w:rPr>
                <w:rFonts w:hint="eastAsia" w:ascii="宋体" w:hAnsi="宋体"/>
                <w:szCs w:val="21"/>
              </w:rPr>
            </w:pPr>
            <w:r>
              <w:rPr>
                <w:rFonts w:hint="eastAsia" w:ascii="宋体" w:hAnsi="宋体" w:cs="宋体"/>
                <w:bCs/>
                <w:szCs w:val="21"/>
              </w:rPr>
              <w:t>评委根据投标人提供的在合同履行期间对采购人服务需求响应的及时性和投标人已有服务场所的稳定性及服务场所相对本项目服务地点的便捷性等情况进行综合评议。</w:t>
            </w:r>
            <w:r>
              <w:rPr>
                <w:rFonts w:hint="eastAsia" w:ascii="宋体" w:hAnsi="宋体"/>
                <w:szCs w:val="21"/>
              </w:rPr>
              <w:t>（提供土地证、产权证或租赁证明等相关证明材料,和相应的平面图、现场照片，加盖公章做入投标文件）</w:t>
            </w:r>
          </w:p>
          <w:p w14:paraId="219EC5C9">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①</w:t>
            </w:r>
            <w:r>
              <w:rPr>
                <w:rFonts w:hint="eastAsia" w:ascii="宋体" w:hAnsi="宋体" w:cs="宋体"/>
                <w:bCs/>
                <w:color w:val="auto"/>
                <w:kern w:val="0"/>
                <w:sz w:val="21"/>
                <w:szCs w:val="21"/>
                <w:highlight w:val="none"/>
                <w:lang w:eastAsia="zh-CN"/>
              </w:rPr>
              <w:t>服务机构便捷、对采购人需求响应及时</w:t>
            </w:r>
            <w:r>
              <w:rPr>
                <w:rFonts w:hint="eastAsia" w:ascii="宋体" w:hAnsi="宋体" w:cs="宋体"/>
                <w:bCs/>
                <w:color w:val="auto"/>
                <w:kern w:val="0"/>
                <w:sz w:val="21"/>
                <w:szCs w:val="21"/>
                <w:highlight w:val="none"/>
              </w:rPr>
              <w:t>，能</w:t>
            </w:r>
            <w:r>
              <w:rPr>
                <w:rFonts w:hint="eastAsia" w:eastAsia="宋体"/>
                <w:highlight w:val="none"/>
                <w:lang w:eastAsia="zh-CN"/>
              </w:rPr>
              <w:t>符合</w:t>
            </w:r>
            <w:r>
              <w:rPr>
                <w:rFonts w:hint="eastAsia" w:ascii="宋体" w:hAnsi="宋体" w:eastAsia="宋体" w:cs="宋体"/>
                <w:color w:val="auto"/>
                <w:kern w:val="0"/>
                <w:sz w:val="21"/>
                <w:szCs w:val="21"/>
                <w:highlight w:val="none"/>
                <w:lang w:eastAsia="zh-CN"/>
              </w:rPr>
              <w:t>本标段绿化养护</w:t>
            </w:r>
            <w:r>
              <w:rPr>
                <w:rFonts w:hint="eastAsia" w:ascii="宋体" w:hAnsi="宋体" w:cs="宋体"/>
                <w:color w:val="auto"/>
                <w:kern w:val="0"/>
                <w:sz w:val="21"/>
                <w:szCs w:val="21"/>
                <w:highlight w:val="none"/>
              </w:rPr>
              <w:t>要求</w:t>
            </w:r>
            <w:r>
              <w:rPr>
                <w:rFonts w:hint="eastAsia" w:ascii="宋体" w:hAnsi="宋体" w:cs="宋体"/>
                <w:bCs/>
                <w:color w:val="auto"/>
                <w:kern w:val="0"/>
                <w:sz w:val="21"/>
                <w:szCs w:val="21"/>
                <w:highlight w:val="none"/>
              </w:rPr>
              <w:t>的得</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分；</w:t>
            </w:r>
          </w:p>
          <w:p w14:paraId="1A84EAC8">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②</w:t>
            </w:r>
            <w:r>
              <w:rPr>
                <w:rFonts w:hint="eastAsia" w:ascii="宋体" w:hAnsi="宋体" w:cs="宋体"/>
                <w:bCs/>
                <w:color w:val="auto"/>
                <w:kern w:val="0"/>
                <w:sz w:val="21"/>
                <w:szCs w:val="21"/>
                <w:highlight w:val="none"/>
                <w:lang w:eastAsia="zh-CN"/>
              </w:rPr>
              <w:t>服务机构较便捷、对采购人需求响应较及时</w:t>
            </w:r>
            <w:r>
              <w:rPr>
                <w:rFonts w:hint="eastAsia" w:ascii="宋体" w:hAnsi="宋体" w:cs="宋体"/>
                <w:bCs/>
                <w:color w:val="auto"/>
                <w:kern w:val="0"/>
                <w:sz w:val="21"/>
                <w:szCs w:val="21"/>
                <w:highlight w:val="none"/>
              </w:rPr>
              <w:t>，</w:t>
            </w:r>
            <w:r>
              <w:rPr>
                <w:rFonts w:hint="eastAsia" w:ascii="宋体" w:hAnsi="宋体" w:cs="宋体"/>
                <w:bCs/>
                <w:color w:val="auto"/>
                <w:kern w:val="0"/>
                <w:sz w:val="21"/>
                <w:szCs w:val="21"/>
                <w:highlight w:val="none"/>
                <w:lang w:eastAsia="zh-CN"/>
              </w:rPr>
              <w:t>基本</w:t>
            </w:r>
            <w:r>
              <w:rPr>
                <w:rFonts w:hint="eastAsia" w:ascii="宋体" w:hAnsi="宋体" w:cs="宋体"/>
                <w:bCs/>
                <w:color w:val="auto"/>
                <w:kern w:val="0"/>
                <w:sz w:val="21"/>
                <w:szCs w:val="21"/>
                <w:highlight w:val="none"/>
              </w:rPr>
              <w:t>能</w:t>
            </w:r>
            <w:r>
              <w:rPr>
                <w:rFonts w:hint="eastAsia" w:eastAsia="宋体"/>
                <w:highlight w:val="none"/>
                <w:lang w:eastAsia="zh-CN"/>
              </w:rPr>
              <w:t>符合</w:t>
            </w:r>
            <w:r>
              <w:rPr>
                <w:rFonts w:hint="eastAsia" w:ascii="宋体" w:hAnsi="宋体" w:eastAsia="宋体" w:cs="宋体"/>
                <w:color w:val="auto"/>
                <w:kern w:val="0"/>
                <w:sz w:val="21"/>
                <w:szCs w:val="21"/>
                <w:highlight w:val="none"/>
                <w:lang w:eastAsia="zh-CN"/>
              </w:rPr>
              <w:t>本标段绿化养护</w:t>
            </w:r>
            <w:r>
              <w:rPr>
                <w:rFonts w:hint="eastAsia" w:ascii="宋体" w:hAnsi="宋体" w:cs="宋体"/>
                <w:color w:val="auto"/>
                <w:kern w:val="0"/>
                <w:sz w:val="21"/>
                <w:szCs w:val="21"/>
                <w:highlight w:val="none"/>
              </w:rPr>
              <w:t>要求</w:t>
            </w:r>
            <w:r>
              <w:rPr>
                <w:rFonts w:hint="eastAsia" w:ascii="宋体" w:hAnsi="宋体" w:cs="宋体"/>
                <w:bCs/>
                <w:color w:val="auto"/>
                <w:kern w:val="0"/>
                <w:sz w:val="21"/>
                <w:szCs w:val="21"/>
                <w:highlight w:val="none"/>
              </w:rPr>
              <w:t>的得</w:t>
            </w:r>
            <w:r>
              <w:rPr>
                <w:rFonts w:hint="eastAsia" w:ascii="宋体" w:hAnsi="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rPr>
              <w:t>分；</w:t>
            </w:r>
          </w:p>
          <w:p w14:paraId="6530FFC8">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rPr>
              <w:t>③</w:t>
            </w:r>
            <w:r>
              <w:rPr>
                <w:rFonts w:hint="eastAsia" w:ascii="宋体" w:hAnsi="宋体" w:cs="宋体"/>
                <w:bCs/>
                <w:color w:val="auto"/>
                <w:kern w:val="0"/>
                <w:sz w:val="21"/>
                <w:szCs w:val="21"/>
                <w:highlight w:val="none"/>
                <w:lang w:eastAsia="zh-CN"/>
              </w:rPr>
              <w:t>服务机构不便捷</w:t>
            </w:r>
            <w:r>
              <w:rPr>
                <w:rFonts w:hint="eastAsia" w:ascii="宋体" w:hAnsi="宋体" w:cs="宋体"/>
                <w:bCs/>
                <w:color w:val="auto"/>
                <w:kern w:val="0"/>
                <w:sz w:val="21"/>
                <w:szCs w:val="21"/>
                <w:highlight w:val="none"/>
              </w:rPr>
              <w:t>，</w:t>
            </w:r>
            <w:r>
              <w:rPr>
                <w:rFonts w:hint="eastAsia" w:ascii="宋体" w:hAnsi="宋体" w:cs="宋体"/>
                <w:bCs/>
                <w:color w:val="auto"/>
                <w:kern w:val="0"/>
                <w:sz w:val="21"/>
                <w:szCs w:val="21"/>
                <w:highlight w:val="none"/>
                <w:lang w:eastAsia="zh-CN"/>
              </w:rPr>
              <w:t>或对采购人需求响应较不及时</w:t>
            </w:r>
            <w:r>
              <w:rPr>
                <w:rFonts w:hint="eastAsia" w:ascii="宋体" w:hAnsi="宋体" w:cs="宋体"/>
                <w:bCs/>
                <w:color w:val="auto"/>
                <w:kern w:val="0"/>
                <w:sz w:val="21"/>
                <w:szCs w:val="21"/>
                <w:highlight w:val="none"/>
              </w:rPr>
              <w:t>的得</w:t>
            </w: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rPr>
              <w:t>分</w:t>
            </w:r>
            <w:r>
              <w:rPr>
                <w:rFonts w:hint="eastAsia" w:ascii="宋体" w:hAnsi="宋体" w:cs="宋体"/>
                <w:bCs/>
                <w:color w:val="auto"/>
                <w:kern w:val="0"/>
                <w:sz w:val="21"/>
                <w:szCs w:val="21"/>
                <w:highlight w:val="none"/>
                <w:lang w:eastAsia="zh-CN"/>
              </w:rPr>
              <w:t>；</w:t>
            </w:r>
          </w:p>
          <w:p w14:paraId="0387AB1D">
            <w:pPr>
              <w:keepNext w:val="0"/>
              <w:keepLines w:val="0"/>
              <w:pageBreakBefore w:val="0"/>
              <w:widowControl/>
              <w:kinsoku/>
              <w:wordWrap/>
              <w:overflowPunct/>
              <w:topLinePunct w:val="0"/>
              <w:autoSpaceDE w:val="0"/>
              <w:autoSpaceDN w:val="0"/>
              <w:bidi w:val="0"/>
              <w:adjustRightInd w:val="0"/>
              <w:snapToGrid w:val="0"/>
              <w:spacing w:beforeAutospacing="0" w:afterAutospacing="0"/>
              <w:ind w:right="0" w:rightChars="0"/>
              <w:jc w:val="left"/>
              <w:textAlignment w:val="auto"/>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④</w:t>
            </w:r>
            <w:r>
              <w:rPr>
                <w:rFonts w:hint="eastAsia" w:ascii="宋体" w:hAnsi="宋体" w:cs="宋体"/>
                <w:bCs/>
                <w:color w:val="auto"/>
                <w:kern w:val="0"/>
                <w:sz w:val="21"/>
                <w:szCs w:val="21"/>
                <w:highlight w:val="none"/>
                <w:lang w:eastAsia="zh-CN"/>
              </w:rPr>
              <w:t>方案</w:t>
            </w:r>
            <w:r>
              <w:rPr>
                <w:rFonts w:hint="eastAsia" w:ascii="宋体" w:hAnsi="宋体" w:cs="宋体"/>
                <w:bCs/>
                <w:color w:val="auto"/>
                <w:kern w:val="0"/>
                <w:sz w:val="21"/>
                <w:szCs w:val="21"/>
                <w:highlight w:val="none"/>
              </w:rPr>
              <w:t>不完整的得</w:t>
            </w:r>
            <w:r>
              <w:rPr>
                <w:rFonts w:hint="eastAsia" w:ascii="宋体" w:hAnsi="宋体" w:cs="宋体"/>
                <w:bCs/>
                <w:color w:val="auto"/>
                <w:kern w:val="0"/>
                <w:sz w:val="21"/>
                <w:szCs w:val="21"/>
                <w:highlight w:val="none"/>
                <w:lang w:val="en-US" w:eastAsia="zh-CN"/>
              </w:rPr>
              <w:t>0.5</w:t>
            </w:r>
            <w:r>
              <w:rPr>
                <w:rFonts w:hint="eastAsia" w:ascii="宋体" w:hAnsi="宋体" w:cs="宋体"/>
                <w:bCs/>
                <w:color w:val="auto"/>
                <w:kern w:val="0"/>
                <w:sz w:val="21"/>
                <w:szCs w:val="21"/>
                <w:highlight w:val="none"/>
              </w:rPr>
              <w:t>分；</w:t>
            </w:r>
          </w:p>
          <w:p w14:paraId="4E8B2642">
            <w:pPr>
              <w:spacing w:line="276" w:lineRule="auto"/>
              <w:jc w:val="left"/>
            </w:pPr>
            <w:r>
              <w:rPr>
                <w:rFonts w:hint="eastAsia" w:ascii="宋体" w:hAnsi="宋体" w:cs="宋体"/>
                <w:color w:val="auto"/>
                <w:kern w:val="0"/>
                <w:sz w:val="21"/>
                <w:szCs w:val="21"/>
                <w:highlight w:val="none"/>
              </w:rPr>
              <w:t>⑤</w:t>
            </w:r>
            <w:r>
              <w:rPr>
                <w:rFonts w:hint="eastAsia" w:ascii="宋体" w:hAnsi="宋体" w:cs="宋体"/>
                <w:bCs/>
                <w:color w:val="auto"/>
                <w:kern w:val="0"/>
                <w:sz w:val="21"/>
                <w:szCs w:val="21"/>
                <w:highlight w:val="none"/>
              </w:rPr>
              <w:t>未提供相关内容的不得分。</w:t>
            </w:r>
          </w:p>
        </w:tc>
        <w:tc>
          <w:tcPr>
            <w:tcW w:w="767" w:type="dxa"/>
            <w:tcBorders>
              <w:top w:val="single" w:color="auto" w:sz="2" w:space="0"/>
              <w:left w:val="single" w:color="auto" w:sz="2" w:space="0"/>
              <w:right w:val="single" w:color="auto" w:sz="4" w:space="0"/>
            </w:tcBorders>
            <w:vAlign w:val="center"/>
          </w:tcPr>
          <w:p w14:paraId="337A965D">
            <w:pPr>
              <w:spacing w:line="276"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3分</w:t>
            </w:r>
          </w:p>
        </w:tc>
        <w:tc>
          <w:tcPr>
            <w:tcW w:w="867" w:type="dxa"/>
            <w:tcBorders>
              <w:top w:val="single" w:color="auto" w:sz="2" w:space="0"/>
              <w:left w:val="single" w:color="auto" w:sz="4" w:space="0"/>
              <w:right w:val="single" w:color="auto" w:sz="4" w:space="0"/>
            </w:tcBorders>
            <w:vAlign w:val="center"/>
          </w:tcPr>
          <w:p w14:paraId="7B92CB44">
            <w:pPr>
              <w:spacing w:line="276" w:lineRule="auto"/>
              <w:jc w:val="center"/>
              <w:rPr>
                <w:rFonts w:hint="eastAsia" w:ascii="宋体" w:hAnsi="宋体" w:eastAsia="宋体" w:cs="宋体"/>
                <w:bCs/>
                <w:szCs w:val="21"/>
                <w:lang w:eastAsia="zh-CN"/>
              </w:rPr>
            </w:pPr>
            <w:r>
              <w:rPr>
                <w:rFonts w:hint="eastAsia" w:ascii="宋体" w:hAnsi="宋体" w:cs="宋体"/>
                <w:bCs/>
                <w:szCs w:val="21"/>
                <w:lang w:eastAsia="zh-CN"/>
              </w:rPr>
              <w:t>主观分</w:t>
            </w:r>
          </w:p>
        </w:tc>
      </w:tr>
      <w:tr w14:paraId="59C4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2" w:hRule="atLeast"/>
        </w:trPr>
        <w:tc>
          <w:tcPr>
            <w:tcW w:w="1447" w:type="dxa"/>
            <w:gridSpan w:val="2"/>
            <w:tcBorders>
              <w:left w:val="single" w:color="auto" w:sz="4" w:space="0"/>
              <w:right w:val="single" w:color="auto" w:sz="2" w:space="0"/>
            </w:tcBorders>
            <w:vAlign w:val="center"/>
          </w:tcPr>
          <w:p w14:paraId="540B9FF6">
            <w:pPr>
              <w:spacing w:line="276" w:lineRule="auto"/>
              <w:ind w:right="162"/>
              <w:jc w:val="left"/>
              <w:rPr>
                <w:rFonts w:ascii="宋体" w:hAnsi="宋体" w:cs="宋体"/>
                <w:bCs/>
                <w:szCs w:val="21"/>
              </w:rPr>
            </w:pPr>
            <w:r>
              <w:rPr>
                <w:szCs w:val="21"/>
              </w:rPr>
              <w:t>价格分</w:t>
            </w:r>
            <w:r>
              <w:rPr>
                <w:rFonts w:hint="eastAsia"/>
                <w:szCs w:val="21"/>
                <w:lang w:val="en-US" w:eastAsia="zh-CN"/>
              </w:rPr>
              <w:t>30</w:t>
            </w:r>
            <w:r>
              <w:rPr>
                <w:szCs w:val="21"/>
              </w:rPr>
              <w:t>分</w:t>
            </w:r>
          </w:p>
        </w:tc>
        <w:tc>
          <w:tcPr>
            <w:tcW w:w="7583" w:type="dxa"/>
            <w:gridSpan w:val="3"/>
            <w:tcBorders>
              <w:top w:val="single" w:color="auto" w:sz="2" w:space="0"/>
              <w:left w:val="single" w:color="auto" w:sz="2" w:space="0"/>
              <w:bottom w:val="single" w:color="auto" w:sz="2" w:space="0"/>
              <w:right w:val="single" w:color="auto" w:sz="2" w:space="0"/>
            </w:tcBorders>
            <w:vAlign w:val="center"/>
          </w:tcPr>
          <w:p w14:paraId="41150280">
            <w:pPr>
              <w:widowControl/>
              <w:tabs>
                <w:tab w:val="left" w:pos="0"/>
              </w:tabs>
              <w:spacing w:line="360" w:lineRule="auto"/>
              <w:jc w:val="left"/>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评标基准价指的是满足采购文件要求且最低的投标报价</w:t>
            </w:r>
          </w:p>
          <w:p w14:paraId="562EA21E">
            <w:pPr>
              <w:widowControl/>
              <w:tabs>
                <w:tab w:val="left" w:pos="0"/>
              </w:tabs>
              <w:spacing w:line="360" w:lineRule="auto"/>
              <w:jc w:val="left"/>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参与评审的价格为评标基准价的其价格得分得满分</w:t>
            </w:r>
            <w:r>
              <w:rPr>
                <w:rFonts w:hint="eastAsia" w:ascii="宋体" w:hAnsi="宋体" w:cs="宋体"/>
                <w:bCs/>
                <w:color w:val="000000"/>
                <w:kern w:val="0"/>
                <w:szCs w:val="21"/>
                <w:highlight w:val="none"/>
                <w:lang w:val="en-US" w:eastAsia="zh-CN"/>
              </w:rPr>
              <w:t>30</w:t>
            </w:r>
            <w:r>
              <w:rPr>
                <w:rFonts w:hint="eastAsia" w:ascii="宋体" w:hAnsi="宋体" w:cs="宋体"/>
                <w:bCs/>
                <w:color w:val="000000"/>
                <w:kern w:val="0"/>
                <w:szCs w:val="21"/>
                <w:highlight w:val="none"/>
              </w:rPr>
              <w:t>分。</w:t>
            </w:r>
          </w:p>
          <w:p w14:paraId="5529BB98">
            <w:pPr>
              <w:widowControl/>
              <w:tabs>
                <w:tab w:val="left" w:pos="0"/>
              </w:tabs>
              <w:spacing w:line="360" w:lineRule="auto"/>
              <w:jc w:val="left"/>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参与评审的价格=投标报价</w:t>
            </w:r>
          </w:p>
          <w:p w14:paraId="3F63735B">
            <w:pPr>
              <w:widowControl/>
              <w:tabs>
                <w:tab w:val="left" w:pos="0"/>
              </w:tabs>
              <w:spacing w:line="360" w:lineRule="auto"/>
              <w:jc w:val="left"/>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其他供应商价格得分按照下列公式计算：</w:t>
            </w:r>
          </w:p>
          <w:p w14:paraId="2FBF877A">
            <w:pPr>
              <w:widowControl/>
              <w:tabs>
                <w:tab w:val="left" w:pos="0"/>
              </w:tabs>
              <w:spacing w:line="360" w:lineRule="auto"/>
              <w:jc w:val="left"/>
            </w:pPr>
            <w:r>
              <w:rPr>
                <w:rFonts w:hint="eastAsia" w:ascii="宋体" w:hAnsi="宋体" w:cs="宋体"/>
                <w:bCs/>
                <w:color w:val="000000"/>
                <w:kern w:val="0"/>
                <w:szCs w:val="21"/>
                <w:highlight w:val="none"/>
              </w:rPr>
              <w:t>价格得分=（评标基准价/参与评审的价格）×</w:t>
            </w:r>
            <w:r>
              <w:rPr>
                <w:rFonts w:hint="eastAsia" w:ascii="宋体" w:hAnsi="宋体" w:cs="宋体"/>
                <w:bCs/>
                <w:color w:val="000000"/>
                <w:kern w:val="0"/>
                <w:szCs w:val="21"/>
                <w:highlight w:val="none"/>
                <w:lang w:val="en-US" w:eastAsia="zh-CN"/>
              </w:rPr>
              <w:t>30</w:t>
            </w:r>
            <w:r>
              <w:rPr>
                <w:rFonts w:hint="eastAsia" w:ascii="宋体" w:hAnsi="宋体" w:cs="宋体"/>
                <w:bCs/>
                <w:color w:val="000000"/>
                <w:kern w:val="0"/>
                <w:szCs w:val="21"/>
                <w:highlight w:val="none"/>
              </w:rPr>
              <w:t>%×100。</w:t>
            </w:r>
          </w:p>
        </w:tc>
        <w:tc>
          <w:tcPr>
            <w:tcW w:w="767" w:type="dxa"/>
            <w:tcBorders>
              <w:top w:val="single" w:color="auto" w:sz="2" w:space="0"/>
              <w:left w:val="single" w:color="auto" w:sz="2" w:space="0"/>
              <w:bottom w:val="single" w:color="auto" w:sz="2" w:space="0"/>
              <w:right w:val="single" w:color="auto" w:sz="4" w:space="0"/>
            </w:tcBorders>
            <w:vAlign w:val="center"/>
          </w:tcPr>
          <w:p w14:paraId="76F88BBF">
            <w:pPr>
              <w:jc w:val="center"/>
              <w:rPr>
                <w:rFonts w:hint="default" w:ascii="宋体" w:hAnsi="宋体" w:eastAsia="宋体" w:cs="宋体"/>
                <w:bCs/>
                <w:color w:val="000000"/>
                <w:kern w:val="0"/>
                <w:szCs w:val="21"/>
                <w:highlight w:val="none"/>
                <w:lang w:val="en-US" w:eastAsia="zh-CN"/>
              </w:rPr>
            </w:pPr>
            <w:r>
              <w:rPr>
                <w:rFonts w:hint="eastAsia" w:ascii="宋体" w:hAnsi="宋体" w:cs="宋体"/>
                <w:bCs/>
                <w:color w:val="000000"/>
                <w:kern w:val="0"/>
                <w:szCs w:val="21"/>
                <w:highlight w:val="none"/>
                <w:lang w:val="en-US" w:eastAsia="zh-CN"/>
              </w:rPr>
              <w:t>30分</w:t>
            </w:r>
          </w:p>
        </w:tc>
        <w:tc>
          <w:tcPr>
            <w:tcW w:w="867" w:type="dxa"/>
            <w:tcBorders>
              <w:top w:val="single" w:color="auto" w:sz="2" w:space="0"/>
              <w:left w:val="single" w:color="auto" w:sz="4" w:space="0"/>
              <w:bottom w:val="single" w:color="auto" w:sz="2" w:space="0"/>
              <w:right w:val="single" w:color="auto" w:sz="4" w:space="0"/>
            </w:tcBorders>
            <w:vAlign w:val="center"/>
          </w:tcPr>
          <w:p w14:paraId="439952D4">
            <w:pPr>
              <w:jc w:val="center"/>
              <w:rPr>
                <w:rFonts w:hint="eastAsia" w:ascii="宋体" w:hAnsi="宋体" w:eastAsia="宋体" w:cs="宋体"/>
                <w:bCs/>
                <w:color w:val="000000"/>
                <w:kern w:val="0"/>
                <w:szCs w:val="21"/>
                <w:highlight w:val="none"/>
                <w:lang w:eastAsia="zh-CN"/>
              </w:rPr>
            </w:pPr>
            <w:r>
              <w:rPr>
                <w:rFonts w:hint="eastAsia" w:ascii="宋体" w:hAnsi="宋体" w:cs="宋体"/>
                <w:bCs/>
                <w:color w:val="000000"/>
                <w:kern w:val="0"/>
                <w:szCs w:val="21"/>
                <w:highlight w:val="none"/>
                <w:lang w:eastAsia="zh-CN"/>
              </w:rPr>
              <w:t>客观分</w:t>
            </w:r>
          </w:p>
        </w:tc>
      </w:tr>
      <w:tr w14:paraId="4E26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trPr>
        <w:tc>
          <w:tcPr>
            <w:tcW w:w="10664" w:type="dxa"/>
            <w:gridSpan w:val="7"/>
            <w:tcBorders>
              <w:top w:val="single" w:color="auto" w:sz="4" w:space="0"/>
              <w:left w:val="single" w:color="auto" w:sz="4" w:space="0"/>
              <w:bottom w:val="single" w:color="auto" w:sz="4" w:space="0"/>
              <w:right w:val="single" w:color="auto" w:sz="4" w:space="0"/>
            </w:tcBorders>
            <w:vAlign w:val="center"/>
          </w:tcPr>
          <w:p w14:paraId="59BC8521">
            <w:pPr>
              <w:spacing w:line="276" w:lineRule="auto"/>
              <w:ind w:right="162"/>
              <w:jc w:val="center"/>
              <w:rPr>
                <w:szCs w:val="21"/>
              </w:rPr>
            </w:pPr>
            <w:r>
              <w:rPr>
                <w:szCs w:val="21"/>
              </w:rPr>
              <w:t>总分（满分100分）</w:t>
            </w:r>
          </w:p>
        </w:tc>
      </w:tr>
    </w:tbl>
    <w:p w14:paraId="718C8B3D"/>
    <w:p w14:paraId="60F499D3"/>
    <w:p w14:paraId="0253AEA1">
      <w:pPr>
        <w:pStyle w:val="13"/>
        <w:snapToGrid w:val="0"/>
        <w:spacing w:beforeLines="0" w:after="120"/>
        <w:outlineLvl w:val="0"/>
        <w:rPr>
          <w:rFonts w:hAnsi="宋体" w:cs="宋体"/>
          <w:b/>
          <w:sz w:val="30"/>
          <w:szCs w:val="30"/>
        </w:rPr>
      </w:pPr>
    </w:p>
    <w:p w14:paraId="0E5077C7">
      <w:pPr>
        <w:pStyle w:val="13"/>
        <w:snapToGrid w:val="0"/>
        <w:spacing w:beforeLines="0" w:after="120"/>
        <w:outlineLvl w:val="0"/>
        <w:rPr>
          <w:rFonts w:hAnsi="宋体" w:cs="宋体"/>
          <w:b/>
          <w:sz w:val="30"/>
          <w:szCs w:val="30"/>
        </w:rPr>
      </w:pPr>
    </w:p>
    <w:p w14:paraId="4E69FB10">
      <w:pPr>
        <w:pStyle w:val="13"/>
        <w:snapToGrid w:val="0"/>
        <w:spacing w:beforeLines="0" w:after="120"/>
        <w:outlineLvl w:val="0"/>
        <w:rPr>
          <w:rFonts w:hAnsi="宋体" w:cs="宋体"/>
          <w:b/>
          <w:sz w:val="30"/>
          <w:szCs w:val="30"/>
        </w:rPr>
      </w:pPr>
    </w:p>
    <w:p w14:paraId="02F056CC">
      <w:pPr>
        <w:pStyle w:val="13"/>
        <w:snapToGrid w:val="0"/>
        <w:spacing w:beforeLines="0" w:after="120"/>
        <w:outlineLvl w:val="0"/>
        <w:rPr>
          <w:rFonts w:hAnsi="宋体" w:cs="宋体"/>
          <w:b/>
          <w:sz w:val="30"/>
          <w:szCs w:val="30"/>
        </w:rPr>
      </w:pPr>
    </w:p>
    <w:p w14:paraId="20C8C8CD">
      <w:pPr>
        <w:pStyle w:val="37"/>
        <w:ind w:firstLine="0" w:firstLineChars="0"/>
        <w:rPr>
          <w:rFonts w:hAnsi="宋体" w:cs="宋体"/>
          <w:b/>
          <w:sz w:val="30"/>
          <w:szCs w:val="30"/>
        </w:rPr>
      </w:pPr>
    </w:p>
    <w:p w14:paraId="59773FEF">
      <w:pPr>
        <w:pStyle w:val="37"/>
        <w:ind w:firstLine="0" w:firstLineChars="0"/>
        <w:rPr>
          <w:rFonts w:hAnsi="宋体" w:cs="宋体"/>
          <w:b/>
          <w:sz w:val="30"/>
          <w:szCs w:val="30"/>
        </w:rPr>
      </w:pPr>
    </w:p>
    <w:p w14:paraId="20CB55BC">
      <w:pPr>
        <w:pStyle w:val="37"/>
        <w:ind w:firstLine="0" w:firstLineChars="0"/>
        <w:rPr>
          <w:rFonts w:hAnsi="宋体" w:cs="宋体"/>
          <w:b/>
          <w:sz w:val="30"/>
          <w:szCs w:val="30"/>
        </w:rPr>
      </w:pPr>
    </w:p>
    <w:p w14:paraId="037E2CFC">
      <w:pPr>
        <w:pStyle w:val="37"/>
        <w:ind w:firstLine="0" w:firstLineChars="0"/>
        <w:rPr>
          <w:rFonts w:hAnsi="宋体" w:cs="宋体"/>
          <w:b/>
          <w:sz w:val="30"/>
          <w:szCs w:val="30"/>
        </w:rPr>
      </w:pPr>
    </w:p>
    <w:p w14:paraId="13A9C74E">
      <w:pPr>
        <w:pStyle w:val="37"/>
        <w:ind w:firstLine="0" w:firstLineChars="0"/>
        <w:rPr>
          <w:rFonts w:hAnsi="宋体" w:cs="宋体"/>
          <w:b/>
          <w:sz w:val="30"/>
          <w:szCs w:val="30"/>
        </w:rPr>
      </w:pPr>
    </w:p>
    <w:p w14:paraId="58F301E3">
      <w:pPr>
        <w:pStyle w:val="37"/>
        <w:ind w:firstLine="0" w:firstLineChars="0"/>
        <w:rPr>
          <w:rFonts w:hAnsi="宋体" w:cs="宋体"/>
          <w:b/>
          <w:sz w:val="30"/>
          <w:szCs w:val="30"/>
        </w:rPr>
      </w:pPr>
    </w:p>
    <w:p w14:paraId="252C9A09">
      <w:pPr>
        <w:pStyle w:val="37"/>
        <w:ind w:firstLine="0" w:firstLineChars="0"/>
        <w:rPr>
          <w:rFonts w:hAnsi="宋体" w:cs="宋体"/>
          <w:b/>
          <w:sz w:val="30"/>
          <w:szCs w:val="30"/>
        </w:rPr>
      </w:pPr>
    </w:p>
    <w:p w14:paraId="35A8D9E9">
      <w:pPr>
        <w:pStyle w:val="37"/>
        <w:ind w:firstLine="0" w:firstLineChars="0"/>
        <w:rPr>
          <w:rFonts w:hAnsi="宋体" w:cs="宋体"/>
          <w:b/>
          <w:sz w:val="30"/>
          <w:szCs w:val="30"/>
        </w:rPr>
      </w:pPr>
    </w:p>
    <w:p w14:paraId="517B5E66">
      <w:pPr>
        <w:pStyle w:val="37"/>
        <w:ind w:firstLine="0" w:firstLineChars="0"/>
        <w:rPr>
          <w:rFonts w:hAnsi="宋体" w:cs="宋体"/>
          <w:b/>
          <w:sz w:val="30"/>
          <w:szCs w:val="30"/>
        </w:rPr>
      </w:pPr>
    </w:p>
    <w:p w14:paraId="27A3BC75">
      <w:pPr>
        <w:pStyle w:val="37"/>
        <w:ind w:firstLine="0" w:firstLineChars="0"/>
        <w:rPr>
          <w:rFonts w:hAnsi="宋体" w:cs="宋体"/>
          <w:b/>
          <w:sz w:val="30"/>
          <w:szCs w:val="30"/>
        </w:rPr>
      </w:pPr>
    </w:p>
    <w:p w14:paraId="64E18D0A">
      <w:pPr>
        <w:pStyle w:val="37"/>
        <w:ind w:firstLine="0" w:firstLineChars="0"/>
        <w:rPr>
          <w:rFonts w:hAnsi="宋体" w:cs="宋体"/>
          <w:b/>
          <w:sz w:val="30"/>
          <w:szCs w:val="30"/>
        </w:rPr>
      </w:pPr>
    </w:p>
    <w:p w14:paraId="4E584677">
      <w:pPr>
        <w:pStyle w:val="13"/>
        <w:snapToGrid w:val="0"/>
        <w:spacing w:beforeLines="0" w:after="120"/>
        <w:jc w:val="center"/>
        <w:outlineLvl w:val="0"/>
        <w:rPr>
          <w:rFonts w:hAnsi="宋体" w:cs="宋体"/>
          <w:b/>
          <w:sz w:val="30"/>
          <w:szCs w:val="30"/>
        </w:rPr>
      </w:pPr>
      <w:r>
        <w:rPr>
          <w:rFonts w:hint="eastAsia" w:hAnsi="宋体" w:cs="宋体"/>
          <w:b/>
          <w:sz w:val="30"/>
          <w:szCs w:val="30"/>
        </w:rPr>
        <w:t>第五章　投标文件格式</w:t>
      </w:r>
    </w:p>
    <w:p w14:paraId="349F9CED">
      <w:pPr>
        <w:snapToGrid w:val="0"/>
        <w:spacing w:line="400" w:lineRule="exact"/>
        <w:outlineLvl w:val="1"/>
        <w:rPr>
          <w:rFonts w:ascii="宋体" w:cs="宋体"/>
          <w:b/>
          <w:bCs/>
          <w:szCs w:val="21"/>
        </w:rPr>
      </w:pPr>
      <w:bookmarkStart w:id="99" w:name="_Toc22236"/>
    </w:p>
    <w:bookmarkEnd w:id="99"/>
    <w:p w14:paraId="605346DE">
      <w:pPr>
        <w:snapToGrid w:val="0"/>
        <w:spacing w:line="400" w:lineRule="exact"/>
        <w:jc w:val="center"/>
        <w:outlineLvl w:val="1"/>
        <w:rPr>
          <w:rFonts w:ascii="宋体" w:cs="宋体"/>
          <w:b/>
          <w:bCs/>
          <w:szCs w:val="21"/>
        </w:rPr>
      </w:pPr>
      <w:bookmarkStart w:id="100" w:name="_Toc19589"/>
      <w:bookmarkStart w:id="101" w:name="_Toc463726844"/>
      <w:bookmarkStart w:id="102" w:name="_Toc1252"/>
      <w:bookmarkStart w:id="103" w:name="_Toc5919"/>
      <w:r>
        <w:rPr>
          <w:rFonts w:hint="eastAsia" w:ascii="宋体" w:hAnsi="宋体" w:cs="宋体"/>
          <w:b/>
          <w:bCs/>
          <w:szCs w:val="21"/>
        </w:rPr>
        <w:t>一、投标文件外层包装封面格式</w:t>
      </w:r>
    </w:p>
    <w:p w14:paraId="321BCA28">
      <w:pPr>
        <w:snapToGrid w:val="0"/>
        <w:spacing w:line="400" w:lineRule="exact"/>
        <w:rPr>
          <w:rFonts w:ascii="宋体" w:cs="宋体"/>
          <w:szCs w:val="21"/>
        </w:rPr>
      </w:pPr>
    </w:p>
    <w:p w14:paraId="43D4D4FC">
      <w:pPr>
        <w:snapToGrid w:val="0"/>
        <w:spacing w:line="400" w:lineRule="exact"/>
        <w:rPr>
          <w:rFonts w:ascii="宋体" w:cs="宋体"/>
          <w:szCs w:val="21"/>
        </w:rPr>
      </w:pPr>
      <w:r>
        <w:rPr>
          <w:rFonts w:hint="eastAsia" w:ascii="宋体" w:hAnsi="宋体" w:cs="宋体"/>
          <w:szCs w:val="21"/>
        </w:rPr>
        <w:t>所有投标文件的外包装封面格式：</w:t>
      </w:r>
    </w:p>
    <w:p w14:paraId="0567968D">
      <w:pPr>
        <w:snapToGrid w:val="0"/>
        <w:spacing w:line="400" w:lineRule="exact"/>
        <w:rPr>
          <w:rFonts w:ascii="宋体" w:cs="宋体"/>
          <w:bCs/>
          <w:szCs w:val="21"/>
        </w:rPr>
      </w:pPr>
    </w:p>
    <w:p w14:paraId="1BE61F80">
      <w:pPr>
        <w:snapToGrid w:val="0"/>
        <w:spacing w:beforeLines="50" w:after="50"/>
        <w:ind w:firstLine="3675" w:firstLineChars="1750"/>
        <w:rPr>
          <w:rFonts w:ascii="宋体"/>
          <w:szCs w:val="21"/>
        </w:rPr>
      </w:pPr>
      <w:r>
        <w:rPr>
          <w:rFonts w:hint="eastAsia" w:ascii="宋体" w:hAnsi="宋体"/>
          <w:szCs w:val="21"/>
        </w:rPr>
        <w:t>资格审查文件</w:t>
      </w:r>
    </w:p>
    <w:p w14:paraId="1E26427C">
      <w:pPr>
        <w:snapToGrid w:val="0"/>
        <w:spacing w:line="400" w:lineRule="exact"/>
        <w:jc w:val="center"/>
        <w:rPr>
          <w:rFonts w:ascii="宋体" w:cs="宋体"/>
          <w:b/>
          <w:szCs w:val="21"/>
        </w:rPr>
      </w:pPr>
    </w:p>
    <w:p w14:paraId="20A1ACC4">
      <w:pPr>
        <w:snapToGrid w:val="0"/>
        <w:spacing w:line="400" w:lineRule="exact"/>
        <w:rPr>
          <w:rFonts w:ascii="宋体" w:cs="宋体"/>
          <w:bCs/>
          <w:szCs w:val="21"/>
        </w:rPr>
      </w:pPr>
    </w:p>
    <w:p w14:paraId="519F3CF9">
      <w:pPr>
        <w:snapToGrid w:val="0"/>
        <w:spacing w:line="400" w:lineRule="exact"/>
        <w:rPr>
          <w:rFonts w:ascii="宋体" w:cs="宋体"/>
          <w:bCs/>
          <w:szCs w:val="21"/>
        </w:rPr>
      </w:pPr>
    </w:p>
    <w:p w14:paraId="5CDF5338">
      <w:pPr>
        <w:snapToGrid w:val="0"/>
        <w:spacing w:line="400" w:lineRule="exact"/>
        <w:ind w:firstLine="1050" w:firstLineChars="500"/>
        <w:rPr>
          <w:rFonts w:ascii="宋体" w:cs="宋体"/>
          <w:bCs/>
          <w:szCs w:val="21"/>
        </w:rPr>
      </w:pPr>
      <w:r>
        <w:rPr>
          <w:rFonts w:hint="eastAsia" w:ascii="宋体" w:hAnsi="宋体" w:cs="宋体"/>
          <w:bCs/>
          <w:szCs w:val="21"/>
        </w:rPr>
        <w:t>项目名称：</w:t>
      </w:r>
    </w:p>
    <w:p w14:paraId="51FFE691">
      <w:pPr>
        <w:snapToGrid w:val="0"/>
        <w:spacing w:line="400" w:lineRule="exact"/>
        <w:ind w:firstLine="1050" w:firstLineChars="500"/>
        <w:rPr>
          <w:rFonts w:ascii="宋体" w:cs="宋体"/>
          <w:bCs/>
          <w:szCs w:val="21"/>
        </w:rPr>
      </w:pPr>
      <w:r>
        <w:rPr>
          <w:rFonts w:hint="eastAsia" w:ascii="宋体" w:hAnsi="宋体" w:cs="宋体"/>
          <w:bCs/>
          <w:szCs w:val="21"/>
        </w:rPr>
        <w:t>项目编号：</w:t>
      </w:r>
    </w:p>
    <w:p w14:paraId="76E8610B">
      <w:pPr>
        <w:snapToGrid w:val="0"/>
        <w:spacing w:line="400" w:lineRule="exact"/>
        <w:ind w:firstLine="1050" w:firstLineChars="500"/>
        <w:rPr>
          <w:rFonts w:ascii="宋体" w:cs="宋体"/>
          <w:bCs/>
          <w:szCs w:val="21"/>
        </w:rPr>
      </w:pPr>
      <w:r>
        <w:rPr>
          <w:rFonts w:hint="eastAsia" w:ascii="宋体" w:hAnsi="宋体" w:cs="宋体"/>
          <w:bCs/>
          <w:szCs w:val="21"/>
        </w:rPr>
        <w:t>投标文件名称：投标文件</w:t>
      </w:r>
    </w:p>
    <w:p w14:paraId="5FDCFE32">
      <w:pPr>
        <w:snapToGrid w:val="0"/>
        <w:spacing w:line="400" w:lineRule="exact"/>
        <w:ind w:firstLine="1050" w:firstLineChars="500"/>
        <w:rPr>
          <w:rFonts w:ascii="宋体" w:cs="宋体"/>
          <w:bCs/>
          <w:szCs w:val="21"/>
        </w:rPr>
      </w:pPr>
      <w:r>
        <w:rPr>
          <w:rFonts w:hint="eastAsia" w:ascii="宋体" w:hAnsi="宋体" w:cs="宋体"/>
          <w:bCs/>
          <w:szCs w:val="21"/>
        </w:rPr>
        <w:t>投标人名称：</w:t>
      </w:r>
    </w:p>
    <w:p w14:paraId="20F75FBB">
      <w:pPr>
        <w:snapToGrid w:val="0"/>
        <w:spacing w:line="400" w:lineRule="exact"/>
        <w:ind w:firstLine="1050" w:firstLineChars="500"/>
        <w:rPr>
          <w:rFonts w:ascii="宋体" w:cs="宋体"/>
          <w:bCs/>
          <w:szCs w:val="21"/>
        </w:rPr>
      </w:pPr>
      <w:r>
        <w:rPr>
          <w:rFonts w:hint="eastAsia" w:ascii="宋体" w:hAnsi="宋体" w:cs="宋体"/>
          <w:bCs/>
          <w:szCs w:val="21"/>
        </w:rPr>
        <w:t>投标人地址：</w:t>
      </w:r>
    </w:p>
    <w:p w14:paraId="5C1BEE79">
      <w:pPr>
        <w:snapToGrid w:val="0"/>
        <w:spacing w:line="400" w:lineRule="exact"/>
        <w:ind w:firstLine="1050" w:firstLineChars="500"/>
        <w:rPr>
          <w:rFonts w:ascii="宋体" w:cs="宋体"/>
          <w:bCs/>
          <w:szCs w:val="21"/>
        </w:rPr>
      </w:pPr>
      <w:r>
        <w:rPr>
          <w:rFonts w:hint="eastAsia" w:ascii="宋体" w:hAnsi="宋体" w:cs="宋体"/>
          <w:bCs/>
          <w:szCs w:val="21"/>
        </w:rPr>
        <w:t>在年月日时分之前不得启封</w:t>
      </w:r>
    </w:p>
    <w:p w14:paraId="55C30FB5">
      <w:pPr>
        <w:snapToGrid w:val="0"/>
        <w:spacing w:line="400" w:lineRule="exact"/>
        <w:ind w:firstLine="3570" w:firstLineChars="1700"/>
        <w:rPr>
          <w:rFonts w:ascii="宋体" w:cs="宋体"/>
          <w:bCs/>
          <w:szCs w:val="21"/>
        </w:rPr>
      </w:pPr>
    </w:p>
    <w:p w14:paraId="6BC57709">
      <w:pPr>
        <w:snapToGrid w:val="0"/>
        <w:spacing w:line="400" w:lineRule="exact"/>
        <w:ind w:firstLine="645"/>
        <w:jc w:val="center"/>
        <w:rPr>
          <w:rFonts w:ascii="宋体" w:cs="宋体"/>
          <w:bCs/>
          <w:szCs w:val="21"/>
        </w:rPr>
      </w:pPr>
      <w:r>
        <w:rPr>
          <w:rFonts w:hint="eastAsia" w:ascii="宋体" w:hAnsi="宋体" w:cs="宋体"/>
          <w:bCs/>
          <w:szCs w:val="21"/>
        </w:rPr>
        <w:t>年月日</w:t>
      </w:r>
    </w:p>
    <w:p w14:paraId="3DD104AE">
      <w:pPr>
        <w:snapToGrid w:val="0"/>
        <w:spacing w:line="400" w:lineRule="exact"/>
        <w:rPr>
          <w:rFonts w:ascii="宋体" w:cs="宋体"/>
          <w:b/>
          <w:bCs/>
          <w:szCs w:val="21"/>
        </w:rPr>
      </w:pPr>
    </w:p>
    <w:p w14:paraId="1A681ABD">
      <w:pPr>
        <w:snapToGrid w:val="0"/>
        <w:spacing w:line="400" w:lineRule="exact"/>
        <w:jc w:val="center"/>
        <w:rPr>
          <w:rFonts w:ascii="宋体" w:cs="宋体"/>
          <w:b/>
          <w:bCs/>
          <w:szCs w:val="21"/>
        </w:rPr>
      </w:pPr>
      <w:r>
        <w:rPr>
          <w:rFonts w:hint="eastAsia" w:ascii="宋体" w:hAnsi="宋体" w:cs="宋体"/>
          <w:b/>
          <w:bCs/>
          <w:szCs w:val="21"/>
        </w:rPr>
        <w:t>二、投标文件封面格式</w:t>
      </w:r>
    </w:p>
    <w:p w14:paraId="4988BF3A">
      <w:pPr>
        <w:snapToGrid w:val="0"/>
        <w:spacing w:line="400" w:lineRule="exact"/>
        <w:rPr>
          <w:rFonts w:ascii="宋体" w:cs="宋体"/>
          <w:szCs w:val="21"/>
        </w:rPr>
      </w:pPr>
      <w:r>
        <w:rPr>
          <w:rFonts w:hint="eastAsia" w:ascii="宋体" w:hAnsi="宋体" w:cs="宋体"/>
          <w:szCs w:val="21"/>
        </w:rPr>
        <w:t>投标文件封面格式：</w:t>
      </w:r>
    </w:p>
    <w:p w14:paraId="05D99B92">
      <w:pPr>
        <w:snapToGrid w:val="0"/>
        <w:spacing w:line="400" w:lineRule="exact"/>
        <w:jc w:val="right"/>
        <w:rPr>
          <w:rFonts w:ascii="宋体" w:cs="宋体"/>
          <w:b/>
          <w:bCs/>
          <w:szCs w:val="21"/>
        </w:rPr>
      </w:pPr>
      <w:r>
        <w:rPr>
          <w:rFonts w:hint="eastAsia" w:ascii="宋体" w:hAnsi="宋体" w:cs="宋体"/>
          <w:b/>
          <w:bCs/>
          <w:szCs w:val="21"/>
        </w:rPr>
        <w:t>正本</w:t>
      </w:r>
    </w:p>
    <w:p w14:paraId="30F170F8">
      <w:pPr>
        <w:snapToGrid w:val="0"/>
        <w:spacing w:line="400" w:lineRule="exact"/>
        <w:rPr>
          <w:rFonts w:ascii="宋体" w:cs="宋体"/>
          <w:bCs/>
          <w:szCs w:val="21"/>
        </w:rPr>
      </w:pPr>
    </w:p>
    <w:p w14:paraId="4546053A">
      <w:pPr>
        <w:snapToGrid w:val="0"/>
        <w:spacing w:line="400" w:lineRule="exact"/>
        <w:jc w:val="center"/>
        <w:rPr>
          <w:rFonts w:ascii="宋体" w:cs="宋体"/>
          <w:bCs/>
          <w:szCs w:val="21"/>
        </w:rPr>
      </w:pPr>
    </w:p>
    <w:p w14:paraId="7BF182F2">
      <w:pPr>
        <w:snapToGrid w:val="0"/>
        <w:spacing w:beforeLines="50" w:after="50"/>
        <w:ind w:firstLine="3675" w:firstLineChars="1750"/>
        <w:rPr>
          <w:rFonts w:ascii="宋体"/>
          <w:szCs w:val="21"/>
        </w:rPr>
      </w:pPr>
      <w:r>
        <w:rPr>
          <w:rFonts w:hint="eastAsia" w:ascii="宋体" w:hAnsi="宋体"/>
          <w:szCs w:val="21"/>
        </w:rPr>
        <w:t>资格审查文件</w:t>
      </w:r>
    </w:p>
    <w:p w14:paraId="4BD0835E">
      <w:pPr>
        <w:snapToGrid w:val="0"/>
        <w:spacing w:line="400" w:lineRule="exact"/>
        <w:rPr>
          <w:rFonts w:ascii="宋体" w:cs="宋体"/>
          <w:bCs/>
          <w:szCs w:val="21"/>
        </w:rPr>
      </w:pPr>
    </w:p>
    <w:p w14:paraId="51DB8BF9">
      <w:pPr>
        <w:snapToGrid w:val="0"/>
        <w:spacing w:line="400" w:lineRule="exact"/>
        <w:ind w:left="1470" w:leftChars="400" w:hanging="630" w:hangingChars="300"/>
        <w:rPr>
          <w:rFonts w:ascii="宋体" w:cs="宋体"/>
          <w:b/>
          <w:szCs w:val="21"/>
          <w:u w:val="single"/>
          <w:lang w:val="zh-CN"/>
        </w:rPr>
      </w:pPr>
      <w:r>
        <w:rPr>
          <w:rFonts w:hint="eastAsia" w:ascii="宋体" w:hAnsi="宋体" w:cs="宋体"/>
          <w:bCs/>
          <w:szCs w:val="21"/>
        </w:rPr>
        <w:t>项目名称：</w:t>
      </w:r>
    </w:p>
    <w:p w14:paraId="4AB547E0">
      <w:pPr>
        <w:snapToGrid w:val="0"/>
        <w:spacing w:line="400" w:lineRule="exact"/>
        <w:ind w:firstLine="840" w:firstLineChars="400"/>
        <w:rPr>
          <w:rFonts w:ascii="宋体" w:cs="宋体"/>
          <w:bCs/>
          <w:szCs w:val="21"/>
        </w:rPr>
      </w:pPr>
      <w:r>
        <w:rPr>
          <w:rFonts w:hint="eastAsia" w:ascii="宋体" w:hAnsi="宋体" w:cs="宋体"/>
          <w:bCs/>
          <w:szCs w:val="21"/>
        </w:rPr>
        <w:t>项目编号：</w:t>
      </w:r>
    </w:p>
    <w:p w14:paraId="71D82F5E">
      <w:pPr>
        <w:snapToGrid w:val="0"/>
        <w:spacing w:line="400" w:lineRule="exact"/>
        <w:ind w:firstLine="840" w:firstLineChars="400"/>
        <w:rPr>
          <w:rFonts w:ascii="宋体" w:cs="宋体"/>
          <w:bCs/>
          <w:szCs w:val="21"/>
        </w:rPr>
      </w:pPr>
      <w:r>
        <w:rPr>
          <w:rFonts w:hint="eastAsia" w:ascii="宋体" w:hAnsi="宋体" w:cs="宋体"/>
          <w:bCs/>
          <w:szCs w:val="21"/>
        </w:rPr>
        <w:t>投标人名称：</w:t>
      </w:r>
    </w:p>
    <w:p w14:paraId="17D6F9C7">
      <w:pPr>
        <w:pStyle w:val="6"/>
        <w:snapToGrid w:val="0"/>
        <w:spacing w:line="400" w:lineRule="exact"/>
        <w:ind w:firstLine="840" w:firstLineChars="400"/>
        <w:rPr>
          <w:rFonts w:ascii="宋体" w:cs="宋体"/>
          <w:bCs/>
          <w:szCs w:val="21"/>
        </w:rPr>
      </w:pPr>
      <w:r>
        <w:rPr>
          <w:rFonts w:hint="eastAsia" w:ascii="宋体" w:hAnsi="宋体" w:cs="宋体"/>
          <w:bCs/>
          <w:szCs w:val="21"/>
        </w:rPr>
        <w:t>投标人地址：</w:t>
      </w:r>
    </w:p>
    <w:p w14:paraId="6CC97EED">
      <w:pPr>
        <w:pStyle w:val="6"/>
        <w:snapToGrid w:val="0"/>
        <w:spacing w:line="400" w:lineRule="exact"/>
        <w:ind w:firstLine="0"/>
        <w:rPr>
          <w:rFonts w:ascii="宋体" w:cs="宋体"/>
          <w:bCs/>
          <w:szCs w:val="21"/>
        </w:rPr>
      </w:pPr>
    </w:p>
    <w:p w14:paraId="4C9FD6BB">
      <w:pPr>
        <w:snapToGrid w:val="0"/>
        <w:spacing w:line="400" w:lineRule="exact"/>
        <w:rPr>
          <w:rFonts w:ascii="宋体" w:cs="宋体"/>
          <w:szCs w:val="21"/>
        </w:rPr>
      </w:pPr>
    </w:p>
    <w:p w14:paraId="0D374DF2">
      <w:pPr>
        <w:snapToGrid w:val="0"/>
        <w:spacing w:line="400" w:lineRule="exact"/>
        <w:ind w:firstLine="645"/>
        <w:jc w:val="center"/>
        <w:rPr>
          <w:rFonts w:ascii="宋体" w:cs="宋体"/>
          <w:szCs w:val="21"/>
        </w:rPr>
      </w:pPr>
      <w:r>
        <w:rPr>
          <w:rFonts w:hint="eastAsia" w:ascii="宋体" w:hAnsi="宋体" w:cs="宋体"/>
          <w:szCs w:val="21"/>
        </w:rPr>
        <w:t>年月日</w:t>
      </w:r>
    </w:p>
    <w:p w14:paraId="5523CF7E">
      <w:pPr>
        <w:rPr>
          <w:b/>
        </w:rPr>
      </w:pPr>
    </w:p>
    <w:p w14:paraId="1AED83DC">
      <w:pPr>
        <w:rPr>
          <w:b/>
        </w:rPr>
      </w:pPr>
    </w:p>
    <w:p w14:paraId="2D04C4C0">
      <w:pPr>
        <w:rPr>
          <w:b/>
        </w:rPr>
      </w:pPr>
    </w:p>
    <w:p w14:paraId="3C8DEA55">
      <w:pPr>
        <w:rPr>
          <w:b/>
        </w:rPr>
      </w:pPr>
      <w:r>
        <w:rPr>
          <w:b/>
        </w:rPr>
        <w:t>1.</w:t>
      </w:r>
      <w:r>
        <w:rPr>
          <w:rFonts w:hint="eastAsia"/>
          <w:b/>
        </w:rPr>
        <w:t>资格条件自查表格式</w:t>
      </w:r>
    </w:p>
    <w:p w14:paraId="2B0A0379">
      <w:pPr>
        <w:adjustRightInd w:val="0"/>
        <w:snapToGrid w:val="0"/>
        <w:jc w:val="center"/>
        <w:rPr>
          <w:rFonts w:ascii="宋体"/>
          <w:b/>
          <w:sz w:val="24"/>
        </w:rPr>
      </w:pPr>
    </w:p>
    <w:p w14:paraId="5BBADAC7">
      <w:pPr>
        <w:adjustRightInd w:val="0"/>
        <w:snapToGrid w:val="0"/>
        <w:jc w:val="center"/>
        <w:rPr>
          <w:rFonts w:ascii="宋体"/>
          <w:b/>
          <w:sz w:val="24"/>
        </w:rPr>
      </w:pPr>
      <w:r>
        <w:rPr>
          <w:rFonts w:hint="eastAsia" w:ascii="宋体" w:hAnsi="宋体"/>
          <w:b/>
          <w:sz w:val="24"/>
        </w:rPr>
        <w:t>资格条件自查表</w:t>
      </w:r>
    </w:p>
    <w:tbl>
      <w:tblPr>
        <w:tblStyle w:val="28"/>
        <w:tblW w:w="98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58"/>
        <w:gridCol w:w="1134"/>
        <w:gridCol w:w="2382"/>
      </w:tblGrid>
      <w:tr w14:paraId="2073C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838" w:type="dxa"/>
            <w:vAlign w:val="center"/>
          </w:tcPr>
          <w:p w14:paraId="4AB31DCC">
            <w:pPr>
              <w:widowControl/>
              <w:adjustRightInd w:val="0"/>
              <w:spacing w:line="360" w:lineRule="exact"/>
              <w:jc w:val="center"/>
              <w:rPr>
                <w:rFonts w:cs="宋体"/>
                <w:b/>
                <w:sz w:val="24"/>
              </w:rPr>
            </w:pPr>
            <w:r>
              <w:rPr>
                <w:rStyle w:val="31"/>
                <w:rFonts w:hint="eastAsia"/>
                <w:szCs w:val="21"/>
              </w:rPr>
              <w:t>评审内容</w:t>
            </w:r>
          </w:p>
        </w:tc>
        <w:tc>
          <w:tcPr>
            <w:tcW w:w="5458" w:type="dxa"/>
            <w:vAlign w:val="center"/>
          </w:tcPr>
          <w:p w14:paraId="40ED52BD">
            <w:pPr>
              <w:widowControl/>
              <w:adjustRightInd w:val="0"/>
              <w:spacing w:line="360" w:lineRule="exact"/>
              <w:jc w:val="center"/>
              <w:rPr>
                <w:rFonts w:cs="宋体"/>
                <w:b/>
                <w:sz w:val="24"/>
              </w:rPr>
            </w:pPr>
            <w:r>
              <w:rPr>
                <w:rStyle w:val="31"/>
                <w:rFonts w:hint="eastAsia"/>
                <w:szCs w:val="21"/>
              </w:rPr>
              <w:t>招标文件要求</w:t>
            </w:r>
          </w:p>
        </w:tc>
        <w:tc>
          <w:tcPr>
            <w:tcW w:w="1134" w:type="dxa"/>
            <w:vAlign w:val="center"/>
          </w:tcPr>
          <w:p w14:paraId="766AD164">
            <w:pPr>
              <w:widowControl/>
              <w:adjustRightInd w:val="0"/>
              <w:spacing w:line="360" w:lineRule="exact"/>
              <w:jc w:val="center"/>
              <w:rPr>
                <w:rFonts w:cs="宋体"/>
                <w:b/>
                <w:sz w:val="24"/>
              </w:rPr>
            </w:pPr>
            <w:r>
              <w:rPr>
                <w:rStyle w:val="31"/>
                <w:rFonts w:hint="eastAsia"/>
                <w:szCs w:val="21"/>
              </w:rPr>
              <w:t>自查结论</w:t>
            </w:r>
          </w:p>
        </w:tc>
        <w:tc>
          <w:tcPr>
            <w:tcW w:w="2382" w:type="dxa"/>
            <w:vAlign w:val="center"/>
          </w:tcPr>
          <w:p w14:paraId="3553CC0B">
            <w:pPr>
              <w:widowControl/>
              <w:adjustRightInd w:val="0"/>
              <w:spacing w:line="360" w:lineRule="exact"/>
              <w:jc w:val="center"/>
              <w:rPr>
                <w:rFonts w:cs="宋体"/>
                <w:b/>
                <w:sz w:val="24"/>
              </w:rPr>
            </w:pPr>
            <w:r>
              <w:rPr>
                <w:rStyle w:val="31"/>
                <w:rFonts w:hint="eastAsia"/>
                <w:szCs w:val="21"/>
              </w:rPr>
              <w:t>证明资料页码</w:t>
            </w:r>
          </w:p>
        </w:tc>
      </w:tr>
      <w:tr w14:paraId="534EC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restart"/>
            <w:vAlign w:val="center"/>
          </w:tcPr>
          <w:p w14:paraId="39C33623">
            <w:pPr>
              <w:pStyle w:val="68"/>
              <w:adjustRightInd w:val="0"/>
              <w:spacing w:before="0" w:beforeAutospacing="0" w:after="0" w:afterAutospacing="0" w:line="360" w:lineRule="exact"/>
              <w:jc w:val="center"/>
              <w:rPr>
                <w:rFonts w:ascii="Times New Roman" w:hAnsi="Times New Roman" w:cs="宋体"/>
                <w:b/>
                <w:sz w:val="21"/>
                <w:szCs w:val="21"/>
              </w:rPr>
            </w:pPr>
            <w:r>
              <w:rPr>
                <w:rFonts w:hint="eastAsia" w:ascii="Times New Roman" w:hAnsi="Times New Roman" w:cs="宋体"/>
                <w:b/>
                <w:sz w:val="21"/>
                <w:szCs w:val="21"/>
              </w:rPr>
              <w:t>资</w:t>
            </w:r>
          </w:p>
          <w:p w14:paraId="0652F3E3">
            <w:pPr>
              <w:pStyle w:val="68"/>
              <w:adjustRightInd w:val="0"/>
              <w:spacing w:before="0" w:beforeAutospacing="0" w:after="0" w:afterAutospacing="0" w:line="360" w:lineRule="exact"/>
              <w:jc w:val="center"/>
              <w:rPr>
                <w:rFonts w:ascii="Times New Roman" w:hAnsi="Times New Roman" w:cs="宋体"/>
                <w:b/>
                <w:sz w:val="21"/>
                <w:szCs w:val="21"/>
              </w:rPr>
            </w:pPr>
            <w:r>
              <w:rPr>
                <w:rFonts w:hint="eastAsia" w:ascii="Times New Roman" w:hAnsi="Times New Roman" w:cs="宋体"/>
                <w:b/>
                <w:sz w:val="21"/>
                <w:szCs w:val="21"/>
              </w:rPr>
              <w:t>格</w:t>
            </w:r>
          </w:p>
          <w:p w14:paraId="57471735">
            <w:pPr>
              <w:pStyle w:val="68"/>
              <w:adjustRightInd w:val="0"/>
              <w:spacing w:before="0" w:beforeAutospacing="0" w:after="0" w:afterAutospacing="0" w:line="360" w:lineRule="exact"/>
              <w:jc w:val="center"/>
              <w:rPr>
                <w:rFonts w:ascii="Times New Roman" w:hAnsi="Times New Roman" w:cs="宋体"/>
                <w:b/>
                <w:sz w:val="21"/>
                <w:szCs w:val="21"/>
              </w:rPr>
            </w:pPr>
            <w:r>
              <w:rPr>
                <w:rFonts w:hint="eastAsia" w:ascii="Times New Roman" w:hAnsi="Times New Roman" w:cs="宋体"/>
                <w:b/>
                <w:sz w:val="21"/>
                <w:szCs w:val="21"/>
              </w:rPr>
              <w:t>性</w:t>
            </w:r>
          </w:p>
          <w:p w14:paraId="3BC9A367">
            <w:pPr>
              <w:pStyle w:val="68"/>
              <w:adjustRightInd w:val="0"/>
              <w:spacing w:before="0" w:beforeAutospacing="0" w:after="0" w:afterAutospacing="0" w:line="360" w:lineRule="exact"/>
              <w:jc w:val="center"/>
              <w:rPr>
                <w:rFonts w:ascii="Times New Roman" w:hAnsi="Times New Roman" w:cs="宋体"/>
                <w:b/>
                <w:sz w:val="21"/>
                <w:szCs w:val="21"/>
              </w:rPr>
            </w:pPr>
            <w:r>
              <w:rPr>
                <w:rFonts w:hint="eastAsia" w:ascii="Times New Roman" w:hAnsi="Times New Roman" w:cs="宋体"/>
                <w:b/>
                <w:sz w:val="21"/>
                <w:szCs w:val="21"/>
              </w:rPr>
              <w:t>审</w:t>
            </w:r>
          </w:p>
          <w:p w14:paraId="453AD110">
            <w:pPr>
              <w:widowControl/>
              <w:adjustRightInd w:val="0"/>
              <w:spacing w:line="360" w:lineRule="exact"/>
              <w:jc w:val="center"/>
              <w:rPr>
                <w:rFonts w:cs="宋体"/>
                <w:b/>
                <w:sz w:val="24"/>
              </w:rPr>
            </w:pPr>
            <w:r>
              <w:rPr>
                <w:rFonts w:hint="eastAsia" w:cs="宋体"/>
                <w:b/>
                <w:szCs w:val="21"/>
              </w:rPr>
              <w:t>查</w:t>
            </w:r>
          </w:p>
        </w:tc>
        <w:tc>
          <w:tcPr>
            <w:tcW w:w="5458" w:type="dxa"/>
            <w:vAlign w:val="center"/>
          </w:tcPr>
          <w:p w14:paraId="0B159AE8">
            <w:pPr>
              <w:widowControl/>
              <w:adjustRightInd w:val="0"/>
              <w:spacing w:line="360" w:lineRule="exact"/>
              <w:rPr>
                <w:rFonts w:cs="宋体"/>
                <w:b/>
                <w:sz w:val="24"/>
              </w:rPr>
            </w:pPr>
            <w:r>
              <w:rPr>
                <w:rFonts w:hint="eastAsia" w:cs="宋体"/>
                <w:szCs w:val="21"/>
              </w:rPr>
              <w:t>一、投标人具备《</w:t>
            </w:r>
            <w:r>
              <w:rPr>
                <w:rFonts w:hint="eastAsia" w:cs="宋体"/>
              </w:rPr>
              <w:t>中华人民共和国政府采购法</w:t>
            </w:r>
            <w:r>
              <w:rPr>
                <w:rFonts w:hint="eastAsia" w:cs="宋体"/>
                <w:szCs w:val="21"/>
              </w:rPr>
              <w:t>》第二十二条所规定的条件：</w:t>
            </w:r>
          </w:p>
        </w:tc>
        <w:tc>
          <w:tcPr>
            <w:tcW w:w="1134" w:type="dxa"/>
            <w:vMerge w:val="restart"/>
            <w:vAlign w:val="center"/>
          </w:tcPr>
          <w:p w14:paraId="37E64A0C">
            <w:pPr>
              <w:widowControl/>
              <w:adjustRightInd w:val="0"/>
              <w:spacing w:line="360" w:lineRule="exact"/>
              <w:rPr>
                <w:rFonts w:cs="宋体"/>
                <w:szCs w:val="21"/>
              </w:rPr>
            </w:pPr>
            <w:r>
              <w:rPr>
                <w:rFonts w:hint="eastAsia" w:cs="宋体"/>
                <w:szCs w:val="21"/>
              </w:rPr>
              <w:t>□通过</w:t>
            </w:r>
          </w:p>
          <w:p w14:paraId="47D4E2DA">
            <w:pPr>
              <w:widowControl/>
              <w:adjustRightInd w:val="0"/>
              <w:spacing w:line="360" w:lineRule="exact"/>
              <w:rPr>
                <w:rFonts w:cs="宋体"/>
                <w:b/>
                <w:sz w:val="24"/>
              </w:rPr>
            </w:pPr>
            <w:r>
              <w:rPr>
                <w:rFonts w:hint="eastAsia" w:cs="宋体"/>
                <w:szCs w:val="21"/>
              </w:rPr>
              <w:t>□不通过</w:t>
            </w:r>
          </w:p>
        </w:tc>
        <w:tc>
          <w:tcPr>
            <w:tcW w:w="2382" w:type="dxa"/>
            <w:vAlign w:val="center"/>
          </w:tcPr>
          <w:p w14:paraId="1A2974DE">
            <w:pPr>
              <w:widowControl/>
              <w:adjustRightInd w:val="0"/>
              <w:spacing w:line="360" w:lineRule="exact"/>
              <w:jc w:val="center"/>
              <w:rPr>
                <w:rFonts w:cs="宋体"/>
                <w:b/>
                <w:sz w:val="24"/>
              </w:rPr>
            </w:pPr>
            <w:r>
              <w:rPr>
                <w:rFonts w:hint="eastAsia" w:cs="宋体"/>
                <w:szCs w:val="21"/>
              </w:rPr>
              <w:t>/</w:t>
            </w:r>
          </w:p>
        </w:tc>
      </w:tr>
      <w:tr w14:paraId="2873F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5E8C43D">
            <w:pPr>
              <w:widowControl/>
              <w:adjustRightInd w:val="0"/>
              <w:spacing w:line="360" w:lineRule="exact"/>
              <w:rPr>
                <w:rFonts w:cs="宋体"/>
                <w:b/>
                <w:sz w:val="24"/>
              </w:rPr>
            </w:pPr>
          </w:p>
        </w:tc>
        <w:tc>
          <w:tcPr>
            <w:tcW w:w="5458" w:type="dxa"/>
            <w:vAlign w:val="center"/>
          </w:tcPr>
          <w:p w14:paraId="726F02AC">
            <w:pPr>
              <w:widowControl/>
              <w:adjustRightInd w:val="0"/>
              <w:spacing w:line="360" w:lineRule="exact"/>
              <w:rPr>
                <w:szCs w:val="21"/>
              </w:rPr>
            </w:pPr>
            <w:r>
              <w:rPr>
                <w:rFonts w:hint="eastAsia"/>
                <w:szCs w:val="21"/>
              </w:rPr>
              <w:t>1.关于资格的承诺函（格式见附件）</w:t>
            </w:r>
          </w:p>
        </w:tc>
        <w:tc>
          <w:tcPr>
            <w:tcW w:w="1134" w:type="dxa"/>
            <w:vMerge w:val="continue"/>
          </w:tcPr>
          <w:p w14:paraId="5825EE35">
            <w:pPr>
              <w:widowControl/>
              <w:adjustRightInd w:val="0"/>
              <w:spacing w:line="360" w:lineRule="exact"/>
              <w:rPr>
                <w:rFonts w:cs="宋体"/>
                <w:b/>
                <w:sz w:val="24"/>
              </w:rPr>
            </w:pPr>
          </w:p>
        </w:tc>
        <w:tc>
          <w:tcPr>
            <w:tcW w:w="2382" w:type="dxa"/>
            <w:vAlign w:val="center"/>
          </w:tcPr>
          <w:p w14:paraId="50230B6D">
            <w:pPr>
              <w:widowControl/>
              <w:adjustRightInd w:val="0"/>
              <w:spacing w:line="360" w:lineRule="exact"/>
              <w:jc w:val="center"/>
              <w:rPr>
                <w:rFonts w:cs="宋体"/>
                <w:b/>
                <w:sz w:val="24"/>
              </w:rPr>
            </w:pPr>
            <w:r>
              <w:rPr>
                <w:rFonts w:hint="eastAsia" w:cs="宋体"/>
                <w:szCs w:val="21"/>
              </w:rPr>
              <w:t>第（ ）页-（  ）页</w:t>
            </w:r>
          </w:p>
        </w:tc>
      </w:tr>
      <w:tr w14:paraId="33376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8" w:type="dxa"/>
            <w:vMerge w:val="continue"/>
          </w:tcPr>
          <w:p w14:paraId="512D6032">
            <w:pPr>
              <w:widowControl/>
              <w:adjustRightInd w:val="0"/>
              <w:spacing w:line="360" w:lineRule="exact"/>
              <w:rPr>
                <w:rFonts w:cs="宋体"/>
                <w:b/>
                <w:sz w:val="24"/>
              </w:rPr>
            </w:pPr>
          </w:p>
        </w:tc>
        <w:tc>
          <w:tcPr>
            <w:tcW w:w="5458" w:type="dxa"/>
            <w:vAlign w:val="center"/>
          </w:tcPr>
          <w:p w14:paraId="770E091D">
            <w:pPr>
              <w:widowControl/>
              <w:adjustRightInd w:val="0"/>
              <w:spacing w:line="360" w:lineRule="exact"/>
              <w:rPr>
                <w:rFonts w:cs="宋体"/>
              </w:rPr>
            </w:pPr>
            <w:r>
              <w:rPr>
                <w:rFonts w:hint="eastAsia" w:cs="宋体"/>
                <w:bCs/>
                <w:szCs w:val="28"/>
              </w:rPr>
              <w:t>2.有效的企业法人营业执照（或事业法人登记证）、其他组织（个体工商户）的营业执照或者民办非企业单位登记证书复印件</w:t>
            </w:r>
            <w:r>
              <w:rPr>
                <w:rFonts w:hint="eastAsia" w:cs="宋体"/>
              </w:rPr>
              <w:t>。</w:t>
            </w:r>
          </w:p>
          <w:p w14:paraId="5F52B558">
            <w:pPr>
              <w:adjustRightInd w:val="0"/>
              <w:spacing w:line="360" w:lineRule="exact"/>
              <w:rPr>
                <w:rFonts w:cs="宋体"/>
                <w:bCs/>
                <w:szCs w:val="28"/>
              </w:rPr>
            </w:pPr>
            <w:r>
              <w:rPr>
                <w:rFonts w:hint="eastAsia" w:cs="宋体"/>
              </w:rPr>
              <w:t>（投标人如果有名称变更的，应提供由行政主管部门出具的变更证明文件。）</w:t>
            </w:r>
          </w:p>
        </w:tc>
        <w:tc>
          <w:tcPr>
            <w:tcW w:w="1134" w:type="dxa"/>
            <w:vMerge w:val="continue"/>
          </w:tcPr>
          <w:p w14:paraId="745F342C">
            <w:pPr>
              <w:widowControl/>
              <w:adjustRightInd w:val="0"/>
              <w:spacing w:line="360" w:lineRule="exact"/>
              <w:rPr>
                <w:rFonts w:cs="宋体"/>
                <w:b/>
                <w:sz w:val="24"/>
              </w:rPr>
            </w:pPr>
          </w:p>
        </w:tc>
        <w:tc>
          <w:tcPr>
            <w:tcW w:w="2382" w:type="dxa"/>
            <w:vAlign w:val="center"/>
          </w:tcPr>
          <w:p w14:paraId="3537DCB1">
            <w:pPr>
              <w:adjustRightInd w:val="0"/>
              <w:spacing w:line="360" w:lineRule="exact"/>
              <w:jc w:val="center"/>
              <w:rPr>
                <w:rFonts w:cs="宋体"/>
                <w:szCs w:val="21"/>
              </w:rPr>
            </w:pPr>
            <w:r>
              <w:rPr>
                <w:rFonts w:hint="eastAsia" w:cs="宋体"/>
                <w:szCs w:val="21"/>
              </w:rPr>
              <w:t>第（ ）页-（  ）页</w:t>
            </w:r>
          </w:p>
        </w:tc>
      </w:tr>
      <w:tr w14:paraId="18655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6B8F2265">
            <w:pPr>
              <w:widowControl/>
              <w:adjustRightInd w:val="0"/>
              <w:spacing w:line="360" w:lineRule="exact"/>
              <w:rPr>
                <w:rFonts w:cs="宋体"/>
                <w:bCs/>
                <w:szCs w:val="28"/>
              </w:rPr>
            </w:pPr>
          </w:p>
        </w:tc>
        <w:tc>
          <w:tcPr>
            <w:tcW w:w="5458" w:type="dxa"/>
            <w:vAlign w:val="center"/>
          </w:tcPr>
          <w:p w14:paraId="217D85E0">
            <w:pPr>
              <w:widowControl/>
              <w:adjustRightInd w:val="0"/>
              <w:spacing w:line="360" w:lineRule="exact"/>
              <w:rPr>
                <w:rFonts w:cs="宋体"/>
                <w:bCs/>
                <w:szCs w:val="28"/>
              </w:rPr>
            </w:pPr>
            <w:r>
              <w:rPr>
                <w:rFonts w:hint="eastAsia" w:cs="宋体"/>
                <w:bCs/>
                <w:szCs w:val="28"/>
              </w:rPr>
              <w:t>二、</w:t>
            </w:r>
            <w:r>
              <w:rPr>
                <w:rFonts w:hint="eastAsia" w:cs="宋体"/>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34" w:type="dxa"/>
            <w:vAlign w:val="center"/>
          </w:tcPr>
          <w:p w14:paraId="22A6D23A">
            <w:pPr>
              <w:widowControl/>
              <w:adjustRightInd w:val="0"/>
              <w:spacing w:line="360" w:lineRule="exact"/>
              <w:rPr>
                <w:rFonts w:cs="宋体"/>
                <w:szCs w:val="21"/>
              </w:rPr>
            </w:pPr>
            <w:r>
              <w:rPr>
                <w:rFonts w:hint="eastAsia" w:cs="宋体"/>
                <w:szCs w:val="21"/>
              </w:rPr>
              <w:t>□通过</w:t>
            </w:r>
          </w:p>
          <w:p w14:paraId="08882F19">
            <w:pPr>
              <w:widowControl/>
              <w:adjustRightInd w:val="0"/>
              <w:spacing w:line="360" w:lineRule="exact"/>
              <w:rPr>
                <w:rFonts w:cs="宋体"/>
                <w:bCs/>
                <w:szCs w:val="28"/>
              </w:rPr>
            </w:pPr>
            <w:r>
              <w:rPr>
                <w:rFonts w:hint="eastAsia" w:cs="宋体"/>
                <w:szCs w:val="21"/>
              </w:rPr>
              <w:t>□不通过</w:t>
            </w:r>
          </w:p>
        </w:tc>
        <w:tc>
          <w:tcPr>
            <w:tcW w:w="2382" w:type="dxa"/>
            <w:vAlign w:val="center"/>
          </w:tcPr>
          <w:p w14:paraId="0E37DB8E">
            <w:pPr>
              <w:widowControl/>
              <w:adjustRightInd w:val="0"/>
              <w:spacing w:line="360" w:lineRule="exact"/>
              <w:jc w:val="center"/>
              <w:rPr>
                <w:rFonts w:cs="宋体"/>
                <w:bCs/>
                <w:szCs w:val="28"/>
                <w:u w:val="single"/>
              </w:rPr>
            </w:pPr>
            <w:r>
              <w:rPr>
                <w:rFonts w:hint="eastAsia" w:cs="宋体"/>
                <w:bCs/>
                <w:szCs w:val="28"/>
              </w:rPr>
              <w:t xml:space="preserve">信用记录 </w:t>
            </w:r>
            <w:r>
              <w:rPr>
                <w:rFonts w:hint="eastAsia" w:cs="宋体"/>
                <w:bCs/>
                <w:szCs w:val="28"/>
                <w:u w:val="single"/>
              </w:rPr>
              <w:t>是/否</w:t>
            </w:r>
            <w:r>
              <w:rPr>
                <w:rFonts w:hint="eastAsia" w:cs="宋体"/>
                <w:bCs/>
                <w:szCs w:val="28"/>
              </w:rPr>
              <w:t xml:space="preserve"> 已失效，如失效，证明材料详见</w:t>
            </w:r>
            <w:r>
              <w:rPr>
                <w:rFonts w:hint="eastAsia" w:cs="宋体"/>
                <w:szCs w:val="21"/>
              </w:rPr>
              <w:t>第（ ）页-（  ）页</w:t>
            </w:r>
          </w:p>
        </w:tc>
      </w:tr>
      <w:tr w14:paraId="3FFCE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1A738E76">
            <w:pPr>
              <w:widowControl/>
              <w:adjustRightInd w:val="0"/>
              <w:spacing w:line="360" w:lineRule="exact"/>
              <w:rPr>
                <w:rFonts w:cs="宋体"/>
                <w:bCs/>
                <w:szCs w:val="28"/>
              </w:rPr>
            </w:pPr>
          </w:p>
        </w:tc>
        <w:tc>
          <w:tcPr>
            <w:tcW w:w="5458" w:type="dxa"/>
            <w:vAlign w:val="center"/>
          </w:tcPr>
          <w:p w14:paraId="4F8CFF6F">
            <w:pPr>
              <w:widowControl/>
              <w:adjustRightInd w:val="0"/>
              <w:spacing w:line="360" w:lineRule="exact"/>
              <w:rPr>
                <w:rFonts w:cs="宋体"/>
                <w:bCs/>
                <w:szCs w:val="28"/>
              </w:rPr>
            </w:pPr>
            <w:r>
              <w:rPr>
                <w:rFonts w:hint="eastAsia" w:cs="宋体"/>
                <w:bCs/>
                <w:szCs w:val="28"/>
              </w:rPr>
              <w:t>三、</w:t>
            </w:r>
            <w:r>
              <w:rPr>
                <w:rFonts w:hint="eastAsia" w:cs="宋体"/>
              </w:rPr>
              <w:t>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w:t>
            </w:r>
            <w:r>
              <w:rPr>
                <w:rFonts w:hint="eastAsia"/>
                <w:szCs w:val="21"/>
              </w:rPr>
              <w:t>关于资格的承诺函</w:t>
            </w:r>
            <w:r>
              <w:rPr>
                <w:rFonts w:hint="eastAsia" w:cs="宋体"/>
              </w:rPr>
              <w:t>》）。</w:t>
            </w:r>
          </w:p>
        </w:tc>
        <w:tc>
          <w:tcPr>
            <w:tcW w:w="1134" w:type="dxa"/>
            <w:vAlign w:val="center"/>
          </w:tcPr>
          <w:p w14:paraId="2F95C2BF">
            <w:pPr>
              <w:widowControl/>
              <w:adjustRightInd w:val="0"/>
              <w:spacing w:line="360" w:lineRule="exact"/>
              <w:rPr>
                <w:rFonts w:cs="宋体"/>
                <w:szCs w:val="21"/>
              </w:rPr>
            </w:pPr>
            <w:r>
              <w:rPr>
                <w:rFonts w:hint="eastAsia" w:cs="宋体"/>
                <w:szCs w:val="21"/>
              </w:rPr>
              <w:t>□通过</w:t>
            </w:r>
          </w:p>
          <w:p w14:paraId="0CA9CC7C">
            <w:pPr>
              <w:widowControl/>
              <w:adjustRightInd w:val="0"/>
              <w:spacing w:line="360" w:lineRule="exact"/>
              <w:rPr>
                <w:rFonts w:cs="宋体"/>
                <w:bCs/>
                <w:szCs w:val="28"/>
              </w:rPr>
            </w:pPr>
            <w:r>
              <w:rPr>
                <w:rFonts w:hint="eastAsia" w:cs="宋体"/>
                <w:szCs w:val="21"/>
              </w:rPr>
              <w:t>□不通过</w:t>
            </w:r>
          </w:p>
        </w:tc>
        <w:tc>
          <w:tcPr>
            <w:tcW w:w="2382" w:type="dxa"/>
            <w:vAlign w:val="center"/>
          </w:tcPr>
          <w:p w14:paraId="1DFAB05C">
            <w:pPr>
              <w:widowControl/>
              <w:adjustRightInd w:val="0"/>
              <w:spacing w:line="360" w:lineRule="exact"/>
              <w:jc w:val="center"/>
              <w:rPr>
                <w:rFonts w:cs="宋体"/>
                <w:bCs/>
                <w:szCs w:val="28"/>
              </w:rPr>
            </w:pPr>
            <w:r>
              <w:rPr>
                <w:rFonts w:hint="eastAsia" w:cs="宋体"/>
                <w:szCs w:val="21"/>
              </w:rPr>
              <w:t>第（ /）页-（ / ）页</w:t>
            </w:r>
          </w:p>
        </w:tc>
      </w:tr>
      <w:tr w14:paraId="5702C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610F7F6A">
            <w:pPr>
              <w:widowControl/>
              <w:adjustRightInd w:val="0"/>
              <w:spacing w:line="360" w:lineRule="exact"/>
              <w:rPr>
                <w:rFonts w:cs="宋体"/>
                <w:bCs/>
                <w:szCs w:val="28"/>
              </w:rPr>
            </w:pPr>
          </w:p>
        </w:tc>
        <w:tc>
          <w:tcPr>
            <w:tcW w:w="5458" w:type="dxa"/>
            <w:vAlign w:val="center"/>
          </w:tcPr>
          <w:p w14:paraId="2A64D3B2">
            <w:pPr>
              <w:widowControl/>
              <w:adjustRightInd w:val="0"/>
              <w:spacing w:line="360" w:lineRule="exact"/>
              <w:rPr>
                <w:rFonts w:cs="宋体"/>
                <w:szCs w:val="21"/>
              </w:rPr>
            </w:pPr>
            <w:r>
              <w:rPr>
                <w:rFonts w:hint="eastAsia" w:cs="宋体"/>
                <w:bCs/>
                <w:szCs w:val="28"/>
              </w:rPr>
              <w:t>四、</w:t>
            </w:r>
            <w:r>
              <w:rPr>
                <w:rFonts w:hint="eastAsia" w:cs="宋体"/>
                <w:szCs w:val="21"/>
              </w:rPr>
              <w:t>本项目不接受联合体投标。</w:t>
            </w:r>
          </w:p>
        </w:tc>
        <w:tc>
          <w:tcPr>
            <w:tcW w:w="1134" w:type="dxa"/>
            <w:vAlign w:val="center"/>
          </w:tcPr>
          <w:p w14:paraId="2342C8D5">
            <w:pPr>
              <w:widowControl/>
              <w:adjustRightInd w:val="0"/>
              <w:spacing w:line="360" w:lineRule="exact"/>
              <w:rPr>
                <w:rFonts w:cs="宋体"/>
                <w:szCs w:val="21"/>
              </w:rPr>
            </w:pPr>
            <w:r>
              <w:rPr>
                <w:rFonts w:hint="eastAsia" w:cs="宋体"/>
                <w:szCs w:val="21"/>
              </w:rPr>
              <w:t>□通过</w:t>
            </w:r>
          </w:p>
          <w:p w14:paraId="5A4334C2">
            <w:pPr>
              <w:widowControl/>
              <w:adjustRightInd w:val="0"/>
              <w:spacing w:line="360" w:lineRule="exact"/>
              <w:rPr>
                <w:rFonts w:cs="宋体"/>
                <w:bCs/>
                <w:szCs w:val="28"/>
              </w:rPr>
            </w:pPr>
            <w:r>
              <w:rPr>
                <w:rFonts w:hint="eastAsia" w:cs="宋体"/>
                <w:szCs w:val="21"/>
              </w:rPr>
              <w:t>□不通过</w:t>
            </w:r>
          </w:p>
        </w:tc>
        <w:tc>
          <w:tcPr>
            <w:tcW w:w="2382" w:type="dxa"/>
            <w:vAlign w:val="center"/>
          </w:tcPr>
          <w:p w14:paraId="40780A2F">
            <w:pPr>
              <w:widowControl/>
              <w:adjustRightInd w:val="0"/>
              <w:spacing w:line="360" w:lineRule="exact"/>
              <w:jc w:val="center"/>
              <w:rPr>
                <w:rFonts w:cs="宋体"/>
                <w:bCs/>
                <w:szCs w:val="28"/>
              </w:rPr>
            </w:pPr>
            <w:r>
              <w:rPr>
                <w:rFonts w:hint="eastAsia" w:cs="宋体"/>
                <w:szCs w:val="21"/>
              </w:rPr>
              <w:t>第（ /）页-（/  ）页</w:t>
            </w:r>
          </w:p>
        </w:tc>
      </w:tr>
    </w:tbl>
    <w:p w14:paraId="60DEA9DE">
      <w:pPr>
        <w:pStyle w:val="11"/>
        <w:tabs>
          <w:tab w:val="left" w:pos="4841"/>
        </w:tabs>
        <w:ind w:firstLine="0"/>
        <w:rPr>
          <w:sz w:val="21"/>
          <w:szCs w:val="21"/>
        </w:rPr>
      </w:pPr>
    </w:p>
    <w:p w14:paraId="0386995C">
      <w:pPr>
        <w:pStyle w:val="11"/>
        <w:keepNext w:val="0"/>
        <w:keepLines w:val="0"/>
        <w:pageBreakBefore w:val="0"/>
        <w:widowControl w:val="0"/>
        <w:tabs>
          <w:tab w:val="left" w:pos="4841"/>
        </w:tabs>
        <w:kinsoku/>
        <w:wordWrap/>
        <w:overflowPunct/>
        <w:topLinePunct w:val="0"/>
        <w:autoSpaceDE/>
        <w:autoSpaceDN/>
        <w:bidi w:val="0"/>
        <w:adjustRightInd/>
        <w:snapToGrid/>
        <w:spacing w:line="480" w:lineRule="exact"/>
        <w:ind w:firstLine="0"/>
        <w:textAlignment w:val="auto"/>
        <w:rPr>
          <w:sz w:val="21"/>
          <w:szCs w:val="21"/>
        </w:rPr>
      </w:pPr>
      <w:r>
        <w:rPr>
          <w:rFonts w:hint="eastAsia"/>
          <w:sz w:val="21"/>
          <w:szCs w:val="21"/>
        </w:rPr>
        <w:t>投标人（盖章）：</w:t>
      </w:r>
    </w:p>
    <w:p w14:paraId="330174DD">
      <w:pPr>
        <w:pStyle w:val="11"/>
        <w:keepNext w:val="0"/>
        <w:keepLines w:val="0"/>
        <w:pageBreakBefore w:val="0"/>
        <w:widowControl w:val="0"/>
        <w:tabs>
          <w:tab w:val="left" w:pos="4841"/>
        </w:tabs>
        <w:kinsoku/>
        <w:wordWrap/>
        <w:overflowPunct/>
        <w:topLinePunct w:val="0"/>
        <w:autoSpaceDE/>
        <w:autoSpaceDN/>
        <w:bidi w:val="0"/>
        <w:adjustRightInd/>
        <w:snapToGrid/>
        <w:spacing w:line="480" w:lineRule="exact"/>
        <w:ind w:firstLine="0"/>
        <w:textAlignment w:val="auto"/>
        <w:rPr>
          <w:sz w:val="21"/>
          <w:szCs w:val="21"/>
        </w:rPr>
      </w:pPr>
      <w:r>
        <w:rPr>
          <w:rFonts w:hint="eastAsia"/>
          <w:sz w:val="21"/>
          <w:szCs w:val="21"/>
        </w:rPr>
        <w:t>法定代表人或授权代表人（签字</w:t>
      </w:r>
      <w:r>
        <w:rPr>
          <w:rFonts w:hint="eastAsia"/>
          <w:sz w:val="21"/>
          <w:szCs w:val="21"/>
          <w:lang w:eastAsia="zh-CN"/>
        </w:rPr>
        <w:t>或盖章</w:t>
      </w:r>
      <w:r>
        <w:rPr>
          <w:rFonts w:hint="eastAsia"/>
          <w:sz w:val="21"/>
          <w:szCs w:val="21"/>
        </w:rPr>
        <w:t>）：</w:t>
      </w:r>
    </w:p>
    <w:p w14:paraId="7D4574E6">
      <w:pPr>
        <w:pStyle w:val="11"/>
        <w:keepNext w:val="0"/>
        <w:keepLines w:val="0"/>
        <w:pageBreakBefore w:val="0"/>
        <w:widowControl w:val="0"/>
        <w:tabs>
          <w:tab w:val="left" w:pos="4841"/>
        </w:tabs>
        <w:kinsoku/>
        <w:wordWrap/>
        <w:overflowPunct/>
        <w:topLinePunct w:val="0"/>
        <w:autoSpaceDE/>
        <w:autoSpaceDN/>
        <w:bidi w:val="0"/>
        <w:adjustRightInd/>
        <w:snapToGrid/>
        <w:spacing w:line="480" w:lineRule="exact"/>
        <w:ind w:firstLine="0"/>
        <w:textAlignment w:val="auto"/>
        <w:rPr>
          <w:sz w:val="21"/>
          <w:szCs w:val="21"/>
        </w:rPr>
      </w:pPr>
      <w:r>
        <w:rPr>
          <w:rFonts w:hint="eastAsia"/>
          <w:sz w:val="21"/>
          <w:szCs w:val="21"/>
        </w:rPr>
        <w:t>日期：</w:t>
      </w:r>
    </w:p>
    <w:p w14:paraId="42B27550">
      <w:pPr>
        <w:adjustRightInd w:val="0"/>
        <w:snapToGrid w:val="0"/>
        <w:spacing w:line="440" w:lineRule="exact"/>
        <w:rPr>
          <w:rFonts w:ascii="宋体" w:hAnsi="宋体"/>
          <w:b/>
          <w:szCs w:val="21"/>
        </w:rPr>
      </w:pPr>
    </w:p>
    <w:p w14:paraId="5C76A75B">
      <w:pPr>
        <w:adjustRightInd w:val="0"/>
        <w:snapToGrid w:val="0"/>
        <w:spacing w:line="440" w:lineRule="exact"/>
        <w:rPr>
          <w:rFonts w:ascii="宋体" w:hAnsi="宋体"/>
          <w:b/>
          <w:szCs w:val="21"/>
        </w:rPr>
      </w:pPr>
    </w:p>
    <w:p w14:paraId="769B6BE6">
      <w:pPr>
        <w:adjustRightInd w:val="0"/>
        <w:snapToGrid w:val="0"/>
        <w:spacing w:line="440" w:lineRule="exact"/>
        <w:rPr>
          <w:rFonts w:ascii="宋体"/>
          <w:b/>
          <w:szCs w:val="21"/>
        </w:rPr>
      </w:pPr>
      <w:r>
        <w:rPr>
          <w:rFonts w:hint="eastAsia" w:ascii="宋体" w:hAnsi="宋体"/>
          <w:b/>
          <w:szCs w:val="21"/>
        </w:rPr>
        <w:t>备注：资格条件自查表将作为投标人有效性审查的重要内容之一，投标人必须严格按照其内容及序列要求在投标文件中对应如实提供！</w:t>
      </w:r>
    </w:p>
    <w:p w14:paraId="52762625">
      <w:pPr>
        <w:pStyle w:val="4"/>
        <w:spacing w:line="240" w:lineRule="auto"/>
        <w:rPr>
          <w:rFonts w:hAnsi="宋体"/>
          <w:sz w:val="24"/>
          <w:szCs w:val="24"/>
        </w:rPr>
      </w:pPr>
    </w:p>
    <w:p w14:paraId="68AC9C9B">
      <w:pPr>
        <w:pStyle w:val="36"/>
        <w:rPr>
          <w:rFonts w:ascii="宋体" w:hAnsi="宋体" w:cs="宋体"/>
          <w:szCs w:val="21"/>
        </w:rPr>
      </w:pPr>
      <w:bookmarkStart w:id="104" w:name="_Toc14330"/>
      <w:bookmarkStart w:id="105" w:name="_Toc20947"/>
      <w:bookmarkStart w:id="106" w:name="_Toc25845"/>
      <w:bookmarkStart w:id="107" w:name="_Toc463726846"/>
    </w:p>
    <w:p w14:paraId="1C1BAF03">
      <w:pPr>
        <w:pStyle w:val="36"/>
        <w:rPr>
          <w:rFonts w:ascii="宋体" w:hAnsi="宋体" w:cs="宋体"/>
          <w:szCs w:val="21"/>
        </w:rPr>
      </w:pPr>
    </w:p>
    <w:p w14:paraId="5CB5994F">
      <w:pPr>
        <w:snapToGrid w:val="0"/>
        <w:spacing w:line="400" w:lineRule="exact"/>
        <w:rPr>
          <w:rFonts w:ascii="宋体" w:hAnsi="宋体" w:cs="宋体"/>
          <w:szCs w:val="21"/>
        </w:rPr>
      </w:pPr>
      <w:r>
        <w:rPr>
          <w:rFonts w:hint="eastAsia" w:ascii="宋体" w:hAnsi="宋体" w:cs="宋体"/>
          <w:szCs w:val="21"/>
        </w:rPr>
        <w:t>格式一：</w:t>
      </w:r>
      <w:bookmarkEnd w:id="104"/>
      <w:bookmarkEnd w:id="105"/>
      <w:bookmarkEnd w:id="106"/>
      <w:bookmarkEnd w:id="107"/>
      <w:r>
        <w:rPr>
          <w:rFonts w:hint="eastAsia" w:ascii="宋体" w:hAnsi="宋体" w:cs="宋体"/>
          <w:szCs w:val="21"/>
        </w:rPr>
        <w:t>关于资格的承诺函</w:t>
      </w:r>
    </w:p>
    <w:p w14:paraId="162F48DF">
      <w:pPr>
        <w:spacing w:line="360" w:lineRule="auto"/>
        <w:jc w:val="center"/>
        <w:outlineLvl w:val="1"/>
        <w:rPr>
          <w:rFonts w:ascii="宋体" w:hAnsi="宋体"/>
          <w:b/>
          <w:bCs/>
          <w:szCs w:val="21"/>
        </w:rPr>
      </w:pPr>
      <w:r>
        <w:rPr>
          <w:rFonts w:hint="eastAsia" w:ascii="宋体" w:hAnsi="宋体"/>
          <w:b/>
          <w:bCs/>
          <w:szCs w:val="21"/>
        </w:rPr>
        <w:t>关于资格的承诺函</w:t>
      </w:r>
    </w:p>
    <w:p w14:paraId="1F29F4C2">
      <w:pPr>
        <w:spacing w:line="360" w:lineRule="auto"/>
        <w:contextualSpacing/>
        <w:rPr>
          <w:rFonts w:ascii="宋体" w:hAnsi="宋体" w:cs="宋体"/>
          <w:b/>
          <w:szCs w:val="21"/>
        </w:rPr>
      </w:pPr>
      <w:r>
        <w:rPr>
          <w:rFonts w:hint="eastAsia" w:ascii="宋体" w:hAnsi="宋体" w:cs="宋体"/>
          <w:b/>
          <w:szCs w:val="21"/>
        </w:rPr>
        <w:t>致：中冠工程管理咨询有限公司</w:t>
      </w:r>
    </w:p>
    <w:p w14:paraId="21911F6B">
      <w:pPr>
        <w:snapToGrid w:val="0"/>
        <w:spacing w:beforeLines="50" w:line="360" w:lineRule="auto"/>
        <w:ind w:firstLine="424" w:firstLineChars="202"/>
        <w:rPr>
          <w:rFonts w:ascii="宋体" w:hAnsi="宋体" w:cs="宋体"/>
          <w:szCs w:val="21"/>
        </w:rPr>
      </w:pPr>
      <w:r>
        <w:rPr>
          <w:rFonts w:hint="eastAsia" w:ascii="宋体" w:hAnsi="宋体" w:cs="宋体"/>
          <w:szCs w:val="21"/>
        </w:rPr>
        <w:t>关于</w:t>
      </w:r>
      <w:r>
        <w:rPr>
          <w:rFonts w:hint="eastAsia" w:ascii="宋体" w:hAnsi="宋体" w:cs="宋体"/>
          <w:szCs w:val="21"/>
          <w:u w:val="single"/>
        </w:rPr>
        <w:t xml:space="preserve">  </w:t>
      </w:r>
      <w:r>
        <w:rPr>
          <w:rFonts w:hint="eastAsia" w:ascii="宋体" w:hAnsi="宋体" w:cs="宋体"/>
          <w:kern w:val="28"/>
          <w:szCs w:val="21"/>
          <w:u w:val="single"/>
        </w:rPr>
        <w:t xml:space="preserve">                    </w:t>
      </w:r>
      <w:r>
        <w:rPr>
          <w:rFonts w:hint="eastAsia" w:ascii="宋体" w:hAnsi="宋体" w:cs="宋体"/>
          <w:szCs w:val="21"/>
          <w:u w:val="single"/>
        </w:rPr>
        <w:t xml:space="preserve"> </w:t>
      </w:r>
      <w:r>
        <w:rPr>
          <w:rFonts w:hint="eastAsia" w:ascii="宋体" w:hAnsi="宋体" w:cs="宋体"/>
          <w:szCs w:val="21"/>
        </w:rPr>
        <w:t>项目（项目编号：</w:t>
      </w:r>
      <w:r>
        <w:rPr>
          <w:rFonts w:hint="eastAsia" w:ascii="宋体" w:hAnsi="宋体" w:cs="宋体"/>
          <w:szCs w:val="21"/>
          <w:u w:val="single"/>
        </w:rPr>
        <w:t>　　　</w:t>
      </w:r>
      <w:r>
        <w:rPr>
          <w:rFonts w:hint="eastAsia" w:ascii="宋体" w:hAnsi="宋体" w:cs="宋体"/>
          <w:szCs w:val="21"/>
        </w:rPr>
        <w:t>），我方愿意参加投标，并声明：</w:t>
      </w:r>
    </w:p>
    <w:p w14:paraId="3FFF5EBD">
      <w:pPr>
        <w:snapToGrid w:val="0"/>
        <w:spacing w:line="360" w:lineRule="auto"/>
        <w:ind w:firstLine="420" w:firstLineChars="200"/>
        <w:rPr>
          <w:rFonts w:ascii="宋体" w:hAnsi="宋体" w:cs="宋体"/>
          <w:bCs/>
          <w:szCs w:val="21"/>
        </w:rPr>
      </w:pPr>
      <w:r>
        <w:rPr>
          <w:rFonts w:hint="eastAsia" w:ascii="宋体" w:hAnsi="宋体" w:cs="宋体"/>
          <w:bCs/>
          <w:szCs w:val="21"/>
        </w:rPr>
        <w:t>1、我方具备《中华人民共和国政府采购法》第二十二条规定资格条件：</w:t>
      </w:r>
    </w:p>
    <w:p w14:paraId="59F4D64D">
      <w:pPr>
        <w:snapToGrid w:val="0"/>
        <w:spacing w:line="360" w:lineRule="auto"/>
        <w:ind w:firstLine="420" w:firstLineChars="200"/>
        <w:rPr>
          <w:rFonts w:ascii="宋体" w:hAnsi="宋体" w:cs="宋体"/>
          <w:bCs/>
          <w:szCs w:val="21"/>
        </w:rPr>
      </w:pPr>
      <w:r>
        <w:rPr>
          <w:rFonts w:hint="eastAsia" w:ascii="宋体" w:hAnsi="宋体" w:cs="宋体"/>
          <w:bCs/>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3E493028">
      <w:pPr>
        <w:snapToGrid w:val="0"/>
        <w:spacing w:line="360" w:lineRule="auto"/>
        <w:ind w:firstLine="420" w:firstLineChars="200"/>
        <w:rPr>
          <w:rFonts w:ascii="宋体" w:hAnsi="宋体" w:cs="宋体"/>
          <w:szCs w:val="21"/>
        </w:rPr>
      </w:pPr>
      <w:r>
        <w:rPr>
          <w:rFonts w:hint="eastAsia" w:ascii="宋体" w:hAnsi="宋体" w:cs="宋体"/>
          <w:szCs w:val="21"/>
        </w:rPr>
        <w:t>2、我方的单位负责人与所参投的本采购项目的其他投标人的单位负责人不为同一人且与其他投标人之间不存在直接控股、管理关系。</w:t>
      </w:r>
    </w:p>
    <w:p w14:paraId="6EC8AF92">
      <w:pPr>
        <w:snapToGrid w:val="0"/>
        <w:spacing w:line="360" w:lineRule="auto"/>
        <w:ind w:firstLine="420" w:firstLineChars="200"/>
        <w:rPr>
          <w:rFonts w:ascii="宋体" w:hAnsi="宋体" w:cs="宋体"/>
          <w:szCs w:val="21"/>
        </w:rPr>
      </w:pPr>
      <w:r>
        <w:rPr>
          <w:rFonts w:hint="eastAsia" w:ascii="宋体" w:hAnsi="宋体" w:cs="宋体"/>
          <w:szCs w:val="21"/>
        </w:rPr>
        <w:t>3、我方不是本采购项目提供整体设计、规范编制或者项目管理、监理、检测等服务的供应商。</w:t>
      </w:r>
    </w:p>
    <w:p w14:paraId="78F2CAD0">
      <w:pPr>
        <w:snapToGrid w:val="0"/>
        <w:spacing w:line="360" w:lineRule="auto"/>
        <w:ind w:firstLine="420" w:firstLineChars="200"/>
        <w:rPr>
          <w:rFonts w:ascii="宋体" w:hAnsi="宋体" w:cs="宋体"/>
          <w:bCs/>
          <w:szCs w:val="21"/>
        </w:rPr>
      </w:pPr>
      <w:r>
        <w:rPr>
          <w:rFonts w:hint="eastAsia" w:ascii="宋体" w:hAnsi="宋体" w:cs="宋体"/>
          <w:szCs w:val="21"/>
        </w:rPr>
        <w:t>4、我方</w:t>
      </w:r>
      <w:r>
        <w:rPr>
          <w:rFonts w:hint="eastAsia" w:ascii="宋体" w:hAnsi="宋体" w:cs="宋体"/>
          <w:bCs/>
          <w:szCs w:val="21"/>
        </w:rPr>
        <w:t>未被“信用中国”（www.creditchina.gov.cn)、中国政府采购网（www.ccgp.gov.cn）列入失信被执行人、重大税收违法案件当事人名单、政府采购严重违法失信行为记录名单。</w:t>
      </w:r>
    </w:p>
    <w:p w14:paraId="3BA1058D">
      <w:pPr>
        <w:snapToGrid w:val="0"/>
        <w:spacing w:line="360" w:lineRule="auto"/>
        <w:ind w:firstLine="420" w:firstLineChars="200"/>
        <w:rPr>
          <w:rFonts w:ascii="宋体" w:hAnsi="宋体" w:cs="宋体"/>
          <w:szCs w:val="21"/>
        </w:rPr>
      </w:pPr>
      <w:r>
        <w:rPr>
          <w:rFonts w:hint="eastAsia" w:ascii="宋体" w:hAnsi="宋体" w:cs="宋体"/>
          <w:bCs/>
          <w:szCs w:val="21"/>
        </w:rPr>
        <w:t>我方对上述声明的真实性负责。</w:t>
      </w:r>
      <w:r>
        <w:rPr>
          <w:rFonts w:hint="eastAsia" w:ascii="宋体" w:hAnsi="宋体" w:cs="宋体"/>
          <w:szCs w:val="21"/>
        </w:rPr>
        <w:t>本次招标采购活动中，如有违法、违规、弄虚作假行为，所造成的损失、不良后果及法律责任，一律由我我方承担。</w:t>
      </w:r>
    </w:p>
    <w:p w14:paraId="0BA7B955">
      <w:pPr>
        <w:spacing w:line="360" w:lineRule="auto"/>
        <w:rPr>
          <w:rFonts w:ascii="宋体" w:hAnsi="宋体" w:cs="宋体"/>
          <w:b/>
          <w:szCs w:val="21"/>
        </w:rPr>
      </w:pPr>
    </w:p>
    <w:p w14:paraId="23DAF4E7">
      <w:pPr>
        <w:spacing w:line="360" w:lineRule="auto"/>
        <w:ind w:firstLine="420"/>
        <w:rPr>
          <w:rFonts w:ascii="宋体" w:hAnsi="宋体" w:cs="宋体"/>
          <w:b/>
          <w:szCs w:val="21"/>
        </w:rPr>
      </w:pPr>
      <w:r>
        <w:rPr>
          <w:rFonts w:hint="eastAsia" w:ascii="宋体" w:hAnsi="宋体" w:cs="宋体"/>
          <w:b/>
          <w:szCs w:val="21"/>
        </w:rPr>
        <w:t>特此声明！</w:t>
      </w:r>
    </w:p>
    <w:p w14:paraId="42D443ED">
      <w:pPr>
        <w:spacing w:line="360" w:lineRule="auto"/>
        <w:outlineLvl w:val="1"/>
        <w:rPr>
          <w:rFonts w:ascii="宋体" w:hAnsi="宋体" w:cs="宋体"/>
          <w:b/>
          <w:szCs w:val="21"/>
        </w:rPr>
      </w:pPr>
    </w:p>
    <w:p w14:paraId="295754A7">
      <w:pPr>
        <w:spacing w:line="360" w:lineRule="auto"/>
        <w:contextualSpacing/>
        <w:outlineLvl w:val="1"/>
        <w:rPr>
          <w:rFonts w:ascii="宋体" w:hAnsi="宋体"/>
          <w:b/>
          <w:bCs/>
          <w:szCs w:val="21"/>
        </w:rPr>
      </w:pPr>
    </w:p>
    <w:p w14:paraId="4FA34563">
      <w:pPr>
        <w:spacing w:line="360" w:lineRule="auto"/>
        <w:contextualSpacing/>
        <w:outlineLvl w:val="1"/>
        <w:rPr>
          <w:rFonts w:ascii="宋体" w:hAnsi="宋体"/>
          <w:szCs w:val="21"/>
        </w:rPr>
      </w:pPr>
    </w:p>
    <w:p w14:paraId="6A9E78CE">
      <w:pPr>
        <w:spacing w:line="360" w:lineRule="auto"/>
        <w:contextualSpacing/>
        <w:outlineLvl w:val="1"/>
        <w:rPr>
          <w:rFonts w:ascii="宋体" w:hAnsi="宋体"/>
          <w:szCs w:val="21"/>
        </w:rPr>
      </w:pPr>
      <w:r>
        <w:rPr>
          <w:rFonts w:hint="eastAsia" w:ascii="宋体" w:hAnsi="宋体"/>
          <w:szCs w:val="21"/>
        </w:rPr>
        <w:t>投标人（盖章）：</w:t>
      </w:r>
    </w:p>
    <w:p w14:paraId="2E3DCBF4">
      <w:pPr>
        <w:spacing w:line="360" w:lineRule="auto"/>
        <w:contextualSpacing/>
        <w:outlineLvl w:val="1"/>
        <w:rPr>
          <w:rFonts w:ascii="宋体" w:hAnsi="宋体"/>
          <w:szCs w:val="21"/>
        </w:rPr>
      </w:pPr>
    </w:p>
    <w:p w14:paraId="4ADA4255">
      <w:pPr>
        <w:spacing w:line="360" w:lineRule="auto"/>
        <w:contextualSpacing/>
        <w:outlineLvl w:val="1"/>
        <w:rPr>
          <w:rFonts w:ascii="宋体" w:hAnsi="宋体"/>
          <w:szCs w:val="21"/>
        </w:rPr>
      </w:pPr>
      <w:r>
        <w:rPr>
          <w:rFonts w:hint="eastAsia" w:ascii="宋体" w:hAnsi="宋体"/>
          <w:szCs w:val="21"/>
        </w:rPr>
        <w:t>法定代表人或授权代表人（签字</w:t>
      </w:r>
      <w:r>
        <w:rPr>
          <w:rFonts w:hint="eastAsia" w:ascii="宋体" w:hAnsi="宋体"/>
          <w:szCs w:val="21"/>
          <w:lang w:eastAsia="zh-CN"/>
        </w:rPr>
        <w:t>或盖章</w:t>
      </w:r>
      <w:r>
        <w:rPr>
          <w:rFonts w:hint="eastAsia" w:ascii="宋体" w:hAnsi="宋体"/>
          <w:szCs w:val="21"/>
        </w:rPr>
        <w:t>）：</w:t>
      </w:r>
    </w:p>
    <w:p w14:paraId="5EE6F6DD">
      <w:pPr>
        <w:spacing w:line="360" w:lineRule="auto"/>
        <w:contextualSpacing/>
        <w:outlineLvl w:val="1"/>
        <w:rPr>
          <w:rFonts w:ascii="宋体" w:hAnsi="宋体"/>
          <w:szCs w:val="21"/>
        </w:rPr>
      </w:pPr>
    </w:p>
    <w:p w14:paraId="28B975A8">
      <w:pPr>
        <w:spacing w:line="360" w:lineRule="auto"/>
        <w:contextualSpacing/>
        <w:outlineLvl w:val="1"/>
        <w:rPr>
          <w:rFonts w:ascii="宋体" w:hAnsi="宋体"/>
          <w:szCs w:val="21"/>
        </w:rPr>
      </w:pPr>
      <w:r>
        <w:rPr>
          <w:rFonts w:hint="eastAsia" w:ascii="宋体" w:hAnsi="宋体"/>
          <w:szCs w:val="21"/>
        </w:rPr>
        <w:t>日期：</w:t>
      </w:r>
    </w:p>
    <w:p w14:paraId="6A24D306">
      <w:pPr>
        <w:snapToGrid w:val="0"/>
        <w:spacing w:line="360" w:lineRule="auto"/>
        <w:rPr>
          <w:rFonts w:ascii="宋体" w:cs="宋体"/>
          <w:szCs w:val="21"/>
        </w:rPr>
      </w:pPr>
    </w:p>
    <w:p w14:paraId="3008B6A1">
      <w:pPr>
        <w:snapToGrid w:val="0"/>
        <w:spacing w:line="360" w:lineRule="auto"/>
        <w:rPr>
          <w:rFonts w:ascii="宋体" w:cs="宋体"/>
          <w:szCs w:val="21"/>
        </w:rPr>
      </w:pPr>
    </w:p>
    <w:p w14:paraId="54BD9920">
      <w:pPr>
        <w:snapToGrid w:val="0"/>
        <w:spacing w:line="360" w:lineRule="auto"/>
        <w:rPr>
          <w:rFonts w:ascii="宋体" w:cs="宋体"/>
          <w:szCs w:val="21"/>
        </w:rPr>
      </w:pPr>
    </w:p>
    <w:p w14:paraId="5DFBAF90">
      <w:pPr>
        <w:snapToGrid w:val="0"/>
        <w:spacing w:line="360" w:lineRule="auto"/>
        <w:rPr>
          <w:rFonts w:ascii="宋体" w:cs="宋体"/>
          <w:szCs w:val="21"/>
        </w:rPr>
      </w:pPr>
    </w:p>
    <w:p w14:paraId="20879BD0">
      <w:pPr>
        <w:snapToGrid w:val="0"/>
        <w:spacing w:line="360" w:lineRule="auto"/>
        <w:rPr>
          <w:rFonts w:ascii="宋体" w:cs="宋体"/>
          <w:szCs w:val="21"/>
        </w:rPr>
      </w:pPr>
    </w:p>
    <w:p w14:paraId="5A08B03D">
      <w:pPr>
        <w:snapToGrid w:val="0"/>
        <w:spacing w:line="360" w:lineRule="auto"/>
        <w:rPr>
          <w:rFonts w:ascii="宋体" w:cs="宋体"/>
          <w:szCs w:val="21"/>
        </w:rPr>
      </w:pPr>
    </w:p>
    <w:p w14:paraId="3E14CDBF">
      <w:pPr>
        <w:snapToGrid w:val="0"/>
        <w:spacing w:line="360" w:lineRule="auto"/>
        <w:rPr>
          <w:rFonts w:ascii="宋体" w:cs="宋体"/>
          <w:szCs w:val="21"/>
        </w:rPr>
      </w:pPr>
    </w:p>
    <w:p w14:paraId="0E5C0FA2">
      <w:pPr>
        <w:snapToGrid w:val="0"/>
        <w:spacing w:line="400" w:lineRule="exact"/>
        <w:rPr>
          <w:rFonts w:ascii="宋体" w:cs="宋体"/>
          <w:szCs w:val="21"/>
        </w:rPr>
      </w:pPr>
      <w:r>
        <w:rPr>
          <w:rFonts w:hint="eastAsia" w:ascii="宋体" w:hAnsi="宋体" w:cs="宋体"/>
          <w:szCs w:val="21"/>
        </w:rPr>
        <w:t>格式</w:t>
      </w:r>
      <w:r>
        <w:rPr>
          <w:rFonts w:hint="eastAsia" w:ascii="宋体" w:hAnsi="宋体" w:cs="宋体"/>
          <w:szCs w:val="21"/>
          <w:lang w:eastAsia="zh-CN"/>
        </w:rPr>
        <w:t>二</w:t>
      </w:r>
      <w:r>
        <w:rPr>
          <w:rFonts w:hint="eastAsia" w:ascii="宋体" w:hAnsi="宋体" w:cs="宋体"/>
          <w:szCs w:val="21"/>
        </w:rPr>
        <w:t>：中小企业声明函</w:t>
      </w:r>
    </w:p>
    <w:p w14:paraId="57B9F237">
      <w:pPr>
        <w:pStyle w:val="11"/>
        <w:spacing w:line="380" w:lineRule="exact"/>
        <w:jc w:val="center"/>
        <w:rPr>
          <w:rFonts w:hAnsi="宋体"/>
          <w:b/>
          <w:sz w:val="28"/>
        </w:rPr>
      </w:pPr>
    </w:p>
    <w:p w14:paraId="30C0910E">
      <w:pPr>
        <w:pStyle w:val="11"/>
        <w:spacing w:line="380" w:lineRule="exact"/>
        <w:jc w:val="center"/>
        <w:rPr>
          <w:rFonts w:hAnsi="宋体"/>
          <w:b/>
          <w:sz w:val="28"/>
        </w:rPr>
      </w:pPr>
      <w:r>
        <w:rPr>
          <w:rFonts w:hint="eastAsia" w:hAnsi="宋体"/>
          <w:b/>
          <w:sz w:val="28"/>
        </w:rPr>
        <w:t>中小企业声明函（如有）</w:t>
      </w:r>
    </w:p>
    <w:p w14:paraId="209EC7F4">
      <w:pPr>
        <w:snapToGrid w:val="0"/>
        <w:spacing w:line="360" w:lineRule="auto"/>
        <w:jc w:val="left"/>
        <w:rPr>
          <w:rFonts w:ascii="宋体" w:cs="宋体"/>
          <w:szCs w:val="21"/>
        </w:rPr>
      </w:pPr>
    </w:p>
    <w:p w14:paraId="67CD22EF">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14:paraId="17B414B6">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
          <w:szCs w:val="21"/>
          <w:u w:val="single"/>
        </w:rPr>
        <w:t>（其他未列明行业）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14:paraId="09EFE962">
      <w:pPr>
        <w:spacing w:line="5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
          <w:szCs w:val="21"/>
          <w:u w:val="single"/>
        </w:rPr>
        <w:t>（其他未列明行业）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14:paraId="29F8D385">
      <w:pPr>
        <w:spacing w:line="500" w:lineRule="exact"/>
        <w:ind w:firstLine="420" w:firstLineChars="200"/>
        <w:rPr>
          <w:rFonts w:ascii="宋体" w:hAnsi="宋体" w:cs="宋体"/>
          <w:szCs w:val="21"/>
        </w:rPr>
      </w:pPr>
      <w:r>
        <w:rPr>
          <w:rFonts w:hint="eastAsia" w:ascii="宋体" w:hAnsi="宋体" w:cs="宋体"/>
          <w:szCs w:val="21"/>
        </w:rPr>
        <w:t>……</w:t>
      </w:r>
    </w:p>
    <w:p w14:paraId="08B7C12B">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4E4C4BF8">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35EAEBE8">
      <w:pPr>
        <w:spacing w:line="500" w:lineRule="exact"/>
        <w:rPr>
          <w:rFonts w:ascii="宋体" w:hAnsi="宋体" w:cs="宋体"/>
          <w:szCs w:val="21"/>
        </w:rPr>
      </w:pPr>
      <w:r>
        <w:rPr>
          <w:rFonts w:hint="eastAsia" w:ascii="宋体" w:hAnsi="宋体" w:cs="宋体"/>
          <w:szCs w:val="21"/>
        </w:rPr>
        <w:t xml:space="preserve">                        企业名称（盖章）：</w:t>
      </w:r>
    </w:p>
    <w:p w14:paraId="09697340">
      <w:pPr>
        <w:spacing w:line="500" w:lineRule="exact"/>
        <w:rPr>
          <w:rFonts w:ascii="宋体" w:hAnsi="宋体" w:cs="宋体"/>
          <w:szCs w:val="21"/>
        </w:rPr>
      </w:pPr>
      <w:r>
        <w:rPr>
          <w:rFonts w:hint="eastAsia" w:ascii="宋体" w:hAnsi="宋体" w:cs="宋体"/>
          <w:szCs w:val="21"/>
        </w:rPr>
        <w:t xml:space="preserve">                        日期：</w:t>
      </w:r>
    </w:p>
    <w:p w14:paraId="79BE3F56">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4BDB779A">
      <w:pPr>
        <w:pStyle w:val="11"/>
        <w:spacing w:line="520" w:lineRule="exact"/>
        <w:ind w:firstLine="0"/>
        <w:rPr>
          <w:rFonts w:hAnsi="宋体" w:cs="宋体"/>
          <w:szCs w:val="21"/>
        </w:rPr>
      </w:pPr>
      <w:r>
        <w:rPr>
          <w:rFonts w:hint="eastAsia" w:hAnsi="宋体" w:cs="宋体"/>
          <w:szCs w:val="21"/>
        </w:rPr>
        <w:t>说明：</w:t>
      </w:r>
    </w:p>
    <w:p w14:paraId="101F18BE">
      <w:pPr>
        <w:pStyle w:val="11"/>
        <w:spacing w:line="520" w:lineRule="exact"/>
        <w:ind w:firstLine="0"/>
        <w:rPr>
          <w:rFonts w:hAnsi="宋体" w:cs="宋体"/>
          <w:szCs w:val="21"/>
        </w:rPr>
      </w:pPr>
      <w:r>
        <w:rPr>
          <w:rFonts w:hint="eastAsia" w:hAnsi="宋体" w:cs="宋体"/>
          <w:szCs w:val="21"/>
        </w:rPr>
        <w:t>1、从业人员、营业收入、资产总额填报上一年度数据，无上一年度数据的新成立企业可不填报。</w:t>
      </w:r>
    </w:p>
    <w:p w14:paraId="366713FB">
      <w:pPr>
        <w:pStyle w:val="11"/>
        <w:spacing w:line="520" w:lineRule="exact"/>
        <w:ind w:firstLine="0"/>
        <w:rPr>
          <w:rFonts w:hAnsi="宋体" w:cs="宋体"/>
          <w:szCs w:val="21"/>
        </w:rPr>
      </w:pPr>
      <w:r>
        <w:rPr>
          <w:rFonts w:hint="eastAsia"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14:paraId="468CABE4">
      <w:pPr>
        <w:pStyle w:val="13"/>
        <w:snapToGrid w:val="0"/>
        <w:spacing w:before="156" w:after="156"/>
        <w:rPr>
          <w:rFonts w:hint="eastAsia" w:hAnsi="宋体" w:cs="宋体"/>
          <w:spacing w:val="6"/>
          <w:sz w:val="21"/>
        </w:rPr>
      </w:pPr>
    </w:p>
    <w:p w14:paraId="77FBE1A8">
      <w:pPr>
        <w:pStyle w:val="13"/>
        <w:snapToGrid w:val="0"/>
        <w:spacing w:before="156" w:after="156"/>
        <w:rPr>
          <w:rFonts w:hint="eastAsia" w:hAnsi="宋体" w:cs="宋体"/>
          <w:spacing w:val="6"/>
          <w:sz w:val="21"/>
        </w:rPr>
      </w:pPr>
    </w:p>
    <w:p w14:paraId="004C7050">
      <w:pPr>
        <w:pStyle w:val="13"/>
        <w:snapToGrid w:val="0"/>
        <w:spacing w:before="156" w:after="156"/>
        <w:rPr>
          <w:rFonts w:hint="eastAsia" w:hAnsi="宋体" w:cs="宋体"/>
          <w:spacing w:val="6"/>
          <w:sz w:val="21"/>
        </w:rPr>
      </w:pPr>
    </w:p>
    <w:p w14:paraId="3C9D3892">
      <w:pPr>
        <w:pStyle w:val="13"/>
        <w:snapToGrid w:val="0"/>
        <w:spacing w:before="156" w:after="156"/>
        <w:rPr>
          <w:rFonts w:hint="eastAsia" w:hAnsi="宋体" w:cs="宋体"/>
          <w:spacing w:val="6"/>
          <w:sz w:val="21"/>
        </w:rPr>
      </w:pPr>
    </w:p>
    <w:p w14:paraId="1F4C782A">
      <w:pPr>
        <w:pStyle w:val="13"/>
        <w:snapToGrid w:val="0"/>
        <w:spacing w:before="156" w:after="156"/>
        <w:rPr>
          <w:rFonts w:hint="eastAsia" w:hAnsi="宋体" w:cs="宋体"/>
          <w:spacing w:val="6"/>
          <w:sz w:val="21"/>
        </w:rPr>
      </w:pPr>
    </w:p>
    <w:p w14:paraId="3D22433C">
      <w:pPr>
        <w:pStyle w:val="13"/>
        <w:snapToGrid w:val="0"/>
        <w:spacing w:before="156" w:after="156"/>
        <w:rPr>
          <w:rFonts w:hint="eastAsia" w:hAnsi="宋体" w:cs="宋体"/>
          <w:spacing w:val="6"/>
          <w:sz w:val="21"/>
        </w:rPr>
      </w:pPr>
    </w:p>
    <w:p w14:paraId="03E69AD0">
      <w:pPr>
        <w:spacing w:before="240" w:line="360" w:lineRule="auto"/>
        <w:rPr>
          <w:rFonts w:ascii="宋体" w:cs="宋体"/>
        </w:rPr>
      </w:pPr>
      <w:r>
        <w:rPr>
          <w:rFonts w:hint="eastAsia" w:ascii="宋体" w:hAnsi="宋体"/>
          <w:szCs w:val="21"/>
        </w:rPr>
        <w:t>格式</w:t>
      </w:r>
      <w:r>
        <w:rPr>
          <w:rFonts w:hint="eastAsia" w:ascii="宋体" w:hAnsi="宋体"/>
          <w:szCs w:val="21"/>
          <w:lang w:eastAsia="zh-CN"/>
        </w:rPr>
        <w:t>三</w:t>
      </w:r>
      <w:r>
        <w:rPr>
          <w:rFonts w:hint="eastAsia" w:ascii="宋体" w:hAnsi="宋体"/>
          <w:szCs w:val="21"/>
        </w:rPr>
        <w:t>：残疾人福利性单位声明函</w:t>
      </w:r>
    </w:p>
    <w:p w14:paraId="04481918">
      <w:pPr>
        <w:pStyle w:val="11"/>
        <w:spacing w:line="380" w:lineRule="exact"/>
        <w:jc w:val="center"/>
        <w:rPr>
          <w:rFonts w:hAnsi="宋体"/>
          <w:b/>
          <w:sz w:val="28"/>
        </w:rPr>
      </w:pPr>
    </w:p>
    <w:p w14:paraId="72F18A95">
      <w:pPr>
        <w:pStyle w:val="11"/>
        <w:spacing w:line="380" w:lineRule="exact"/>
        <w:jc w:val="center"/>
        <w:rPr>
          <w:rFonts w:hAnsi="宋体" w:cs="宋体"/>
          <w:b/>
          <w:spacing w:val="6"/>
          <w:szCs w:val="21"/>
        </w:rPr>
      </w:pPr>
      <w:r>
        <w:rPr>
          <w:rFonts w:hint="eastAsia" w:hAnsi="宋体"/>
          <w:b/>
          <w:sz w:val="28"/>
        </w:rPr>
        <w:t>残疾人福利性单位声明函</w:t>
      </w:r>
    </w:p>
    <w:p w14:paraId="417D2034">
      <w:pPr>
        <w:spacing w:line="360" w:lineRule="auto"/>
        <w:ind w:firstLine="444" w:firstLineChars="200"/>
        <w:rPr>
          <w:rFonts w:ascii="宋体" w:cs="宋体"/>
          <w:spacing w:val="6"/>
          <w:szCs w:val="21"/>
        </w:rPr>
      </w:pPr>
    </w:p>
    <w:p w14:paraId="5D9ADAE5">
      <w:pPr>
        <w:spacing w:line="360" w:lineRule="auto"/>
        <w:ind w:firstLine="444" w:firstLineChars="200"/>
        <w:rPr>
          <w:rFonts w:asci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w:t>
      </w:r>
      <w:r>
        <w:rPr>
          <w:rFonts w:ascii="宋体" w:hAnsi="宋体" w:cs="宋体"/>
          <w:szCs w:val="21"/>
        </w:rPr>
        <w:t>2017</w:t>
      </w:r>
      <w:r>
        <w:rPr>
          <w:rFonts w:hint="eastAsia" w:ascii="宋体" w:hAnsi="宋体" w:cs="宋体"/>
          <w:szCs w:val="21"/>
        </w:rPr>
        <w:t>〕</w:t>
      </w:r>
      <w:r>
        <w:rPr>
          <w:rFonts w:ascii="宋体" w:hAnsi="宋体" w:cs="宋体"/>
          <w:szCs w:val="21"/>
        </w:rPr>
        <w:t xml:space="preserve"> 141</w:t>
      </w:r>
      <w:r>
        <w:rPr>
          <w:rFonts w:hint="eastAsia" w:ascii="宋体" w:hAnsi="宋体" w:cs="宋体"/>
          <w:spacing w:val="6"/>
          <w:szCs w:val="21"/>
        </w:rPr>
        <w:t>号）的规定，本单位为符合条件的残疾人福利性单位，且本单位参加</w:t>
      </w:r>
      <w:r>
        <w:rPr>
          <w:rFonts w:ascii="宋体" w:hAnsi="宋体" w:cs="宋体"/>
          <w:spacing w:val="6"/>
          <w:szCs w:val="21"/>
        </w:rPr>
        <w:t>______</w:t>
      </w:r>
      <w:r>
        <w:rPr>
          <w:rFonts w:hint="eastAsia" w:ascii="宋体" w:hAnsi="宋体" w:cs="宋体"/>
          <w:spacing w:val="6"/>
          <w:szCs w:val="21"/>
        </w:rPr>
        <w:t>单位的</w:t>
      </w:r>
      <w:r>
        <w:rPr>
          <w:rFonts w:ascii="宋体" w:hAnsi="宋体" w:cs="宋体"/>
          <w:spacing w:val="6"/>
          <w:szCs w:val="21"/>
        </w:rPr>
        <w:t>______</w:t>
      </w:r>
      <w:r>
        <w:rPr>
          <w:rFonts w:hint="eastAsia" w:ascii="宋体" w:hAnsi="宋体" w:cs="宋体"/>
          <w:spacing w:val="6"/>
          <w:szCs w:val="21"/>
        </w:rPr>
        <w:t>项目采购活动提供本单位制造的货物（由本单位承担工程</w:t>
      </w:r>
      <w:r>
        <w:rPr>
          <w:rFonts w:ascii="宋体" w:hAnsi="宋体" w:cs="宋体"/>
          <w:spacing w:val="6"/>
          <w:szCs w:val="21"/>
        </w:rPr>
        <w:t>/</w:t>
      </w:r>
      <w:r>
        <w:rPr>
          <w:rFonts w:hint="eastAsia" w:ascii="宋体" w:hAnsi="宋体" w:cs="宋体"/>
          <w:spacing w:val="6"/>
          <w:szCs w:val="21"/>
        </w:rPr>
        <w:t>提供服务），或者提供其他残疾人福利性单位制造的货物（不包括使用非残疾人福利性单位注册商标的货物）。</w:t>
      </w:r>
    </w:p>
    <w:p w14:paraId="65A5120E">
      <w:pPr>
        <w:spacing w:line="360" w:lineRule="auto"/>
        <w:ind w:firstLine="444" w:firstLineChars="200"/>
        <w:rPr>
          <w:rFonts w:ascii="宋体" w:cs="宋体"/>
          <w:spacing w:val="6"/>
          <w:szCs w:val="21"/>
        </w:rPr>
      </w:pPr>
      <w:r>
        <w:rPr>
          <w:rFonts w:hint="eastAsia" w:ascii="宋体" w:hAnsi="宋体" w:cs="宋体"/>
          <w:spacing w:val="6"/>
          <w:szCs w:val="21"/>
        </w:rPr>
        <w:t>本单位对上述声明的真实性负责。如有虚假，将依法承担相应责任。</w:t>
      </w:r>
    </w:p>
    <w:p w14:paraId="50DC14DD">
      <w:pPr>
        <w:tabs>
          <w:tab w:val="left" w:pos="4860"/>
        </w:tabs>
        <w:spacing w:line="588" w:lineRule="exact"/>
        <w:ind w:right="1560"/>
        <w:jc w:val="right"/>
        <w:rPr>
          <w:rFonts w:ascii="宋体" w:cs="宋体"/>
          <w:spacing w:val="6"/>
          <w:szCs w:val="21"/>
        </w:rPr>
      </w:pPr>
      <w:r>
        <w:rPr>
          <w:rFonts w:hint="eastAsia" w:ascii="宋体" w:hAnsi="宋体" w:cs="宋体"/>
          <w:spacing w:val="6"/>
          <w:szCs w:val="21"/>
        </w:rPr>
        <w:t>单位名称（盖章）：</w:t>
      </w:r>
    </w:p>
    <w:p w14:paraId="008289AF">
      <w:pPr>
        <w:tabs>
          <w:tab w:val="left" w:pos="4860"/>
        </w:tabs>
        <w:spacing w:line="588" w:lineRule="exact"/>
        <w:ind w:right="1560" w:firstLine="444" w:firstLineChars="200"/>
        <w:jc w:val="right"/>
        <w:rPr>
          <w:rFonts w:ascii="宋体" w:cs="宋体"/>
          <w:spacing w:val="6"/>
          <w:szCs w:val="21"/>
        </w:rPr>
      </w:pPr>
      <w:r>
        <w:rPr>
          <w:rFonts w:hint="eastAsia" w:ascii="宋体" w:hAnsi="宋体" w:cs="宋体"/>
          <w:spacing w:val="6"/>
          <w:szCs w:val="21"/>
        </w:rPr>
        <w:t>日期：</w:t>
      </w:r>
    </w:p>
    <w:p w14:paraId="6F4E8096">
      <w:pPr>
        <w:tabs>
          <w:tab w:val="left" w:pos="4860"/>
        </w:tabs>
        <w:spacing w:line="360" w:lineRule="auto"/>
        <w:rPr>
          <w:rFonts w:ascii="宋体" w:cs="宋体"/>
          <w:spacing w:val="6"/>
          <w:szCs w:val="21"/>
        </w:rPr>
      </w:pPr>
    </w:p>
    <w:p w14:paraId="04CDD21A">
      <w:pPr>
        <w:tabs>
          <w:tab w:val="left" w:pos="4860"/>
        </w:tabs>
        <w:spacing w:line="360" w:lineRule="auto"/>
        <w:rPr>
          <w:rFonts w:ascii="宋体" w:cs="宋体"/>
          <w:spacing w:val="6"/>
          <w:szCs w:val="21"/>
        </w:rPr>
      </w:pPr>
      <w:r>
        <w:rPr>
          <w:rFonts w:hint="eastAsia" w:ascii="宋体" w:hAnsi="宋体" w:cs="宋体"/>
          <w:spacing w:val="6"/>
          <w:szCs w:val="21"/>
        </w:rPr>
        <w:t>注：</w:t>
      </w:r>
      <w:r>
        <w:rPr>
          <w:rFonts w:ascii="宋体" w:hAnsi="宋体" w:cs="宋体"/>
          <w:spacing w:val="6"/>
          <w:szCs w:val="21"/>
        </w:rPr>
        <w:t>1</w:t>
      </w:r>
      <w:r>
        <w:rPr>
          <w:rFonts w:hint="eastAsia" w:ascii="宋体" w:hAnsi="宋体" w:cs="宋体"/>
          <w:spacing w:val="6"/>
          <w:szCs w:val="21"/>
        </w:rPr>
        <w:t>、如投标人为非残疾人福利性单位的可不提供本声明函。</w:t>
      </w:r>
    </w:p>
    <w:p w14:paraId="00E9E5A7">
      <w:pPr>
        <w:tabs>
          <w:tab w:val="left" w:pos="4860"/>
        </w:tabs>
        <w:spacing w:line="360" w:lineRule="auto"/>
        <w:ind w:firstLine="444" w:firstLineChars="200"/>
        <w:rPr>
          <w:rFonts w:ascii="宋体" w:cs="宋体"/>
          <w:spacing w:val="6"/>
          <w:szCs w:val="21"/>
        </w:rPr>
      </w:pPr>
      <w:r>
        <w:rPr>
          <w:rFonts w:ascii="宋体" w:hAnsi="宋体" w:cs="宋体"/>
          <w:spacing w:val="6"/>
          <w:szCs w:val="21"/>
        </w:rPr>
        <w:t>2</w:t>
      </w:r>
      <w:r>
        <w:rPr>
          <w:rFonts w:hint="eastAsia" w:ascii="宋体" w:hAnsi="宋体" w:cs="宋体"/>
          <w:spacing w:val="6"/>
          <w:szCs w:val="21"/>
        </w:rPr>
        <w:t>、享受政府采购支持政策的残疾人福利性单位应当同时满足以下条件：</w:t>
      </w:r>
    </w:p>
    <w:p w14:paraId="5EF06121">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1</w:t>
      </w:r>
      <w:r>
        <w:rPr>
          <w:rFonts w:hint="eastAsia" w:ascii="宋体" w:hAnsi="宋体" w:cs="宋体"/>
          <w:spacing w:val="6"/>
          <w:szCs w:val="21"/>
        </w:rPr>
        <w:t>）安置的残疾人占本单位在职职工人数的比例不低于</w:t>
      </w:r>
      <w:r>
        <w:rPr>
          <w:rFonts w:ascii="宋体" w:hAnsi="宋体" w:cs="宋体"/>
          <w:spacing w:val="6"/>
          <w:szCs w:val="21"/>
        </w:rPr>
        <w:t>25%</w:t>
      </w:r>
      <w:r>
        <w:rPr>
          <w:rFonts w:hint="eastAsia" w:ascii="宋体" w:hAnsi="宋体" w:cs="宋体"/>
          <w:spacing w:val="6"/>
          <w:szCs w:val="21"/>
        </w:rPr>
        <w:t>（含</w:t>
      </w:r>
      <w:r>
        <w:rPr>
          <w:rFonts w:ascii="宋体" w:hAnsi="宋体" w:cs="宋体"/>
          <w:spacing w:val="6"/>
          <w:szCs w:val="21"/>
        </w:rPr>
        <w:t>25%</w:t>
      </w:r>
      <w:r>
        <w:rPr>
          <w:rFonts w:hint="eastAsia" w:ascii="宋体" w:hAnsi="宋体" w:cs="宋体"/>
          <w:spacing w:val="6"/>
          <w:szCs w:val="21"/>
        </w:rPr>
        <w:t>），并且安置的残疾人人数不少于</w:t>
      </w:r>
      <w:r>
        <w:rPr>
          <w:rFonts w:ascii="宋体" w:hAnsi="宋体" w:cs="宋体"/>
          <w:spacing w:val="6"/>
          <w:szCs w:val="21"/>
        </w:rPr>
        <w:t>10</w:t>
      </w:r>
      <w:r>
        <w:rPr>
          <w:rFonts w:hint="eastAsia" w:ascii="宋体" w:hAnsi="宋体" w:cs="宋体"/>
          <w:spacing w:val="6"/>
          <w:szCs w:val="21"/>
        </w:rPr>
        <w:t>人（含</w:t>
      </w:r>
      <w:r>
        <w:rPr>
          <w:rFonts w:ascii="宋体" w:hAnsi="宋体" w:cs="宋体"/>
          <w:spacing w:val="6"/>
          <w:szCs w:val="21"/>
        </w:rPr>
        <w:t>10</w:t>
      </w:r>
      <w:r>
        <w:rPr>
          <w:rFonts w:hint="eastAsia" w:ascii="宋体" w:hAnsi="宋体" w:cs="宋体"/>
          <w:spacing w:val="6"/>
          <w:szCs w:val="21"/>
        </w:rPr>
        <w:t>人）；</w:t>
      </w:r>
    </w:p>
    <w:p w14:paraId="69B9833E">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2</w:t>
      </w:r>
      <w:r>
        <w:rPr>
          <w:rFonts w:hint="eastAsia" w:ascii="宋体" w:hAnsi="宋体" w:cs="宋体"/>
          <w:spacing w:val="6"/>
          <w:szCs w:val="21"/>
        </w:rPr>
        <w:t>）依法与安置的每位残疾人签订了一年以上（含一年）的劳动合同或服务协议；</w:t>
      </w:r>
    </w:p>
    <w:p w14:paraId="7B0F751B">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3</w:t>
      </w:r>
      <w:r>
        <w:rPr>
          <w:rFonts w:hint="eastAsia" w:ascii="宋体" w:hAnsi="宋体" w:cs="宋体"/>
          <w:spacing w:val="6"/>
          <w:szCs w:val="21"/>
        </w:rPr>
        <w:t>）为安置的每位残疾人按月足额缴纳了基本养老保险、基本医疗保险、失业保险、工伤保险和生育保险等社会保险费；</w:t>
      </w:r>
    </w:p>
    <w:p w14:paraId="2D2718EC">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4</w:t>
      </w:r>
      <w:r>
        <w:rPr>
          <w:rFonts w:hint="eastAsia" w:ascii="宋体" w:hAnsi="宋体" w:cs="宋体"/>
          <w:spacing w:val="6"/>
          <w:szCs w:val="21"/>
        </w:rPr>
        <w:t>）通过银行等金融机构向安置的每位残疾人，按月支付了不低于单位所在区县适用的经省级人民政府批准的月最低工资标准的工资；</w:t>
      </w:r>
    </w:p>
    <w:p w14:paraId="1CC1FFC7">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5</w:t>
      </w:r>
      <w:r>
        <w:rPr>
          <w:rFonts w:hint="eastAsia" w:ascii="宋体" w:hAnsi="宋体" w:cs="宋体"/>
          <w:spacing w:val="6"/>
          <w:szCs w:val="21"/>
        </w:rPr>
        <w:t>）提供本单位制造的货物、承担的工程或者服务（以下简称产品），或者提供其他残疾人福利性单位制造的货物（不包括使用非残疾人福利性单位注册商标的货物）。</w:t>
      </w:r>
    </w:p>
    <w:p w14:paraId="45A0BB5F">
      <w:pPr>
        <w:tabs>
          <w:tab w:val="left" w:pos="4860"/>
        </w:tabs>
        <w:spacing w:line="360" w:lineRule="auto"/>
        <w:ind w:firstLine="444" w:firstLineChars="200"/>
        <w:rPr>
          <w:rFonts w:ascii="宋体" w:cs="宋体"/>
          <w:szCs w:val="21"/>
        </w:rPr>
      </w:pPr>
      <w:r>
        <w:rPr>
          <w:rFonts w:hint="eastAsia" w:ascii="宋体" w:hAnsi="宋体" w:cs="宋体"/>
          <w:spacing w:val="6"/>
          <w:szCs w:val="21"/>
        </w:rPr>
        <w:t>前款所称残疾人是指法定劳动年龄内，持有《中华人民共和国残疾人证》或者《中华人民共和国残疾军人证（</w:t>
      </w:r>
      <w:r>
        <w:rPr>
          <w:rFonts w:ascii="宋体" w:hAnsi="宋体" w:cs="宋体"/>
          <w:spacing w:val="6"/>
          <w:szCs w:val="21"/>
        </w:rPr>
        <w:t>1</w:t>
      </w:r>
      <w:r>
        <w:rPr>
          <w:rFonts w:hint="eastAsia" w:ascii="宋体" w:hAnsi="宋体" w:cs="宋体"/>
          <w:spacing w:val="6"/>
          <w:szCs w:val="21"/>
        </w:rPr>
        <w:t>至</w:t>
      </w:r>
      <w:r>
        <w:rPr>
          <w:rFonts w:ascii="宋体" w:hAnsi="宋体" w:cs="宋体"/>
          <w:spacing w:val="6"/>
          <w:szCs w:val="21"/>
        </w:rPr>
        <w:t>8</w:t>
      </w:r>
      <w:r>
        <w:rPr>
          <w:rFonts w:hint="eastAsia" w:ascii="宋体" w:hAnsi="宋体" w:cs="宋体"/>
          <w:spacing w:val="6"/>
          <w:szCs w:val="21"/>
        </w:rPr>
        <w:t>级）》的自然人，包括具有劳动条件和劳动意愿的精神残疾人。在职职工人数是指与残疾人福利性单位建立劳动关系并依法签订劳动合同或者服务协议的雇员人数。</w:t>
      </w:r>
    </w:p>
    <w:p w14:paraId="3D7A2168">
      <w:pPr>
        <w:snapToGrid w:val="0"/>
        <w:spacing w:line="360" w:lineRule="auto"/>
        <w:rPr>
          <w:rFonts w:ascii="宋体" w:cs="宋体"/>
          <w:szCs w:val="21"/>
        </w:rPr>
      </w:pPr>
    </w:p>
    <w:p w14:paraId="546DB712">
      <w:pPr>
        <w:snapToGrid w:val="0"/>
        <w:spacing w:line="360" w:lineRule="auto"/>
        <w:rPr>
          <w:rFonts w:ascii="宋体" w:cs="宋体"/>
          <w:szCs w:val="21"/>
        </w:rPr>
      </w:pPr>
    </w:p>
    <w:p w14:paraId="06FD04C4">
      <w:pPr>
        <w:snapToGrid w:val="0"/>
        <w:spacing w:line="360" w:lineRule="auto"/>
        <w:rPr>
          <w:rFonts w:ascii="宋体" w:cs="宋体"/>
          <w:szCs w:val="21"/>
        </w:rPr>
      </w:pPr>
    </w:p>
    <w:p w14:paraId="059CF0F1">
      <w:pPr>
        <w:snapToGrid w:val="0"/>
        <w:spacing w:line="360" w:lineRule="auto"/>
        <w:rPr>
          <w:rFonts w:ascii="宋体" w:cs="宋体"/>
          <w:szCs w:val="21"/>
        </w:rPr>
      </w:pPr>
    </w:p>
    <w:p w14:paraId="6E463728">
      <w:pPr>
        <w:snapToGrid w:val="0"/>
        <w:spacing w:line="360" w:lineRule="auto"/>
        <w:rPr>
          <w:rFonts w:ascii="宋体" w:cs="宋体"/>
          <w:szCs w:val="21"/>
        </w:rPr>
      </w:pPr>
    </w:p>
    <w:p w14:paraId="0EC2D708">
      <w:pPr>
        <w:spacing w:line="360" w:lineRule="auto"/>
      </w:pPr>
      <w:r>
        <w:rPr>
          <w:rFonts w:ascii="宋体" w:cs="宋体"/>
          <w:szCs w:val="21"/>
        </w:rPr>
        <w:br w:type="page"/>
      </w:r>
      <w:r>
        <w:rPr>
          <w:rFonts w:hint="eastAsia"/>
        </w:rPr>
        <w:t>二、商务技术文件格式</w:t>
      </w:r>
    </w:p>
    <w:p w14:paraId="5084B42D">
      <w:pPr>
        <w:snapToGrid w:val="0"/>
        <w:spacing w:beforeLines="50" w:after="50"/>
        <w:jc w:val="center"/>
        <w:rPr>
          <w:rFonts w:ascii="宋体"/>
          <w:szCs w:val="21"/>
        </w:rPr>
      </w:pPr>
    </w:p>
    <w:p w14:paraId="6C289323">
      <w:pPr>
        <w:snapToGrid w:val="0"/>
        <w:spacing w:beforeLines="50" w:after="50"/>
        <w:rPr>
          <w:rFonts w:ascii="宋体"/>
          <w:bCs/>
          <w:szCs w:val="21"/>
        </w:rPr>
      </w:pPr>
      <w:r>
        <w:rPr>
          <w:rFonts w:ascii="宋体" w:hAnsi="宋体"/>
          <w:szCs w:val="21"/>
        </w:rPr>
        <w:t>1.</w:t>
      </w:r>
      <w:r>
        <w:rPr>
          <w:rFonts w:hint="eastAsia" w:ascii="宋体" w:hAnsi="宋体"/>
          <w:szCs w:val="21"/>
        </w:rPr>
        <w:t>商务技术文件</w:t>
      </w:r>
      <w:r>
        <w:rPr>
          <w:rFonts w:hint="eastAsia" w:ascii="宋体" w:hAnsi="宋体"/>
          <w:bCs/>
          <w:szCs w:val="21"/>
        </w:rPr>
        <w:t>的外包装封面格式：</w:t>
      </w:r>
    </w:p>
    <w:p w14:paraId="298ED6EE">
      <w:pPr>
        <w:snapToGrid w:val="0"/>
        <w:spacing w:beforeLines="50" w:after="50"/>
        <w:rPr>
          <w:rFonts w:ascii="宋体"/>
          <w:bCs/>
          <w:szCs w:val="21"/>
        </w:rPr>
      </w:pPr>
    </w:p>
    <w:p w14:paraId="496DA450">
      <w:pPr>
        <w:snapToGrid w:val="0"/>
        <w:spacing w:beforeLines="50" w:after="50"/>
        <w:ind w:firstLine="3689" w:firstLineChars="1750"/>
        <w:rPr>
          <w:rFonts w:ascii="宋体"/>
          <w:b/>
          <w:bCs/>
          <w:szCs w:val="21"/>
        </w:rPr>
      </w:pPr>
      <w:r>
        <w:rPr>
          <w:rFonts w:hint="eastAsia" w:ascii="宋体" w:hAnsi="宋体"/>
          <w:b/>
          <w:bCs/>
          <w:szCs w:val="21"/>
        </w:rPr>
        <w:t>商务技术文件</w:t>
      </w:r>
    </w:p>
    <w:p w14:paraId="102F82C2">
      <w:pPr>
        <w:snapToGrid w:val="0"/>
        <w:spacing w:beforeLines="50" w:after="50"/>
        <w:ind w:firstLine="932" w:firstLineChars="444"/>
      </w:pPr>
      <w:r>
        <w:rPr>
          <w:rFonts w:hint="eastAsia" w:ascii="宋体" w:hAnsi="宋体"/>
          <w:bCs/>
          <w:szCs w:val="21"/>
        </w:rPr>
        <w:t>项目名称：</w:t>
      </w:r>
    </w:p>
    <w:p w14:paraId="1116DBC5">
      <w:pPr>
        <w:snapToGrid w:val="0"/>
        <w:spacing w:beforeLines="50" w:after="50"/>
        <w:ind w:firstLine="932" w:firstLineChars="444"/>
        <w:rPr>
          <w:rFonts w:ascii="宋体"/>
          <w:bCs/>
          <w:szCs w:val="21"/>
        </w:rPr>
      </w:pPr>
      <w:r>
        <w:rPr>
          <w:rFonts w:hint="eastAsia" w:ascii="宋体" w:hAnsi="宋体"/>
          <w:bCs/>
          <w:szCs w:val="21"/>
        </w:rPr>
        <w:t>项目编号：</w:t>
      </w:r>
    </w:p>
    <w:p w14:paraId="40B06E9B">
      <w:pPr>
        <w:snapToGrid w:val="0"/>
        <w:spacing w:beforeLines="50" w:after="50"/>
        <w:ind w:firstLine="932" w:firstLineChars="444"/>
        <w:rPr>
          <w:rFonts w:ascii="宋体"/>
          <w:bCs/>
          <w:szCs w:val="21"/>
        </w:rPr>
      </w:pPr>
    </w:p>
    <w:p w14:paraId="1E511AA6">
      <w:pPr>
        <w:pStyle w:val="6"/>
        <w:snapToGrid w:val="0"/>
        <w:spacing w:before="50" w:after="50"/>
        <w:ind w:firstLine="932" w:firstLineChars="444"/>
        <w:rPr>
          <w:rFonts w:ascii="宋体"/>
          <w:szCs w:val="21"/>
        </w:rPr>
      </w:pPr>
      <w:r>
        <w:rPr>
          <w:rFonts w:hint="eastAsia" w:ascii="宋体" w:hAnsi="宋体"/>
          <w:szCs w:val="21"/>
        </w:rPr>
        <w:t>投标人名称：</w:t>
      </w:r>
    </w:p>
    <w:p w14:paraId="36D4F326">
      <w:pPr>
        <w:pStyle w:val="6"/>
        <w:snapToGrid w:val="0"/>
        <w:spacing w:before="50" w:after="50"/>
        <w:ind w:firstLine="932" w:firstLineChars="444"/>
        <w:rPr>
          <w:rFonts w:ascii="宋体"/>
          <w:szCs w:val="21"/>
        </w:rPr>
      </w:pPr>
      <w:r>
        <w:rPr>
          <w:rFonts w:hint="eastAsia" w:ascii="宋体" w:hAnsi="宋体"/>
          <w:szCs w:val="21"/>
        </w:rPr>
        <w:t>投标人地址：</w:t>
      </w:r>
    </w:p>
    <w:p w14:paraId="145D8EA4">
      <w:pPr>
        <w:pStyle w:val="6"/>
        <w:snapToGrid w:val="0"/>
        <w:spacing w:before="50" w:after="50"/>
        <w:ind w:firstLine="932" w:firstLineChars="444"/>
        <w:jc w:val="center"/>
        <w:rPr>
          <w:rFonts w:ascii="宋体"/>
          <w:bCs/>
          <w:szCs w:val="21"/>
        </w:rPr>
      </w:pPr>
      <w:r>
        <w:rPr>
          <w:rFonts w:hint="eastAsia"/>
        </w:rPr>
        <w:t>开标时启封</w:t>
      </w:r>
    </w:p>
    <w:p w14:paraId="782A039A">
      <w:pPr>
        <w:pStyle w:val="6"/>
        <w:snapToGrid w:val="0"/>
        <w:spacing w:before="50" w:after="50"/>
        <w:ind w:firstLine="873" w:firstLineChars="416"/>
        <w:rPr>
          <w:rFonts w:ascii="宋体"/>
          <w:szCs w:val="21"/>
        </w:rPr>
      </w:pPr>
    </w:p>
    <w:p w14:paraId="7C8B33A5">
      <w:pPr>
        <w:snapToGrid w:val="0"/>
        <w:spacing w:beforeLines="50" w:after="50"/>
        <w:ind w:firstLine="645"/>
        <w:jc w:val="center"/>
        <w:rPr>
          <w:rFonts w:ascii="宋体"/>
          <w:szCs w:val="21"/>
        </w:rPr>
      </w:pPr>
      <w:r>
        <w:rPr>
          <w:rFonts w:hint="eastAsia" w:ascii="宋体" w:hAnsi="宋体"/>
          <w:szCs w:val="21"/>
        </w:rPr>
        <w:t>年月日</w:t>
      </w:r>
    </w:p>
    <w:p w14:paraId="5DE596FE">
      <w:pPr>
        <w:snapToGrid w:val="0"/>
        <w:spacing w:beforeLines="50" w:after="50"/>
        <w:jc w:val="center"/>
        <w:rPr>
          <w:rFonts w:ascii="宋体"/>
          <w:szCs w:val="21"/>
        </w:rPr>
      </w:pPr>
    </w:p>
    <w:p w14:paraId="7C71DF59">
      <w:pPr>
        <w:snapToGrid w:val="0"/>
        <w:spacing w:beforeLines="50" w:after="50"/>
        <w:jc w:val="center"/>
        <w:rPr>
          <w:rFonts w:ascii="宋体"/>
          <w:szCs w:val="21"/>
        </w:rPr>
      </w:pPr>
    </w:p>
    <w:p w14:paraId="41D1D117">
      <w:pPr>
        <w:snapToGrid w:val="0"/>
        <w:spacing w:beforeLines="50" w:after="50"/>
        <w:rPr>
          <w:rFonts w:ascii="宋体"/>
          <w:szCs w:val="21"/>
        </w:rPr>
      </w:pPr>
    </w:p>
    <w:p w14:paraId="3A59065C">
      <w:pPr>
        <w:snapToGrid w:val="0"/>
        <w:spacing w:beforeLines="50" w:after="50"/>
        <w:rPr>
          <w:rFonts w:ascii="宋体"/>
          <w:szCs w:val="21"/>
        </w:rPr>
      </w:pPr>
      <w:r>
        <w:rPr>
          <w:rFonts w:ascii="宋体" w:hAnsi="宋体"/>
          <w:szCs w:val="21"/>
        </w:rPr>
        <w:t xml:space="preserve">2. </w:t>
      </w:r>
      <w:r>
        <w:rPr>
          <w:rFonts w:hint="eastAsia" w:ascii="宋体" w:hAnsi="宋体"/>
          <w:szCs w:val="21"/>
        </w:rPr>
        <w:t>商务技术文件封面格式：</w:t>
      </w:r>
    </w:p>
    <w:p w14:paraId="17CC954D">
      <w:pPr>
        <w:snapToGrid w:val="0"/>
        <w:spacing w:beforeLines="50" w:after="50"/>
        <w:jc w:val="right"/>
        <w:rPr>
          <w:rFonts w:ascii="宋体"/>
          <w:b/>
          <w:bCs/>
          <w:szCs w:val="21"/>
        </w:rPr>
      </w:pPr>
      <w:r>
        <w:rPr>
          <w:rFonts w:hint="eastAsia" w:ascii="宋体" w:hAnsi="宋体"/>
          <w:b/>
          <w:bCs/>
          <w:szCs w:val="21"/>
        </w:rPr>
        <w:t>正本</w:t>
      </w:r>
    </w:p>
    <w:p w14:paraId="401C0D9F">
      <w:pPr>
        <w:snapToGrid w:val="0"/>
        <w:spacing w:beforeLines="50" w:after="50"/>
        <w:rPr>
          <w:rFonts w:ascii="宋体"/>
          <w:szCs w:val="21"/>
        </w:rPr>
      </w:pPr>
    </w:p>
    <w:p w14:paraId="103B32D7">
      <w:pPr>
        <w:snapToGrid w:val="0"/>
        <w:spacing w:beforeLines="50" w:after="50"/>
        <w:jc w:val="center"/>
        <w:rPr>
          <w:rFonts w:ascii="宋体"/>
          <w:bCs/>
          <w:szCs w:val="21"/>
        </w:rPr>
      </w:pPr>
    </w:p>
    <w:p w14:paraId="05D97C1F">
      <w:pPr>
        <w:snapToGrid w:val="0"/>
        <w:spacing w:before="50" w:afterLines="50" w:line="360" w:lineRule="auto"/>
        <w:jc w:val="center"/>
        <w:rPr>
          <w:rFonts w:ascii="宋体" w:cs="宋体"/>
          <w:b/>
          <w:bCs/>
        </w:rPr>
      </w:pPr>
      <w:r>
        <w:rPr>
          <w:rFonts w:hint="eastAsia" w:ascii="宋体" w:hAnsi="宋体" w:cs="宋体"/>
          <w:b/>
          <w:bCs/>
        </w:rPr>
        <w:t>商务技术文件</w:t>
      </w:r>
    </w:p>
    <w:p w14:paraId="00BCA4D7">
      <w:pPr>
        <w:snapToGrid w:val="0"/>
        <w:spacing w:beforeLines="50" w:after="50"/>
        <w:ind w:firstLine="932" w:firstLineChars="444"/>
      </w:pPr>
      <w:r>
        <w:rPr>
          <w:rFonts w:hint="eastAsia" w:ascii="宋体" w:hAnsi="宋体"/>
          <w:bCs/>
          <w:szCs w:val="21"/>
        </w:rPr>
        <w:t>项目名称：</w:t>
      </w:r>
    </w:p>
    <w:p w14:paraId="55DF035A">
      <w:pPr>
        <w:snapToGrid w:val="0"/>
        <w:spacing w:beforeLines="50" w:after="50"/>
        <w:ind w:firstLine="932" w:firstLineChars="444"/>
        <w:rPr>
          <w:rFonts w:ascii="宋体"/>
          <w:bCs/>
          <w:szCs w:val="21"/>
        </w:rPr>
      </w:pPr>
      <w:r>
        <w:rPr>
          <w:rFonts w:hint="eastAsia" w:ascii="宋体" w:hAnsi="宋体"/>
          <w:bCs/>
          <w:szCs w:val="21"/>
        </w:rPr>
        <w:t>项目编号：</w:t>
      </w:r>
    </w:p>
    <w:p w14:paraId="1005216A">
      <w:pPr>
        <w:snapToGrid w:val="0"/>
        <w:spacing w:beforeLines="50" w:after="50"/>
        <w:ind w:firstLine="932" w:firstLineChars="444"/>
        <w:rPr>
          <w:rFonts w:ascii="宋体"/>
          <w:bCs/>
          <w:szCs w:val="21"/>
        </w:rPr>
      </w:pPr>
    </w:p>
    <w:p w14:paraId="071FD7E4">
      <w:pPr>
        <w:snapToGrid w:val="0"/>
        <w:spacing w:beforeLines="50" w:after="50"/>
        <w:ind w:firstLine="932" w:firstLineChars="444"/>
        <w:rPr>
          <w:rFonts w:ascii="宋体"/>
          <w:bCs/>
          <w:szCs w:val="21"/>
        </w:rPr>
      </w:pPr>
      <w:r>
        <w:rPr>
          <w:rFonts w:hint="eastAsia" w:ascii="宋体" w:hAnsi="宋体"/>
          <w:bCs/>
          <w:szCs w:val="21"/>
        </w:rPr>
        <w:t>投标人名称：</w:t>
      </w:r>
    </w:p>
    <w:p w14:paraId="646B9DEE">
      <w:pPr>
        <w:pStyle w:val="6"/>
        <w:snapToGrid w:val="0"/>
        <w:spacing w:before="50" w:after="50"/>
        <w:ind w:firstLine="932" w:firstLineChars="444"/>
        <w:rPr>
          <w:rFonts w:ascii="宋体"/>
          <w:bCs/>
          <w:szCs w:val="21"/>
        </w:rPr>
      </w:pPr>
      <w:r>
        <w:rPr>
          <w:rFonts w:hint="eastAsia" w:ascii="宋体" w:hAnsi="宋体"/>
          <w:bCs/>
          <w:szCs w:val="21"/>
        </w:rPr>
        <w:t>投标人地址：</w:t>
      </w:r>
    </w:p>
    <w:p w14:paraId="1213F818">
      <w:pPr>
        <w:pStyle w:val="6"/>
        <w:snapToGrid w:val="0"/>
        <w:spacing w:before="50" w:after="50"/>
        <w:ind w:firstLine="840" w:firstLineChars="400"/>
        <w:rPr>
          <w:rFonts w:ascii="宋体"/>
          <w:bCs/>
          <w:szCs w:val="21"/>
        </w:rPr>
      </w:pPr>
    </w:p>
    <w:p w14:paraId="55C0B4B5">
      <w:pPr>
        <w:pStyle w:val="6"/>
        <w:snapToGrid w:val="0"/>
        <w:spacing w:before="50" w:after="50"/>
        <w:ind w:firstLine="873" w:firstLineChars="416"/>
        <w:rPr>
          <w:rFonts w:ascii="宋体"/>
          <w:szCs w:val="21"/>
        </w:rPr>
      </w:pPr>
    </w:p>
    <w:p w14:paraId="7DA3B9EF">
      <w:pPr>
        <w:snapToGrid w:val="0"/>
        <w:spacing w:beforeLines="50" w:after="50"/>
        <w:ind w:firstLine="645"/>
        <w:jc w:val="center"/>
        <w:rPr>
          <w:rFonts w:ascii="宋体"/>
          <w:szCs w:val="21"/>
        </w:rPr>
      </w:pPr>
      <w:r>
        <w:rPr>
          <w:rFonts w:hint="eastAsia" w:ascii="宋体" w:hAnsi="宋体"/>
          <w:szCs w:val="21"/>
        </w:rPr>
        <w:t>年月日</w:t>
      </w:r>
    </w:p>
    <w:p w14:paraId="09D13A61">
      <w:pPr>
        <w:snapToGrid w:val="0"/>
        <w:spacing w:beforeLines="50" w:after="50"/>
        <w:rPr>
          <w:rFonts w:ascii="宋体"/>
          <w:szCs w:val="21"/>
        </w:rPr>
      </w:pPr>
    </w:p>
    <w:p w14:paraId="058304EA">
      <w:pPr>
        <w:snapToGrid w:val="0"/>
        <w:spacing w:line="360" w:lineRule="auto"/>
        <w:rPr>
          <w:rFonts w:ascii="宋体" w:cs="宋体"/>
          <w:szCs w:val="21"/>
        </w:rPr>
      </w:pPr>
    </w:p>
    <w:p w14:paraId="078674CA">
      <w:pPr>
        <w:snapToGrid w:val="0"/>
        <w:spacing w:line="360" w:lineRule="auto"/>
        <w:rPr>
          <w:rFonts w:ascii="宋体" w:cs="宋体"/>
          <w:szCs w:val="21"/>
        </w:rPr>
      </w:pPr>
    </w:p>
    <w:p w14:paraId="4195EC52">
      <w:pPr>
        <w:snapToGrid w:val="0"/>
        <w:spacing w:line="360" w:lineRule="auto"/>
        <w:rPr>
          <w:rFonts w:ascii="宋体" w:cs="宋体"/>
          <w:szCs w:val="21"/>
        </w:rPr>
      </w:pPr>
    </w:p>
    <w:p w14:paraId="0502C5DB">
      <w:pPr>
        <w:snapToGrid w:val="0"/>
        <w:spacing w:line="360" w:lineRule="auto"/>
        <w:rPr>
          <w:rFonts w:ascii="宋体" w:cs="宋体"/>
          <w:szCs w:val="21"/>
        </w:rPr>
      </w:pPr>
    </w:p>
    <w:p w14:paraId="56F3BB00">
      <w:pPr>
        <w:snapToGrid w:val="0"/>
        <w:spacing w:line="360" w:lineRule="auto"/>
        <w:rPr>
          <w:rFonts w:ascii="宋体" w:cs="宋体"/>
          <w:szCs w:val="21"/>
        </w:rPr>
      </w:pPr>
    </w:p>
    <w:p w14:paraId="4E2E9A0B">
      <w:pPr>
        <w:snapToGrid w:val="0"/>
        <w:spacing w:line="360" w:lineRule="auto"/>
        <w:rPr>
          <w:rFonts w:ascii="宋体" w:cs="宋体"/>
          <w:szCs w:val="21"/>
        </w:rPr>
      </w:pPr>
    </w:p>
    <w:p w14:paraId="44ECC13F">
      <w:pPr>
        <w:spacing w:line="360" w:lineRule="auto"/>
        <w:rPr>
          <w:b/>
        </w:rPr>
      </w:pPr>
      <w:r>
        <w:rPr>
          <w:rFonts w:ascii="宋体" w:hAnsi="宋体"/>
          <w:b/>
          <w:bCs/>
          <w:szCs w:val="21"/>
        </w:rPr>
        <w:t>1.</w:t>
      </w:r>
      <w:r>
        <w:rPr>
          <w:rFonts w:hint="eastAsia" w:ascii="宋体" w:hAnsi="宋体"/>
          <w:b/>
          <w:bCs/>
          <w:szCs w:val="21"/>
        </w:rPr>
        <w:t>符合性自查表格式</w:t>
      </w:r>
    </w:p>
    <w:p w14:paraId="65364F27">
      <w:pPr>
        <w:adjustRightInd w:val="0"/>
        <w:snapToGrid w:val="0"/>
        <w:jc w:val="center"/>
        <w:rPr>
          <w:rFonts w:ascii="宋体"/>
          <w:b/>
          <w:sz w:val="24"/>
        </w:rPr>
      </w:pPr>
    </w:p>
    <w:p w14:paraId="6AF94472">
      <w:pPr>
        <w:snapToGrid w:val="0"/>
        <w:spacing w:beforeLines="50" w:after="50"/>
        <w:jc w:val="center"/>
        <w:rPr>
          <w:rFonts w:ascii="宋体"/>
          <w:b/>
          <w:szCs w:val="21"/>
        </w:rPr>
      </w:pPr>
      <w:r>
        <w:rPr>
          <w:rFonts w:hint="eastAsia" w:ascii="宋体" w:hAnsi="宋体"/>
          <w:b/>
          <w:szCs w:val="21"/>
        </w:rPr>
        <w:t>符合性自查表</w:t>
      </w:r>
    </w:p>
    <w:p w14:paraId="40732188">
      <w:pPr>
        <w:jc w:val="center"/>
        <w:rPr>
          <w:b/>
        </w:rPr>
      </w:pPr>
    </w:p>
    <w:tbl>
      <w:tblPr>
        <w:tblStyle w:val="28"/>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14:paraId="1ED5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5E5E3A0F">
            <w:pPr>
              <w:spacing w:line="240" w:lineRule="exact"/>
              <w:jc w:val="center"/>
            </w:pPr>
            <w:r>
              <w:rPr>
                <w:rFonts w:hint="eastAsia"/>
              </w:rPr>
              <w:t>评审内容</w:t>
            </w:r>
          </w:p>
        </w:tc>
        <w:tc>
          <w:tcPr>
            <w:tcW w:w="4221" w:type="dxa"/>
            <w:vAlign w:val="center"/>
          </w:tcPr>
          <w:p w14:paraId="64DD529B">
            <w:pPr>
              <w:spacing w:line="240" w:lineRule="exact"/>
              <w:jc w:val="center"/>
            </w:pPr>
            <w:r>
              <w:rPr>
                <w:rFonts w:hint="eastAsia"/>
              </w:rPr>
              <w:t>采购文件要求</w:t>
            </w:r>
          </w:p>
        </w:tc>
        <w:tc>
          <w:tcPr>
            <w:tcW w:w="1270" w:type="dxa"/>
            <w:vAlign w:val="center"/>
          </w:tcPr>
          <w:p w14:paraId="7CA5856E">
            <w:pPr>
              <w:spacing w:line="240" w:lineRule="exact"/>
              <w:jc w:val="center"/>
            </w:pPr>
            <w:r>
              <w:rPr>
                <w:rFonts w:hint="eastAsia"/>
              </w:rPr>
              <w:t>自查结论</w:t>
            </w:r>
          </w:p>
        </w:tc>
        <w:tc>
          <w:tcPr>
            <w:tcW w:w="2611" w:type="dxa"/>
            <w:vAlign w:val="center"/>
          </w:tcPr>
          <w:p w14:paraId="22D9E083">
            <w:pPr>
              <w:spacing w:line="240" w:lineRule="exact"/>
              <w:jc w:val="center"/>
            </w:pPr>
            <w:r>
              <w:rPr>
                <w:rFonts w:hint="eastAsia"/>
              </w:rPr>
              <w:t>证明资料</w:t>
            </w:r>
          </w:p>
        </w:tc>
      </w:tr>
      <w:tr w14:paraId="513D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0162411A">
            <w:pPr>
              <w:spacing w:line="240" w:lineRule="exact"/>
              <w:jc w:val="center"/>
            </w:pPr>
            <w:r>
              <w:rPr>
                <w:rFonts w:hint="eastAsia"/>
              </w:rPr>
              <w:t>符</w:t>
            </w:r>
          </w:p>
          <w:p w14:paraId="3C436790">
            <w:pPr>
              <w:spacing w:line="240" w:lineRule="exact"/>
              <w:jc w:val="center"/>
            </w:pPr>
            <w:r>
              <w:rPr>
                <w:rFonts w:hint="eastAsia"/>
              </w:rPr>
              <w:t>合</w:t>
            </w:r>
          </w:p>
          <w:p w14:paraId="55ED09E1">
            <w:pPr>
              <w:spacing w:line="240" w:lineRule="exact"/>
              <w:jc w:val="center"/>
            </w:pPr>
            <w:r>
              <w:rPr>
                <w:rFonts w:hint="eastAsia"/>
              </w:rPr>
              <w:t>性</w:t>
            </w:r>
          </w:p>
          <w:p w14:paraId="6ACEA545">
            <w:pPr>
              <w:spacing w:line="240" w:lineRule="exact"/>
              <w:jc w:val="center"/>
            </w:pPr>
            <w:r>
              <w:rPr>
                <w:rFonts w:hint="eastAsia"/>
              </w:rPr>
              <w:t>审</w:t>
            </w:r>
          </w:p>
          <w:p w14:paraId="63CCE9BA">
            <w:pPr>
              <w:spacing w:line="240" w:lineRule="exact"/>
              <w:jc w:val="center"/>
            </w:pPr>
            <w:r>
              <w:rPr>
                <w:rFonts w:hint="eastAsia"/>
              </w:rPr>
              <w:t>查</w:t>
            </w:r>
          </w:p>
        </w:tc>
        <w:tc>
          <w:tcPr>
            <w:tcW w:w="4221" w:type="dxa"/>
            <w:vAlign w:val="center"/>
          </w:tcPr>
          <w:p w14:paraId="4AEC1BC9">
            <w:pPr>
              <w:spacing w:line="240" w:lineRule="exact"/>
            </w:pPr>
            <w:r>
              <w:t>1</w:t>
            </w:r>
            <w:r>
              <w:rPr>
                <w:rFonts w:hint="eastAsia"/>
              </w:rPr>
              <w:t>、投标函</w:t>
            </w:r>
          </w:p>
        </w:tc>
        <w:tc>
          <w:tcPr>
            <w:tcW w:w="1270" w:type="dxa"/>
            <w:vAlign w:val="center"/>
          </w:tcPr>
          <w:p w14:paraId="7B3C6F55">
            <w:pPr>
              <w:spacing w:line="240" w:lineRule="exact"/>
            </w:pPr>
            <w:r>
              <w:rPr>
                <w:rFonts w:hint="eastAsia"/>
              </w:rPr>
              <w:t>□通过</w:t>
            </w:r>
          </w:p>
          <w:p w14:paraId="5E364D23">
            <w:pPr>
              <w:spacing w:line="240" w:lineRule="exact"/>
            </w:pPr>
            <w:r>
              <w:rPr>
                <w:rFonts w:hint="eastAsia"/>
              </w:rPr>
              <w:t>□不通过</w:t>
            </w:r>
          </w:p>
        </w:tc>
        <w:tc>
          <w:tcPr>
            <w:tcW w:w="2611" w:type="dxa"/>
            <w:vAlign w:val="center"/>
          </w:tcPr>
          <w:p w14:paraId="703BE378">
            <w:pPr>
              <w:spacing w:line="240" w:lineRule="exact"/>
            </w:pPr>
            <w:r>
              <w:rPr>
                <w:rFonts w:hint="eastAsia"/>
              </w:rPr>
              <w:t>第（）页</w:t>
            </w:r>
          </w:p>
        </w:tc>
      </w:tr>
      <w:tr w14:paraId="23DD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06A23FD9">
            <w:pPr>
              <w:spacing w:line="240" w:lineRule="exact"/>
            </w:pPr>
          </w:p>
        </w:tc>
        <w:tc>
          <w:tcPr>
            <w:tcW w:w="4221" w:type="dxa"/>
            <w:vAlign w:val="center"/>
          </w:tcPr>
          <w:p w14:paraId="773E9CFA">
            <w:pPr>
              <w:spacing w:line="240" w:lineRule="exact"/>
            </w:pPr>
            <w:r>
              <w:rPr>
                <w:rFonts w:hint="eastAsia"/>
              </w:rPr>
              <w:t>2、投标文件完全满足采购文件的实质性条款（即标注</w:t>
            </w:r>
            <w:r>
              <w:rPr>
                <w:rFonts w:hint="eastAsia" w:ascii="宋体" w:hAnsi="宋体" w:cs="宋体"/>
                <w:lang w:val="zh-CN"/>
              </w:rPr>
              <w:t>★</w:t>
            </w:r>
            <w:r>
              <w:rPr>
                <w:rFonts w:hint="eastAsia"/>
              </w:rPr>
              <w:t>号条款）无负偏离的；</w:t>
            </w:r>
          </w:p>
        </w:tc>
        <w:tc>
          <w:tcPr>
            <w:tcW w:w="1270" w:type="dxa"/>
            <w:vAlign w:val="center"/>
          </w:tcPr>
          <w:p w14:paraId="7D72F5A7">
            <w:pPr>
              <w:spacing w:line="240" w:lineRule="exact"/>
            </w:pPr>
            <w:r>
              <w:rPr>
                <w:rFonts w:hint="eastAsia"/>
              </w:rPr>
              <w:t>□通过</w:t>
            </w:r>
          </w:p>
          <w:p w14:paraId="49262032">
            <w:pPr>
              <w:spacing w:line="240" w:lineRule="exact"/>
            </w:pPr>
            <w:r>
              <w:rPr>
                <w:rFonts w:hint="eastAsia"/>
              </w:rPr>
              <w:t>□不通过</w:t>
            </w:r>
          </w:p>
        </w:tc>
        <w:tc>
          <w:tcPr>
            <w:tcW w:w="2611" w:type="dxa"/>
            <w:vAlign w:val="center"/>
          </w:tcPr>
          <w:p w14:paraId="6A4CDF21">
            <w:pPr>
              <w:spacing w:line="240" w:lineRule="exact"/>
            </w:pPr>
            <w:r>
              <w:rPr>
                <w:rFonts w:hint="eastAsia"/>
              </w:rPr>
              <w:t>第（）页</w:t>
            </w:r>
          </w:p>
        </w:tc>
      </w:tr>
      <w:tr w14:paraId="4A43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08ADC22">
            <w:pPr>
              <w:spacing w:line="240" w:lineRule="exact"/>
            </w:pPr>
          </w:p>
        </w:tc>
        <w:tc>
          <w:tcPr>
            <w:tcW w:w="4221" w:type="dxa"/>
            <w:vAlign w:val="center"/>
          </w:tcPr>
          <w:p w14:paraId="2697D099">
            <w:pPr>
              <w:spacing w:line="240" w:lineRule="exact"/>
            </w:pPr>
            <w:r>
              <w:rPr>
                <w:rFonts w:hint="eastAsia"/>
              </w:rPr>
              <w:t>3、法定代表人证明书</w:t>
            </w:r>
            <w:r>
              <w:t>/</w:t>
            </w:r>
            <w:r>
              <w:rPr>
                <w:rFonts w:hint="eastAsia"/>
              </w:rPr>
              <w:t>法定代表人授权书。</w:t>
            </w:r>
          </w:p>
        </w:tc>
        <w:tc>
          <w:tcPr>
            <w:tcW w:w="1270" w:type="dxa"/>
            <w:vAlign w:val="center"/>
          </w:tcPr>
          <w:p w14:paraId="5C52080D">
            <w:pPr>
              <w:spacing w:line="240" w:lineRule="exact"/>
            </w:pPr>
            <w:r>
              <w:rPr>
                <w:rFonts w:hint="eastAsia"/>
              </w:rPr>
              <w:t>□通过</w:t>
            </w:r>
          </w:p>
          <w:p w14:paraId="6F10E1D0">
            <w:pPr>
              <w:spacing w:line="240" w:lineRule="exact"/>
            </w:pPr>
            <w:r>
              <w:rPr>
                <w:rFonts w:hint="eastAsia"/>
              </w:rPr>
              <w:t>□不通过</w:t>
            </w:r>
          </w:p>
        </w:tc>
        <w:tc>
          <w:tcPr>
            <w:tcW w:w="2611" w:type="dxa"/>
            <w:vAlign w:val="center"/>
          </w:tcPr>
          <w:p w14:paraId="34FEEBA9">
            <w:pPr>
              <w:spacing w:line="240" w:lineRule="exact"/>
            </w:pPr>
            <w:r>
              <w:rPr>
                <w:rFonts w:hint="eastAsia"/>
              </w:rPr>
              <w:t>第（）页</w:t>
            </w:r>
          </w:p>
        </w:tc>
      </w:tr>
      <w:tr w14:paraId="76C5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FBCCC0C">
            <w:pPr>
              <w:spacing w:line="240" w:lineRule="exact"/>
            </w:pPr>
          </w:p>
        </w:tc>
        <w:tc>
          <w:tcPr>
            <w:tcW w:w="4221" w:type="dxa"/>
            <w:vAlign w:val="center"/>
          </w:tcPr>
          <w:p w14:paraId="1A3A2AFD">
            <w:pPr>
              <w:spacing w:line="240" w:lineRule="exact"/>
            </w:pPr>
            <w:r>
              <w:rPr>
                <w:rFonts w:hint="eastAsia"/>
              </w:rPr>
              <w:t>4、没有其他未实质性投标文件要求的。</w:t>
            </w:r>
          </w:p>
        </w:tc>
        <w:tc>
          <w:tcPr>
            <w:tcW w:w="1270" w:type="dxa"/>
            <w:vAlign w:val="center"/>
          </w:tcPr>
          <w:p w14:paraId="5390502A">
            <w:pPr>
              <w:spacing w:line="240" w:lineRule="exact"/>
            </w:pPr>
            <w:r>
              <w:rPr>
                <w:rFonts w:hint="eastAsia"/>
              </w:rPr>
              <w:t>□通过</w:t>
            </w:r>
          </w:p>
          <w:p w14:paraId="6886A657">
            <w:pPr>
              <w:spacing w:line="240" w:lineRule="exact"/>
            </w:pPr>
            <w:r>
              <w:rPr>
                <w:rFonts w:hint="eastAsia"/>
              </w:rPr>
              <w:t>□不通过</w:t>
            </w:r>
          </w:p>
        </w:tc>
        <w:tc>
          <w:tcPr>
            <w:tcW w:w="2611" w:type="dxa"/>
            <w:vAlign w:val="center"/>
          </w:tcPr>
          <w:p w14:paraId="03611B7A">
            <w:pPr>
              <w:spacing w:line="240" w:lineRule="exact"/>
            </w:pPr>
            <w:r>
              <w:rPr>
                <w:rFonts w:hint="eastAsia"/>
              </w:rPr>
              <w:t>第（）页</w:t>
            </w:r>
          </w:p>
        </w:tc>
      </w:tr>
      <w:tr w14:paraId="4A1B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F3DF914">
            <w:pPr>
              <w:spacing w:line="240" w:lineRule="exact"/>
            </w:pPr>
          </w:p>
        </w:tc>
        <w:tc>
          <w:tcPr>
            <w:tcW w:w="4221" w:type="dxa"/>
            <w:vAlign w:val="center"/>
          </w:tcPr>
          <w:p w14:paraId="234C061A">
            <w:pPr>
              <w:spacing w:line="240" w:lineRule="exact"/>
            </w:pPr>
            <w:r>
              <w:rPr>
                <w:rFonts w:hint="eastAsia"/>
              </w:rPr>
              <w:t>5、投标文件没有采购文件中规定的其它无效投标条款的；</w:t>
            </w:r>
          </w:p>
        </w:tc>
        <w:tc>
          <w:tcPr>
            <w:tcW w:w="1270" w:type="dxa"/>
            <w:vAlign w:val="center"/>
          </w:tcPr>
          <w:p w14:paraId="16E9824C">
            <w:pPr>
              <w:spacing w:line="240" w:lineRule="exact"/>
            </w:pPr>
            <w:r>
              <w:rPr>
                <w:rFonts w:hint="eastAsia"/>
              </w:rPr>
              <w:t>□通过</w:t>
            </w:r>
          </w:p>
          <w:p w14:paraId="33818219">
            <w:pPr>
              <w:spacing w:line="240" w:lineRule="exact"/>
            </w:pPr>
            <w:r>
              <w:rPr>
                <w:rFonts w:hint="eastAsia"/>
              </w:rPr>
              <w:t>□不通过</w:t>
            </w:r>
          </w:p>
        </w:tc>
        <w:tc>
          <w:tcPr>
            <w:tcW w:w="2611" w:type="dxa"/>
            <w:vAlign w:val="center"/>
          </w:tcPr>
          <w:p w14:paraId="3C4D4E33">
            <w:pPr>
              <w:spacing w:line="240" w:lineRule="exact"/>
            </w:pPr>
            <w:r>
              <w:rPr>
                <w:rFonts w:hint="eastAsia"/>
              </w:rPr>
              <w:t>第（）页</w:t>
            </w:r>
          </w:p>
        </w:tc>
      </w:tr>
      <w:tr w14:paraId="5562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829DB3B">
            <w:pPr>
              <w:spacing w:line="240" w:lineRule="exact"/>
            </w:pPr>
          </w:p>
        </w:tc>
        <w:tc>
          <w:tcPr>
            <w:tcW w:w="4221" w:type="dxa"/>
            <w:vAlign w:val="center"/>
          </w:tcPr>
          <w:p w14:paraId="522423FB">
            <w:pPr>
              <w:spacing w:line="240" w:lineRule="exact"/>
            </w:pPr>
            <w:r>
              <w:rPr>
                <w:rFonts w:hint="eastAsia"/>
              </w:rPr>
              <w:t>6、按有关法律、法规、规章不属于投标无效的。</w:t>
            </w:r>
          </w:p>
        </w:tc>
        <w:tc>
          <w:tcPr>
            <w:tcW w:w="1270" w:type="dxa"/>
            <w:vAlign w:val="center"/>
          </w:tcPr>
          <w:p w14:paraId="67D75758">
            <w:pPr>
              <w:spacing w:line="240" w:lineRule="exact"/>
            </w:pPr>
            <w:r>
              <w:rPr>
                <w:rFonts w:hint="eastAsia"/>
              </w:rPr>
              <w:t>□通过</w:t>
            </w:r>
          </w:p>
          <w:p w14:paraId="45B8C046">
            <w:pPr>
              <w:spacing w:line="240" w:lineRule="exact"/>
            </w:pPr>
            <w:r>
              <w:rPr>
                <w:rFonts w:hint="eastAsia"/>
              </w:rPr>
              <w:t>□不通过</w:t>
            </w:r>
          </w:p>
        </w:tc>
        <w:tc>
          <w:tcPr>
            <w:tcW w:w="2611" w:type="dxa"/>
            <w:vAlign w:val="center"/>
          </w:tcPr>
          <w:p w14:paraId="7489C4E0">
            <w:pPr>
              <w:spacing w:line="240" w:lineRule="exact"/>
            </w:pPr>
            <w:r>
              <w:rPr>
                <w:rFonts w:hint="eastAsia"/>
              </w:rPr>
              <w:t>第（）页</w:t>
            </w:r>
          </w:p>
        </w:tc>
      </w:tr>
      <w:tr w14:paraId="7E1C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2E6A43BC">
            <w:pPr>
              <w:spacing w:line="240" w:lineRule="exact"/>
            </w:pPr>
          </w:p>
        </w:tc>
        <w:tc>
          <w:tcPr>
            <w:tcW w:w="4221" w:type="dxa"/>
            <w:vAlign w:val="center"/>
          </w:tcPr>
          <w:p w14:paraId="3FDB6C84">
            <w:pPr>
              <w:spacing w:line="240" w:lineRule="exact"/>
            </w:pPr>
            <w:r>
              <w:rPr>
                <w:rFonts w:hint="eastAsia" w:ascii="宋体" w:hAnsi="宋体" w:cs="宋体"/>
              </w:rPr>
              <w:t>7、按照采购文件要求提供其他证明材料。</w:t>
            </w:r>
          </w:p>
        </w:tc>
        <w:tc>
          <w:tcPr>
            <w:tcW w:w="1270" w:type="dxa"/>
            <w:vAlign w:val="center"/>
          </w:tcPr>
          <w:p w14:paraId="74E50AA3">
            <w:pPr>
              <w:spacing w:line="240" w:lineRule="exact"/>
              <w:rPr>
                <w:rFonts w:ascii="宋体" w:cs="宋体"/>
              </w:rPr>
            </w:pPr>
            <w:r>
              <w:rPr>
                <w:rFonts w:hint="eastAsia" w:ascii="宋体" w:hAnsi="宋体" w:cs="宋体"/>
              </w:rPr>
              <w:t>□通过</w:t>
            </w:r>
          </w:p>
          <w:p w14:paraId="6D92F024">
            <w:pPr>
              <w:spacing w:line="240" w:lineRule="exact"/>
            </w:pPr>
            <w:r>
              <w:rPr>
                <w:rFonts w:hint="eastAsia" w:ascii="宋体" w:hAnsi="宋体" w:cs="宋体"/>
              </w:rPr>
              <w:t>□不通过</w:t>
            </w:r>
          </w:p>
        </w:tc>
        <w:tc>
          <w:tcPr>
            <w:tcW w:w="2611" w:type="dxa"/>
            <w:vAlign w:val="center"/>
          </w:tcPr>
          <w:p w14:paraId="286D99FA">
            <w:pPr>
              <w:spacing w:line="240" w:lineRule="exact"/>
            </w:pPr>
            <w:r>
              <w:rPr>
                <w:rFonts w:hint="eastAsia" w:ascii="宋体" w:hAnsi="宋体" w:cs="宋体"/>
              </w:rPr>
              <w:t>第（）页</w:t>
            </w:r>
          </w:p>
        </w:tc>
      </w:tr>
    </w:tbl>
    <w:p w14:paraId="712DF5C3">
      <w:pPr>
        <w:adjustRightInd w:val="0"/>
        <w:snapToGrid w:val="0"/>
        <w:spacing w:line="440" w:lineRule="exact"/>
        <w:rPr>
          <w:rFonts w:ascii="宋体"/>
          <w:b/>
          <w:szCs w:val="21"/>
        </w:rPr>
      </w:pPr>
      <w:r>
        <w:rPr>
          <w:rFonts w:hint="eastAsia" w:ascii="宋体" w:hAnsi="宋体"/>
          <w:b/>
          <w:szCs w:val="21"/>
        </w:rPr>
        <w:t>备注：符合性自查表将作为投标人有效性审查的重要内容之一，投标人必须严格按照其内容及序列要求在投标文件中对应如实提供！</w:t>
      </w:r>
    </w:p>
    <w:p w14:paraId="42953953"/>
    <w:p w14:paraId="68C26838"/>
    <w:p w14:paraId="01A06F00"/>
    <w:p w14:paraId="2477776C">
      <w:r>
        <w:br w:type="page"/>
      </w:r>
      <w:r>
        <w:rPr>
          <w:rFonts w:hint="eastAsia"/>
        </w:rPr>
        <w:t>格式一：投标人响应表</w:t>
      </w:r>
    </w:p>
    <w:p w14:paraId="4DBB6C41"/>
    <w:p w14:paraId="4070D62A">
      <w:pPr>
        <w:jc w:val="center"/>
        <w:rPr>
          <w:b/>
          <w:sz w:val="32"/>
          <w:szCs w:val="32"/>
        </w:rPr>
      </w:pPr>
      <w:r>
        <w:rPr>
          <w:rFonts w:hint="eastAsia"/>
          <w:b/>
          <w:sz w:val="32"/>
          <w:szCs w:val="32"/>
        </w:rPr>
        <w:t>投标人响应表</w:t>
      </w:r>
    </w:p>
    <w:p w14:paraId="60DE1D90"/>
    <w:p w14:paraId="6C645128">
      <w:r>
        <w:rPr>
          <w:rFonts w:hint="eastAsia" w:ascii="宋体" w:hAnsi="宋体" w:cs="宋体"/>
          <w:szCs w:val="21"/>
        </w:rPr>
        <w:t>项目编号：</w:t>
      </w:r>
      <w:r>
        <w:rPr>
          <w:rFonts w:hint="eastAsia" w:ascii="宋体" w:hAnsi="宋体" w:cs="宋体"/>
          <w:bCs/>
          <w:szCs w:val="21"/>
        </w:rPr>
        <w:t>项目名称</w:t>
      </w:r>
      <w:r>
        <w:rPr>
          <w:rFonts w:hint="eastAsia" w:ascii="宋体" w:hAnsi="宋体" w:cs="宋体"/>
          <w:szCs w:val="21"/>
        </w:rPr>
        <w:t>：</w:t>
      </w:r>
    </w:p>
    <w:tbl>
      <w:tblPr>
        <w:tblStyle w:val="28"/>
        <w:tblW w:w="8804" w:type="dxa"/>
        <w:tblInd w:w="93" w:type="dxa"/>
        <w:tblLayout w:type="fixed"/>
        <w:tblCellMar>
          <w:top w:w="0" w:type="dxa"/>
          <w:left w:w="108" w:type="dxa"/>
          <w:bottom w:w="0" w:type="dxa"/>
          <w:right w:w="108" w:type="dxa"/>
        </w:tblCellMar>
      </w:tblPr>
      <w:tblGrid>
        <w:gridCol w:w="724"/>
        <w:gridCol w:w="6237"/>
        <w:gridCol w:w="1843"/>
      </w:tblGrid>
      <w:tr w14:paraId="40F2517A">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69D8599C">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08B44C4A">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4ABF01B1">
            <w:pPr>
              <w:jc w:val="center"/>
            </w:pPr>
            <w:r>
              <w:rPr>
                <w:rFonts w:hint="eastAsia"/>
              </w:rPr>
              <w:t>证明文件</w:t>
            </w:r>
          </w:p>
        </w:tc>
      </w:tr>
      <w:tr w14:paraId="54AB0DBF">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48DB2542"/>
        </w:tc>
        <w:tc>
          <w:tcPr>
            <w:tcW w:w="6237" w:type="dxa"/>
            <w:tcBorders>
              <w:top w:val="nil"/>
              <w:left w:val="single" w:color="auto" w:sz="4" w:space="0"/>
              <w:bottom w:val="single" w:color="auto" w:sz="4" w:space="0"/>
              <w:right w:val="single" w:color="auto" w:sz="4" w:space="0"/>
            </w:tcBorders>
            <w:vAlign w:val="center"/>
          </w:tcPr>
          <w:p w14:paraId="05D13D30"/>
        </w:tc>
        <w:tc>
          <w:tcPr>
            <w:tcW w:w="1843" w:type="dxa"/>
            <w:tcBorders>
              <w:top w:val="nil"/>
              <w:left w:val="nil"/>
              <w:bottom w:val="single" w:color="auto" w:sz="4" w:space="0"/>
              <w:right w:val="single" w:color="auto" w:sz="4" w:space="0"/>
            </w:tcBorders>
            <w:vAlign w:val="center"/>
          </w:tcPr>
          <w:p w14:paraId="44270BE0">
            <w:pPr>
              <w:jc w:val="center"/>
            </w:pPr>
            <w:r>
              <w:rPr>
                <w:rFonts w:hint="eastAsia"/>
              </w:rPr>
              <w:t>见（）页</w:t>
            </w:r>
          </w:p>
        </w:tc>
      </w:tr>
      <w:tr w14:paraId="312BA65A">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2A6C28E4"/>
        </w:tc>
        <w:tc>
          <w:tcPr>
            <w:tcW w:w="6237" w:type="dxa"/>
            <w:tcBorders>
              <w:top w:val="nil"/>
              <w:left w:val="single" w:color="auto" w:sz="4" w:space="0"/>
              <w:bottom w:val="single" w:color="auto" w:sz="4" w:space="0"/>
              <w:right w:val="single" w:color="auto" w:sz="4" w:space="0"/>
            </w:tcBorders>
            <w:vAlign w:val="center"/>
          </w:tcPr>
          <w:p w14:paraId="5A449612"/>
        </w:tc>
        <w:tc>
          <w:tcPr>
            <w:tcW w:w="1843" w:type="dxa"/>
            <w:tcBorders>
              <w:top w:val="nil"/>
              <w:left w:val="nil"/>
              <w:bottom w:val="single" w:color="auto" w:sz="4" w:space="0"/>
              <w:right w:val="single" w:color="auto" w:sz="4" w:space="0"/>
            </w:tcBorders>
            <w:vAlign w:val="center"/>
          </w:tcPr>
          <w:p w14:paraId="2D93D801">
            <w:pPr>
              <w:jc w:val="center"/>
            </w:pPr>
            <w:r>
              <w:rPr>
                <w:rFonts w:hint="eastAsia"/>
              </w:rPr>
              <w:t>见（）页</w:t>
            </w:r>
          </w:p>
        </w:tc>
      </w:tr>
      <w:tr w14:paraId="0BB8895C">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484AA577"/>
        </w:tc>
        <w:tc>
          <w:tcPr>
            <w:tcW w:w="6237" w:type="dxa"/>
            <w:tcBorders>
              <w:top w:val="nil"/>
              <w:left w:val="single" w:color="auto" w:sz="4" w:space="0"/>
              <w:bottom w:val="single" w:color="auto" w:sz="4" w:space="0"/>
              <w:right w:val="single" w:color="auto" w:sz="4" w:space="0"/>
            </w:tcBorders>
            <w:vAlign w:val="center"/>
          </w:tcPr>
          <w:p w14:paraId="7E84E217"/>
        </w:tc>
        <w:tc>
          <w:tcPr>
            <w:tcW w:w="1843" w:type="dxa"/>
            <w:tcBorders>
              <w:top w:val="nil"/>
              <w:left w:val="nil"/>
              <w:bottom w:val="single" w:color="auto" w:sz="4" w:space="0"/>
              <w:right w:val="single" w:color="auto" w:sz="4" w:space="0"/>
            </w:tcBorders>
            <w:vAlign w:val="center"/>
          </w:tcPr>
          <w:p w14:paraId="329DA5B3">
            <w:pPr>
              <w:jc w:val="center"/>
            </w:pPr>
            <w:r>
              <w:rPr>
                <w:rFonts w:hint="eastAsia"/>
              </w:rPr>
              <w:t>见（）页</w:t>
            </w:r>
          </w:p>
        </w:tc>
      </w:tr>
      <w:tr w14:paraId="5EA58345">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5DECC0D6"/>
        </w:tc>
        <w:tc>
          <w:tcPr>
            <w:tcW w:w="6237" w:type="dxa"/>
            <w:tcBorders>
              <w:top w:val="nil"/>
              <w:left w:val="single" w:color="auto" w:sz="4" w:space="0"/>
              <w:bottom w:val="single" w:color="auto" w:sz="4" w:space="0"/>
              <w:right w:val="single" w:color="auto" w:sz="4" w:space="0"/>
            </w:tcBorders>
            <w:vAlign w:val="center"/>
          </w:tcPr>
          <w:p w14:paraId="4D7F1CC2"/>
        </w:tc>
        <w:tc>
          <w:tcPr>
            <w:tcW w:w="1843" w:type="dxa"/>
            <w:tcBorders>
              <w:top w:val="nil"/>
              <w:left w:val="nil"/>
              <w:bottom w:val="single" w:color="auto" w:sz="4" w:space="0"/>
              <w:right w:val="single" w:color="auto" w:sz="4" w:space="0"/>
            </w:tcBorders>
            <w:vAlign w:val="center"/>
          </w:tcPr>
          <w:p w14:paraId="2132612C">
            <w:pPr>
              <w:jc w:val="center"/>
            </w:pPr>
            <w:r>
              <w:rPr>
                <w:rFonts w:hint="eastAsia"/>
              </w:rPr>
              <w:t>见（）页</w:t>
            </w:r>
          </w:p>
        </w:tc>
      </w:tr>
      <w:tr w14:paraId="797A8517">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4598EAAE"/>
        </w:tc>
        <w:tc>
          <w:tcPr>
            <w:tcW w:w="6237" w:type="dxa"/>
            <w:tcBorders>
              <w:top w:val="single" w:color="auto" w:sz="4" w:space="0"/>
              <w:left w:val="single" w:color="auto" w:sz="4" w:space="0"/>
              <w:bottom w:val="single" w:color="auto" w:sz="4" w:space="0"/>
              <w:right w:val="single" w:color="auto" w:sz="4" w:space="0"/>
            </w:tcBorders>
            <w:vAlign w:val="center"/>
          </w:tcPr>
          <w:p w14:paraId="459F996C"/>
        </w:tc>
        <w:tc>
          <w:tcPr>
            <w:tcW w:w="1843" w:type="dxa"/>
            <w:tcBorders>
              <w:top w:val="single" w:color="auto" w:sz="4" w:space="0"/>
              <w:left w:val="nil"/>
              <w:bottom w:val="single" w:color="auto" w:sz="4" w:space="0"/>
              <w:right w:val="single" w:color="auto" w:sz="4" w:space="0"/>
            </w:tcBorders>
            <w:vAlign w:val="center"/>
          </w:tcPr>
          <w:p w14:paraId="5D3A8F88">
            <w:pPr>
              <w:jc w:val="center"/>
            </w:pPr>
            <w:r>
              <w:rPr>
                <w:rFonts w:hint="eastAsia"/>
              </w:rPr>
              <w:t>见（）页</w:t>
            </w:r>
          </w:p>
        </w:tc>
      </w:tr>
      <w:tr w14:paraId="6F695BF5">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63F6C240"/>
        </w:tc>
        <w:tc>
          <w:tcPr>
            <w:tcW w:w="6237" w:type="dxa"/>
            <w:tcBorders>
              <w:top w:val="single" w:color="auto" w:sz="4" w:space="0"/>
              <w:left w:val="single" w:color="auto" w:sz="4" w:space="0"/>
              <w:bottom w:val="single" w:color="auto" w:sz="4" w:space="0"/>
              <w:right w:val="single" w:color="auto" w:sz="4" w:space="0"/>
            </w:tcBorders>
            <w:vAlign w:val="center"/>
          </w:tcPr>
          <w:p w14:paraId="1083F5E9"/>
        </w:tc>
        <w:tc>
          <w:tcPr>
            <w:tcW w:w="1843" w:type="dxa"/>
            <w:tcBorders>
              <w:top w:val="single" w:color="auto" w:sz="4" w:space="0"/>
              <w:left w:val="nil"/>
              <w:bottom w:val="single" w:color="auto" w:sz="4" w:space="0"/>
              <w:right w:val="single" w:color="auto" w:sz="4" w:space="0"/>
            </w:tcBorders>
            <w:vAlign w:val="center"/>
          </w:tcPr>
          <w:p w14:paraId="2DCD070C">
            <w:pPr>
              <w:jc w:val="center"/>
            </w:pPr>
            <w:r>
              <w:rPr>
                <w:rFonts w:hint="eastAsia"/>
              </w:rPr>
              <w:t>见（）页</w:t>
            </w:r>
          </w:p>
        </w:tc>
      </w:tr>
      <w:tr w14:paraId="5E586E60">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945276B"/>
        </w:tc>
        <w:tc>
          <w:tcPr>
            <w:tcW w:w="6237" w:type="dxa"/>
            <w:tcBorders>
              <w:top w:val="single" w:color="auto" w:sz="4" w:space="0"/>
              <w:left w:val="single" w:color="auto" w:sz="4" w:space="0"/>
              <w:bottom w:val="single" w:color="auto" w:sz="4" w:space="0"/>
              <w:right w:val="single" w:color="auto" w:sz="4" w:space="0"/>
            </w:tcBorders>
            <w:vAlign w:val="center"/>
          </w:tcPr>
          <w:p w14:paraId="74D6807F"/>
        </w:tc>
        <w:tc>
          <w:tcPr>
            <w:tcW w:w="1843" w:type="dxa"/>
            <w:tcBorders>
              <w:top w:val="single" w:color="auto" w:sz="4" w:space="0"/>
              <w:left w:val="nil"/>
              <w:bottom w:val="single" w:color="auto" w:sz="4" w:space="0"/>
              <w:right w:val="single" w:color="auto" w:sz="4" w:space="0"/>
            </w:tcBorders>
            <w:vAlign w:val="center"/>
          </w:tcPr>
          <w:p w14:paraId="5D9C062B">
            <w:pPr>
              <w:jc w:val="center"/>
            </w:pPr>
            <w:r>
              <w:rPr>
                <w:rFonts w:hint="eastAsia"/>
              </w:rPr>
              <w:t>见（）页</w:t>
            </w:r>
          </w:p>
        </w:tc>
      </w:tr>
      <w:tr w14:paraId="26EF5D3A">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9866EB8"/>
        </w:tc>
        <w:tc>
          <w:tcPr>
            <w:tcW w:w="6237" w:type="dxa"/>
            <w:tcBorders>
              <w:top w:val="single" w:color="auto" w:sz="4" w:space="0"/>
              <w:left w:val="single" w:color="auto" w:sz="4" w:space="0"/>
              <w:bottom w:val="single" w:color="auto" w:sz="4" w:space="0"/>
              <w:right w:val="single" w:color="auto" w:sz="4" w:space="0"/>
            </w:tcBorders>
            <w:vAlign w:val="center"/>
          </w:tcPr>
          <w:p w14:paraId="782CC1A7"/>
        </w:tc>
        <w:tc>
          <w:tcPr>
            <w:tcW w:w="1843" w:type="dxa"/>
            <w:tcBorders>
              <w:top w:val="single" w:color="auto" w:sz="4" w:space="0"/>
              <w:left w:val="nil"/>
              <w:bottom w:val="single" w:color="auto" w:sz="4" w:space="0"/>
              <w:right w:val="single" w:color="auto" w:sz="4" w:space="0"/>
            </w:tcBorders>
            <w:vAlign w:val="center"/>
          </w:tcPr>
          <w:p w14:paraId="0F859F74">
            <w:pPr>
              <w:jc w:val="center"/>
            </w:pPr>
            <w:r>
              <w:rPr>
                <w:rFonts w:hint="eastAsia"/>
              </w:rPr>
              <w:t>见（）页</w:t>
            </w:r>
          </w:p>
        </w:tc>
      </w:tr>
      <w:tr w14:paraId="0B36FD1D">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0BDA6207"/>
        </w:tc>
        <w:tc>
          <w:tcPr>
            <w:tcW w:w="6237" w:type="dxa"/>
            <w:tcBorders>
              <w:top w:val="single" w:color="auto" w:sz="4" w:space="0"/>
              <w:left w:val="single" w:color="auto" w:sz="4" w:space="0"/>
              <w:bottom w:val="single" w:color="auto" w:sz="4" w:space="0"/>
              <w:right w:val="single" w:color="auto" w:sz="4" w:space="0"/>
            </w:tcBorders>
            <w:vAlign w:val="center"/>
          </w:tcPr>
          <w:p w14:paraId="6646EE12"/>
        </w:tc>
        <w:tc>
          <w:tcPr>
            <w:tcW w:w="1843" w:type="dxa"/>
            <w:tcBorders>
              <w:top w:val="single" w:color="auto" w:sz="4" w:space="0"/>
              <w:left w:val="nil"/>
              <w:bottom w:val="single" w:color="auto" w:sz="4" w:space="0"/>
              <w:right w:val="single" w:color="auto" w:sz="4" w:space="0"/>
            </w:tcBorders>
            <w:vAlign w:val="center"/>
          </w:tcPr>
          <w:p w14:paraId="44A8841D">
            <w:pPr>
              <w:jc w:val="center"/>
            </w:pPr>
            <w:r>
              <w:rPr>
                <w:rFonts w:hint="eastAsia"/>
              </w:rPr>
              <w:t>见（）页</w:t>
            </w:r>
          </w:p>
        </w:tc>
      </w:tr>
      <w:tr w14:paraId="7793A560">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8C45DB7"/>
        </w:tc>
        <w:tc>
          <w:tcPr>
            <w:tcW w:w="6237" w:type="dxa"/>
            <w:tcBorders>
              <w:top w:val="single" w:color="auto" w:sz="4" w:space="0"/>
              <w:left w:val="single" w:color="auto" w:sz="4" w:space="0"/>
              <w:bottom w:val="single" w:color="auto" w:sz="4" w:space="0"/>
              <w:right w:val="single" w:color="auto" w:sz="4" w:space="0"/>
            </w:tcBorders>
            <w:vAlign w:val="center"/>
          </w:tcPr>
          <w:p w14:paraId="5115F9FE"/>
        </w:tc>
        <w:tc>
          <w:tcPr>
            <w:tcW w:w="1843" w:type="dxa"/>
            <w:tcBorders>
              <w:top w:val="single" w:color="auto" w:sz="4" w:space="0"/>
              <w:left w:val="nil"/>
              <w:bottom w:val="single" w:color="auto" w:sz="4" w:space="0"/>
              <w:right w:val="single" w:color="auto" w:sz="4" w:space="0"/>
            </w:tcBorders>
            <w:vAlign w:val="center"/>
          </w:tcPr>
          <w:p w14:paraId="1A9E38E5">
            <w:pPr>
              <w:jc w:val="center"/>
            </w:pPr>
            <w:r>
              <w:rPr>
                <w:rFonts w:hint="eastAsia"/>
              </w:rPr>
              <w:t>见（）页</w:t>
            </w:r>
          </w:p>
        </w:tc>
      </w:tr>
      <w:tr w14:paraId="3F1A2139">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4FEB46FA"/>
        </w:tc>
        <w:tc>
          <w:tcPr>
            <w:tcW w:w="6237" w:type="dxa"/>
            <w:tcBorders>
              <w:top w:val="single" w:color="auto" w:sz="4" w:space="0"/>
              <w:left w:val="single" w:color="auto" w:sz="4" w:space="0"/>
              <w:bottom w:val="single" w:color="auto" w:sz="4" w:space="0"/>
              <w:right w:val="single" w:color="auto" w:sz="4" w:space="0"/>
            </w:tcBorders>
            <w:vAlign w:val="center"/>
          </w:tcPr>
          <w:p w14:paraId="17C076E1"/>
        </w:tc>
        <w:tc>
          <w:tcPr>
            <w:tcW w:w="1843" w:type="dxa"/>
            <w:tcBorders>
              <w:top w:val="single" w:color="auto" w:sz="4" w:space="0"/>
              <w:left w:val="nil"/>
              <w:bottom w:val="single" w:color="auto" w:sz="4" w:space="0"/>
              <w:right w:val="single" w:color="auto" w:sz="4" w:space="0"/>
            </w:tcBorders>
            <w:vAlign w:val="center"/>
          </w:tcPr>
          <w:p w14:paraId="62FC9FC6">
            <w:pPr>
              <w:jc w:val="center"/>
            </w:pPr>
            <w:r>
              <w:rPr>
                <w:rFonts w:hint="eastAsia"/>
              </w:rPr>
              <w:t>见（）页</w:t>
            </w:r>
          </w:p>
        </w:tc>
      </w:tr>
      <w:tr w14:paraId="0B0F6687">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29162F35"/>
        </w:tc>
        <w:tc>
          <w:tcPr>
            <w:tcW w:w="6237" w:type="dxa"/>
            <w:tcBorders>
              <w:top w:val="single" w:color="auto" w:sz="4" w:space="0"/>
              <w:left w:val="single" w:color="auto" w:sz="4" w:space="0"/>
              <w:bottom w:val="single" w:color="auto" w:sz="4" w:space="0"/>
              <w:right w:val="single" w:color="auto" w:sz="4" w:space="0"/>
            </w:tcBorders>
            <w:vAlign w:val="center"/>
          </w:tcPr>
          <w:p w14:paraId="3A06F3A1"/>
        </w:tc>
        <w:tc>
          <w:tcPr>
            <w:tcW w:w="1843" w:type="dxa"/>
            <w:tcBorders>
              <w:top w:val="single" w:color="auto" w:sz="4" w:space="0"/>
              <w:left w:val="nil"/>
              <w:bottom w:val="single" w:color="auto" w:sz="4" w:space="0"/>
              <w:right w:val="single" w:color="auto" w:sz="4" w:space="0"/>
            </w:tcBorders>
            <w:vAlign w:val="center"/>
          </w:tcPr>
          <w:p w14:paraId="772CA930">
            <w:pPr>
              <w:jc w:val="center"/>
            </w:pPr>
            <w:r>
              <w:rPr>
                <w:rFonts w:hint="eastAsia"/>
              </w:rPr>
              <w:t>见（）页</w:t>
            </w:r>
          </w:p>
        </w:tc>
      </w:tr>
    </w:tbl>
    <w:p w14:paraId="69B2DDFE">
      <w:pPr>
        <w:rPr>
          <w:b/>
        </w:rPr>
      </w:pPr>
      <w:r>
        <w:rPr>
          <w:rFonts w:hint="eastAsia"/>
          <w:b/>
        </w:rPr>
        <w:t>根据评分标准逐条填写。</w:t>
      </w:r>
    </w:p>
    <w:p w14:paraId="1817C581"/>
    <w:p w14:paraId="1E13E4D3">
      <w:pPr>
        <w:ind w:firstLine="6090" w:firstLineChars="2900"/>
      </w:pPr>
      <w:r>
        <w:rPr>
          <w:rFonts w:hint="eastAsia"/>
        </w:rPr>
        <w:t>投标人名称：</w:t>
      </w:r>
    </w:p>
    <w:p w14:paraId="41FD3CCC"/>
    <w:p w14:paraId="1ECECE74">
      <w:pPr>
        <w:ind w:firstLine="6090" w:firstLineChars="2900"/>
      </w:pPr>
      <w:r>
        <w:rPr>
          <w:rFonts w:hint="eastAsia"/>
        </w:rPr>
        <w:t>年月日</w:t>
      </w:r>
    </w:p>
    <w:p w14:paraId="6FA7F8A1"/>
    <w:p w14:paraId="1F0510D6"/>
    <w:p w14:paraId="7A5A16C3">
      <w:pPr>
        <w:snapToGrid w:val="0"/>
        <w:spacing w:before="50" w:after="50"/>
        <w:rPr>
          <w:rFonts w:ascii="宋体" w:cs="宋体"/>
          <w:szCs w:val="21"/>
        </w:rPr>
      </w:pPr>
      <w:r>
        <w:br w:type="page"/>
      </w:r>
      <w:r>
        <w:rPr>
          <w:rFonts w:hint="eastAsia" w:ascii="宋体" w:hAnsi="宋体" w:cs="宋体"/>
          <w:szCs w:val="21"/>
        </w:rPr>
        <w:t>格式二：投标函</w:t>
      </w:r>
      <w:bookmarkEnd w:id="100"/>
      <w:bookmarkEnd w:id="101"/>
      <w:bookmarkEnd w:id="102"/>
      <w:bookmarkEnd w:id="103"/>
    </w:p>
    <w:p w14:paraId="7C1645F2">
      <w:pPr>
        <w:snapToGrid w:val="0"/>
        <w:spacing w:line="400" w:lineRule="exact"/>
        <w:jc w:val="center"/>
        <w:rPr>
          <w:rFonts w:ascii="宋体" w:cs="宋体"/>
          <w:b/>
          <w:bCs/>
          <w:sz w:val="28"/>
          <w:szCs w:val="28"/>
        </w:rPr>
      </w:pPr>
      <w:r>
        <w:rPr>
          <w:rFonts w:hint="eastAsia" w:ascii="宋体" w:hAnsi="宋体" w:cs="宋体"/>
          <w:b/>
          <w:bCs/>
          <w:sz w:val="28"/>
          <w:szCs w:val="28"/>
        </w:rPr>
        <w:t>投标函</w:t>
      </w:r>
    </w:p>
    <w:p w14:paraId="634ADE38">
      <w:pPr>
        <w:snapToGrid w:val="0"/>
        <w:spacing w:line="400" w:lineRule="exact"/>
        <w:jc w:val="center"/>
        <w:rPr>
          <w:rFonts w:ascii="宋体" w:cs="宋体"/>
          <w:szCs w:val="21"/>
        </w:rPr>
      </w:pPr>
    </w:p>
    <w:p w14:paraId="2CFE6C1B">
      <w:pPr>
        <w:snapToGrid w:val="0"/>
        <w:spacing w:line="400" w:lineRule="exact"/>
        <w:rPr>
          <w:rFonts w:ascii="宋体" w:cs="宋体"/>
          <w:szCs w:val="21"/>
        </w:rPr>
      </w:pPr>
      <w:r>
        <w:rPr>
          <w:rFonts w:hint="eastAsia" w:ascii="宋体" w:hAnsi="宋体" w:cs="宋体"/>
          <w:szCs w:val="21"/>
        </w:rPr>
        <w:t>致</w:t>
      </w:r>
      <w:r>
        <w:rPr>
          <w:rFonts w:hint="eastAsia" w:ascii="宋体" w:hAnsi="宋体" w:cs="宋体"/>
          <w:szCs w:val="21"/>
          <w:u w:val="single"/>
        </w:rPr>
        <w:t>中冠工程管理咨询有限公司</w:t>
      </w:r>
      <w:r>
        <w:rPr>
          <w:rFonts w:hint="eastAsia" w:ascii="宋体" w:hAnsi="宋体" w:cs="宋体"/>
          <w:szCs w:val="21"/>
        </w:rPr>
        <w:t>：</w:t>
      </w:r>
    </w:p>
    <w:p w14:paraId="310C470A">
      <w:pPr>
        <w:snapToGrid w:val="0"/>
        <w:spacing w:line="400" w:lineRule="exact"/>
        <w:ind w:firstLine="420" w:firstLineChars="200"/>
        <w:rPr>
          <w:rFonts w:ascii="宋体" w:cs="宋体"/>
          <w:szCs w:val="21"/>
        </w:rPr>
      </w:pPr>
      <w:r>
        <w:rPr>
          <w:rFonts w:hint="eastAsia" w:ascii="宋体" w:hAnsi="宋体" w:cs="宋体"/>
          <w:szCs w:val="21"/>
        </w:rPr>
        <w:t>根据贵方项目的招标公告（招标编号：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（全名）   </w:t>
      </w:r>
      <w:r>
        <w:rPr>
          <w:rFonts w:hint="eastAsia" w:ascii="宋体" w:hAnsi="宋体" w:cs="宋体"/>
          <w:szCs w:val="21"/>
        </w:rPr>
        <w:t>经正式授权并代表投标人</w:t>
      </w:r>
      <w:r>
        <w:rPr>
          <w:rFonts w:hint="eastAsia" w:ascii="宋体" w:hAnsi="宋体" w:cs="宋体"/>
          <w:szCs w:val="21"/>
          <w:u w:val="single"/>
        </w:rPr>
        <w:t xml:space="preserve">                  </w:t>
      </w:r>
      <w:r>
        <w:rPr>
          <w:rFonts w:hint="eastAsia" w:ascii="宋体" w:hAnsi="宋体" w:cs="宋体"/>
          <w:szCs w:val="21"/>
        </w:rPr>
        <w:t>（投标人名称）提交电子投标文件。</w:t>
      </w:r>
    </w:p>
    <w:p w14:paraId="23500C81">
      <w:pPr>
        <w:snapToGrid w:val="0"/>
        <w:spacing w:line="4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．据此函，签字代表宣布并承诺如下：</w:t>
      </w:r>
    </w:p>
    <w:p w14:paraId="168316E8">
      <w:pPr>
        <w:snapToGrid w:val="0"/>
        <w:spacing w:line="400" w:lineRule="exact"/>
        <w:ind w:firstLine="420" w:firstLineChars="200"/>
        <w:rPr>
          <w:rFonts w:ascii="宋体" w:cs="宋体"/>
          <w:szCs w:val="21"/>
        </w:rPr>
      </w:pPr>
      <w:r>
        <w:rPr>
          <w:rFonts w:hint="eastAsia" w:ascii="宋体" w:hAnsi="宋体" w:cs="宋体"/>
          <w:szCs w:val="21"/>
        </w:rPr>
        <w:t>我方对招标项目愿以承诺的投标总价承担招标文件规定全部内容的服务。</w:t>
      </w:r>
    </w:p>
    <w:p w14:paraId="3AEBBABA">
      <w:pPr>
        <w:snapToGrid w:val="0"/>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本报价已经包含了所提供服务应纳的税金及招标文件规定的报价方式应包含的其它费用。</w:t>
      </w:r>
    </w:p>
    <w:p w14:paraId="0AC3FC1A">
      <w:pPr>
        <w:snapToGrid w:val="0"/>
        <w:spacing w:line="400" w:lineRule="exact"/>
        <w:ind w:firstLine="420" w:firstLineChars="200"/>
        <w:rPr>
          <w:rFonts w:ascii="宋体" w:cs="宋体"/>
          <w:szCs w:val="21"/>
        </w:rPr>
      </w:pPr>
      <w:r>
        <w:rPr>
          <w:rFonts w:hint="eastAsia" w:ascii="宋体" w:hAnsi="宋体" w:cs="宋体"/>
          <w:szCs w:val="21"/>
        </w:rPr>
        <w:t>本报价在投标有效期内固定不变，并在合同有效期内不受利率波动的影响。</w:t>
      </w:r>
    </w:p>
    <w:p w14:paraId="571BD9C8">
      <w:pPr>
        <w:snapToGrid w:val="0"/>
        <w:spacing w:line="400" w:lineRule="exact"/>
        <w:ind w:firstLine="420" w:firstLineChars="200"/>
        <w:rPr>
          <w:rFonts w:ascii="宋体" w:cs="宋体"/>
          <w:szCs w:val="21"/>
        </w:rPr>
      </w:pPr>
      <w:r>
        <w:rPr>
          <w:rFonts w:hint="eastAsia" w:ascii="宋体" w:hAnsi="宋体" w:cs="宋体"/>
          <w:szCs w:val="21"/>
        </w:rPr>
        <w:t>本投标自开标之日起天内有效。</w:t>
      </w:r>
    </w:p>
    <w:p w14:paraId="3A90FA5B">
      <w:pPr>
        <w:snapToGrid w:val="0"/>
        <w:spacing w:line="400" w:lineRule="exact"/>
        <w:ind w:firstLine="420" w:firstLineChars="200"/>
        <w:rPr>
          <w:rFonts w:ascii="宋体" w:cs="宋体"/>
          <w:szCs w:val="21"/>
        </w:rPr>
      </w:pPr>
      <w:r>
        <w:rPr>
          <w:rFonts w:hint="eastAsia" w:ascii="宋体" w:hAnsi="宋体" w:cs="宋体"/>
          <w:szCs w:val="21"/>
        </w:rPr>
        <w:t>我们已详细审查全部招标文件及有关的澄清</w:t>
      </w:r>
      <w:r>
        <w:rPr>
          <w:rFonts w:ascii="宋体" w:hAnsi="宋体" w:cs="宋体"/>
          <w:szCs w:val="21"/>
        </w:rPr>
        <w:t>/</w:t>
      </w:r>
      <w:r>
        <w:rPr>
          <w:rFonts w:hint="eastAsia" w:ascii="宋体" w:hAnsi="宋体" w:cs="宋体"/>
          <w:szCs w:val="21"/>
        </w:rPr>
        <w:t>修改文件</w:t>
      </w:r>
      <w:r>
        <w:rPr>
          <w:rFonts w:ascii="宋体" w:hAnsi="宋体" w:cs="宋体"/>
          <w:szCs w:val="21"/>
        </w:rPr>
        <w:t>(</w:t>
      </w:r>
      <w:r>
        <w:rPr>
          <w:rFonts w:hint="eastAsia" w:ascii="宋体" w:hAnsi="宋体" w:cs="宋体"/>
          <w:szCs w:val="21"/>
        </w:rPr>
        <w:t>如有</w:t>
      </w:r>
      <w:r>
        <w:rPr>
          <w:rFonts w:ascii="宋体" w:hAnsi="宋体" w:cs="宋体"/>
          <w:szCs w:val="21"/>
        </w:rPr>
        <w:t>)</w:t>
      </w:r>
      <w:r>
        <w:rPr>
          <w:rFonts w:hint="eastAsia" w:ascii="宋体" w:hAnsi="宋体" w:cs="宋体"/>
          <w:szCs w:val="21"/>
        </w:rPr>
        <w:t>，我们完全理解并同意放弃对这方面提出任何异议的权利。保证遵守招标文件有关条款规定。</w:t>
      </w:r>
    </w:p>
    <w:p w14:paraId="60B8EA61">
      <w:pPr>
        <w:snapToGrid w:val="0"/>
        <w:spacing w:line="400" w:lineRule="exact"/>
        <w:ind w:firstLine="420" w:firstLineChars="200"/>
        <w:rPr>
          <w:rFonts w:ascii="宋体" w:cs="宋体"/>
          <w:szCs w:val="21"/>
        </w:rPr>
      </w:pPr>
      <w:r>
        <w:rPr>
          <w:rFonts w:hint="eastAsia" w:ascii="宋体" w:hAnsi="宋体" w:cs="宋体"/>
          <w:szCs w:val="21"/>
        </w:rPr>
        <w:t>保证在中标后忠实地执行与招标人所签署的合同，并承担合同规定的责任义务。保证在中标后按照招标文件的规定支付招标代理服务费。</w:t>
      </w:r>
    </w:p>
    <w:p w14:paraId="01173028">
      <w:pPr>
        <w:snapToGrid w:val="0"/>
        <w:spacing w:line="4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5C8858C5">
      <w:pPr>
        <w:snapToGrid w:val="0"/>
        <w:spacing w:line="4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．与本投标有关的一切正式往来信函请寄：</w:t>
      </w:r>
    </w:p>
    <w:p w14:paraId="5D31B230">
      <w:pPr>
        <w:snapToGrid w:val="0"/>
        <w:spacing w:line="400" w:lineRule="exact"/>
        <w:rPr>
          <w:rFonts w:ascii="宋体" w:cs="宋体"/>
          <w:szCs w:val="21"/>
        </w:rPr>
      </w:pPr>
      <w:r>
        <w:rPr>
          <w:rFonts w:hint="eastAsia" w:ascii="宋体" w:hAnsi="宋体" w:cs="宋体"/>
          <w:szCs w:val="21"/>
        </w:rPr>
        <w:t>投标人全称（加盖公章）</w:t>
      </w:r>
      <w:r>
        <w:rPr>
          <w:rFonts w:ascii="宋体" w:hAnsi="宋体" w:cs="宋体"/>
          <w:szCs w:val="21"/>
        </w:rPr>
        <w:t xml:space="preserve">:                                               </w:t>
      </w:r>
    </w:p>
    <w:p w14:paraId="4408A48D">
      <w:pPr>
        <w:snapToGrid w:val="0"/>
        <w:spacing w:line="400" w:lineRule="exact"/>
        <w:rPr>
          <w:rFonts w:ascii="宋体" w:cs="宋体"/>
          <w:szCs w:val="21"/>
        </w:rPr>
      </w:pPr>
      <w:r>
        <w:rPr>
          <w:rFonts w:hint="eastAsia" w:ascii="宋体" w:hAnsi="宋体" w:cs="宋体"/>
          <w:szCs w:val="21"/>
        </w:rPr>
        <w:t>地址：邮编：</w:t>
      </w:r>
      <w:r>
        <w:rPr>
          <w:rFonts w:ascii="宋体" w:hAnsi="宋体" w:cs="宋体"/>
          <w:szCs w:val="21"/>
        </w:rPr>
        <w:t xml:space="preserve">__________   </w:t>
      </w:r>
    </w:p>
    <w:p w14:paraId="24AE153A">
      <w:pPr>
        <w:snapToGrid w:val="0"/>
        <w:spacing w:line="400" w:lineRule="exact"/>
        <w:rPr>
          <w:rFonts w:ascii="宋体" w:cs="宋体"/>
          <w:szCs w:val="21"/>
        </w:rPr>
      </w:pPr>
      <w:r>
        <w:rPr>
          <w:rFonts w:hint="eastAsia" w:ascii="宋体" w:hAnsi="宋体" w:cs="宋体"/>
          <w:szCs w:val="21"/>
        </w:rPr>
        <w:t>电话：传真：</w:t>
      </w:r>
      <w:r>
        <w:rPr>
          <w:rFonts w:ascii="宋体" w:hAnsi="宋体" w:cs="宋体"/>
          <w:szCs w:val="21"/>
        </w:rPr>
        <w:t>__________</w:t>
      </w:r>
    </w:p>
    <w:p w14:paraId="439113AE">
      <w:pPr>
        <w:snapToGrid w:val="0"/>
        <w:spacing w:line="400" w:lineRule="exact"/>
        <w:rPr>
          <w:rFonts w:ascii="宋体" w:cs="宋体"/>
          <w:szCs w:val="21"/>
          <w:u w:val="single"/>
        </w:rPr>
      </w:pPr>
      <w:r>
        <w:rPr>
          <w:rFonts w:hint="eastAsia" w:ascii="宋体" w:hAnsi="宋体" w:cs="宋体"/>
          <w:szCs w:val="21"/>
        </w:rPr>
        <w:t>投标人代表姓名</w:t>
      </w:r>
      <w:r>
        <w:rPr>
          <w:rFonts w:ascii="宋体" w:hAnsi="宋体" w:cs="宋体"/>
          <w:szCs w:val="21"/>
        </w:rPr>
        <w:t xml:space="preserve"> ___________  </w:t>
      </w:r>
      <w:r>
        <w:rPr>
          <w:rFonts w:hint="eastAsia" w:ascii="宋体" w:hAnsi="宋体" w:cs="宋体"/>
          <w:szCs w:val="21"/>
        </w:rPr>
        <w:t>职务：</w:t>
      </w:r>
    </w:p>
    <w:p w14:paraId="1EBDE835">
      <w:pPr>
        <w:snapToGrid w:val="0"/>
        <w:spacing w:line="400" w:lineRule="exact"/>
        <w:rPr>
          <w:rFonts w:ascii="宋体" w:cs="宋体"/>
          <w:szCs w:val="21"/>
        </w:rPr>
      </w:pPr>
    </w:p>
    <w:p w14:paraId="2C46CA5F">
      <w:pPr>
        <w:snapToGrid w:val="0"/>
        <w:spacing w:line="400" w:lineRule="exact"/>
        <w:rPr>
          <w:rFonts w:ascii="宋体" w:cs="宋体"/>
          <w:szCs w:val="21"/>
        </w:rPr>
      </w:pPr>
    </w:p>
    <w:p w14:paraId="221232B0">
      <w:pPr>
        <w:snapToGrid w:val="0"/>
        <w:spacing w:line="400" w:lineRule="exact"/>
        <w:rPr>
          <w:rFonts w:ascii="宋体" w:cs="宋体"/>
          <w:szCs w:val="21"/>
        </w:rPr>
      </w:pPr>
      <w:r>
        <w:rPr>
          <w:rFonts w:hint="eastAsia"/>
          <w:szCs w:val="21"/>
        </w:rPr>
        <w:t>法定代表人或授权代表人（签字</w:t>
      </w:r>
      <w:r>
        <w:rPr>
          <w:rFonts w:hint="eastAsia"/>
          <w:szCs w:val="21"/>
          <w:lang w:eastAsia="zh-CN"/>
        </w:rPr>
        <w:t>或盖章</w:t>
      </w:r>
      <w:r>
        <w:rPr>
          <w:rFonts w:hint="eastAsia"/>
          <w:szCs w:val="21"/>
        </w:rPr>
        <w:t>）</w:t>
      </w:r>
      <w:r>
        <w:rPr>
          <w:rFonts w:ascii="宋体" w:hAnsi="宋体" w:cs="宋体"/>
          <w:szCs w:val="21"/>
        </w:rPr>
        <w:t xml:space="preserve">:___________ </w:t>
      </w:r>
    </w:p>
    <w:p w14:paraId="1701A24B">
      <w:pPr>
        <w:snapToGrid w:val="0"/>
        <w:spacing w:line="400" w:lineRule="exact"/>
        <w:rPr>
          <w:rFonts w:ascii="宋体" w:hAnsi="宋体" w:cs="宋体"/>
          <w:szCs w:val="21"/>
        </w:rPr>
      </w:pPr>
      <w:r>
        <w:rPr>
          <w:rFonts w:hint="eastAsia" w:ascii="宋体" w:hAnsi="宋体" w:cs="宋体"/>
          <w:szCs w:val="21"/>
        </w:rPr>
        <w:t>日期</w:t>
      </w:r>
      <w:r>
        <w:rPr>
          <w:rFonts w:ascii="宋体" w:hAnsi="宋体" w:cs="宋体"/>
          <w:szCs w:val="21"/>
        </w:rPr>
        <w:t>:_____</w:t>
      </w:r>
      <w:r>
        <w:rPr>
          <w:rFonts w:hint="eastAsia" w:ascii="宋体" w:hAnsi="宋体" w:cs="宋体"/>
          <w:szCs w:val="21"/>
        </w:rPr>
        <w:t>年</w:t>
      </w:r>
      <w:r>
        <w:rPr>
          <w:rFonts w:ascii="宋体" w:hAnsi="宋体" w:cs="宋体"/>
          <w:szCs w:val="21"/>
        </w:rPr>
        <w:t>___</w:t>
      </w:r>
      <w:r>
        <w:rPr>
          <w:rFonts w:hint="eastAsia" w:ascii="宋体" w:hAnsi="宋体" w:cs="宋体"/>
          <w:szCs w:val="21"/>
        </w:rPr>
        <w:t>月</w:t>
      </w:r>
      <w:r>
        <w:rPr>
          <w:rFonts w:ascii="宋体" w:hAnsi="宋体" w:cs="宋体"/>
          <w:szCs w:val="21"/>
        </w:rPr>
        <w:t>___</w:t>
      </w:r>
      <w:r>
        <w:rPr>
          <w:rFonts w:hint="eastAsia" w:ascii="宋体" w:hAnsi="宋体" w:cs="宋体"/>
          <w:szCs w:val="21"/>
        </w:rPr>
        <w:t>日</w:t>
      </w:r>
    </w:p>
    <w:p w14:paraId="4E385F48">
      <w:pPr>
        <w:pStyle w:val="2"/>
        <w:rPr>
          <w:rFonts w:ascii="宋体" w:hAnsi="宋体" w:cs="宋体"/>
          <w:szCs w:val="21"/>
        </w:rPr>
      </w:pPr>
    </w:p>
    <w:p w14:paraId="2915BE35"/>
    <w:p w14:paraId="6A9550D4">
      <w:pPr>
        <w:pStyle w:val="38"/>
      </w:pPr>
    </w:p>
    <w:p w14:paraId="5EF1FE14"/>
    <w:p w14:paraId="7DB166D9"/>
    <w:p w14:paraId="032B22B1">
      <w:pPr>
        <w:snapToGrid w:val="0"/>
        <w:spacing w:line="400" w:lineRule="exact"/>
        <w:rPr>
          <w:rFonts w:ascii="宋体" w:cs="宋体"/>
          <w:szCs w:val="21"/>
        </w:rPr>
      </w:pPr>
      <w:bookmarkStart w:id="108" w:name="_Toc13391"/>
      <w:bookmarkStart w:id="109" w:name="_Toc463726847"/>
      <w:bookmarkStart w:id="110" w:name="_Toc10297"/>
      <w:bookmarkStart w:id="111" w:name="_Toc25216"/>
      <w:r>
        <w:rPr>
          <w:rFonts w:hint="eastAsia" w:ascii="宋体" w:hAnsi="宋体" w:cs="宋体"/>
          <w:szCs w:val="21"/>
        </w:rPr>
        <w:t>格式三：法定代表人授权委托书格式</w:t>
      </w:r>
      <w:bookmarkEnd w:id="108"/>
      <w:bookmarkEnd w:id="109"/>
      <w:bookmarkEnd w:id="110"/>
      <w:bookmarkEnd w:id="111"/>
    </w:p>
    <w:p w14:paraId="13C2031B">
      <w:pPr>
        <w:snapToGrid w:val="0"/>
        <w:spacing w:line="400" w:lineRule="exact"/>
        <w:rPr>
          <w:rFonts w:ascii="宋体" w:cs="宋体"/>
          <w:szCs w:val="21"/>
        </w:rPr>
      </w:pPr>
    </w:p>
    <w:p w14:paraId="1194858A">
      <w:pPr>
        <w:snapToGrid w:val="0"/>
        <w:spacing w:line="400" w:lineRule="exact"/>
        <w:jc w:val="center"/>
        <w:rPr>
          <w:rFonts w:ascii="宋体" w:cs="宋体"/>
          <w:b/>
          <w:bCs/>
          <w:sz w:val="28"/>
          <w:szCs w:val="28"/>
        </w:rPr>
      </w:pPr>
      <w:r>
        <w:rPr>
          <w:rFonts w:hint="eastAsia" w:ascii="宋体" w:hAnsi="宋体" w:cs="宋体"/>
          <w:b/>
          <w:bCs/>
          <w:sz w:val="28"/>
          <w:szCs w:val="28"/>
        </w:rPr>
        <w:t>法定代表人授权委托书</w:t>
      </w:r>
    </w:p>
    <w:p w14:paraId="50A7C6DB">
      <w:pPr>
        <w:snapToGrid w:val="0"/>
        <w:spacing w:line="400" w:lineRule="exact"/>
        <w:rPr>
          <w:rFonts w:ascii="宋体" w:cs="宋体"/>
          <w:szCs w:val="21"/>
        </w:rPr>
      </w:pPr>
    </w:p>
    <w:p w14:paraId="558D76FC">
      <w:pPr>
        <w:snapToGrid w:val="0"/>
        <w:spacing w:line="400" w:lineRule="exact"/>
        <w:rPr>
          <w:rFonts w:ascii="宋体" w:cs="宋体"/>
          <w:szCs w:val="21"/>
        </w:rPr>
      </w:pPr>
      <w:r>
        <w:rPr>
          <w:rFonts w:hint="eastAsia" w:ascii="宋体" w:hAnsi="宋体" w:cs="宋体"/>
          <w:szCs w:val="21"/>
        </w:rPr>
        <w:t>致</w:t>
      </w:r>
      <w:r>
        <w:rPr>
          <w:rFonts w:hint="eastAsia" w:ascii="宋体" w:hAnsi="宋体" w:cs="宋体"/>
          <w:szCs w:val="21"/>
          <w:u w:val="single"/>
        </w:rPr>
        <w:t>中冠工程管理咨询有限公司</w:t>
      </w:r>
      <w:r>
        <w:rPr>
          <w:rFonts w:hint="eastAsia" w:ascii="宋体" w:hAnsi="宋体" w:cs="宋体"/>
          <w:szCs w:val="21"/>
        </w:rPr>
        <w:t>：</w:t>
      </w:r>
    </w:p>
    <w:p w14:paraId="2E98AC90">
      <w:pPr>
        <w:snapToGrid w:val="0"/>
        <w:spacing w:line="400" w:lineRule="exact"/>
        <w:ind w:firstLine="420" w:firstLineChars="200"/>
        <w:rPr>
          <w:rFonts w:ascii="宋体" w:cs="宋体"/>
          <w:szCs w:val="21"/>
        </w:rPr>
      </w:pPr>
      <w:r>
        <w:rPr>
          <w:rFonts w:hint="eastAsia" w:ascii="宋体" w:hAnsi="宋体" w:cs="宋体"/>
          <w:szCs w:val="21"/>
        </w:rPr>
        <w:t>我</w:t>
      </w:r>
      <w:r>
        <w:rPr>
          <w:rFonts w:hint="eastAsia" w:ascii="宋体" w:hAnsi="宋体" w:cs="宋体"/>
          <w:szCs w:val="21"/>
          <w:u w:val="single"/>
        </w:rPr>
        <w:t xml:space="preserve">（姓名） </w:t>
      </w:r>
      <w:r>
        <w:rPr>
          <w:rFonts w:hint="eastAsia" w:ascii="宋体" w:hAnsi="宋体" w:cs="宋体"/>
          <w:szCs w:val="21"/>
        </w:rPr>
        <w:t>系</w:t>
      </w:r>
      <w:r>
        <w:rPr>
          <w:rFonts w:hint="eastAsia" w:ascii="宋体" w:hAnsi="宋体" w:cs="宋体"/>
          <w:szCs w:val="21"/>
          <w:u w:val="single"/>
        </w:rPr>
        <w:t xml:space="preserve">    （投标人名称）    </w:t>
      </w:r>
      <w:r>
        <w:rPr>
          <w:rFonts w:hint="eastAsia" w:ascii="宋体" w:hAnsi="宋体" w:cs="宋体"/>
          <w:szCs w:val="21"/>
        </w:rPr>
        <w:t>的法定代表人，现授权委托本单位在职职工</w:t>
      </w:r>
      <w:r>
        <w:rPr>
          <w:rFonts w:hint="eastAsia" w:ascii="宋体" w:hAnsi="宋体" w:cs="宋体"/>
          <w:szCs w:val="21"/>
          <w:u w:val="single"/>
        </w:rPr>
        <w:t>（姓名）</w:t>
      </w:r>
      <w:r>
        <w:rPr>
          <w:rFonts w:hint="eastAsia" w:ascii="宋体" w:hAnsi="宋体" w:cs="宋体"/>
          <w:szCs w:val="21"/>
        </w:rPr>
        <w:t>以我方的名义参加</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3AA72825">
      <w:pPr>
        <w:snapToGrid w:val="0"/>
        <w:spacing w:line="400" w:lineRule="exact"/>
        <w:rPr>
          <w:rFonts w:ascii="宋体" w:cs="宋体"/>
          <w:szCs w:val="21"/>
        </w:rPr>
      </w:pPr>
      <w:r>
        <w:rPr>
          <w:rFonts w:hint="eastAsia" w:ascii="宋体" w:hAnsi="宋体" w:cs="宋体"/>
          <w:szCs w:val="21"/>
        </w:rPr>
        <w:t>我方对被授权人的签名事项负全部责任。</w:t>
      </w:r>
    </w:p>
    <w:p w14:paraId="2F819ACE">
      <w:pPr>
        <w:snapToGrid w:val="0"/>
        <w:spacing w:line="400" w:lineRule="exact"/>
        <w:rPr>
          <w:rFonts w:asci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193E95E0">
      <w:pPr>
        <w:snapToGrid w:val="0"/>
        <w:spacing w:line="400" w:lineRule="exact"/>
        <w:rPr>
          <w:rFonts w:ascii="宋体" w:cs="宋体"/>
          <w:szCs w:val="21"/>
        </w:rPr>
      </w:pPr>
      <w:r>
        <w:rPr>
          <w:rFonts w:hint="eastAsia" w:ascii="宋体" w:hAnsi="宋体" w:cs="宋体"/>
          <w:szCs w:val="21"/>
        </w:rPr>
        <w:t>被授权人无转委托权，特此委托。</w:t>
      </w:r>
    </w:p>
    <w:p w14:paraId="2EEB96F7">
      <w:pPr>
        <w:snapToGrid w:val="0"/>
        <w:spacing w:line="400" w:lineRule="exact"/>
        <w:rPr>
          <w:rFonts w:ascii="宋体" w:cs="宋体"/>
          <w:szCs w:val="21"/>
        </w:rPr>
      </w:pPr>
    </w:p>
    <w:p w14:paraId="1B968444">
      <w:pPr>
        <w:snapToGrid w:val="0"/>
        <w:spacing w:line="400" w:lineRule="exact"/>
        <w:rPr>
          <w:rFonts w:ascii="宋体" w:cs="宋体"/>
          <w:szCs w:val="21"/>
        </w:rPr>
      </w:pPr>
      <w:r>
        <w:rPr>
          <w:rFonts w:hint="eastAsia" w:ascii="宋体" w:hAnsi="宋体" w:cs="宋体"/>
          <w:szCs w:val="21"/>
        </w:rPr>
        <w:t>被授权人签名：法定代表人（签名</w:t>
      </w:r>
      <w:r>
        <w:rPr>
          <w:rFonts w:hint="eastAsia" w:ascii="宋体" w:hAnsi="宋体" w:cs="宋体"/>
          <w:szCs w:val="21"/>
          <w:lang w:eastAsia="zh-CN"/>
        </w:rPr>
        <w:t>或盖章</w:t>
      </w:r>
      <w:r>
        <w:rPr>
          <w:rFonts w:hint="eastAsia" w:ascii="宋体" w:hAnsi="宋体" w:cs="宋体"/>
          <w:szCs w:val="21"/>
        </w:rPr>
        <w:t>）：</w:t>
      </w:r>
    </w:p>
    <w:p w14:paraId="2B336CEC">
      <w:pPr>
        <w:snapToGrid w:val="0"/>
        <w:spacing w:line="400" w:lineRule="exact"/>
        <w:rPr>
          <w:rFonts w:ascii="宋体" w:cs="宋体"/>
          <w:szCs w:val="21"/>
        </w:rPr>
      </w:pPr>
      <w:r>
        <w:rPr>
          <w:rFonts w:hint="eastAsia" w:ascii="宋体" w:hAnsi="宋体" w:cs="宋体"/>
          <w:szCs w:val="21"/>
        </w:rPr>
        <w:t>职务：职务：</w:t>
      </w:r>
    </w:p>
    <w:p w14:paraId="1BF86134">
      <w:pPr>
        <w:snapToGrid w:val="0"/>
        <w:spacing w:line="400" w:lineRule="exact"/>
        <w:rPr>
          <w:rFonts w:ascii="宋体" w:cs="宋体"/>
          <w:szCs w:val="21"/>
        </w:rPr>
      </w:pPr>
      <w:r>
        <w:rPr>
          <w:rFonts w:hint="eastAsia" w:ascii="宋体" w:hAnsi="宋体" w:cs="宋体"/>
          <w:szCs w:val="21"/>
        </w:rPr>
        <w:t>被授权人身份证号码：</w:t>
      </w:r>
    </w:p>
    <w:p w14:paraId="54AB204B">
      <w:pPr>
        <w:snapToGrid w:val="0"/>
        <w:spacing w:line="400" w:lineRule="exact"/>
        <w:rPr>
          <w:rFonts w:ascii="宋体" w:cs="宋体"/>
          <w:szCs w:val="21"/>
        </w:rPr>
      </w:pPr>
      <w:r>
        <w:rPr>
          <w:rFonts w:hint="eastAsia" w:ascii="宋体" w:hAnsi="宋体" w:cs="宋体"/>
          <w:szCs w:val="21"/>
        </w:rPr>
        <w:t>投标人全称（加盖公章）：</w:t>
      </w:r>
    </w:p>
    <w:p w14:paraId="7C7AA1FD">
      <w:pPr>
        <w:snapToGrid w:val="0"/>
        <w:spacing w:line="400" w:lineRule="exact"/>
        <w:rPr>
          <w:rFonts w:ascii="宋体" w:cs="宋体"/>
          <w:szCs w:val="21"/>
        </w:rPr>
      </w:pPr>
      <w:r>
        <w:rPr>
          <w:rFonts w:hint="eastAsia" w:ascii="宋体" w:hAnsi="宋体" w:cs="宋体"/>
          <w:szCs w:val="21"/>
        </w:rPr>
        <w:t>年月日</w:t>
      </w:r>
    </w:p>
    <w:p w14:paraId="3685AE02">
      <w:pPr>
        <w:snapToGrid w:val="0"/>
        <w:spacing w:line="400" w:lineRule="exact"/>
        <w:rPr>
          <w:rFonts w:ascii="宋体" w:cs="宋体"/>
          <w:szCs w:val="21"/>
        </w:rPr>
      </w:pPr>
    </w:p>
    <w:p w14:paraId="395BED52">
      <w:pPr>
        <w:snapToGrid w:val="0"/>
        <w:spacing w:line="400" w:lineRule="exact"/>
        <w:rPr>
          <w:rFonts w:ascii="宋体" w:cs="宋体"/>
          <w:szCs w:val="21"/>
        </w:rPr>
      </w:pPr>
    </w:p>
    <w:p w14:paraId="19D3E71C">
      <w:pPr>
        <w:snapToGrid w:val="0"/>
        <w:spacing w:line="400" w:lineRule="exact"/>
        <w:rPr>
          <w:rFonts w:ascii="宋体" w:cs="宋体"/>
          <w:szCs w:val="21"/>
        </w:rPr>
      </w:pPr>
    </w:p>
    <w:p w14:paraId="4ADB7034">
      <w:pPr>
        <w:snapToGrid w:val="0"/>
        <w:spacing w:line="400" w:lineRule="exact"/>
        <w:rPr>
          <w:rFonts w:ascii="宋体" w:cs="宋体"/>
          <w:szCs w:val="21"/>
        </w:rPr>
      </w:pPr>
    </w:p>
    <w:p w14:paraId="76676788">
      <w:pPr>
        <w:snapToGrid w:val="0"/>
        <w:spacing w:line="400" w:lineRule="exact"/>
        <w:rPr>
          <w:rFonts w:ascii="宋体" w:cs="宋体"/>
          <w:szCs w:val="21"/>
        </w:rPr>
      </w:pPr>
    </w:p>
    <w:p w14:paraId="1FD63A9A">
      <w:pPr>
        <w:snapToGrid w:val="0"/>
        <w:spacing w:line="400" w:lineRule="exact"/>
        <w:rPr>
          <w:rFonts w:ascii="宋体" w:cs="宋体"/>
          <w:szCs w:val="21"/>
        </w:rPr>
      </w:pPr>
      <w:r>
        <w:rPr>
          <w:rFonts w:hint="eastAsia" w:ascii="宋体" w:hAnsi="宋体" w:cs="宋体"/>
          <w:szCs w:val="21"/>
        </w:rPr>
        <w:t>注：后附法定代表人和被授权人的身份证复印件（正反两面）。</w:t>
      </w:r>
    </w:p>
    <w:p w14:paraId="533820E9">
      <w:pPr>
        <w:snapToGrid w:val="0"/>
        <w:spacing w:line="400" w:lineRule="exact"/>
        <w:rPr>
          <w:rFonts w:ascii="宋体" w:cs="宋体"/>
          <w:szCs w:val="21"/>
        </w:rPr>
      </w:pPr>
      <w:r>
        <w:rPr>
          <w:rFonts w:ascii="宋体" w:cs="宋体"/>
          <w:szCs w:val="21"/>
        </w:rPr>
        <w:br w:type="page"/>
      </w:r>
      <w:bookmarkStart w:id="112" w:name="_Toc463726848"/>
      <w:bookmarkStart w:id="113" w:name="_Toc26905"/>
      <w:bookmarkStart w:id="114" w:name="_Toc20097"/>
      <w:bookmarkStart w:id="115" w:name="_Toc13302"/>
      <w:r>
        <w:rPr>
          <w:rFonts w:hint="eastAsia" w:ascii="宋体" w:hAnsi="宋体" w:cs="宋体"/>
          <w:szCs w:val="21"/>
        </w:rPr>
        <w:t>格式四：投标人基本情况表</w:t>
      </w:r>
      <w:bookmarkEnd w:id="112"/>
      <w:bookmarkEnd w:id="113"/>
      <w:bookmarkEnd w:id="114"/>
      <w:bookmarkEnd w:id="115"/>
    </w:p>
    <w:p w14:paraId="32B12B02">
      <w:pPr>
        <w:snapToGrid w:val="0"/>
        <w:spacing w:line="400" w:lineRule="exact"/>
        <w:rPr>
          <w:rFonts w:ascii="宋体" w:cs="宋体"/>
          <w:szCs w:val="21"/>
        </w:rPr>
      </w:pPr>
    </w:p>
    <w:p w14:paraId="2CF8D941">
      <w:pPr>
        <w:snapToGrid w:val="0"/>
        <w:spacing w:line="400" w:lineRule="exact"/>
        <w:jc w:val="center"/>
        <w:rPr>
          <w:rFonts w:ascii="宋体" w:cs="宋体"/>
          <w:b/>
          <w:bCs/>
          <w:sz w:val="28"/>
          <w:szCs w:val="28"/>
        </w:rPr>
      </w:pPr>
      <w:r>
        <w:rPr>
          <w:rFonts w:hint="eastAsia" w:ascii="宋体" w:hAnsi="宋体" w:cs="宋体"/>
          <w:b/>
          <w:bCs/>
          <w:sz w:val="28"/>
          <w:szCs w:val="28"/>
        </w:rPr>
        <w:t>投标人基本情况表</w:t>
      </w:r>
    </w:p>
    <w:tbl>
      <w:tblPr>
        <w:tblStyle w:val="2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14:paraId="1317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35E9383">
            <w:pPr>
              <w:snapToGrid w:val="0"/>
              <w:spacing w:line="400" w:lineRule="exact"/>
              <w:jc w:val="center"/>
              <w:rPr>
                <w:rFonts w:ascii="宋体" w:cs="宋体"/>
                <w:szCs w:val="21"/>
              </w:rPr>
            </w:pPr>
            <w:r>
              <w:rPr>
                <w:rFonts w:hint="eastAsia" w:ascii="宋体" w:hAnsi="宋体" w:cs="宋体"/>
                <w:szCs w:val="21"/>
              </w:rPr>
              <w:t>申请人名称</w:t>
            </w:r>
          </w:p>
        </w:tc>
        <w:tc>
          <w:tcPr>
            <w:tcW w:w="7264" w:type="dxa"/>
            <w:gridSpan w:val="11"/>
            <w:tcMar>
              <w:left w:w="28" w:type="dxa"/>
              <w:right w:w="28" w:type="dxa"/>
            </w:tcMar>
            <w:vAlign w:val="center"/>
          </w:tcPr>
          <w:p w14:paraId="17C3A382">
            <w:pPr>
              <w:snapToGrid w:val="0"/>
              <w:spacing w:line="400" w:lineRule="exact"/>
              <w:rPr>
                <w:rFonts w:ascii="宋体" w:cs="宋体"/>
                <w:szCs w:val="21"/>
              </w:rPr>
            </w:pPr>
          </w:p>
        </w:tc>
      </w:tr>
      <w:tr w14:paraId="6C77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5FE8AB39">
            <w:pPr>
              <w:snapToGrid w:val="0"/>
              <w:spacing w:line="400" w:lineRule="exact"/>
              <w:jc w:val="center"/>
              <w:rPr>
                <w:rFonts w:ascii="宋体" w:cs="宋体"/>
                <w:szCs w:val="21"/>
              </w:rPr>
            </w:pPr>
            <w:r>
              <w:rPr>
                <w:rFonts w:hint="eastAsia" w:ascii="宋体" w:hAnsi="宋体" w:cs="宋体"/>
                <w:szCs w:val="21"/>
              </w:rPr>
              <w:t>注册地址</w:t>
            </w:r>
          </w:p>
        </w:tc>
        <w:tc>
          <w:tcPr>
            <w:tcW w:w="3736" w:type="dxa"/>
            <w:gridSpan w:val="5"/>
            <w:tcMar>
              <w:left w:w="28" w:type="dxa"/>
              <w:right w:w="28" w:type="dxa"/>
            </w:tcMar>
            <w:vAlign w:val="center"/>
          </w:tcPr>
          <w:p w14:paraId="663B9951">
            <w:pPr>
              <w:snapToGrid w:val="0"/>
              <w:spacing w:line="400" w:lineRule="exact"/>
              <w:rPr>
                <w:rFonts w:ascii="宋体" w:cs="宋体"/>
                <w:szCs w:val="21"/>
              </w:rPr>
            </w:pPr>
          </w:p>
        </w:tc>
        <w:tc>
          <w:tcPr>
            <w:tcW w:w="1021" w:type="dxa"/>
            <w:gridSpan w:val="2"/>
            <w:tcMar>
              <w:left w:w="28" w:type="dxa"/>
              <w:right w:w="28" w:type="dxa"/>
            </w:tcMar>
            <w:vAlign w:val="center"/>
          </w:tcPr>
          <w:p w14:paraId="07EA690C">
            <w:pPr>
              <w:snapToGrid w:val="0"/>
              <w:spacing w:line="400" w:lineRule="exact"/>
              <w:jc w:val="center"/>
              <w:rPr>
                <w:rFonts w:ascii="宋体" w:cs="宋体"/>
                <w:szCs w:val="21"/>
              </w:rPr>
            </w:pPr>
            <w:r>
              <w:rPr>
                <w:rFonts w:hint="eastAsia" w:ascii="宋体" w:hAnsi="宋体" w:cs="宋体"/>
                <w:szCs w:val="21"/>
              </w:rPr>
              <w:t>邮政编码</w:t>
            </w:r>
          </w:p>
        </w:tc>
        <w:tc>
          <w:tcPr>
            <w:tcW w:w="2507" w:type="dxa"/>
            <w:gridSpan w:val="4"/>
            <w:tcMar>
              <w:left w:w="28" w:type="dxa"/>
              <w:right w:w="28" w:type="dxa"/>
            </w:tcMar>
            <w:vAlign w:val="center"/>
          </w:tcPr>
          <w:p w14:paraId="249EC7E0">
            <w:pPr>
              <w:snapToGrid w:val="0"/>
              <w:spacing w:line="400" w:lineRule="exact"/>
              <w:rPr>
                <w:rFonts w:ascii="宋体" w:cs="宋体"/>
                <w:szCs w:val="21"/>
              </w:rPr>
            </w:pPr>
          </w:p>
        </w:tc>
      </w:tr>
      <w:tr w14:paraId="2B2A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14:paraId="085B3140">
            <w:pPr>
              <w:snapToGrid w:val="0"/>
              <w:spacing w:line="400" w:lineRule="exact"/>
              <w:jc w:val="center"/>
              <w:rPr>
                <w:rFonts w:ascii="宋体" w:cs="宋体"/>
                <w:szCs w:val="21"/>
              </w:rPr>
            </w:pPr>
            <w:r>
              <w:rPr>
                <w:rFonts w:hint="eastAsia" w:ascii="宋体" w:hAnsi="宋体" w:cs="宋体"/>
                <w:szCs w:val="21"/>
              </w:rPr>
              <w:t>联系方式</w:t>
            </w:r>
          </w:p>
        </w:tc>
        <w:tc>
          <w:tcPr>
            <w:tcW w:w="908" w:type="dxa"/>
            <w:tcMar>
              <w:left w:w="28" w:type="dxa"/>
              <w:right w:w="28" w:type="dxa"/>
            </w:tcMar>
            <w:vAlign w:val="center"/>
          </w:tcPr>
          <w:p w14:paraId="53819988">
            <w:pPr>
              <w:snapToGrid w:val="0"/>
              <w:spacing w:line="400" w:lineRule="exact"/>
              <w:jc w:val="center"/>
              <w:rPr>
                <w:rFonts w:ascii="宋体" w:cs="宋体"/>
                <w:szCs w:val="21"/>
              </w:rPr>
            </w:pPr>
            <w:r>
              <w:rPr>
                <w:rFonts w:hint="eastAsia" w:ascii="宋体" w:hAnsi="宋体" w:cs="宋体"/>
                <w:szCs w:val="21"/>
              </w:rPr>
              <w:t>联系人</w:t>
            </w:r>
          </w:p>
        </w:tc>
        <w:tc>
          <w:tcPr>
            <w:tcW w:w="2828" w:type="dxa"/>
            <w:gridSpan w:val="4"/>
            <w:tcMar>
              <w:left w:w="28" w:type="dxa"/>
              <w:right w:w="28" w:type="dxa"/>
            </w:tcMar>
            <w:vAlign w:val="center"/>
          </w:tcPr>
          <w:p w14:paraId="1F9B0091">
            <w:pPr>
              <w:snapToGrid w:val="0"/>
              <w:spacing w:line="400" w:lineRule="exact"/>
              <w:rPr>
                <w:rFonts w:ascii="宋体" w:cs="宋体"/>
                <w:szCs w:val="21"/>
              </w:rPr>
            </w:pPr>
          </w:p>
        </w:tc>
        <w:tc>
          <w:tcPr>
            <w:tcW w:w="1021" w:type="dxa"/>
            <w:gridSpan w:val="2"/>
            <w:tcMar>
              <w:left w:w="28" w:type="dxa"/>
              <w:right w:w="28" w:type="dxa"/>
            </w:tcMar>
            <w:vAlign w:val="center"/>
          </w:tcPr>
          <w:p w14:paraId="41431A54">
            <w:pPr>
              <w:snapToGrid w:val="0"/>
              <w:spacing w:line="400" w:lineRule="exact"/>
              <w:jc w:val="center"/>
              <w:rPr>
                <w:rFonts w:ascii="宋体" w:cs="宋体"/>
                <w:szCs w:val="21"/>
              </w:rPr>
            </w:pPr>
            <w:r>
              <w:rPr>
                <w:rFonts w:hint="eastAsia" w:ascii="宋体" w:hAnsi="宋体" w:cs="宋体"/>
                <w:szCs w:val="21"/>
              </w:rPr>
              <w:t>电话</w:t>
            </w:r>
          </w:p>
        </w:tc>
        <w:tc>
          <w:tcPr>
            <w:tcW w:w="2507" w:type="dxa"/>
            <w:gridSpan w:val="4"/>
            <w:tcMar>
              <w:left w:w="28" w:type="dxa"/>
              <w:right w:w="28" w:type="dxa"/>
            </w:tcMar>
            <w:vAlign w:val="center"/>
          </w:tcPr>
          <w:p w14:paraId="4B1F3755">
            <w:pPr>
              <w:snapToGrid w:val="0"/>
              <w:spacing w:line="400" w:lineRule="exact"/>
              <w:rPr>
                <w:rFonts w:ascii="宋体" w:cs="宋体"/>
                <w:szCs w:val="21"/>
              </w:rPr>
            </w:pPr>
          </w:p>
        </w:tc>
      </w:tr>
      <w:tr w14:paraId="1610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14:paraId="069FCAB8">
            <w:pPr>
              <w:snapToGrid w:val="0"/>
              <w:spacing w:line="400" w:lineRule="exact"/>
              <w:jc w:val="center"/>
              <w:rPr>
                <w:rFonts w:ascii="宋体" w:cs="宋体"/>
                <w:szCs w:val="21"/>
              </w:rPr>
            </w:pPr>
          </w:p>
        </w:tc>
        <w:tc>
          <w:tcPr>
            <w:tcW w:w="908" w:type="dxa"/>
            <w:tcMar>
              <w:left w:w="28" w:type="dxa"/>
              <w:right w:w="28" w:type="dxa"/>
            </w:tcMar>
            <w:vAlign w:val="center"/>
          </w:tcPr>
          <w:p w14:paraId="487BFFB3">
            <w:pPr>
              <w:snapToGrid w:val="0"/>
              <w:spacing w:line="400" w:lineRule="exact"/>
              <w:jc w:val="center"/>
              <w:rPr>
                <w:rFonts w:ascii="宋体" w:cs="宋体"/>
                <w:szCs w:val="21"/>
              </w:rPr>
            </w:pPr>
            <w:r>
              <w:rPr>
                <w:rFonts w:hint="eastAsia" w:ascii="宋体" w:hAnsi="宋体" w:cs="宋体"/>
                <w:szCs w:val="21"/>
              </w:rPr>
              <w:t>传真</w:t>
            </w:r>
          </w:p>
        </w:tc>
        <w:tc>
          <w:tcPr>
            <w:tcW w:w="2828" w:type="dxa"/>
            <w:gridSpan w:val="4"/>
            <w:tcMar>
              <w:left w:w="28" w:type="dxa"/>
              <w:right w:w="28" w:type="dxa"/>
            </w:tcMar>
            <w:vAlign w:val="center"/>
          </w:tcPr>
          <w:p w14:paraId="17D41CBF">
            <w:pPr>
              <w:snapToGrid w:val="0"/>
              <w:spacing w:line="400" w:lineRule="exact"/>
              <w:rPr>
                <w:rFonts w:ascii="宋体" w:cs="宋体"/>
                <w:szCs w:val="21"/>
              </w:rPr>
            </w:pPr>
          </w:p>
        </w:tc>
        <w:tc>
          <w:tcPr>
            <w:tcW w:w="1021" w:type="dxa"/>
            <w:gridSpan w:val="2"/>
            <w:tcMar>
              <w:left w:w="28" w:type="dxa"/>
              <w:right w:w="28" w:type="dxa"/>
            </w:tcMar>
            <w:vAlign w:val="center"/>
          </w:tcPr>
          <w:p w14:paraId="69BCBF50">
            <w:pPr>
              <w:snapToGrid w:val="0"/>
              <w:spacing w:line="400" w:lineRule="exact"/>
              <w:jc w:val="center"/>
              <w:rPr>
                <w:rFonts w:ascii="宋体" w:cs="宋体"/>
                <w:szCs w:val="21"/>
              </w:rPr>
            </w:pPr>
            <w:r>
              <w:rPr>
                <w:rFonts w:hint="eastAsia" w:ascii="宋体" w:hAnsi="宋体" w:cs="宋体"/>
                <w:szCs w:val="21"/>
              </w:rPr>
              <w:t>网址</w:t>
            </w:r>
          </w:p>
        </w:tc>
        <w:tc>
          <w:tcPr>
            <w:tcW w:w="2507" w:type="dxa"/>
            <w:gridSpan w:val="4"/>
            <w:tcMar>
              <w:left w:w="28" w:type="dxa"/>
              <w:right w:w="28" w:type="dxa"/>
            </w:tcMar>
            <w:vAlign w:val="center"/>
          </w:tcPr>
          <w:p w14:paraId="1C570B46">
            <w:pPr>
              <w:snapToGrid w:val="0"/>
              <w:spacing w:line="400" w:lineRule="exact"/>
              <w:rPr>
                <w:rFonts w:ascii="宋体" w:cs="宋体"/>
                <w:szCs w:val="21"/>
              </w:rPr>
            </w:pPr>
          </w:p>
        </w:tc>
      </w:tr>
      <w:tr w14:paraId="0D89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365913D">
            <w:pPr>
              <w:snapToGrid w:val="0"/>
              <w:spacing w:line="400" w:lineRule="exact"/>
              <w:jc w:val="center"/>
              <w:rPr>
                <w:rFonts w:ascii="宋体" w:cs="宋体"/>
                <w:szCs w:val="21"/>
              </w:rPr>
            </w:pPr>
            <w:r>
              <w:rPr>
                <w:rFonts w:hint="eastAsia" w:ascii="宋体" w:hAnsi="宋体" w:cs="宋体"/>
                <w:szCs w:val="21"/>
              </w:rPr>
              <w:t>组织结构</w:t>
            </w:r>
          </w:p>
        </w:tc>
        <w:tc>
          <w:tcPr>
            <w:tcW w:w="7264" w:type="dxa"/>
            <w:gridSpan w:val="11"/>
            <w:tcMar>
              <w:left w:w="28" w:type="dxa"/>
              <w:right w:w="28" w:type="dxa"/>
            </w:tcMar>
            <w:vAlign w:val="center"/>
          </w:tcPr>
          <w:p w14:paraId="2A006DA0">
            <w:pPr>
              <w:snapToGrid w:val="0"/>
              <w:spacing w:line="400" w:lineRule="exact"/>
              <w:rPr>
                <w:rFonts w:ascii="宋体" w:cs="宋体"/>
                <w:szCs w:val="21"/>
              </w:rPr>
            </w:pPr>
          </w:p>
        </w:tc>
      </w:tr>
      <w:tr w14:paraId="318E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BBB23E7">
            <w:pPr>
              <w:snapToGrid w:val="0"/>
              <w:spacing w:line="400" w:lineRule="exact"/>
              <w:jc w:val="center"/>
              <w:rPr>
                <w:rFonts w:ascii="宋体" w:cs="宋体"/>
                <w:szCs w:val="21"/>
              </w:rPr>
            </w:pPr>
            <w:r>
              <w:rPr>
                <w:rFonts w:hint="eastAsia" w:ascii="宋体" w:hAnsi="宋体" w:cs="宋体"/>
                <w:szCs w:val="21"/>
              </w:rPr>
              <w:t>法定代表人</w:t>
            </w:r>
          </w:p>
        </w:tc>
        <w:tc>
          <w:tcPr>
            <w:tcW w:w="916" w:type="dxa"/>
            <w:gridSpan w:val="2"/>
            <w:tcMar>
              <w:left w:w="28" w:type="dxa"/>
              <w:right w:w="28" w:type="dxa"/>
            </w:tcMar>
            <w:vAlign w:val="center"/>
          </w:tcPr>
          <w:p w14:paraId="1B0CB1C7">
            <w:pPr>
              <w:snapToGrid w:val="0"/>
              <w:spacing w:line="400" w:lineRule="exact"/>
              <w:jc w:val="center"/>
              <w:rPr>
                <w:rFonts w:ascii="宋体" w:cs="宋体"/>
                <w:szCs w:val="21"/>
              </w:rPr>
            </w:pPr>
            <w:r>
              <w:rPr>
                <w:rFonts w:hint="eastAsia" w:ascii="宋体" w:hAnsi="宋体" w:cs="宋体"/>
                <w:szCs w:val="21"/>
              </w:rPr>
              <w:t>姓名</w:t>
            </w:r>
          </w:p>
        </w:tc>
        <w:tc>
          <w:tcPr>
            <w:tcW w:w="1561" w:type="dxa"/>
            <w:tcMar>
              <w:left w:w="28" w:type="dxa"/>
              <w:right w:w="28" w:type="dxa"/>
            </w:tcMar>
            <w:vAlign w:val="center"/>
          </w:tcPr>
          <w:p w14:paraId="67CE1F43">
            <w:pPr>
              <w:snapToGrid w:val="0"/>
              <w:spacing w:line="400" w:lineRule="exact"/>
              <w:jc w:val="center"/>
              <w:rPr>
                <w:rFonts w:ascii="宋体" w:cs="宋体"/>
                <w:szCs w:val="21"/>
              </w:rPr>
            </w:pPr>
          </w:p>
        </w:tc>
        <w:tc>
          <w:tcPr>
            <w:tcW w:w="1279" w:type="dxa"/>
            <w:gridSpan w:val="3"/>
            <w:tcMar>
              <w:left w:w="28" w:type="dxa"/>
              <w:right w:w="28" w:type="dxa"/>
            </w:tcMar>
            <w:vAlign w:val="center"/>
          </w:tcPr>
          <w:p w14:paraId="3291A0B8">
            <w:pPr>
              <w:snapToGrid w:val="0"/>
              <w:spacing w:line="400" w:lineRule="exact"/>
              <w:jc w:val="center"/>
              <w:rPr>
                <w:rFonts w:ascii="宋体" w:cs="宋体"/>
                <w:szCs w:val="21"/>
              </w:rPr>
            </w:pPr>
            <w:r>
              <w:rPr>
                <w:rFonts w:hint="eastAsia" w:ascii="宋体" w:hAnsi="宋体" w:cs="宋体"/>
                <w:szCs w:val="21"/>
              </w:rPr>
              <w:t>技术职称</w:t>
            </w:r>
          </w:p>
        </w:tc>
        <w:tc>
          <w:tcPr>
            <w:tcW w:w="1010" w:type="dxa"/>
            <w:gridSpan w:val="2"/>
            <w:tcMar>
              <w:left w:w="28" w:type="dxa"/>
              <w:right w:w="28" w:type="dxa"/>
            </w:tcMar>
            <w:vAlign w:val="center"/>
          </w:tcPr>
          <w:p w14:paraId="46EBD819">
            <w:pPr>
              <w:snapToGrid w:val="0"/>
              <w:spacing w:line="400" w:lineRule="exact"/>
              <w:jc w:val="center"/>
              <w:rPr>
                <w:rFonts w:ascii="宋体" w:cs="宋体"/>
                <w:szCs w:val="21"/>
              </w:rPr>
            </w:pPr>
          </w:p>
        </w:tc>
        <w:tc>
          <w:tcPr>
            <w:tcW w:w="768" w:type="dxa"/>
            <w:gridSpan w:val="2"/>
            <w:tcMar>
              <w:left w:w="28" w:type="dxa"/>
              <w:right w:w="28" w:type="dxa"/>
            </w:tcMar>
            <w:vAlign w:val="center"/>
          </w:tcPr>
          <w:p w14:paraId="63EDD5CD">
            <w:pPr>
              <w:snapToGrid w:val="0"/>
              <w:spacing w:line="400" w:lineRule="exact"/>
              <w:jc w:val="center"/>
              <w:rPr>
                <w:rFonts w:ascii="宋体" w:cs="宋体"/>
                <w:szCs w:val="21"/>
              </w:rPr>
            </w:pPr>
            <w:r>
              <w:rPr>
                <w:rFonts w:hint="eastAsia" w:ascii="宋体" w:hAnsi="宋体" w:cs="宋体"/>
                <w:szCs w:val="21"/>
              </w:rPr>
              <w:t>电话</w:t>
            </w:r>
          </w:p>
        </w:tc>
        <w:tc>
          <w:tcPr>
            <w:tcW w:w="1730" w:type="dxa"/>
            <w:tcMar>
              <w:left w:w="28" w:type="dxa"/>
              <w:right w:w="28" w:type="dxa"/>
            </w:tcMar>
            <w:vAlign w:val="center"/>
          </w:tcPr>
          <w:p w14:paraId="387A4186">
            <w:pPr>
              <w:snapToGrid w:val="0"/>
              <w:spacing w:line="400" w:lineRule="exact"/>
              <w:rPr>
                <w:rFonts w:ascii="宋体" w:cs="宋体"/>
                <w:szCs w:val="21"/>
              </w:rPr>
            </w:pPr>
          </w:p>
        </w:tc>
      </w:tr>
      <w:tr w14:paraId="2943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A4F674E">
            <w:pPr>
              <w:snapToGrid w:val="0"/>
              <w:spacing w:line="400" w:lineRule="exact"/>
              <w:jc w:val="center"/>
              <w:rPr>
                <w:rFonts w:ascii="宋体" w:cs="宋体"/>
                <w:szCs w:val="21"/>
              </w:rPr>
            </w:pPr>
            <w:r>
              <w:rPr>
                <w:rFonts w:hint="eastAsia" w:ascii="宋体" w:hAnsi="宋体" w:cs="宋体"/>
                <w:szCs w:val="21"/>
              </w:rPr>
              <w:t>技术负责人</w:t>
            </w:r>
          </w:p>
        </w:tc>
        <w:tc>
          <w:tcPr>
            <w:tcW w:w="916" w:type="dxa"/>
            <w:gridSpan w:val="2"/>
            <w:tcMar>
              <w:left w:w="28" w:type="dxa"/>
              <w:right w:w="28" w:type="dxa"/>
            </w:tcMar>
            <w:vAlign w:val="center"/>
          </w:tcPr>
          <w:p w14:paraId="60C8E819">
            <w:pPr>
              <w:snapToGrid w:val="0"/>
              <w:spacing w:line="400" w:lineRule="exact"/>
              <w:jc w:val="center"/>
              <w:rPr>
                <w:rFonts w:ascii="宋体" w:cs="宋体"/>
                <w:szCs w:val="21"/>
              </w:rPr>
            </w:pPr>
            <w:r>
              <w:rPr>
                <w:rFonts w:hint="eastAsia" w:ascii="宋体" w:hAnsi="宋体" w:cs="宋体"/>
                <w:szCs w:val="21"/>
              </w:rPr>
              <w:t>姓名</w:t>
            </w:r>
          </w:p>
        </w:tc>
        <w:tc>
          <w:tcPr>
            <w:tcW w:w="1561" w:type="dxa"/>
            <w:tcMar>
              <w:left w:w="28" w:type="dxa"/>
              <w:right w:w="28" w:type="dxa"/>
            </w:tcMar>
            <w:vAlign w:val="center"/>
          </w:tcPr>
          <w:p w14:paraId="27050475">
            <w:pPr>
              <w:snapToGrid w:val="0"/>
              <w:spacing w:line="400" w:lineRule="exact"/>
              <w:jc w:val="center"/>
              <w:rPr>
                <w:rFonts w:ascii="宋体" w:cs="宋体"/>
                <w:szCs w:val="21"/>
              </w:rPr>
            </w:pPr>
          </w:p>
        </w:tc>
        <w:tc>
          <w:tcPr>
            <w:tcW w:w="1279" w:type="dxa"/>
            <w:gridSpan w:val="3"/>
            <w:tcMar>
              <w:left w:w="28" w:type="dxa"/>
              <w:right w:w="28" w:type="dxa"/>
            </w:tcMar>
            <w:vAlign w:val="center"/>
          </w:tcPr>
          <w:p w14:paraId="32A27ED5">
            <w:pPr>
              <w:snapToGrid w:val="0"/>
              <w:spacing w:line="400" w:lineRule="exact"/>
              <w:jc w:val="center"/>
              <w:rPr>
                <w:rFonts w:ascii="宋体" w:cs="宋体"/>
                <w:szCs w:val="21"/>
              </w:rPr>
            </w:pPr>
            <w:r>
              <w:rPr>
                <w:rFonts w:hint="eastAsia" w:ascii="宋体" w:hAnsi="宋体" w:cs="宋体"/>
                <w:szCs w:val="21"/>
              </w:rPr>
              <w:t>技术职称</w:t>
            </w:r>
          </w:p>
        </w:tc>
        <w:tc>
          <w:tcPr>
            <w:tcW w:w="1010" w:type="dxa"/>
            <w:gridSpan w:val="2"/>
            <w:tcMar>
              <w:left w:w="28" w:type="dxa"/>
              <w:right w:w="28" w:type="dxa"/>
            </w:tcMar>
            <w:vAlign w:val="center"/>
          </w:tcPr>
          <w:p w14:paraId="453ED4D3">
            <w:pPr>
              <w:snapToGrid w:val="0"/>
              <w:spacing w:line="400" w:lineRule="exact"/>
              <w:jc w:val="center"/>
              <w:rPr>
                <w:rFonts w:ascii="宋体" w:cs="宋体"/>
                <w:szCs w:val="21"/>
              </w:rPr>
            </w:pPr>
          </w:p>
        </w:tc>
        <w:tc>
          <w:tcPr>
            <w:tcW w:w="768" w:type="dxa"/>
            <w:gridSpan w:val="2"/>
            <w:tcMar>
              <w:left w:w="28" w:type="dxa"/>
              <w:right w:w="28" w:type="dxa"/>
            </w:tcMar>
            <w:vAlign w:val="center"/>
          </w:tcPr>
          <w:p w14:paraId="0611F69F">
            <w:pPr>
              <w:snapToGrid w:val="0"/>
              <w:spacing w:line="400" w:lineRule="exact"/>
              <w:jc w:val="center"/>
              <w:rPr>
                <w:rFonts w:ascii="宋体" w:cs="宋体"/>
                <w:szCs w:val="21"/>
              </w:rPr>
            </w:pPr>
            <w:r>
              <w:rPr>
                <w:rFonts w:hint="eastAsia" w:ascii="宋体" w:hAnsi="宋体" w:cs="宋体"/>
                <w:szCs w:val="21"/>
              </w:rPr>
              <w:t>电话</w:t>
            </w:r>
          </w:p>
        </w:tc>
        <w:tc>
          <w:tcPr>
            <w:tcW w:w="1730" w:type="dxa"/>
            <w:tcMar>
              <w:left w:w="28" w:type="dxa"/>
              <w:right w:w="28" w:type="dxa"/>
            </w:tcMar>
            <w:vAlign w:val="center"/>
          </w:tcPr>
          <w:p w14:paraId="6F8D4AD5">
            <w:pPr>
              <w:snapToGrid w:val="0"/>
              <w:spacing w:line="400" w:lineRule="exact"/>
              <w:rPr>
                <w:rFonts w:ascii="宋体" w:cs="宋体"/>
                <w:szCs w:val="21"/>
              </w:rPr>
            </w:pPr>
          </w:p>
        </w:tc>
      </w:tr>
      <w:tr w14:paraId="5767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FD4E0F5">
            <w:pPr>
              <w:snapToGrid w:val="0"/>
              <w:spacing w:line="400" w:lineRule="exact"/>
              <w:jc w:val="center"/>
              <w:rPr>
                <w:rFonts w:ascii="宋体" w:cs="宋体"/>
                <w:szCs w:val="21"/>
              </w:rPr>
            </w:pPr>
            <w:r>
              <w:rPr>
                <w:rFonts w:hint="eastAsia" w:ascii="宋体" w:hAnsi="宋体" w:cs="宋体"/>
                <w:szCs w:val="21"/>
              </w:rPr>
              <w:t>成立时间</w:t>
            </w:r>
          </w:p>
        </w:tc>
        <w:tc>
          <w:tcPr>
            <w:tcW w:w="2477" w:type="dxa"/>
            <w:gridSpan w:val="3"/>
            <w:tcMar>
              <w:left w:w="28" w:type="dxa"/>
              <w:right w:w="28" w:type="dxa"/>
            </w:tcMar>
            <w:vAlign w:val="center"/>
          </w:tcPr>
          <w:p w14:paraId="477A67EF">
            <w:pPr>
              <w:snapToGrid w:val="0"/>
              <w:spacing w:line="400" w:lineRule="exact"/>
              <w:rPr>
                <w:rFonts w:ascii="宋体" w:cs="宋体"/>
                <w:szCs w:val="21"/>
              </w:rPr>
            </w:pPr>
          </w:p>
        </w:tc>
        <w:tc>
          <w:tcPr>
            <w:tcW w:w="4787" w:type="dxa"/>
            <w:gridSpan w:val="8"/>
            <w:tcMar>
              <w:left w:w="28" w:type="dxa"/>
              <w:right w:w="28" w:type="dxa"/>
            </w:tcMar>
            <w:vAlign w:val="center"/>
          </w:tcPr>
          <w:p w14:paraId="1076E80D">
            <w:pPr>
              <w:snapToGrid w:val="0"/>
              <w:spacing w:line="400" w:lineRule="exact"/>
              <w:rPr>
                <w:rFonts w:ascii="宋体" w:cs="宋体"/>
                <w:szCs w:val="21"/>
              </w:rPr>
            </w:pPr>
            <w:r>
              <w:rPr>
                <w:rFonts w:hint="eastAsia" w:ascii="宋体" w:hAnsi="宋体" w:cs="宋体"/>
                <w:szCs w:val="21"/>
              </w:rPr>
              <w:t>员工总人数：</w:t>
            </w:r>
          </w:p>
        </w:tc>
      </w:tr>
      <w:tr w14:paraId="5210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550C8FF8">
            <w:pPr>
              <w:snapToGrid w:val="0"/>
              <w:spacing w:line="400" w:lineRule="exact"/>
              <w:jc w:val="center"/>
              <w:rPr>
                <w:rFonts w:ascii="宋体" w:cs="宋体"/>
                <w:szCs w:val="21"/>
              </w:rPr>
            </w:pPr>
            <w:r>
              <w:rPr>
                <w:rFonts w:hint="eastAsia" w:ascii="宋体" w:hAnsi="宋体" w:cs="宋体"/>
                <w:szCs w:val="21"/>
              </w:rPr>
              <w:t>企业资质等级</w:t>
            </w:r>
          </w:p>
        </w:tc>
        <w:tc>
          <w:tcPr>
            <w:tcW w:w="2477" w:type="dxa"/>
            <w:gridSpan w:val="3"/>
            <w:tcMar>
              <w:left w:w="28" w:type="dxa"/>
              <w:right w:w="28" w:type="dxa"/>
            </w:tcMar>
            <w:vAlign w:val="center"/>
          </w:tcPr>
          <w:p w14:paraId="192F3EA2">
            <w:pPr>
              <w:snapToGrid w:val="0"/>
              <w:spacing w:line="400" w:lineRule="exact"/>
              <w:rPr>
                <w:rFonts w:ascii="宋体" w:cs="宋体"/>
                <w:szCs w:val="21"/>
              </w:rPr>
            </w:pPr>
          </w:p>
        </w:tc>
        <w:tc>
          <w:tcPr>
            <w:tcW w:w="952" w:type="dxa"/>
            <w:vMerge w:val="restart"/>
            <w:tcMar>
              <w:left w:w="28" w:type="dxa"/>
              <w:right w:w="28" w:type="dxa"/>
            </w:tcMar>
            <w:vAlign w:val="center"/>
          </w:tcPr>
          <w:p w14:paraId="30ACB508">
            <w:pPr>
              <w:snapToGrid w:val="0"/>
              <w:spacing w:line="400" w:lineRule="exact"/>
              <w:jc w:val="center"/>
              <w:rPr>
                <w:rFonts w:ascii="宋体" w:cs="宋体"/>
                <w:szCs w:val="21"/>
              </w:rPr>
            </w:pPr>
            <w:r>
              <w:rPr>
                <w:rFonts w:hint="eastAsia" w:ascii="宋体" w:hAnsi="宋体" w:cs="宋体"/>
                <w:szCs w:val="21"/>
              </w:rPr>
              <w:t>其中</w:t>
            </w:r>
          </w:p>
        </w:tc>
        <w:tc>
          <w:tcPr>
            <w:tcW w:w="1837" w:type="dxa"/>
            <w:gridSpan w:val="5"/>
            <w:tcMar>
              <w:left w:w="28" w:type="dxa"/>
              <w:right w:w="28" w:type="dxa"/>
            </w:tcMar>
            <w:vAlign w:val="center"/>
          </w:tcPr>
          <w:p w14:paraId="32B7F6B8">
            <w:pPr>
              <w:snapToGrid w:val="0"/>
              <w:spacing w:line="400" w:lineRule="exact"/>
              <w:jc w:val="center"/>
              <w:rPr>
                <w:rFonts w:ascii="宋体" w:cs="宋体"/>
                <w:szCs w:val="21"/>
              </w:rPr>
            </w:pPr>
            <w:r>
              <w:rPr>
                <w:rFonts w:hint="eastAsia" w:ascii="宋体" w:hAnsi="宋体" w:cs="宋体"/>
                <w:szCs w:val="21"/>
              </w:rPr>
              <w:t>高级职称人员</w:t>
            </w:r>
          </w:p>
        </w:tc>
        <w:tc>
          <w:tcPr>
            <w:tcW w:w="1998" w:type="dxa"/>
            <w:gridSpan w:val="2"/>
            <w:tcMar>
              <w:left w:w="28" w:type="dxa"/>
              <w:right w:w="28" w:type="dxa"/>
            </w:tcMar>
            <w:vAlign w:val="center"/>
          </w:tcPr>
          <w:p w14:paraId="4B03E245">
            <w:pPr>
              <w:snapToGrid w:val="0"/>
              <w:spacing w:line="400" w:lineRule="exact"/>
              <w:rPr>
                <w:rFonts w:ascii="宋体" w:cs="宋体"/>
                <w:szCs w:val="21"/>
              </w:rPr>
            </w:pPr>
          </w:p>
        </w:tc>
      </w:tr>
      <w:tr w14:paraId="3C27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2A21C51">
            <w:pPr>
              <w:snapToGrid w:val="0"/>
              <w:spacing w:line="400" w:lineRule="exact"/>
              <w:jc w:val="center"/>
              <w:rPr>
                <w:rFonts w:ascii="宋体" w:cs="宋体"/>
                <w:szCs w:val="21"/>
              </w:rPr>
            </w:pPr>
            <w:r>
              <w:rPr>
                <w:rFonts w:hint="eastAsia" w:ascii="宋体" w:hAnsi="宋体" w:cs="宋体"/>
                <w:szCs w:val="21"/>
              </w:rPr>
              <w:t>营业执照号</w:t>
            </w:r>
          </w:p>
        </w:tc>
        <w:tc>
          <w:tcPr>
            <w:tcW w:w="2477" w:type="dxa"/>
            <w:gridSpan w:val="3"/>
            <w:tcMar>
              <w:left w:w="28" w:type="dxa"/>
              <w:right w:w="28" w:type="dxa"/>
            </w:tcMar>
            <w:vAlign w:val="center"/>
          </w:tcPr>
          <w:p w14:paraId="634FCF86">
            <w:pPr>
              <w:snapToGrid w:val="0"/>
              <w:spacing w:line="400" w:lineRule="exact"/>
              <w:rPr>
                <w:rFonts w:ascii="宋体" w:cs="宋体"/>
                <w:szCs w:val="21"/>
              </w:rPr>
            </w:pPr>
          </w:p>
        </w:tc>
        <w:tc>
          <w:tcPr>
            <w:tcW w:w="952" w:type="dxa"/>
            <w:vMerge w:val="continue"/>
            <w:tcMar>
              <w:left w:w="28" w:type="dxa"/>
              <w:right w:w="28" w:type="dxa"/>
            </w:tcMar>
            <w:vAlign w:val="center"/>
          </w:tcPr>
          <w:p w14:paraId="0BF266A5">
            <w:pPr>
              <w:snapToGrid w:val="0"/>
              <w:spacing w:line="400" w:lineRule="exact"/>
              <w:rPr>
                <w:rFonts w:ascii="宋体" w:cs="宋体"/>
                <w:szCs w:val="21"/>
              </w:rPr>
            </w:pPr>
          </w:p>
        </w:tc>
        <w:tc>
          <w:tcPr>
            <w:tcW w:w="1837" w:type="dxa"/>
            <w:gridSpan w:val="5"/>
            <w:tcMar>
              <w:left w:w="28" w:type="dxa"/>
              <w:right w:w="28" w:type="dxa"/>
            </w:tcMar>
            <w:vAlign w:val="center"/>
          </w:tcPr>
          <w:p w14:paraId="5DCBCA3D">
            <w:pPr>
              <w:snapToGrid w:val="0"/>
              <w:spacing w:line="400" w:lineRule="exact"/>
              <w:jc w:val="center"/>
              <w:rPr>
                <w:rFonts w:ascii="宋体" w:cs="宋体"/>
                <w:szCs w:val="21"/>
              </w:rPr>
            </w:pPr>
            <w:r>
              <w:rPr>
                <w:rFonts w:hint="eastAsia" w:ascii="宋体" w:hAnsi="宋体" w:cs="宋体"/>
                <w:szCs w:val="21"/>
              </w:rPr>
              <w:t>中级职称人员</w:t>
            </w:r>
          </w:p>
        </w:tc>
        <w:tc>
          <w:tcPr>
            <w:tcW w:w="1998" w:type="dxa"/>
            <w:gridSpan w:val="2"/>
            <w:tcMar>
              <w:left w:w="28" w:type="dxa"/>
              <w:right w:w="28" w:type="dxa"/>
            </w:tcMar>
            <w:vAlign w:val="center"/>
          </w:tcPr>
          <w:p w14:paraId="2D03BF68">
            <w:pPr>
              <w:snapToGrid w:val="0"/>
              <w:spacing w:line="400" w:lineRule="exact"/>
              <w:rPr>
                <w:rFonts w:ascii="宋体" w:cs="宋体"/>
                <w:szCs w:val="21"/>
              </w:rPr>
            </w:pPr>
          </w:p>
        </w:tc>
      </w:tr>
      <w:tr w14:paraId="582A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0BECE527">
            <w:pPr>
              <w:snapToGrid w:val="0"/>
              <w:spacing w:line="400" w:lineRule="exact"/>
              <w:jc w:val="center"/>
              <w:rPr>
                <w:rFonts w:ascii="宋体" w:cs="宋体"/>
                <w:szCs w:val="21"/>
              </w:rPr>
            </w:pPr>
            <w:r>
              <w:rPr>
                <w:rFonts w:hint="eastAsia" w:ascii="宋体" w:hAnsi="宋体" w:cs="宋体"/>
                <w:szCs w:val="21"/>
              </w:rPr>
              <w:t>注册资金</w:t>
            </w:r>
          </w:p>
        </w:tc>
        <w:tc>
          <w:tcPr>
            <w:tcW w:w="2477" w:type="dxa"/>
            <w:gridSpan w:val="3"/>
            <w:tcMar>
              <w:left w:w="28" w:type="dxa"/>
              <w:right w:w="28" w:type="dxa"/>
            </w:tcMar>
            <w:vAlign w:val="center"/>
          </w:tcPr>
          <w:p w14:paraId="455247D3">
            <w:pPr>
              <w:snapToGrid w:val="0"/>
              <w:spacing w:line="400" w:lineRule="exact"/>
              <w:rPr>
                <w:rFonts w:ascii="宋体" w:cs="宋体"/>
                <w:szCs w:val="21"/>
              </w:rPr>
            </w:pPr>
          </w:p>
        </w:tc>
        <w:tc>
          <w:tcPr>
            <w:tcW w:w="952" w:type="dxa"/>
            <w:vMerge w:val="continue"/>
            <w:tcMar>
              <w:left w:w="28" w:type="dxa"/>
              <w:right w:w="28" w:type="dxa"/>
            </w:tcMar>
            <w:vAlign w:val="center"/>
          </w:tcPr>
          <w:p w14:paraId="37C9748D">
            <w:pPr>
              <w:snapToGrid w:val="0"/>
              <w:spacing w:line="400" w:lineRule="exact"/>
              <w:rPr>
                <w:rFonts w:ascii="宋体" w:cs="宋体"/>
                <w:szCs w:val="21"/>
              </w:rPr>
            </w:pPr>
          </w:p>
        </w:tc>
        <w:tc>
          <w:tcPr>
            <w:tcW w:w="1837" w:type="dxa"/>
            <w:gridSpan w:val="5"/>
            <w:tcMar>
              <w:left w:w="28" w:type="dxa"/>
              <w:right w:w="28" w:type="dxa"/>
            </w:tcMar>
            <w:vAlign w:val="center"/>
          </w:tcPr>
          <w:p w14:paraId="489C0789">
            <w:pPr>
              <w:snapToGrid w:val="0"/>
              <w:spacing w:line="400" w:lineRule="exact"/>
              <w:jc w:val="center"/>
              <w:rPr>
                <w:rFonts w:ascii="宋体" w:cs="宋体"/>
                <w:szCs w:val="21"/>
              </w:rPr>
            </w:pPr>
            <w:r>
              <w:rPr>
                <w:rFonts w:hint="eastAsia" w:ascii="宋体" w:hAnsi="宋体" w:cs="宋体"/>
                <w:szCs w:val="21"/>
              </w:rPr>
              <w:t>初级职称人员</w:t>
            </w:r>
          </w:p>
        </w:tc>
        <w:tc>
          <w:tcPr>
            <w:tcW w:w="1998" w:type="dxa"/>
            <w:gridSpan w:val="2"/>
            <w:tcMar>
              <w:left w:w="28" w:type="dxa"/>
              <w:right w:w="28" w:type="dxa"/>
            </w:tcMar>
            <w:vAlign w:val="center"/>
          </w:tcPr>
          <w:p w14:paraId="059637A2">
            <w:pPr>
              <w:snapToGrid w:val="0"/>
              <w:spacing w:line="400" w:lineRule="exact"/>
              <w:rPr>
                <w:rFonts w:ascii="宋体" w:cs="宋体"/>
                <w:szCs w:val="21"/>
              </w:rPr>
            </w:pPr>
          </w:p>
        </w:tc>
      </w:tr>
      <w:tr w14:paraId="1528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2D45488">
            <w:pPr>
              <w:snapToGrid w:val="0"/>
              <w:spacing w:line="400" w:lineRule="exact"/>
              <w:jc w:val="center"/>
              <w:rPr>
                <w:rFonts w:ascii="宋体" w:cs="宋体"/>
                <w:szCs w:val="21"/>
              </w:rPr>
            </w:pPr>
            <w:r>
              <w:rPr>
                <w:rFonts w:hint="eastAsia" w:ascii="宋体" w:hAnsi="宋体" w:cs="宋体"/>
                <w:szCs w:val="21"/>
              </w:rPr>
              <w:t>开户银行</w:t>
            </w:r>
          </w:p>
        </w:tc>
        <w:tc>
          <w:tcPr>
            <w:tcW w:w="2477" w:type="dxa"/>
            <w:gridSpan w:val="3"/>
            <w:tcMar>
              <w:left w:w="28" w:type="dxa"/>
              <w:right w:w="28" w:type="dxa"/>
            </w:tcMar>
            <w:vAlign w:val="center"/>
          </w:tcPr>
          <w:p w14:paraId="7673D7EC">
            <w:pPr>
              <w:snapToGrid w:val="0"/>
              <w:spacing w:line="400" w:lineRule="exact"/>
              <w:rPr>
                <w:rFonts w:ascii="宋体" w:cs="宋体"/>
                <w:szCs w:val="21"/>
              </w:rPr>
            </w:pPr>
          </w:p>
        </w:tc>
        <w:tc>
          <w:tcPr>
            <w:tcW w:w="952" w:type="dxa"/>
            <w:vMerge w:val="continue"/>
            <w:tcMar>
              <w:left w:w="28" w:type="dxa"/>
              <w:right w:w="28" w:type="dxa"/>
            </w:tcMar>
            <w:vAlign w:val="center"/>
          </w:tcPr>
          <w:p w14:paraId="69ED42C9">
            <w:pPr>
              <w:snapToGrid w:val="0"/>
              <w:spacing w:line="400" w:lineRule="exact"/>
              <w:rPr>
                <w:rFonts w:ascii="宋体" w:cs="宋体"/>
                <w:szCs w:val="21"/>
              </w:rPr>
            </w:pPr>
          </w:p>
        </w:tc>
        <w:tc>
          <w:tcPr>
            <w:tcW w:w="1837" w:type="dxa"/>
            <w:gridSpan w:val="5"/>
            <w:tcMar>
              <w:left w:w="28" w:type="dxa"/>
              <w:right w:w="28" w:type="dxa"/>
            </w:tcMar>
            <w:vAlign w:val="center"/>
          </w:tcPr>
          <w:p w14:paraId="4EFECFF8">
            <w:pPr>
              <w:snapToGrid w:val="0"/>
              <w:spacing w:line="400" w:lineRule="exact"/>
              <w:rPr>
                <w:rFonts w:ascii="宋体" w:cs="宋体"/>
                <w:szCs w:val="21"/>
              </w:rPr>
            </w:pPr>
          </w:p>
        </w:tc>
        <w:tc>
          <w:tcPr>
            <w:tcW w:w="1998" w:type="dxa"/>
            <w:gridSpan w:val="2"/>
            <w:tcMar>
              <w:left w:w="28" w:type="dxa"/>
              <w:right w:w="28" w:type="dxa"/>
            </w:tcMar>
            <w:vAlign w:val="center"/>
          </w:tcPr>
          <w:p w14:paraId="3ACFDC69">
            <w:pPr>
              <w:snapToGrid w:val="0"/>
              <w:spacing w:line="400" w:lineRule="exact"/>
              <w:rPr>
                <w:rFonts w:ascii="宋体" w:cs="宋体"/>
                <w:szCs w:val="21"/>
              </w:rPr>
            </w:pPr>
          </w:p>
        </w:tc>
      </w:tr>
      <w:tr w14:paraId="0844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EF96A90">
            <w:pPr>
              <w:snapToGrid w:val="0"/>
              <w:spacing w:line="400" w:lineRule="exact"/>
              <w:jc w:val="center"/>
              <w:rPr>
                <w:rFonts w:ascii="宋体" w:cs="宋体"/>
                <w:szCs w:val="21"/>
              </w:rPr>
            </w:pPr>
            <w:r>
              <w:rPr>
                <w:rFonts w:hint="eastAsia" w:ascii="宋体" w:hAnsi="宋体" w:cs="宋体"/>
                <w:szCs w:val="21"/>
              </w:rPr>
              <w:t>账号</w:t>
            </w:r>
          </w:p>
        </w:tc>
        <w:tc>
          <w:tcPr>
            <w:tcW w:w="2477" w:type="dxa"/>
            <w:gridSpan w:val="3"/>
            <w:tcMar>
              <w:left w:w="28" w:type="dxa"/>
              <w:right w:w="28" w:type="dxa"/>
            </w:tcMar>
            <w:vAlign w:val="center"/>
          </w:tcPr>
          <w:p w14:paraId="31C2BB1E">
            <w:pPr>
              <w:snapToGrid w:val="0"/>
              <w:spacing w:line="400" w:lineRule="exact"/>
              <w:rPr>
                <w:rFonts w:ascii="宋体" w:cs="宋体"/>
                <w:szCs w:val="21"/>
              </w:rPr>
            </w:pPr>
          </w:p>
        </w:tc>
        <w:tc>
          <w:tcPr>
            <w:tcW w:w="952" w:type="dxa"/>
            <w:vMerge w:val="continue"/>
            <w:tcMar>
              <w:left w:w="28" w:type="dxa"/>
              <w:right w:w="28" w:type="dxa"/>
            </w:tcMar>
            <w:vAlign w:val="center"/>
          </w:tcPr>
          <w:p w14:paraId="4B307414">
            <w:pPr>
              <w:snapToGrid w:val="0"/>
              <w:spacing w:line="400" w:lineRule="exact"/>
              <w:rPr>
                <w:rFonts w:ascii="宋体" w:cs="宋体"/>
                <w:szCs w:val="21"/>
              </w:rPr>
            </w:pPr>
          </w:p>
        </w:tc>
        <w:tc>
          <w:tcPr>
            <w:tcW w:w="1837" w:type="dxa"/>
            <w:gridSpan w:val="5"/>
            <w:tcMar>
              <w:left w:w="28" w:type="dxa"/>
              <w:right w:w="28" w:type="dxa"/>
            </w:tcMar>
            <w:vAlign w:val="center"/>
          </w:tcPr>
          <w:p w14:paraId="695CB795">
            <w:pPr>
              <w:snapToGrid w:val="0"/>
              <w:spacing w:line="400" w:lineRule="exact"/>
              <w:rPr>
                <w:rFonts w:ascii="宋体" w:cs="宋体"/>
                <w:szCs w:val="21"/>
              </w:rPr>
            </w:pPr>
          </w:p>
        </w:tc>
        <w:tc>
          <w:tcPr>
            <w:tcW w:w="1998" w:type="dxa"/>
            <w:gridSpan w:val="2"/>
            <w:tcMar>
              <w:left w:w="28" w:type="dxa"/>
              <w:right w:w="28" w:type="dxa"/>
            </w:tcMar>
            <w:vAlign w:val="center"/>
          </w:tcPr>
          <w:p w14:paraId="28CA9CBC">
            <w:pPr>
              <w:snapToGrid w:val="0"/>
              <w:spacing w:line="400" w:lineRule="exact"/>
              <w:rPr>
                <w:rFonts w:ascii="宋体" w:cs="宋体"/>
                <w:szCs w:val="21"/>
              </w:rPr>
            </w:pPr>
          </w:p>
        </w:tc>
      </w:tr>
      <w:tr w14:paraId="27DB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14:paraId="3FE977D4">
            <w:pPr>
              <w:snapToGrid w:val="0"/>
              <w:spacing w:line="400" w:lineRule="exact"/>
              <w:jc w:val="center"/>
              <w:rPr>
                <w:rFonts w:ascii="宋体" w:cs="宋体"/>
                <w:szCs w:val="21"/>
              </w:rPr>
            </w:pPr>
            <w:r>
              <w:rPr>
                <w:rFonts w:hint="eastAsia" w:ascii="宋体" w:hAnsi="宋体" w:cs="宋体"/>
                <w:szCs w:val="21"/>
              </w:rPr>
              <w:t>经营范围</w:t>
            </w:r>
          </w:p>
        </w:tc>
        <w:tc>
          <w:tcPr>
            <w:tcW w:w="7264" w:type="dxa"/>
            <w:gridSpan w:val="11"/>
            <w:tcMar>
              <w:left w:w="28" w:type="dxa"/>
              <w:right w:w="28" w:type="dxa"/>
            </w:tcMar>
            <w:vAlign w:val="center"/>
          </w:tcPr>
          <w:p w14:paraId="257A62C5">
            <w:pPr>
              <w:snapToGrid w:val="0"/>
              <w:spacing w:line="400" w:lineRule="exact"/>
              <w:rPr>
                <w:rFonts w:ascii="宋体" w:cs="宋体"/>
                <w:szCs w:val="21"/>
              </w:rPr>
            </w:pPr>
          </w:p>
        </w:tc>
      </w:tr>
      <w:tr w14:paraId="05ED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14:paraId="0F0CB5A2">
            <w:pPr>
              <w:snapToGrid w:val="0"/>
              <w:spacing w:line="400" w:lineRule="exact"/>
              <w:jc w:val="center"/>
              <w:rPr>
                <w:rFonts w:ascii="宋体" w:cs="宋体"/>
                <w:szCs w:val="21"/>
              </w:rPr>
            </w:pPr>
            <w:r>
              <w:rPr>
                <w:rFonts w:hint="eastAsia" w:ascii="宋体" w:hAnsi="宋体" w:cs="宋体"/>
                <w:szCs w:val="21"/>
              </w:rPr>
              <w:t>备注</w:t>
            </w:r>
          </w:p>
        </w:tc>
        <w:tc>
          <w:tcPr>
            <w:tcW w:w="7264" w:type="dxa"/>
            <w:gridSpan w:val="11"/>
            <w:tcMar>
              <w:left w:w="28" w:type="dxa"/>
              <w:right w:w="28" w:type="dxa"/>
            </w:tcMar>
            <w:vAlign w:val="center"/>
          </w:tcPr>
          <w:p w14:paraId="5E2D07D4">
            <w:pPr>
              <w:snapToGrid w:val="0"/>
              <w:spacing w:line="400" w:lineRule="exact"/>
              <w:rPr>
                <w:rFonts w:ascii="宋体" w:cs="宋体"/>
                <w:szCs w:val="21"/>
              </w:rPr>
            </w:pPr>
          </w:p>
        </w:tc>
      </w:tr>
    </w:tbl>
    <w:p w14:paraId="00E6BAD1">
      <w:pPr>
        <w:snapToGrid w:val="0"/>
        <w:spacing w:line="400" w:lineRule="exact"/>
        <w:rPr>
          <w:rFonts w:ascii="宋体" w:cs="宋体"/>
          <w:szCs w:val="21"/>
        </w:rPr>
      </w:pPr>
    </w:p>
    <w:p w14:paraId="0D6C5A1A">
      <w:pPr>
        <w:snapToGrid w:val="0"/>
        <w:spacing w:line="400" w:lineRule="exact"/>
        <w:rPr>
          <w:rFonts w:ascii="宋体" w:cs="宋体"/>
          <w:szCs w:val="21"/>
        </w:rPr>
      </w:pPr>
      <w:r>
        <w:rPr>
          <w:rFonts w:ascii="宋体" w:cs="宋体"/>
          <w:szCs w:val="21"/>
        </w:rPr>
        <w:br w:type="page"/>
      </w:r>
      <w:bookmarkStart w:id="116" w:name="_Toc31992"/>
      <w:r>
        <w:rPr>
          <w:rFonts w:hint="eastAsia" w:ascii="宋体" w:hAnsi="宋体" w:cs="宋体"/>
          <w:szCs w:val="21"/>
        </w:rPr>
        <w:t>格式五：以往业绩</w:t>
      </w:r>
      <w:bookmarkEnd w:id="116"/>
      <w:r>
        <w:rPr>
          <w:rFonts w:hint="eastAsia" w:ascii="宋体" w:hAnsi="宋体" w:cs="宋体"/>
          <w:szCs w:val="21"/>
        </w:rPr>
        <w:t>一览表</w:t>
      </w:r>
    </w:p>
    <w:p w14:paraId="53ECB934">
      <w:pPr>
        <w:snapToGrid w:val="0"/>
        <w:spacing w:line="400" w:lineRule="exact"/>
        <w:rPr>
          <w:rFonts w:ascii="宋体" w:cs="宋体"/>
          <w:szCs w:val="21"/>
        </w:rPr>
      </w:pPr>
    </w:p>
    <w:p w14:paraId="71DD5431">
      <w:pPr>
        <w:snapToGrid w:val="0"/>
        <w:spacing w:line="400" w:lineRule="exact"/>
        <w:jc w:val="center"/>
        <w:rPr>
          <w:rFonts w:ascii="宋体" w:cs="宋体"/>
          <w:b/>
          <w:bCs/>
          <w:sz w:val="28"/>
          <w:szCs w:val="28"/>
        </w:rPr>
      </w:pPr>
      <w:r>
        <w:rPr>
          <w:rFonts w:hint="eastAsia" w:ascii="宋体" w:hAnsi="宋体" w:cs="宋体"/>
          <w:b/>
          <w:bCs/>
          <w:sz w:val="28"/>
          <w:szCs w:val="28"/>
        </w:rPr>
        <w:t>以往业绩一览表</w:t>
      </w:r>
    </w:p>
    <w:tbl>
      <w:tblPr>
        <w:tblStyle w:val="28"/>
        <w:tblW w:w="884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61"/>
        <w:gridCol w:w="1702"/>
        <w:gridCol w:w="2028"/>
        <w:gridCol w:w="1143"/>
        <w:gridCol w:w="1260"/>
        <w:gridCol w:w="2052"/>
      </w:tblGrid>
      <w:tr w14:paraId="32980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61" w:type="dxa"/>
            <w:tcBorders>
              <w:top w:val="single" w:color="auto" w:sz="4" w:space="0"/>
              <w:bottom w:val="single" w:color="auto" w:sz="4" w:space="0"/>
            </w:tcBorders>
            <w:tcMar>
              <w:left w:w="0" w:type="dxa"/>
              <w:right w:w="0" w:type="dxa"/>
            </w:tcMar>
            <w:vAlign w:val="center"/>
          </w:tcPr>
          <w:p w14:paraId="45C59EBE">
            <w:pPr>
              <w:snapToGrid w:val="0"/>
              <w:spacing w:line="400" w:lineRule="exact"/>
              <w:jc w:val="center"/>
              <w:rPr>
                <w:rFonts w:ascii="宋体" w:cs="宋体"/>
                <w:szCs w:val="21"/>
              </w:rPr>
            </w:pPr>
            <w:r>
              <w:rPr>
                <w:rFonts w:hint="eastAsia" w:ascii="宋体" w:hAnsi="宋体" w:cs="宋体"/>
                <w:szCs w:val="21"/>
              </w:rPr>
              <w:t>序号</w:t>
            </w:r>
          </w:p>
        </w:tc>
        <w:tc>
          <w:tcPr>
            <w:tcW w:w="1702" w:type="dxa"/>
            <w:tcBorders>
              <w:top w:val="single" w:color="auto" w:sz="4" w:space="0"/>
              <w:bottom w:val="single" w:color="auto" w:sz="4" w:space="0"/>
            </w:tcBorders>
            <w:tcMar>
              <w:left w:w="0" w:type="dxa"/>
              <w:right w:w="0" w:type="dxa"/>
            </w:tcMar>
            <w:vAlign w:val="center"/>
          </w:tcPr>
          <w:p w14:paraId="1AC46980">
            <w:pPr>
              <w:snapToGrid w:val="0"/>
              <w:spacing w:line="400" w:lineRule="exact"/>
              <w:jc w:val="center"/>
              <w:rPr>
                <w:rFonts w:ascii="宋体" w:cs="宋体"/>
                <w:szCs w:val="21"/>
              </w:rPr>
            </w:pPr>
            <w:r>
              <w:rPr>
                <w:rFonts w:hint="eastAsia" w:ascii="宋体" w:hAnsi="宋体" w:cs="宋体"/>
                <w:szCs w:val="21"/>
              </w:rPr>
              <w:t>项目名称</w:t>
            </w:r>
          </w:p>
        </w:tc>
        <w:tc>
          <w:tcPr>
            <w:tcW w:w="2028" w:type="dxa"/>
            <w:tcBorders>
              <w:top w:val="single" w:color="auto" w:sz="4" w:space="0"/>
              <w:bottom w:val="single" w:color="auto" w:sz="4" w:space="0"/>
            </w:tcBorders>
            <w:tcMar>
              <w:left w:w="0" w:type="dxa"/>
              <w:right w:w="0" w:type="dxa"/>
            </w:tcMar>
            <w:vAlign w:val="center"/>
          </w:tcPr>
          <w:p w14:paraId="719AFE55">
            <w:pPr>
              <w:snapToGrid w:val="0"/>
              <w:spacing w:line="400" w:lineRule="exact"/>
              <w:jc w:val="center"/>
              <w:rPr>
                <w:rFonts w:ascii="宋体" w:cs="宋体"/>
                <w:szCs w:val="21"/>
              </w:rPr>
            </w:pPr>
            <w:r>
              <w:rPr>
                <w:rFonts w:hint="eastAsia" w:ascii="宋体" w:hAnsi="宋体" w:cs="宋体"/>
                <w:szCs w:val="21"/>
              </w:rPr>
              <w:t>业主名称</w:t>
            </w:r>
          </w:p>
        </w:tc>
        <w:tc>
          <w:tcPr>
            <w:tcW w:w="1143" w:type="dxa"/>
            <w:tcBorders>
              <w:top w:val="single" w:color="auto" w:sz="4" w:space="0"/>
              <w:bottom w:val="single" w:color="auto" w:sz="4" w:space="0"/>
            </w:tcBorders>
            <w:tcMar>
              <w:left w:w="0" w:type="dxa"/>
              <w:right w:w="0" w:type="dxa"/>
            </w:tcMar>
            <w:vAlign w:val="center"/>
          </w:tcPr>
          <w:p w14:paraId="2CEAB921">
            <w:pPr>
              <w:snapToGrid w:val="0"/>
              <w:spacing w:line="400" w:lineRule="exact"/>
              <w:jc w:val="center"/>
              <w:rPr>
                <w:rFonts w:ascii="宋体" w:cs="宋体"/>
                <w:szCs w:val="21"/>
              </w:rPr>
            </w:pPr>
            <w:r>
              <w:rPr>
                <w:rFonts w:hint="eastAsia" w:ascii="宋体" w:hAnsi="宋体" w:cs="宋体"/>
                <w:szCs w:val="21"/>
              </w:rPr>
              <w:t>合同金额</w:t>
            </w:r>
          </w:p>
        </w:tc>
        <w:tc>
          <w:tcPr>
            <w:tcW w:w="1260" w:type="dxa"/>
            <w:tcBorders>
              <w:top w:val="single" w:color="auto" w:sz="4" w:space="0"/>
              <w:bottom w:val="single" w:color="auto" w:sz="4" w:space="0"/>
            </w:tcBorders>
            <w:tcMar>
              <w:left w:w="0" w:type="dxa"/>
              <w:right w:w="0" w:type="dxa"/>
            </w:tcMar>
            <w:vAlign w:val="center"/>
          </w:tcPr>
          <w:p w14:paraId="12556132">
            <w:pPr>
              <w:snapToGrid w:val="0"/>
              <w:spacing w:line="400" w:lineRule="exact"/>
              <w:jc w:val="center"/>
              <w:rPr>
                <w:rFonts w:ascii="宋体" w:cs="宋体"/>
                <w:szCs w:val="21"/>
              </w:rPr>
            </w:pPr>
            <w:r>
              <w:rPr>
                <w:rFonts w:hint="eastAsia" w:ascii="宋体" w:hAnsi="宋体" w:cs="宋体"/>
                <w:szCs w:val="21"/>
              </w:rPr>
              <w:t>合同签订</w:t>
            </w:r>
          </w:p>
          <w:p w14:paraId="24989BF3">
            <w:pPr>
              <w:snapToGrid w:val="0"/>
              <w:spacing w:line="400" w:lineRule="exact"/>
              <w:jc w:val="center"/>
              <w:rPr>
                <w:rFonts w:ascii="宋体" w:cs="宋体"/>
                <w:szCs w:val="21"/>
              </w:rPr>
            </w:pPr>
            <w:r>
              <w:rPr>
                <w:rFonts w:hint="eastAsia" w:ascii="宋体" w:hAnsi="宋体" w:cs="宋体"/>
                <w:szCs w:val="21"/>
              </w:rPr>
              <w:t>时间</w:t>
            </w:r>
          </w:p>
        </w:tc>
        <w:tc>
          <w:tcPr>
            <w:tcW w:w="2052" w:type="dxa"/>
            <w:tcBorders>
              <w:top w:val="single" w:color="auto" w:sz="4" w:space="0"/>
              <w:bottom w:val="single" w:color="auto" w:sz="4" w:space="0"/>
            </w:tcBorders>
            <w:tcMar>
              <w:left w:w="0" w:type="dxa"/>
              <w:right w:w="0" w:type="dxa"/>
            </w:tcMar>
            <w:vAlign w:val="center"/>
          </w:tcPr>
          <w:p w14:paraId="33A3A4E0">
            <w:pPr>
              <w:snapToGrid w:val="0"/>
              <w:spacing w:line="400" w:lineRule="exact"/>
              <w:jc w:val="center"/>
              <w:rPr>
                <w:rFonts w:ascii="宋体" w:cs="宋体"/>
                <w:szCs w:val="21"/>
              </w:rPr>
            </w:pPr>
            <w:r>
              <w:rPr>
                <w:rFonts w:hint="eastAsia" w:ascii="宋体" w:hAnsi="宋体" w:cs="宋体"/>
                <w:szCs w:val="21"/>
              </w:rPr>
              <w:t>联系人</w:t>
            </w:r>
            <w:r>
              <w:rPr>
                <w:rFonts w:ascii="宋体" w:hAnsi="宋体" w:cs="宋体"/>
                <w:szCs w:val="21"/>
              </w:rPr>
              <w:t>/</w:t>
            </w:r>
            <w:r>
              <w:rPr>
                <w:rFonts w:hint="eastAsia" w:ascii="宋体" w:hAnsi="宋体" w:cs="宋体"/>
                <w:szCs w:val="21"/>
              </w:rPr>
              <w:t>电话</w:t>
            </w:r>
          </w:p>
        </w:tc>
      </w:tr>
      <w:tr w14:paraId="432619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903" w:hRule="atLeast"/>
        </w:trPr>
        <w:tc>
          <w:tcPr>
            <w:tcW w:w="661" w:type="dxa"/>
            <w:tcBorders>
              <w:top w:val="single" w:color="auto" w:sz="4" w:space="0"/>
            </w:tcBorders>
            <w:tcMar>
              <w:left w:w="0" w:type="dxa"/>
              <w:right w:w="0" w:type="dxa"/>
            </w:tcMar>
            <w:vAlign w:val="center"/>
          </w:tcPr>
          <w:p w14:paraId="6EA22DC0">
            <w:pPr>
              <w:snapToGrid w:val="0"/>
              <w:spacing w:line="400" w:lineRule="exact"/>
              <w:jc w:val="center"/>
              <w:rPr>
                <w:rFonts w:ascii="宋体" w:cs="宋体"/>
                <w:szCs w:val="21"/>
              </w:rPr>
            </w:pPr>
            <w:r>
              <w:rPr>
                <w:rFonts w:ascii="宋体" w:hAnsi="宋体" w:cs="宋体"/>
                <w:szCs w:val="21"/>
              </w:rPr>
              <w:t>1</w:t>
            </w:r>
          </w:p>
        </w:tc>
        <w:tc>
          <w:tcPr>
            <w:tcW w:w="1702" w:type="dxa"/>
            <w:tcBorders>
              <w:top w:val="single" w:color="auto" w:sz="4" w:space="0"/>
            </w:tcBorders>
            <w:tcMar>
              <w:left w:w="0" w:type="dxa"/>
              <w:right w:w="0" w:type="dxa"/>
            </w:tcMar>
            <w:vAlign w:val="center"/>
          </w:tcPr>
          <w:p w14:paraId="051DFC3D">
            <w:pPr>
              <w:snapToGrid w:val="0"/>
              <w:spacing w:line="400" w:lineRule="exact"/>
              <w:jc w:val="center"/>
              <w:rPr>
                <w:rFonts w:ascii="宋体" w:cs="宋体"/>
                <w:szCs w:val="21"/>
              </w:rPr>
            </w:pPr>
          </w:p>
        </w:tc>
        <w:tc>
          <w:tcPr>
            <w:tcW w:w="2028" w:type="dxa"/>
            <w:tcBorders>
              <w:top w:val="single" w:color="auto" w:sz="4" w:space="0"/>
            </w:tcBorders>
            <w:tcMar>
              <w:left w:w="0" w:type="dxa"/>
              <w:right w:w="0" w:type="dxa"/>
            </w:tcMar>
            <w:vAlign w:val="center"/>
          </w:tcPr>
          <w:p w14:paraId="50F8A7B5">
            <w:pPr>
              <w:snapToGrid w:val="0"/>
              <w:spacing w:line="400" w:lineRule="exact"/>
              <w:jc w:val="center"/>
              <w:rPr>
                <w:rFonts w:ascii="宋体" w:cs="宋体"/>
                <w:szCs w:val="21"/>
              </w:rPr>
            </w:pPr>
          </w:p>
        </w:tc>
        <w:tc>
          <w:tcPr>
            <w:tcW w:w="1143" w:type="dxa"/>
            <w:tcBorders>
              <w:top w:val="single" w:color="auto" w:sz="4" w:space="0"/>
            </w:tcBorders>
            <w:tcMar>
              <w:left w:w="0" w:type="dxa"/>
              <w:right w:w="0" w:type="dxa"/>
            </w:tcMar>
            <w:vAlign w:val="center"/>
          </w:tcPr>
          <w:p w14:paraId="163BE6B6">
            <w:pPr>
              <w:snapToGrid w:val="0"/>
              <w:spacing w:line="400" w:lineRule="exact"/>
              <w:jc w:val="center"/>
              <w:rPr>
                <w:rFonts w:ascii="宋体" w:cs="宋体"/>
                <w:szCs w:val="21"/>
              </w:rPr>
            </w:pPr>
          </w:p>
        </w:tc>
        <w:tc>
          <w:tcPr>
            <w:tcW w:w="1260" w:type="dxa"/>
            <w:tcBorders>
              <w:top w:val="single" w:color="auto" w:sz="4" w:space="0"/>
            </w:tcBorders>
            <w:tcMar>
              <w:left w:w="0" w:type="dxa"/>
              <w:right w:w="0" w:type="dxa"/>
            </w:tcMar>
            <w:vAlign w:val="center"/>
          </w:tcPr>
          <w:p w14:paraId="7A76FB55">
            <w:pPr>
              <w:snapToGrid w:val="0"/>
              <w:spacing w:line="400" w:lineRule="exact"/>
              <w:jc w:val="center"/>
              <w:rPr>
                <w:rFonts w:ascii="宋体" w:cs="宋体"/>
                <w:szCs w:val="21"/>
              </w:rPr>
            </w:pPr>
          </w:p>
        </w:tc>
        <w:tc>
          <w:tcPr>
            <w:tcW w:w="2052" w:type="dxa"/>
            <w:tcBorders>
              <w:top w:val="single" w:color="auto" w:sz="4" w:space="0"/>
            </w:tcBorders>
            <w:tcMar>
              <w:left w:w="0" w:type="dxa"/>
              <w:right w:w="0" w:type="dxa"/>
            </w:tcMar>
            <w:vAlign w:val="center"/>
          </w:tcPr>
          <w:p w14:paraId="74375A29">
            <w:pPr>
              <w:snapToGrid w:val="0"/>
              <w:spacing w:line="400" w:lineRule="exact"/>
              <w:jc w:val="center"/>
              <w:rPr>
                <w:rFonts w:ascii="宋体" w:cs="宋体"/>
                <w:szCs w:val="21"/>
              </w:rPr>
            </w:pPr>
          </w:p>
        </w:tc>
      </w:tr>
    </w:tbl>
    <w:p w14:paraId="43A0EA8D">
      <w:pPr>
        <w:snapToGrid w:val="0"/>
        <w:spacing w:line="400" w:lineRule="exact"/>
        <w:rPr>
          <w:rFonts w:ascii="宋体" w:cs="宋体"/>
          <w:szCs w:val="21"/>
        </w:rPr>
      </w:pPr>
      <w:r>
        <w:rPr>
          <w:rFonts w:hint="eastAsia" w:ascii="宋体" w:hAnsi="宋体" w:cs="宋体"/>
          <w:szCs w:val="21"/>
        </w:rPr>
        <w:t>注：根据评分标准要求提供相关证明材料。</w:t>
      </w:r>
    </w:p>
    <w:p w14:paraId="11DDA8F8">
      <w:pPr>
        <w:snapToGrid w:val="0"/>
        <w:spacing w:line="400" w:lineRule="exact"/>
        <w:rPr>
          <w:rFonts w:ascii="宋体" w:cs="宋体"/>
          <w:szCs w:val="21"/>
        </w:rPr>
      </w:pPr>
    </w:p>
    <w:p w14:paraId="5D93F467">
      <w:pPr>
        <w:snapToGrid w:val="0"/>
        <w:spacing w:line="400" w:lineRule="exact"/>
        <w:rPr>
          <w:rFonts w:ascii="宋体" w:cs="宋体"/>
          <w:szCs w:val="21"/>
        </w:rPr>
      </w:pPr>
    </w:p>
    <w:p w14:paraId="75D9CFEB">
      <w:pPr>
        <w:snapToGrid w:val="0"/>
        <w:spacing w:line="400" w:lineRule="exact"/>
        <w:rPr>
          <w:rFonts w:ascii="宋体" w:cs="宋体"/>
          <w:szCs w:val="21"/>
        </w:rPr>
      </w:pPr>
      <w:r>
        <w:rPr>
          <w:rFonts w:hint="eastAsia" w:ascii="宋体" w:hAnsi="宋体" w:cs="宋体"/>
          <w:szCs w:val="21"/>
        </w:rPr>
        <w:t>投标人全称（加盖公章）：</w:t>
      </w:r>
    </w:p>
    <w:p w14:paraId="562EBC0B">
      <w:pPr>
        <w:snapToGrid w:val="0"/>
        <w:spacing w:line="400" w:lineRule="exact"/>
        <w:rPr>
          <w:rFonts w:ascii="宋体" w:cs="宋体"/>
          <w:szCs w:val="21"/>
        </w:rPr>
      </w:pPr>
      <w:r>
        <w:rPr>
          <w:rFonts w:hint="eastAsia" w:ascii="宋体" w:hAnsi="宋体" w:cs="宋体"/>
          <w:szCs w:val="21"/>
        </w:rPr>
        <w:t>法定代表人或授权代表（签字</w:t>
      </w:r>
      <w:r>
        <w:rPr>
          <w:rFonts w:hint="eastAsia" w:ascii="宋体" w:hAnsi="宋体" w:cs="宋体"/>
          <w:szCs w:val="21"/>
          <w:lang w:eastAsia="zh-CN"/>
        </w:rPr>
        <w:t>或盖章</w:t>
      </w:r>
      <w:r>
        <w:rPr>
          <w:rFonts w:hint="eastAsia" w:ascii="宋体" w:hAnsi="宋体" w:cs="宋体"/>
          <w:szCs w:val="21"/>
        </w:rPr>
        <w:t>）：</w:t>
      </w:r>
    </w:p>
    <w:p w14:paraId="08C6EE93">
      <w:pPr>
        <w:snapToGrid w:val="0"/>
        <w:spacing w:line="400" w:lineRule="exact"/>
        <w:rPr>
          <w:rFonts w:ascii="宋体" w:cs="宋体"/>
          <w:szCs w:val="21"/>
        </w:rPr>
      </w:pPr>
      <w:r>
        <w:rPr>
          <w:rFonts w:hint="eastAsia" w:ascii="宋体" w:hAnsi="宋体" w:cs="宋体"/>
          <w:szCs w:val="21"/>
        </w:rPr>
        <w:t>年月日</w:t>
      </w:r>
    </w:p>
    <w:p w14:paraId="4D62EE9E">
      <w:pPr>
        <w:snapToGrid w:val="0"/>
        <w:spacing w:line="400" w:lineRule="exact"/>
        <w:rPr>
          <w:rFonts w:ascii="宋体" w:cs="宋体"/>
          <w:szCs w:val="21"/>
        </w:rPr>
      </w:pPr>
    </w:p>
    <w:p w14:paraId="5D125B31">
      <w:pPr>
        <w:snapToGrid w:val="0"/>
        <w:spacing w:line="400" w:lineRule="exact"/>
        <w:rPr>
          <w:rFonts w:ascii="宋体" w:cs="宋体"/>
          <w:szCs w:val="21"/>
        </w:rPr>
      </w:pPr>
    </w:p>
    <w:p w14:paraId="6520A6FB">
      <w:pPr>
        <w:snapToGrid w:val="0"/>
        <w:spacing w:line="400" w:lineRule="exact"/>
        <w:rPr>
          <w:rFonts w:ascii="宋体" w:cs="宋体"/>
          <w:szCs w:val="21"/>
        </w:rPr>
      </w:pPr>
    </w:p>
    <w:p w14:paraId="664923A1">
      <w:pPr>
        <w:snapToGrid w:val="0"/>
        <w:spacing w:line="400" w:lineRule="exact"/>
        <w:rPr>
          <w:rFonts w:ascii="宋体" w:cs="宋体"/>
          <w:szCs w:val="21"/>
        </w:rPr>
      </w:pPr>
    </w:p>
    <w:p w14:paraId="165AF792">
      <w:pPr>
        <w:pStyle w:val="36"/>
        <w:rPr>
          <w:rFonts w:ascii="宋体" w:cs="宋体"/>
          <w:szCs w:val="21"/>
        </w:rPr>
      </w:pPr>
    </w:p>
    <w:p w14:paraId="2B10BBB7">
      <w:pPr>
        <w:pStyle w:val="36"/>
        <w:rPr>
          <w:rFonts w:ascii="宋体" w:cs="宋体"/>
          <w:szCs w:val="21"/>
        </w:rPr>
      </w:pPr>
    </w:p>
    <w:p w14:paraId="038A8EAF">
      <w:pPr>
        <w:pStyle w:val="36"/>
        <w:rPr>
          <w:rFonts w:ascii="宋体" w:cs="宋体"/>
          <w:szCs w:val="21"/>
        </w:rPr>
      </w:pPr>
    </w:p>
    <w:p w14:paraId="63177C1B">
      <w:pPr>
        <w:pStyle w:val="36"/>
        <w:rPr>
          <w:rFonts w:ascii="宋体" w:cs="宋体"/>
          <w:szCs w:val="21"/>
        </w:rPr>
      </w:pPr>
    </w:p>
    <w:p w14:paraId="31AA3D05">
      <w:pPr>
        <w:pStyle w:val="36"/>
        <w:rPr>
          <w:rFonts w:ascii="宋体" w:cs="宋体"/>
          <w:szCs w:val="21"/>
        </w:rPr>
      </w:pPr>
    </w:p>
    <w:p w14:paraId="7D9EC0DE">
      <w:pPr>
        <w:pStyle w:val="36"/>
        <w:rPr>
          <w:rFonts w:ascii="宋体" w:cs="宋体"/>
          <w:szCs w:val="21"/>
        </w:rPr>
      </w:pPr>
    </w:p>
    <w:p w14:paraId="3985E431">
      <w:pPr>
        <w:pStyle w:val="36"/>
        <w:rPr>
          <w:rFonts w:ascii="宋体" w:cs="宋体"/>
          <w:szCs w:val="21"/>
        </w:rPr>
      </w:pPr>
    </w:p>
    <w:p w14:paraId="365F3E8F">
      <w:pPr>
        <w:pStyle w:val="36"/>
        <w:rPr>
          <w:rFonts w:ascii="宋体" w:cs="宋体"/>
          <w:szCs w:val="21"/>
        </w:rPr>
      </w:pPr>
    </w:p>
    <w:p w14:paraId="1A05C994">
      <w:pPr>
        <w:pStyle w:val="36"/>
        <w:rPr>
          <w:rFonts w:ascii="宋体" w:cs="宋体"/>
          <w:szCs w:val="21"/>
        </w:rPr>
      </w:pPr>
    </w:p>
    <w:p w14:paraId="20770E5E">
      <w:pPr>
        <w:pStyle w:val="36"/>
        <w:rPr>
          <w:rFonts w:ascii="宋体" w:cs="宋体"/>
          <w:szCs w:val="21"/>
        </w:rPr>
      </w:pPr>
    </w:p>
    <w:p w14:paraId="573228BE">
      <w:pPr>
        <w:pStyle w:val="36"/>
        <w:rPr>
          <w:rFonts w:ascii="宋体" w:cs="宋体"/>
          <w:szCs w:val="21"/>
        </w:rPr>
      </w:pPr>
    </w:p>
    <w:p w14:paraId="0F6E6677">
      <w:pPr>
        <w:pStyle w:val="36"/>
        <w:rPr>
          <w:rFonts w:ascii="宋体" w:cs="宋体"/>
          <w:szCs w:val="21"/>
        </w:rPr>
      </w:pPr>
    </w:p>
    <w:p w14:paraId="1EAF4004">
      <w:pPr>
        <w:pStyle w:val="36"/>
        <w:rPr>
          <w:rFonts w:ascii="宋体" w:cs="宋体"/>
          <w:szCs w:val="21"/>
        </w:rPr>
      </w:pPr>
    </w:p>
    <w:p w14:paraId="621F5312">
      <w:pPr>
        <w:pStyle w:val="36"/>
        <w:rPr>
          <w:rFonts w:ascii="宋体" w:cs="宋体"/>
          <w:szCs w:val="21"/>
        </w:rPr>
      </w:pPr>
    </w:p>
    <w:p w14:paraId="085FEDE6">
      <w:pPr>
        <w:pStyle w:val="36"/>
        <w:rPr>
          <w:rFonts w:ascii="宋体" w:cs="宋体"/>
          <w:szCs w:val="21"/>
        </w:rPr>
      </w:pPr>
    </w:p>
    <w:p w14:paraId="21547C7F">
      <w:pPr>
        <w:pStyle w:val="36"/>
        <w:rPr>
          <w:rFonts w:ascii="宋体" w:cs="宋体"/>
          <w:szCs w:val="21"/>
        </w:rPr>
      </w:pPr>
    </w:p>
    <w:p w14:paraId="7D3CA23C">
      <w:pPr>
        <w:pStyle w:val="36"/>
        <w:rPr>
          <w:rFonts w:ascii="宋体" w:cs="宋体"/>
          <w:szCs w:val="21"/>
        </w:rPr>
      </w:pPr>
    </w:p>
    <w:p w14:paraId="164B2B04">
      <w:pPr>
        <w:pStyle w:val="36"/>
        <w:rPr>
          <w:rFonts w:ascii="宋体" w:cs="宋体"/>
          <w:szCs w:val="21"/>
        </w:rPr>
      </w:pPr>
    </w:p>
    <w:p w14:paraId="5A0F749B">
      <w:pPr>
        <w:pStyle w:val="36"/>
        <w:rPr>
          <w:rFonts w:ascii="宋体" w:cs="宋体"/>
          <w:szCs w:val="21"/>
        </w:rPr>
      </w:pPr>
    </w:p>
    <w:p w14:paraId="60F6FA2B">
      <w:pPr>
        <w:pStyle w:val="36"/>
        <w:rPr>
          <w:rFonts w:ascii="宋体" w:cs="宋体"/>
          <w:szCs w:val="21"/>
        </w:rPr>
      </w:pPr>
    </w:p>
    <w:p w14:paraId="0E158461">
      <w:pPr>
        <w:snapToGrid w:val="0"/>
        <w:spacing w:line="400" w:lineRule="exact"/>
        <w:rPr>
          <w:rFonts w:ascii="宋体" w:cs="宋体"/>
          <w:szCs w:val="21"/>
        </w:rPr>
      </w:pPr>
      <w:bookmarkStart w:id="117" w:name="_Toc463726851"/>
      <w:bookmarkStart w:id="118" w:name="_Toc3392"/>
      <w:bookmarkStart w:id="119" w:name="_Toc27342"/>
      <w:bookmarkStart w:id="120" w:name="_Toc4098"/>
      <w:r>
        <w:rPr>
          <w:rFonts w:hint="eastAsia" w:ascii="宋体" w:hAnsi="宋体" w:cs="宋体"/>
          <w:szCs w:val="21"/>
        </w:rPr>
        <w:t>格式六：商务条款偏离表</w:t>
      </w:r>
      <w:bookmarkEnd w:id="117"/>
      <w:bookmarkEnd w:id="118"/>
      <w:bookmarkEnd w:id="119"/>
      <w:bookmarkEnd w:id="120"/>
    </w:p>
    <w:p w14:paraId="72009977">
      <w:pPr>
        <w:snapToGrid w:val="0"/>
        <w:spacing w:line="400" w:lineRule="exact"/>
        <w:jc w:val="center"/>
        <w:rPr>
          <w:rFonts w:ascii="宋体" w:hAnsi="宋体" w:cs="宋体"/>
          <w:b/>
          <w:bCs/>
          <w:sz w:val="28"/>
          <w:szCs w:val="28"/>
        </w:rPr>
      </w:pPr>
    </w:p>
    <w:p w14:paraId="6301CFBD">
      <w:pPr>
        <w:snapToGrid w:val="0"/>
        <w:spacing w:line="400" w:lineRule="exact"/>
        <w:jc w:val="center"/>
        <w:rPr>
          <w:rFonts w:ascii="宋体" w:cs="宋体"/>
          <w:b/>
          <w:bCs/>
          <w:sz w:val="28"/>
          <w:szCs w:val="28"/>
        </w:rPr>
      </w:pPr>
      <w:r>
        <w:rPr>
          <w:rFonts w:hint="eastAsia" w:ascii="宋体" w:hAnsi="宋体" w:cs="宋体"/>
          <w:b/>
          <w:bCs/>
          <w:sz w:val="28"/>
          <w:szCs w:val="28"/>
        </w:rPr>
        <w:t>商务条款偏离表</w:t>
      </w:r>
    </w:p>
    <w:p w14:paraId="37FBC275">
      <w:pPr>
        <w:snapToGrid w:val="0"/>
        <w:spacing w:line="400" w:lineRule="exact"/>
        <w:rPr>
          <w:rFonts w:ascii="宋体" w:cs="宋体"/>
          <w:szCs w:val="21"/>
        </w:rPr>
      </w:pPr>
      <w:r>
        <w:rPr>
          <w:rFonts w:hint="eastAsia" w:ascii="宋体" w:hAnsi="宋体" w:cs="宋体"/>
          <w:szCs w:val="21"/>
        </w:rPr>
        <w:t>项目编号：</w:t>
      </w:r>
      <w:r>
        <w:rPr>
          <w:rFonts w:hint="eastAsia" w:ascii="宋体" w:hAnsi="宋体" w:cs="宋体"/>
          <w:szCs w:val="21"/>
          <w:lang w:val="en-US" w:eastAsia="zh-CN"/>
        </w:rPr>
        <w:t xml:space="preserve">                                        </w:t>
      </w:r>
      <w:r>
        <w:rPr>
          <w:rFonts w:hint="eastAsia" w:ascii="宋体" w:hAnsi="宋体" w:cs="宋体"/>
          <w:szCs w:val="21"/>
        </w:rPr>
        <w:t>项目名称：</w:t>
      </w:r>
    </w:p>
    <w:tbl>
      <w:tblPr>
        <w:tblStyle w:val="28"/>
        <w:tblW w:w="883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776"/>
      </w:tblGrid>
      <w:tr w14:paraId="55D35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14:paraId="72B80B81">
            <w:pPr>
              <w:snapToGrid w:val="0"/>
              <w:spacing w:line="400" w:lineRule="exact"/>
              <w:jc w:val="center"/>
              <w:rPr>
                <w:rFonts w:ascii="宋体" w:cs="宋体"/>
                <w:szCs w:val="21"/>
              </w:rPr>
            </w:pPr>
            <w:r>
              <w:rPr>
                <w:rFonts w:hint="eastAsia" w:ascii="宋体" w:hAnsi="宋体" w:cs="宋体"/>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23BC46A">
            <w:pPr>
              <w:snapToGrid w:val="0"/>
              <w:spacing w:line="400" w:lineRule="exact"/>
              <w:jc w:val="center"/>
              <w:rPr>
                <w:rFonts w:ascii="宋体" w:cs="宋体"/>
                <w:szCs w:val="21"/>
              </w:rPr>
            </w:pPr>
            <w:r>
              <w:rPr>
                <w:rFonts w:hint="eastAsia"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ECA78B5">
            <w:pPr>
              <w:snapToGrid w:val="0"/>
              <w:spacing w:line="400" w:lineRule="exact"/>
              <w:jc w:val="center"/>
              <w:rPr>
                <w:rFonts w:ascii="宋体" w:cs="宋体"/>
                <w:szCs w:val="21"/>
              </w:rPr>
            </w:pPr>
            <w:r>
              <w:rPr>
                <w:rFonts w:hint="eastAsia" w:ascii="宋体" w:hAnsi="宋体" w:cs="宋体"/>
                <w:szCs w:val="21"/>
              </w:rPr>
              <w:t>投标人的承诺和说明</w:t>
            </w:r>
          </w:p>
        </w:tc>
        <w:tc>
          <w:tcPr>
            <w:tcW w:w="776" w:type="dxa"/>
            <w:tcBorders>
              <w:top w:val="single" w:color="auto" w:sz="4" w:space="0"/>
              <w:left w:val="single" w:color="auto" w:sz="4" w:space="0"/>
              <w:bottom w:val="single" w:color="auto" w:sz="4" w:space="0"/>
            </w:tcBorders>
            <w:tcMar>
              <w:left w:w="28" w:type="dxa"/>
              <w:right w:w="28" w:type="dxa"/>
            </w:tcMar>
            <w:vAlign w:val="center"/>
          </w:tcPr>
          <w:p w14:paraId="2F2549D5">
            <w:pPr>
              <w:snapToGrid w:val="0"/>
              <w:spacing w:line="400" w:lineRule="exact"/>
              <w:jc w:val="center"/>
              <w:rPr>
                <w:rFonts w:ascii="宋体" w:cs="宋体"/>
                <w:szCs w:val="21"/>
              </w:rPr>
            </w:pPr>
            <w:r>
              <w:rPr>
                <w:rFonts w:hint="eastAsia" w:ascii="宋体" w:hAnsi="宋体" w:cs="宋体"/>
                <w:szCs w:val="21"/>
              </w:rPr>
              <w:t>是否</w:t>
            </w:r>
          </w:p>
          <w:p w14:paraId="11CC62DF">
            <w:pPr>
              <w:snapToGrid w:val="0"/>
              <w:spacing w:line="400" w:lineRule="exact"/>
              <w:jc w:val="center"/>
              <w:rPr>
                <w:rFonts w:ascii="宋体" w:cs="宋体"/>
                <w:szCs w:val="21"/>
              </w:rPr>
            </w:pPr>
            <w:r>
              <w:rPr>
                <w:rFonts w:hint="eastAsia" w:ascii="宋体" w:hAnsi="宋体" w:cs="宋体"/>
                <w:szCs w:val="21"/>
              </w:rPr>
              <w:t>偏离</w:t>
            </w:r>
          </w:p>
        </w:tc>
      </w:tr>
      <w:tr w14:paraId="14FB6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14:paraId="2D496ED9">
            <w:pPr>
              <w:snapToGrid w:val="0"/>
              <w:spacing w:line="400" w:lineRule="exact"/>
              <w:jc w:val="center"/>
              <w:rPr>
                <w:rFonts w:ascii="宋体" w:cs="宋体"/>
                <w:szCs w:val="21"/>
              </w:rPr>
            </w:pPr>
            <w:r>
              <w:rPr>
                <w:rFonts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7172131E">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523D692">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218983C8">
            <w:pPr>
              <w:snapToGrid w:val="0"/>
              <w:spacing w:line="400" w:lineRule="exact"/>
              <w:jc w:val="center"/>
              <w:rPr>
                <w:rFonts w:ascii="宋体" w:cs="宋体"/>
                <w:szCs w:val="21"/>
              </w:rPr>
            </w:pPr>
          </w:p>
        </w:tc>
      </w:tr>
      <w:tr w14:paraId="275EB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14:paraId="33013C29">
            <w:pPr>
              <w:snapToGrid w:val="0"/>
              <w:spacing w:line="400" w:lineRule="exact"/>
              <w:jc w:val="center"/>
              <w:rPr>
                <w:rFonts w:ascii="宋体" w:cs="宋体"/>
                <w:szCs w:val="21"/>
              </w:rPr>
            </w:pPr>
            <w:r>
              <w:rPr>
                <w:rFonts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55A471F3">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D9BFD52">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70C2D31B">
            <w:pPr>
              <w:snapToGrid w:val="0"/>
              <w:spacing w:line="400" w:lineRule="exact"/>
              <w:jc w:val="center"/>
              <w:rPr>
                <w:rFonts w:ascii="宋体" w:cs="宋体"/>
                <w:szCs w:val="21"/>
              </w:rPr>
            </w:pPr>
          </w:p>
        </w:tc>
      </w:tr>
      <w:tr w14:paraId="70D1B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747B7DB0">
            <w:pPr>
              <w:snapToGrid w:val="0"/>
              <w:spacing w:line="400" w:lineRule="exact"/>
              <w:jc w:val="center"/>
              <w:rPr>
                <w:rFonts w:ascii="宋体" w:cs="宋体"/>
                <w:szCs w:val="21"/>
              </w:rPr>
            </w:pPr>
            <w:r>
              <w:rPr>
                <w:rFonts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05BBF9AD">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03D9A4B">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78EA32AA">
            <w:pPr>
              <w:snapToGrid w:val="0"/>
              <w:spacing w:line="400" w:lineRule="exact"/>
              <w:jc w:val="center"/>
              <w:rPr>
                <w:rFonts w:ascii="宋体" w:cs="宋体"/>
                <w:szCs w:val="21"/>
              </w:rPr>
            </w:pPr>
          </w:p>
        </w:tc>
      </w:tr>
      <w:tr w14:paraId="75C6A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590251B3">
            <w:pPr>
              <w:snapToGrid w:val="0"/>
              <w:spacing w:line="400" w:lineRule="exact"/>
              <w:jc w:val="center"/>
              <w:rPr>
                <w:rFonts w:ascii="宋体" w:cs="宋体"/>
                <w:szCs w:val="21"/>
              </w:rPr>
            </w:pPr>
            <w:r>
              <w:rPr>
                <w:rFonts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04AC3773">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B3C7DBD">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4B47C4E2">
            <w:pPr>
              <w:snapToGrid w:val="0"/>
              <w:spacing w:line="400" w:lineRule="exact"/>
              <w:jc w:val="center"/>
              <w:rPr>
                <w:rFonts w:ascii="宋体" w:cs="宋体"/>
                <w:szCs w:val="21"/>
              </w:rPr>
            </w:pPr>
          </w:p>
        </w:tc>
      </w:tr>
      <w:tr w14:paraId="101B4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2B4DE05C">
            <w:pPr>
              <w:snapToGrid w:val="0"/>
              <w:spacing w:line="400" w:lineRule="exact"/>
              <w:jc w:val="center"/>
              <w:rPr>
                <w:rFonts w:ascii="宋体" w:cs="宋体"/>
                <w:szCs w:val="21"/>
              </w:rPr>
            </w:pPr>
            <w:r>
              <w:rPr>
                <w:rFonts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04CF65BF">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9F753D1">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4D39B856">
            <w:pPr>
              <w:snapToGrid w:val="0"/>
              <w:spacing w:line="400" w:lineRule="exact"/>
              <w:jc w:val="center"/>
              <w:rPr>
                <w:rFonts w:ascii="宋体" w:cs="宋体"/>
                <w:szCs w:val="21"/>
              </w:rPr>
            </w:pPr>
          </w:p>
        </w:tc>
      </w:tr>
      <w:tr w14:paraId="709E4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1102EB3F">
            <w:pPr>
              <w:snapToGrid w:val="0"/>
              <w:spacing w:line="400" w:lineRule="exact"/>
              <w:jc w:val="center"/>
              <w:rPr>
                <w:rFonts w:ascii="宋体" w:cs="宋体"/>
                <w:szCs w:val="21"/>
              </w:rPr>
            </w:pPr>
            <w:r>
              <w:rPr>
                <w:rFonts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582BFCDF">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6167DC7">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7CF71950">
            <w:pPr>
              <w:snapToGrid w:val="0"/>
              <w:spacing w:line="400" w:lineRule="exact"/>
              <w:jc w:val="center"/>
              <w:rPr>
                <w:rFonts w:ascii="宋体" w:cs="宋体"/>
                <w:szCs w:val="21"/>
              </w:rPr>
            </w:pPr>
          </w:p>
        </w:tc>
      </w:tr>
      <w:tr w14:paraId="7C9BF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1D9CE9B0">
            <w:pPr>
              <w:snapToGrid w:val="0"/>
              <w:spacing w:line="400" w:lineRule="exact"/>
              <w:jc w:val="center"/>
              <w:rPr>
                <w:rFonts w:ascii="宋体" w:cs="宋体"/>
                <w:szCs w:val="21"/>
              </w:rPr>
            </w:pPr>
            <w:r>
              <w:rPr>
                <w:rFonts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5E29922A">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6655C66">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13871C07">
            <w:pPr>
              <w:snapToGrid w:val="0"/>
              <w:spacing w:line="400" w:lineRule="exact"/>
              <w:jc w:val="center"/>
              <w:rPr>
                <w:rFonts w:ascii="宋体" w:cs="宋体"/>
                <w:szCs w:val="21"/>
              </w:rPr>
            </w:pPr>
          </w:p>
        </w:tc>
      </w:tr>
      <w:tr w14:paraId="5DF2B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768D5196">
            <w:pPr>
              <w:snapToGrid w:val="0"/>
              <w:spacing w:line="400" w:lineRule="exact"/>
              <w:jc w:val="center"/>
              <w:rPr>
                <w:rFonts w:ascii="宋体" w:cs="宋体"/>
                <w:szCs w:val="21"/>
              </w:rPr>
            </w:pPr>
            <w:r>
              <w:rPr>
                <w:rFonts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0828F497">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A7FEB56">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1690C7A0">
            <w:pPr>
              <w:snapToGrid w:val="0"/>
              <w:spacing w:line="400" w:lineRule="exact"/>
              <w:jc w:val="center"/>
              <w:rPr>
                <w:rFonts w:ascii="宋体" w:cs="宋体"/>
                <w:szCs w:val="21"/>
              </w:rPr>
            </w:pPr>
          </w:p>
        </w:tc>
      </w:tr>
      <w:tr w14:paraId="77576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47DFEB0E">
            <w:pPr>
              <w:snapToGrid w:val="0"/>
              <w:spacing w:line="400" w:lineRule="exact"/>
              <w:jc w:val="center"/>
              <w:rPr>
                <w:rFonts w:ascii="宋体" w:cs="宋体"/>
                <w:szCs w:val="21"/>
              </w:rPr>
            </w:pPr>
            <w:r>
              <w:rPr>
                <w:rFonts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3C99541A">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C8C5D2F">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162B21E3">
            <w:pPr>
              <w:snapToGrid w:val="0"/>
              <w:spacing w:line="400" w:lineRule="exact"/>
              <w:jc w:val="center"/>
              <w:rPr>
                <w:rFonts w:ascii="宋体" w:cs="宋体"/>
                <w:szCs w:val="21"/>
              </w:rPr>
            </w:pPr>
          </w:p>
        </w:tc>
      </w:tr>
      <w:tr w14:paraId="4332C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12F7F6B0">
            <w:pPr>
              <w:snapToGrid w:val="0"/>
              <w:spacing w:line="400" w:lineRule="exact"/>
              <w:jc w:val="center"/>
              <w:rPr>
                <w:rFonts w:ascii="宋体" w:cs="宋体"/>
                <w:szCs w:val="21"/>
              </w:rPr>
            </w:pPr>
            <w:r>
              <w:rPr>
                <w:rFonts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322510D5">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524CC93">
            <w:pPr>
              <w:snapToGrid w:val="0"/>
              <w:spacing w:line="400" w:lineRule="exact"/>
              <w:jc w:val="center"/>
              <w:rPr>
                <w:rFonts w:ascii="宋体" w:cs="宋体"/>
                <w:szCs w:val="21"/>
              </w:rPr>
            </w:pPr>
          </w:p>
        </w:tc>
        <w:tc>
          <w:tcPr>
            <w:tcW w:w="776" w:type="dxa"/>
            <w:tcBorders>
              <w:top w:val="single" w:color="auto" w:sz="4" w:space="0"/>
              <w:left w:val="single" w:color="auto" w:sz="4" w:space="0"/>
              <w:bottom w:val="single" w:color="auto" w:sz="4" w:space="0"/>
            </w:tcBorders>
            <w:vAlign w:val="center"/>
          </w:tcPr>
          <w:p w14:paraId="7818F2B6">
            <w:pPr>
              <w:snapToGrid w:val="0"/>
              <w:spacing w:line="400" w:lineRule="exact"/>
              <w:jc w:val="center"/>
              <w:rPr>
                <w:rFonts w:ascii="宋体" w:cs="宋体"/>
                <w:szCs w:val="21"/>
              </w:rPr>
            </w:pPr>
          </w:p>
        </w:tc>
      </w:tr>
      <w:tr w14:paraId="5702B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14:paraId="158C6A13">
            <w:pPr>
              <w:snapToGrid w:val="0"/>
              <w:spacing w:line="400" w:lineRule="exact"/>
              <w:jc w:val="center"/>
              <w:rPr>
                <w:rFonts w:ascii="宋体" w:cs="宋体"/>
                <w:szCs w:val="21"/>
              </w:rPr>
            </w:pPr>
            <w:r>
              <w:rPr>
                <w:rFonts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11C6BBA0">
            <w:pPr>
              <w:snapToGrid w:val="0"/>
              <w:spacing w:line="400" w:lineRule="exact"/>
              <w:jc w:val="center"/>
              <w:rPr>
                <w:rFonts w:asci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7616BFFA">
            <w:pPr>
              <w:snapToGrid w:val="0"/>
              <w:spacing w:line="400" w:lineRule="exact"/>
              <w:jc w:val="center"/>
              <w:rPr>
                <w:rFonts w:ascii="宋体" w:cs="宋体"/>
                <w:szCs w:val="21"/>
              </w:rPr>
            </w:pPr>
            <w:r>
              <w:rPr>
                <w:rFonts w:hint="eastAsia" w:ascii="宋体" w:hAnsi="宋体" w:cs="宋体"/>
                <w:szCs w:val="21"/>
              </w:rPr>
              <w:t>响应招标文件的其他商务条款。</w:t>
            </w:r>
          </w:p>
        </w:tc>
        <w:tc>
          <w:tcPr>
            <w:tcW w:w="776" w:type="dxa"/>
            <w:tcBorders>
              <w:top w:val="single" w:color="auto" w:sz="4" w:space="0"/>
              <w:left w:val="single" w:color="auto" w:sz="4" w:space="0"/>
              <w:bottom w:val="single" w:color="auto" w:sz="4" w:space="0"/>
            </w:tcBorders>
            <w:vAlign w:val="center"/>
          </w:tcPr>
          <w:p w14:paraId="6C288E46">
            <w:pPr>
              <w:snapToGrid w:val="0"/>
              <w:spacing w:line="400" w:lineRule="exact"/>
              <w:jc w:val="center"/>
              <w:rPr>
                <w:rFonts w:ascii="宋体" w:cs="宋体"/>
                <w:szCs w:val="21"/>
              </w:rPr>
            </w:pPr>
            <w:r>
              <w:rPr>
                <w:rFonts w:hint="eastAsia" w:ascii="宋体" w:hAnsi="宋体" w:cs="宋体"/>
                <w:szCs w:val="21"/>
              </w:rPr>
              <w:t>无偏离</w:t>
            </w:r>
          </w:p>
        </w:tc>
      </w:tr>
    </w:tbl>
    <w:p w14:paraId="05AC55AD">
      <w:pPr>
        <w:snapToGrid w:val="0"/>
        <w:spacing w:line="40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、招标文件要求具体见招标文件商务条款的相关内容；</w:t>
      </w:r>
      <w:r>
        <w:rPr>
          <w:rFonts w:ascii="宋体" w:hAnsi="宋体" w:cs="宋体"/>
          <w:szCs w:val="21"/>
        </w:rPr>
        <w:t>2</w:t>
      </w:r>
      <w:r>
        <w:rPr>
          <w:rFonts w:hint="eastAsia" w:ascii="宋体" w:hAnsi="宋体" w:cs="宋体"/>
          <w:szCs w:val="21"/>
        </w:rPr>
        <w:t>、是否偏离应在本表空白处醒目地注明“正偏离或无偏离或负偏离”等字样。</w:t>
      </w:r>
    </w:p>
    <w:p w14:paraId="127B0B8B">
      <w:pPr>
        <w:snapToGrid w:val="0"/>
        <w:spacing w:line="400" w:lineRule="exact"/>
        <w:rPr>
          <w:rFonts w:ascii="宋体" w:cs="宋体"/>
          <w:szCs w:val="21"/>
        </w:rPr>
      </w:pPr>
    </w:p>
    <w:p w14:paraId="022D950A">
      <w:pPr>
        <w:snapToGrid w:val="0"/>
        <w:spacing w:line="400" w:lineRule="exact"/>
        <w:rPr>
          <w:rFonts w:ascii="宋体" w:cs="宋体"/>
          <w:szCs w:val="21"/>
        </w:rPr>
      </w:pPr>
      <w:r>
        <w:rPr>
          <w:rFonts w:hint="eastAsia" w:ascii="宋体" w:hAnsi="宋体" w:cs="宋体"/>
          <w:szCs w:val="21"/>
        </w:rPr>
        <w:t>投标人全称（加盖公章）：</w:t>
      </w:r>
    </w:p>
    <w:p w14:paraId="5767035F">
      <w:pPr>
        <w:snapToGrid w:val="0"/>
        <w:spacing w:line="400" w:lineRule="exact"/>
        <w:rPr>
          <w:rFonts w:ascii="宋体" w:cs="宋体"/>
          <w:szCs w:val="21"/>
        </w:rPr>
      </w:pPr>
      <w:r>
        <w:rPr>
          <w:rFonts w:hint="eastAsia" w:ascii="宋体" w:hAnsi="宋体" w:cs="宋体"/>
          <w:szCs w:val="21"/>
        </w:rPr>
        <w:t>法定代表人或授权代表（签字</w:t>
      </w:r>
      <w:r>
        <w:rPr>
          <w:rFonts w:hint="eastAsia" w:ascii="宋体" w:hAnsi="宋体" w:cs="宋体"/>
          <w:szCs w:val="21"/>
          <w:lang w:eastAsia="zh-CN"/>
        </w:rPr>
        <w:t>或盖章</w:t>
      </w:r>
      <w:r>
        <w:rPr>
          <w:rFonts w:hint="eastAsia" w:ascii="宋体" w:hAnsi="宋体" w:cs="宋体"/>
          <w:szCs w:val="21"/>
        </w:rPr>
        <w:t>）：</w:t>
      </w:r>
    </w:p>
    <w:p w14:paraId="777DC573">
      <w:pPr>
        <w:snapToGrid w:val="0"/>
        <w:spacing w:line="400" w:lineRule="exact"/>
        <w:rPr>
          <w:rFonts w:ascii="宋体" w:cs="宋体"/>
          <w:szCs w:val="21"/>
        </w:rPr>
        <w:sectPr>
          <w:headerReference r:id="rId14" w:type="first"/>
          <w:footerReference r:id="rId16" w:type="first"/>
          <w:headerReference r:id="rId13" w:type="default"/>
          <w:footerReference r:id="rId15" w:type="default"/>
          <w:pgSz w:w="11906" w:h="16838"/>
          <w:pgMar w:top="1247" w:right="1531" w:bottom="1304" w:left="1531" w:header="851" w:footer="851" w:gutter="0"/>
          <w:cols w:space="720" w:num="1"/>
          <w:titlePg/>
          <w:docGrid w:linePitch="312" w:charSpace="0"/>
        </w:sectPr>
      </w:pPr>
      <w:r>
        <w:rPr>
          <w:rFonts w:hint="eastAsia" w:ascii="宋体" w:hAnsi="宋体" w:cs="宋体"/>
          <w:szCs w:val="21"/>
        </w:rPr>
        <w:t>年月日</w:t>
      </w:r>
    </w:p>
    <w:p w14:paraId="78ADFBDF">
      <w:pPr>
        <w:snapToGrid w:val="0"/>
        <w:spacing w:line="400" w:lineRule="exact"/>
        <w:rPr>
          <w:rFonts w:ascii="宋体" w:cs="宋体"/>
          <w:szCs w:val="21"/>
        </w:rPr>
      </w:pPr>
      <w:bookmarkStart w:id="121" w:name="_Toc13752"/>
      <w:r>
        <w:rPr>
          <w:rFonts w:hint="eastAsia" w:ascii="宋体" w:hAnsi="宋体" w:cs="宋体"/>
          <w:szCs w:val="21"/>
        </w:rPr>
        <w:t>格式七：技术条款偏离表</w:t>
      </w:r>
      <w:bookmarkEnd w:id="121"/>
    </w:p>
    <w:p w14:paraId="5FFE329B">
      <w:pPr>
        <w:snapToGrid w:val="0"/>
        <w:spacing w:line="400" w:lineRule="exact"/>
        <w:jc w:val="center"/>
        <w:rPr>
          <w:rFonts w:ascii="宋体" w:hAnsi="宋体" w:cs="宋体"/>
          <w:b/>
          <w:bCs/>
          <w:sz w:val="28"/>
          <w:szCs w:val="28"/>
        </w:rPr>
      </w:pPr>
    </w:p>
    <w:p w14:paraId="1AF65EF5">
      <w:pPr>
        <w:snapToGrid w:val="0"/>
        <w:spacing w:line="400" w:lineRule="exact"/>
        <w:jc w:val="center"/>
        <w:rPr>
          <w:rFonts w:ascii="宋体" w:cs="宋体"/>
          <w:b/>
          <w:bCs/>
          <w:sz w:val="28"/>
          <w:szCs w:val="28"/>
        </w:rPr>
      </w:pPr>
      <w:r>
        <w:rPr>
          <w:rFonts w:hint="eastAsia" w:ascii="宋体" w:hAnsi="宋体" w:cs="宋体"/>
          <w:b/>
          <w:bCs/>
          <w:sz w:val="28"/>
          <w:szCs w:val="28"/>
        </w:rPr>
        <w:t>技术条款偏离表</w:t>
      </w:r>
    </w:p>
    <w:p w14:paraId="0D2076E4">
      <w:pPr>
        <w:snapToGrid w:val="0"/>
        <w:spacing w:line="400" w:lineRule="exact"/>
        <w:ind w:firstLine="210" w:firstLineChars="100"/>
        <w:rPr>
          <w:rFonts w:ascii="宋体" w:cs="宋体"/>
          <w:szCs w:val="21"/>
        </w:rPr>
      </w:pPr>
      <w:r>
        <w:rPr>
          <w:rFonts w:hint="eastAsia" w:ascii="宋体" w:hAnsi="宋体" w:cs="宋体"/>
          <w:szCs w:val="21"/>
        </w:rPr>
        <w:t>项目编号：</w:t>
      </w:r>
      <w:r>
        <w:rPr>
          <w:rFonts w:hint="eastAsia" w:ascii="宋体" w:hAnsi="宋体" w:cs="宋体"/>
          <w:szCs w:val="21"/>
          <w:lang w:val="en-US" w:eastAsia="zh-CN"/>
        </w:rPr>
        <w:t xml:space="preserve">                                            </w:t>
      </w:r>
      <w:r>
        <w:rPr>
          <w:rFonts w:hint="eastAsia" w:ascii="宋体" w:hAnsi="宋体" w:cs="宋体"/>
          <w:szCs w:val="21"/>
        </w:rPr>
        <w:t>项目名称：</w:t>
      </w:r>
    </w:p>
    <w:tbl>
      <w:tblPr>
        <w:tblStyle w:val="28"/>
        <w:tblW w:w="88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772"/>
      </w:tblGrid>
      <w:tr w14:paraId="2D41D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14:paraId="1263EF2E">
            <w:pPr>
              <w:snapToGrid w:val="0"/>
              <w:spacing w:line="400" w:lineRule="exact"/>
              <w:jc w:val="center"/>
              <w:rPr>
                <w:rFonts w:ascii="宋体" w:cs="宋体"/>
                <w:szCs w:val="21"/>
              </w:rPr>
            </w:pPr>
            <w:r>
              <w:rPr>
                <w:rFonts w:hint="eastAsia" w:ascii="宋体" w:hAnsi="宋体" w:cs="宋体"/>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97EABAE">
            <w:pPr>
              <w:snapToGrid w:val="0"/>
              <w:spacing w:line="400" w:lineRule="exact"/>
              <w:jc w:val="center"/>
              <w:rPr>
                <w:rFonts w:ascii="宋体" w:cs="宋体"/>
                <w:szCs w:val="21"/>
              </w:rPr>
            </w:pPr>
            <w:r>
              <w:rPr>
                <w:rFonts w:hint="eastAsia"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47141AE">
            <w:pPr>
              <w:snapToGrid w:val="0"/>
              <w:spacing w:line="400" w:lineRule="exact"/>
              <w:jc w:val="center"/>
              <w:rPr>
                <w:rFonts w:ascii="宋体" w:cs="宋体"/>
                <w:szCs w:val="21"/>
              </w:rPr>
            </w:pPr>
            <w:r>
              <w:rPr>
                <w:rFonts w:hint="eastAsia" w:ascii="宋体" w:hAnsi="宋体" w:cs="宋体"/>
                <w:szCs w:val="21"/>
              </w:rPr>
              <w:t>投标人的承诺和说明</w:t>
            </w:r>
          </w:p>
        </w:tc>
        <w:tc>
          <w:tcPr>
            <w:tcW w:w="772" w:type="dxa"/>
            <w:tcBorders>
              <w:top w:val="single" w:color="auto" w:sz="4" w:space="0"/>
              <w:left w:val="single" w:color="auto" w:sz="4" w:space="0"/>
              <w:bottom w:val="single" w:color="auto" w:sz="4" w:space="0"/>
            </w:tcBorders>
            <w:tcMar>
              <w:left w:w="28" w:type="dxa"/>
              <w:right w:w="28" w:type="dxa"/>
            </w:tcMar>
            <w:vAlign w:val="center"/>
          </w:tcPr>
          <w:p w14:paraId="1F34CB0E">
            <w:pPr>
              <w:snapToGrid w:val="0"/>
              <w:spacing w:line="400" w:lineRule="exact"/>
              <w:jc w:val="center"/>
              <w:rPr>
                <w:rFonts w:ascii="宋体" w:cs="宋体"/>
                <w:szCs w:val="21"/>
              </w:rPr>
            </w:pPr>
            <w:r>
              <w:rPr>
                <w:rFonts w:hint="eastAsia" w:ascii="宋体" w:hAnsi="宋体" w:cs="宋体"/>
                <w:szCs w:val="21"/>
              </w:rPr>
              <w:t>是否</w:t>
            </w:r>
          </w:p>
          <w:p w14:paraId="01238473">
            <w:pPr>
              <w:snapToGrid w:val="0"/>
              <w:spacing w:line="400" w:lineRule="exact"/>
              <w:jc w:val="center"/>
              <w:rPr>
                <w:rFonts w:ascii="宋体" w:cs="宋体"/>
                <w:szCs w:val="21"/>
              </w:rPr>
            </w:pPr>
            <w:r>
              <w:rPr>
                <w:rFonts w:hint="eastAsia" w:ascii="宋体" w:hAnsi="宋体" w:cs="宋体"/>
                <w:szCs w:val="21"/>
              </w:rPr>
              <w:t>偏离</w:t>
            </w:r>
          </w:p>
        </w:tc>
      </w:tr>
      <w:tr w14:paraId="3FC20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14:paraId="30D108FD">
            <w:pPr>
              <w:snapToGrid w:val="0"/>
              <w:spacing w:line="400" w:lineRule="exact"/>
              <w:jc w:val="center"/>
              <w:rPr>
                <w:rFonts w:ascii="宋体" w:cs="宋体"/>
                <w:szCs w:val="21"/>
              </w:rPr>
            </w:pPr>
            <w:r>
              <w:rPr>
                <w:rFonts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5D42ACE5">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77F25A2">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43EE7955">
            <w:pPr>
              <w:snapToGrid w:val="0"/>
              <w:spacing w:line="400" w:lineRule="exact"/>
              <w:jc w:val="center"/>
              <w:rPr>
                <w:rFonts w:ascii="宋体" w:cs="宋体"/>
                <w:szCs w:val="21"/>
              </w:rPr>
            </w:pPr>
          </w:p>
        </w:tc>
      </w:tr>
      <w:tr w14:paraId="217A1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14:paraId="75803F6F">
            <w:pPr>
              <w:snapToGrid w:val="0"/>
              <w:spacing w:line="400" w:lineRule="exact"/>
              <w:jc w:val="center"/>
              <w:rPr>
                <w:rFonts w:ascii="宋体" w:cs="宋体"/>
                <w:szCs w:val="21"/>
              </w:rPr>
            </w:pPr>
            <w:r>
              <w:rPr>
                <w:rFonts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1FC33A59">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B0E149B">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03C7E444">
            <w:pPr>
              <w:snapToGrid w:val="0"/>
              <w:spacing w:line="400" w:lineRule="exact"/>
              <w:jc w:val="center"/>
              <w:rPr>
                <w:rFonts w:ascii="宋体" w:cs="宋体"/>
                <w:szCs w:val="21"/>
              </w:rPr>
            </w:pPr>
          </w:p>
        </w:tc>
      </w:tr>
      <w:tr w14:paraId="71B45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20D26406">
            <w:pPr>
              <w:snapToGrid w:val="0"/>
              <w:spacing w:line="400" w:lineRule="exact"/>
              <w:jc w:val="center"/>
              <w:rPr>
                <w:rFonts w:ascii="宋体" w:cs="宋体"/>
                <w:szCs w:val="21"/>
              </w:rPr>
            </w:pPr>
            <w:r>
              <w:rPr>
                <w:rFonts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2607F8B3">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D6B88DC">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338992EB">
            <w:pPr>
              <w:snapToGrid w:val="0"/>
              <w:spacing w:line="400" w:lineRule="exact"/>
              <w:jc w:val="center"/>
              <w:rPr>
                <w:rFonts w:ascii="宋体" w:cs="宋体"/>
                <w:szCs w:val="21"/>
              </w:rPr>
            </w:pPr>
          </w:p>
        </w:tc>
      </w:tr>
      <w:tr w14:paraId="687BF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32A8F668">
            <w:pPr>
              <w:snapToGrid w:val="0"/>
              <w:spacing w:line="400" w:lineRule="exact"/>
              <w:jc w:val="center"/>
              <w:rPr>
                <w:rFonts w:ascii="宋体" w:cs="宋体"/>
                <w:szCs w:val="21"/>
              </w:rPr>
            </w:pPr>
            <w:r>
              <w:rPr>
                <w:rFonts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581AE07D">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E287B77">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2B8A1F0E">
            <w:pPr>
              <w:snapToGrid w:val="0"/>
              <w:spacing w:line="400" w:lineRule="exact"/>
              <w:jc w:val="center"/>
              <w:rPr>
                <w:rFonts w:ascii="宋体" w:cs="宋体"/>
                <w:szCs w:val="21"/>
              </w:rPr>
            </w:pPr>
          </w:p>
        </w:tc>
      </w:tr>
      <w:tr w14:paraId="73AA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0CC82C6A">
            <w:pPr>
              <w:snapToGrid w:val="0"/>
              <w:spacing w:line="400" w:lineRule="exact"/>
              <w:jc w:val="center"/>
              <w:rPr>
                <w:rFonts w:ascii="宋体" w:cs="宋体"/>
                <w:szCs w:val="21"/>
              </w:rPr>
            </w:pPr>
            <w:r>
              <w:rPr>
                <w:rFonts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6CC3D881">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AC15BB9">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2DDC3771">
            <w:pPr>
              <w:snapToGrid w:val="0"/>
              <w:spacing w:line="400" w:lineRule="exact"/>
              <w:jc w:val="center"/>
              <w:rPr>
                <w:rFonts w:ascii="宋体" w:cs="宋体"/>
                <w:szCs w:val="21"/>
              </w:rPr>
            </w:pPr>
          </w:p>
        </w:tc>
      </w:tr>
      <w:tr w14:paraId="5657A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3D248881">
            <w:pPr>
              <w:snapToGrid w:val="0"/>
              <w:spacing w:line="400" w:lineRule="exact"/>
              <w:jc w:val="center"/>
              <w:rPr>
                <w:rFonts w:ascii="宋体" w:cs="宋体"/>
                <w:szCs w:val="21"/>
              </w:rPr>
            </w:pPr>
            <w:r>
              <w:rPr>
                <w:rFonts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509A91F4">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AFD3285">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058A701C">
            <w:pPr>
              <w:snapToGrid w:val="0"/>
              <w:spacing w:line="400" w:lineRule="exact"/>
              <w:jc w:val="center"/>
              <w:rPr>
                <w:rFonts w:ascii="宋体" w:cs="宋体"/>
                <w:szCs w:val="21"/>
              </w:rPr>
            </w:pPr>
          </w:p>
        </w:tc>
      </w:tr>
      <w:tr w14:paraId="1640C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203B641A">
            <w:pPr>
              <w:snapToGrid w:val="0"/>
              <w:spacing w:line="400" w:lineRule="exact"/>
              <w:jc w:val="center"/>
              <w:rPr>
                <w:rFonts w:ascii="宋体" w:cs="宋体"/>
                <w:szCs w:val="21"/>
              </w:rPr>
            </w:pPr>
            <w:r>
              <w:rPr>
                <w:rFonts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09A33E7D">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3BACA2A">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25189A09">
            <w:pPr>
              <w:snapToGrid w:val="0"/>
              <w:spacing w:line="400" w:lineRule="exact"/>
              <w:jc w:val="center"/>
              <w:rPr>
                <w:rFonts w:ascii="宋体" w:cs="宋体"/>
                <w:szCs w:val="21"/>
              </w:rPr>
            </w:pPr>
          </w:p>
        </w:tc>
      </w:tr>
      <w:tr w14:paraId="0D8D4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681ED6D2">
            <w:pPr>
              <w:snapToGrid w:val="0"/>
              <w:spacing w:line="400" w:lineRule="exact"/>
              <w:jc w:val="center"/>
              <w:rPr>
                <w:rFonts w:ascii="宋体" w:cs="宋体"/>
                <w:szCs w:val="21"/>
              </w:rPr>
            </w:pPr>
            <w:r>
              <w:rPr>
                <w:rFonts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6AC3FA69">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EF276E9">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53F90110">
            <w:pPr>
              <w:snapToGrid w:val="0"/>
              <w:spacing w:line="400" w:lineRule="exact"/>
              <w:jc w:val="center"/>
              <w:rPr>
                <w:rFonts w:ascii="宋体" w:cs="宋体"/>
                <w:szCs w:val="21"/>
              </w:rPr>
            </w:pPr>
          </w:p>
        </w:tc>
      </w:tr>
      <w:tr w14:paraId="0009D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486C5A9C">
            <w:pPr>
              <w:snapToGrid w:val="0"/>
              <w:spacing w:line="400" w:lineRule="exact"/>
              <w:jc w:val="center"/>
              <w:rPr>
                <w:rFonts w:ascii="宋体" w:cs="宋体"/>
                <w:szCs w:val="21"/>
              </w:rPr>
            </w:pPr>
            <w:r>
              <w:rPr>
                <w:rFonts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57E20F1B">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37AFD3E">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07ECC995">
            <w:pPr>
              <w:snapToGrid w:val="0"/>
              <w:spacing w:line="400" w:lineRule="exact"/>
              <w:jc w:val="center"/>
              <w:rPr>
                <w:rFonts w:ascii="宋体" w:cs="宋体"/>
                <w:szCs w:val="21"/>
              </w:rPr>
            </w:pPr>
          </w:p>
        </w:tc>
      </w:tr>
      <w:tr w14:paraId="7C8B5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551EE736">
            <w:pPr>
              <w:snapToGrid w:val="0"/>
              <w:spacing w:line="400" w:lineRule="exact"/>
              <w:jc w:val="center"/>
              <w:rPr>
                <w:rFonts w:ascii="宋体" w:cs="宋体"/>
                <w:szCs w:val="21"/>
              </w:rPr>
            </w:pPr>
            <w:r>
              <w:rPr>
                <w:rFonts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0A16BA56">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076C1C1">
            <w:pPr>
              <w:snapToGrid w:val="0"/>
              <w:spacing w:line="400" w:lineRule="exact"/>
              <w:jc w:val="center"/>
              <w:rPr>
                <w:rFonts w:ascii="宋体" w:cs="宋体"/>
                <w:szCs w:val="21"/>
              </w:rPr>
            </w:pPr>
          </w:p>
        </w:tc>
        <w:tc>
          <w:tcPr>
            <w:tcW w:w="772" w:type="dxa"/>
            <w:tcBorders>
              <w:top w:val="single" w:color="auto" w:sz="4" w:space="0"/>
              <w:left w:val="single" w:color="auto" w:sz="4" w:space="0"/>
              <w:bottom w:val="single" w:color="auto" w:sz="4" w:space="0"/>
            </w:tcBorders>
            <w:vAlign w:val="center"/>
          </w:tcPr>
          <w:p w14:paraId="2A86C4F4">
            <w:pPr>
              <w:snapToGrid w:val="0"/>
              <w:spacing w:line="400" w:lineRule="exact"/>
              <w:jc w:val="center"/>
              <w:rPr>
                <w:rFonts w:ascii="宋体" w:cs="宋体"/>
                <w:szCs w:val="21"/>
              </w:rPr>
            </w:pPr>
          </w:p>
        </w:tc>
      </w:tr>
      <w:tr w14:paraId="1161D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14:paraId="02FA28AF">
            <w:pPr>
              <w:snapToGrid w:val="0"/>
              <w:spacing w:line="400" w:lineRule="exact"/>
              <w:jc w:val="center"/>
              <w:rPr>
                <w:rFonts w:ascii="宋体" w:cs="宋体"/>
                <w:szCs w:val="21"/>
              </w:rPr>
            </w:pPr>
            <w:r>
              <w:rPr>
                <w:rFonts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71F911CE">
            <w:pPr>
              <w:snapToGrid w:val="0"/>
              <w:spacing w:line="400" w:lineRule="exact"/>
              <w:jc w:val="center"/>
              <w:rPr>
                <w:rFonts w:asci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64959A4B">
            <w:pPr>
              <w:snapToGrid w:val="0"/>
              <w:spacing w:line="400" w:lineRule="exact"/>
              <w:jc w:val="center"/>
              <w:rPr>
                <w:rFonts w:ascii="宋体" w:cs="宋体"/>
                <w:szCs w:val="21"/>
              </w:rPr>
            </w:pPr>
            <w:r>
              <w:rPr>
                <w:rFonts w:hint="eastAsia" w:ascii="宋体" w:hAnsi="宋体" w:cs="宋体"/>
                <w:szCs w:val="21"/>
              </w:rPr>
              <w:t>响应招标文件的其他技术条款。</w:t>
            </w:r>
          </w:p>
        </w:tc>
        <w:tc>
          <w:tcPr>
            <w:tcW w:w="772" w:type="dxa"/>
            <w:tcBorders>
              <w:top w:val="single" w:color="auto" w:sz="4" w:space="0"/>
              <w:left w:val="single" w:color="auto" w:sz="4" w:space="0"/>
              <w:bottom w:val="single" w:color="auto" w:sz="4" w:space="0"/>
            </w:tcBorders>
            <w:vAlign w:val="center"/>
          </w:tcPr>
          <w:p w14:paraId="13E96CBA">
            <w:pPr>
              <w:snapToGrid w:val="0"/>
              <w:spacing w:line="400" w:lineRule="exact"/>
              <w:jc w:val="center"/>
              <w:rPr>
                <w:rFonts w:ascii="宋体" w:cs="宋体"/>
                <w:szCs w:val="21"/>
              </w:rPr>
            </w:pPr>
            <w:r>
              <w:rPr>
                <w:rFonts w:hint="eastAsia" w:ascii="宋体" w:hAnsi="宋体" w:cs="宋体"/>
                <w:szCs w:val="21"/>
              </w:rPr>
              <w:t>无偏离</w:t>
            </w:r>
          </w:p>
        </w:tc>
      </w:tr>
    </w:tbl>
    <w:p w14:paraId="4C2245F7">
      <w:pPr>
        <w:snapToGrid w:val="0"/>
        <w:spacing w:line="40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、招标文件要求详见“第二章招标需求”中的各条款内容，以此类推完整填写“技术条款偏离表”；</w:t>
      </w:r>
      <w:r>
        <w:rPr>
          <w:rFonts w:ascii="宋体" w:hAnsi="宋体" w:cs="宋体"/>
          <w:szCs w:val="21"/>
        </w:rPr>
        <w:t>2</w:t>
      </w:r>
      <w:r>
        <w:rPr>
          <w:rFonts w:hint="eastAsia" w:ascii="宋体" w:hAnsi="宋体" w:cs="宋体"/>
          <w:szCs w:val="21"/>
        </w:rPr>
        <w:t>、是否偏离应在本表空白处醒目地注明“正偏离或无偏离或负偏离”等字样。</w:t>
      </w:r>
    </w:p>
    <w:p w14:paraId="6CC886AF">
      <w:pPr>
        <w:snapToGrid w:val="0"/>
        <w:spacing w:line="400" w:lineRule="exact"/>
        <w:rPr>
          <w:rFonts w:ascii="宋体" w:cs="宋体"/>
          <w:szCs w:val="21"/>
        </w:rPr>
      </w:pPr>
    </w:p>
    <w:p w14:paraId="11C4E0E7">
      <w:pPr>
        <w:snapToGrid w:val="0"/>
        <w:spacing w:line="400" w:lineRule="exact"/>
        <w:rPr>
          <w:rFonts w:ascii="宋体" w:cs="宋体"/>
          <w:szCs w:val="21"/>
        </w:rPr>
      </w:pPr>
    </w:p>
    <w:p w14:paraId="4302BCA2">
      <w:pPr>
        <w:snapToGrid w:val="0"/>
        <w:spacing w:line="400" w:lineRule="exact"/>
        <w:rPr>
          <w:rFonts w:ascii="宋体" w:cs="宋体"/>
          <w:szCs w:val="21"/>
        </w:rPr>
      </w:pPr>
      <w:r>
        <w:rPr>
          <w:rFonts w:hint="eastAsia" w:ascii="宋体" w:hAnsi="宋体" w:cs="宋体"/>
          <w:szCs w:val="21"/>
        </w:rPr>
        <w:t>投标人全称（加盖公章）：</w:t>
      </w:r>
    </w:p>
    <w:p w14:paraId="7EA1921E">
      <w:pPr>
        <w:snapToGrid w:val="0"/>
        <w:spacing w:line="400" w:lineRule="exact"/>
        <w:rPr>
          <w:rFonts w:ascii="宋体" w:cs="宋体"/>
          <w:szCs w:val="21"/>
        </w:rPr>
      </w:pPr>
      <w:r>
        <w:rPr>
          <w:rFonts w:hint="eastAsia" w:ascii="宋体" w:hAnsi="宋体" w:cs="宋体"/>
          <w:szCs w:val="21"/>
        </w:rPr>
        <w:t>法定代表人或授权代表（签字</w:t>
      </w:r>
      <w:r>
        <w:rPr>
          <w:rFonts w:hint="eastAsia" w:ascii="宋体" w:hAnsi="宋体" w:cs="宋体"/>
          <w:szCs w:val="21"/>
          <w:lang w:eastAsia="zh-CN"/>
        </w:rPr>
        <w:t>或盖章</w:t>
      </w:r>
      <w:r>
        <w:rPr>
          <w:rFonts w:hint="eastAsia" w:ascii="宋体" w:hAnsi="宋体" w:cs="宋体"/>
          <w:szCs w:val="21"/>
        </w:rPr>
        <w:t>）：</w:t>
      </w:r>
    </w:p>
    <w:p w14:paraId="292B3E7D">
      <w:pPr>
        <w:snapToGrid w:val="0"/>
        <w:spacing w:line="400" w:lineRule="exact"/>
        <w:rPr>
          <w:rFonts w:ascii="宋体" w:cs="宋体"/>
          <w:szCs w:val="21"/>
        </w:rPr>
      </w:pPr>
      <w:r>
        <w:rPr>
          <w:rFonts w:hint="eastAsia" w:ascii="宋体" w:hAnsi="宋体" w:cs="宋体"/>
          <w:szCs w:val="21"/>
        </w:rPr>
        <w:t>年  月  日</w:t>
      </w:r>
    </w:p>
    <w:p w14:paraId="60A051F2">
      <w:pPr>
        <w:snapToGrid w:val="0"/>
        <w:spacing w:line="400" w:lineRule="exact"/>
        <w:rPr>
          <w:rFonts w:ascii="宋体" w:cs="宋体"/>
          <w:szCs w:val="21"/>
        </w:rPr>
      </w:pPr>
    </w:p>
    <w:p w14:paraId="5A5DA842">
      <w:pPr>
        <w:snapToGrid w:val="0"/>
        <w:spacing w:line="400" w:lineRule="exact"/>
        <w:rPr>
          <w:rFonts w:ascii="宋体" w:cs="宋体"/>
          <w:szCs w:val="21"/>
        </w:rPr>
      </w:pPr>
    </w:p>
    <w:p w14:paraId="55F61A4F">
      <w:pPr>
        <w:snapToGrid w:val="0"/>
        <w:spacing w:line="400" w:lineRule="exact"/>
        <w:rPr>
          <w:rFonts w:ascii="宋体" w:cs="宋体"/>
          <w:szCs w:val="21"/>
        </w:rPr>
      </w:pPr>
    </w:p>
    <w:p w14:paraId="6A46DB3E">
      <w:pPr>
        <w:snapToGrid w:val="0"/>
        <w:spacing w:line="400" w:lineRule="exact"/>
        <w:rPr>
          <w:rFonts w:ascii="宋体" w:cs="宋体"/>
          <w:szCs w:val="21"/>
        </w:rPr>
      </w:pPr>
    </w:p>
    <w:p w14:paraId="1627ED06">
      <w:pPr>
        <w:snapToGrid w:val="0"/>
        <w:spacing w:line="400" w:lineRule="exact"/>
        <w:rPr>
          <w:rFonts w:ascii="宋体" w:cs="宋体"/>
          <w:szCs w:val="21"/>
        </w:rPr>
      </w:pPr>
    </w:p>
    <w:p w14:paraId="3DBD4281">
      <w:pPr>
        <w:pStyle w:val="13"/>
        <w:snapToGrid w:val="0"/>
        <w:spacing w:before="120" w:after="120" w:line="360" w:lineRule="auto"/>
        <w:rPr>
          <w:rFonts w:hAnsi="宋体" w:cs="宋体"/>
          <w:sz w:val="21"/>
          <w:szCs w:val="21"/>
        </w:rPr>
      </w:pPr>
    </w:p>
    <w:p w14:paraId="2FDA6513">
      <w:pPr>
        <w:pStyle w:val="13"/>
        <w:snapToGrid w:val="0"/>
        <w:spacing w:before="120" w:after="120" w:line="360" w:lineRule="auto"/>
        <w:rPr>
          <w:rFonts w:hAnsi="宋体" w:cs="宋体"/>
          <w:sz w:val="21"/>
          <w:szCs w:val="21"/>
        </w:rPr>
      </w:pPr>
    </w:p>
    <w:p w14:paraId="4A67EAE6">
      <w:pPr>
        <w:numPr>
          <w:ilvl w:val="0"/>
          <w:numId w:val="13"/>
        </w:numPr>
        <w:snapToGrid w:val="0"/>
        <w:spacing w:before="50" w:afterLines="50"/>
        <w:jc w:val="center"/>
        <w:rPr>
          <w:rFonts w:ascii="宋体"/>
          <w:szCs w:val="21"/>
        </w:rPr>
      </w:pPr>
      <w:r>
        <w:rPr>
          <w:rFonts w:hint="eastAsia" w:ascii="宋体" w:hAnsi="宋体"/>
          <w:szCs w:val="21"/>
        </w:rPr>
        <w:t>报价文件格式</w:t>
      </w:r>
    </w:p>
    <w:p w14:paraId="68040183">
      <w:pPr>
        <w:snapToGrid w:val="0"/>
        <w:spacing w:before="50" w:afterLines="50"/>
        <w:rPr>
          <w:rFonts w:ascii="宋体"/>
          <w:b/>
          <w:szCs w:val="21"/>
        </w:rPr>
      </w:pPr>
    </w:p>
    <w:p w14:paraId="434119D4">
      <w:pPr>
        <w:snapToGrid w:val="0"/>
        <w:spacing w:before="50" w:afterLines="50"/>
        <w:rPr>
          <w:rFonts w:ascii="宋体"/>
          <w:b/>
          <w:bCs/>
          <w:szCs w:val="21"/>
        </w:rPr>
      </w:pPr>
      <w:r>
        <w:rPr>
          <w:rFonts w:ascii="宋体" w:hAnsi="宋体"/>
          <w:b/>
          <w:szCs w:val="21"/>
        </w:rPr>
        <w:t>1.</w:t>
      </w:r>
      <w:r>
        <w:rPr>
          <w:rFonts w:hint="eastAsia" w:ascii="宋体" w:hAnsi="宋体"/>
          <w:b/>
          <w:bCs/>
          <w:szCs w:val="21"/>
        </w:rPr>
        <w:t>报价文件的外包装封面格式：</w:t>
      </w:r>
    </w:p>
    <w:p w14:paraId="1F331F41">
      <w:pPr>
        <w:snapToGrid w:val="0"/>
        <w:spacing w:beforeLines="50" w:after="50"/>
        <w:rPr>
          <w:rFonts w:ascii="宋体"/>
          <w:bCs/>
          <w:szCs w:val="21"/>
        </w:rPr>
      </w:pPr>
    </w:p>
    <w:p w14:paraId="3DBCCE4C">
      <w:pPr>
        <w:snapToGrid w:val="0"/>
        <w:spacing w:beforeLines="50" w:after="50"/>
        <w:jc w:val="center"/>
        <w:rPr>
          <w:rFonts w:ascii="宋体"/>
          <w:bCs/>
          <w:szCs w:val="21"/>
        </w:rPr>
      </w:pPr>
      <w:r>
        <w:rPr>
          <w:rFonts w:hint="eastAsia" w:ascii="宋体" w:hAnsi="宋体"/>
          <w:bCs/>
          <w:szCs w:val="21"/>
        </w:rPr>
        <w:t>报价文件</w:t>
      </w:r>
    </w:p>
    <w:p w14:paraId="21A24970">
      <w:pPr>
        <w:snapToGrid w:val="0"/>
        <w:spacing w:beforeLines="50" w:after="50"/>
        <w:rPr>
          <w:rFonts w:ascii="宋体"/>
          <w:bCs/>
          <w:szCs w:val="21"/>
        </w:rPr>
      </w:pPr>
    </w:p>
    <w:p w14:paraId="2F66B35F">
      <w:pPr>
        <w:snapToGrid w:val="0"/>
        <w:spacing w:beforeLines="50" w:after="50"/>
        <w:ind w:firstLine="932" w:firstLineChars="444"/>
      </w:pPr>
      <w:r>
        <w:rPr>
          <w:rFonts w:hint="eastAsia" w:ascii="宋体" w:hAnsi="宋体"/>
          <w:bCs/>
          <w:szCs w:val="21"/>
        </w:rPr>
        <w:t>项目名称：</w:t>
      </w:r>
    </w:p>
    <w:p w14:paraId="0D38321F">
      <w:pPr>
        <w:snapToGrid w:val="0"/>
        <w:spacing w:beforeLines="50" w:after="50"/>
        <w:ind w:firstLine="932" w:firstLineChars="444"/>
        <w:rPr>
          <w:rFonts w:ascii="宋体"/>
          <w:bCs/>
          <w:szCs w:val="21"/>
        </w:rPr>
      </w:pPr>
      <w:r>
        <w:rPr>
          <w:rFonts w:hint="eastAsia" w:ascii="宋体" w:hAnsi="宋体"/>
          <w:bCs/>
          <w:szCs w:val="21"/>
        </w:rPr>
        <w:t>项目编号：</w:t>
      </w:r>
    </w:p>
    <w:p w14:paraId="6E15FEA6">
      <w:pPr>
        <w:snapToGrid w:val="0"/>
        <w:spacing w:beforeLines="50" w:after="50"/>
        <w:ind w:firstLine="932" w:firstLineChars="444"/>
        <w:rPr>
          <w:rFonts w:ascii="宋体"/>
          <w:bCs/>
          <w:szCs w:val="21"/>
        </w:rPr>
      </w:pPr>
    </w:p>
    <w:p w14:paraId="29BD3D74">
      <w:pPr>
        <w:snapToGrid w:val="0"/>
        <w:spacing w:beforeLines="50" w:after="50"/>
        <w:ind w:firstLine="840" w:firstLineChars="400"/>
        <w:rPr>
          <w:rFonts w:ascii="宋体"/>
          <w:bCs/>
          <w:szCs w:val="21"/>
        </w:rPr>
      </w:pPr>
      <w:r>
        <w:rPr>
          <w:rFonts w:hint="eastAsia" w:ascii="宋体" w:hAnsi="宋体"/>
          <w:bCs/>
          <w:szCs w:val="21"/>
        </w:rPr>
        <w:t>投标人名称：</w:t>
      </w:r>
    </w:p>
    <w:p w14:paraId="4DD82075">
      <w:pPr>
        <w:snapToGrid w:val="0"/>
        <w:spacing w:beforeLines="50" w:after="50"/>
        <w:ind w:firstLine="840" w:firstLineChars="400"/>
        <w:rPr>
          <w:rFonts w:ascii="宋体"/>
          <w:bCs/>
          <w:szCs w:val="21"/>
        </w:rPr>
      </w:pPr>
      <w:r>
        <w:rPr>
          <w:rFonts w:hint="eastAsia" w:ascii="宋体" w:hAnsi="宋体"/>
          <w:bCs/>
          <w:szCs w:val="21"/>
        </w:rPr>
        <w:t>投标人地址：</w:t>
      </w:r>
    </w:p>
    <w:p w14:paraId="1C32590F">
      <w:pPr>
        <w:pStyle w:val="6"/>
        <w:snapToGrid w:val="0"/>
        <w:spacing w:before="50" w:after="50"/>
        <w:ind w:firstLine="932" w:firstLineChars="444"/>
        <w:jc w:val="center"/>
        <w:rPr>
          <w:rFonts w:ascii="宋体"/>
          <w:bCs/>
          <w:szCs w:val="21"/>
        </w:rPr>
      </w:pPr>
      <w:r>
        <w:rPr>
          <w:rFonts w:hint="eastAsia" w:ascii="宋体" w:hAnsi="宋体"/>
          <w:bCs/>
          <w:szCs w:val="21"/>
        </w:rPr>
        <w:t>开标时启封</w:t>
      </w:r>
    </w:p>
    <w:p w14:paraId="29A6DFB0">
      <w:pPr>
        <w:pStyle w:val="6"/>
        <w:snapToGrid w:val="0"/>
        <w:spacing w:before="50" w:after="50"/>
        <w:ind w:firstLine="873" w:firstLineChars="416"/>
        <w:rPr>
          <w:rFonts w:ascii="宋体"/>
          <w:szCs w:val="21"/>
        </w:rPr>
      </w:pPr>
    </w:p>
    <w:p w14:paraId="122AE86A">
      <w:pPr>
        <w:jc w:val="right"/>
      </w:pPr>
      <w:r>
        <w:rPr>
          <w:rFonts w:hint="eastAsia"/>
        </w:rPr>
        <w:t>年月日</w:t>
      </w:r>
    </w:p>
    <w:p w14:paraId="3DEDEB48"/>
    <w:p w14:paraId="544222F9">
      <w:pPr>
        <w:snapToGrid w:val="0"/>
        <w:spacing w:beforeLines="50" w:after="50"/>
        <w:rPr>
          <w:rFonts w:ascii="宋体"/>
          <w:szCs w:val="21"/>
        </w:rPr>
      </w:pPr>
      <w:r>
        <w:rPr>
          <w:rFonts w:ascii="宋体" w:hAnsi="宋体"/>
          <w:b/>
          <w:bCs/>
          <w:szCs w:val="21"/>
        </w:rPr>
        <w:t>2.</w:t>
      </w:r>
      <w:r>
        <w:rPr>
          <w:rFonts w:hint="eastAsia" w:ascii="宋体" w:hAnsi="宋体"/>
          <w:b/>
          <w:bCs/>
          <w:szCs w:val="21"/>
        </w:rPr>
        <w:t>报价文件封面格式：</w:t>
      </w:r>
    </w:p>
    <w:p w14:paraId="180781B8">
      <w:pPr>
        <w:snapToGrid w:val="0"/>
        <w:spacing w:beforeLines="50" w:after="50"/>
        <w:jc w:val="right"/>
        <w:rPr>
          <w:rFonts w:ascii="宋体"/>
          <w:b/>
          <w:bCs/>
          <w:szCs w:val="21"/>
        </w:rPr>
      </w:pPr>
      <w:r>
        <w:rPr>
          <w:rFonts w:hint="eastAsia" w:ascii="宋体" w:hAnsi="宋体"/>
          <w:b/>
          <w:bCs/>
          <w:szCs w:val="21"/>
        </w:rPr>
        <w:t>正本</w:t>
      </w:r>
    </w:p>
    <w:p w14:paraId="348BA191">
      <w:pPr>
        <w:snapToGrid w:val="0"/>
        <w:spacing w:beforeLines="50" w:after="50"/>
        <w:rPr>
          <w:rFonts w:ascii="宋体"/>
          <w:szCs w:val="21"/>
        </w:rPr>
      </w:pPr>
    </w:p>
    <w:p w14:paraId="2E2ABCAD">
      <w:pPr>
        <w:snapToGrid w:val="0"/>
        <w:spacing w:beforeLines="50" w:after="50"/>
        <w:jc w:val="center"/>
        <w:rPr>
          <w:rFonts w:ascii="宋体"/>
          <w:bCs/>
          <w:szCs w:val="21"/>
        </w:rPr>
      </w:pPr>
      <w:r>
        <w:rPr>
          <w:rFonts w:hint="eastAsia" w:ascii="宋体" w:hAnsi="宋体"/>
          <w:bCs/>
          <w:szCs w:val="21"/>
        </w:rPr>
        <w:t>报价文件</w:t>
      </w:r>
    </w:p>
    <w:p w14:paraId="4A01DEF3">
      <w:pPr>
        <w:snapToGrid w:val="0"/>
        <w:spacing w:beforeLines="50" w:after="50"/>
        <w:rPr>
          <w:rFonts w:ascii="宋体"/>
          <w:bCs/>
          <w:szCs w:val="21"/>
        </w:rPr>
      </w:pPr>
    </w:p>
    <w:p w14:paraId="78AC9333">
      <w:pPr>
        <w:snapToGrid w:val="0"/>
        <w:spacing w:beforeLines="50" w:after="50"/>
        <w:ind w:firstLine="630" w:firstLineChars="300"/>
        <w:rPr>
          <w:rFonts w:ascii="宋体"/>
          <w:bCs/>
          <w:szCs w:val="21"/>
        </w:rPr>
      </w:pPr>
      <w:r>
        <w:rPr>
          <w:rFonts w:hint="eastAsia" w:ascii="宋体" w:hAnsi="宋体"/>
          <w:bCs/>
          <w:szCs w:val="21"/>
        </w:rPr>
        <w:t>项目名称：</w:t>
      </w:r>
    </w:p>
    <w:p w14:paraId="5D908594">
      <w:pPr>
        <w:snapToGrid w:val="0"/>
        <w:spacing w:beforeLines="50" w:after="50"/>
        <w:ind w:firstLine="504" w:firstLineChars="240"/>
        <w:rPr>
          <w:rFonts w:ascii="宋体"/>
          <w:bCs/>
          <w:szCs w:val="21"/>
        </w:rPr>
      </w:pPr>
      <w:r>
        <w:rPr>
          <w:rFonts w:hint="eastAsia" w:ascii="宋体" w:hAnsi="宋体"/>
          <w:bCs/>
          <w:szCs w:val="21"/>
        </w:rPr>
        <w:t>项目编号：</w:t>
      </w:r>
    </w:p>
    <w:p w14:paraId="163AC699">
      <w:pPr>
        <w:snapToGrid w:val="0"/>
        <w:spacing w:beforeLines="50" w:after="50"/>
        <w:ind w:firstLine="525" w:firstLineChars="250"/>
        <w:rPr>
          <w:rFonts w:ascii="宋体"/>
          <w:bCs/>
          <w:szCs w:val="21"/>
        </w:rPr>
      </w:pPr>
    </w:p>
    <w:p w14:paraId="3580752C">
      <w:pPr>
        <w:snapToGrid w:val="0"/>
        <w:spacing w:beforeLines="50" w:after="50"/>
        <w:ind w:firstLine="504" w:firstLineChars="240"/>
        <w:rPr>
          <w:rFonts w:ascii="宋体"/>
          <w:bCs/>
          <w:szCs w:val="21"/>
        </w:rPr>
      </w:pPr>
      <w:r>
        <w:rPr>
          <w:rFonts w:hint="eastAsia" w:ascii="宋体" w:hAnsi="宋体"/>
          <w:bCs/>
          <w:szCs w:val="21"/>
        </w:rPr>
        <w:t>投标人名称：</w:t>
      </w:r>
    </w:p>
    <w:p w14:paraId="648C6324">
      <w:pPr>
        <w:snapToGrid w:val="0"/>
        <w:spacing w:beforeLines="50" w:after="50"/>
        <w:ind w:firstLine="504" w:firstLineChars="240"/>
        <w:rPr>
          <w:rFonts w:ascii="宋体"/>
          <w:bCs/>
          <w:szCs w:val="21"/>
        </w:rPr>
      </w:pPr>
      <w:r>
        <w:rPr>
          <w:rFonts w:hint="eastAsia" w:ascii="宋体" w:hAnsi="宋体"/>
          <w:bCs/>
          <w:szCs w:val="21"/>
        </w:rPr>
        <w:t>投标人地址：</w:t>
      </w:r>
    </w:p>
    <w:p w14:paraId="64431C44">
      <w:pPr>
        <w:jc w:val="right"/>
      </w:pPr>
      <w:r>
        <w:rPr>
          <w:rFonts w:hint="eastAsia"/>
        </w:rPr>
        <w:t>年月日</w:t>
      </w:r>
    </w:p>
    <w:p w14:paraId="66AF3305">
      <w:pPr>
        <w:pStyle w:val="11"/>
        <w:spacing w:line="360" w:lineRule="auto"/>
        <w:ind w:firstLine="0"/>
        <w:rPr>
          <w:rFonts w:hAnsi="宋体" w:cs="宋体"/>
          <w:spacing w:val="0"/>
          <w:sz w:val="21"/>
          <w:szCs w:val="21"/>
        </w:rPr>
      </w:pPr>
    </w:p>
    <w:p w14:paraId="421A0185">
      <w:pPr>
        <w:pStyle w:val="11"/>
        <w:spacing w:line="360" w:lineRule="auto"/>
        <w:ind w:firstLine="0"/>
        <w:rPr>
          <w:rFonts w:hAnsi="宋体" w:cs="宋体"/>
          <w:spacing w:val="0"/>
          <w:sz w:val="21"/>
          <w:szCs w:val="21"/>
        </w:rPr>
      </w:pPr>
    </w:p>
    <w:p w14:paraId="78FC2C74">
      <w:pPr>
        <w:pStyle w:val="11"/>
        <w:spacing w:line="360" w:lineRule="auto"/>
        <w:ind w:firstLine="0"/>
        <w:rPr>
          <w:rFonts w:hAnsi="宋体" w:cs="宋体"/>
          <w:spacing w:val="0"/>
          <w:sz w:val="21"/>
          <w:szCs w:val="21"/>
        </w:rPr>
      </w:pPr>
    </w:p>
    <w:p w14:paraId="26F8C20F">
      <w:pPr>
        <w:pStyle w:val="11"/>
        <w:spacing w:line="360" w:lineRule="auto"/>
        <w:ind w:firstLine="0"/>
        <w:rPr>
          <w:rFonts w:hAnsi="宋体" w:cs="宋体"/>
          <w:spacing w:val="0"/>
          <w:sz w:val="21"/>
          <w:szCs w:val="21"/>
        </w:rPr>
      </w:pPr>
    </w:p>
    <w:p w14:paraId="7D196C36">
      <w:pPr>
        <w:pStyle w:val="11"/>
        <w:spacing w:line="360" w:lineRule="auto"/>
        <w:ind w:firstLine="0"/>
        <w:rPr>
          <w:rFonts w:hAnsi="宋体" w:cs="宋体"/>
          <w:spacing w:val="0"/>
          <w:sz w:val="21"/>
          <w:szCs w:val="21"/>
        </w:rPr>
      </w:pPr>
    </w:p>
    <w:p w14:paraId="1F356323">
      <w:pPr>
        <w:pStyle w:val="11"/>
        <w:spacing w:line="360" w:lineRule="auto"/>
        <w:ind w:firstLine="0"/>
        <w:rPr>
          <w:rFonts w:hAnsi="宋体" w:cs="宋体"/>
          <w:spacing w:val="0"/>
          <w:sz w:val="21"/>
          <w:szCs w:val="21"/>
        </w:rPr>
      </w:pPr>
    </w:p>
    <w:p w14:paraId="3AEAA27B">
      <w:pPr>
        <w:pStyle w:val="11"/>
        <w:spacing w:line="360" w:lineRule="auto"/>
        <w:ind w:firstLine="0"/>
        <w:rPr>
          <w:rFonts w:hAnsi="宋体" w:cs="宋体"/>
          <w:spacing w:val="0"/>
          <w:sz w:val="21"/>
          <w:szCs w:val="21"/>
        </w:rPr>
      </w:pPr>
    </w:p>
    <w:p w14:paraId="1DF93EF5">
      <w:pPr>
        <w:pStyle w:val="11"/>
        <w:spacing w:line="360" w:lineRule="auto"/>
        <w:ind w:firstLine="0"/>
        <w:rPr>
          <w:rFonts w:hAnsi="宋体" w:cs="宋体"/>
          <w:b/>
          <w:bCs/>
          <w:spacing w:val="0"/>
          <w:sz w:val="28"/>
          <w:szCs w:val="28"/>
        </w:rPr>
      </w:pPr>
      <w:r>
        <w:rPr>
          <w:rFonts w:hint="eastAsia" w:hAnsi="宋体" w:cs="宋体"/>
          <w:spacing w:val="0"/>
          <w:sz w:val="21"/>
          <w:szCs w:val="21"/>
        </w:rPr>
        <w:t>格式一：开标一览表</w:t>
      </w:r>
    </w:p>
    <w:p w14:paraId="245BB8E4">
      <w:pPr>
        <w:jc w:val="center"/>
        <w:rPr>
          <w:rFonts w:hint="eastAsia" w:hAnsi="宋体" w:eastAsia="宋体" w:cs="宋体"/>
          <w:b/>
          <w:bCs/>
          <w:color w:val="auto"/>
          <w:spacing w:val="0"/>
          <w:sz w:val="28"/>
          <w:szCs w:val="28"/>
          <w:highlight w:val="none"/>
          <w:lang w:eastAsia="zh-CN"/>
        </w:rPr>
      </w:pPr>
      <w:r>
        <w:rPr>
          <w:rFonts w:hint="eastAsia" w:hAnsi="宋体" w:cs="宋体"/>
          <w:b/>
          <w:bCs/>
          <w:color w:val="auto"/>
          <w:spacing w:val="0"/>
          <w:sz w:val="28"/>
          <w:szCs w:val="28"/>
          <w:highlight w:val="none"/>
        </w:rPr>
        <w:t>开标一览表</w:t>
      </w:r>
    </w:p>
    <w:p w14:paraId="74C7FE71">
      <w:pPr>
        <w:jc w:val="center"/>
        <w:rPr>
          <w:rFonts w:hint="eastAsia" w:hAnsi="宋体" w:eastAsia="宋体" w:cs="宋体"/>
          <w:b/>
          <w:bCs/>
          <w:color w:val="auto"/>
          <w:spacing w:val="0"/>
          <w:sz w:val="28"/>
          <w:szCs w:val="28"/>
          <w:highlight w:val="none"/>
          <w:lang w:eastAsia="zh-CN"/>
        </w:rPr>
      </w:pPr>
      <w:r>
        <w:rPr>
          <w:rFonts w:hint="eastAsia" w:hAnsi="宋体" w:eastAsia="宋体" w:cs="宋体"/>
          <w:b/>
          <w:bCs/>
          <w:color w:val="auto"/>
          <w:spacing w:val="0"/>
          <w:sz w:val="28"/>
          <w:szCs w:val="28"/>
          <w:highlight w:val="none"/>
          <w:lang w:eastAsia="zh-CN"/>
        </w:rPr>
        <w:t>（</w:t>
      </w:r>
      <w:r>
        <w:rPr>
          <w:rFonts w:hint="eastAsia" w:hAnsi="宋体" w:eastAsia="宋体" w:cs="宋体"/>
          <w:b/>
          <w:bCs/>
          <w:color w:val="auto"/>
          <w:spacing w:val="0"/>
          <w:sz w:val="28"/>
          <w:szCs w:val="28"/>
          <w:highlight w:val="none"/>
          <w:lang w:val="en-US" w:eastAsia="zh-CN"/>
        </w:rPr>
        <w:t>适用于标段</w:t>
      </w:r>
      <w:r>
        <w:rPr>
          <w:rFonts w:hint="eastAsia" w:hAnsi="宋体" w:cs="宋体"/>
          <w:b/>
          <w:bCs/>
          <w:color w:val="auto"/>
          <w:spacing w:val="0"/>
          <w:sz w:val="28"/>
          <w:szCs w:val="28"/>
          <w:highlight w:val="none"/>
          <w:lang w:val="en-US" w:eastAsia="zh-CN"/>
        </w:rPr>
        <w:t>一、标段二、标段三、标段四</w:t>
      </w:r>
      <w:r>
        <w:rPr>
          <w:rFonts w:hint="eastAsia" w:hAnsi="宋体" w:eastAsia="宋体" w:cs="宋体"/>
          <w:b/>
          <w:bCs/>
          <w:color w:val="auto"/>
          <w:spacing w:val="0"/>
          <w:sz w:val="28"/>
          <w:szCs w:val="28"/>
          <w:highlight w:val="none"/>
          <w:lang w:eastAsia="zh-CN"/>
        </w:rPr>
        <w:t>）</w:t>
      </w:r>
    </w:p>
    <w:p w14:paraId="593D4F99">
      <w:pPr>
        <w:pStyle w:val="11"/>
        <w:spacing w:line="360" w:lineRule="auto"/>
        <w:ind w:firstLine="0"/>
        <w:rPr>
          <w:color w:val="auto"/>
          <w:sz w:val="21"/>
          <w:szCs w:val="21"/>
        </w:rPr>
      </w:pPr>
      <w:r>
        <w:rPr>
          <w:rFonts w:hint="eastAsia"/>
          <w:color w:val="auto"/>
          <w:sz w:val="21"/>
          <w:szCs w:val="21"/>
        </w:rPr>
        <w:t>项目名称：</w:t>
      </w:r>
    </w:p>
    <w:p w14:paraId="5EA5325A">
      <w:pPr>
        <w:pStyle w:val="11"/>
        <w:spacing w:line="360" w:lineRule="auto"/>
        <w:ind w:firstLine="0"/>
        <w:rPr>
          <w:rFonts w:hint="eastAsia"/>
          <w:color w:val="auto"/>
          <w:sz w:val="21"/>
          <w:szCs w:val="21"/>
        </w:rPr>
      </w:pPr>
      <w:r>
        <w:rPr>
          <w:rFonts w:hint="eastAsia"/>
          <w:color w:val="auto"/>
          <w:sz w:val="21"/>
          <w:szCs w:val="21"/>
        </w:rPr>
        <w:t>招标编号：</w:t>
      </w:r>
    </w:p>
    <w:tbl>
      <w:tblPr>
        <w:tblStyle w:val="28"/>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45"/>
        <w:gridCol w:w="2645"/>
        <w:gridCol w:w="1365"/>
        <w:gridCol w:w="1335"/>
        <w:gridCol w:w="1230"/>
        <w:gridCol w:w="1230"/>
      </w:tblGrid>
      <w:tr w14:paraId="4AEF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Header/>
          <w:jc w:val="center"/>
        </w:trPr>
        <w:tc>
          <w:tcPr>
            <w:tcW w:w="822" w:type="dxa"/>
            <w:shd w:val="clear" w:color="auto" w:fill="auto"/>
            <w:vAlign w:val="center"/>
          </w:tcPr>
          <w:p w14:paraId="2851E39E">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1545" w:type="dxa"/>
            <w:shd w:val="clear" w:color="auto" w:fill="auto"/>
            <w:vAlign w:val="center"/>
          </w:tcPr>
          <w:p w14:paraId="3844318B">
            <w:pPr>
              <w:widowControl/>
              <w:jc w:val="center"/>
              <w:rPr>
                <w:rFonts w:ascii="宋体" w:hAnsi="宋体" w:cs="宋体"/>
                <w:color w:val="auto"/>
                <w:kern w:val="0"/>
                <w:szCs w:val="21"/>
              </w:rPr>
            </w:pPr>
            <w:r>
              <w:rPr>
                <w:rFonts w:ascii="宋体" w:hAnsi="宋体" w:cs="宋体"/>
                <w:color w:val="auto"/>
                <w:kern w:val="0"/>
                <w:szCs w:val="21"/>
              </w:rPr>
              <w:t>路段名称</w:t>
            </w:r>
          </w:p>
        </w:tc>
        <w:tc>
          <w:tcPr>
            <w:tcW w:w="2645" w:type="dxa"/>
            <w:shd w:val="clear" w:color="auto" w:fill="auto"/>
            <w:vAlign w:val="center"/>
          </w:tcPr>
          <w:p w14:paraId="1FBE7FDE">
            <w:pPr>
              <w:widowControl/>
              <w:jc w:val="center"/>
              <w:rPr>
                <w:rFonts w:ascii="宋体" w:hAnsi="宋体" w:cs="宋体"/>
                <w:color w:val="auto"/>
                <w:kern w:val="0"/>
                <w:szCs w:val="21"/>
              </w:rPr>
            </w:pPr>
            <w:r>
              <w:rPr>
                <w:rFonts w:hint="eastAsia" w:ascii="宋体" w:hAnsi="宋体" w:cs="宋体"/>
                <w:color w:val="auto"/>
                <w:kern w:val="0"/>
                <w:szCs w:val="21"/>
              </w:rPr>
              <w:t>服务范围</w:t>
            </w:r>
          </w:p>
        </w:tc>
        <w:tc>
          <w:tcPr>
            <w:tcW w:w="1365" w:type="dxa"/>
            <w:shd w:val="clear" w:color="auto" w:fill="auto"/>
            <w:vAlign w:val="center"/>
          </w:tcPr>
          <w:p w14:paraId="1885876B">
            <w:pPr>
              <w:widowControl/>
              <w:jc w:val="center"/>
              <w:rPr>
                <w:rFonts w:ascii="宋体" w:hAnsi="宋体" w:cs="宋体"/>
                <w:color w:val="auto"/>
                <w:kern w:val="0"/>
                <w:szCs w:val="21"/>
              </w:rPr>
            </w:pPr>
            <w:r>
              <w:rPr>
                <w:rFonts w:hint="eastAsia" w:ascii="宋体" w:hAnsi="宋体" w:cs="宋体"/>
                <w:color w:val="auto"/>
                <w:kern w:val="0"/>
                <w:szCs w:val="21"/>
              </w:rPr>
              <w:t>面积（㎡）</w:t>
            </w:r>
          </w:p>
        </w:tc>
        <w:tc>
          <w:tcPr>
            <w:tcW w:w="1335" w:type="dxa"/>
            <w:shd w:val="clear" w:color="auto" w:fill="auto"/>
            <w:vAlign w:val="center"/>
          </w:tcPr>
          <w:p w14:paraId="0A80D624">
            <w:pPr>
              <w:pStyle w:val="11"/>
              <w:spacing w:line="0" w:lineRule="atLeast"/>
              <w:ind w:firstLine="0"/>
              <w:jc w:val="center"/>
              <w:rPr>
                <w:rFonts w:ascii="Times New Roman" w:hAnsi="宋体" w:cs="宋体"/>
                <w:color w:val="auto"/>
                <w:spacing w:val="0"/>
                <w:sz w:val="21"/>
                <w:szCs w:val="21"/>
                <w:lang w:val="en-US" w:eastAsia="zh-CN"/>
              </w:rPr>
            </w:pPr>
            <w:r>
              <w:rPr>
                <w:rFonts w:ascii="Times New Roman" w:hAnsi="宋体" w:cs="宋体"/>
                <w:color w:val="auto"/>
                <w:spacing w:val="0"/>
                <w:sz w:val="21"/>
                <w:szCs w:val="21"/>
                <w:lang w:val="en-US" w:eastAsia="zh-CN"/>
              </w:rPr>
              <w:t>综合单价</w:t>
            </w:r>
          </w:p>
          <w:p w14:paraId="139E6077">
            <w:pPr>
              <w:widowControl/>
              <w:jc w:val="center"/>
              <w:rPr>
                <w:rFonts w:hint="eastAsia" w:ascii="宋体" w:hAnsi="宋体" w:eastAsia="宋体" w:cs="宋体"/>
                <w:color w:val="auto"/>
                <w:kern w:val="0"/>
                <w:szCs w:val="21"/>
                <w:lang w:val="en-US" w:eastAsia="zh-CN"/>
              </w:rPr>
            </w:pPr>
            <w:r>
              <w:rPr>
                <w:rFonts w:ascii="Times New Roman" w:hAnsi="宋体" w:cs="宋体"/>
                <w:color w:val="auto"/>
                <w:spacing w:val="0"/>
                <w:sz w:val="21"/>
                <w:szCs w:val="21"/>
                <w:lang w:val="en-US" w:eastAsia="zh-CN"/>
              </w:rPr>
              <w:t>（</w:t>
            </w:r>
            <w:r>
              <w:rPr>
                <w:rFonts w:hint="eastAsia" w:ascii="Times New Roman" w:hAnsi="宋体" w:cs="宋体"/>
                <w:color w:val="auto"/>
                <w:spacing w:val="0"/>
                <w:sz w:val="21"/>
                <w:szCs w:val="21"/>
                <w:lang w:val="en-US" w:eastAsia="zh-CN"/>
              </w:rPr>
              <w:t>元/m².年</w:t>
            </w:r>
            <w:r>
              <w:rPr>
                <w:rFonts w:ascii="Times New Roman" w:hAnsi="宋体" w:cs="宋体"/>
                <w:color w:val="auto"/>
                <w:spacing w:val="0"/>
                <w:sz w:val="21"/>
                <w:szCs w:val="21"/>
                <w:lang w:val="en-US" w:eastAsia="zh-CN"/>
              </w:rPr>
              <w:t>）</w:t>
            </w:r>
          </w:p>
        </w:tc>
        <w:tc>
          <w:tcPr>
            <w:tcW w:w="1230" w:type="dxa"/>
            <w:shd w:val="clear" w:color="auto" w:fill="auto"/>
            <w:vAlign w:val="center"/>
          </w:tcPr>
          <w:p w14:paraId="6DFDD80E">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合价</w:t>
            </w:r>
          </w:p>
        </w:tc>
        <w:tc>
          <w:tcPr>
            <w:tcW w:w="1230" w:type="dxa"/>
            <w:shd w:val="clear" w:color="auto" w:fill="auto"/>
            <w:vAlign w:val="center"/>
          </w:tcPr>
          <w:p w14:paraId="2D109E01">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备注</w:t>
            </w:r>
          </w:p>
        </w:tc>
      </w:tr>
      <w:tr w14:paraId="6A6B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blHeader/>
          <w:jc w:val="center"/>
        </w:trPr>
        <w:tc>
          <w:tcPr>
            <w:tcW w:w="822" w:type="dxa"/>
            <w:shd w:val="clear" w:color="auto" w:fill="auto"/>
            <w:vAlign w:val="center"/>
          </w:tcPr>
          <w:p w14:paraId="3756800B">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545" w:type="dxa"/>
            <w:shd w:val="clear" w:color="auto" w:fill="auto"/>
            <w:vAlign w:val="center"/>
          </w:tcPr>
          <w:p w14:paraId="4B092EDE">
            <w:pPr>
              <w:widowControl/>
              <w:jc w:val="center"/>
              <w:rPr>
                <w:rFonts w:hint="default" w:ascii="宋体" w:hAnsi="宋体" w:eastAsia="宋体" w:cs="宋体"/>
                <w:color w:val="auto"/>
                <w:kern w:val="0"/>
                <w:szCs w:val="21"/>
                <w:lang w:val="en-US" w:eastAsia="zh-CN"/>
              </w:rPr>
            </w:pPr>
            <w:r>
              <w:rPr>
                <w:rFonts w:hint="eastAsia"/>
                <w:color w:val="auto"/>
                <w:lang w:val="en-US" w:eastAsia="zh-CN"/>
              </w:rPr>
              <w:t>标段一/</w:t>
            </w:r>
            <w:r>
              <w:rPr>
                <w:rFonts w:hint="eastAsia" w:ascii="宋体" w:hAnsi="宋体" w:cs="宋体"/>
                <w:color w:val="auto"/>
                <w:kern w:val="0"/>
                <w:szCs w:val="21"/>
                <w:lang w:val="en-US" w:eastAsia="zh-CN"/>
              </w:rPr>
              <w:t>标段二/标段三/标段四</w:t>
            </w:r>
          </w:p>
        </w:tc>
        <w:tc>
          <w:tcPr>
            <w:tcW w:w="2645" w:type="dxa"/>
            <w:shd w:val="clear" w:color="auto" w:fill="auto"/>
            <w:vAlign w:val="center"/>
          </w:tcPr>
          <w:p w14:paraId="1074BB2F">
            <w:pPr>
              <w:widowControl/>
              <w:jc w:val="center"/>
              <w:rPr>
                <w:rFonts w:ascii="宋体" w:hAnsi="宋体" w:cs="宋体"/>
                <w:color w:val="auto"/>
                <w:kern w:val="0"/>
                <w:szCs w:val="21"/>
                <w:highlight w:val="yellow"/>
              </w:rPr>
            </w:pPr>
          </w:p>
        </w:tc>
        <w:tc>
          <w:tcPr>
            <w:tcW w:w="1365" w:type="dxa"/>
            <w:shd w:val="clear" w:color="auto" w:fill="auto"/>
            <w:vAlign w:val="center"/>
          </w:tcPr>
          <w:p w14:paraId="555ED447">
            <w:pPr>
              <w:widowControl/>
              <w:jc w:val="center"/>
              <w:rPr>
                <w:rFonts w:hint="default" w:ascii="宋体" w:hAnsi="宋体" w:eastAsia="宋体" w:cs="宋体"/>
                <w:color w:val="auto"/>
                <w:kern w:val="0"/>
                <w:szCs w:val="21"/>
                <w:lang w:val="en-US" w:eastAsia="zh-CN"/>
              </w:rPr>
            </w:pPr>
          </w:p>
        </w:tc>
        <w:tc>
          <w:tcPr>
            <w:tcW w:w="1335" w:type="dxa"/>
            <w:shd w:val="clear" w:color="auto" w:fill="auto"/>
            <w:vAlign w:val="center"/>
          </w:tcPr>
          <w:p w14:paraId="1252CC48">
            <w:pPr>
              <w:widowControl/>
              <w:jc w:val="center"/>
              <w:rPr>
                <w:rFonts w:hint="eastAsia" w:ascii="宋体" w:hAnsi="宋体" w:cs="宋体"/>
                <w:color w:val="auto"/>
                <w:kern w:val="0"/>
                <w:szCs w:val="21"/>
                <w:lang w:val="en-US" w:eastAsia="zh-CN"/>
              </w:rPr>
            </w:pPr>
          </w:p>
        </w:tc>
        <w:tc>
          <w:tcPr>
            <w:tcW w:w="1230" w:type="dxa"/>
            <w:shd w:val="clear" w:color="auto" w:fill="auto"/>
            <w:vAlign w:val="center"/>
          </w:tcPr>
          <w:p w14:paraId="200D2F73">
            <w:pPr>
              <w:widowControl/>
              <w:jc w:val="center"/>
              <w:rPr>
                <w:rFonts w:hint="eastAsia" w:ascii="宋体" w:hAnsi="宋体" w:cs="宋体"/>
                <w:color w:val="auto"/>
                <w:kern w:val="0"/>
                <w:szCs w:val="21"/>
                <w:lang w:val="en-US" w:eastAsia="zh-CN"/>
              </w:rPr>
            </w:pPr>
          </w:p>
        </w:tc>
        <w:tc>
          <w:tcPr>
            <w:tcW w:w="1230" w:type="dxa"/>
            <w:shd w:val="clear" w:color="auto" w:fill="auto"/>
            <w:vAlign w:val="center"/>
          </w:tcPr>
          <w:p w14:paraId="3144DF29">
            <w:pPr>
              <w:widowControl/>
              <w:jc w:val="center"/>
              <w:rPr>
                <w:rFonts w:hint="eastAsia" w:ascii="宋体" w:hAnsi="宋体" w:cs="宋体"/>
                <w:color w:val="auto"/>
                <w:kern w:val="0"/>
                <w:szCs w:val="21"/>
                <w:lang w:val="en-US" w:eastAsia="zh-CN"/>
              </w:rPr>
            </w:pPr>
          </w:p>
        </w:tc>
      </w:tr>
      <w:tr w14:paraId="0B7E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jc w:val="center"/>
        </w:trPr>
        <w:tc>
          <w:tcPr>
            <w:tcW w:w="2367" w:type="dxa"/>
            <w:gridSpan w:val="2"/>
            <w:vMerge w:val="restart"/>
            <w:shd w:val="clear" w:color="auto" w:fill="auto"/>
            <w:vAlign w:val="center"/>
          </w:tcPr>
          <w:p w14:paraId="6C82CD1C">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报价合计（元）</w:t>
            </w:r>
          </w:p>
        </w:tc>
        <w:tc>
          <w:tcPr>
            <w:tcW w:w="2645" w:type="dxa"/>
            <w:shd w:val="clear" w:color="auto" w:fill="auto"/>
            <w:vAlign w:val="center"/>
          </w:tcPr>
          <w:p w14:paraId="0B028F9C">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一年合计</w:t>
            </w:r>
          </w:p>
        </w:tc>
        <w:tc>
          <w:tcPr>
            <w:tcW w:w="5160" w:type="dxa"/>
            <w:gridSpan w:val="4"/>
            <w:shd w:val="clear" w:color="auto" w:fill="auto"/>
            <w:vAlign w:val="center"/>
          </w:tcPr>
          <w:p w14:paraId="511F78FF">
            <w:pPr>
              <w:widowControl/>
              <w:jc w:val="center"/>
              <w:rPr>
                <w:rFonts w:hint="eastAsia" w:ascii="宋体" w:hAnsi="宋体" w:cs="宋体"/>
                <w:color w:val="auto"/>
                <w:kern w:val="0"/>
                <w:szCs w:val="21"/>
                <w:lang w:val="en-US" w:eastAsia="zh-CN"/>
              </w:rPr>
            </w:pPr>
          </w:p>
        </w:tc>
      </w:tr>
      <w:tr w14:paraId="566A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jc w:val="center"/>
        </w:trPr>
        <w:tc>
          <w:tcPr>
            <w:tcW w:w="2367" w:type="dxa"/>
            <w:gridSpan w:val="2"/>
            <w:vMerge w:val="continue"/>
            <w:shd w:val="clear" w:color="auto" w:fill="auto"/>
            <w:vAlign w:val="center"/>
          </w:tcPr>
          <w:p w14:paraId="18004071">
            <w:pPr>
              <w:widowControl/>
              <w:jc w:val="center"/>
              <w:rPr>
                <w:rFonts w:hint="eastAsia" w:ascii="宋体" w:hAnsi="宋体" w:cs="宋体"/>
                <w:color w:val="auto"/>
                <w:kern w:val="0"/>
                <w:szCs w:val="21"/>
                <w:lang w:val="en-US" w:eastAsia="zh-CN"/>
              </w:rPr>
            </w:pPr>
          </w:p>
        </w:tc>
        <w:tc>
          <w:tcPr>
            <w:tcW w:w="2645" w:type="dxa"/>
            <w:shd w:val="clear" w:color="auto" w:fill="auto"/>
            <w:vAlign w:val="center"/>
          </w:tcPr>
          <w:p w14:paraId="4153E168">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第一年</w:t>
            </w:r>
          </w:p>
        </w:tc>
        <w:tc>
          <w:tcPr>
            <w:tcW w:w="5160" w:type="dxa"/>
            <w:gridSpan w:val="4"/>
            <w:shd w:val="clear" w:color="auto" w:fill="auto"/>
            <w:vAlign w:val="center"/>
          </w:tcPr>
          <w:p w14:paraId="5737F0E0">
            <w:pPr>
              <w:widowControl/>
              <w:jc w:val="center"/>
              <w:rPr>
                <w:rFonts w:hint="eastAsia" w:ascii="宋体" w:hAnsi="宋体" w:cs="宋体"/>
                <w:color w:val="auto"/>
                <w:kern w:val="0"/>
                <w:szCs w:val="21"/>
                <w:lang w:val="en-US" w:eastAsia="zh-CN"/>
              </w:rPr>
            </w:pPr>
          </w:p>
        </w:tc>
      </w:tr>
      <w:tr w14:paraId="7C87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jc w:val="center"/>
        </w:trPr>
        <w:tc>
          <w:tcPr>
            <w:tcW w:w="2367" w:type="dxa"/>
            <w:gridSpan w:val="2"/>
            <w:vMerge w:val="continue"/>
            <w:shd w:val="clear" w:color="auto" w:fill="auto"/>
            <w:vAlign w:val="center"/>
          </w:tcPr>
          <w:p w14:paraId="7BDC3B95">
            <w:pPr>
              <w:widowControl/>
              <w:jc w:val="center"/>
              <w:rPr>
                <w:rFonts w:hint="eastAsia" w:ascii="宋体" w:hAnsi="宋体" w:cs="宋体"/>
                <w:color w:val="auto"/>
                <w:kern w:val="0"/>
                <w:szCs w:val="21"/>
                <w:lang w:val="en-US" w:eastAsia="zh-CN"/>
              </w:rPr>
            </w:pPr>
          </w:p>
        </w:tc>
        <w:tc>
          <w:tcPr>
            <w:tcW w:w="2645" w:type="dxa"/>
            <w:shd w:val="clear" w:color="auto" w:fill="auto"/>
            <w:vAlign w:val="center"/>
          </w:tcPr>
          <w:p w14:paraId="1F1A21CF">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第二年</w:t>
            </w:r>
          </w:p>
        </w:tc>
        <w:tc>
          <w:tcPr>
            <w:tcW w:w="5160" w:type="dxa"/>
            <w:gridSpan w:val="4"/>
            <w:shd w:val="clear" w:color="auto" w:fill="auto"/>
            <w:vAlign w:val="center"/>
          </w:tcPr>
          <w:p w14:paraId="42F2A3D7">
            <w:pPr>
              <w:widowControl/>
              <w:jc w:val="center"/>
              <w:rPr>
                <w:rFonts w:hint="eastAsia" w:ascii="宋体" w:hAnsi="宋体" w:cs="宋体"/>
                <w:color w:val="auto"/>
                <w:kern w:val="0"/>
                <w:szCs w:val="21"/>
                <w:lang w:val="en-US" w:eastAsia="zh-CN"/>
              </w:rPr>
            </w:pPr>
          </w:p>
        </w:tc>
      </w:tr>
      <w:tr w14:paraId="49C1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jc w:val="center"/>
        </w:trPr>
        <w:tc>
          <w:tcPr>
            <w:tcW w:w="2367" w:type="dxa"/>
            <w:gridSpan w:val="2"/>
            <w:vMerge w:val="continue"/>
            <w:shd w:val="clear" w:color="auto" w:fill="auto"/>
            <w:vAlign w:val="center"/>
          </w:tcPr>
          <w:p w14:paraId="063ADBBF">
            <w:pPr>
              <w:widowControl/>
              <w:jc w:val="center"/>
              <w:rPr>
                <w:rFonts w:hint="eastAsia" w:ascii="宋体" w:hAnsi="宋体" w:cs="宋体"/>
                <w:color w:val="auto"/>
                <w:kern w:val="0"/>
                <w:szCs w:val="21"/>
                <w:lang w:val="en-US" w:eastAsia="zh-CN"/>
              </w:rPr>
            </w:pPr>
          </w:p>
        </w:tc>
        <w:tc>
          <w:tcPr>
            <w:tcW w:w="2645" w:type="dxa"/>
            <w:shd w:val="clear" w:color="auto" w:fill="auto"/>
            <w:vAlign w:val="center"/>
          </w:tcPr>
          <w:p w14:paraId="4C445AD6">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第三年</w:t>
            </w:r>
          </w:p>
        </w:tc>
        <w:tc>
          <w:tcPr>
            <w:tcW w:w="5160" w:type="dxa"/>
            <w:gridSpan w:val="4"/>
            <w:shd w:val="clear" w:color="auto" w:fill="auto"/>
            <w:vAlign w:val="center"/>
          </w:tcPr>
          <w:p w14:paraId="6DA2B457">
            <w:pPr>
              <w:widowControl/>
              <w:jc w:val="center"/>
              <w:rPr>
                <w:rFonts w:hint="eastAsia" w:ascii="宋体" w:hAnsi="宋体" w:cs="宋体"/>
                <w:color w:val="auto"/>
                <w:kern w:val="0"/>
                <w:szCs w:val="21"/>
                <w:lang w:val="en-US" w:eastAsia="zh-CN"/>
              </w:rPr>
            </w:pPr>
          </w:p>
        </w:tc>
      </w:tr>
      <w:tr w14:paraId="6641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2367" w:type="dxa"/>
            <w:gridSpan w:val="2"/>
            <w:vMerge w:val="continue"/>
            <w:shd w:val="clear" w:color="auto" w:fill="auto"/>
            <w:vAlign w:val="center"/>
          </w:tcPr>
          <w:p w14:paraId="796B2640">
            <w:pPr>
              <w:widowControl/>
              <w:jc w:val="center"/>
              <w:rPr>
                <w:rFonts w:hint="eastAsia" w:ascii="宋体" w:hAnsi="宋体" w:cs="宋体"/>
                <w:color w:val="auto"/>
                <w:kern w:val="0"/>
                <w:szCs w:val="21"/>
                <w:lang w:val="en-US" w:eastAsia="zh-CN"/>
              </w:rPr>
            </w:pPr>
          </w:p>
        </w:tc>
        <w:tc>
          <w:tcPr>
            <w:tcW w:w="2645" w:type="dxa"/>
            <w:shd w:val="clear" w:color="auto" w:fill="auto"/>
            <w:vAlign w:val="center"/>
          </w:tcPr>
          <w:p w14:paraId="5CBBE25F">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合计（第一年报价+第二年报价+第三年报价）</w:t>
            </w:r>
          </w:p>
        </w:tc>
        <w:tc>
          <w:tcPr>
            <w:tcW w:w="5160" w:type="dxa"/>
            <w:gridSpan w:val="4"/>
            <w:shd w:val="clear" w:color="auto" w:fill="auto"/>
            <w:vAlign w:val="center"/>
          </w:tcPr>
          <w:p w14:paraId="30DE26DE">
            <w:pPr>
              <w:widowControl/>
              <w:jc w:val="center"/>
              <w:rPr>
                <w:rFonts w:hint="eastAsia" w:ascii="宋体" w:hAnsi="宋体" w:cs="宋体"/>
                <w:color w:val="auto"/>
                <w:kern w:val="0"/>
                <w:szCs w:val="21"/>
                <w:lang w:val="en-US" w:eastAsia="zh-CN"/>
              </w:rPr>
            </w:pPr>
          </w:p>
        </w:tc>
      </w:tr>
      <w:tr w14:paraId="6DA0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blHeader/>
          <w:jc w:val="center"/>
        </w:trPr>
        <w:tc>
          <w:tcPr>
            <w:tcW w:w="5012" w:type="dxa"/>
            <w:gridSpan w:val="3"/>
            <w:shd w:val="clear" w:color="auto" w:fill="auto"/>
            <w:vAlign w:val="center"/>
          </w:tcPr>
          <w:p w14:paraId="45C04545">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 xml:space="preserve"> 报价声明</w:t>
            </w:r>
          </w:p>
        </w:tc>
        <w:tc>
          <w:tcPr>
            <w:tcW w:w="5160" w:type="dxa"/>
            <w:gridSpan w:val="4"/>
            <w:shd w:val="clear" w:color="auto" w:fill="auto"/>
            <w:vAlign w:val="center"/>
          </w:tcPr>
          <w:p w14:paraId="4371101B">
            <w:pPr>
              <w:widowControl/>
              <w:jc w:val="center"/>
              <w:rPr>
                <w:rFonts w:hint="eastAsia" w:ascii="宋体" w:hAnsi="宋体" w:cs="宋体"/>
                <w:color w:val="auto"/>
                <w:kern w:val="0"/>
                <w:szCs w:val="21"/>
                <w:lang w:val="en-US" w:eastAsia="zh-CN"/>
              </w:rPr>
            </w:pPr>
          </w:p>
        </w:tc>
      </w:tr>
    </w:tbl>
    <w:p w14:paraId="716F79E9">
      <w:pPr>
        <w:rPr>
          <w:rFonts w:hint="eastAsia"/>
          <w:color w:val="auto"/>
          <w:highlight w:val="yellow"/>
          <w:lang w:val="en-US" w:eastAsia="zh-CN"/>
        </w:rPr>
      </w:pPr>
    </w:p>
    <w:p w14:paraId="619DF666">
      <w:pPr>
        <w:rPr>
          <w:rFonts w:hint="eastAsia" w:asciiTheme="minorEastAsia" w:hAnsiTheme="minorEastAsia" w:eastAsiaTheme="minorEastAsia" w:cstheme="minorEastAsia"/>
          <w:color w:val="000000" w:themeColor="text1"/>
          <w:kern w:val="0"/>
          <w:szCs w:val="21"/>
          <w:highlight w:val="none"/>
          <w:lang w:val="en-US" w:eastAsia="zh-CN"/>
        </w:rPr>
      </w:pPr>
      <w:r>
        <w:rPr>
          <w:rFonts w:hint="eastAsia"/>
          <w:color w:val="auto"/>
          <w:highlight w:val="none"/>
          <w:lang w:val="en-US" w:eastAsia="zh-CN"/>
        </w:rPr>
        <w:t>备注：</w:t>
      </w:r>
      <w:r>
        <w:rPr>
          <w:rFonts w:hint="default" w:ascii="Calibri" w:hAnsi="Calibri" w:cs="Calibri"/>
          <w:color w:val="auto"/>
          <w:highlight w:val="none"/>
          <w:lang w:val="en-US" w:eastAsia="zh-CN"/>
        </w:rPr>
        <w:t>①</w:t>
      </w:r>
      <w:r>
        <w:rPr>
          <w:rFonts w:hint="eastAsia"/>
          <w:color w:val="auto"/>
          <w:highlight w:val="none"/>
          <w:lang w:val="en-US" w:eastAsia="zh-CN"/>
        </w:rPr>
        <w:t>第一年</w:t>
      </w:r>
      <w:r>
        <w:rPr>
          <w:rFonts w:hint="eastAsia" w:asciiTheme="minorEastAsia" w:hAnsiTheme="minorEastAsia" w:eastAsiaTheme="minorEastAsia" w:cstheme="minorEastAsia"/>
          <w:color w:val="000000" w:themeColor="text1"/>
          <w:kern w:val="0"/>
          <w:szCs w:val="21"/>
          <w:highlight w:val="none"/>
          <w:lang w:val="en-US" w:eastAsia="zh-CN"/>
        </w:rPr>
        <w:t>按6个月计算。第二年、第三年按12个月报价。</w:t>
      </w:r>
    </w:p>
    <w:p w14:paraId="0D045FC1">
      <w:pPr>
        <w:rPr>
          <w:rFonts w:hint="default" w:asciiTheme="minorEastAsia" w:hAnsiTheme="minorEastAsia" w:eastAsiaTheme="minorEastAsia" w:cstheme="minorEastAsia"/>
          <w:color w:val="000000" w:themeColor="text1"/>
          <w:kern w:val="0"/>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rPr>
        <w:t xml:space="preserve">    </w:t>
      </w:r>
    </w:p>
    <w:p w14:paraId="188CEF1B">
      <w:pPr>
        <w:pStyle w:val="11"/>
        <w:spacing w:line="360" w:lineRule="auto"/>
        <w:ind w:firstLine="0"/>
        <w:rPr>
          <w:rFonts w:hint="eastAsia"/>
          <w:color w:val="auto"/>
          <w:sz w:val="21"/>
          <w:szCs w:val="21"/>
        </w:rPr>
      </w:pPr>
    </w:p>
    <w:p w14:paraId="5839CA13">
      <w:pPr>
        <w:pStyle w:val="11"/>
        <w:spacing w:line="360" w:lineRule="auto"/>
        <w:ind w:firstLine="0"/>
        <w:rPr>
          <w:color w:val="auto"/>
          <w:sz w:val="21"/>
          <w:szCs w:val="21"/>
        </w:rPr>
      </w:pPr>
      <w:r>
        <w:rPr>
          <w:rFonts w:hint="eastAsia"/>
          <w:color w:val="auto"/>
          <w:sz w:val="21"/>
          <w:szCs w:val="21"/>
        </w:rPr>
        <w:t>投标人（盖章）：</w:t>
      </w:r>
    </w:p>
    <w:p w14:paraId="332FB8CE">
      <w:pPr>
        <w:pStyle w:val="11"/>
        <w:spacing w:line="360" w:lineRule="auto"/>
        <w:ind w:firstLine="0"/>
        <w:rPr>
          <w:color w:val="auto"/>
          <w:sz w:val="21"/>
          <w:szCs w:val="21"/>
        </w:rPr>
      </w:pPr>
      <w:r>
        <w:rPr>
          <w:rFonts w:hint="eastAsia"/>
          <w:color w:val="auto"/>
          <w:sz w:val="21"/>
          <w:szCs w:val="21"/>
        </w:rPr>
        <w:t>法定代表人或授权代表人（签字</w:t>
      </w:r>
      <w:r>
        <w:rPr>
          <w:rFonts w:hint="eastAsia"/>
          <w:color w:val="auto"/>
          <w:sz w:val="21"/>
          <w:szCs w:val="21"/>
          <w:lang w:eastAsia="zh-CN"/>
        </w:rPr>
        <w:t>或盖章</w:t>
      </w:r>
      <w:r>
        <w:rPr>
          <w:rFonts w:hint="eastAsia"/>
          <w:color w:val="auto"/>
          <w:sz w:val="21"/>
          <w:szCs w:val="21"/>
        </w:rPr>
        <w:t>）：</w:t>
      </w:r>
    </w:p>
    <w:p w14:paraId="54B13685">
      <w:pPr>
        <w:pStyle w:val="11"/>
        <w:spacing w:line="360" w:lineRule="auto"/>
        <w:ind w:firstLine="0"/>
        <w:rPr>
          <w:color w:val="auto"/>
          <w:sz w:val="21"/>
          <w:szCs w:val="21"/>
        </w:rPr>
      </w:pPr>
      <w:r>
        <w:rPr>
          <w:rFonts w:hint="eastAsia"/>
          <w:color w:val="auto"/>
          <w:sz w:val="21"/>
          <w:szCs w:val="21"/>
        </w:rPr>
        <w:t>日期：</w:t>
      </w:r>
    </w:p>
    <w:p w14:paraId="02C1F6F8">
      <w:pPr>
        <w:pStyle w:val="11"/>
        <w:spacing w:line="360" w:lineRule="auto"/>
        <w:ind w:firstLine="0"/>
        <w:rPr>
          <w:szCs w:val="18"/>
        </w:rPr>
      </w:pPr>
    </w:p>
    <w:p w14:paraId="45E32C24">
      <w:pPr>
        <w:pStyle w:val="3"/>
        <w:spacing w:line="240" w:lineRule="auto"/>
        <w:ind w:right="-567"/>
        <w:jc w:val="left"/>
        <w:rPr>
          <w:rFonts w:ascii="Times New Roman" w:hAnsi="Times New Roman" w:eastAsia="宋体"/>
          <w:b w:val="0"/>
          <w:sz w:val="18"/>
          <w:szCs w:val="18"/>
        </w:rPr>
      </w:pPr>
      <w:r>
        <w:rPr>
          <w:rFonts w:hint="eastAsia" w:ascii="Times New Roman" w:hAnsi="Times New Roman" w:eastAsia="宋体"/>
          <w:b w:val="0"/>
          <w:sz w:val="21"/>
          <w:szCs w:val="21"/>
        </w:rPr>
        <w:t>格式二  分项报价表</w:t>
      </w:r>
    </w:p>
    <w:p w14:paraId="68F88D5C">
      <w:pPr>
        <w:pStyle w:val="2"/>
        <w:spacing w:line="360" w:lineRule="exact"/>
        <w:jc w:val="center"/>
        <w:rPr>
          <w:w w:val="80"/>
          <w:sz w:val="21"/>
          <w:szCs w:val="21"/>
        </w:rPr>
      </w:pPr>
      <w:r>
        <w:rPr>
          <w:rFonts w:hint="eastAsia" w:ascii="Times New Roman"/>
          <w:szCs w:val="28"/>
        </w:rPr>
        <w:t>分项报价表</w:t>
      </w:r>
    </w:p>
    <w:p w14:paraId="15E6FA11">
      <w:pPr>
        <w:pStyle w:val="11"/>
        <w:spacing w:line="0" w:lineRule="atLeast"/>
        <w:ind w:firstLine="0"/>
        <w:jc w:val="center"/>
        <w:rPr>
          <w:rFonts w:eastAsia="仿宋_GB2312"/>
          <w:w w:val="80"/>
          <w:sz w:val="24"/>
          <w:szCs w:val="24"/>
          <w:bdr w:val="single" w:color="auto" w:sz="4" w:space="0"/>
          <w:shd w:val="pct10" w:color="auto" w:fill="FFFFFF"/>
        </w:rPr>
      </w:pPr>
      <w:r>
        <w:rPr>
          <w:w w:val="80"/>
          <w:sz w:val="24"/>
          <w:szCs w:val="24"/>
          <w:bdr w:val="single" w:color="auto" w:sz="4" w:space="0"/>
          <w:shd w:val="pct10" w:color="auto" w:fill="FFFFFF"/>
        </w:rPr>
        <w:t>投标分项报价表或服务费用报价明细表格格式可由投标人要求自行设计</w:t>
      </w:r>
    </w:p>
    <w:p w14:paraId="4AB31045">
      <w:pPr>
        <w:pStyle w:val="11"/>
        <w:tabs>
          <w:tab w:val="left" w:pos="4841"/>
        </w:tabs>
        <w:ind w:firstLine="0"/>
        <w:rPr>
          <w:sz w:val="21"/>
          <w:szCs w:val="21"/>
        </w:rPr>
      </w:pPr>
    </w:p>
    <w:p w14:paraId="33C6933B">
      <w:pPr>
        <w:pStyle w:val="11"/>
        <w:tabs>
          <w:tab w:val="left" w:pos="4841"/>
        </w:tabs>
        <w:spacing w:line="240" w:lineRule="auto"/>
        <w:ind w:firstLine="0"/>
      </w:pPr>
      <w:r>
        <w:rPr>
          <w:rFonts w:hint="eastAsia"/>
          <w:sz w:val="21"/>
          <w:szCs w:val="21"/>
        </w:rPr>
        <w:t>招标编号：           项目名称：</w:t>
      </w:r>
      <w:r>
        <w:rPr>
          <w:rFonts w:hint="eastAsia"/>
          <w:sz w:val="21"/>
          <w:szCs w:val="21"/>
        </w:rPr>
        <w:tab/>
      </w:r>
      <w:r>
        <w:rPr>
          <w:rFonts w:hint="eastAsia"/>
          <w:sz w:val="21"/>
          <w:szCs w:val="21"/>
        </w:rPr>
        <w:t>单位：人民币元</w:t>
      </w:r>
    </w:p>
    <w:p w14:paraId="507A8280">
      <w:pPr>
        <w:pStyle w:val="11"/>
        <w:tabs>
          <w:tab w:val="left" w:pos="4841"/>
        </w:tabs>
        <w:spacing w:line="240" w:lineRule="auto"/>
        <w:ind w:firstLine="0"/>
        <w:rPr>
          <w:sz w:val="21"/>
          <w:szCs w:val="21"/>
        </w:rPr>
      </w:pPr>
      <w:r>
        <w:rPr>
          <w:rFonts w:hint="eastAsia"/>
          <w:sz w:val="21"/>
          <w:szCs w:val="21"/>
        </w:rPr>
        <w:t>标段号：</w:t>
      </w:r>
    </w:p>
    <w:tbl>
      <w:tblPr>
        <w:tblStyle w:val="28"/>
        <w:tblW w:w="8955" w:type="dxa"/>
        <w:tblInd w:w="-100" w:type="dxa"/>
        <w:tblLayout w:type="fixed"/>
        <w:tblCellMar>
          <w:top w:w="0" w:type="dxa"/>
          <w:left w:w="0" w:type="dxa"/>
          <w:bottom w:w="0" w:type="dxa"/>
          <w:right w:w="0" w:type="dxa"/>
        </w:tblCellMar>
      </w:tblPr>
      <w:tblGrid>
        <w:gridCol w:w="600"/>
        <w:gridCol w:w="1807"/>
        <w:gridCol w:w="1037"/>
        <w:gridCol w:w="1491"/>
        <w:gridCol w:w="960"/>
        <w:gridCol w:w="3060"/>
      </w:tblGrid>
      <w:tr w14:paraId="37EC7C24">
        <w:tblPrEx>
          <w:tblCellMar>
            <w:top w:w="0" w:type="dxa"/>
            <w:left w:w="0" w:type="dxa"/>
            <w:bottom w:w="0" w:type="dxa"/>
            <w:right w:w="0" w:type="dxa"/>
          </w:tblCellMar>
        </w:tblPrEx>
        <w:trPr>
          <w:trHeight w:val="611"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A79FE">
            <w:pPr>
              <w:widowControl/>
              <w:jc w:val="center"/>
              <w:textAlignment w:val="center"/>
              <w:rPr>
                <w:rFonts w:ascii="宋体" w:hAnsi="宋体" w:cs="宋体"/>
                <w:sz w:val="18"/>
                <w:szCs w:val="18"/>
              </w:rPr>
            </w:pPr>
            <w:r>
              <w:rPr>
                <w:rFonts w:hint="eastAsia" w:ascii="宋体" w:hAnsi="宋体" w:cs="宋体"/>
                <w:kern w:val="0"/>
                <w:sz w:val="18"/>
                <w:szCs w:val="18"/>
              </w:rPr>
              <w:t>序号</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6431D">
            <w:pPr>
              <w:widowControl/>
              <w:jc w:val="center"/>
              <w:textAlignment w:val="center"/>
              <w:rPr>
                <w:rFonts w:ascii="宋体" w:hAnsi="宋体" w:cs="宋体"/>
                <w:sz w:val="18"/>
                <w:szCs w:val="18"/>
              </w:rPr>
            </w:pPr>
            <w:r>
              <w:rPr>
                <w:rFonts w:hint="eastAsia" w:ascii="宋体" w:hAnsi="宋体" w:cs="宋体"/>
                <w:kern w:val="0"/>
                <w:sz w:val="18"/>
                <w:szCs w:val="18"/>
              </w:rPr>
              <w:t>项目名称</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068D7">
            <w:pPr>
              <w:widowControl/>
              <w:jc w:val="center"/>
              <w:textAlignment w:val="center"/>
              <w:rPr>
                <w:rFonts w:ascii="宋体" w:hAnsi="宋体" w:cs="宋体"/>
                <w:kern w:val="0"/>
                <w:sz w:val="18"/>
                <w:szCs w:val="18"/>
              </w:rPr>
            </w:pPr>
            <w:r>
              <w:rPr>
                <w:rFonts w:hint="eastAsia" w:ascii="宋体" w:hAnsi="宋体" w:cs="宋体"/>
                <w:kern w:val="0"/>
                <w:sz w:val="18"/>
                <w:szCs w:val="18"/>
              </w:rPr>
              <w:t>数量</w:t>
            </w:r>
          </w:p>
        </w:tc>
        <w:tc>
          <w:tcPr>
            <w:tcW w:w="1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B2BD1">
            <w:pPr>
              <w:widowControl/>
              <w:jc w:val="center"/>
              <w:textAlignment w:val="center"/>
              <w:rPr>
                <w:rFonts w:ascii="宋体" w:hAnsi="宋体" w:cs="宋体"/>
                <w:kern w:val="0"/>
                <w:sz w:val="18"/>
                <w:szCs w:val="18"/>
              </w:rPr>
            </w:pPr>
            <w:r>
              <w:rPr>
                <w:rFonts w:hint="eastAsia" w:ascii="宋体" w:hAnsi="宋体" w:cs="宋体"/>
                <w:kern w:val="0"/>
                <w:sz w:val="18"/>
                <w:szCs w:val="18"/>
              </w:rPr>
              <w:t>单价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47AF9">
            <w:pPr>
              <w:widowControl/>
              <w:jc w:val="center"/>
              <w:textAlignment w:val="center"/>
              <w:rPr>
                <w:rFonts w:ascii="宋体" w:hAnsi="宋体" w:cs="宋体"/>
                <w:sz w:val="18"/>
                <w:szCs w:val="18"/>
              </w:rPr>
            </w:pPr>
            <w:r>
              <w:rPr>
                <w:rFonts w:hint="eastAsia" w:ascii="宋体" w:hAnsi="宋体" w:cs="宋体"/>
                <w:kern w:val="0"/>
                <w:sz w:val="18"/>
                <w:szCs w:val="18"/>
              </w:rPr>
              <w:t>养护经费（元/年）</w:t>
            </w: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6D35C">
            <w:pPr>
              <w:widowControl/>
              <w:jc w:val="center"/>
              <w:textAlignment w:val="center"/>
              <w:rPr>
                <w:rFonts w:ascii="宋体" w:hAnsi="宋体" w:cs="宋体"/>
                <w:sz w:val="18"/>
                <w:szCs w:val="18"/>
              </w:rPr>
            </w:pPr>
            <w:r>
              <w:rPr>
                <w:rFonts w:hint="eastAsia" w:ascii="宋体" w:hAnsi="宋体" w:cs="宋体"/>
                <w:kern w:val="0"/>
                <w:sz w:val="18"/>
                <w:szCs w:val="18"/>
              </w:rPr>
              <w:t>备注</w:t>
            </w:r>
          </w:p>
        </w:tc>
      </w:tr>
      <w:tr w14:paraId="003E7043">
        <w:tblPrEx>
          <w:tblCellMar>
            <w:top w:w="0" w:type="dxa"/>
            <w:left w:w="0" w:type="dxa"/>
            <w:bottom w:w="0" w:type="dxa"/>
            <w:right w:w="0" w:type="dxa"/>
          </w:tblCellMar>
        </w:tblPrEx>
        <w:trPr>
          <w:trHeight w:val="451"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D8F78">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C4538">
            <w:pPr>
              <w:widowControl/>
              <w:jc w:val="center"/>
              <w:textAlignment w:val="center"/>
              <w:rPr>
                <w:rFonts w:ascii="宋体" w:hAnsi="宋体" w:cs="宋体"/>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98DB2">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AC4AD">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665BF">
            <w:pPr>
              <w:widowControl/>
              <w:jc w:val="center"/>
              <w:textAlignment w:val="center"/>
              <w:rPr>
                <w:rFonts w:ascii="宋体" w:hAnsi="宋体" w:cs="宋体"/>
                <w:sz w:val="18"/>
                <w:szCs w:val="18"/>
              </w:rPr>
            </w:pPr>
          </w:p>
        </w:tc>
        <w:tc>
          <w:tcPr>
            <w:tcW w:w="3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9A07D">
            <w:pPr>
              <w:widowControl/>
              <w:jc w:val="left"/>
              <w:textAlignment w:val="center"/>
              <w:rPr>
                <w:rFonts w:ascii="宋体" w:hAnsi="宋体" w:cs="宋体"/>
                <w:sz w:val="18"/>
                <w:szCs w:val="18"/>
              </w:rPr>
            </w:pPr>
          </w:p>
        </w:tc>
      </w:tr>
      <w:tr w14:paraId="5465DD2B">
        <w:tblPrEx>
          <w:tblCellMar>
            <w:top w:w="0" w:type="dxa"/>
            <w:left w:w="0" w:type="dxa"/>
            <w:bottom w:w="0" w:type="dxa"/>
            <w:right w:w="0" w:type="dxa"/>
          </w:tblCellMar>
        </w:tblPrEx>
        <w:trPr>
          <w:trHeight w:val="505"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CB436">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CFB79">
            <w:pPr>
              <w:widowControl/>
              <w:jc w:val="center"/>
              <w:textAlignment w:val="center"/>
              <w:rPr>
                <w:rFonts w:ascii="宋体" w:hAnsi="宋体" w:cs="宋体"/>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BD063">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9C5A8">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29065">
            <w:pPr>
              <w:widowControl/>
              <w:jc w:val="center"/>
              <w:textAlignment w:val="center"/>
              <w:rPr>
                <w:rFonts w:ascii="宋体" w:hAnsi="宋体" w:cs="宋体"/>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3B937">
            <w:pPr>
              <w:widowControl/>
              <w:jc w:val="left"/>
              <w:textAlignment w:val="center"/>
              <w:rPr>
                <w:rFonts w:ascii="宋体" w:hAnsi="宋体" w:cs="宋体"/>
                <w:sz w:val="18"/>
                <w:szCs w:val="18"/>
              </w:rPr>
            </w:pPr>
          </w:p>
        </w:tc>
      </w:tr>
      <w:tr w14:paraId="6DC3C144">
        <w:tblPrEx>
          <w:tblCellMar>
            <w:top w:w="0" w:type="dxa"/>
            <w:left w:w="0" w:type="dxa"/>
            <w:bottom w:w="0" w:type="dxa"/>
            <w:right w:w="0" w:type="dxa"/>
          </w:tblCellMar>
        </w:tblPrEx>
        <w:trPr>
          <w:trHeight w:val="505"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726EF">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279F3">
            <w:pPr>
              <w:widowControl/>
              <w:jc w:val="center"/>
              <w:textAlignment w:val="center"/>
              <w:rPr>
                <w:rFonts w:ascii="宋体" w:hAnsi="宋体" w:cs="宋体"/>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B199E">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B527B">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4EF6B">
            <w:pPr>
              <w:widowControl/>
              <w:jc w:val="center"/>
              <w:textAlignment w:val="center"/>
              <w:rPr>
                <w:rFonts w:ascii="宋体" w:hAnsi="宋体" w:cs="宋体"/>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B542B">
            <w:pPr>
              <w:widowControl/>
              <w:jc w:val="left"/>
              <w:textAlignment w:val="center"/>
              <w:rPr>
                <w:rFonts w:ascii="宋体" w:hAnsi="宋体" w:cs="宋体"/>
                <w:sz w:val="18"/>
                <w:szCs w:val="18"/>
              </w:rPr>
            </w:pPr>
          </w:p>
        </w:tc>
      </w:tr>
      <w:tr w14:paraId="1418CAEE">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A6D83">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3D5D1">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E68F1">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7DF86">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09BBD">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DAD16">
            <w:pPr>
              <w:widowControl/>
              <w:jc w:val="left"/>
              <w:textAlignment w:val="center"/>
              <w:rPr>
                <w:rFonts w:ascii="宋体" w:hAnsi="宋体" w:cs="宋体"/>
                <w:kern w:val="0"/>
                <w:sz w:val="18"/>
                <w:szCs w:val="18"/>
              </w:rPr>
            </w:pPr>
          </w:p>
        </w:tc>
      </w:tr>
      <w:tr w14:paraId="5CE86A8C">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96814">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5A87F">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71924">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423EA">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607A5">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C9CC7">
            <w:pPr>
              <w:widowControl/>
              <w:jc w:val="left"/>
              <w:textAlignment w:val="center"/>
              <w:rPr>
                <w:rFonts w:ascii="宋体" w:hAnsi="宋体" w:cs="宋体"/>
                <w:kern w:val="0"/>
                <w:sz w:val="18"/>
                <w:szCs w:val="18"/>
              </w:rPr>
            </w:pPr>
          </w:p>
        </w:tc>
      </w:tr>
      <w:tr w14:paraId="352C5F1A">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3BD0D">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85822">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FBD99">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81BD2">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D2772">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307FD">
            <w:pPr>
              <w:widowControl/>
              <w:jc w:val="left"/>
              <w:textAlignment w:val="center"/>
              <w:rPr>
                <w:rFonts w:ascii="宋体" w:hAnsi="宋体" w:cs="宋体"/>
                <w:kern w:val="0"/>
                <w:sz w:val="18"/>
                <w:szCs w:val="18"/>
              </w:rPr>
            </w:pPr>
          </w:p>
        </w:tc>
      </w:tr>
      <w:tr w14:paraId="2AE1CAC3">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9060A">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09410">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DA381">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75B7A">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8044C">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5EA12">
            <w:pPr>
              <w:widowControl/>
              <w:jc w:val="left"/>
              <w:textAlignment w:val="center"/>
              <w:rPr>
                <w:rFonts w:ascii="宋体" w:hAnsi="宋体" w:cs="宋体"/>
                <w:kern w:val="0"/>
                <w:sz w:val="18"/>
                <w:szCs w:val="18"/>
              </w:rPr>
            </w:pPr>
          </w:p>
        </w:tc>
      </w:tr>
      <w:tr w14:paraId="09EA3CBD">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621DD">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D88F6">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0B8E1">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FB683">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19EE4">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6DF60">
            <w:pPr>
              <w:widowControl/>
              <w:jc w:val="left"/>
              <w:textAlignment w:val="center"/>
              <w:rPr>
                <w:rFonts w:ascii="宋体" w:hAnsi="宋体" w:cs="宋体"/>
                <w:kern w:val="0"/>
                <w:sz w:val="18"/>
                <w:szCs w:val="18"/>
              </w:rPr>
            </w:pPr>
          </w:p>
        </w:tc>
      </w:tr>
      <w:tr w14:paraId="40D53083">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B5F41">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2DA43">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FFB10">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4E50B">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14A37">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7F841">
            <w:pPr>
              <w:widowControl/>
              <w:jc w:val="left"/>
              <w:textAlignment w:val="center"/>
              <w:rPr>
                <w:rFonts w:ascii="宋体" w:hAnsi="宋体" w:cs="宋体"/>
                <w:kern w:val="0"/>
                <w:sz w:val="18"/>
                <w:szCs w:val="18"/>
              </w:rPr>
            </w:pPr>
          </w:p>
        </w:tc>
      </w:tr>
      <w:tr w14:paraId="50A57E2B">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496B7">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BD2FA">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232AF">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7BEF6">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403D3">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5270B">
            <w:pPr>
              <w:widowControl/>
              <w:jc w:val="left"/>
              <w:textAlignment w:val="center"/>
              <w:rPr>
                <w:rFonts w:ascii="宋体" w:hAnsi="宋体" w:cs="宋体"/>
                <w:kern w:val="0"/>
                <w:sz w:val="18"/>
                <w:szCs w:val="18"/>
              </w:rPr>
            </w:pPr>
          </w:p>
        </w:tc>
      </w:tr>
      <w:tr w14:paraId="6647DB2A">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40774">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9B455">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F2E0F">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E00B6">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62CBC">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B9D30">
            <w:pPr>
              <w:widowControl/>
              <w:jc w:val="left"/>
              <w:textAlignment w:val="center"/>
              <w:rPr>
                <w:rFonts w:ascii="宋体" w:hAnsi="宋体" w:cs="宋体"/>
                <w:kern w:val="0"/>
                <w:sz w:val="18"/>
                <w:szCs w:val="18"/>
              </w:rPr>
            </w:pPr>
          </w:p>
        </w:tc>
      </w:tr>
      <w:tr w14:paraId="6128CD8A">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FDD35">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F8988">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E9B77">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3A9A2">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8DAC9">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C971F">
            <w:pPr>
              <w:widowControl/>
              <w:jc w:val="left"/>
              <w:textAlignment w:val="center"/>
              <w:rPr>
                <w:rFonts w:ascii="宋体" w:hAnsi="宋体" w:cs="宋体"/>
                <w:kern w:val="0"/>
                <w:sz w:val="18"/>
                <w:szCs w:val="18"/>
              </w:rPr>
            </w:pPr>
          </w:p>
        </w:tc>
      </w:tr>
      <w:tr w14:paraId="2DF69236">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B8202">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94C01">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18741">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5AA24">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E70B8">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D6391">
            <w:pPr>
              <w:widowControl/>
              <w:jc w:val="left"/>
              <w:textAlignment w:val="center"/>
              <w:rPr>
                <w:rFonts w:ascii="宋体" w:hAnsi="宋体" w:cs="宋体"/>
                <w:kern w:val="0"/>
                <w:sz w:val="18"/>
                <w:szCs w:val="18"/>
              </w:rPr>
            </w:pPr>
          </w:p>
        </w:tc>
      </w:tr>
      <w:tr w14:paraId="7732B344">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AB618">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0B159">
            <w:pPr>
              <w:widowControl/>
              <w:jc w:val="center"/>
              <w:textAlignment w:val="center"/>
              <w:rPr>
                <w:rFonts w:ascii="宋体" w:hAnsi="宋体" w:cs="宋体"/>
                <w:kern w:val="0"/>
                <w:sz w:val="18"/>
                <w:szCs w:val="18"/>
              </w:rPr>
            </w:pP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DC4B1">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AA3D3">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54A30">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95573">
            <w:pPr>
              <w:widowControl/>
              <w:jc w:val="left"/>
              <w:textAlignment w:val="center"/>
              <w:rPr>
                <w:rFonts w:ascii="宋体" w:hAnsi="宋体" w:cs="宋体"/>
                <w:kern w:val="0"/>
                <w:sz w:val="18"/>
                <w:szCs w:val="18"/>
              </w:rPr>
            </w:pPr>
          </w:p>
        </w:tc>
      </w:tr>
      <w:tr w14:paraId="523E654C">
        <w:tblPrEx>
          <w:tblCellMar>
            <w:top w:w="0" w:type="dxa"/>
            <w:left w:w="0" w:type="dxa"/>
            <w:bottom w:w="0" w:type="dxa"/>
            <w:right w:w="0" w:type="dxa"/>
          </w:tblCellMar>
        </w:tblPrEx>
        <w:trPr>
          <w:trHeight w:val="462" w:hRule="atLeast"/>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C063F">
            <w:pPr>
              <w:widowControl/>
              <w:jc w:val="center"/>
              <w:textAlignment w:val="center"/>
              <w:rPr>
                <w:rFonts w:ascii="宋体" w:hAnsi="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D591A">
            <w:pPr>
              <w:widowControl/>
              <w:jc w:val="center"/>
              <w:textAlignment w:val="center"/>
              <w:rPr>
                <w:rFonts w:ascii="宋体" w:hAnsi="宋体" w:cs="宋体"/>
                <w:kern w:val="0"/>
                <w:sz w:val="18"/>
                <w:szCs w:val="18"/>
              </w:rPr>
            </w:pPr>
            <w:r>
              <w:rPr>
                <w:rFonts w:hint="eastAsia" w:ascii="宋体" w:hAnsi="宋体" w:cs="宋体"/>
                <w:kern w:val="0"/>
                <w:sz w:val="18"/>
                <w:szCs w:val="18"/>
              </w:rPr>
              <w:t>合计</w:t>
            </w:r>
          </w:p>
        </w:tc>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910E6">
            <w:pPr>
              <w:widowControl/>
              <w:jc w:val="center"/>
              <w:textAlignment w:val="center"/>
              <w:rPr>
                <w:rFonts w:ascii="宋体" w:hAnsi="宋体" w:cs="宋体"/>
                <w:kern w:val="0"/>
                <w:sz w:val="18"/>
                <w:szCs w:val="18"/>
              </w:rPr>
            </w:pPr>
          </w:p>
        </w:tc>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2453B">
            <w:pPr>
              <w:widowControl/>
              <w:jc w:val="center"/>
              <w:textAlignment w:val="center"/>
              <w:rPr>
                <w:rFonts w:ascii="宋体"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9510A">
            <w:pPr>
              <w:widowControl/>
              <w:jc w:val="center"/>
              <w:textAlignment w:val="center"/>
              <w:rPr>
                <w:rFonts w:ascii="宋体" w:hAnsi="宋体" w:cs="宋体"/>
                <w:kern w:val="0"/>
                <w:sz w:val="18"/>
                <w:szCs w:val="18"/>
              </w:rPr>
            </w:pPr>
          </w:p>
        </w:tc>
        <w:tc>
          <w:tcPr>
            <w:tcW w:w="3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52155">
            <w:pPr>
              <w:widowControl/>
              <w:jc w:val="left"/>
              <w:textAlignment w:val="center"/>
              <w:rPr>
                <w:rFonts w:ascii="宋体" w:hAnsi="宋体" w:cs="宋体"/>
                <w:kern w:val="0"/>
                <w:sz w:val="18"/>
                <w:szCs w:val="18"/>
              </w:rPr>
            </w:pPr>
          </w:p>
        </w:tc>
      </w:tr>
    </w:tbl>
    <w:p w14:paraId="3848AF8B">
      <w:pPr>
        <w:pStyle w:val="11"/>
        <w:tabs>
          <w:tab w:val="left" w:pos="4841"/>
        </w:tabs>
        <w:ind w:firstLine="0"/>
        <w:rPr>
          <w:sz w:val="21"/>
          <w:szCs w:val="21"/>
        </w:rPr>
      </w:pPr>
    </w:p>
    <w:p w14:paraId="79A9EE9C">
      <w:pPr>
        <w:pStyle w:val="11"/>
        <w:tabs>
          <w:tab w:val="left" w:pos="4841"/>
        </w:tabs>
        <w:spacing w:line="240" w:lineRule="auto"/>
        <w:ind w:firstLine="0"/>
        <w:rPr>
          <w:sz w:val="21"/>
          <w:szCs w:val="21"/>
        </w:rPr>
      </w:pPr>
      <w:r>
        <w:rPr>
          <w:rFonts w:hint="eastAsia"/>
          <w:sz w:val="21"/>
          <w:szCs w:val="21"/>
        </w:rPr>
        <w:t>备注：</w:t>
      </w:r>
      <w:r>
        <w:rPr>
          <w:rFonts w:hint="eastAsia"/>
          <w:sz w:val="21"/>
          <w:szCs w:val="21"/>
          <w:lang w:val="en-US" w:eastAsia="zh-CN"/>
        </w:rPr>
        <w:t>1、</w:t>
      </w:r>
      <w:r>
        <w:rPr>
          <w:rFonts w:hint="eastAsia"/>
          <w:sz w:val="21"/>
          <w:szCs w:val="21"/>
        </w:rPr>
        <w:t>投标人应根据招标项目特征及理解分解，如实填报有关各分项有关报价的情况，并核实价格组成与总和。</w:t>
      </w:r>
    </w:p>
    <w:p w14:paraId="0B9593AC">
      <w:pPr>
        <w:pStyle w:val="11"/>
        <w:tabs>
          <w:tab w:val="left" w:pos="4841"/>
        </w:tabs>
        <w:spacing w:line="240" w:lineRule="auto"/>
        <w:ind w:firstLine="0"/>
        <w:rPr>
          <w:rFonts w:hint="default"/>
          <w:sz w:val="21"/>
          <w:szCs w:val="21"/>
          <w:lang w:val="en-US" w:eastAsia="zh-CN"/>
        </w:rPr>
      </w:pPr>
      <w:r>
        <w:rPr>
          <w:rFonts w:hint="eastAsia"/>
          <w:sz w:val="21"/>
          <w:szCs w:val="21"/>
          <w:lang w:val="en-US" w:eastAsia="zh-CN"/>
        </w:rPr>
        <w:t xml:space="preserve">       2、本分项报价表合计金额与开标一览表中的一年合计金额一致</w:t>
      </w:r>
    </w:p>
    <w:p w14:paraId="5B0B3804">
      <w:pPr>
        <w:pStyle w:val="11"/>
        <w:spacing w:line="240" w:lineRule="auto"/>
        <w:ind w:firstLine="0"/>
        <w:jc w:val="left"/>
        <w:rPr>
          <w:rFonts w:eastAsia="仿宋_GB2312"/>
          <w:w w:val="80"/>
          <w:sz w:val="21"/>
          <w:szCs w:val="21"/>
        </w:rPr>
      </w:pPr>
    </w:p>
    <w:p w14:paraId="405C8A75">
      <w:pPr>
        <w:pStyle w:val="11"/>
        <w:tabs>
          <w:tab w:val="left" w:pos="4841"/>
        </w:tabs>
        <w:spacing w:line="240" w:lineRule="auto"/>
        <w:ind w:firstLine="0"/>
        <w:rPr>
          <w:sz w:val="21"/>
          <w:szCs w:val="21"/>
        </w:rPr>
      </w:pPr>
      <w:r>
        <w:rPr>
          <w:rFonts w:hint="eastAsia"/>
          <w:sz w:val="21"/>
          <w:szCs w:val="21"/>
        </w:rPr>
        <w:t>投标人（盖章）：</w:t>
      </w:r>
    </w:p>
    <w:p w14:paraId="1745EFB3">
      <w:pPr>
        <w:pStyle w:val="11"/>
        <w:tabs>
          <w:tab w:val="left" w:pos="4841"/>
        </w:tabs>
        <w:spacing w:line="240" w:lineRule="auto"/>
        <w:ind w:firstLine="0"/>
        <w:rPr>
          <w:sz w:val="21"/>
          <w:szCs w:val="21"/>
        </w:rPr>
      </w:pPr>
      <w:r>
        <w:rPr>
          <w:rFonts w:hint="eastAsia"/>
          <w:sz w:val="21"/>
          <w:szCs w:val="21"/>
        </w:rPr>
        <w:t>法定代表人或授权代表人（签字</w:t>
      </w:r>
      <w:r>
        <w:rPr>
          <w:rFonts w:hint="eastAsia"/>
          <w:sz w:val="21"/>
          <w:szCs w:val="21"/>
          <w:lang w:eastAsia="zh-CN"/>
        </w:rPr>
        <w:t>或盖章</w:t>
      </w:r>
      <w:r>
        <w:rPr>
          <w:rFonts w:hint="eastAsia"/>
          <w:sz w:val="21"/>
          <w:szCs w:val="21"/>
        </w:rPr>
        <w:t>）：</w:t>
      </w:r>
    </w:p>
    <w:p w14:paraId="5E4EE930">
      <w:pPr>
        <w:pStyle w:val="11"/>
        <w:tabs>
          <w:tab w:val="left" w:pos="4841"/>
        </w:tabs>
        <w:spacing w:line="240" w:lineRule="auto"/>
        <w:ind w:firstLine="0"/>
        <w:rPr>
          <w:rFonts w:hint="eastAsia"/>
          <w:sz w:val="21"/>
          <w:szCs w:val="21"/>
        </w:rPr>
      </w:pPr>
      <w:r>
        <w:rPr>
          <w:rFonts w:hint="eastAsia"/>
          <w:sz w:val="21"/>
          <w:szCs w:val="21"/>
        </w:rPr>
        <w:t>日期：</w:t>
      </w:r>
    </w:p>
    <w:p w14:paraId="280A674A">
      <w:pPr>
        <w:pStyle w:val="13"/>
        <w:numPr>
          <w:ilvl w:val="0"/>
          <w:numId w:val="14"/>
        </w:numPr>
        <w:snapToGrid w:val="0"/>
        <w:spacing w:before="156" w:after="156" w:line="360" w:lineRule="auto"/>
        <w:jc w:val="center"/>
        <w:rPr>
          <w:rFonts w:hAnsi="宋体"/>
          <w:b/>
          <w:sz w:val="30"/>
        </w:rPr>
      </w:pPr>
      <w:r>
        <w:rPr>
          <w:rFonts w:hAnsi="宋体" w:cs="宋体"/>
          <w:szCs w:val="21"/>
        </w:rPr>
        <w:br w:type="page"/>
      </w:r>
      <w:r>
        <w:rPr>
          <w:rFonts w:hint="eastAsia" w:hAnsi="宋体"/>
          <w:b/>
          <w:sz w:val="30"/>
        </w:rPr>
        <w:t>合同样本</w:t>
      </w:r>
    </w:p>
    <w:p w14:paraId="0D1FAD61">
      <w:pPr>
        <w:spacing w:line="520" w:lineRule="exact"/>
        <w:jc w:val="center"/>
        <w:rPr>
          <w:rFonts w:hint="eastAsia" w:hAnsi="宋体"/>
          <w:b/>
          <w:sz w:val="28"/>
          <w:szCs w:val="28"/>
          <w:lang w:val="zh-CN"/>
        </w:rPr>
      </w:pPr>
      <w:r>
        <w:rPr>
          <w:rFonts w:hint="eastAsia" w:hAnsi="宋体"/>
          <w:b/>
          <w:sz w:val="28"/>
          <w:szCs w:val="28"/>
          <w:lang w:val="zh-CN"/>
        </w:rPr>
        <w:t>宁海县交通运输局2025年公路绿化养护服务采购</w:t>
      </w:r>
      <w:r>
        <w:rPr>
          <w:rFonts w:hint="eastAsia" w:hAnsi="宋体"/>
          <w:b/>
          <w:sz w:val="28"/>
          <w:szCs w:val="28"/>
          <w:lang w:val="zh-CN" w:eastAsia="zh-CN"/>
        </w:rPr>
        <w:t>（第二批）</w:t>
      </w:r>
      <w:r>
        <w:rPr>
          <w:rFonts w:hint="eastAsia" w:hAnsi="宋体"/>
          <w:b/>
          <w:sz w:val="28"/>
          <w:szCs w:val="28"/>
          <w:lang w:val="zh-CN"/>
        </w:rPr>
        <w:t>合同</w:t>
      </w:r>
    </w:p>
    <w:p w14:paraId="19212F2F">
      <w:pPr>
        <w:spacing w:line="520" w:lineRule="exact"/>
        <w:jc w:val="center"/>
        <w:rPr>
          <w:rFonts w:hint="eastAsia" w:hAnsi="宋体"/>
          <w:b/>
          <w:sz w:val="28"/>
          <w:szCs w:val="28"/>
          <w:lang w:val="zh-CN"/>
        </w:rPr>
      </w:pPr>
      <w:r>
        <w:rPr>
          <w:rFonts w:hint="eastAsia" w:hAnsi="宋体"/>
          <w:b/>
          <w:sz w:val="28"/>
          <w:szCs w:val="28"/>
          <w:lang w:val="zh-CN"/>
        </w:rPr>
        <w:t>（作为参考）</w:t>
      </w:r>
    </w:p>
    <w:p w14:paraId="5D5CB642">
      <w:pPr>
        <w:spacing w:line="480" w:lineRule="exact"/>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甲方： </w:t>
      </w:r>
      <w:r>
        <w:rPr>
          <w:rFonts w:hint="eastAsia" w:asciiTheme="minorEastAsia" w:hAnsiTheme="minorEastAsia" w:eastAsiaTheme="minorEastAsia" w:cstheme="minorEastAsia"/>
          <w:szCs w:val="21"/>
          <w:u w:val="single"/>
        </w:rPr>
        <w:t xml:space="preserve">                   </w:t>
      </w:r>
    </w:p>
    <w:p w14:paraId="4DCAEB56">
      <w:pPr>
        <w:pStyle w:val="36"/>
        <w:spacing w:line="480" w:lineRule="exact"/>
        <w:contextualSpacing/>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5A3B7F6D">
      <w:pPr>
        <w:pStyle w:val="36"/>
        <w:spacing w:line="480" w:lineRule="exact"/>
        <w:contextualSpacing/>
      </w:pPr>
      <w:r>
        <w:rPr>
          <w:rFonts w:hint="eastAsia"/>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宁海县交通运输局2025年公路绿化养护服务采购（第二批）</w:t>
      </w:r>
      <w:r>
        <w:rPr>
          <w:rFonts w:hint="eastAsia" w:asciiTheme="minorEastAsia" w:hAnsiTheme="minorEastAsia" w:eastAsiaTheme="minorEastAsia" w:cstheme="minorEastAsia"/>
          <w:sz w:val="21"/>
          <w:szCs w:val="21"/>
        </w:rPr>
        <w:t>通过招标方式落实养护单位，招投标结果，乙方中标。现根据《中华人民共和国民法典》和招标文件相关规定，甲、乙双方在平等的基础上经充分协商，达成如下协议：</w:t>
      </w:r>
    </w:p>
    <w:p w14:paraId="7F421376">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一.养护项目相关情况</w:t>
      </w:r>
    </w:p>
    <w:p w14:paraId="2330F8A6">
      <w:pPr>
        <w:spacing w:line="44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养护项目名称：</w:t>
      </w:r>
      <w:r>
        <w:rPr>
          <w:rFonts w:hint="eastAsia" w:asciiTheme="minorEastAsia" w:hAnsiTheme="minorEastAsia" w:eastAsiaTheme="minorEastAsia" w:cstheme="minorEastAsia"/>
          <w:szCs w:val="21"/>
          <w:lang w:eastAsia="zh-CN"/>
        </w:rPr>
        <w:t>宁海县交通运输局2025年公路绿化养护服务采购（第二批）</w:t>
      </w:r>
    </w:p>
    <w:p w14:paraId="7369B71F">
      <w:pPr>
        <w:spacing w:line="44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养护项目范围：宁海县交通运输局2025年公路绿化养护服务采购（第二批）范围内的所有绿化养护。</w:t>
      </w:r>
    </w:p>
    <w:tbl>
      <w:tblPr>
        <w:tblStyle w:val="28"/>
        <w:tblW w:w="9785" w:type="dxa"/>
        <w:jc w:val="center"/>
        <w:tblLayout w:type="fixed"/>
        <w:tblCellMar>
          <w:top w:w="0" w:type="dxa"/>
          <w:left w:w="108" w:type="dxa"/>
          <w:bottom w:w="0" w:type="dxa"/>
          <w:right w:w="108" w:type="dxa"/>
        </w:tblCellMar>
      </w:tblPr>
      <w:tblGrid>
        <w:gridCol w:w="724"/>
        <w:gridCol w:w="3686"/>
        <w:gridCol w:w="1701"/>
        <w:gridCol w:w="1837"/>
        <w:gridCol w:w="1837"/>
      </w:tblGrid>
      <w:tr w14:paraId="0F7DE833">
        <w:tblPrEx>
          <w:tblCellMar>
            <w:top w:w="0" w:type="dxa"/>
            <w:left w:w="108" w:type="dxa"/>
            <w:bottom w:w="0" w:type="dxa"/>
            <w:right w:w="108" w:type="dxa"/>
          </w:tblCellMar>
        </w:tblPrEx>
        <w:trPr>
          <w:trHeight w:val="834"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14:paraId="70B39495">
            <w:pPr>
              <w:widowControl/>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3686" w:type="dxa"/>
            <w:tcBorders>
              <w:top w:val="single" w:color="auto" w:sz="4" w:space="0"/>
              <w:left w:val="nil"/>
              <w:bottom w:val="single" w:color="auto" w:sz="4" w:space="0"/>
              <w:right w:val="single" w:color="auto" w:sz="4" w:space="0"/>
            </w:tcBorders>
            <w:vAlign w:val="center"/>
          </w:tcPr>
          <w:p w14:paraId="4486501A">
            <w:pPr>
              <w:widowControl/>
              <w:ind w:firstLine="422" w:firstLineChars="20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养护范围</w:t>
            </w:r>
          </w:p>
        </w:tc>
        <w:tc>
          <w:tcPr>
            <w:tcW w:w="1701" w:type="dxa"/>
            <w:tcBorders>
              <w:top w:val="single" w:color="auto" w:sz="4" w:space="0"/>
              <w:left w:val="nil"/>
              <w:bottom w:val="single" w:color="auto" w:sz="4" w:space="0"/>
              <w:right w:val="single" w:color="auto" w:sz="4" w:space="0"/>
            </w:tcBorders>
            <w:vAlign w:val="center"/>
          </w:tcPr>
          <w:p w14:paraId="08D245E8">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里程(KM)</w:t>
            </w:r>
          </w:p>
        </w:tc>
        <w:tc>
          <w:tcPr>
            <w:tcW w:w="1837" w:type="dxa"/>
            <w:tcBorders>
              <w:top w:val="single" w:color="auto" w:sz="4" w:space="0"/>
              <w:left w:val="single" w:color="auto" w:sz="4" w:space="0"/>
              <w:bottom w:val="single" w:color="auto" w:sz="4" w:space="0"/>
              <w:right w:val="single" w:color="auto" w:sz="4" w:space="0"/>
            </w:tcBorders>
            <w:vAlign w:val="center"/>
          </w:tcPr>
          <w:p w14:paraId="1A0A42C0">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绿化面积（M</w:t>
            </w:r>
            <w:r>
              <w:rPr>
                <w:rFonts w:hint="eastAsia" w:asciiTheme="minorEastAsia" w:hAnsiTheme="minorEastAsia" w:eastAsiaTheme="minorEastAsia" w:cstheme="minorEastAsia"/>
                <w:b/>
                <w:kern w:val="0"/>
                <w:szCs w:val="21"/>
                <w:vertAlign w:val="superscript"/>
              </w:rPr>
              <w:t>2</w:t>
            </w:r>
            <w:r>
              <w:rPr>
                <w:rFonts w:hint="eastAsia" w:asciiTheme="minorEastAsia" w:hAnsiTheme="minorEastAsia" w:eastAsiaTheme="minorEastAsia" w:cstheme="minorEastAsia"/>
                <w:b/>
                <w:kern w:val="0"/>
                <w:szCs w:val="21"/>
              </w:rPr>
              <w:t>）</w:t>
            </w:r>
          </w:p>
        </w:tc>
        <w:tc>
          <w:tcPr>
            <w:tcW w:w="1837" w:type="dxa"/>
            <w:tcBorders>
              <w:top w:val="single" w:color="auto" w:sz="4" w:space="0"/>
              <w:left w:val="single" w:color="auto" w:sz="4" w:space="0"/>
              <w:bottom w:val="single" w:color="auto" w:sz="4" w:space="0"/>
              <w:right w:val="single" w:color="auto" w:sz="4" w:space="0"/>
            </w:tcBorders>
            <w:vAlign w:val="center"/>
          </w:tcPr>
          <w:p w14:paraId="0D426F0B">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养护综合单价</w:t>
            </w:r>
          </w:p>
          <w:p w14:paraId="05E3E1C3">
            <w:pPr>
              <w:widowControl/>
              <w:jc w:val="center"/>
              <w:rPr>
                <w:rFonts w:asciiTheme="minorEastAsia" w:hAnsiTheme="minorEastAsia" w:eastAsiaTheme="minorEastAsia" w:cstheme="minorEastAsia"/>
                <w:b/>
                <w:kern w:val="0"/>
                <w:szCs w:val="21"/>
              </w:rPr>
            </w:pPr>
            <w:r>
              <w:rPr>
                <w:rFonts w:hint="eastAsia" w:ascii="宋体" w:hAnsi="宋体" w:cs="宋体"/>
                <w:b/>
                <w:kern w:val="0"/>
                <w:szCs w:val="21"/>
              </w:rPr>
              <w:t>（元/㎡•年）</w:t>
            </w:r>
          </w:p>
        </w:tc>
      </w:tr>
      <w:tr w14:paraId="5C8B7A3E">
        <w:tblPrEx>
          <w:tblCellMar>
            <w:top w:w="0" w:type="dxa"/>
            <w:left w:w="108" w:type="dxa"/>
            <w:bottom w:w="0" w:type="dxa"/>
            <w:right w:w="108" w:type="dxa"/>
          </w:tblCellMar>
        </w:tblPrEx>
        <w:trPr>
          <w:trHeight w:val="1000"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14:paraId="2312BB96">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p>
        </w:tc>
        <w:tc>
          <w:tcPr>
            <w:tcW w:w="3686" w:type="dxa"/>
            <w:tcBorders>
              <w:top w:val="single" w:color="auto" w:sz="4" w:space="0"/>
              <w:left w:val="nil"/>
              <w:bottom w:val="single" w:color="auto" w:sz="4" w:space="0"/>
              <w:right w:val="single" w:color="auto" w:sz="4" w:space="0"/>
            </w:tcBorders>
            <w:vAlign w:val="center"/>
          </w:tcPr>
          <w:p w14:paraId="33C163B1">
            <w:pPr>
              <w:widowControl/>
              <w:jc w:val="center"/>
              <w:rPr>
                <w:rFonts w:ascii="宋体" w:hAnsi="宋体" w:cs="宋体"/>
                <w:kern w:val="0"/>
                <w:szCs w:val="21"/>
                <w:highlight w:val="yellow"/>
              </w:rPr>
            </w:pPr>
          </w:p>
        </w:tc>
        <w:tc>
          <w:tcPr>
            <w:tcW w:w="1701" w:type="dxa"/>
            <w:tcBorders>
              <w:top w:val="single" w:color="auto" w:sz="4" w:space="0"/>
              <w:left w:val="nil"/>
              <w:bottom w:val="single" w:color="auto" w:sz="4" w:space="0"/>
              <w:right w:val="single" w:color="auto" w:sz="4" w:space="0"/>
            </w:tcBorders>
            <w:vAlign w:val="center"/>
          </w:tcPr>
          <w:p w14:paraId="3208B071">
            <w:pPr>
              <w:widowControl/>
              <w:jc w:val="center"/>
              <w:rPr>
                <w:rFonts w:ascii="宋体" w:hAnsi="宋体" w:cs="宋体"/>
                <w:kern w:val="0"/>
                <w:szCs w:val="21"/>
              </w:rPr>
            </w:pPr>
          </w:p>
        </w:tc>
        <w:tc>
          <w:tcPr>
            <w:tcW w:w="1837" w:type="dxa"/>
            <w:tcBorders>
              <w:top w:val="single" w:color="auto" w:sz="4" w:space="0"/>
              <w:left w:val="single" w:color="auto" w:sz="4" w:space="0"/>
              <w:bottom w:val="single" w:color="auto" w:sz="4" w:space="0"/>
              <w:right w:val="single" w:color="auto" w:sz="4" w:space="0"/>
            </w:tcBorders>
            <w:vAlign w:val="center"/>
          </w:tcPr>
          <w:p w14:paraId="03F249D1">
            <w:pPr>
              <w:widowControl/>
              <w:jc w:val="center"/>
              <w:rPr>
                <w:rFonts w:ascii="宋体" w:hAnsi="宋体" w:cs="宋体"/>
                <w:kern w:val="0"/>
                <w:szCs w:val="21"/>
              </w:rPr>
            </w:pPr>
          </w:p>
        </w:tc>
        <w:tc>
          <w:tcPr>
            <w:tcW w:w="1837" w:type="dxa"/>
            <w:tcBorders>
              <w:top w:val="single" w:color="auto" w:sz="4" w:space="0"/>
              <w:left w:val="single" w:color="auto" w:sz="4" w:space="0"/>
              <w:bottom w:val="single" w:color="auto" w:sz="4" w:space="0"/>
              <w:right w:val="single" w:color="auto" w:sz="4" w:space="0"/>
            </w:tcBorders>
          </w:tcPr>
          <w:p w14:paraId="1643F468">
            <w:pPr>
              <w:widowControl/>
              <w:jc w:val="center"/>
              <w:rPr>
                <w:rFonts w:ascii="宋体" w:hAnsi="宋体" w:cs="宋体"/>
                <w:kern w:val="0"/>
                <w:szCs w:val="21"/>
              </w:rPr>
            </w:pPr>
          </w:p>
        </w:tc>
      </w:tr>
      <w:tr w14:paraId="61EC5C67">
        <w:tblPrEx>
          <w:tblCellMar>
            <w:top w:w="0" w:type="dxa"/>
            <w:left w:w="108" w:type="dxa"/>
            <w:bottom w:w="0" w:type="dxa"/>
            <w:right w:w="108" w:type="dxa"/>
          </w:tblCellMar>
        </w:tblPrEx>
        <w:trPr>
          <w:trHeight w:val="1127"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14:paraId="49728417">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w:t>
            </w:r>
          </w:p>
        </w:tc>
        <w:tc>
          <w:tcPr>
            <w:tcW w:w="3686" w:type="dxa"/>
            <w:tcBorders>
              <w:top w:val="single" w:color="auto" w:sz="4" w:space="0"/>
              <w:left w:val="nil"/>
              <w:bottom w:val="single" w:color="auto" w:sz="4" w:space="0"/>
              <w:right w:val="single" w:color="auto" w:sz="4" w:space="0"/>
            </w:tcBorders>
            <w:vAlign w:val="center"/>
          </w:tcPr>
          <w:p w14:paraId="5A554D44">
            <w:pPr>
              <w:widowControl/>
              <w:jc w:val="center"/>
              <w:rPr>
                <w:rFonts w:ascii="宋体" w:hAnsi="宋体" w:cs="宋体"/>
                <w:kern w:val="0"/>
                <w:szCs w:val="21"/>
                <w:highlight w:val="yellow"/>
              </w:rPr>
            </w:pPr>
          </w:p>
        </w:tc>
        <w:tc>
          <w:tcPr>
            <w:tcW w:w="1701" w:type="dxa"/>
            <w:tcBorders>
              <w:top w:val="single" w:color="auto" w:sz="4" w:space="0"/>
              <w:left w:val="nil"/>
              <w:bottom w:val="single" w:color="auto" w:sz="4" w:space="0"/>
              <w:right w:val="single" w:color="auto" w:sz="4" w:space="0"/>
            </w:tcBorders>
            <w:vAlign w:val="center"/>
          </w:tcPr>
          <w:p w14:paraId="6C4FBAA6">
            <w:pPr>
              <w:widowControl/>
              <w:jc w:val="center"/>
              <w:rPr>
                <w:rFonts w:ascii="宋体" w:hAnsi="宋体" w:cs="宋体"/>
                <w:kern w:val="0"/>
                <w:szCs w:val="21"/>
              </w:rPr>
            </w:pPr>
          </w:p>
        </w:tc>
        <w:tc>
          <w:tcPr>
            <w:tcW w:w="1837" w:type="dxa"/>
            <w:tcBorders>
              <w:top w:val="single" w:color="auto" w:sz="4" w:space="0"/>
              <w:left w:val="single" w:color="auto" w:sz="4" w:space="0"/>
              <w:bottom w:val="single" w:color="auto" w:sz="4" w:space="0"/>
              <w:right w:val="single" w:color="auto" w:sz="4" w:space="0"/>
            </w:tcBorders>
            <w:vAlign w:val="center"/>
          </w:tcPr>
          <w:p w14:paraId="6D0FF3CE">
            <w:pPr>
              <w:widowControl/>
              <w:jc w:val="center"/>
              <w:rPr>
                <w:rFonts w:ascii="宋体" w:hAnsi="宋体" w:cs="宋体"/>
                <w:kern w:val="0"/>
                <w:szCs w:val="21"/>
              </w:rPr>
            </w:pPr>
          </w:p>
        </w:tc>
        <w:tc>
          <w:tcPr>
            <w:tcW w:w="1837" w:type="dxa"/>
            <w:tcBorders>
              <w:top w:val="single" w:color="auto" w:sz="4" w:space="0"/>
              <w:left w:val="single" w:color="auto" w:sz="4" w:space="0"/>
              <w:bottom w:val="single" w:color="auto" w:sz="4" w:space="0"/>
              <w:right w:val="single" w:color="auto" w:sz="4" w:space="0"/>
            </w:tcBorders>
          </w:tcPr>
          <w:p w14:paraId="1DCCF480">
            <w:pPr>
              <w:widowControl/>
              <w:jc w:val="center"/>
              <w:rPr>
                <w:rFonts w:ascii="宋体" w:hAnsi="宋体" w:cs="宋体"/>
                <w:kern w:val="0"/>
                <w:szCs w:val="21"/>
              </w:rPr>
            </w:pPr>
          </w:p>
        </w:tc>
      </w:tr>
      <w:tr w14:paraId="1D6F1047">
        <w:tblPrEx>
          <w:tblCellMar>
            <w:top w:w="0" w:type="dxa"/>
            <w:left w:w="108" w:type="dxa"/>
            <w:bottom w:w="0" w:type="dxa"/>
            <w:right w:w="108" w:type="dxa"/>
          </w:tblCellMar>
        </w:tblPrEx>
        <w:trPr>
          <w:trHeight w:val="1284"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14:paraId="258A4EFE">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w:t>
            </w:r>
          </w:p>
        </w:tc>
        <w:tc>
          <w:tcPr>
            <w:tcW w:w="3686" w:type="dxa"/>
            <w:tcBorders>
              <w:top w:val="single" w:color="auto" w:sz="4" w:space="0"/>
              <w:left w:val="nil"/>
              <w:bottom w:val="single" w:color="auto" w:sz="4" w:space="0"/>
              <w:right w:val="single" w:color="auto" w:sz="4" w:space="0"/>
            </w:tcBorders>
            <w:vAlign w:val="center"/>
          </w:tcPr>
          <w:p w14:paraId="4EBF83C4">
            <w:pPr>
              <w:widowControl/>
              <w:jc w:val="center"/>
              <w:rPr>
                <w:rFonts w:ascii="宋体" w:hAnsi="宋体" w:cs="宋体"/>
                <w:kern w:val="0"/>
                <w:szCs w:val="21"/>
                <w:highlight w:val="yellow"/>
              </w:rPr>
            </w:pPr>
          </w:p>
        </w:tc>
        <w:tc>
          <w:tcPr>
            <w:tcW w:w="1701" w:type="dxa"/>
            <w:tcBorders>
              <w:top w:val="single" w:color="auto" w:sz="4" w:space="0"/>
              <w:left w:val="nil"/>
              <w:bottom w:val="single" w:color="auto" w:sz="4" w:space="0"/>
              <w:right w:val="single" w:color="auto" w:sz="4" w:space="0"/>
            </w:tcBorders>
            <w:vAlign w:val="center"/>
          </w:tcPr>
          <w:p w14:paraId="3C6633D9">
            <w:pPr>
              <w:widowControl/>
              <w:jc w:val="center"/>
              <w:rPr>
                <w:rFonts w:ascii="宋体" w:hAnsi="宋体" w:cs="宋体"/>
                <w:kern w:val="0"/>
                <w:szCs w:val="21"/>
              </w:rPr>
            </w:pPr>
          </w:p>
        </w:tc>
        <w:tc>
          <w:tcPr>
            <w:tcW w:w="1837" w:type="dxa"/>
            <w:tcBorders>
              <w:top w:val="single" w:color="auto" w:sz="4" w:space="0"/>
              <w:left w:val="single" w:color="auto" w:sz="4" w:space="0"/>
              <w:bottom w:val="single" w:color="auto" w:sz="4" w:space="0"/>
              <w:right w:val="single" w:color="auto" w:sz="4" w:space="0"/>
            </w:tcBorders>
            <w:vAlign w:val="center"/>
          </w:tcPr>
          <w:p w14:paraId="19768C8A">
            <w:pPr>
              <w:widowControl/>
              <w:jc w:val="center"/>
              <w:rPr>
                <w:rFonts w:ascii="宋体" w:hAnsi="宋体" w:cs="宋体"/>
                <w:kern w:val="0"/>
                <w:szCs w:val="21"/>
              </w:rPr>
            </w:pPr>
          </w:p>
        </w:tc>
        <w:tc>
          <w:tcPr>
            <w:tcW w:w="1837" w:type="dxa"/>
            <w:tcBorders>
              <w:top w:val="single" w:color="auto" w:sz="4" w:space="0"/>
              <w:left w:val="single" w:color="auto" w:sz="4" w:space="0"/>
              <w:bottom w:val="single" w:color="auto" w:sz="4" w:space="0"/>
              <w:right w:val="single" w:color="auto" w:sz="4" w:space="0"/>
            </w:tcBorders>
          </w:tcPr>
          <w:p w14:paraId="71FC0043">
            <w:pPr>
              <w:widowControl/>
              <w:jc w:val="center"/>
              <w:rPr>
                <w:rFonts w:ascii="宋体" w:hAnsi="宋体" w:cs="宋体"/>
                <w:kern w:val="0"/>
                <w:szCs w:val="21"/>
              </w:rPr>
            </w:pPr>
          </w:p>
        </w:tc>
      </w:tr>
      <w:tr w14:paraId="49EA1FA0">
        <w:tblPrEx>
          <w:tblCellMar>
            <w:top w:w="0" w:type="dxa"/>
            <w:left w:w="108" w:type="dxa"/>
            <w:bottom w:w="0" w:type="dxa"/>
            <w:right w:w="108" w:type="dxa"/>
          </w:tblCellMar>
        </w:tblPrEx>
        <w:trPr>
          <w:trHeight w:val="694" w:hRule="exact"/>
          <w:jc w:val="center"/>
        </w:trPr>
        <w:tc>
          <w:tcPr>
            <w:tcW w:w="4410" w:type="dxa"/>
            <w:gridSpan w:val="2"/>
            <w:tcBorders>
              <w:top w:val="single" w:color="auto" w:sz="4" w:space="0"/>
              <w:left w:val="single" w:color="auto" w:sz="4" w:space="0"/>
              <w:bottom w:val="single" w:color="auto" w:sz="4" w:space="0"/>
              <w:right w:val="single" w:color="auto" w:sz="4" w:space="0"/>
            </w:tcBorders>
            <w:vAlign w:val="center"/>
          </w:tcPr>
          <w:p w14:paraId="371B624C">
            <w:pPr>
              <w:widowControl/>
              <w:jc w:val="center"/>
              <w:rPr>
                <w:rFonts w:ascii="宋体" w:hAnsi="宋体" w:cs="宋体"/>
                <w:kern w:val="0"/>
                <w:szCs w:val="21"/>
              </w:rPr>
            </w:pPr>
            <w:r>
              <w:rPr>
                <w:rFonts w:hint="eastAsia" w:ascii="宋体" w:hAnsi="宋体" w:cs="宋体"/>
                <w:kern w:val="0"/>
                <w:szCs w:val="21"/>
              </w:rPr>
              <w:t>合计</w:t>
            </w:r>
          </w:p>
        </w:tc>
        <w:tc>
          <w:tcPr>
            <w:tcW w:w="1701" w:type="dxa"/>
            <w:tcBorders>
              <w:top w:val="single" w:color="auto" w:sz="4" w:space="0"/>
              <w:left w:val="nil"/>
              <w:bottom w:val="single" w:color="auto" w:sz="4" w:space="0"/>
              <w:right w:val="single" w:color="auto" w:sz="4" w:space="0"/>
            </w:tcBorders>
            <w:vAlign w:val="center"/>
          </w:tcPr>
          <w:p w14:paraId="59355781">
            <w:pPr>
              <w:widowControl/>
              <w:jc w:val="center"/>
              <w:rPr>
                <w:rFonts w:ascii="宋体" w:hAnsi="宋体" w:cs="宋体"/>
                <w:kern w:val="0"/>
                <w:szCs w:val="21"/>
                <w:highlight w:val="yellow"/>
              </w:rPr>
            </w:pPr>
          </w:p>
        </w:tc>
        <w:tc>
          <w:tcPr>
            <w:tcW w:w="1837" w:type="dxa"/>
            <w:tcBorders>
              <w:top w:val="single" w:color="auto" w:sz="4" w:space="0"/>
              <w:left w:val="single" w:color="auto" w:sz="4" w:space="0"/>
              <w:bottom w:val="single" w:color="auto" w:sz="4" w:space="0"/>
              <w:right w:val="single" w:color="auto" w:sz="4" w:space="0"/>
            </w:tcBorders>
            <w:vAlign w:val="center"/>
          </w:tcPr>
          <w:p w14:paraId="0559BA77">
            <w:pPr>
              <w:widowControl/>
              <w:jc w:val="center"/>
              <w:rPr>
                <w:rFonts w:ascii="宋体" w:hAnsi="宋体" w:cs="宋体"/>
                <w:kern w:val="0"/>
                <w:szCs w:val="21"/>
              </w:rPr>
            </w:pPr>
          </w:p>
        </w:tc>
        <w:tc>
          <w:tcPr>
            <w:tcW w:w="1837" w:type="dxa"/>
            <w:tcBorders>
              <w:top w:val="single" w:color="auto" w:sz="4" w:space="0"/>
              <w:left w:val="single" w:color="auto" w:sz="4" w:space="0"/>
              <w:bottom w:val="single" w:color="auto" w:sz="4" w:space="0"/>
              <w:right w:val="single" w:color="auto" w:sz="4" w:space="0"/>
            </w:tcBorders>
          </w:tcPr>
          <w:p w14:paraId="0440140D">
            <w:pPr>
              <w:widowControl/>
              <w:jc w:val="center"/>
              <w:rPr>
                <w:rFonts w:ascii="宋体" w:hAnsi="宋体" w:cs="宋体"/>
                <w:kern w:val="0"/>
                <w:szCs w:val="21"/>
              </w:rPr>
            </w:pPr>
          </w:p>
        </w:tc>
      </w:tr>
    </w:tbl>
    <w:p w14:paraId="3B28BB6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注：以上均为暂定面积和暂定里程，结算时按经甲方确认的实际面积结合本合同综合单价结算。</w:t>
      </w:r>
    </w:p>
    <w:p w14:paraId="2F6A8171">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二.全年养护管理经费</w:t>
      </w:r>
    </w:p>
    <w:p w14:paraId="523C77C9">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根据招投标文件，本合同养护项目养护经费为工程量（按实计量）*单价，承包方式为全额经济责任制承包。</w:t>
      </w:r>
    </w:p>
    <w:p w14:paraId="62AF3A11">
      <w:pPr>
        <w:pStyle w:val="37"/>
        <w:rPr>
          <w:rFonts w:eastAsiaTheme="minorEastAsia"/>
        </w:rPr>
      </w:pPr>
      <w:r>
        <w:rPr>
          <w:rFonts w:hint="eastAsia" w:asciiTheme="minorEastAsia" w:hAnsiTheme="minorEastAsia" w:eastAsiaTheme="minorEastAsia" w:cstheme="minorEastAsia"/>
          <w:szCs w:val="21"/>
        </w:rPr>
        <w:t>中标后，中标人不得以招标人移交的项目现状无法达到招标人考核要求为由，向招标人提出增加相关费用。</w:t>
      </w:r>
    </w:p>
    <w:p w14:paraId="6917DBCE">
      <w:pPr>
        <w:numPr>
          <w:ilvl w:val="0"/>
          <w:numId w:val="15"/>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服务期限</w:t>
      </w:r>
    </w:p>
    <w:p w14:paraId="0CC0DA41">
      <w:pPr>
        <w:spacing w:line="360" w:lineRule="auto"/>
        <w:ind w:firstLine="420" w:firstLineChars="200"/>
        <w:rPr>
          <w:rFonts w:hint="eastAsia" w:eastAsia="宋体"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服务期限:</w:t>
      </w:r>
      <w:r>
        <w:rPr>
          <w:rFonts w:hint="eastAsia" w:ascii="宋体" w:hAnsi="宋体" w:cs="宋体"/>
          <w:szCs w:val="21"/>
          <w:highlight w:val="none"/>
        </w:rPr>
        <w:t xml:space="preserve"> </w:t>
      </w:r>
      <w:r>
        <w:rPr>
          <w:rFonts w:hint="eastAsia"/>
          <w:highlight w:val="none"/>
          <w:lang w:eastAsia="zh-CN"/>
        </w:rPr>
        <w:t>养护期限为</w:t>
      </w:r>
      <w:r>
        <w:rPr>
          <w:rFonts w:hint="eastAsia"/>
          <w:highlight w:val="none"/>
          <w:lang w:val="en-US" w:eastAsia="zh-CN"/>
        </w:rPr>
        <w:t>2025年7月1日至2027年12月31日（暂定30个月）；</w:t>
      </w:r>
      <w:r>
        <w:rPr>
          <w:rFonts w:hint="eastAsia"/>
          <w:highlight w:val="none"/>
        </w:rPr>
        <w:t>协议一年一签。由采购人及行业主管部门根据中标人的合同履约情况决定是否续签，并在符合县级年度预算安排要求下，方可续签下一年度合同。除不可抗力外，精品苗木在养护</w:t>
      </w:r>
      <w:r>
        <w:rPr>
          <w:rFonts w:hint="eastAsia"/>
          <w:highlight w:val="none"/>
          <w:lang w:eastAsia="zh-CN"/>
        </w:rPr>
        <w:t>。</w:t>
      </w:r>
    </w:p>
    <w:p w14:paraId="36FB508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第一年服务期限：20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日至20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日止；  </w:t>
      </w:r>
    </w:p>
    <w:p w14:paraId="2DE702E2">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四.双方职责</w:t>
      </w:r>
    </w:p>
    <w:p w14:paraId="3C8A8331">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（一）甲方职责</w:t>
      </w:r>
    </w:p>
    <w:p w14:paraId="525F15C1">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1.提供给乙方本合同所述养护项目有关养护设施量等有关资料；</w:t>
      </w:r>
    </w:p>
    <w:p w14:paraId="7B745E1F">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2.对乙方养护管理项目进行监督和考核检查；</w:t>
      </w:r>
    </w:p>
    <w:p w14:paraId="203DB290">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3.按考核成绩按季支付给乙方养护经费；</w:t>
      </w:r>
    </w:p>
    <w:p w14:paraId="4132E66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4.合同期限届满，对本合同养护项目设施量进行清点。</w:t>
      </w:r>
    </w:p>
    <w:p w14:paraId="4E07B098">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（二）乙方职责</w:t>
      </w:r>
    </w:p>
    <w:p w14:paraId="10E6F240">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一、承包职责：</w:t>
      </w:r>
    </w:p>
    <w:p w14:paraId="5F2A25C7">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1、乙方在搞好日常养护工作的同时，必须配合甲方参加市公运中心、县交通局布置的各重大节庆和重大活动的临时布置任务。</w:t>
      </w:r>
    </w:p>
    <w:p w14:paraId="715890B2">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对管养范围内发生的各种违反《宁波市城市绿化条例》的行为应及时劝阻；对未经审批擅自占用绿地的需及时阻止，不得擅自作主同意占用；对未经审批擅自在绿地中设置标牌的，负责及时清除。如情况特殊，难以清除的，应及时向甲方报告。</w:t>
      </w:r>
    </w:p>
    <w:p w14:paraId="0BB51B77">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3、乙方要做好动态绿地保洁，有节假日或重要活动时，做到随时保洁。对清除的垃圾和各类生产垃圾不得乱堆乱倒，必须出具消纳场地证明。</w:t>
      </w:r>
    </w:p>
    <w:p w14:paraId="7515B8E3">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4、乙方必须认真做好爱国卫生除“四害”工作，自觉接受业主单位及上级有关部门的考核检查。</w:t>
      </w:r>
    </w:p>
    <w:p w14:paraId="7B623ED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如遇因道路改造、绿化接养、实际养护面积变化或不可抗力损毁等特殊情况，甲方有权增加(养护单价参照所处地段的绿化养护投标单价）或减少养护面积，即变更养护面积直至解除双方的养护合同，乙方应承担相应的合同风险。</w:t>
      </w:r>
    </w:p>
    <w:p w14:paraId="7DA3DB69">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6、布设规范，安全设施齐全，施工人员着装规范，交通组织有序，现场无安全隐患，机械设备安全整洁。操作人员不带病危险作业，发现未按要求执行的，每人每次扣200元，在季度养护费中累计结算。</w:t>
      </w:r>
    </w:p>
    <w:p w14:paraId="23103A9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7、乙方应当按照相关规定的最低人员配置进行养护工作。发现人数不满标准的，少一人，每人每次扣1000元，在季度养护费中累计结算。</w:t>
      </w:r>
    </w:p>
    <w:p w14:paraId="667B0ED1">
      <w:pPr>
        <w:pStyle w:val="36"/>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人员考勤：乙方需自行配备考勤设备，对乙方的项目负责人及评分表加分人员的出勤进行人脸特征识别考勤。离开工地必须向甲方书面请假，并经甲方同意后才能离开；每月在工地天数应大于22天（特殊情况经招标人批准同意例外），少一天扣除罚款1000元，以此类推。累计两个月到岗率达不到50%，甲方有权单方面解除合同。</w:t>
      </w:r>
    </w:p>
    <w:p w14:paraId="03A3DE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二、养护标准职责：</w:t>
      </w:r>
    </w:p>
    <w:p w14:paraId="327D44C4">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由乙方承包养护的本合同养护项目应达道路绿地标准（见《宁波市城市绿地等级标准》）。承包养护期限内，乙方应严格执行《宁波市城市绿地养护技术规程》及《道路绿化养护质量标准》，合理组织，精心养护，保质、保量完成养护管理任务。</w:t>
      </w:r>
    </w:p>
    <w:p w14:paraId="751CD247">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2、承包期限内，除不可抗力外，因承包单位自身原因养护不当，造成绿化死亡（高温天气没有及时浇水等原因）乙方应及时补齐或修复，并自行承担所需费用。</w:t>
      </w:r>
    </w:p>
    <w:p w14:paraId="013C7444">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3、乙方内业资料必须按甲方内业规范标准整理上报。每月25日前上报下月计划，当月台账在下月8日前上报，以便甲方进行监督考核，并按照投标文件中上报的主要机械设备到位。</w:t>
      </w:r>
    </w:p>
    <w:p w14:paraId="197A6E8E">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4、乙方对甲方在日常考核、监督中提出的存在问题，要及时予以整改。同一问题被连续三次发现未及时整改的，无论当季考核成绩如何，加扣当季养护经费5%。</w:t>
      </w:r>
    </w:p>
    <w:p w14:paraId="6C4F26D3">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5、发生突发性事故，台风、地震、水涝等不可预见性自然因素引起的损失，应立即向甲方汇报，并及时上报处置方案及损失统计经甲方核实认可，该费用由甲方承担。</w:t>
      </w:r>
    </w:p>
    <w:p w14:paraId="6FD02558">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6、乙方必须负责两侧</w:t>
      </w:r>
      <w:r>
        <w:rPr>
          <w:rFonts w:hint="eastAsia" w:asciiTheme="minorEastAsia" w:hAnsiTheme="minorEastAsia" w:eastAsiaTheme="minorEastAsia" w:cstheme="minorEastAsia"/>
          <w:szCs w:val="21"/>
          <w:highlight w:val="none"/>
          <w:lang w:eastAsia="zh-CN"/>
        </w:rPr>
        <w:t>绿地、林带、中央绿化带、侧分带</w:t>
      </w:r>
      <w:r>
        <w:rPr>
          <w:rFonts w:hint="eastAsia" w:asciiTheme="minorEastAsia" w:hAnsiTheme="minorEastAsia" w:eastAsiaTheme="minorEastAsia" w:cstheme="minorEastAsia"/>
          <w:szCs w:val="21"/>
          <w:highlight w:val="none"/>
        </w:rPr>
        <w:t>的清卫。</w:t>
      </w:r>
    </w:p>
    <w:p w14:paraId="5686C0CB">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7、乙方必须每年对零星绿化进行补种，补种前，面积统计数据（附照片）上报给养护科，经养护科批准后，方可进行补种，补种完成后，须由养护科验收并签字确认。</w:t>
      </w:r>
    </w:p>
    <w:p w14:paraId="56F380F4">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8、在中标通知下发后乙方应在10天内向甲方上报养护范围内的死株情况，具体补种由甲方负责，如逾期未上报的，甲方认为无死株情况，由乙方自行负责。</w:t>
      </w:r>
    </w:p>
    <w:p w14:paraId="6771246C">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9、遇台风及特殊日子，乙方应对养护范围内的树木进行加固及防护，该费用由甲方承担。</w:t>
      </w:r>
    </w:p>
    <w:p w14:paraId="06E7B883">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车辆压损、人为损坏：承包期限内，人为损坏的由乙方自行负责；车辆事故损坏，乙方有责任有义务及时上报甲方，甲方及时处理（逃逸或未理赔到位除外），损坏苗木由乙方补种，根据工程量按实计量。（在3月至 6月、 10月、 11月里发生的车损、人损事故，应在15天内按不低于原标准补种；7月至9月里发现的车损、人损情况，在10月份里按不低于原标准补种，1月至次年12月里发现的车损、人损情况，在3月份里按原标准补种），该费用由乙方承担。乙方若未按上述要求补种或补种不及时、降低补种标准的，甲方有权在养护费中双倍扣除该面积费用，并委托其他单位补种，补种后的绿化直接由乙方养护，乙方承担该面积的全部责任。</w:t>
      </w:r>
    </w:p>
    <w:p w14:paraId="215DAEB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11、工程损坏：承包期限内出现工程损坏，乙方及时向甲方汇报，甲方协商处理。</w:t>
      </w:r>
    </w:p>
    <w:p w14:paraId="777FDB56">
      <w:pPr>
        <w:spacing w:line="44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12、移交后的绿化养护范围内不得出现种植农作物的情况，一经发现将作为考核</w:t>
      </w:r>
      <w:r>
        <w:rPr>
          <w:rFonts w:hint="eastAsia" w:asciiTheme="minorEastAsia" w:hAnsiTheme="minorEastAsia" w:eastAsiaTheme="minorEastAsia" w:cstheme="minorEastAsia"/>
          <w:color w:val="auto"/>
          <w:szCs w:val="21"/>
          <w:highlight w:val="none"/>
          <w:lang w:val="en-US" w:eastAsia="zh-CN"/>
        </w:rPr>
        <w:t>扣分项处理</w:t>
      </w:r>
      <w:r>
        <w:rPr>
          <w:rFonts w:hint="eastAsia" w:asciiTheme="minorEastAsia" w:hAnsiTheme="minorEastAsia" w:eastAsiaTheme="minorEastAsia" w:cstheme="minorEastAsia"/>
          <w:szCs w:val="21"/>
          <w:highlight w:val="none"/>
          <w:lang w:val="en-US" w:eastAsia="zh-CN"/>
        </w:rPr>
        <w:t>。</w:t>
      </w:r>
    </w:p>
    <w:p w14:paraId="050CC1F2">
      <w:pPr>
        <w:spacing w:line="460" w:lineRule="exact"/>
        <w:ind w:firstLine="420" w:firstLineChars="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13、新盛宁线二期道口每年需补种草花，具体位置、面积由甲方确认，费用由甲方支付，单价按18㎡/元按中标下浮率下浮后按实结算，草花保活期为6个月（本条款仅适用于标段三）。</w:t>
      </w:r>
    </w:p>
    <w:p w14:paraId="2158E4EC">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2"/>
          <w:sz w:val="21"/>
          <w:szCs w:val="21"/>
          <w:highlight w:val="none"/>
          <w:lang w:val="en-US" w:eastAsia="zh-CN" w:bidi="ar-SA"/>
        </w:rPr>
        <w:t>13、</w:t>
      </w:r>
      <w:r>
        <w:rPr>
          <w:rFonts w:hint="eastAsia" w:asciiTheme="minorEastAsia" w:hAnsiTheme="minorEastAsia" w:eastAsiaTheme="minorEastAsia" w:cstheme="minorEastAsia"/>
          <w:szCs w:val="21"/>
          <w:highlight w:val="none"/>
        </w:rPr>
        <w:t>严禁使用化学剂除草，每发现一次扣5000-20000元，另外补种费自理。</w:t>
      </w:r>
      <w:r>
        <w:rPr>
          <w:rFonts w:hint="eastAsia" w:asciiTheme="minorEastAsia" w:hAnsiTheme="minorEastAsia" w:eastAsiaTheme="minorEastAsia" w:cstheme="minorEastAsia"/>
          <w:szCs w:val="21"/>
          <w:highlight w:val="none"/>
          <w:lang w:eastAsia="zh-CN"/>
        </w:rPr>
        <w:t>如发生上述情况三次及以上的，</w:t>
      </w:r>
      <w:r>
        <w:rPr>
          <w:rFonts w:hint="eastAsia"/>
          <w:highlight w:val="none"/>
          <w:lang w:val="en-US" w:eastAsia="zh-CN"/>
        </w:rPr>
        <w:t>甲方有权单方面解除本合同，乙方还应按本合同金额的10%向甲方支付违约金</w:t>
      </w:r>
      <w:r>
        <w:rPr>
          <w:rFonts w:hint="eastAsia" w:asciiTheme="minorEastAsia" w:hAnsiTheme="minorEastAsia" w:eastAsiaTheme="minorEastAsia" w:cstheme="minorEastAsia"/>
          <w:szCs w:val="21"/>
          <w:highlight w:val="none"/>
        </w:rPr>
        <w:t>。</w:t>
      </w:r>
    </w:p>
    <w:p w14:paraId="4AC4DBAE">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三、基本设施职责：</w:t>
      </w:r>
    </w:p>
    <w:p w14:paraId="034FEA18">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1、对本合同养护项目实施养护管理所需的一切劳动力、材料、设备和服务由乙方自行组织，由此产生的一切费用由乙方承担。</w:t>
      </w:r>
    </w:p>
    <w:p w14:paraId="64285C78">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2、对本合同养护项目实施养护管理所需的养护管理房由乙方自行解决。</w:t>
      </w:r>
    </w:p>
    <w:p w14:paraId="010F1838">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乙方应当按照招标文件规定的最低肥料标准施肥。</w:t>
      </w:r>
    </w:p>
    <w:p w14:paraId="75E47C1C">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4、乙方应按甲方通知要求禁止使用高毒高残留农药，所用的农药包装物必须分类收集，并送至专业部门处置，办好转移单手续。</w:t>
      </w:r>
    </w:p>
    <w:p w14:paraId="3C83059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5、乙方应当按照招标文件规定的最低标准配备人员。</w:t>
      </w:r>
    </w:p>
    <w:p w14:paraId="5DEAF0B1">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四、安全职责：</w:t>
      </w:r>
    </w:p>
    <w:p w14:paraId="15582BC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1、乙方必须重视安全工作确保全年不出安全事故，如发生安全事故一切责任由乙方自行负责。</w:t>
      </w:r>
    </w:p>
    <w:p w14:paraId="5E70FB52">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2、养护期内项目负责人必须到岗到位,每年参加业主召开的各种会议到会率必须在75%以上。</w:t>
      </w:r>
    </w:p>
    <w:p w14:paraId="510F911C">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五、考核验收</w:t>
      </w:r>
    </w:p>
    <w:p w14:paraId="315A4230">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考核细则（附件A、B、C）：实行百分等级评定。日常巡查考核由公运中心养护中心进行考核，所占比重40%；考核扣分以90分（含90分）为基准，每月平均日常考核所得分数低于90分，每下降1分，扣除1000元，直接从养护经费中扣除；</w:t>
      </w:r>
      <w:r>
        <w:rPr>
          <w:rFonts w:hint="eastAsia" w:asciiTheme="minorEastAsia" w:hAnsiTheme="minorEastAsia" w:eastAsiaTheme="minorEastAsia" w:cstheme="minorEastAsia"/>
          <w:kern w:val="0"/>
          <w:szCs w:val="21"/>
        </w:rPr>
        <w:t>月度检查由</w:t>
      </w:r>
      <w:r>
        <w:rPr>
          <w:rFonts w:hint="eastAsia" w:asciiTheme="minorEastAsia" w:hAnsiTheme="minorEastAsia" w:eastAsiaTheme="minorEastAsia" w:cstheme="minorEastAsia"/>
          <w:szCs w:val="21"/>
        </w:rPr>
        <w:t>公运中心</w:t>
      </w:r>
      <w:r>
        <w:rPr>
          <w:rFonts w:hint="eastAsia" w:asciiTheme="minorEastAsia" w:hAnsiTheme="minorEastAsia" w:eastAsiaTheme="minorEastAsia" w:cstheme="minorEastAsia"/>
          <w:kern w:val="0"/>
          <w:szCs w:val="21"/>
        </w:rPr>
        <w:t>养护科进行考核，所占比重20%；考核扣分以90分（含90分）为基准，所得分数低于90分的，</w:t>
      </w:r>
      <w:r>
        <w:rPr>
          <w:rFonts w:hint="eastAsia" w:asciiTheme="minorEastAsia" w:hAnsiTheme="minorEastAsia" w:eastAsiaTheme="minorEastAsia" w:cstheme="minorEastAsia"/>
          <w:kern w:val="0"/>
          <w:szCs w:val="21"/>
          <w:highlight w:val="none"/>
        </w:rPr>
        <w:t>每下降1分，每分扣除1000元，直接从养护经费中扣除。</w:t>
      </w:r>
    </w:p>
    <w:p w14:paraId="09428D27">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季度考核由宁海县公路与运输管理中心组织（交通局工程科、公运中心各科室成员参加），每季度考核综合得分在90分以上（包含90分）的为合格；95分以上的为优秀。低于90分的按以下规定执行：</w:t>
      </w:r>
    </w:p>
    <w:p w14:paraId="3A07C629">
      <w:pPr>
        <w:spacing w:line="4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1.季度考核综合得分低于90分的，每下降一分，扣除当季养护经费的百分之三。</w:t>
      </w:r>
    </w:p>
    <w:p w14:paraId="17D39A5B">
      <w:pPr>
        <w:spacing w:line="46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2.季度考核综合得分低于80分的，暂不</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当季养护经费；连续两个季度考核综合得分不合格的甲方有权终止养护合同且只</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第一季度的50%养护经费，取消第二季度养护经费</w:t>
      </w:r>
      <w:r>
        <w:rPr>
          <w:rFonts w:hint="eastAsia" w:asciiTheme="minorEastAsia" w:hAnsiTheme="minorEastAsia" w:eastAsiaTheme="minorEastAsia" w:cstheme="minorEastAsia"/>
          <w:szCs w:val="21"/>
          <w:highlight w:val="none"/>
          <w:lang w:eastAsia="zh-CN"/>
        </w:rPr>
        <w:t>支付</w:t>
      </w:r>
      <w:r>
        <w:rPr>
          <w:rFonts w:hint="eastAsia" w:asciiTheme="minorEastAsia" w:hAnsiTheme="minorEastAsia" w:eastAsiaTheme="minorEastAsia" w:cstheme="minorEastAsia"/>
          <w:szCs w:val="21"/>
          <w:highlight w:val="none"/>
        </w:rPr>
        <w:t>。</w:t>
      </w:r>
    </w:p>
    <w:p w14:paraId="6E4A69B0">
      <w:pPr>
        <w:widowControl/>
        <w:spacing w:line="440" w:lineRule="exact"/>
        <w:ind w:firstLine="422" w:firstLineChars="200"/>
        <w:jc w:val="lef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3.季度考核综合得分低于75分取消其养护资格，解除合同并</w:t>
      </w:r>
      <w:r>
        <w:rPr>
          <w:rFonts w:hint="eastAsia" w:asciiTheme="minorEastAsia" w:hAnsiTheme="minorEastAsia" w:eastAsiaTheme="minorEastAsia" w:cstheme="minorEastAsia"/>
          <w:b/>
          <w:bCs/>
          <w:szCs w:val="21"/>
          <w:highlight w:val="none"/>
          <w:lang w:eastAsia="zh-CN"/>
        </w:rPr>
        <w:t>扣除一个季度的</w:t>
      </w:r>
      <w:r>
        <w:rPr>
          <w:rFonts w:hint="eastAsia" w:asciiTheme="minorEastAsia" w:hAnsiTheme="minorEastAsia" w:eastAsiaTheme="minorEastAsia" w:cstheme="minorEastAsia"/>
          <w:b/>
          <w:bCs/>
          <w:szCs w:val="21"/>
          <w:highlight w:val="none"/>
        </w:rPr>
        <w:t>养护经费。</w:t>
      </w:r>
      <w:r>
        <w:rPr>
          <w:rFonts w:hint="eastAsia"/>
          <w:b/>
          <w:bCs/>
          <w:highlight w:val="none"/>
          <w:lang w:val="en-US" w:eastAsia="zh-CN"/>
        </w:rPr>
        <w:t>除此之外，乙方</w:t>
      </w:r>
      <w:r>
        <w:rPr>
          <w:rFonts w:hint="eastAsia" w:asciiTheme="minorEastAsia" w:hAnsiTheme="minorEastAsia" w:eastAsiaTheme="minorEastAsia" w:cstheme="minorEastAsia"/>
          <w:b/>
          <w:bCs/>
          <w:szCs w:val="21"/>
          <w:highlight w:val="none"/>
          <w:lang w:eastAsia="zh-CN"/>
        </w:rPr>
        <w:t>还</w:t>
      </w:r>
      <w:r>
        <w:rPr>
          <w:rFonts w:hint="eastAsia" w:asciiTheme="minorEastAsia" w:hAnsiTheme="minorEastAsia" w:eastAsiaTheme="minorEastAsia" w:cstheme="minorEastAsia"/>
          <w:b/>
          <w:bCs/>
          <w:szCs w:val="21"/>
          <w:highlight w:val="none"/>
        </w:rPr>
        <w:t>应按本合同金额的10%</w:t>
      </w:r>
      <w:r>
        <w:rPr>
          <w:rFonts w:hint="eastAsia" w:asciiTheme="minorEastAsia" w:hAnsiTheme="minorEastAsia" w:eastAsiaTheme="minorEastAsia" w:cstheme="minorEastAsia"/>
          <w:b/>
          <w:bCs/>
          <w:szCs w:val="21"/>
          <w:highlight w:val="none"/>
          <w:lang w:eastAsia="zh-CN"/>
        </w:rPr>
        <w:t>（</w:t>
      </w:r>
      <w:r>
        <w:rPr>
          <w:rFonts w:hint="eastAsia" w:asciiTheme="minorEastAsia" w:hAnsiTheme="minorEastAsia" w:eastAsiaTheme="minorEastAsia" w:cstheme="minorEastAsia"/>
          <w:b/>
          <w:bCs/>
          <w:szCs w:val="21"/>
          <w:highlight w:val="none"/>
          <w:lang w:val="en-US" w:eastAsia="zh-CN"/>
        </w:rPr>
        <w:t>含履约保证金）</w:t>
      </w:r>
      <w:r>
        <w:rPr>
          <w:rFonts w:hint="eastAsia" w:asciiTheme="minorEastAsia" w:hAnsiTheme="minorEastAsia" w:eastAsiaTheme="minorEastAsia" w:cstheme="minorEastAsia"/>
          <w:b/>
          <w:bCs/>
          <w:szCs w:val="21"/>
          <w:highlight w:val="none"/>
        </w:rPr>
        <w:t>向甲方支付违约金。</w:t>
      </w:r>
    </w:p>
    <w:p w14:paraId="5A6AC9E4">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4.考核验收依据根据《公路养护技术规范》、《中国公路养护安全作业规程》、《公路技术状况评定标准》、《宁波市公路养护条例》、文件要求，结合我单位管养绿地的实际情况，制定本考</w:t>
      </w:r>
      <w:r>
        <w:rPr>
          <w:rFonts w:hint="eastAsia" w:asciiTheme="minorEastAsia" w:hAnsiTheme="minorEastAsia" w:eastAsiaTheme="minorEastAsia" w:cstheme="minorEastAsia"/>
          <w:szCs w:val="21"/>
          <w:highlight w:val="none"/>
          <w:lang w:eastAsia="zh-CN"/>
        </w:rPr>
        <w:t>核办法。本考核办法适用宁海县交通运输局2025年公路绿化养护服务采购（第二批），</w:t>
      </w:r>
      <w:r>
        <w:rPr>
          <w:rFonts w:hint="eastAsia" w:asciiTheme="minorEastAsia" w:hAnsiTheme="minorEastAsia" w:eastAsiaTheme="minorEastAsia" w:cstheme="minorEastAsia"/>
          <w:szCs w:val="21"/>
          <w:highlight w:val="none"/>
        </w:rPr>
        <w:t>每条线路季度考核的考核公里数须</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公里（含）以上。</w:t>
      </w:r>
    </w:p>
    <w:p w14:paraId="14BD0B21">
      <w:pPr>
        <w:pStyle w:val="37"/>
      </w:pPr>
      <w:r>
        <w:rPr>
          <w:rFonts w:hint="eastAsia"/>
        </w:rPr>
        <w:t>5.苗木清单：</w:t>
      </w:r>
      <w:r>
        <w:rPr>
          <w:rFonts w:hint="eastAsia"/>
          <w:szCs w:val="21"/>
        </w:rPr>
        <w:t>具体清单以中标后甲方和乙方现场实地确认的为准，乙方应于合同签订前和甲方共同至养护现场清点苗木，双方确认无误后签字确认。合同满后再清点一次，因乙方养护不到位导致苗木死亡的，履行合同义务乙方需进行赔偿。</w:t>
      </w:r>
    </w:p>
    <w:p w14:paraId="0C575D4E">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六、养护经费</w:t>
      </w:r>
      <w:r>
        <w:rPr>
          <w:rFonts w:hint="eastAsia" w:asciiTheme="minorEastAsia" w:hAnsiTheme="minorEastAsia" w:eastAsiaTheme="minorEastAsia" w:cstheme="minorEastAsia"/>
          <w:szCs w:val="21"/>
          <w:lang w:val="en-US" w:eastAsia="zh-CN"/>
        </w:rPr>
        <w:t>支付</w:t>
      </w:r>
      <w:r>
        <w:rPr>
          <w:rFonts w:hint="eastAsia" w:asciiTheme="minorEastAsia" w:hAnsiTheme="minorEastAsia" w:eastAsiaTheme="minorEastAsia" w:cstheme="minorEastAsia"/>
          <w:szCs w:val="21"/>
        </w:rPr>
        <w:t>方式</w:t>
      </w:r>
    </w:p>
    <w:p w14:paraId="7D5A866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1.全年养护经费按季</w:t>
      </w:r>
      <w:r>
        <w:rPr>
          <w:rFonts w:hint="eastAsia" w:asciiTheme="minorEastAsia" w:hAnsiTheme="minorEastAsia" w:eastAsiaTheme="minorEastAsia" w:cstheme="minorEastAsia"/>
          <w:szCs w:val="21"/>
          <w:lang w:eastAsia="zh-CN"/>
        </w:rPr>
        <w:t>支付</w:t>
      </w:r>
      <w:r>
        <w:rPr>
          <w:rFonts w:hint="eastAsia" w:asciiTheme="minorEastAsia" w:hAnsiTheme="minorEastAsia" w:eastAsiaTheme="minorEastAsia" w:cstheme="minorEastAsia"/>
          <w:szCs w:val="21"/>
        </w:rPr>
        <w:t>，由甲方</w:t>
      </w:r>
      <w:r>
        <w:rPr>
          <w:rFonts w:hint="eastAsia" w:asciiTheme="minorEastAsia" w:hAnsiTheme="minorEastAsia" w:eastAsiaTheme="minorEastAsia" w:cstheme="minorEastAsia"/>
          <w:szCs w:val="21"/>
          <w:lang w:eastAsia="zh-CN"/>
        </w:rPr>
        <w:t>支付</w:t>
      </w:r>
      <w:r>
        <w:rPr>
          <w:rFonts w:hint="eastAsia" w:asciiTheme="minorEastAsia" w:hAnsiTheme="minorEastAsia" w:eastAsiaTheme="minorEastAsia" w:cstheme="minorEastAsia"/>
          <w:szCs w:val="21"/>
        </w:rPr>
        <w:t>给乙方，养护面积均按实际计量。</w:t>
      </w:r>
    </w:p>
    <w:p w14:paraId="22BA92EF">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2.由考核验收结果引起的经济扣罚直接在当季</w:t>
      </w:r>
      <w:r>
        <w:rPr>
          <w:rFonts w:hint="eastAsia" w:asciiTheme="minorEastAsia" w:hAnsiTheme="minorEastAsia" w:eastAsiaTheme="minorEastAsia" w:cstheme="minorEastAsia"/>
          <w:szCs w:val="21"/>
          <w:lang w:eastAsia="zh-CN"/>
        </w:rPr>
        <w:t>支付</w:t>
      </w:r>
      <w:r>
        <w:rPr>
          <w:rFonts w:hint="eastAsia" w:asciiTheme="minorEastAsia" w:hAnsiTheme="minorEastAsia" w:eastAsiaTheme="minorEastAsia" w:cstheme="minorEastAsia"/>
          <w:szCs w:val="21"/>
        </w:rPr>
        <w:t>的养护经费中扣除。</w:t>
      </w:r>
    </w:p>
    <w:p w14:paraId="5B2291DE">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3.如果乙方连续二个季度考核不合格</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低于80分）</w:t>
      </w:r>
      <w:r>
        <w:rPr>
          <w:rFonts w:hint="eastAsia" w:asciiTheme="minorEastAsia" w:hAnsiTheme="minorEastAsia" w:eastAsiaTheme="minorEastAsia" w:cstheme="minorEastAsia"/>
          <w:szCs w:val="21"/>
        </w:rPr>
        <w:t>，甲方有权单方面解除本绿化养护承包合同并没收乙方的绿化养护履约保证金。</w:t>
      </w:r>
    </w:p>
    <w:p w14:paraId="508FA133">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七、履约保证金</w:t>
      </w:r>
    </w:p>
    <w:p w14:paraId="26A9433A">
      <w:pPr>
        <w:widowControl/>
        <w:spacing w:line="440" w:lineRule="exact"/>
        <w:ind w:firstLine="420" w:firstLineChars="200"/>
        <w:jc w:val="left"/>
      </w:pPr>
      <w:r>
        <w:rPr>
          <w:rFonts w:hint="eastAsia"/>
        </w:rPr>
        <w:t>本合同签订之日起7日内，乙方向甲方提交履约保证金</w:t>
      </w:r>
      <w:r>
        <w:rPr>
          <w:rFonts w:hint="eastAsia"/>
          <w:u w:val="single"/>
        </w:rPr>
        <w:t xml:space="preserve">      </w:t>
      </w:r>
      <w:r>
        <w:rPr>
          <w:rFonts w:hint="eastAsia"/>
        </w:rPr>
        <w:t>元，</w:t>
      </w:r>
      <w:r>
        <w:t>履约保证金形式为</w:t>
      </w:r>
      <w:r>
        <w:rPr>
          <w:rFonts w:hint="eastAsia"/>
          <w:u w:val="single"/>
        </w:rPr>
        <w:t xml:space="preserve">        </w:t>
      </w:r>
      <w:r>
        <w:rPr>
          <w:rFonts w:hint="eastAsia"/>
        </w:rPr>
        <w:t>。</w:t>
      </w:r>
    </w:p>
    <w:p w14:paraId="19EA005C">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履约保证金的退还：合同履约完毕后7日内无息退还。</w:t>
      </w:r>
    </w:p>
    <w:p w14:paraId="3B9CC35E">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八、违约责任：</w:t>
      </w:r>
    </w:p>
    <w:p w14:paraId="51404EFD">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履行期限内发生下列情况甲方有权扣除当季养护费的1%-5%，情节严重的，甲方可提前解除合同，并罚没全额履约保证金，造成甲方损失的，甲方有权要求乙方赔偿损失。因提前解除合同所造成的一切损失，由乙方自行承担。</w:t>
      </w:r>
    </w:p>
    <w:p w14:paraId="16F18989">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（1）合同期内累计三个季度考核不合格的；</w:t>
      </w:r>
    </w:p>
    <w:p w14:paraId="476184E3">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（2）非自然原因造成绿化大面积（300平方以上）死亡的,未按甲方要求补种的。</w:t>
      </w:r>
    </w:p>
    <w:p w14:paraId="1397F90C">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（3）在养护过程中，乙方不按养护规范进行养护，养护质量差，造成较大负面社会影响。</w:t>
      </w:r>
    </w:p>
    <w:p w14:paraId="572CE54C">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（4）乙方不服从甲方对绿化养护质量的管理，不及时处理甲方提出的书面整改意见累计三次或逾期处理达15日以上。</w:t>
      </w:r>
    </w:p>
    <w:p w14:paraId="4AEA4B57">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乙方违反合同约定或招标文件规定的，甲方有权通知乙方进行整改，若乙方在接到甲方通知后15日内仍未整改完毕的，视为乙方严重违约，甲方有权单方面解除本合同，乙方应按本合同金额的10%向甲方支付违约金，违约金不足以弥补甲方损失的，乙方赔偿甲方由此造成的所有损失。</w:t>
      </w:r>
    </w:p>
    <w:p w14:paraId="76B86B9D">
      <w:pPr>
        <w:widowControl/>
        <w:spacing w:line="440" w:lineRule="exact"/>
        <w:ind w:firstLine="422" w:firstLineChars="200"/>
        <w:jc w:val="left"/>
        <w:rPr>
          <w:rFonts w:hint="default"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lang w:val="en-US" w:eastAsia="zh-CN"/>
        </w:rPr>
        <w:t>3.如乙方主动提出解除合同的，则需承担相关违约责任，</w:t>
      </w:r>
      <w:r>
        <w:rPr>
          <w:rFonts w:hint="eastAsia" w:asciiTheme="minorEastAsia" w:hAnsiTheme="minorEastAsia" w:eastAsiaTheme="minorEastAsia" w:cstheme="minorEastAsia"/>
          <w:b/>
          <w:bCs/>
          <w:szCs w:val="21"/>
          <w:highlight w:val="none"/>
          <w:lang w:eastAsia="zh-CN"/>
        </w:rPr>
        <w:t>扣除一个季度的</w:t>
      </w:r>
      <w:r>
        <w:rPr>
          <w:rFonts w:hint="eastAsia" w:asciiTheme="minorEastAsia" w:hAnsiTheme="minorEastAsia" w:eastAsiaTheme="minorEastAsia" w:cstheme="minorEastAsia"/>
          <w:b/>
          <w:bCs/>
          <w:szCs w:val="21"/>
          <w:highlight w:val="none"/>
        </w:rPr>
        <w:t>养护经费</w:t>
      </w:r>
      <w:r>
        <w:rPr>
          <w:rFonts w:hint="eastAsia" w:asciiTheme="minorEastAsia" w:hAnsiTheme="minorEastAsia" w:eastAsiaTheme="minorEastAsia" w:cstheme="minorEastAsia"/>
          <w:b/>
          <w:bCs/>
          <w:szCs w:val="21"/>
          <w:highlight w:val="none"/>
          <w:lang w:val="en-US" w:eastAsia="zh-CN"/>
        </w:rPr>
        <w:t>并没收履约保证金。</w:t>
      </w:r>
    </w:p>
    <w:p w14:paraId="575FF5A2">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九、争议的处理</w:t>
      </w:r>
    </w:p>
    <w:p w14:paraId="744DDBAC">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本合同或与本合同有关的任何争议，应协商处理；若协商不成的，双方均有权向甲方所在地人民法院提起诉讼，以诉讼方式解决。</w:t>
      </w:r>
    </w:p>
    <w:p w14:paraId="100958FA">
      <w:pPr>
        <w:widowControl/>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十、附则</w:t>
      </w:r>
    </w:p>
    <w:p w14:paraId="1765088C">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1.本合同招投标文件作为合同附件，合同未尽事宜，若招投标文件有规定的，参照招投标文件规定执行。</w:t>
      </w:r>
    </w:p>
    <w:p w14:paraId="642B425D">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2.未尽事宜，甲、乙双方协商解决，并作出书面补充协议。补充协议与本合同具有同等效力。</w:t>
      </w:r>
    </w:p>
    <w:p w14:paraId="7889DCDB">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十一.本合同壹式陆份，甲、乙双方各贰份，招标代理机构、宁海县政府采购办各一份；经甲、乙双方法定代表人或授权代表签字并加盖公章后生效。</w:t>
      </w:r>
    </w:p>
    <w:p w14:paraId="6DA6D024">
      <w:pPr>
        <w:spacing w:line="400" w:lineRule="exact"/>
        <w:ind w:firstLine="420" w:firstLineChars="200"/>
        <w:rPr>
          <w:rFonts w:asciiTheme="minorEastAsia" w:hAnsiTheme="minorEastAsia" w:eastAsiaTheme="minorEastAsia" w:cstheme="minorEastAsia"/>
          <w:szCs w:val="21"/>
        </w:rPr>
      </w:pPr>
    </w:p>
    <w:p w14:paraId="635E775D">
      <w:pPr>
        <w:spacing w:line="520" w:lineRule="exact"/>
        <w:rPr>
          <w:rFonts w:ascii="宋体" w:hAnsi="宋体" w:cs="宋体"/>
          <w:szCs w:val="21"/>
        </w:rPr>
      </w:pPr>
      <w:r>
        <w:rPr>
          <w:rFonts w:ascii="宋体" w:hAnsi="宋体" w:cs="宋体"/>
          <w:b/>
          <w:szCs w:val="21"/>
        </w:rPr>
        <w:t>委托方</w:t>
      </w:r>
      <w:r>
        <w:rPr>
          <w:rFonts w:hint="eastAsia" w:ascii="宋体" w:hAnsi="宋体" w:cs="宋体"/>
          <w:b/>
          <w:szCs w:val="21"/>
        </w:rPr>
        <w:t>（甲方）：</w:t>
      </w:r>
      <w:r>
        <w:rPr>
          <w:rFonts w:hint="eastAsia" w:ascii="宋体" w:hAnsi="宋体" w:cs="宋体"/>
          <w:b/>
          <w:szCs w:val="21"/>
          <w:u w:val="single"/>
        </w:rPr>
        <w:t xml:space="preserve">              </w:t>
      </w:r>
      <w:r>
        <w:rPr>
          <w:rFonts w:hint="eastAsia" w:ascii="宋体" w:hAnsi="宋体" w:cs="宋体"/>
          <w:szCs w:val="21"/>
        </w:rPr>
        <w:t xml:space="preserve">（公章）      </w:t>
      </w:r>
      <w:r>
        <w:rPr>
          <w:rFonts w:hint="eastAsia" w:ascii="宋体" w:hAnsi="宋体" w:cs="宋体"/>
          <w:b/>
          <w:bCs/>
          <w:szCs w:val="21"/>
        </w:rPr>
        <w:t>受</w:t>
      </w:r>
      <w:r>
        <w:rPr>
          <w:rFonts w:ascii="宋体" w:hAnsi="宋体" w:cs="宋体"/>
          <w:b/>
          <w:bCs/>
          <w:szCs w:val="21"/>
        </w:rPr>
        <w:t>托方</w:t>
      </w:r>
      <w:r>
        <w:rPr>
          <w:rFonts w:hint="eastAsia" w:ascii="宋体" w:hAnsi="宋体" w:cs="宋体"/>
          <w:b/>
          <w:szCs w:val="21"/>
        </w:rPr>
        <w:t>（乙方）：</w:t>
      </w:r>
      <w:r>
        <w:rPr>
          <w:rFonts w:hint="eastAsia" w:ascii="宋体" w:hAnsi="宋体" w:cs="宋体"/>
          <w:b/>
          <w:szCs w:val="21"/>
          <w:u w:val="single"/>
        </w:rPr>
        <w:t xml:space="preserve">             </w:t>
      </w:r>
      <w:r>
        <w:rPr>
          <w:rFonts w:hint="eastAsia" w:ascii="宋体" w:hAnsi="宋体" w:cs="宋体"/>
          <w:szCs w:val="21"/>
        </w:rPr>
        <w:t>（公章）</w:t>
      </w:r>
    </w:p>
    <w:p w14:paraId="7F6D7FE3">
      <w:pPr>
        <w:spacing w:line="520" w:lineRule="exact"/>
        <w:rPr>
          <w:rFonts w:ascii="宋体" w:hAnsi="宋体" w:cs="宋体"/>
          <w:b/>
          <w:bCs/>
          <w:szCs w:val="21"/>
        </w:rPr>
      </w:pPr>
      <w:r>
        <w:rPr>
          <w:rFonts w:hint="eastAsia" w:ascii="宋体" w:hAnsi="宋体" w:cs="宋体"/>
          <w:b/>
          <w:bCs/>
          <w:szCs w:val="21"/>
        </w:rPr>
        <w:t>法定（授权）代表人：</w:t>
      </w:r>
      <w:r>
        <w:rPr>
          <w:rFonts w:hint="eastAsia" w:ascii="宋体" w:hAnsi="宋体" w:cs="宋体"/>
          <w:b/>
          <w:bCs/>
          <w:szCs w:val="21"/>
          <w:u w:val="single"/>
        </w:rPr>
        <w:t xml:space="preserve">                </w:t>
      </w:r>
      <w:r>
        <w:rPr>
          <w:rFonts w:hint="eastAsia" w:ascii="宋体" w:hAnsi="宋体" w:cs="宋体"/>
          <w:b/>
          <w:bCs/>
          <w:szCs w:val="21"/>
        </w:rPr>
        <w:t xml:space="preserve">       法定（授权）代表人：</w:t>
      </w:r>
      <w:r>
        <w:rPr>
          <w:rFonts w:hint="eastAsia" w:ascii="宋体" w:hAnsi="宋体" w:cs="宋体"/>
          <w:b/>
          <w:bCs/>
          <w:szCs w:val="21"/>
          <w:u w:val="single"/>
        </w:rPr>
        <w:t xml:space="preserve">               </w:t>
      </w:r>
    </w:p>
    <w:p w14:paraId="6B862978">
      <w:pPr>
        <w:spacing w:line="520" w:lineRule="exact"/>
        <w:rPr>
          <w:rFonts w:ascii="宋体" w:hAnsi="宋体" w:cs="宋体"/>
          <w:b/>
          <w:bCs/>
          <w:szCs w:val="21"/>
        </w:rPr>
      </w:pPr>
      <w:r>
        <w:rPr>
          <w:rFonts w:hint="eastAsia" w:ascii="宋体" w:hAnsi="宋体" w:cs="宋体"/>
          <w:b/>
          <w:bCs/>
          <w:szCs w:val="21"/>
        </w:rPr>
        <w:t>开户银行：</w:t>
      </w:r>
      <w:r>
        <w:rPr>
          <w:rFonts w:hint="eastAsia" w:ascii="宋体" w:hAnsi="宋体" w:cs="宋体"/>
          <w:b/>
          <w:bCs/>
          <w:szCs w:val="21"/>
          <w:u w:val="single"/>
        </w:rPr>
        <w:t xml:space="preserve">                           </w:t>
      </w:r>
      <w:r>
        <w:rPr>
          <w:rFonts w:hint="eastAsia" w:ascii="宋体" w:hAnsi="宋体" w:cs="宋体"/>
          <w:b/>
          <w:bCs/>
          <w:szCs w:val="21"/>
        </w:rPr>
        <w:t xml:space="preserve">      开户银行：</w:t>
      </w:r>
      <w:r>
        <w:rPr>
          <w:rFonts w:hint="eastAsia" w:ascii="宋体" w:hAnsi="宋体" w:cs="宋体"/>
          <w:b/>
          <w:bCs/>
          <w:szCs w:val="21"/>
          <w:u w:val="single"/>
        </w:rPr>
        <w:t xml:space="preserve">                         </w:t>
      </w:r>
    </w:p>
    <w:p w14:paraId="56A162DF">
      <w:pPr>
        <w:spacing w:line="520" w:lineRule="exact"/>
        <w:rPr>
          <w:rFonts w:ascii="宋体" w:hAnsi="宋体" w:cs="宋体"/>
          <w:szCs w:val="21"/>
        </w:rPr>
      </w:pPr>
      <w:r>
        <w:rPr>
          <w:rFonts w:hint="eastAsia" w:ascii="宋体" w:hAnsi="宋体" w:cs="宋体"/>
          <w:b/>
          <w:szCs w:val="21"/>
        </w:rPr>
        <w:t>帐    号：</w:t>
      </w:r>
      <w:r>
        <w:rPr>
          <w:rFonts w:hint="eastAsia" w:ascii="宋体" w:hAnsi="宋体" w:cs="宋体"/>
          <w:b/>
          <w:szCs w:val="21"/>
          <w:u w:val="single"/>
        </w:rPr>
        <w:t xml:space="preserve">                           </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b/>
          <w:szCs w:val="21"/>
        </w:rPr>
        <w:t>帐    号：</w:t>
      </w:r>
      <w:r>
        <w:rPr>
          <w:rFonts w:hint="eastAsia" w:ascii="宋体" w:hAnsi="宋体" w:cs="宋体"/>
          <w:szCs w:val="21"/>
          <w:u w:val="single"/>
        </w:rPr>
        <w:t xml:space="preserve">                         </w:t>
      </w:r>
    </w:p>
    <w:p w14:paraId="1B4331D8">
      <w:pPr>
        <w:spacing w:line="520" w:lineRule="exact"/>
        <w:rPr>
          <w:rFonts w:ascii="宋体" w:hAnsi="宋体" w:cs="宋体"/>
          <w:szCs w:val="21"/>
        </w:rPr>
      </w:pPr>
      <w:r>
        <w:rPr>
          <w:rFonts w:hint="eastAsia" w:ascii="宋体" w:hAnsi="宋体" w:cs="宋体"/>
          <w:b/>
          <w:szCs w:val="21"/>
        </w:rPr>
        <w:t>联系电话：</w:t>
      </w:r>
      <w:r>
        <w:rPr>
          <w:rFonts w:hint="eastAsia"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
          <w:szCs w:val="21"/>
        </w:rPr>
        <w:t>联系电话：</w:t>
      </w:r>
      <w:r>
        <w:rPr>
          <w:rFonts w:hint="eastAsia" w:ascii="宋体" w:hAnsi="宋体" w:cs="宋体"/>
          <w:szCs w:val="21"/>
          <w:u w:val="single"/>
        </w:rPr>
        <w:t xml:space="preserve">                         </w:t>
      </w:r>
    </w:p>
    <w:p w14:paraId="60489B45">
      <w:pPr>
        <w:spacing w:line="520" w:lineRule="exact"/>
      </w:pPr>
      <w:r>
        <w:rPr>
          <w:rFonts w:hint="eastAsia"/>
        </w:rPr>
        <w:t>日期：         年      月      日           日期：         年      月      日</w:t>
      </w:r>
    </w:p>
    <w:p w14:paraId="2188C0E5">
      <w:pPr>
        <w:ind w:firstLine="336" w:firstLineChars="200"/>
        <w:jc w:val="left"/>
        <w:rPr>
          <w:rFonts w:asciiTheme="minorEastAsia" w:hAnsiTheme="minorEastAsia" w:eastAsiaTheme="minorEastAsia" w:cstheme="minorEastAsia"/>
          <w:w w:val="80"/>
          <w:szCs w:val="21"/>
        </w:rPr>
      </w:pPr>
    </w:p>
    <w:sectPr>
      <w:headerReference r:id="rId17" w:type="default"/>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FangSong_GB2312,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2046">
    <w:pPr>
      <w:pStyle w:val="17"/>
      <w:ind w:right="630"/>
      <w:rPr>
        <w:rStyle w:val="32"/>
        <w:rFonts w:cs="黑体"/>
      </w:rPr>
    </w:pPr>
  </w:p>
  <w:p w14:paraId="3F7C72FD">
    <w:pPr>
      <w:pStyle w:val="17"/>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24BA">
    <w:pPr>
      <w:pStyle w:val="17"/>
      <w:framePr w:wrap="around" w:vAnchor="text" w:hAnchor="margin" w:xAlign="center" w:y="1"/>
      <w:rPr>
        <w:rStyle w:val="32"/>
        <w:rFonts w:cs="黑体"/>
      </w:rPr>
    </w:pPr>
    <w:r>
      <w:rPr>
        <w:rStyle w:val="32"/>
        <w:rFonts w:cs="黑体"/>
      </w:rPr>
      <w:fldChar w:fldCharType="begin"/>
    </w:r>
    <w:r>
      <w:rPr>
        <w:rStyle w:val="32"/>
        <w:rFonts w:cs="黑体"/>
      </w:rPr>
      <w:instrText xml:space="preserve">PAGE  </w:instrText>
    </w:r>
    <w:r>
      <w:rPr>
        <w:rStyle w:val="32"/>
        <w:rFonts w:cs="黑体"/>
      </w:rPr>
      <w:fldChar w:fldCharType="separate"/>
    </w:r>
    <w:r>
      <w:rPr>
        <w:rStyle w:val="32"/>
        <w:rFonts w:cs="黑体"/>
      </w:rPr>
      <w:t>24</w:t>
    </w:r>
    <w:r>
      <w:rPr>
        <w:rStyle w:val="32"/>
        <w:rFonts w:cs="黑体"/>
      </w:rPr>
      <w:fldChar w:fldCharType="end"/>
    </w:r>
  </w:p>
  <w:p w14:paraId="02BFEEE8">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B9A8">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2BFB">
    <w:pPr>
      <w:pStyle w:val="17"/>
      <w:ind w:right="630"/>
      <w:rPr>
        <w:rStyle w:val="32"/>
        <w:rFonts w:cs="黑体"/>
      </w:rPr>
    </w:pPr>
  </w:p>
  <w:p w14:paraId="44857CF3">
    <w:pPr>
      <w:pStyle w:val="17"/>
      <w:ind w:right="7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F1578">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89F2">
    <w:pPr>
      <w:pStyle w:val="17"/>
      <w:ind w:right="630"/>
      <w:rPr>
        <w:rStyle w:val="32"/>
        <w:rFonts w:cs="黑体"/>
      </w:rP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66B853C9">
                <w:pPr>
                  <w:pStyle w:val="17"/>
                </w:pPr>
                <w:r>
                  <w:fldChar w:fldCharType="begin"/>
                </w:r>
                <w:r>
                  <w:instrText xml:space="preserve"> PAGE  \* MERGEFORMAT </w:instrText>
                </w:r>
                <w:r>
                  <w:fldChar w:fldCharType="separate"/>
                </w:r>
                <w:r>
                  <w:t>7</w:t>
                </w:r>
                <w:r>
                  <w:fldChar w:fldCharType="end"/>
                </w:r>
              </w:p>
            </w:txbxContent>
          </v:textbox>
        </v:shape>
      </w:pict>
    </w:r>
  </w:p>
  <w:p w14:paraId="7ED708A2">
    <w:pPr>
      <w:pStyle w:val="17"/>
      <w:ind w:right="7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7CFD">
    <w:pPr>
      <w:pStyle w:val="17"/>
      <w:ind w:right="630"/>
      <w:rPr>
        <w:rStyle w:val="32"/>
        <w:rFonts w:cs="黑体"/>
      </w:rPr>
    </w:pPr>
    <w:r>
      <w:pict>
        <v:shape id="文本框 1031" o:spid="_x0000_s307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path/>
          <v:fill on="f" focussize="0,0"/>
          <v:stroke on="f" joinstyle="miter"/>
          <v:imagedata o:title=""/>
          <o:lock v:ext="edit"/>
          <v:textbox inset="0mm,0mm,0mm,0mm" style="mso-fit-shape-to-text:t;">
            <w:txbxContent>
              <w:p w14:paraId="2A0D4C36">
                <w:pPr>
                  <w:pStyle w:val="17"/>
                </w:pPr>
                <w:r>
                  <w:fldChar w:fldCharType="begin"/>
                </w:r>
                <w:r>
                  <w:instrText xml:space="preserve"> PAGE  \* MERGEFORMAT </w:instrText>
                </w:r>
                <w:r>
                  <w:fldChar w:fldCharType="separate"/>
                </w:r>
                <w:r>
                  <w:t>19</w:t>
                </w:r>
                <w:r>
                  <w:fldChar w:fldCharType="end"/>
                </w:r>
              </w:p>
            </w:txbxContent>
          </v:textbox>
        </v:shape>
      </w:pict>
    </w:r>
  </w:p>
  <w:p w14:paraId="1FF0BACE">
    <w:pPr>
      <w:pStyle w:val="17"/>
      <w:ind w:right="72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3FA6">
    <w:pPr>
      <w:pStyle w:val="17"/>
    </w:pPr>
    <w:r>
      <w:pict>
        <v:shape id="文本框 1032" o:spid="_x0000_s307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hnRM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4Z0TLAQAAnAMAAA4AAAAAAAAAAQAgAAAAHgEAAGRycy9lMm9E&#10;b2MueG1sUEsFBgAAAAAGAAYAWQEAAFsFAAAAAA==&#10;">
          <v:path/>
          <v:fill on="f" focussize="0,0"/>
          <v:stroke on="f" joinstyle="miter"/>
          <v:imagedata o:title=""/>
          <o:lock v:ext="edit"/>
          <v:textbox inset="0mm,0mm,0mm,0mm" style="mso-fit-shape-to-text:t;">
            <w:txbxContent>
              <w:p w14:paraId="33FF6B56">
                <w:pPr>
                  <w:pStyle w:val="17"/>
                </w:pPr>
                <w:r>
                  <w:fldChar w:fldCharType="begin"/>
                </w:r>
                <w:r>
                  <w:instrText xml:space="preserve"> PAGE  \* MERGEFORMAT </w:instrText>
                </w:r>
                <w:r>
                  <w:fldChar w:fldCharType="separate"/>
                </w:r>
                <w:r>
                  <w:t>18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CD3FC">
    <w:pPr>
      <w:pStyle w:val="17"/>
      <w:jc w:val="center"/>
    </w:pPr>
    <w:r>
      <w:pict>
        <v:shape id="文本框 1034"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f2aMsBAACc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tH9mjLAQAAnAMAAA4AAAAAAAAAAQAgAAAAHgEAAGRycy9lMm9E&#10;b2MueG1sUEsFBgAAAAAGAAYAWQEAAFsFAAAAAA==&#10;">
          <v:path/>
          <v:fill on="f" focussize="0,0"/>
          <v:stroke on="f" joinstyle="miter"/>
          <v:imagedata o:title=""/>
          <o:lock v:ext="edit"/>
          <v:textbox inset="0mm,0mm,0mm,0mm" style="mso-fit-shape-to-text:t;">
            <w:txbxContent>
              <w:p w14:paraId="338D4EF6">
                <w:pPr>
                  <w:pStyle w:val="17"/>
                </w:pPr>
                <w:r>
                  <w:fldChar w:fldCharType="begin"/>
                </w:r>
                <w:r>
                  <w:instrText xml:space="preserve"> PAGE  \* MERGEFORMAT </w:instrText>
                </w:r>
                <w:r>
                  <w:fldChar w:fldCharType="separate"/>
                </w:r>
                <w:r>
                  <w:t>58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597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05D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25CD">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73FD">
    <w:pPr>
      <w:pStyle w:val="18"/>
      <w:rPr>
        <w:szCs w:val="1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9CCD">
    <w:pPr>
      <w:pStyle w:val="18"/>
      <w:pBdr>
        <w:bottom w:val="none" w:color="auto" w:sz="0" w:space="0"/>
      </w:pBdr>
      <w:spacing w:line="36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BC62">
    <w:pPr>
      <w:pStyle w:val="18"/>
      <w:pBdr>
        <w:bottom w:val="none" w:color="auto" w:sz="0" w:space="0"/>
      </w:pBdr>
      <w:spacing w:line="360"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8D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910D8"/>
    <w:multiLevelType w:val="singleLevel"/>
    <w:tmpl w:val="807910D8"/>
    <w:lvl w:ilvl="0" w:tentative="0">
      <w:start w:val="1"/>
      <w:numFmt w:val="decimal"/>
      <w:lvlText w:val="%1."/>
      <w:lvlJc w:val="left"/>
      <w:pPr>
        <w:tabs>
          <w:tab w:val="left" w:pos="312"/>
        </w:tabs>
      </w:pPr>
    </w:lvl>
  </w:abstractNum>
  <w:abstractNum w:abstractNumId="1">
    <w:nsid w:val="8D44F3D2"/>
    <w:multiLevelType w:val="singleLevel"/>
    <w:tmpl w:val="8D44F3D2"/>
    <w:lvl w:ilvl="0" w:tentative="0">
      <w:start w:val="1"/>
      <w:numFmt w:val="decimal"/>
      <w:suff w:val="nothing"/>
      <w:lvlText w:val="%1、"/>
      <w:lvlJc w:val="left"/>
    </w:lvl>
  </w:abstractNum>
  <w:abstractNum w:abstractNumId="2">
    <w:nsid w:val="A9E01D06"/>
    <w:multiLevelType w:val="singleLevel"/>
    <w:tmpl w:val="A9E01D06"/>
    <w:lvl w:ilvl="0" w:tentative="0">
      <w:start w:val="1"/>
      <w:numFmt w:val="chineseCounting"/>
      <w:suff w:val="nothing"/>
      <w:lvlText w:val="%1、"/>
      <w:lvlJc w:val="left"/>
      <w:rPr>
        <w:rFonts w:hint="eastAsia"/>
      </w:rPr>
    </w:lvl>
  </w:abstractNum>
  <w:abstractNum w:abstractNumId="3">
    <w:nsid w:val="B0DAA993"/>
    <w:multiLevelType w:val="singleLevel"/>
    <w:tmpl w:val="B0DAA993"/>
    <w:lvl w:ilvl="0" w:tentative="0">
      <w:start w:val="3"/>
      <w:numFmt w:val="chineseCounting"/>
      <w:suff w:val="nothing"/>
      <w:lvlText w:val="%1、"/>
      <w:lvlJc w:val="left"/>
      <w:rPr>
        <w:rFonts w:hint="eastAsia" w:cs="Times New Roman"/>
      </w:rPr>
    </w:lvl>
  </w:abstractNum>
  <w:abstractNum w:abstractNumId="4">
    <w:nsid w:val="B245BC0D"/>
    <w:multiLevelType w:val="singleLevel"/>
    <w:tmpl w:val="B245BC0D"/>
    <w:lvl w:ilvl="0" w:tentative="0">
      <w:start w:val="3"/>
      <w:numFmt w:val="chineseCounting"/>
      <w:lvlText w:val="%1."/>
      <w:lvlJc w:val="left"/>
      <w:pPr>
        <w:tabs>
          <w:tab w:val="left" w:pos="312"/>
        </w:tabs>
      </w:pPr>
      <w:rPr>
        <w:rFonts w:hint="eastAsia"/>
      </w:rPr>
    </w:lvl>
  </w:abstractNum>
  <w:abstractNum w:abstractNumId="5">
    <w:nsid w:val="CBFA4539"/>
    <w:multiLevelType w:val="singleLevel"/>
    <w:tmpl w:val="CBFA4539"/>
    <w:lvl w:ilvl="0" w:tentative="0">
      <w:start w:val="1"/>
      <w:numFmt w:val="decimal"/>
      <w:suff w:val="nothing"/>
      <w:lvlText w:val="（%1）"/>
      <w:lvlJc w:val="left"/>
    </w:lvl>
  </w:abstractNum>
  <w:abstractNum w:abstractNumId="6">
    <w:nsid w:val="D1E4BB99"/>
    <w:multiLevelType w:val="singleLevel"/>
    <w:tmpl w:val="D1E4BB99"/>
    <w:lvl w:ilvl="0" w:tentative="0">
      <w:start w:val="2"/>
      <w:numFmt w:val="chineseCounting"/>
      <w:suff w:val="space"/>
      <w:lvlText w:val="第%1章"/>
      <w:lvlJc w:val="left"/>
      <w:rPr>
        <w:rFonts w:hint="eastAsia"/>
      </w:rPr>
    </w:lvl>
  </w:abstractNum>
  <w:abstractNum w:abstractNumId="7">
    <w:nsid w:val="F597299F"/>
    <w:multiLevelType w:val="singleLevel"/>
    <w:tmpl w:val="F597299F"/>
    <w:lvl w:ilvl="0" w:tentative="0">
      <w:start w:val="1"/>
      <w:numFmt w:val="decimal"/>
      <w:pStyle w:val="5"/>
      <w:lvlText w:val="%1."/>
      <w:lvlJc w:val="left"/>
      <w:pPr>
        <w:tabs>
          <w:tab w:val="left" w:pos="360"/>
        </w:tabs>
        <w:ind w:left="360" w:hanging="360"/>
      </w:pPr>
    </w:lvl>
  </w:abstractNum>
  <w:abstractNum w:abstractNumId="8">
    <w:nsid w:val="29D120CC"/>
    <w:multiLevelType w:val="singleLevel"/>
    <w:tmpl w:val="29D120CC"/>
    <w:lvl w:ilvl="0" w:tentative="0">
      <w:start w:val="1"/>
      <w:numFmt w:val="decimal"/>
      <w:suff w:val="nothing"/>
      <w:lvlText w:val="（%1）"/>
      <w:lvlJc w:val="left"/>
    </w:lvl>
  </w:abstractNum>
  <w:abstractNum w:abstractNumId="9">
    <w:nsid w:val="2F7B1D60"/>
    <w:multiLevelType w:val="singleLevel"/>
    <w:tmpl w:val="2F7B1D60"/>
    <w:lvl w:ilvl="0" w:tentative="0">
      <w:start w:val="1"/>
      <w:numFmt w:val="decimal"/>
      <w:lvlText w:val="%1."/>
      <w:lvlJc w:val="left"/>
      <w:pPr>
        <w:tabs>
          <w:tab w:val="left" w:pos="312"/>
        </w:tabs>
      </w:pPr>
    </w:lvl>
  </w:abstractNum>
  <w:abstractNum w:abstractNumId="10">
    <w:nsid w:val="314B09FF"/>
    <w:multiLevelType w:val="singleLevel"/>
    <w:tmpl w:val="314B09FF"/>
    <w:lvl w:ilvl="0" w:tentative="0">
      <w:start w:val="1"/>
      <w:numFmt w:val="decimal"/>
      <w:suff w:val="nothing"/>
      <w:lvlText w:val="（%1）"/>
      <w:lvlJc w:val="left"/>
    </w:lvl>
  </w:abstractNum>
  <w:abstractNum w:abstractNumId="11">
    <w:nsid w:val="35A9FF00"/>
    <w:multiLevelType w:val="singleLevel"/>
    <w:tmpl w:val="35A9FF00"/>
    <w:lvl w:ilvl="0" w:tentative="0">
      <w:start w:val="1"/>
      <w:numFmt w:val="decimal"/>
      <w:suff w:val="nothing"/>
      <w:lvlText w:val="（%1）"/>
      <w:lvlJc w:val="left"/>
      <w:rPr>
        <w:rFonts w:cs="Times New Roman"/>
      </w:rPr>
    </w:lvl>
  </w:abstractNum>
  <w:abstractNum w:abstractNumId="12">
    <w:nsid w:val="56FB16F3"/>
    <w:multiLevelType w:val="multilevel"/>
    <w:tmpl w:val="56FB16F3"/>
    <w:lvl w:ilvl="0" w:tentative="0">
      <w:start w:val="1"/>
      <w:numFmt w:val="decimal"/>
      <w:pStyle w:val="7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3">
    <w:nsid w:val="59E701E1"/>
    <w:multiLevelType w:val="singleLevel"/>
    <w:tmpl w:val="59E701E1"/>
    <w:lvl w:ilvl="0" w:tentative="0">
      <w:start w:val="1"/>
      <w:numFmt w:val="decimal"/>
      <w:suff w:val="nothing"/>
      <w:lvlText w:val="（%1）"/>
      <w:lvlJc w:val="left"/>
      <w:rPr>
        <w:rFonts w:cs="Times New Roman"/>
      </w:rPr>
    </w:lvl>
  </w:abstractNum>
  <w:abstractNum w:abstractNumId="14">
    <w:nsid w:val="5A715733"/>
    <w:multiLevelType w:val="singleLevel"/>
    <w:tmpl w:val="5A715733"/>
    <w:lvl w:ilvl="0" w:tentative="0">
      <w:start w:val="6"/>
      <w:numFmt w:val="chineseCounting"/>
      <w:suff w:val="space"/>
      <w:lvlText w:val="第%1章"/>
      <w:lvlJc w:val="left"/>
      <w:rPr>
        <w:rFonts w:cs="Times New Roman"/>
      </w:rPr>
    </w:lvl>
  </w:abstractNum>
  <w:num w:numId="1">
    <w:abstractNumId w:val="7"/>
  </w:num>
  <w:num w:numId="2">
    <w:abstractNumId w:val="12"/>
  </w:num>
  <w:num w:numId="3">
    <w:abstractNumId w:val="1"/>
  </w:num>
  <w:num w:numId="4">
    <w:abstractNumId w:val="6"/>
  </w:num>
  <w:num w:numId="5">
    <w:abstractNumId w:val="2"/>
  </w:num>
  <w:num w:numId="6">
    <w:abstractNumId w:val="9"/>
  </w:num>
  <w:num w:numId="7">
    <w:abstractNumId w:val="11"/>
  </w:num>
  <w:num w:numId="8">
    <w:abstractNumId w:val="8"/>
  </w:num>
  <w:num w:numId="9">
    <w:abstractNumId w:val="13"/>
  </w:num>
  <w:num w:numId="10">
    <w:abstractNumId w:val="5"/>
  </w:num>
  <w:num w:numId="11">
    <w:abstractNumId w:val="0"/>
  </w:num>
  <w:num w:numId="12">
    <w:abstractNumId w:val="10"/>
  </w:num>
  <w:num w:numId="13">
    <w:abstractNumId w:val="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jU5NTliNzBhMjRlNTgxMTFhYWNmMjNlNDg0ZDlkNWUifQ=="/>
  </w:docVars>
  <w:rsids>
    <w:rsidRoot w:val="00D471AC"/>
    <w:rsid w:val="000279F5"/>
    <w:rsid w:val="00031B64"/>
    <w:rsid w:val="00032C20"/>
    <w:rsid w:val="00043628"/>
    <w:rsid w:val="000438CF"/>
    <w:rsid w:val="00046469"/>
    <w:rsid w:val="00060D17"/>
    <w:rsid w:val="00062130"/>
    <w:rsid w:val="00066B8C"/>
    <w:rsid w:val="00067C52"/>
    <w:rsid w:val="00072CA6"/>
    <w:rsid w:val="000739AC"/>
    <w:rsid w:val="000815AA"/>
    <w:rsid w:val="00086E9C"/>
    <w:rsid w:val="00092090"/>
    <w:rsid w:val="00093EDB"/>
    <w:rsid w:val="00097D32"/>
    <w:rsid w:val="000A0871"/>
    <w:rsid w:val="000A3CC8"/>
    <w:rsid w:val="000A5E0C"/>
    <w:rsid w:val="000B114E"/>
    <w:rsid w:val="000C3AA7"/>
    <w:rsid w:val="000C6FCD"/>
    <w:rsid w:val="000D12BD"/>
    <w:rsid w:val="000D27E0"/>
    <w:rsid w:val="000F1D08"/>
    <w:rsid w:val="000F3071"/>
    <w:rsid w:val="00106E90"/>
    <w:rsid w:val="00111287"/>
    <w:rsid w:val="00124427"/>
    <w:rsid w:val="001276CA"/>
    <w:rsid w:val="00136A8D"/>
    <w:rsid w:val="00152679"/>
    <w:rsid w:val="00161BFD"/>
    <w:rsid w:val="001668AA"/>
    <w:rsid w:val="00167910"/>
    <w:rsid w:val="00167FEE"/>
    <w:rsid w:val="00195603"/>
    <w:rsid w:val="001A3E6C"/>
    <w:rsid w:val="001A5412"/>
    <w:rsid w:val="001A7E87"/>
    <w:rsid w:val="001B1321"/>
    <w:rsid w:val="001B439A"/>
    <w:rsid w:val="001C028F"/>
    <w:rsid w:val="001C25FA"/>
    <w:rsid w:val="001D3F23"/>
    <w:rsid w:val="001D4623"/>
    <w:rsid w:val="001E3EB7"/>
    <w:rsid w:val="001E555B"/>
    <w:rsid w:val="002014F4"/>
    <w:rsid w:val="00205374"/>
    <w:rsid w:val="00210371"/>
    <w:rsid w:val="00224CAA"/>
    <w:rsid w:val="00225D05"/>
    <w:rsid w:val="002272F7"/>
    <w:rsid w:val="0023128E"/>
    <w:rsid w:val="002445FB"/>
    <w:rsid w:val="00245B42"/>
    <w:rsid w:val="002503D0"/>
    <w:rsid w:val="00250694"/>
    <w:rsid w:val="00257BC9"/>
    <w:rsid w:val="002614C2"/>
    <w:rsid w:val="00266EF2"/>
    <w:rsid w:val="002766F5"/>
    <w:rsid w:val="00277891"/>
    <w:rsid w:val="002866B7"/>
    <w:rsid w:val="002A1486"/>
    <w:rsid w:val="002B53C2"/>
    <w:rsid w:val="002D4EF8"/>
    <w:rsid w:val="00317644"/>
    <w:rsid w:val="00324E72"/>
    <w:rsid w:val="0034632B"/>
    <w:rsid w:val="00376859"/>
    <w:rsid w:val="003918F0"/>
    <w:rsid w:val="00395E44"/>
    <w:rsid w:val="003A43D8"/>
    <w:rsid w:val="003C2B40"/>
    <w:rsid w:val="003E0DE2"/>
    <w:rsid w:val="003F2ADB"/>
    <w:rsid w:val="004122AD"/>
    <w:rsid w:val="004221EE"/>
    <w:rsid w:val="00432641"/>
    <w:rsid w:val="00434135"/>
    <w:rsid w:val="00486993"/>
    <w:rsid w:val="004A148F"/>
    <w:rsid w:val="004B260E"/>
    <w:rsid w:val="004D101F"/>
    <w:rsid w:val="00501C11"/>
    <w:rsid w:val="00504C8A"/>
    <w:rsid w:val="00532618"/>
    <w:rsid w:val="005331BE"/>
    <w:rsid w:val="00542875"/>
    <w:rsid w:val="005548D3"/>
    <w:rsid w:val="00563E37"/>
    <w:rsid w:val="00581A7D"/>
    <w:rsid w:val="005B3F4B"/>
    <w:rsid w:val="005C31E8"/>
    <w:rsid w:val="005D133D"/>
    <w:rsid w:val="005D526C"/>
    <w:rsid w:val="005E29F7"/>
    <w:rsid w:val="005F745B"/>
    <w:rsid w:val="00614E9E"/>
    <w:rsid w:val="006249E1"/>
    <w:rsid w:val="006329C1"/>
    <w:rsid w:val="00651359"/>
    <w:rsid w:val="00665B74"/>
    <w:rsid w:val="00677167"/>
    <w:rsid w:val="00693529"/>
    <w:rsid w:val="006A02E9"/>
    <w:rsid w:val="006A113A"/>
    <w:rsid w:val="006A68AB"/>
    <w:rsid w:val="006D2AA0"/>
    <w:rsid w:val="006D763F"/>
    <w:rsid w:val="006E2A64"/>
    <w:rsid w:val="006E68E3"/>
    <w:rsid w:val="006F1A70"/>
    <w:rsid w:val="006F2638"/>
    <w:rsid w:val="00702E4F"/>
    <w:rsid w:val="0071209B"/>
    <w:rsid w:val="00720157"/>
    <w:rsid w:val="00742E06"/>
    <w:rsid w:val="007513DB"/>
    <w:rsid w:val="0076324C"/>
    <w:rsid w:val="00774797"/>
    <w:rsid w:val="00783389"/>
    <w:rsid w:val="00784D25"/>
    <w:rsid w:val="00795D01"/>
    <w:rsid w:val="00796092"/>
    <w:rsid w:val="007C2014"/>
    <w:rsid w:val="007E03D2"/>
    <w:rsid w:val="007F3AC5"/>
    <w:rsid w:val="00803A68"/>
    <w:rsid w:val="0080633F"/>
    <w:rsid w:val="00822506"/>
    <w:rsid w:val="00826495"/>
    <w:rsid w:val="00842DF3"/>
    <w:rsid w:val="008457AB"/>
    <w:rsid w:val="00867621"/>
    <w:rsid w:val="00872477"/>
    <w:rsid w:val="008A7FF6"/>
    <w:rsid w:val="008C28FB"/>
    <w:rsid w:val="008E1AC5"/>
    <w:rsid w:val="008F28CE"/>
    <w:rsid w:val="008F453F"/>
    <w:rsid w:val="009035B6"/>
    <w:rsid w:val="00916F40"/>
    <w:rsid w:val="00924A41"/>
    <w:rsid w:val="00926200"/>
    <w:rsid w:val="0094088E"/>
    <w:rsid w:val="00943B2D"/>
    <w:rsid w:val="00944D2C"/>
    <w:rsid w:val="00963723"/>
    <w:rsid w:val="009658C7"/>
    <w:rsid w:val="009751EA"/>
    <w:rsid w:val="0097772C"/>
    <w:rsid w:val="00985B4C"/>
    <w:rsid w:val="00990BD2"/>
    <w:rsid w:val="00991C06"/>
    <w:rsid w:val="00996B41"/>
    <w:rsid w:val="009A093A"/>
    <w:rsid w:val="009A4362"/>
    <w:rsid w:val="009A7093"/>
    <w:rsid w:val="009B0812"/>
    <w:rsid w:val="009B1FF7"/>
    <w:rsid w:val="009B6A62"/>
    <w:rsid w:val="009F317B"/>
    <w:rsid w:val="00A13BAD"/>
    <w:rsid w:val="00A22528"/>
    <w:rsid w:val="00A40F47"/>
    <w:rsid w:val="00A85864"/>
    <w:rsid w:val="00A87D0D"/>
    <w:rsid w:val="00AD5517"/>
    <w:rsid w:val="00AE5C79"/>
    <w:rsid w:val="00B21E24"/>
    <w:rsid w:val="00B326DE"/>
    <w:rsid w:val="00B352BA"/>
    <w:rsid w:val="00B4620B"/>
    <w:rsid w:val="00B4772A"/>
    <w:rsid w:val="00B500C0"/>
    <w:rsid w:val="00B66535"/>
    <w:rsid w:val="00B67E54"/>
    <w:rsid w:val="00B771B3"/>
    <w:rsid w:val="00B85F1A"/>
    <w:rsid w:val="00BB4ABC"/>
    <w:rsid w:val="00BE0835"/>
    <w:rsid w:val="00BF4A1B"/>
    <w:rsid w:val="00C2712D"/>
    <w:rsid w:val="00C414CA"/>
    <w:rsid w:val="00C43E46"/>
    <w:rsid w:val="00C56E02"/>
    <w:rsid w:val="00C74694"/>
    <w:rsid w:val="00C8306B"/>
    <w:rsid w:val="00C85FB2"/>
    <w:rsid w:val="00C9628D"/>
    <w:rsid w:val="00CB2311"/>
    <w:rsid w:val="00CD0197"/>
    <w:rsid w:val="00CD27D6"/>
    <w:rsid w:val="00CD6E6E"/>
    <w:rsid w:val="00CE005A"/>
    <w:rsid w:val="00CE65E9"/>
    <w:rsid w:val="00CF40BD"/>
    <w:rsid w:val="00D015F1"/>
    <w:rsid w:val="00D111B4"/>
    <w:rsid w:val="00D24196"/>
    <w:rsid w:val="00D46019"/>
    <w:rsid w:val="00D471AC"/>
    <w:rsid w:val="00D62105"/>
    <w:rsid w:val="00D867CC"/>
    <w:rsid w:val="00DB38CB"/>
    <w:rsid w:val="00DB6F48"/>
    <w:rsid w:val="00DE3D05"/>
    <w:rsid w:val="00DE7A12"/>
    <w:rsid w:val="00E0590B"/>
    <w:rsid w:val="00E10197"/>
    <w:rsid w:val="00E14D30"/>
    <w:rsid w:val="00E25D31"/>
    <w:rsid w:val="00E30F90"/>
    <w:rsid w:val="00E64204"/>
    <w:rsid w:val="00E81AAD"/>
    <w:rsid w:val="00E87D22"/>
    <w:rsid w:val="00EC1E41"/>
    <w:rsid w:val="00EC1F23"/>
    <w:rsid w:val="00EF3E2F"/>
    <w:rsid w:val="00F163AF"/>
    <w:rsid w:val="00F22F11"/>
    <w:rsid w:val="00F23EB1"/>
    <w:rsid w:val="00F34833"/>
    <w:rsid w:val="00F40408"/>
    <w:rsid w:val="00F50602"/>
    <w:rsid w:val="00F54CE7"/>
    <w:rsid w:val="00F73A26"/>
    <w:rsid w:val="00F807D0"/>
    <w:rsid w:val="00F818B6"/>
    <w:rsid w:val="00F83E53"/>
    <w:rsid w:val="00F97FE8"/>
    <w:rsid w:val="00FC34B2"/>
    <w:rsid w:val="00FD3CD4"/>
    <w:rsid w:val="00FD7A65"/>
    <w:rsid w:val="00FD7F28"/>
    <w:rsid w:val="00FE186F"/>
    <w:rsid w:val="00FF2446"/>
    <w:rsid w:val="01243845"/>
    <w:rsid w:val="012C2953"/>
    <w:rsid w:val="01430827"/>
    <w:rsid w:val="01703B2F"/>
    <w:rsid w:val="01E8268F"/>
    <w:rsid w:val="01F3521E"/>
    <w:rsid w:val="020531A4"/>
    <w:rsid w:val="025136CE"/>
    <w:rsid w:val="02597C15"/>
    <w:rsid w:val="02AC1724"/>
    <w:rsid w:val="02B7624C"/>
    <w:rsid w:val="02BA6A6A"/>
    <w:rsid w:val="02BE4B72"/>
    <w:rsid w:val="02F738C5"/>
    <w:rsid w:val="03056297"/>
    <w:rsid w:val="032E3A6B"/>
    <w:rsid w:val="03310369"/>
    <w:rsid w:val="03423503"/>
    <w:rsid w:val="03861F5B"/>
    <w:rsid w:val="03A025E5"/>
    <w:rsid w:val="03A60F79"/>
    <w:rsid w:val="03AA066B"/>
    <w:rsid w:val="03BC0F1E"/>
    <w:rsid w:val="03C36935"/>
    <w:rsid w:val="03F40ED9"/>
    <w:rsid w:val="04005A31"/>
    <w:rsid w:val="040B6014"/>
    <w:rsid w:val="04180C71"/>
    <w:rsid w:val="041A726D"/>
    <w:rsid w:val="0428192D"/>
    <w:rsid w:val="04B52C5F"/>
    <w:rsid w:val="04B70A1A"/>
    <w:rsid w:val="04F632CA"/>
    <w:rsid w:val="04FB5486"/>
    <w:rsid w:val="0501125A"/>
    <w:rsid w:val="05017C52"/>
    <w:rsid w:val="050F6813"/>
    <w:rsid w:val="051D4760"/>
    <w:rsid w:val="051F0E28"/>
    <w:rsid w:val="053B7ECC"/>
    <w:rsid w:val="059B00A7"/>
    <w:rsid w:val="06020126"/>
    <w:rsid w:val="06024F84"/>
    <w:rsid w:val="060736EC"/>
    <w:rsid w:val="063E1434"/>
    <w:rsid w:val="063E4861"/>
    <w:rsid w:val="06415503"/>
    <w:rsid w:val="064A13D7"/>
    <w:rsid w:val="065A7F28"/>
    <w:rsid w:val="066F433A"/>
    <w:rsid w:val="067C6586"/>
    <w:rsid w:val="06826CFA"/>
    <w:rsid w:val="06BD229F"/>
    <w:rsid w:val="06E11AE9"/>
    <w:rsid w:val="06E664F6"/>
    <w:rsid w:val="07193154"/>
    <w:rsid w:val="07FC5841"/>
    <w:rsid w:val="08732C15"/>
    <w:rsid w:val="08B45965"/>
    <w:rsid w:val="08BA12DC"/>
    <w:rsid w:val="08F6354F"/>
    <w:rsid w:val="090C0608"/>
    <w:rsid w:val="0913264A"/>
    <w:rsid w:val="093966C8"/>
    <w:rsid w:val="09407AFF"/>
    <w:rsid w:val="09816FF1"/>
    <w:rsid w:val="09884FF0"/>
    <w:rsid w:val="098C4864"/>
    <w:rsid w:val="099670D7"/>
    <w:rsid w:val="09A3752A"/>
    <w:rsid w:val="09DE67B4"/>
    <w:rsid w:val="0A135F1E"/>
    <w:rsid w:val="0A3D5C6E"/>
    <w:rsid w:val="0A41664B"/>
    <w:rsid w:val="0A88708F"/>
    <w:rsid w:val="0ADC767B"/>
    <w:rsid w:val="0B071AB1"/>
    <w:rsid w:val="0B0C60DD"/>
    <w:rsid w:val="0B1820B7"/>
    <w:rsid w:val="0B29695B"/>
    <w:rsid w:val="0B4C4169"/>
    <w:rsid w:val="0B4E3D73"/>
    <w:rsid w:val="0B5A07E3"/>
    <w:rsid w:val="0B790DCF"/>
    <w:rsid w:val="0B793641"/>
    <w:rsid w:val="0BA72173"/>
    <w:rsid w:val="0BA82A61"/>
    <w:rsid w:val="0C01218C"/>
    <w:rsid w:val="0C540503"/>
    <w:rsid w:val="0C624801"/>
    <w:rsid w:val="0C9D4260"/>
    <w:rsid w:val="0CB24D02"/>
    <w:rsid w:val="0CB4167B"/>
    <w:rsid w:val="0CC41448"/>
    <w:rsid w:val="0D242EEB"/>
    <w:rsid w:val="0D3A009E"/>
    <w:rsid w:val="0D4903E8"/>
    <w:rsid w:val="0D714362"/>
    <w:rsid w:val="0DA957BB"/>
    <w:rsid w:val="0DCE08EE"/>
    <w:rsid w:val="0E121EF0"/>
    <w:rsid w:val="0E504642"/>
    <w:rsid w:val="0E9E26E2"/>
    <w:rsid w:val="0EA50733"/>
    <w:rsid w:val="0EF56A7A"/>
    <w:rsid w:val="0F1E717F"/>
    <w:rsid w:val="0F21718D"/>
    <w:rsid w:val="0F5E0556"/>
    <w:rsid w:val="0F853FF2"/>
    <w:rsid w:val="0F890F70"/>
    <w:rsid w:val="0FE933E4"/>
    <w:rsid w:val="104D121B"/>
    <w:rsid w:val="111711E9"/>
    <w:rsid w:val="11530A73"/>
    <w:rsid w:val="11622CCB"/>
    <w:rsid w:val="116705D7"/>
    <w:rsid w:val="119A56B6"/>
    <w:rsid w:val="11A10E2C"/>
    <w:rsid w:val="11B226FD"/>
    <w:rsid w:val="11DF756D"/>
    <w:rsid w:val="11E86AF6"/>
    <w:rsid w:val="120846CE"/>
    <w:rsid w:val="120967FA"/>
    <w:rsid w:val="12224E87"/>
    <w:rsid w:val="12374CB3"/>
    <w:rsid w:val="123F625E"/>
    <w:rsid w:val="12543AB7"/>
    <w:rsid w:val="12664A14"/>
    <w:rsid w:val="12D214EF"/>
    <w:rsid w:val="12DB0330"/>
    <w:rsid w:val="13274D28"/>
    <w:rsid w:val="13291F68"/>
    <w:rsid w:val="133C7554"/>
    <w:rsid w:val="13506EC0"/>
    <w:rsid w:val="13732C17"/>
    <w:rsid w:val="1387364E"/>
    <w:rsid w:val="13CC58CF"/>
    <w:rsid w:val="13EE5615"/>
    <w:rsid w:val="1438546B"/>
    <w:rsid w:val="14762852"/>
    <w:rsid w:val="147E306D"/>
    <w:rsid w:val="149F2FE4"/>
    <w:rsid w:val="14B22D17"/>
    <w:rsid w:val="14CC26C2"/>
    <w:rsid w:val="150A18F9"/>
    <w:rsid w:val="154F0CA1"/>
    <w:rsid w:val="15840AD7"/>
    <w:rsid w:val="158C5316"/>
    <w:rsid w:val="15AD360F"/>
    <w:rsid w:val="15B4463B"/>
    <w:rsid w:val="15BB08AF"/>
    <w:rsid w:val="15F15AC1"/>
    <w:rsid w:val="16081784"/>
    <w:rsid w:val="16330800"/>
    <w:rsid w:val="16497E62"/>
    <w:rsid w:val="16691333"/>
    <w:rsid w:val="16833BD2"/>
    <w:rsid w:val="1692567F"/>
    <w:rsid w:val="16A245C5"/>
    <w:rsid w:val="16CF1CFB"/>
    <w:rsid w:val="16DC7FB0"/>
    <w:rsid w:val="16E3375C"/>
    <w:rsid w:val="16EF3DAF"/>
    <w:rsid w:val="170F6D30"/>
    <w:rsid w:val="172D421D"/>
    <w:rsid w:val="175F54BD"/>
    <w:rsid w:val="1764038C"/>
    <w:rsid w:val="17BE37F0"/>
    <w:rsid w:val="17C0574B"/>
    <w:rsid w:val="17EC6540"/>
    <w:rsid w:val="181E2472"/>
    <w:rsid w:val="18223A95"/>
    <w:rsid w:val="1844711B"/>
    <w:rsid w:val="188A11C2"/>
    <w:rsid w:val="188F1F1C"/>
    <w:rsid w:val="18904801"/>
    <w:rsid w:val="189270E7"/>
    <w:rsid w:val="18B3705E"/>
    <w:rsid w:val="18BC10DA"/>
    <w:rsid w:val="19735B94"/>
    <w:rsid w:val="1980170F"/>
    <w:rsid w:val="19824894"/>
    <w:rsid w:val="19EA77FA"/>
    <w:rsid w:val="1A150C75"/>
    <w:rsid w:val="1A420555"/>
    <w:rsid w:val="1AD17744"/>
    <w:rsid w:val="1B067919"/>
    <w:rsid w:val="1B351FAC"/>
    <w:rsid w:val="1B3A3F8E"/>
    <w:rsid w:val="1B8444CA"/>
    <w:rsid w:val="1B8D2C3F"/>
    <w:rsid w:val="1B913A0C"/>
    <w:rsid w:val="1BF14125"/>
    <w:rsid w:val="1BF23315"/>
    <w:rsid w:val="1C292529"/>
    <w:rsid w:val="1C2B42A4"/>
    <w:rsid w:val="1C4701E9"/>
    <w:rsid w:val="1C5B7F9F"/>
    <w:rsid w:val="1C5E5533"/>
    <w:rsid w:val="1C6C0401"/>
    <w:rsid w:val="1C7D545A"/>
    <w:rsid w:val="1CF915F5"/>
    <w:rsid w:val="1CFD4D4B"/>
    <w:rsid w:val="1D2E2661"/>
    <w:rsid w:val="1D316506"/>
    <w:rsid w:val="1D553F25"/>
    <w:rsid w:val="1D586BC9"/>
    <w:rsid w:val="1D5F1562"/>
    <w:rsid w:val="1D7274E7"/>
    <w:rsid w:val="1D7C2634"/>
    <w:rsid w:val="1D824F16"/>
    <w:rsid w:val="1D8F1E47"/>
    <w:rsid w:val="1DF06EE1"/>
    <w:rsid w:val="1E075E82"/>
    <w:rsid w:val="1E1709DE"/>
    <w:rsid w:val="1E285DF8"/>
    <w:rsid w:val="1E3A1AC2"/>
    <w:rsid w:val="1E3E561C"/>
    <w:rsid w:val="1E4D5000"/>
    <w:rsid w:val="1EA058B5"/>
    <w:rsid w:val="1EB33165"/>
    <w:rsid w:val="1EBC44F7"/>
    <w:rsid w:val="1ED80DD4"/>
    <w:rsid w:val="1EE602D3"/>
    <w:rsid w:val="1EF359DF"/>
    <w:rsid w:val="1F234F3D"/>
    <w:rsid w:val="1F250EC5"/>
    <w:rsid w:val="1F7D3F22"/>
    <w:rsid w:val="1F896D6A"/>
    <w:rsid w:val="1FC128ED"/>
    <w:rsid w:val="1FF71F26"/>
    <w:rsid w:val="201F629E"/>
    <w:rsid w:val="2028178C"/>
    <w:rsid w:val="20322891"/>
    <w:rsid w:val="204F5F0F"/>
    <w:rsid w:val="207C488B"/>
    <w:rsid w:val="209C3D4E"/>
    <w:rsid w:val="209E23A2"/>
    <w:rsid w:val="20A83807"/>
    <w:rsid w:val="210466A8"/>
    <w:rsid w:val="2125340C"/>
    <w:rsid w:val="21970573"/>
    <w:rsid w:val="21991FB1"/>
    <w:rsid w:val="219E4D4F"/>
    <w:rsid w:val="21D30328"/>
    <w:rsid w:val="21D56889"/>
    <w:rsid w:val="21DE7B1C"/>
    <w:rsid w:val="221D30A5"/>
    <w:rsid w:val="22223DAF"/>
    <w:rsid w:val="224F082B"/>
    <w:rsid w:val="2254486F"/>
    <w:rsid w:val="2269183E"/>
    <w:rsid w:val="22B934C3"/>
    <w:rsid w:val="22BD1205"/>
    <w:rsid w:val="22EC18DD"/>
    <w:rsid w:val="2306417E"/>
    <w:rsid w:val="23115623"/>
    <w:rsid w:val="231F2E16"/>
    <w:rsid w:val="233F5920"/>
    <w:rsid w:val="235308A9"/>
    <w:rsid w:val="2379488D"/>
    <w:rsid w:val="237C10C0"/>
    <w:rsid w:val="23997051"/>
    <w:rsid w:val="23F06621"/>
    <w:rsid w:val="23F725AB"/>
    <w:rsid w:val="241E3F25"/>
    <w:rsid w:val="24847199"/>
    <w:rsid w:val="24925CBD"/>
    <w:rsid w:val="249A5874"/>
    <w:rsid w:val="24D41A1A"/>
    <w:rsid w:val="24F64A17"/>
    <w:rsid w:val="24FD260E"/>
    <w:rsid w:val="250B0D38"/>
    <w:rsid w:val="25141A53"/>
    <w:rsid w:val="25240956"/>
    <w:rsid w:val="253B0B07"/>
    <w:rsid w:val="256702B4"/>
    <w:rsid w:val="25873D4C"/>
    <w:rsid w:val="25876DFD"/>
    <w:rsid w:val="2593660F"/>
    <w:rsid w:val="25B368EF"/>
    <w:rsid w:val="25DF1492"/>
    <w:rsid w:val="260A536D"/>
    <w:rsid w:val="260B0489"/>
    <w:rsid w:val="26264FCA"/>
    <w:rsid w:val="26C52697"/>
    <w:rsid w:val="26CD21E8"/>
    <w:rsid w:val="271B3E6D"/>
    <w:rsid w:val="273349CA"/>
    <w:rsid w:val="2742617D"/>
    <w:rsid w:val="2759263F"/>
    <w:rsid w:val="27800BEA"/>
    <w:rsid w:val="278C0C0F"/>
    <w:rsid w:val="279B3AC0"/>
    <w:rsid w:val="27A364FA"/>
    <w:rsid w:val="27C161AE"/>
    <w:rsid w:val="27EC60E8"/>
    <w:rsid w:val="282541FA"/>
    <w:rsid w:val="282A6865"/>
    <w:rsid w:val="28507290"/>
    <w:rsid w:val="285C0938"/>
    <w:rsid w:val="286A4F4A"/>
    <w:rsid w:val="287221D2"/>
    <w:rsid w:val="28866D03"/>
    <w:rsid w:val="28FE60D3"/>
    <w:rsid w:val="291C47AB"/>
    <w:rsid w:val="29206404"/>
    <w:rsid w:val="294B7B1D"/>
    <w:rsid w:val="29736AC1"/>
    <w:rsid w:val="2976035F"/>
    <w:rsid w:val="29830906"/>
    <w:rsid w:val="29851F68"/>
    <w:rsid w:val="29FD0462"/>
    <w:rsid w:val="2A021201"/>
    <w:rsid w:val="2A1831C5"/>
    <w:rsid w:val="2A53244F"/>
    <w:rsid w:val="2A5C4DC6"/>
    <w:rsid w:val="2A7D127A"/>
    <w:rsid w:val="2AB32EED"/>
    <w:rsid w:val="2AC154AB"/>
    <w:rsid w:val="2AC16B1D"/>
    <w:rsid w:val="2AC375D4"/>
    <w:rsid w:val="2ACB46DB"/>
    <w:rsid w:val="2AE21F11"/>
    <w:rsid w:val="2AE241EE"/>
    <w:rsid w:val="2AEA3B3F"/>
    <w:rsid w:val="2B2C3A65"/>
    <w:rsid w:val="2B4D1B15"/>
    <w:rsid w:val="2B5C5333"/>
    <w:rsid w:val="2B780678"/>
    <w:rsid w:val="2B936FA7"/>
    <w:rsid w:val="2C0241AC"/>
    <w:rsid w:val="2C1A509C"/>
    <w:rsid w:val="2C3F78DD"/>
    <w:rsid w:val="2C5504FB"/>
    <w:rsid w:val="2C632E05"/>
    <w:rsid w:val="2C8D7CF1"/>
    <w:rsid w:val="2C9269C5"/>
    <w:rsid w:val="2C9F4F26"/>
    <w:rsid w:val="2CAB6E6D"/>
    <w:rsid w:val="2CBC3324"/>
    <w:rsid w:val="2D0A50A1"/>
    <w:rsid w:val="2D1E6D44"/>
    <w:rsid w:val="2D37076F"/>
    <w:rsid w:val="2D6C3F53"/>
    <w:rsid w:val="2D805F76"/>
    <w:rsid w:val="2D8172D3"/>
    <w:rsid w:val="2D875E56"/>
    <w:rsid w:val="2DA21723"/>
    <w:rsid w:val="2DC46814"/>
    <w:rsid w:val="2DF003D9"/>
    <w:rsid w:val="2E045F3A"/>
    <w:rsid w:val="2E1B3283"/>
    <w:rsid w:val="2E480416"/>
    <w:rsid w:val="2E5A4D4E"/>
    <w:rsid w:val="2E70537D"/>
    <w:rsid w:val="2EA26BED"/>
    <w:rsid w:val="2EAB4607"/>
    <w:rsid w:val="2EB57D7D"/>
    <w:rsid w:val="2EBC3EA0"/>
    <w:rsid w:val="2EDF69A7"/>
    <w:rsid w:val="2EE50692"/>
    <w:rsid w:val="2F0E7699"/>
    <w:rsid w:val="2F146650"/>
    <w:rsid w:val="2F1C6B0B"/>
    <w:rsid w:val="2F5702EB"/>
    <w:rsid w:val="2F8D6403"/>
    <w:rsid w:val="2F8E06FF"/>
    <w:rsid w:val="302642EE"/>
    <w:rsid w:val="30501496"/>
    <w:rsid w:val="30576FA0"/>
    <w:rsid w:val="3058256D"/>
    <w:rsid w:val="30607673"/>
    <w:rsid w:val="306C7DC6"/>
    <w:rsid w:val="30B54A6D"/>
    <w:rsid w:val="30B72ED7"/>
    <w:rsid w:val="30CD2907"/>
    <w:rsid w:val="30CE6CD3"/>
    <w:rsid w:val="30DF0ADC"/>
    <w:rsid w:val="31286232"/>
    <w:rsid w:val="312C07FF"/>
    <w:rsid w:val="317C199B"/>
    <w:rsid w:val="31A17C16"/>
    <w:rsid w:val="31A90D0C"/>
    <w:rsid w:val="32042B7D"/>
    <w:rsid w:val="32134CEC"/>
    <w:rsid w:val="32444D08"/>
    <w:rsid w:val="32D81E00"/>
    <w:rsid w:val="32D9230C"/>
    <w:rsid w:val="330A7F5F"/>
    <w:rsid w:val="3317670F"/>
    <w:rsid w:val="336254B1"/>
    <w:rsid w:val="336851BD"/>
    <w:rsid w:val="3381002D"/>
    <w:rsid w:val="33866D5B"/>
    <w:rsid w:val="338D1C6A"/>
    <w:rsid w:val="33A81FF3"/>
    <w:rsid w:val="33BE5356"/>
    <w:rsid w:val="33D37217"/>
    <w:rsid w:val="33E02FA5"/>
    <w:rsid w:val="33F1209E"/>
    <w:rsid w:val="33F64577"/>
    <w:rsid w:val="33FC1326"/>
    <w:rsid w:val="340F4E76"/>
    <w:rsid w:val="346239F2"/>
    <w:rsid w:val="346F4E38"/>
    <w:rsid w:val="34AB6809"/>
    <w:rsid w:val="34AF2977"/>
    <w:rsid w:val="34C7258A"/>
    <w:rsid w:val="34EC248E"/>
    <w:rsid w:val="35136EBB"/>
    <w:rsid w:val="35307BAB"/>
    <w:rsid w:val="353C447C"/>
    <w:rsid w:val="354B08F2"/>
    <w:rsid w:val="355B379C"/>
    <w:rsid w:val="355E26C5"/>
    <w:rsid w:val="35671868"/>
    <w:rsid w:val="3599165E"/>
    <w:rsid w:val="35A32D2E"/>
    <w:rsid w:val="35A95619"/>
    <w:rsid w:val="35D0330C"/>
    <w:rsid w:val="35E34F09"/>
    <w:rsid w:val="35ED2F20"/>
    <w:rsid w:val="36043061"/>
    <w:rsid w:val="3649009C"/>
    <w:rsid w:val="368B560A"/>
    <w:rsid w:val="36AD2976"/>
    <w:rsid w:val="36C8583E"/>
    <w:rsid w:val="36FD5C1C"/>
    <w:rsid w:val="370E1966"/>
    <w:rsid w:val="37124147"/>
    <w:rsid w:val="37166CDE"/>
    <w:rsid w:val="373A7B49"/>
    <w:rsid w:val="37465815"/>
    <w:rsid w:val="374F1A68"/>
    <w:rsid w:val="37531CE0"/>
    <w:rsid w:val="378C7DCF"/>
    <w:rsid w:val="37B24C58"/>
    <w:rsid w:val="37D4759C"/>
    <w:rsid w:val="37E330E8"/>
    <w:rsid w:val="37F855F7"/>
    <w:rsid w:val="38062D07"/>
    <w:rsid w:val="38194E02"/>
    <w:rsid w:val="38237904"/>
    <w:rsid w:val="386C3059"/>
    <w:rsid w:val="38765C86"/>
    <w:rsid w:val="38790421"/>
    <w:rsid w:val="387C0DC3"/>
    <w:rsid w:val="38A31C6B"/>
    <w:rsid w:val="38C74734"/>
    <w:rsid w:val="38F85BA0"/>
    <w:rsid w:val="39156967"/>
    <w:rsid w:val="392C1B1A"/>
    <w:rsid w:val="393523EF"/>
    <w:rsid w:val="39535FC7"/>
    <w:rsid w:val="39551126"/>
    <w:rsid w:val="396E70EE"/>
    <w:rsid w:val="39BD11EE"/>
    <w:rsid w:val="39C16138"/>
    <w:rsid w:val="39CA05A9"/>
    <w:rsid w:val="39E70032"/>
    <w:rsid w:val="39FC3E94"/>
    <w:rsid w:val="3A0127B7"/>
    <w:rsid w:val="3A24451B"/>
    <w:rsid w:val="3A3A5C00"/>
    <w:rsid w:val="3A5C0EAC"/>
    <w:rsid w:val="3A7E4889"/>
    <w:rsid w:val="3ABF2E7F"/>
    <w:rsid w:val="3ACE1A3C"/>
    <w:rsid w:val="3AF3536A"/>
    <w:rsid w:val="3B4A33E5"/>
    <w:rsid w:val="3B5B73B5"/>
    <w:rsid w:val="3B9F6273"/>
    <w:rsid w:val="3BA3796A"/>
    <w:rsid w:val="3BBA30C0"/>
    <w:rsid w:val="3BD87160"/>
    <w:rsid w:val="3C3539BA"/>
    <w:rsid w:val="3C445E89"/>
    <w:rsid w:val="3C581B4B"/>
    <w:rsid w:val="3C5B6C9E"/>
    <w:rsid w:val="3C69530D"/>
    <w:rsid w:val="3C7C12C2"/>
    <w:rsid w:val="3C881785"/>
    <w:rsid w:val="3CF040C1"/>
    <w:rsid w:val="3D1F0D85"/>
    <w:rsid w:val="3D234845"/>
    <w:rsid w:val="3D380F65"/>
    <w:rsid w:val="3D673DEF"/>
    <w:rsid w:val="3D6A2D1C"/>
    <w:rsid w:val="3D801355"/>
    <w:rsid w:val="3DA31D02"/>
    <w:rsid w:val="3DC641FB"/>
    <w:rsid w:val="3E0A75AD"/>
    <w:rsid w:val="3E2609B2"/>
    <w:rsid w:val="3E2B3DAF"/>
    <w:rsid w:val="3E3D1BDA"/>
    <w:rsid w:val="3E5724BB"/>
    <w:rsid w:val="3EB63280"/>
    <w:rsid w:val="3EC47904"/>
    <w:rsid w:val="3F12422F"/>
    <w:rsid w:val="3F1B2901"/>
    <w:rsid w:val="3F484ED8"/>
    <w:rsid w:val="3F4F2F28"/>
    <w:rsid w:val="3F516B05"/>
    <w:rsid w:val="3F571DD2"/>
    <w:rsid w:val="3FAA090B"/>
    <w:rsid w:val="3FC7326B"/>
    <w:rsid w:val="3FD634AE"/>
    <w:rsid w:val="3FE048D3"/>
    <w:rsid w:val="400177E6"/>
    <w:rsid w:val="400B3158"/>
    <w:rsid w:val="403D52DB"/>
    <w:rsid w:val="40806F3C"/>
    <w:rsid w:val="40887D13"/>
    <w:rsid w:val="409D52E4"/>
    <w:rsid w:val="40D664CD"/>
    <w:rsid w:val="40F0393A"/>
    <w:rsid w:val="41200E85"/>
    <w:rsid w:val="412B5592"/>
    <w:rsid w:val="41D34A2F"/>
    <w:rsid w:val="41E55C2A"/>
    <w:rsid w:val="41EF6221"/>
    <w:rsid w:val="41FD370B"/>
    <w:rsid w:val="421252C5"/>
    <w:rsid w:val="42206C63"/>
    <w:rsid w:val="42215DB6"/>
    <w:rsid w:val="42CC260D"/>
    <w:rsid w:val="42D82544"/>
    <w:rsid w:val="432D7889"/>
    <w:rsid w:val="436057D9"/>
    <w:rsid w:val="43B72C56"/>
    <w:rsid w:val="43EF46F2"/>
    <w:rsid w:val="44112D07"/>
    <w:rsid w:val="445108A5"/>
    <w:rsid w:val="44513EF9"/>
    <w:rsid w:val="446F7D29"/>
    <w:rsid w:val="44C82306"/>
    <w:rsid w:val="451F5A64"/>
    <w:rsid w:val="4530540F"/>
    <w:rsid w:val="455D3D6C"/>
    <w:rsid w:val="45757717"/>
    <w:rsid w:val="458D463A"/>
    <w:rsid w:val="45983EDC"/>
    <w:rsid w:val="45F75CEB"/>
    <w:rsid w:val="465463B0"/>
    <w:rsid w:val="46572FD9"/>
    <w:rsid w:val="467D2580"/>
    <w:rsid w:val="46863AD0"/>
    <w:rsid w:val="468B602C"/>
    <w:rsid w:val="46911EDD"/>
    <w:rsid w:val="46B72E68"/>
    <w:rsid w:val="46C17D16"/>
    <w:rsid w:val="46DF4F04"/>
    <w:rsid w:val="46FB679A"/>
    <w:rsid w:val="471E3B01"/>
    <w:rsid w:val="472100B2"/>
    <w:rsid w:val="475564A5"/>
    <w:rsid w:val="477B33F8"/>
    <w:rsid w:val="478D6B48"/>
    <w:rsid w:val="47913EA5"/>
    <w:rsid w:val="47975C19"/>
    <w:rsid w:val="47D93B3C"/>
    <w:rsid w:val="48084518"/>
    <w:rsid w:val="480C59B4"/>
    <w:rsid w:val="481C6EE1"/>
    <w:rsid w:val="488C32A4"/>
    <w:rsid w:val="4892183E"/>
    <w:rsid w:val="48986BDF"/>
    <w:rsid w:val="48D04F3E"/>
    <w:rsid w:val="48E8649B"/>
    <w:rsid w:val="494F5253"/>
    <w:rsid w:val="4951041B"/>
    <w:rsid w:val="49586DEC"/>
    <w:rsid w:val="495913D8"/>
    <w:rsid w:val="498B69E6"/>
    <w:rsid w:val="49B900C8"/>
    <w:rsid w:val="49D93385"/>
    <w:rsid w:val="4A221385"/>
    <w:rsid w:val="4A390CF7"/>
    <w:rsid w:val="4A554800"/>
    <w:rsid w:val="4AE96230"/>
    <w:rsid w:val="4B325D24"/>
    <w:rsid w:val="4B5C51AF"/>
    <w:rsid w:val="4B5E1965"/>
    <w:rsid w:val="4B9F32EE"/>
    <w:rsid w:val="4BD20FCE"/>
    <w:rsid w:val="4BD80E5E"/>
    <w:rsid w:val="4BFC24EE"/>
    <w:rsid w:val="4C005998"/>
    <w:rsid w:val="4C272839"/>
    <w:rsid w:val="4C325F10"/>
    <w:rsid w:val="4C417F01"/>
    <w:rsid w:val="4C787DC7"/>
    <w:rsid w:val="4C88610C"/>
    <w:rsid w:val="4C905A31"/>
    <w:rsid w:val="4CA77C4A"/>
    <w:rsid w:val="4CD80866"/>
    <w:rsid w:val="4D0F0E76"/>
    <w:rsid w:val="4D163348"/>
    <w:rsid w:val="4D445296"/>
    <w:rsid w:val="4D4A6C80"/>
    <w:rsid w:val="4D540032"/>
    <w:rsid w:val="4DA846DC"/>
    <w:rsid w:val="4DEA6AA2"/>
    <w:rsid w:val="4E26582F"/>
    <w:rsid w:val="4E5E288B"/>
    <w:rsid w:val="4E6D3073"/>
    <w:rsid w:val="4EB40E5E"/>
    <w:rsid w:val="4EC02C51"/>
    <w:rsid w:val="4EC16BED"/>
    <w:rsid w:val="4EC2427A"/>
    <w:rsid w:val="4F195E9A"/>
    <w:rsid w:val="4FB70C06"/>
    <w:rsid w:val="4FB85102"/>
    <w:rsid w:val="4FF572A3"/>
    <w:rsid w:val="50033440"/>
    <w:rsid w:val="50212524"/>
    <w:rsid w:val="508911FE"/>
    <w:rsid w:val="50974E45"/>
    <w:rsid w:val="50C07F8E"/>
    <w:rsid w:val="50D624C3"/>
    <w:rsid w:val="51030A98"/>
    <w:rsid w:val="510460CD"/>
    <w:rsid w:val="510D7C71"/>
    <w:rsid w:val="513A4040"/>
    <w:rsid w:val="51580CB7"/>
    <w:rsid w:val="51594997"/>
    <w:rsid w:val="516A1E24"/>
    <w:rsid w:val="51AA2BAF"/>
    <w:rsid w:val="51BF1AE5"/>
    <w:rsid w:val="51C26554"/>
    <w:rsid w:val="51D05FAF"/>
    <w:rsid w:val="51DD06CC"/>
    <w:rsid w:val="51E67934"/>
    <w:rsid w:val="51FD316B"/>
    <w:rsid w:val="524B5909"/>
    <w:rsid w:val="52674469"/>
    <w:rsid w:val="527E0622"/>
    <w:rsid w:val="52803148"/>
    <w:rsid w:val="5302242E"/>
    <w:rsid w:val="531609B9"/>
    <w:rsid w:val="53206EE7"/>
    <w:rsid w:val="5330290C"/>
    <w:rsid w:val="533B56AA"/>
    <w:rsid w:val="53CF2170"/>
    <w:rsid w:val="53D77AC9"/>
    <w:rsid w:val="53EA0E7E"/>
    <w:rsid w:val="54040192"/>
    <w:rsid w:val="546400DB"/>
    <w:rsid w:val="5495549F"/>
    <w:rsid w:val="54A14576"/>
    <w:rsid w:val="54A84FC1"/>
    <w:rsid w:val="54AD082A"/>
    <w:rsid w:val="54B06E77"/>
    <w:rsid w:val="54FA1FFD"/>
    <w:rsid w:val="553C600E"/>
    <w:rsid w:val="55721AE1"/>
    <w:rsid w:val="55747287"/>
    <w:rsid w:val="5583158B"/>
    <w:rsid w:val="559B4B26"/>
    <w:rsid w:val="561636C8"/>
    <w:rsid w:val="5631183A"/>
    <w:rsid w:val="567C29CB"/>
    <w:rsid w:val="56AA767B"/>
    <w:rsid w:val="56B539C6"/>
    <w:rsid w:val="56C1236A"/>
    <w:rsid w:val="56CF36FB"/>
    <w:rsid w:val="572C049F"/>
    <w:rsid w:val="573C0216"/>
    <w:rsid w:val="575012BC"/>
    <w:rsid w:val="575256B8"/>
    <w:rsid w:val="57603931"/>
    <w:rsid w:val="579D6934"/>
    <w:rsid w:val="57AF3C52"/>
    <w:rsid w:val="57E4057F"/>
    <w:rsid w:val="58270847"/>
    <w:rsid w:val="582F6F19"/>
    <w:rsid w:val="586909CD"/>
    <w:rsid w:val="587D1420"/>
    <w:rsid w:val="588B5686"/>
    <w:rsid w:val="58B1496C"/>
    <w:rsid w:val="59205F69"/>
    <w:rsid w:val="593F4D1A"/>
    <w:rsid w:val="595135A4"/>
    <w:rsid w:val="59554FEC"/>
    <w:rsid w:val="5984333F"/>
    <w:rsid w:val="59E940B2"/>
    <w:rsid w:val="59F3071D"/>
    <w:rsid w:val="59F40A9A"/>
    <w:rsid w:val="5A045656"/>
    <w:rsid w:val="5A240E5C"/>
    <w:rsid w:val="5A3B68D8"/>
    <w:rsid w:val="5A5D0203"/>
    <w:rsid w:val="5A5E52B0"/>
    <w:rsid w:val="5A8B7D89"/>
    <w:rsid w:val="5ABA77FD"/>
    <w:rsid w:val="5AC2738F"/>
    <w:rsid w:val="5ADA2BD3"/>
    <w:rsid w:val="5AED71D4"/>
    <w:rsid w:val="5AF870FA"/>
    <w:rsid w:val="5B070568"/>
    <w:rsid w:val="5B0B4D20"/>
    <w:rsid w:val="5B437EA1"/>
    <w:rsid w:val="5B5C6A0E"/>
    <w:rsid w:val="5B6634E0"/>
    <w:rsid w:val="5B914A01"/>
    <w:rsid w:val="5BBC35C3"/>
    <w:rsid w:val="5BC07ECB"/>
    <w:rsid w:val="5BC91971"/>
    <w:rsid w:val="5BCB77E7"/>
    <w:rsid w:val="5BE70AC5"/>
    <w:rsid w:val="5C27009C"/>
    <w:rsid w:val="5C277AD2"/>
    <w:rsid w:val="5C3253B4"/>
    <w:rsid w:val="5C486421"/>
    <w:rsid w:val="5C6C2D78"/>
    <w:rsid w:val="5C714550"/>
    <w:rsid w:val="5C853E3A"/>
    <w:rsid w:val="5C907E7B"/>
    <w:rsid w:val="5CAA5A2F"/>
    <w:rsid w:val="5CB2379A"/>
    <w:rsid w:val="5CCD601D"/>
    <w:rsid w:val="5CDC2895"/>
    <w:rsid w:val="5CE97AEB"/>
    <w:rsid w:val="5CEC78FF"/>
    <w:rsid w:val="5D066809"/>
    <w:rsid w:val="5D10604B"/>
    <w:rsid w:val="5D2656C7"/>
    <w:rsid w:val="5D2B33DF"/>
    <w:rsid w:val="5D361C1F"/>
    <w:rsid w:val="5D375134"/>
    <w:rsid w:val="5D810325"/>
    <w:rsid w:val="5D8D2FA6"/>
    <w:rsid w:val="5DC65470"/>
    <w:rsid w:val="5DEC23C3"/>
    <w:rsid w:val="5DF55672"/>
    <w:rsid w:val="5E303A33"/>
    <w:rsid w:val="5E4C72E5"/>
    <w:rsid w:val="5E7D7AB3"/>
    <w:rsid w:val="5EB14BA1"/>
    <w:rsid w:val="5EBB7FE7"/>
    <w:rsid w:val="5EF00A9F"/>
    <w:rsid w:val="5EF057DD"/>
    <w:rsid w:val="5F094C77"/>
    <w:rsid w:val="5F6861F5"/>
    <w:rsid w:val="5FA11738"/>
    <w:rsid w:val="5FB11D3D"/>
    <w:rsid w:val="5FC04DF5"/>
    <w:rsid w:val="5FC26B62"/>
    <w:rsid w:val="5FF81515"/>
    <w:rsid w:val="60094AF5"/>
    <w:rsid w:val="603070A6"/>
    <w:rsid w:val="603E1A61"/>
    <w:rsid w:val="609D7672"/>
    <w:rsid w:val="6124179C"/>
    <w:rsid w:val="613903A5"/>
    <w:rsid w:val="614B63EE"/>
    <w:rsid w:val="616153D3"/>
    <w:rsid w:val="61627FEC"/>
    <w:rsid w:val="618E1B0D"/>
    <w:rsid w:val="62147916"/>
    <w:rsid w:val="623A4363"/>
    <w:rsid w:val="623D6512"/>
    <w:rsid w:val="6310019E"/>
    <w:rsid w:val="634201F3"/>
    <w:rsid w:val="63543481"/>
    <w:rsid w:val="635E13F7"/>
    <w:rsid w:val="638135AD"/>
    <w:rsid w:val="63857033"/>
    <w:rsid w:val="63927568"/>
    <w:rsid w:val="639A2BA8"/>
    <w:rsid w:val="63BA6ABF"/>
    <w:rsid w:val="63D82954"/>
    <w:rsid w:val="63EB6C79"/>
    <w:rsid w:val="643C1B8C"/>
    <w:rsid w:val="644258AE"/>
    <w:rsid w:val="6451167A"/>
    <w:rsid w:val="64960153"/>
    <w:rsid w:val="64EF0491"/>
    <w:rsid w:val="64F32289"/>
    <w:rsid w:val="651E383A"/>
    <w:rsid w:val="65314A27"/>
    <w:rsid w:val="653919FB"/>
    <w:rsid w:val="653A2C40"/>
    <w:rsid w:val="65515201"/>
    <w:rsid w:val="656E7B61"/>
    <w:rsid w:val="65741EA4"/>
    <w:rsid w:val="65904EFC"/>
    <w:rsid w:val="65A140F7"/>
    <w:rsid w:val="65E55EB2"/>
    <w:rsid w:val="65F704F9"/>
    <w:rsid w:val="66030D64"/>
    <w:rsid w:val="661204ED"/>
    <w:rsid w:val="661B3EAB"/>
    <w:rsid w:val="661E1820"/>
    <w:rsid w:val="662621EA"/>
    <w:rsid w:val="66410DD2"/>
    <w:rsid w:val="66474B6F"/>
    <w:rsid w:val="664F5ADA"/>
    <w:rsid w:val="66691B19"/>
    <w:rsid w:val="666B5E4F"/>
    <w:rsid w:val="667F18FA"/>
    <w:rsid w:val="669B30B4"/>
    <w:rsid w:val="66E8338F"/>
    <w:rsid w:val="675114E9"/>
    <w:rsid w:val="67542D87"/>
    <w:rsid w:val="67557727"/>
    <w:rsid w:val="678E6299"/>
    <w:rsid w:val="679E16E0"/>
    <w:rsid w:val="67C577E1"/>
    <w:rsid w:val="67D53EC8"/>
    <w:rsid w:val="68021272"/>
    <w:rsid w:val="681355E8"/>
    <w:rsid w:val="681731B9"/>
    <w:rsid w:val="687E00BB"/>
    <w:rsid w:val="68AA7102"/>
    <w:rsid w:val="68B24209"/>
    <w:rsid w:val="68F7358C"/>
    <w:rsid w:val="69144E0F"/>
    <w:rsid w:val="6923272C"/>
    <w:rsid w:val="693408EC"/>
    <w:rsid w:val="694D5CE0"/>
    <w:rsid w:val="69773BA9"/>
    <w:rsid w:val="69967C92"/>
    <w:rsid w:val="699C74EB"/>
    <w:rsid w:val="69C64E4E"/>
    <w:rsid w:val="6A095594"/>
    <w:rsid w:val="6A2427F6"/>
    <w:rsid w:val="6A4E350A"/>
    <w:rsid w:val="6A537326"/>
    <w:rsid w:val="6A7F49DF"/>
    <w:rsid w:val="6A8504DF"/>
    <w:rsid w:val="6A8A71EB"/>
    <w:rsid w:val="6A941E18"/>
    <w:rsid w:val="6A9874D2"/>
    <w:rsid w:val="6A9F07BD"/>
    <w:rsid w:val="6AAD4547"/>
    <w:rsid w:val="6ADC731B"/>
    <w:rsid w:val="6ADF380C"/>
    <w:rsid w:val="6AEA503A"/>
    <w:rsid w:val="6AF44D75"/>
    <w:rsid w:val="6B0F76F1"/>
    <w:rsid w:val="6B6E711B"/>
    <w:rsid w:val="6BA240C1"/>
    <w:rsid w:val="6BB97A43"/>
    <w:rsid w:val="6BC66437"/>
    <w:rsid w:val="6BFB112E"/>
    <w:rsid w:val="6C0F40FE"/>
    <w:rsid w:val="6C165000"/>
    <w:rsid w:val="6C1862DE"/>
    <w:rsid w:val="6C240F7A"/>
    <w:rsid w:val="6C256AA0"/>
    <w:rsid w:val="6C842861"/>
    <w:rsid w:val="6C9A748E"/>
    <w:rsid w:val="6CA209DE"/>
    <w:rsid w:val="6CA5359C"/>
    <w:rsid w:val="6CB10341"/>
    <w:rsid w:val="6CBE13CE"/>
    <w:rsid w:val="6CE40709"/>
    <w:rsid w:val="6CEF77DA"/>
    <w:rsid w:val="6D0843F7"/>
    <w:rsid w:val="6D94277B"/>
    <w:rsid w:val="6D9D5A27"/>
    <w:rsid w:val="6DAC56CB"/>
    <w:rsid w:val="6DE2733E"/>
    <w:rsid w:val="6E14501E"/>
    <w:rsid w:val="6E5B2C56"/>
    <w:rsid w:val="6E6164B5"/>
    <w:rsid w:val="6E654BAB"/>
    <w:rsid w:val="6E670392"/>
    <w:rsid w:val="6E6C6C08"/>
    <w:rsid w:val="6E7A1325"/>
    <w:rsid w:val="6E7B1B10"/>
    <w:rsid w:val="6E807DBF"/>
    <w:rsid w:val="6E903995"/>
    <w:rsid w:val="6E9D37A0"/>
    <w:rsid w:val="6E9E269F"/>
    <w:rsid w:val="6E9F3C58"/>
    <w:rsid w:val="6EC26852"/>
    <w:rsid w:val="6F296DD6"/>
    <w:rsid w:val="6F866D9E"/>
    <w:rsid w:val="6FDF7A78"/>
    <w:rsid w:val="700C7095"/>
    <w:rsid w:val="700F1F41"/>
    <w:rsid w:val="70541FAA"/>
    <w:rsid w:val="7056329E"/>
    <w:rsid w:val="7067443D"/>
    <w:rsid w:val="708B5A6B"/>
    <w:rsid w:val="712249F0"/>
    <w:rsid w:val="71456464"/>
    <w:rsid w:val="714E0C15"/>
    <w:rsid w:val="7151531D"/>
    <w:rsid w:val="7169753E"/>
    <w:rsid w:val="719418BD"/>
    <w:rsid w:val="7195375A"/>
    <w:rsid w:val="71AE5355"/>
    <w:rsid w:val="71CC256E"/>
    <w:rsid w:val="71D26B2B"/>
    <w:rsid w:val="722038F6"/>
    <w:rsid w:val="72347A3D"/>
    <w:rsid w:val="72620A4E"/>
    <w:rsid w:val="726E6E50"/>
    <w:rsid w:val="7274014D"/>
    <w:rsid w:val="7286066C"/>
    <w:rsid w:val="72A2709C"/>
    <w:rsid w:val="72AC0BDE"/>
    <w:rsid w:val="72C13DA0"/>
    <w:rsid w:val="72D059B7"/>
    <w:rsid w:val="72E601CC"/>
    <w:rsid w:val="72EB0A43"/>
    <w:rsid w:val="730218E9"/>
    <w:rsid w:val="733046A8"/>
    <w:rsid w:val="73610D05"/>
    <w:rsid w:val="736F2225"/>
    <w:rsid w:val="73AB115A"/>
    <w:rsid w:val="73CE2563"/>
    <w:rsid w:val="73E159A2"/>
    <w:rsid w:val="73E610C9"/>
    <w:rsid w:val="73FB1C19"/>
    <w:rsid w:val="74170E8C"/>
    <w:rsid w:val="74373814"/>
    <w:rsid w:val="7440091B"/>
    <w:rsid w:val="747B0CE0"/>
    <w:rsid w:val="748F53FE"/>
    <w:rsid w:val="74C460BA"/>
    <w:rsid w:val="75097AC5"/>
    <w:rsid w:val="754D7793"/>
    <w:rsid w:val="756F044F"/>
    <w:rsid w:val="757F3007"/>
    <w:rsid w:val="75A010E7"/>
    <w:rsid w:val="75AD3D8E"/>
    <w:rsid w:val="75B40298"/>
    <w:rsid w:val="75C4732A"/>
    <w:rsid w:val="75FD74D3"/>
    <w:rsid w:val="75FF08B1"/>
    <w:rsid w:val="763F2C97"/>
    <w:rsid w:val="769431A0"/>
    <w:rsid w:val="769A138A"/>
    <w:rsid w:val="76BD4528"/>
    <w:rsid w:val="76D45DE2"/>
    <w:rsid w:val="76EA0811"/>
    <w:rsid w:val="76FA15CA"/>
    <w:rsid w:val="771A43CC"/>
    <w:rsid w:val="773510B9"/>
    <w:rsid w:val="774F6CD9"/>
    <w:rsid w:val="77525064"/>
    <w:rsid w:val="778356EE"/>
    <w:rsid w:val="77A9663D"/>
    <w:rsid w:val="77AA1AB4"/>
    <w:rsid w:val="77AA4DBA"/>
    <w:rsid w:val="77E37EF5"/>
    <w:rsid w:val="783D52C3"/>
    <w:rsid w:val="78640F75"/>
    <w:rsid w:val="786B66C7"/>
    <w:rsid w:val="78774B27"/>
    <w:rsid w:val="788A65A5"/>
    <w:rsid w:val="78A23DC7"/>
    <w:rsid w:val="78A376CA"/>
    <w:rsid w:val="79155564"/>
    <w:rsid w:val="791C4062"/>
    <w:rsid w:val="793B3DA7"/>
    <w:rsid w:val="793D785B"/>
    <w:rsid w:val="79554AB2"/>
    <w:rsid w:val="79702A78"/>
    <w:rsid w:val="797E29DF"/>
    <w:rsid w:val="798D2F78"/>
    <w:rsid w:val="79A30E65"/>
    <w:rsid w:val="79A656C4"/>
    <w:rsid w:val="79AA4B06"/>
    <w:rsid w:val="79DA536E"/>
    <w:rsid w:val="79E813E8"/>
    <w:rsid w:val="7A0148C2"/>
    <w:rsid w:val="7A1A4FB4"/>
    <w:rsid w:val="7A1F0FD2"/>
    <w:rsid w:val="7A3629A3"/>
    <w:rsid w:val="7AB21AD8"/>
    <w:rsid w:val="7AB844E9"/>
    <w:rsid w:val="7AC23781"/>
    <w:rsid w:val="7AEA50F2"/>
    <w:rsid w:val="7B034450"/>
    <w:rsid w:val="7B536B5D"/>
    <w:rsid w:val="7B6C0BF8"/>
    <w:rsid w:val="7B6D5A19"/>
    <w:rsid w:val="7B742055"/>
    <w:rsid w:val="7B8374D3"/>
    <w:rsid w:val="7BA268EC"/>
    <w:rsid w:val="7BB61FBB"/>
    <w:rsid w:val="7BE47385"/>
    <w:rsid w:val="7BE81FC4"/>
    <w:rsid w:val="7C2D3E7B"/>
    <w:rsid w:val="7C352BA7"/>
    <w:rsid w:val="7C8617DD"/>
    <w:rsid w:val="7CA4733E"/>
    <w:rsid w:val="7CAB4817"/>
    <w:rsid w:val="7CAD6AD8"/>
    <w:rsid w:val="7CB57B2E"/>
    <w:rsid w:val="7CF577D7"/>
    <w:rsid w:val="7CF81629"/>
    <w:rsid w:val="7CFE086B"/>
    <w:rsid w:val="7D1F286A"/>
    <w:rsid w:val="7D364E57"/>
    <w:rsid w:val="7D7F7EA4"/>
    <w:rsid w:val="7DA0067C"/>
    <w:rsid w:val="7DA535E5"/>
    <w:rsid w:val="7DC53433"/>
    <w:rsid w:val="7DF561B8"/>
    <w:rsid w:val="7E07567F"/>
    <w:rsid w:val="7E2E7A36"/>
    <w:rsid w:val="7E891110"/>
    <w:rsid w:val="7E8B395F"/>
    <w:rsid w:val="7E8D7DD7"/>
    <w:rsid w:val="7E8F1143"/>
    <w:rsid w:val="7EE041D4"/>
    <w:rsid w:val="7EE06F82"/>
    <w:rsid w:val="7EFD31B7"/>
    <w:rsid w:val="7F0215EE"/>
    <w:rsid w:val="7F2B3445"/>
    <w:rsid w:val="7F4A3C39"/>
    <w:rsid w:val="7F6022DF"/>
    <w:rsid w:val="7F6B2667"/>
    <w:rsid w:val="7F8C01CA"/>
    <w:rsid w:val="7F9A6C00"/>
    <w:rsid w:val="7FF300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9"/>
    <w:autoRedefine/>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0"/>
    <w:autoRedefine/>
    <w:qFormat/>
    <w:uiPriority w:val="99"/>
    <w:pPr>
      <w:keepNext/>
      <w:keepLines/>
      <w:spacing w:line="413" w:lineRule="auto"/>
      <w:outlineLvl w:val="1"/>
    </w:pPr>
    <w:rPr>
      <w:rFonts w:ascii="Arial" w:hAnsi="Arial" w:eastAsia="黑体"/>
      <w:b/>
      <w:bCs/>
      <w:sz w:val="32"/>
      <w:szCs w:val="32"/>
    </w:rPr>
  </w:style>
  <w:style w:type="paragraph" w:styleId="4">
    <w:name w:val="heading 3"/>
    <w:basedOn w:val="1"/>
    <w:next w:val="1"/>
    <w:link w:val="41"/>
    <w:autoRedefine/>
    <w:qFormat/>
    <w:uiPriority w:val="99"/>
    <w:pPr>
      <w:keepNext/>
      <w:keepLines/>
      <w:spacing w:before="260" w:after="260" w:line="416" w:lineRule="auto"/>
      <w:outlineLvl w:val="2"/>
    </w:pPr>
    <w:rPr>
      <w:b/>
      <w:bCs/>
      <w:sz w:val="32"/>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99"/>
    <w:pPr>
      <w:ind w:firstLine="420"/>
    </w:pPr>
    <w:rPr>
      <w:szCs w:val="20"/>
    </w:rPr>
  </w:style>
  <w:style w:type="paragraph" w:styleId="7">
    <w:name w:val="annotation text"/>
    <w:basedOn w:val="1"/>
    <w:link w:val="42"/>
    <w:autoRedefine/>
    <w:qFormat/>
    <w:uiPriority w:val="99"/>
    <w:pPr>
      <w:jc w:val="left"/>
    </w:pPr>
    <w:rPr>
      <w:rFonts w:cs="Times New Roman"/>
    </w:rPr>
  </w:style>
  <w:style w:type="paragraph" w:styleId="8">
    <w:name w:val="Salutation"/>
    <w:basedOn w:val="1"/>
    <w:next w:val="1"/>
    <w:link w:val="43"/>
    <w:autoRedefine/>
    <w:qFormat/>
    <w:uiPriority w:val="99"/>
    <w:rPr>
      <w:rFonts w:cs="Times New Roman"/>
    </w:rPr>
  </w:style>
  <w:style w:type="paragraph" w:styleId="9">
    <w:name w:val="Body Text"/>
    <w:basedOn w:val="1"/>
    <w:next w:val="10"/>
    <w:link w:val="44"/>
    <w:autoRedefine/>
    <w:qFormat/>
    <w:uiPriority w:val="99"/>
    <w:rPr>
      <w:rFonts w:eastAsia="黑体"/>
      <w:b/>
      <w:bCs/>
      <w:spacing w:val="20"/>
      <w:kern w:val="52"/>
      <w:sz w:val="56"/>
    </w:rPr>
  </w:style>
  <w:style w:type="paragraph" w:styleId="10">
    <w:name w:val="Body Text First Indent"/>
    <w:basedOn w:val="9"/>
    <w:link w:val="55"/>
    <w:autoRedefine/>
    <w:qFormat/>
    <w:uiPriority w:val="99"/>
    <w:pPr>
      <w:spacing w:after="120"/>
      <w:ind w:firstLine="420" w:firstLineChars="100"/>
    </w:pPr>
    <w:rPr>
      <w:rFonts w:ascii="Times New Roman" w:hAnsi="Times New Roman" w:eastAsia="宋体" w:cs="Times New Roman"/>
      <w:b w:val="0"/>
      <w:bCs w:val="0"/>
      <w:color w:val="000000"/>
      <w:spacing w:val="0"/>
      <w:kern w:val="0"/>
      <w:sz w:val="21"/>
    </w:rPr>
  </w:style>
  <w:style w:type="paragraph" w:styleId="11">
    <w:name w:val="Body Text Indent"/>
    <w:basedOn w:val="1"/>
    <w:next w:val="1"/>
    <w:link w:val="45"/>
    <w:autoRedefine/>
    <w:qFormat/>
    <w:uiPriority w:val="99"/>
    <w:pPr>
      <w:spacing w:line="200" w:lineRule="exact"/>
      <w:ind w:firstLine="301"/>
    </w:pPr>
    <w:rPr>
      <w:rFonts w:ascii="宋体" w:hAnsi="Courier New"/>
      <w:spacing w:val="-4"/>
      <w:sz w:val="18"/>
      <w:szCs w:val="20"/>
    </w:rPr>
  </w:style>
  <w:style w:type="paragraph" w:styleId="12">
    <w:name w:val="toc 3"/>
    <w:basedOn w:val="1"/>
    <w:next w:val="1"/>
    <w:autoRedefine/>
    <w:qFormat/>
    <w:uiPriority w:val="99"/>
    <w:pPr>
      <w:ind w:left="840" w:leftChars="400"/>
    </w:pPr>
  </w:style>
  <w:style w:type="paragraph" w:styleId="13">
    <w:name w:val="Plain Text"/>
    <w:basedOn w:val="1"/>
    <w:next w:val="14"/>
    <w:link w:val="46"/>
    <w:autoRedefine/>
    <w:qFormat/>
    <w:uiPriority w:val="99"/>
    <w:pPr>
      <w:spacing w:beforeLines="50" w:afterLines="50" w:line="400" w:lineRule="exact"/>
    </w:pPr>
    <w:rPr>
      <w:rFonts w:ascii="宋体" w:hAnsi="Courier New"/>
      <w:sz w:val="24"/>
    </w:rPr>
  </w:style>
  <w:style w:type="paragraph" w:styleId="14">
    <w:name w:val="Date"/>
    <w:basedOn w:val="1"/>
    <w:next w:val="1"/>
    <w:link w:val="47"/>
    <w:autoRedefine/>
    <w:qFormat/>
    <w:uiPriority w:val="99"/>
    <w:pPr>
      <w:ind w:left="2500" w:leftChars="2500"/>
    </w:pPr>
    <w:rPr>
      <w:rFonts w:eastAsia="楷体_GB2312"/>
      <w:sz w:val="32"/>
      <w:szCs w:val="20"/>
    </w:rPr>
  </w:style>
  <w:style w:type="paragraph" w:styleId="15">
    <w:name w:val="Body Text Indent 2"/>
    <w:basedOn w:val="1"/>
    <w:link w:val="48"/>
    <w:autoRedefine/>
    <w:qFormat/>
    <w:uiPriority w:val="99"/>
    <w:pPr>
      <w:spacing w:after="120" w:line="480" w:lineRule="auto"/>
      <w:ind w:left="420" w:leftChars="200"/>
    </w:pPr>
    <w:rPr>
      <w:szCs w:val="20"/>
    </w:rPr>
  </w:style>
  <w:style w:type="paragraph" w:styleId="16">
    <w:name w:val="Balloon Text"/>
    <w:basedOn w:val="1"/>
    <w:link w:val="49"/>
    <w:autoRedefine/>
    <w:qFormat/>
    <w:uiPriority w:val="99"/>
    <w:rPr>
      <w:rFonts w:cs="Times New Roman"/>
      <w:sz w:val="18"/>
      <w:szCs w:val="18"/>
    </w:rPr>
  </w:style>
  <w:style w:type="paragraph" w:styleId="17">
    <w:name w:val="footer"/>
    <w:basedOn w:val="1"/>
    <w:link w:val="50"/>
    <w:autoRedefine/>
    <w:qFormat/>
    <w:uiPriority w:val="99"/>
    <w:pPr>
      <w:tabs>
        <w:tab w:val="center" w:pos="4153"/>
        <w:tab w:val="right" w:pos="8306"/>
      </w:tabs>
      <w:snapToGrid w:val="0"/>
      <w:jc w:val="left"/>
    </w:pPr>
    <w:rPr>
      <w:rFonts w:eastAsia="黑体"/>
      <w:kern w:val="0"/>
      <w:sz w:val="18"/>
      <w:szCs w:val="18"/>
    </w:rPr>
  </w:style>
  <w:style w:type="paragraph" w:styleId="18">
    <w:name w:val="header"/>
    <w:basedOn w:val="1"/>
    <w:link w:val="51"/>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autoRedefine/>
    <w:qFormat/>
    <w:uiPriority w:val="99"/>
  </w:style>
  <w:style w:type="paragraph" w:styleId="20">
    <w:name w:val="List"/>
    <w:basedOn w:val="1"/>
    <w:autoRedefine/>
    <w:qFormat/>
    <w:uiPriority w:val="99"/>
    <w:pPr>
      <w:ind w:left="200" w:hanging="200" w:hangingChars="200"/>
    </w:pPr>
    <w:rPr>
      <w:sz w:val="28"/>
    </w:rPr>
  </w:style>
  <w:style w:type="paragraph" w:styleId="21">
    <w:name w:val="Body Text Indent 3"/>
    <w:basedOn w:val="1"/>
    <w:link w:val="52"/>
    <w:autoRedefine/>
    <w:qFormat/>
    <w:uiPriority w:val="99"/>
    <w:pPr>
      <w:snapToGrid w:val="0"/>
      <w:ind w:firstLine="480" w:firstLineChars="200"/>
      <w:jc w:val="left"/>
    </w:pPr>
    <w:rPr>
      <w:rFonts w:ascii="仿宋_GB2312" w:hAnsi="宋体" w:eastAsia="仿宋_GB2312"/>
      <w:color w:val="000000"/>
      <w:sz w:val="24"/>
    </w:rPr>
  </w:style>
  <w:style w:type="paragraph" w:styleId="22">
    <w:name w:val="table of figures"/>
    <w:basedOn w:val="1"/>
    <w:next w:val="1"/>
    <w:autoRedefine/>
    <w:qFormat/>
    <w:uiPriority w:val="99"/>
    <w:pPr>
      <w:widowControl/>
      <w:ind w:left="840" w:leftChars="200" w:hanging="420" w:hangingChars="200"/>
      <w:jc w:val="left"/>
    </w:pPr>
    <w:rPr>
      <w:rFonts w:ascii="Times New Roman"/>
    </w:rPr>
  </w:style>
  <w:style w:type="paragraph" w:styleId="23">
    <w:name w:val="toc 2"/>
    <w:basedOn w:val="1"/>
    <w:next w:val="1"/>
    <w:autoRedefine/>
    <w:qFormat/>
    <w:uiPriority w:val="99"/>
    <w:pPr>
      <w:ind w:left="420" w:leftChars="200"/>
    </w:pPr>
  </w:style>
  <w:style w:type="paragraph" w:styleId="24">
    <w:name w:val="Body Text 2"/>
    <w:basedOn w:val="1"/>
    <w:link w:val="53"/>
    <w:autoRedefine/>
    <w:qFormat/>
    <w:uiPriority w:val="99"/>
    <w:pPr>
      <w:widowControl/>
      <w:snapToGrid w:val="0"/>
      <w:spacing w:afterLines="50" w:line="400" w:lineRule="exact"/>
      <w:jc w:val="left"/>
    </w:pPr>
    <w:rPr>
      <w:rFonts w:ascii="宋体" w:hAnsi="宋体"/>
      <w:color w:val="000000"/>
      <w:sz w:val="24"/>
    </w:rPr>
  </w:style>
  <w:style w:type="paragraph" w:styleId="25">
    <w:name w:val="Normal (Web)"/>
    <w:basedOn w:val="1"/>
    <w:autoRedefine/>
    <w:qFormat/>
    <w:uiPriority w:val="99"/>
    <w:pPr>
      <w:widowControl/>
      <w:spacing w:beforeAutospacing="1" w:afterAutospacing="1"/>
      <w:jc w:val="left"/>
    </w:pPr>
    <w:rPr>
      <w:rFonts w:ascii="宋体" w:hAnsi="宋体" w:cs="宋体"/>
      <w:color w:val="000000"/>
      <w:kern w:val="0"/>
      <w:sz w:val="24"/>
    </w:rPr>
  </w:style>
  <w:style w:type="paragraph" w:styleId="26">
    <w:name w:val="annotation subject"/>
    <w:basedOn w:val="7"/>
    <w:next w:val="7"/>
    <w:link w:val="54"/>
    <w:autoRedefine/>
    <w:qFormat/>
    <w:uiPriority w:val="99"/>
    <w:rPr>
      <w:b/>
      <w:bCs/>
    </w:rPr>
  </w:style>
  <w:style w:type="paragraph" w:styleId="27">
    <w:name w:val="Body Text First Indent 2"/>
    <w:basedOn w:val="11"/>
    <w:next w:val="1"/>
    <w:autoRedefine/>
    <w:qFormat/>
    <w:locked/>
    <w:uiPriority w:val="0"/>
    <w:pPr>
      <w:ind w:firstLine="420" w:firstLineChars="200"/>
    </w:pPr>
  </w:style>
  <w:style w:type="table" w:styleId="29">
    <w:name w:val="Table Grid"/>
    <w:basedOn w:val="2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autoRedefine/>
    <w:qFormat/>
    <w:uiPriority w:val="0"/>
    <w:rPr>
      <w:rFonts w:ascii="Tahoma" w:hAnsi="Tahoma" w:cs="Times New Roman"/>
      <w:b/>
      <w:sz w:val="20"/>
    </w:rPr>
  </w:style>
  <w:style w:type="character" w:styleId="32">
    <w:name w:val="page number"/>
    <w:basedOn w:val="30"/>
    <w:autoRedefine/>
    <w:qFormat/>
    <w:uiPriority w:val="99"/>
    <w:rPr>
      <w:rFonts w:cs="Times New Roman"/>
    </w:rPr>
  </w:style>
  <w:style w:type="character" w:styleId="33">
    <w:name w:val="Hyperlink"/>
    <w:basedOn w:val="30"/>
    <w:autoRedefine/>
    <w:qFormat/>
    <w:uiPriority w:val="99"/>
    <w:rPr>
      <w:rFonts w:cs="Times New Roman"/>
      <w:color w:val="0000FF"/>
      <w:u w:val="single"/>
    </w:rPr>
  </w:style>
  <w:style w:type="character" w:styleId="34">
    <w:name w:val="annotation reference"/>
    <w:basedOn w:val="30"/>
    <w:autoRedefine/>
    <w:qFormat/>
    <w:uiPriority w:val="99"/>
    <w:rPr>
      <w:rFonts w:cs="Times New Roman"/>
      <w:sz w:val="21"/>
    </w:rPr>
  </w:style>
  <w:style w:type="paragraph" w:customStyle="1" w:styleId="3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37">
    <w:name w:val="列出段落1"/>
    <w:basedOn w:val="1"/>
    <w:autoRedefine/>
    <w:qFormat/>
    <w:uiPriority w:val="0"/>
    <w:pPr>
      <w:spacing w:line="360" w:lineRule="auto"/>
      <w:ind w:firstLine="420" w:firstLineChars="200"/>
    </w:pPr>
    <w:rPr>
      <w:szCs w:val="22"/>
    </w:rPr>
  </w:style>
  <w:style w:type="paragraph" w:customStyle="1" w:styleId="38">
    <w:name w:val="正文1"/>
    <w:basedOn w:val="1"/>
    <w:autoRedefine/>
    <w:qFormat/>
    <w:uiPriority w:val="99"/>
    <w:pPr>
      <w:adjustRightInd w:val="0"/>
      <w:spacing w:line="318" w:lineRule="atLeast"/>
      <w:ind w:left="369" w:firstLine="369"/>
      <w:textAlignment w:val="baseline"/>
    </w:pPr>
    <w:rPr>
      <w:rFonts w:ascii="宋体"/>
      <w:szCs w:val="20"/>
    </w:rPr>
  </w:style>
  <w:style w:type="character" w:customStyle="1" w:styleId="39">
    <w:name w:val="标题 1 Char"/>
    <w:basedOn w:val="30"/>
    <w:link w:val="2"/>
    <w:autoRedefine/>
    <w:qFormat/>
    <w:locked/>
    <w:uiPriority w:val="99"/>
    <w:rPr>
      <w:rFonts w:ascii="Calibri" w:hAnsi="Calibri" w:eastAsia="宋体"/>
      <w:b/>
      <w:kern w:val="44"/>
      <w:sz w:val="44"/>
    </w:rPr>
  </w:style>
  <w:style w:type="character" w:customStyle="1" w:styleId="40">
    <w:name w:val="标题 2 Char"/>
    <w:basedOn w:val="30"/>
    <w:link w:val="3"/>
    <w:autoRedefine/>
    <w:semiHidden/>
    <w:qFormat/>
    <w:uiPriority w:val="9"/>
    <w:rPr>
      <w:rFonts w:ascii="Cambria" w:hAnsi="Cambria" w:eastAsia="宋体" w:cs="Times New Roman"/>
      <w:b/>
      <w:bCs/>
      <w:sz w:val="32"/>
      <w:szCs w:val="32"/>
    </w:rPr>
  </w:style>
  <w:style w:type="character" w:customStyle="1" w:styleId="41">
    <w:name w:val="标题 3 Char"/>
    <w:basedOn w:val="30"/>
    <w:link w:val="4"/>
    <w:autoRedefine/>
    <w:semiHidden/>
    <w:qFormat/>
    <w:uiPriority w:val="9"/>
    <w:rPr>
      <w:rFonts w:cs="黑体"/>
      <w:b/>
      <w:bCs/>
      <w:sz w:val="32"/>
      <w:szCs w:val="32"/>
    </w:rPr>
  </w:style>
  <w:style w:type="character" w:customStyle="1" w:styleId="42">
    <w:name w:val="批注文字 Char"/>
    <w:basedOn w:val="30"/>
    <w:link w:val="7"/>
    <w:autoRedefine/>
    <w:qFormat/>
    <w:locked/>
    <w:uiPriority w:val="99"/>
    <w:rPr>
      <w:rFonts w:ascii="Calibri" w:hAnsi="Calibri"/>
      <w:kern w:val="2"/>
      <w:sz w:val="24"/>
    </w:rPr>
  </w:style>
  <w:style w:type="character" w:customStyle="1" w:styleId="43">
    <w:name w:val="称呼 Char"/>
    <w:basedOn w:val="30"/>
    <w:link w:val="8"/>
    <w:autoRedefine/>
    <w:semiHidden/>
    <w:qFormat/>
    <w:uiPriority w:val="99"/>
    <w:rPr>
      <w:rFonts w:cs="黑体"/>
      <w:szCs w:val="24"/>
    </w:rPr>
  </w:style>
  <w:style w:type="character" w:customStyle="1" w:styleId="44">
    <w:name w:val="正文文本 Char"/>
    <w:basedOn w:val="30"/>
    <w:link w:val="9"/>
    <w:autoRedefine/>
    <w:semiHidden/>
    <w:qFormat/>
    <w:uiPriority w:val="99"/>
    <w:rPr>
      <w:rFonts w:cs="黑体"/>
      <w:szCs w:val="24"/>
    </w:rPr>
  </w:style>
  <w:style w:type="character" w:customStyle="1" w:styleId="45">
    <w:name w:val="正文文本缩进 Char"/>
    <w:basedOn w:val="30"/>
    <w:link w:val="11"/>
    <w:autoRedefine/>
    <w:semiHidden/>
    <w:qFormat/>
    <w:uiPriority w:val="99"/>
    <w:rPr>
      <w:rFonts w:cs="黑体"/>
      <w:szCs w:val="24"/>
    </w:rPr>
  </w:style>
  <w:style w:type="character" w:customStyle="1" w:styleId="46">
    <w:name w:val="纯文本 Char"/>
    <w:basedOn w:val="30"/>
    <w:link w:val="13"/>
    <w:autoRedefine/>
    <w:semiHidden/>
    <w:qFormat/>
    <w:uiPriority w:val="99"/>
    <w:rPr>
      <w:rFonts w:ascii="宋体" w:hAnsi="Courier New" w:cs="Courier New"/>
      <w:szCs w:val="21"/>
    </w:rPr>
  </w:style>
  <w:style w:type="character" w:customStyle="1" w:styleId="47">
    <w:name w:val="日期 Char"/>
    <w:basedOn w:val="30"/>
    <w:link w:val="14"/>
    <w:autoRedefine/>
    <w:semiHidden/>
    <w:qFormat/>
    <w:uiPriority w:val="99"/>
    <w:rPr>
      <w:rFonts w:cs="黑体"/>
      <w:szCs w:val="24"/>
    </w:rPr>
  </w:style>
  <w:style w:type="character" w:customStyle="1" w:styleId="48">
    <w:name w:val="正文文本缩进 2 Char"/>
    <w:basedOn w:val="30"/>
    <w:link w:val="15"/>
    <w:autoRedefine/>
    <w:semiHidden/>
    <w:qFormat/>
    <w:uiPriority w:val="99"/>
    <w:rPr>
      <w:rFonts w:cs="黑体"/>
      <w:szCs w:val="24"/>
    </w:rPr>
  </w:style>
  <w:style w:type="character" w:customStyle="1" w:styleId="49">
    <w:name w:val="批注框文本 Char"/>
    <w:basedOn w:val="30"/>
    <w:link w:val="16"/>
    <w:autoRedefine/>
    <w:qFormat/>
    <w:locked/>
    <w:uiPriority w:val="99"/>
    <w:rPr>
      <w:rFonts w:ascii="Calibri" w:hAnsi="Calibri" w:eastAsia="宋体"/>
      <w:kern w:val="2"/>
      <w:sz w:val="18"/>
    </w:rPr>
  </w:style>
  <w:style w:type="character" w:customStyle="1" w:styleId="50">
    <w:name w:val="页脚 Char"/>
    <w:basedOn w:val="30"/>
    <w:link w:val="17"/>
    <w:autoRedefine/>
    <w:semiHidden/>
    <w:qFormat/>
    <w:uiPriority w:val="99"/>
    <w:rPr>
      <w:rFonts w:cs="黑体"/>
      <w:sz w:val="18"/>
      <w:szCs w:val="18"/>
    </w:rPr>
  </w:style>
  <w:style w:type="character" w:customStyle="1" w:styleId="51">
    <w:name w:val="页眉 Char"/>
    <w:basedOn w:val="30"/>
    <w:link w:val="18"/>
    <w:autoRedefine/>
    <w:semiHidden/>
    <w:qFormat/>
    <w:uiPriority w:val="99"/>
    <w:rPr>
      <w:rFonts w:cs="黑体"/>
      <w:sz w:val="18"/>
      <w:szCs w:val="18"/>
    </w:rPr>
  </w:style>
  <w:style w:type="character" w:customStyle="1" w:styleId="52">
    <w:name w:val="正文文本缩进 3 Char"/>
    <w:basedOn w:val="30"/>
    <w:link w:val="21"/>
    <w:autoRedefine/>
    <w:semiHidden/>
    <w:qFormat/>
    <w:uiPriority w:val="99"/>
    <w:rPr>
      <w:rFonts w:cs="黑体"/>
      <w:sz w:val="16"/>
      <w:szCs w:val="16"/>
    </w:rPr>
  </w:style>
  <w:style w:type="character" w:customStyle="1" w:styleId="53">
    <w:name w:val="正文文本 2 Char"/>
    <w:basedOn w:val="30"/>
    <w:link w:val="24"/>
    <w:autoRedefine/>
    <w:semiHidden/>
    <w:qFormat/>
    <w:uiPriority w:val="99"/>
    <w:rPr>
      <w:rFonts w:cs="黑体"/>
      <w:szCs w:val="24"/>
    </w:rPr>
  </w:style>
  <w:style w:type="character" w:customStyle="1" w:styleId="54">
    <w:name w:val="批注主题 Char"/>
    <w:basedOn w:val="42"/>
    <w:link w:val="26"/>
    <w:autoRedefine/>
    <w:qFormat/>
    <w:locked/>
    <w:uiPriority w:val="99"/>
    <w:rPr>
      <w:b/>
    </w:rPr>
  </w:style>
  <w:style w:type="character" w:customStyle="1" w:styleId="55">
    <w:name w:val="正文首行缩进 Char"/>
    <w:basedOn w:val="44"/>
    <w:link w:val="10"/>
    <w:autoRedefine/>
    <w:semiHidden/>
    <w:qFormat/>
    <w:uiPriority w:val="99"/>
  </w:style>
  <w:style w:type="paragraph" w:customStyle="1" w:styleId="56">
    <w:name w:val="正文段"/>
    <w:basedOn w:val="1"/>
    <w:autoRedefine/>
    <w:qFormat/>
    <w:uiPriority w:val="99"/>
    <w:pPr>
      <w:widowControl/>
      <w:snapToGrid w:val="0"/>
      <w:spacing w:afterLines="50"/>
      <w:ind w:firstLine="200" w:firstLineChars="200"/>
    </w:pPr>
    <w:rPr>
      <w:kern w:val="0"/>
      <w:sz w:val="24"/>
      <w:szCs w:val="20"/>
    </w:rPr>
  </w:style>
  <w:style w:type="paragraph" w:customStyle="1" w:styleId="57">
    <w:name w:val="Char Char1 Char Char Char Char Char Char Char Char"/>
    <w:basedOn w:val="1"/>
    <w:autoRedefine/>
    <w:qFormat/>
    <w:uiPriority w:val="99"/>
    <w:pPr>
      <w:widowControl/>
      <w:spacing w:line="240" w:lineRule="exact"/>
      <w:jc w:val="left"/>
    </w:pPr>
  </w:style>
  <w:style w:type="paragraph" w:customStyle="1" w:styleId="58">
    <w:name w:val="Proposals body"/>
    <w:basedOn w:val="1"/>
    <w:next w:val="1"/>
    <w:autoRedefine/>
    <w:qFormat/>
    <w:uiPriority w:val="99"/>
    <w:pPr>
      <w:widowControl/>
      <w:spacing w:line="360" w:lineRule="auto"/>
      <w:jc w:val="left"/>
    </w:pPr>
    <w:rPr>
      <w:rFonts w:ascii="宋体"/>
      <w:color w:val="000000"/>
      <w:kern w:val="0"/>
      <w:sz w:val="24"/>
      <w:szCs w:val="20"/>
    </w:rPr>
  </w:style>
  <w:style w:type="paragraph" w:customStyle="1" w:styleId="59">
    <w:name w:val="lei.header1"/>
    <w:next w:val="60"/>
    <w:autoRedefine/>
    <w:qFormat/>
    <w:uiPriority w:val="99"/>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60">
    <w:name w:val="lei.header2"/>
    <w:next w:val="61"/>
    <w:autoRedefine/>
    <w:qFormat/>
    <w:uiPriority w:val="99"/>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61">
    <w:name w:val="lei.header3"/>
    <w:next w:val="62"/>
    <w:autoRedefine/>
    <w:qFormat/>
    <w:uiPriority w:val="99"/>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62">
    <w:name w:val="lei.text"/>
    <w:autoRedefine/>
    <w:qFormat/>
    <w:uiPriority w:val="99"/>
    <w:pPr>
      <w:spacing w:line="360" w:lineRule="exact"/>
      <w:ind w:firstLine="200" w:firstLineChars="200"/>
    </w:pPr>
    <w:rPr>
      <w:rFonts w:ascii="宋体" w:hAnsi="Tahoma" w:eastAsia="宋体" w:cs="Times New Roman"/>
      <w:sz w:val="24"/>
      <w:szCs w:val="22"/>
      <w:lang w:val="en-US" w:eastAsia="zh-CN" w:bidi="ar-SA"/>
    </w:rPr>
  </w:style>
  <w:style w:type="paragraph" w:customStyle="1" w:styleId="63">
    <w:name w:val="样式1"/>
    <w:basedOn w:val="1"/>
    <w:autoRedefine/>
    <w:qFormat/>
    <w:uiPriority w:val="99"/>
    <w:pPr>
      <w:spacing w:line="480" w:lineRule="auto"/>
    </w:pPr>
    <w:rPr>
      <w:sz w:val="24"/>
      <w:szCs w:val="20"/>
    </w:rPr>
  </w:style>
  <w:style w:type="paragraph" w:customStyle="1" w:styleId="64">
    <w:name w:val="列出段落11"/>
    <w:basedOn w:val="1"/>
    <w:autoRedefine/>
    <w:qFormat/>
    <w:uiPriority w:val="99"/>
    <w:pPr>
      <w:ind w:firstLine="420" w:firstLineChars="200"/>
    </w:pPr>
  </w:style>
  <w:style w:type="paragraph" w:customStyle="1" w:styleId="65">
    <w:name w:val="_Style 61"/>
    <w:basedOn w:val="1"/>
    <w:autoRedefine/>
    <w:qFormat/>
    <w:uiPriority w:val="99"/>
    <w:pPr>
      <w:widowControl/>
      <w:spacing w:after="160" w:line="240" w:lineRule="exact"/>
      <w:jc w:val="left"/>
    </w:pPr>
    <w:rPr>
      <w:rFonts w:ascii="Times New Roman" w:hAnsi="Times New Roman" w:cs="Times New Roman"/>
    </w:rPr>
  </w:style>
  <w:style w:type="paragraph" w:customStyle="1" w:styleId="66">
    <w:name w:val="列出段落2"/>
    <w:basedOn w:val="1"/>
    <w:autoRedefine/>
    <w:qFormat/>
    <w:uiPriority w:val="99"/>
    <w:pPr>
      <w:ind w:firstLine="420" w:firstLineChars="200"/>
    </w:pPr>
  </w:style>
  <w:style w:type="paragraph" w:customStyle="1" w:styleId="67">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8">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69">
    <w:name w:val="p-t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0">
    <w:name w:val="02正文"/>
    <w:basedOn w:val="1"/>
    <w:autoRedefine/>
    <w:qFormat/>
    <w:uiPriority w:val="99"/>
    <w:pPr>
      <w:spacing w:line="360" w:lineRule="auto"/>
      <w:ind w:firstLine="200" w:firstLineChars="200"/>
    </w:pPr>
    <w:rPr>
      <w:rFonts w:ascii="仿宋_GB2312" w:eastAsia="仿宋_GB2312" w:cs="宋体"/>
      <w:color w:val="000000"/>
      <w:sz w:val="28"/>
      <w:szCs w:val="20"/>
    </w:rPr>
  </w:style>
  <w:style w:type="paragraph" w:customStyle="1" w:styleId="71">
    <w:name w:val="标书正文1"/>
    <w:basedOn w:val="1"/>
    <w:autoRedefine/>
    <w:qFormat/>
    <w:uiPriority w:val="99"/>
    <w:pPr>
      <w:spacing w:line="520" w:lineRule="exact"/>
      <w:ind w:firstLine="640" w:firstLineChars="200"/>
    </w:pPr>
  </w:style>
  <w:style w:type="paragraph" w:customStyle="1" w:styleId="72">
    <w:name w:val="List Paragraph_8c10a5f1-10ce-4de6-9fb4-d808594f75ee"/>
    <w:basedOn w:val="1"/>
    <w:autoRedefine/>
    <w:qFormat/>
    <w:uiPriority w:val="99"/>
    <w:pPr>
      <w:ind w:firstLine="420" w:firstLineChars="200"/>
    </w:pPr>
    <w:rPr>
      <w:szCs w:val="22"/>
    </w:rPr>
  </w:style>
  <w:style w:type="paragraph" w:customStyle="1" w:styleId="73">
    <w:name w:val="hea"/>
    <w:basedOn w:val="1"/>
    <w:next w:val="1"/>
    <w:autoRedefine/>
    <w:qFormat/>
    <w:uiPriority w:val="99"/>
    <w:pPr>
      <w:keepNext/>
      <w:keepLines/>
      <w:numPr>
        <w:ilvl w:val="0"/>
        <w:numId w:val="2"/>
      </w:numPr>
      <w:spacing w:before="340" w:after="330" w:line="578" w:lineRule="auto"/>
      <w:outlineLvl w:val="0"/>
    </w:pPr>
    <w:rPr>
      <w:b/>
      <w:bCs/>
      <w:kern w:val="44"/>
      <w:sz w:val="44"/>
      <w:szCs w:val="44"/>
    </w:rPr>
  </w:style>
  <w:style w:type="paragraph" w:customStyle="1" w:styleId="74">
    <w:name w:val="[Normal]"/>
    <w:autoRedefine/>
    <w:qFormat/>
    <w:uiPriority w:val="99"/>
    <w:rPr>
      <w:rFonts w:ascii="宋体" w:hAnsi="宋体" w:eastAsia="宋体" w:cs="Times New Roman"/>
      <w:sz w:val="24"/>
      <w:lang w:val="en-US" w:eastAsia="en-US" w:bidi="ar-SA"/>
    </w:rPr>
  </w:style>
  <w:style w:type="paragraph" w:customStyle="1" w:styleId="75">
    <w:name w:val="正文ok"/>
    <w:autoRedefine/>
    <w:qFormat/>
    <w:uiPriority w:val="99"/>
    <w:pPr>
      <w:spacing w:line="360" w:lineRule="auto"/>
      <w:ind w:firstLine="200" w:firstLineChars="200"/>
    </w:pPr>
    <w:rPr>
      <w:rFonts w:ascii="宋体" w:hAnsi="Times New Roman" w:eastAsia="宋体" w:cs="宋体"/>
      <w:sz w:val="24"/>
      <w:lang w:val="en-US" w:eastAsia="zh-CN" w:bidi="ar-SA"/>
    </w:rPr>
  </w:style>
  <w:style w:type="character" w:customStyle="1" w:styleId="76">
    <w:name w:val="font11"/>
    <w:basedOn w:val="30"/>
    <w:autoRedefine/>
    <w:qFormat/>
    <w:uiPriority w:val="0"/>
    <w:rPr>
      <w:rFonts w:hint="eastAsia" w:ascii="宋体" w:hAnsi="宋体" w:eastAsia="宋体" w:cs="宋体"/>
      <w:color w:val="000000"/>
      <w:sz w:val="21"/>
      <w:szCs w:val="21"/>
      <w:u w:val="none"/>
    </w:rPr>
  </w:style>
  <w:style w:type="paragraph" w:customStyle="1" w:styleId="77">
    <w:name w:val="正文文本 21"/>
    <w:basedOn w:val="1"/>
    <w:autoRedefine/>
    <w:qFormat/>
    <w:uiPriority w:val="0"/>
    <w:pPr>
      <w:widowControl/>
      <w:snapToGrid w:val="0"/>
      <w:spacing w:afterLines="50" w:line="400" w:lineRule="exact"/>
      <w:jc w:val="left"/>
    </w:pPr>
  </w:style>
  <w:style w:type="character" w:customStyle="1" w:styleId="78">
    <w:name w:val="font31"/>
    <w:basedOn w:val="30"/>
    <w:autoRedefine/>
    <w:qFormat/>
    <w:uiPriority w:val="0"/>
    <w:rPr>
      <w:rFonts w:ascii="Arial" w:hAnsi="Arial" w:cs="Arial"/>
      <w:color w:val="000000"/>
      <w:sz w:val="20"/>
      <w:szCs w:val="20"/>
      <w:u w:val="none"/>
    </w:rPr>
  </w:style>
  <w:style w:type="character" w:customStyle="1" w:styleId="79">
    <w:name w:val="font41"/>
    <w:basedOn w:val="30"/>
    <w:autoRedefine/>
    <w:qFormat/>
    <w:uiPriority w:val="0"/>
    <w:rPr>
      <w:rFonts w:ascii="宋体" w:hAnsi="宋体" w:eastAsia="宋体" w:cs="宋体"/>
      <w:color w:val="000000"/>
      <w:sz w:val="20"/>
      <w:szCs w:val="20"/>
      <w:u w:val="none"/>
    </w:rPr>
  </w:style>
  <w:style w:type="character" w:customStyle="1" w:styleId="80">
    <w:name w:val="font21"/>
    <w:basedOn w:val="30"/>
    <w:autoRedefine/>
    <w:qFormat/>
    <w:uiPriority w:val="0"/>
    <w:rPr>
      <w:rFonts w:hint="eastAsia" w:ascii="宋体" w:hAnsi="宋体" w:eastAsia="宋体" w:cs="宋体"/>
      <w:color w:val="000000"/>
      <w:sz w:val="20"/>
      <w:szCs w:val="20"/>
      <w:u w:val="none"/>
    </w:rPr>
  </w:style>
  <w:style w:type="character" w:customStyle="1" w:styleId="81">
    <w:name w:val="font71"/>
    <w:basedOn w:val="30"/>
    <w:autoRedefine/>
    <w:qFormat/>
    <w:uiPriority w:val="0"/>
    <w:rPr>
      <w:rFonts w:ascii="宋体" w:hAnsi="宋体" w:eastAsia="宋体" w:cs="宋体"/>
      <w:color w:val="000000"/>
      <w:sz w:val="20"/>
      <w:szCs w:val="20"/>
      <w:u w:val="none"/>
    </w:rPr>
  </w:style>
  <w:style w:type="paragraph" w:customStyle="1" w:styleId="82">
    <w:name w:val="List Paragraph"/>
    <w:basedOn w:val="1"/>
    <w:qFormat/>
    <w:uiPriority w:val="0"/>
    <w:pPr>
      <w:spacing w:line="360" w:lineRule="auto"/>
      <w:ind w:firstLine="420" w:firstLineChars="200"/>
    </w:pPr>
    <w:rPr>
      <w:rFonts w:ascii="Calibri" w:hAnsi="Calibri"/>
      <w:szCs w:val="22"/>
    </w:rPr>
  </w:style>
  <w:style w:type="paragraph" w:customStyle="1" w:styleId="83">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5"/>
    <customShpInfo spid="_x0000_s3076"/>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6493</Words>
  <Characters>7926</Characters>
  <Lines>299</Lines>
  <Paragraphs>84</Paragraphs>
  <TotalTime>0</TotalTime>
  <ScaleCrop>false</ScaleCrop>
  <LinksUpToDate>false</LinksUpToDate>
  <CharactersWithSpaces>8063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2019-11-06T01:33:00Z</dcterms:created>
  <dc:creator>Administrator</dc:creator>
  <cp:lastModifiedBy>admin</cp:lastModifiedBy>
  <cp:lastPrinted>2025-05-21T07:27:00Z</cp:lastPrinted>
  <dcterms:modified xsi:type="dcterms:W3CDTF">2025-05-22T02:27:16Z</dcterms:modified>
  <dc:title>国内公开招标文件</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24575898B8324B2E9FFE765E4FB52E2E</vt:lpwstr>
  </property>
  <property fmtid="{D5CDD505-2E9C-101B-9397-08002B2CF9AE}" pid="4" name="KSOTemplateDocerSaveRecord">
    <vt:lpwstr>eyJoZGlkIjoiZjViOGIyZDBmNjE1NDk2YzIzZGIzNzViMjVlZTA2ZWQifQ==</vt:lpwstr>
  </property>
</Properties>
</file>