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25" w:afterLines="200" w:line="579" w:lineRule="exact"/>
        <w:jc w:val="left"/>
        <w:textAlignment w:val="auto"/>
        <w:outlineLvl w:val="0"/>
        <w:rPr>
          <w:rFonts w:hint="eastAsia" w:ascii="黑体" w:hAnsi="黑体" w:eastAsia="黑体" w:cs="黑体"/>
          <w:b w:val="0"/>
          <w:bCs/>
          <w:sz w:val="32"/>
          <w:szCs w:val="32"/>
          <w:lang w:val="en-US" w:eastAsia="zh-CN"/>
        </w:rPr>
      </w:pPr>
      <w:bookmarkStart w:id="0" w:name="_Toc7457"/>
      <w:r>
        <w:rPr>
          <w:rFonts w:hint="eastAsia" w:ascii="黑体" w:hAnsi="黑体" w:eastAsia="黑体" w:cs="黑体"/>
          <w:b w:val="0"/>
          <w:bCs/>
          <w:sz w:val="32"/>
          <w:szCs w:val="32"/>
          <w:lang w:val="en-US" w:eastAsia="zh-CN"/>
        </w:rPr>
        <w:t>附件</w:t>
      </w:r>
      <w:bookmarkEnd w:id="0"/>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《兴业银行宁波分行工会2025年度端午节慰问品采购项目》供应商征集反馈材料-公司名称（全称）</w:t>
      </w:r>
    </w:p>
    <w:p>
      <w:pPr>
        <w:pStyle w:val="9"/>
        <w:rPr>
          <w:rFonts w:hint="eastAsia"/>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ind w:left="0" w:leftChars="0" w:firstLine="0" w:firstLineChars="0"/>
        <w:jc w:val="center"/>
        <w:outlineLvl w:val="0"/>
        <w:rPr>
          <w:rFonts w:hint="eastAsia" w:ascii="仿宋" w:hAnsi="仿宋" w:eastAsia="仿宋" w:cs="仿宋"/>
          <w:b/>
          <w:bCs/>
          <w:sz w:val="28"/>
          <w:szCs w:val="28"/>
        </w:rPr>
      </w:pPr>
    </w:p>
    <w:p>
      <w:pPr>
        <w:numPr>
          <w:ilvl w:val="0"/>
          <w:numId w:val="1"/>
        </w:numPr>
        <w:ind w:left="0" w:leftChars="0" w:firstLine="0" w:firstLineChars="0"/>
        <w:jc w:val="center"/>
        <w:outlineLvl w:val="0"/>
        <w:rPr>
          <w:rFonts w:hint="eastAsia" w:ascii="仿宋" w:hAnsi="仿宋" w:eastAsia="仿宋" w:cs="仿宋"/>
          <w:b/>
          <w:bCs/>
          <w:sz w:val="28"/>
          <w:szCs w:val="28"/>
        </w:rPr>
      </w:pPr>
      <w:r>
        <w:rPr>
          <w:rFonts w:hint="eastAsia" w:ascii="仿宋" w:hAnsi="仿宋" w:eastAsia="仿宋" w:cs="仿宋"/>
          <w:b/>
          <w:bCs/>
          <w:sz w:val="28"/>
          <w:szCs w:val="28"/>
        </w:rPr>
        <w:t>项目要求应答部分</w:t>
      </w:r>
    </w:p>
    <w:p>
      <w:pPr>
        <w:pStyle w:val="2"/>
        <w:numPr>
          <w:numId w:val="0"/>
        </w:numPr>
        <w:rPr>
          <w:rFonts w:hint="eastAsia"/>
          <w:sz w:val="28"/>
          <w:szCs w:val="28"/>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“是否满足”和“基本情况说明”列由供应商填写。）</w:t>
      </w:r>
    </w:p>
    <w:tbl>
      <w:tblPr>
        <w:tblStyle w:val="7"/>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2411"/>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82"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411"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5270"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882"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411" w:type="dxa"/>
            <w:vAlign w:val="center"/>
          </w:tcPr>
          <w:p>
            <w:pPr>
              <w:rPr>
                <w:rFonts w:hint="eastAsia" w:ascii="仿宋" w:hAnsi="仿宋" w:eastAsia="仿宋" w:cs="仿宋"/>
                <w:sz w:val="28"/>
                <w:szCs w:val="28"/>
              </w:rPr>
            </w:pPr>
          </w:p>
        </w:tc>
        <w:tc>
          <w:tcPr>
            <w:tcW w:w="5270"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highlight w:val="none"/>
                <w:lang w:val="en-US" w:eastAsia="zh-CN"/>
              </w:rPr>
              <w:t>拟采购宁波当地大型商超食品类提货券。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82" w:type="dxa"/>
            <w:vAlign w:val="center"/>
          </w:tcPr>
          <w:p>
            <w:pPr>
              <w:ind w:left="0" w:leftChars="0" w:firstLine="0" w:firstLineChars="0"/>
              <w:rPr>
                <w:rFonts w:hint="eastAsia" w:ascii="仿宋" w:hAnsi="仿宋" w:eastAsia="仿宋" w:cs="仿宋"/>
                <w:kern w:val="2"/>
                <w:sz w:val="28"/>
                <w:szCs w:val="28"/>
                <w:highlight w:val="none"/>
                <w:lang w:val="en-US" w:eastAsia="zh-CN" w:bidi="ar-SA"/>
              </w:rPr>
            </w:pP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val="en-US" w:eastAsia="zh-CN"/>
              </w:rPr>
              <w:t>2服务</w:t>
            </w:r>
            <w:r>
              <w:rPr>
                <w:rFonts w:hint="eastAsia" w:ascii="仿宋" w:hAnsi="仿宋" w:eastAsia="仿宋" w:cs="仿宋"/>
                <w:b/>
                <w:bCs/>
                <w:sz w:val="28"/>
                <w:szCs w:val="28"/>
                <w:highlight w:val="none"/>
              </w:rPr>
              <w:t>需求</w:t>
            </w:r>
          </w:p>
        </w:tc>
        <w:tc>
          <w:tcPr>
            <w:tcW w:w="2411" w:type="dxa"/>
            <w:vAlign w:val="center"/>
          </w:tcPr>
          <w:p>
            <w:pPr>
              <w:ind w:firstLine="560" w:firstLineChars="200"/>
              <w:rPr>
                <w:rFonts w:hint="eastAsia" w:ascii="仿宋" w:hAnsi="仿宋" w:eastAsia="仿宋" w:cs="仿宋"/>
                <w:kern w:val="2"/>
                <w:sz w:val="28"/>
                <w:szCs w:val="28"/>
                <w:highlight w:val="none"/>
                <w:lang w:val="en-US" w:eastAsia="zh-CN" w:bidi="ar-SA"/>
              </w:rPr>
            </w:pPr>
          </w:p>
        </w:tc>
        <w:tc>
          <w:tcPr>
            <w:tcW w:w="527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中标方应按合同约定，</w:t>
            </w:r>
            <w:r>
              <w:rPr>
                <w:rFonts w:hint="eastAsia" w:ascii="仿宋" w:hAnsi="仿宋" w:eastAsia="仿宋" w:cs="仿宋"/>
                <w:sz w:val="28"/>
                <w:szCs w:val="28"/>
                <w:highlight w:val="none"/>
                <w:lang w:val="en-US" w:eastAsia="zh-CN"/>
              </w:rPr>
              <w:t>提供符合我行所需求的产品，并提供相应的配送及售后服务。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highlight w:val="none"/>
              </w:rPr>
            </w:pP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82" w:type="dxa"/>
            <w:vAlign w:val="center"/>
          </w:tcPr>
          <w:p>
            <w:pPr>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w:t>
            </w:r>
          </w:p>
        </w:tc>
        <w:tc>
          <w:tcPr>
            <w:tcW w:w="2411" w:type="dxa"/>
            <w:vAlign w:val="center"/>
          </w:tcPr>
          <w:p>
            <w:pPr>
              <w:rPr>
                <w:rFonts w:hint="eastAsia" w:ascii="仿宋" w:hAnsi="仿宋" w:eastAsia="仿宋" w:cs="仿宋"/>
                <w:sz w:val="28"/>
                <w:szCs w:val="28"/>
                <w:highlight w:val="none"/>
              </w:rPr>
            </w:pPr>
          </w:p>
        </w:tc>
        <w:tc>
          <w:tcPr>
            <w:tcW w:w="5270" w:type="dxa"/>
            <w:vAlign w:val="center"/>
          </w:tcPr>
          <w:p>
            <w:pPr>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企业成立</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年以上，</w:t>
            </w:r>
            <w:r>
              <w:rPr>
                <w:rFonts w:hint="eastAsia" w:ascii="仿宋" w:hAnsi="仿宋" w:eastAsia="仿宋" w:cs="仿宋"/>
                <w:sz w:val="28"/>
                <w:szCs w:val="28"/>
                <w:highlight w:val="none"/>
                <w:lang w:val="en-US" w:eastAsia="zh-CN"/>
              </w:rPr>
              <w:t>近三年</w:t>
            </w:r>
            <w:r>
              <w:rPr>
                <w:rFonts w:hint="eastAsia" w:ascii="仿宋" w:hAnsi="仿宋" w:eastAsia="仿宋" w:cs="仿宋"/>
                <w:sz w:val="28"/>
                <w:szCs w:val="28"/>
                <w:highlight w:val="none"/>
              </w:rPr>
              <w:t>财务稳健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可稳定提供服务。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82" w:type="dxa"/>
            <w:vAlign w:val="center"/>
          </w:tcPr>
          <w:p>
            <w:pPr>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.2</w:t>
            </w:r>
          </w:p>
        </w:tc>
        <w:tc>
          <w:tcPr>
            <w:tcW w:w="2411" w:type="dxa"/>
            <w:vAlign w:val="center"/>
          </w:tcPr>
          <w:p>
            <w:pPr>
              <w:rPr>
                <w:rFonts w:hint="eastAsia" w:ascii="仿宋" w:hAnsi="仿宋" w:eastAsia="仿宋" w:cs="仿宋"/>
                <w:sz w:val="28"/>
                <w:szCs w:val="28"/>
                <w:highlight w:val="none"/>
              </w:rPr>
            </w:pPr>
          </w:p>
        </w:tc>
        <w:tc>
          <w:tcPr>
            <w:tcW w:w="5270" w:type="dxa"/>
            <w:vAlign w:val="center"/>
          </w:tcPr>
          <w:p>
            <w:pPr>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包括但不限于2019</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至今为银行业、保险业、大型国有企业提供服务且本</w:t>
            </w:r>
            <w:r>
              <w:rPr>
                <w:rFonts w:hint="eastAsia" w:ascii="仿宋" w:hAnsi="仿宋" w:eastAsia="仿宋" w:cs="仿宋"/>
                <w:sz w:val="28"/>
                <w:szCs w:val="28"/>
                <w:highlight w:val="none"/>
              </w:rPr>
              <w:t>项目相似</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成功案例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82" w:type="dxa"/>
            <w:vAlign w:val="center"/>
          </w:tcPr>
          <w:p>
            <w:pPr>
              <w:ind w:left="0" w:leftChars="0"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2.1</w:t>
            </w:r>
          </w:p>
        </w:tc>
        <w:tc>
          <w:tcPr>
            <w:tcW w:w="2411" w:type="dxa"/>
            <w:vAlign w:val="center"/>
          </w:tcPr>
          <w:p>
            <w:pPr>
              <w:rPr>
                <w:rFonts w:hint="eastAsia" w:ascii="仿宋" w:hAnsi="仿宋" w:eastAsia="仿宋" w:cs="仿宋"/>
                <w:sz w:val="28"/>
                <w:szCs w:val="28"/>
                <w:highlight w:val="none"/>
              </w:rPr>
            </w:pPr>
          </w:p>
        </w:tc>
        <w:tc>
          <w:tcPr>
            <w:tcW w:w="5270" w:type="dxa"/>
            <w:vAlign w:val="center"/>
          </w:tcPr>
          <w:p>
            <w:pPr>
              <w:ind w:left="0" w:leftChars="0"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在兴业银行开立对公账户，若中标本项目，则通过兴业银行对公账户结算该项目相关费用。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82"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411" w:type="dxa"/>
            <w:vAlign w:val="center"/>
          </w:tcPr>
          <w:p>
            <w:pPr>
              <w:rPr>
                <w:rFonts w:hint="eastAsia" w:ascii="仿宋" w:hAnsi="仿宋" w:eastAsia="仿宋" w:cs="仿宋"/>
                <w:sz w:val="28"/>
                <w:szCs w:val="28"/>
              </w:rPr>
            </w:pPr>
          </w:p>
        </w:tc>
        <w:tc>
          <w:tcPr>
            <w:tcW w:w="527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充分理解我行服务需求并能够根据需求提供相应的服务。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82"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411" w:type="dxa"/>
            <w:vAlign w:val="center"/>
          </w:tcPr>
          <w:p>
            <w:pPr>
              <w:rPr>
                <w:rFonts w:hint="eastAsia" w:ascii="仿宋" w:hAnsi="仿宋" w:eastAsia="仿宋" w:cs="仿宋"/>
                <w:sz w:val="28"/>
                <w:szCs w:val="28"/>
              </w:rPr>
            </w:pPr>
          </w:p>
        </w:tc>
        <w:tc>
          <w:tcPr>
            <w:tcW w:w="5270" w:type="dxa"/>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应具有良好的商业</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"javascript:creditChatClick('%E4%BF%A1%E8%AA%89')" </w:instrText>
            </w:r>
            <w:r>
              <w:rPr>
                <w:rFonts w:hint="eastAsia" w:ascii="仿宋" w:hAnsi="仿宋" w:eastAsia="仿宋" w:cs="仿宋"/>
                <w:sz w:val="28"/>
                <w:szCs w:val="28"/>
              </w:rPr>
              <w:fldChar w:fldCharType="separate"/>
            </w:r>
            <w:r>
              <w:rPr>
                <w:rFonts w:hint="eastAsia" w:ascii="仿宋" w:hAnsi="仿宋" w:eastAsia="仿宋" w:cs="仿宋"/>
                <w:sz w:val="28"/>
                <w:szCs w:val="28"/>
              </w:rPr>
              <w:t>信誉</w:t>
            </w:r>
            <w:r>
              <w:rPr>
                <w:rFonts w:hint="eastAsia" w:ascii="仿宋" w:hAnsi="仿宋" w:eastAsia="仿宋" w:cs="仿宋"/>
                <w:sz w:val="28"/>
                <w:szCs w:val="28"/>
              </w:rPr>
              <w:fldChar w:fldCharType="end"/>
            </w:r>
            <w:r>
              <w:rPr>
                <w:rFonts w:hint="eastAsia" w:ascii="仿宋" w:hAnsi="仿宋" w:eastAsia="仿宋" w:cs="仿宋"/>
                <w:sz w:val="28"/>
                <w:szCs w:val="28"/>
              </w:rPr>
              <w:t>和健全的财务会计制度</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82"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411" w:type="dxa"/>
            <w:vAlign w:val="center"/>
          </w:tcPr>
          <w:p>
            <w:pPr>
              <w:rPr>
                <w:rFonts w:hint="eastAsia" w:ascii="仿宋" w:hAnsi="仿宋" w:eastAsia="仿宋" w:cs="仿宋"/>
                <w:sz w:val="28"/>
                <w:szCs w:val="28"/>
              </w:rPr>
            </w:pPr>
          </w:p>
        </w:tc>
        <w:tc>
          <w:tcPr>
            <w:tcW w:w="527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未被“</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"javascript:creditChatClick('%E4%BF%A1%E7%94%A8')" </w:instrText>
            </w:r>
            <w:r>
              <w:rPr>
                <w:rFonts w:hint="eastAsia" w:ascii="仿宋" w:hAnsi="仿宋" w:eastAsia="仿宋" w:cs="仿宋"/>
                <w:sz w:val="28"/>
                <w:szCs w:val="28"/>
              </w:rPr>
              <w:fldChar w:fldCharType="separate"/>
            </w:r>
            <w:r>
              <w:rPr>
                <w:rFonts w:hint="eastAsia" w:ascii="仿宋" w:hAnsi="仿宋" w:eastAsia="仿宋" w:cs="仿宋"/>
                <w:sz w:val="28"/>
                <w:szCs w:val="28"/>
              </w:rPr>
              <w:t>信用</w:t>
            </w:r>
            <w:r>
              <w:rPr>
                <w:rFonts w:hint="eastAsia" w:ascii="仿宋" w:hAnsi="仿宋" w:eastAsia="仿宋" w:cs="仿宋"/>
                <w:sz w:val="28"/>
                <w:szCs w:val="28"/>
              </w:rPr>
              <w:fldChar w:fldCharType="end"/>
            </w:r>
            <w:r>
              <w:rPr>
                <w:rFonts w:hint="eastAsia" w:ascii="仿宋" w:hAnsi="仿宋" w:eastAsia="仿宋" w:cs="仿宋"/>
                <w:sz w:val="28"/>
                <w:szCs w:val="28"/>
              </w:rPr>
              <w:t>中国”网列入“重大税收违法案件当事人名单”、未被“中国执行信息公开网”列入“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"javascript:creditChatClick('%E5%A4%B1%E4%BF%A1')" </w:instrText>
            </w:r>
            <w:r>
              <w:rPr>
                <w:rFonts w:hint="eastAsia" w:ascii="仿宋" w:hAnsi="仿宋" w:eastAsia="仿宋" w:cs="仿宋"/>
                <w:sz w:val="28"/>
                <w:szCs w:val="28"/>
              </w:rPr>
              <w:fldChar w:fldCharType="separate"/>
            </w:r>
            <w:r>
              <w:rPr>
                <w:rFonts w:hint="eastAsia" w:ascii="仿宋" w:hAnsi="仿宋" w:eastAsia="仿宋" w:cs="仿宋"/>
                <w:sz w:val="28"/>
                <w:szCs w:val="28"/>
              </w:rPr>
              <w:t>失信</w:t>
            </w:r>
            <w:r>
              <w:rPr>
                <w:rFonts w:hint="eastAsia" w:ascii="仿宋" w:hAnsi="仿宋" w:eastAsia="仿宋" w:cs="仿宋"/>
                <w:sz w:val="28"/>
                <w:szCs w:val="28"/>
              </w:rPr>
              <w:fldChar w:fldCharType="end"/>
            </w:r>
            <w:r>
              <w:rPr>
                <w:rFonts w:hint="eastAsia" w:ascii="仿宋" w:hAnsi="仿宋" w:eastAsia="仿宋" w:cs="仿宋"/>
                <w:sz w:val="28"/>
                <w:szCs w:val="28"/>
              </w:rPr>
              <w:t>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tc>
      </w:tr>
    </w:tbl>
    <w:p>
      <w:pPr>
        <w:keepNext w:val="0"/>
        <w:keepLines w:val="0"/>
        <w:pageBreakBefore w:val="0"/>
        <w:widowControl w:val="0"/>
        <w:kinsoku/>
        <w:wordWrap/>
        <w:overflowPunct/>
        <w:topLinePunct w:val="0"/>
        <w:autoSpaceDE/>
        <w:autoSpaceDN/>
        <w:bidi w:val="0"/>
        <w:adjustRightInd/>
        <w:snapToGrid/>
        <w:spacing w:before="251" w:beforeLines="80" w:line="579" w:lineRule="exact"/>
        <w:ind w:firstLine="560" w:firstLineChars="200"/>
        <w:textAlignment w:val="auto"/>
        <w:outlineLvl w:val="1"/>
        <w:rPr>
          <w:rFonts w:hint="eastAsia" w:ascii="仿宋" w:hAnsi="仿宋" w:eastAsia="仿宋" w:cs="仿宋"/>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仿宋" w:hAnsi="仿宋" w:eastAsia="仿宋" w:cs="仿宋"/>
          <w:b w:val="0"/>
          <w:bCs/>
          <w:sz w:val="28"/>
          <w:szCs w:val="28"/>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 xml:space="preserve">第二部分 </w:t>
      </w:r>
      <w:r>
        <w:rPr>
          <w:rFonts w:hint="eastAsia" w:ascii="仿宋" w:hAnsi="仿宋" w:eastAsia="仿宋" w:cs="仿宋"/>
          <w:b/>
          <w:bCs w:val="0"/>
          <w:sz w:val="28"/>
          <w:szCs w:val="28"/>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4563"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6.提供</w:t>
      </w:r>
      <w:r>
        <w:rPr>
          <w:rFonts w:hint="eastAsia" w:ascii="仿宋" w:hAnsi="仿宋" w:eastAsia="仿宋" w:cs="仿宋"/>
          <w:color w:val="000000" w:themeColor="text1"/>
          <w:sz w:val="28"/>
          <w:szCs w:val="28"/>
          <w:highlight w:val="none"/>
          <w:lang w:val="en-GB" w:eastAsia="zh-CN"/>
          <w14:textFill>
            <w14:solidFill>
              <w14:schemeClr w14:val="tx1"/>
            </w14:solidFill>
          </w14:textFill>
        </w:rPr>
        <w:t>“信用中国</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28"/>
          <w:szCs w:val="28"/>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28"/>
          <w:szCs w:val="28"/>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28"/>
          <w:szCs w:val="28"/>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28"/>
          <w:szCs w:val="28"/>
          <w:highlight w:val="none"/>
          <w:lang w:val="en-GB" w:eastAsia="zh-CN"/>
          <w14:textFill>
            <w14:solidFill>
              <w14:schemeClr w14:val="tx1"/>
            </w14:solidFill>
          </w14:textFill>
        </w:rPr>
        <w:t>”平台</w:t>
      </w:r>
      <w:r>
        <w:rPr>
          <w:rFonts w:hint="eastAsia" w:ascii="仿宋" w:hAnsi="仿宋" w:eastAsia="仿宋" w:cs="仿宋"/>
          <w:color w:val="000000" w:themeColor="text1"/>
          <w:sz w:val="28"/>
          <w:szCs w:val="28"/>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1"/>
        <w:rPr>
          <w:rFonts w:hint="eastAsia" w:ascii="仿宋" w:hAnsi="仿宋" w:eastAsia="仿宋" w:cs="仿宋"/>
          <w:b w:val="0"/>
          <w:bCs/>
          <w:sz w:val="28"/>
          <w:szCs w:val="28"/>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 xml:space="preserve">第三部分  </w:t>
      </w:r>
      <w:r>
        <w:rPr>
          <w:rFonts w:hint="eastAsia" w:ascii="仿宋" w:hAnsi="仿宋" w:eastAsia="仿宋" w:cs="仿宋"/>
          <w:b/>
          <w:bCs w:val="0"/>
          <w:sz w:val="28"/>
          <w:szCs w:val="28"/>
        </w:rPr>
        <w:t>与本项目相关的案例情况</w:t>
      </w:r>
    </w:p>
    <w:p>
      <w:pPr>
        <w:ind w:firstLine="562" w:firstLineChars="200"/>
        <w:outlineLvl w:val="0"/>
        <w:rPr>
          <w:rFonts w:hint="eastAsia" w:ascii="仿宋" w:hAnsi="仿宋" w:eastAsia="仿宋" w:cs="仿宋"/>
          <w:b w:val="0"/>
          <w:bCs w:val="0"/>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highlight w:val="none"/>
          <w:lang w:val="en-US" w:eastAsia="zh-CN"/>
        </w:rPr>
        <w:t>2021-2024</w:t>
      </w:r>
      <w:r>
        <w:rPr>
          <w:rFonts w:hint="eastAsia" w:ascii="仿宋" w:hAnsi="仿宋" w:eastAsia="仿宋" w:cs="仿宋"/>
          <w:b/>
          <w:bCs/>
          <w:color w:val="auto"/>
          <w:sz w:val="28"/>
          <w:szCs w:val="28"/>
          <w:highlight w:val="none"/>
        </w:rPr>
        <w:t>年度开展的</w:t>
      </w:r>
      <w:r>
        <w:rPr>
          <w:rFonts w:hint="eastAsia" w:ascii="仿宋" w:hAnsi="仿宋" w:eastAsia="仿宋" w:cs="仿宋"/>
          <w:b/>
          <w:bCs/>
          <w:color w:val="auto"/>
          <w:sz w:val="28"/>
          <w:szCs w:val="28"/>
          <w:highlight w:val="none"/>
          <w:lang w:val="en-US" w:eastAsia="zh-CN"/>
        </w:rPr>
        <w:t>节日</w:t>
      </w:r>
      <w:r>
        <w:rPr>
          <w:rFonts w:hint="eastAsia" w:ascii="仿宋" w:hAnsi="仿宋" w:eastAsia="仿宋" w:cs="仿宋"/>
          <w:b/>
          <w:bCs/>
          <w:color w:val="auto"/>
          <w:sz w:val="28"/>
          <w:szCs w:val="28"/>
          <w:highlight w:val="none"/>
          <w:lang w:eastAsia="zh-CN"/>
        </w:rPr>
        <w:t>慰问品采购</w:t>
      </w:r>
      <w:r>
        <w:rPr>
          <w:rFonts w:hint="eastAsia" w:ascii="仿宋" w:hAnsi="仿宋" w:eastAsia="仿宋" w:cs="仿宋"/>
          <w:b/>
          <w:bCs/>
          <w:sz w:val="28"/>
          <w:szCs w:val="28"/>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104"/>
        <w:gridCol w:w="1707"/>
        <w:gridCol w:w="1539"/>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68"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234"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903"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29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68"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234"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903"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91"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68"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234"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903"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9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68"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34"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903"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9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68"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34"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903"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29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562" w:firstLineChars="20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在此根据上述合所列合同清单依次附录合同证明材料。需包含合同首尾页，内容页及服务内容证明页的扫描件。</w:t>
      </w:r>
    </w:p>
    <w:p>
      <w:pPr>
        <w:pStyle w:val="2"/>
        <w:rPr>
          <w:rFonts w:hint="eastAsia"/>
          <w:lang w:val="en-US" w:eastAsia="zh-CN"/>
        </w:rPr>
      </w:pPr>
    </w:p>
    <w:p>
      <w:pPr>
        <w:keepNext w:val="0"/>
        <w:keepLines w:val="0"/>
        <w:pageBreakBefore w:val="0"/>
        <w:kinsoku/>
        <w:wordWrap/>
        <w:overflowPunct/>
        <w:autoSpaceDE/>
        <w:autoSpaceDN/>
        <w:bidi w:val="0"/>
        <w:adjustRightInd/>
        <w:snapToGrid/>
        <w:spacing w:line="579"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highlight w:val="none"/>
          <w:lang w:val="en-US" w:eastAsia="zh-CN"/>
        </w:rPr>
        <w:t xml:space="preserve">第四部分  </w:t>
      </w:r>
      <w:r>
        <w:rPr>
          <w:rFonts w:hint="eastAsia" w:ascii="仿宋" w:hAnsi="仿宋" w:eastAsia="仿宋" w:cs="仿宋"/>
          <w:b/>
          <w:bCs/>
          <w:sz w:val="28"/>
          <w:szCs w:val="28"/>
        </w:rPr>
        <w:t>详细介绍</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2"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2"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二、公司资质、认证等材料（扫描件）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2"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2"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20" w:leftChars="-50" w:right="-12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20" w:leftChars="-50" w:right="-12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20" w:leftChars="-50" w:right="-12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20" w:leftChars="-50" w:right="-12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numPr>
          <w:ilvl w:val="0"/>
          <w:numId w:val="2"/>
        </w:numPr>
        <w:ind w:left="561" w:leftChars="0" w:firstLine="0"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其他可提供的增值服务</w:t>
      </w:r>
    </w:p>
    <w:p>
      <w:pPr>
        <w:pStyle w:val="2"/>
        <w:numPr>
          <w:numId w:val="0"/>
        </w:numPr>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 xml:space="preserve">    如有，请列明。</w:t>
      </w:r>
      <w:bookmarkStart w:id="1" w:name="_GoBack"/>
      <w:bookmarkEnd w:id="1"/>
    </w:p>
    <w:p>
      <w:pPr>
        <w:pStyle w:val="2"/>
        <w:rPr>
          <w:rFonts w:hint="eastAsia" w:ascii="仿宋" w:hAnsi="仿宋" w:eastAsia="仿宋" w:cs="仿宋"/>
          <w:sz w:val="28"/>
          <w:szCs w:val="28"/>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9030A"/>
    <w:multiLevelType w:val="singleLevel"/>
    <w:tmpl w:val="A289030A"/>
    <w:lvl w:ilvl="0" w:tentative="0">
      <w:start w:val="5"/>
      <w:numFmt w:val="chineseCounting"/>
      <w:suff w:val="nothing"/>
      <w:lvlText w:val="%1、"/>
      <w:lvlJc w:val="left"/>
      <w:pPr>
        <w:ind w:left="561" w:leftChars="0" w:firstLine="0" w:firstLineChars="0"/>
      </w:pPr>
      <w:rPr>
        <w:rFonts w:hint="eastAsia"/>
      </w:rPr>
    </w:lvl>
  </w:abstractNum>
  <w:abstractNum w:abstractNumId="1">
    <w:nsid w:val="EC4F1DBB"/>
    <w:multiLevelType w:val="singleLevel"/>
    <w:tmpl w:val="EC4F1DBB"/>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365B1D40"/>
    <w:rsid w:val="374B510B"/>
    <w:rsid w:val="3DF23D90"/>
    <w:rsid w:val="503B1E49"/>
    <w:rsid w:val="5966279D"/>
    <w:rsid w:val="5CAA24ED"/>
    <w:rsid w:val="6CEA5FE2"/>
    <w:rsid w:val="79330017"/>
    <w:rsid w:val="7B4A4DCA"/>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5</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黄曌婷</cp:lastModifiedBy>
  <dcterms:modified xsi:type="dcterms:W3CDTF">2025-04-15T11:34:01Z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