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92EA9">
      <w:pPr>
        <w:pStyle w:val="38"/>
        <w:tabs>
          <w:tab w:val="left" w:pos="3839"/>
        </w:tabs>
        <w:kinsoku w:val="0"/>
        <w:snapToGrid w:val="0"/>
        <w:spacing w:before="174" w:line="360" w:lineRule="auto"/>
        <w:ind w:right="175" w:firstLine="440"/>
        <w:rPr>
          <w:rFonts w:ascii="宋体" w:hAnsi="宋体" w:cs="宋体"/>
          <w:b/>
          <w:bCs/>
          <w:color w:val="000000"/>
          <w:sz w:val="36"/>
          <w:szCs w:val="36"/>
          <w:u w:val="single"/>
        </w:rPr>
      </w:pPr>
      <w:r>
        <w:rPr>
          <w:rFonts w:hint="eastAsia" w:ascii="宋体" w:hAnsi="宋体" w:cs="宋体"/>
        </w:rPr>
        <w:drawing>
          <wp:inline distT="0" distB="0" distL="114300" distR="114300">
            <wp:extent cx="1480185" cy="866140"/>
            <wp:effectExtent l="0" t="0" r="571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80185" cy="866140"/>
                    </a:xfrm>
                    <a:prstGeom prst="rect">
                      <a:avLst/>
                    </a:prstGeom>
                    <a:noFill/>
                    <a:ln>
                      <a:noFill/>
                    </a:ln>
                  </pic:spPr>
                </pic:pic>
              </a:graphicData>
            </a:graphic>
          </wp:inline>
        </w:drawing>
      </w:r>
    </w:p>
    <w:p w14:paraId="4F6FD9B8"/>
    <w:p w14:paraId="110036E5">
      <w:pPr>
        <w:pStyle w:val="11"/>
      </w:pPr>
    </w:p>
    <w:p w14:paraId="5046BADE">
      <w:pPr>
        <w:spacing w:line="900" w:lineRule="exact"/>
        <w:jc w:val="center"/>
        <w:rPr>
          <w:rFonts w:ascii="宋体" w:hAnsi="宋体" w:cs="宋体"/>
          <w:b/>
          <w:bCs/>
          <w:spacing w:val="140"/>
          <w:sz w:val="84"/>
          <w:szCs w:val="84"/>
        </w:rPr>
      </w:pPr>
      <w:r>
        <w:rPr>
          <w:rFonts w:hint="eastAsia" w:ascii="宋体" w:hAnsi="宋体" w:cs="宋体"/>
          <w:b/>
          <w:bCs/>
          <w:spacing w:val="140"/>
          <w:sz w:val="84"/>
          <w:szCs w:val="84"/>
        </w:rPr>
        <w:t>采购文件</w:t>
      </w:r>
    </w:p>
    <w:p w14:paraId="447BC205">
      <w:pPr>
        <w:spacing w:line="400" w:lineRule="exact"/>
        <w:jc w:val="center"/>
        <w:rPr>
          <w:rFonts w:ascii="宋体" w:hAnsi="宋体" w:cs="宋体"/>
          <w:b/>
          <w:bCs/>
          <w:sz w:val="32"/>
          <w:szCs w:val="32"/>
        </w:rPr>
      </w:pPr>
    </w:p>
    <w:p w14:paraId="5ACF1ED2">
      <w:pPr>
        <w:rPr>
          <w:rFonts w:ascii="宋体" w:hAnsi="宋体" w:cs="宋体"/>
          <w:b/>
          <w:bCs/>
          <w:sz w:val="24"/>
        </w:rPr>
      </w:pPr>
    </w:p>
    <w:p w14:paraId="56DE326F">
      <w:pPr>
        <w:rPr>
          <w:rFonts w:ascii="宋体" w:hAnsi="宋体" w:cs="宋体"/>
          <w:b/>
          <w:bCs/>
          <w:sz w:val="24"/>
        </w:rPr>
      </w:pPr>
    </w:p>
    <w:p w14:paraId="2541A57E">
      <w:pPr>
        <w:rPr>
          <w:rFonts w:ascii="宋体" w:hAnsi="宋体" w:cs="宋体"/>
          <w:b/>
          <w:bCs/>
          <w:sz w:val="24"/>
        </w:rPr>
      </w:pPr>
    </w:p>
    <w:p w14:paraId="62768C18">
      <w:pPr>
        <w:ind w:firstLine="1140" w:firstLineChars="300"/>
        <w:rPr>
          <w:rFonts w:ascii="宋体" w:hAnsi="宋体" w:cs="宋体"/>
          <w:spacing w:val="40"/>
          <w:sz w:val="30"/>
          <w:szCs w:val="30"/>
        </w:rPr>
      </w:pPr>
    </w:p>
    <w:tbl>
      <w:tblPr>
        <w:tblStyle w:val="29"/>
        <w:tblW w:w="0" w:type="auto"/>
        <w:jc w:val="center"/>
        <w:tblLayout w:type="fixed"/>
        <w:tblCellMar>
          <w:top w:w="0" w:type="dxa"/>
          <w:left w:w="108" w:type="dxa"/>
          <w:bottom w:w="0" w:type="dxa"/>
          <w:right w:w="108" w:type="dxa"/>
        </w:tblCellMar>
      </w:tblPr>
      <w:tblGrid>
        <w:gridCol w:w="1900"/>
        <w:gridCol w:w="6344"/>
      </w:tblGrid>
      <w:tr w14:paraId="03604ABF">
        <w:trPr>
          <w:trHeight w:val="627" w:hRule="atLeast"/>
          <w:jc w:val="center"/>
        </w:trPr>
        <w:tc>
          <w:tcPr>
            <w:tcW w:w="1900" w:type="dxa"/>
            <w:tcBorders>
              <w:top w:val="nil"/>
              <w:left w:val="nil"/>
              <w:bottom w:val="nil"/>
              <w:right w:val="nil"/>
            </w:tcBorders>
            <w:vAlign w:val="center"/>
          </w:tcPr>
          <w:p w14:paraId="78E94CD5">
            <w:pPr>
              <w:spacing w:line="360" w:lineRule="auto"/>
              <w:jc w:val="distribute"/>
              <w:rPr>
                <w:rFonts w:ascii="宋体" w:hAnsi="Times New Roman" w:cs="Times New Roman"/>
                <w:b/>
                <w:sz w:val="28"/>
              </w:rPr>
            </w:pPr>
            <w:r>
              <w:rPr>
                <w:rFonts w:hint="eastAsia" w:ascii="宋体" w:hAnsi="Times New Roman" w:cs="Times New Roman"/>
                <w:b/>
                <w:sz w:val="28"/>
              </w:rPr>
              <w:t>项目编号：</w:t>
            </w:r>
          </w:p>
        </w:tc>
        <w:tc>
          <w:tcPr>
            <w:tcW w:w="6344" w:type="dxa"/>
            <w:tcBorders>
              <w:top w:val="nil"/>
              <w:left w:val="nil"/>
              <w:bottom w:val="nil"/>
              <w:right w:val="nil"/>
            </w:tcBorders>
            <w:vAlign w:val="center"/>
          </w:tcPr>
          <w:p w14:paraId="29357899">
            <w:pPr>
              <w:spacing w:line="360" w:lineRule="auto"/>
              <w:rPr>
                <w:rFonts w:hint="default" w:ascii="宋体" w:hAnsi="Times New Roman" w:cs="Times New Roman"/>
                <w:b/>
                <w:sz w:val="28"/>
                <w:lang w:val="en-US"/>
              </w:rPr>
            </w:pPr>
            <w:r>
              <w:rPr>
                <w:rFonts w:hint="eastAsia" w:ascii="宋体" w:hAnsi="Times New Roman" w:eastAsia="宋体" w:cs="Times New Roman"/>
                <w:b/>
                <w:sz w:val="28"/>
                <w:lang w:eastAsia="zh-CN"/>
              </w:rPr>
              <w:t>ZJSKCG-202</w:t>
            </w:r>
            <w:r>
              <w:rPr>
                <w:rFonts w:hint="eastAsia" w:ascii="宋体" w:hAnsi="Times New Roman" w:cs="Times New Roman"/>
                <w:b/>
                <w:sz w:val="28"/>
                <w:lang w:val="en-US" w:eastAsia="zh-CN"/>
              </w:rPr>
              <w:t>5</w:t>
            </w:r>
            <w:r>
              <w:rPr>
                <w:rFonts w:hint="eastAsia" w:ascii="宋体" w:hAnsi="Times New Roman" w:eastAsia="宋体" w:cs="Times New Roman"/>
                <w:b/>
                <w:sz w:val="28"/>
                <w:lang w:eastAsia="zh-CN"/>
              </w:rPr>
              <w:t>-</w:t>
            </w:r>
            <w:r>
              <w:rPr>
                <w:rFonts w:hint="eastAsia" w:ascii="宋体" w:hAnsi="Times New Roman" w:cs="Times New Roman"/>
                <w:b/>
                <w:sz w:val="28"/>
                <w:lang w:val="en-US" w:eastAsia="zh-CN"/>
              </w:rPr>
              <w:t>0417</w:t>
            </w:r>
          </w:p>
        </w:tc>
      </w:tr>
      <w:tr w14:paraId="595900BF">
        <w:tblPrEx>
          <w:tblCellMar>
            <w:top w:w="0" w:type="dxa"/>
            <w:left w:w="108" w:type="dxa"/>
            <w:bottom w:w="0" w:type="dxa"/>
            <w:right w:w="108" w:type="dxa"/>
          </w:tblCellMar>
        </w:tblPrEx>
        <w:trPr>
          <w:trHeight w:val="627" w:hRule="atLeast"/>
          <w:jc w:val="center"/>
        </w:trPr>
        <w:tc>
          <w:tcPr>
            <w:tcW w:w="1900" w:type="dxa"/>
            <w:tcBorders>
              <w:top w:val="nil"/>
              <w:left w:val="nil"/>
              <w:bottom w:val="nil"/>
              <w:right w:val="nil"/>
            </w:tcBorders>
            <w:vAlign w:val="center"/>
          </w:tcPr>
          <w:p w14:paraId="2020279A">
            <w:pPr>
              <w:spacing w:line="360" w:lineRule="auto"/>
              <w:jc w:val="distribute"/>
              <w:rPr>
                <w:rFonts w:ascii="宋体" w:hAnsi="Times New Roman" w:cs="Times New Roman"/>
                <w:b/>
                <w:sz w:val="28"/>
              </w:rPr>
            </w:pPr>
            <w:r>
              <w:rPr>
                <w:rFonts w:hint="eastAsia" w:ascii="宋体" w:hAnsi="Times New Roman" w:cs="Times New Roman"/>
                <w:b/>
                <w:sz w:val="28"/>
              </w:rPr>
              <w:t>项目名称：</w:t>
            </w:r>
          </w:p>
        </w:tc>
        <w:tc>
          <w:tcPr>
            <w:tcW w:w="6344" w:type="dxa"/>
            <w:tcBorders>
              <w:top w:val="nil"/>
              <w:left w:val="nil"/>
              <w:bottom w:val="nil"/>
              <w:right w:val="nil"/>
            </w:tcBorders>
            <w:vAlign w:val="center"/>
          </w:tcPr>
          <w:p w14:paraId="0C9C0ADA">
            <w:pPr>
              <w:spacing w:line="360" w:lineRule="auto"/>
              <w:rPr>
                <w:rFonts w:ascii="宋体" w:hAnsi="Times New Roman" w:cs="Times New Roman"/>
                <w:b/>
                <w:sz w:val="28"/>
              </w:rPr>
            </w:pPr>
            <w:r>
              <w:rPr>
                <w:rFonts w:hint="eastAsia" w:ascii="宋体" w:hAnsi="Times New Roman" w:cs="Times New Roman"/>
                <w:b/>
                <w:sz w:val="28"/>
              </w:rPr>
              <w:t>永嘉县银坑铅锌矿（山根村）历史遗留废渣治理工程全过程咨询服务</w:t>
            </w:r>
          </w:p>
        </w:tc>
      </w:tr>
      <w:tr w14:paraId="3E80EF2A">
        <w:tblPrEx>
          <w:tblCellMar>
            <w:top w:w="0" w:type="dxa"/>
            <w:left w:w="108" w:type="dxa"/>
            <w:bottom w:w="0" w:type="dxa"/>
            <w:right w:w="108" w:type="dxa"/>
          </w:tblCellMar>
        </w:tblPrEx>
        <w:trPr>
          <w:trHeight w:val="689" w:hRule="atLeast"/>
          <w:jc w:val="center"/>
        </w:trPr>
        <w:tc>
          <w:tcPr>
            <w:tcW w:w="1900" w:type="dxa"/>
            <w:tcBorders>
              <w:top w:val="nil"/>
              <w:left w:val="nil"/>
              <w:bottom w:val="nil"/>
              <w:right w:val="nil"/>
            </w:tcBorders>
            <w:vAlign w:val="center"/>
          </w:tcPr>
          <w:p w14:paraId="467E7807">
            <w:pPr>
              <w:spacing w:line="360" w:lineRule="auto"/>
              <w:jc w:val="distribute"/>
              <w:rPr>
                <w:rFonts w:ascii="宋体" w:hAnsi="Times New Roman" w:cs="Times New Roman"/>
                <w:b/>
                <w:sz w:val="28"/>
              </w:rPr>
            </w:pPr>
            <w:r>
              <w:rPr>
                <w:rFonts w:hint="eastAsia" w:ascii="宋体" w:hAnsi="Times New Roman" w:cs="Times New Roman"/>
                <w:b/>
                <w:sz w:val="28"/>
              </w:rPr>
              <w:t>采购方式：</w:t>
            </w:r>
          </w:p>
        </w:tc>
        <w:tc>
          <w:tcPr>
            <w:tcW w:w="6344" w:type="dxa"/>
            <w:tcBorders>
              <w:top w:val="nil"/>
              <w:left w:val="nil"/>
              <w:bottom w:val="nil"/>
              <w:right w:val="nil"/>
            </w:tcBorders>
            <w:vAlign w:val="center"/>
          </w:tcPr>
          <w:p w14:paraId="7CCF79CF">
            <w:pPr>
              <w:spacing w:line="360" w:lineRule="auto"/>
              <w:rPr>
                <w:rFonts w:ascii="宋体" w:hAnsi="Times New Roman" w:cs="Times New Roman"/>
                <w:b/>
                <w:sz w:val="28"/>
              </w:rPr>
            </w:pPr>
            <w:r>
              <w:rPr>
                <w:rFonts w:hint="eastAsia" w:ascii="宋体" w:hAnsi="Times New Roman" w:cs="Times New Roman"/>
                <w:b/>
                <w:sz w:val="28"/>
              </w:rPr>
              <w:t>竞争性磋商</w:t>
            </w:r>
          </w:p>
        </w:tc>
      </w:tr>
    </w:tbl>
    <w:p w14:paraId="7363E690">
      <w:pPr>
        <w:spacing w:line="600" w:lineRule="exact"/>
        <w:ind w:firstLine="1140" w:firstLineChars="300"/>
        <w:rPr>
          <w:rFonts w:ascii="宋体" w:hAnsi="宋体" w:cs="宋体"/>
          <w:spacing w:val="40"/>
          <w:sz w:val="30"/>
          <w:szCs w:val="30"/>
        </w:rPr>
      </w:pPr>
    </w:p>
    <w:p w14:paraId="5A910704">
      <w:pPr>
        <w:pStyle w:val="27"/>
        <w:ind w:firstLine="320"/>
        <w:rPr>
          <w:rFonts w:ascii="宋体" w:hAnsi="宋体" w:eastAsia="宋体" w:cs="宋体"/>
        </w:rPr>
      </w:pPr>
    </w:p>
    <w:p w14:paraId="08C70317">
      <w:pPr>
        <w:spacing w:line="600" w:lineRule="exact"/>
        <w:ind w:firstLine="1140" w:firstLineChars="300"/>
        <w:rPr>
          <w:rFonts w:ascii="宋体" w:hAnsi="宋体" w:cs="宋体"/>
          <w:spacing w:val="40"/>
          <w:sz w:val="30"/>
          <w:szCs w:val="30"/>
        </w:rPr>
      </w:pPr>
    </w:p>
    <w:p w14:paraId="55CE4CA4">
      <w:pPr>
        <w:pStyle w:val="11"/>
      </w:pPr>
    </w:p>
    <w:p w14:paraId="665F0DC3">
      <w:pPr>
        <w:spacing w:line="600" w:lineRule="exact"/>
        <w:ind w:firstLine="1807" w:firstLineChars="600"/>
        <w:jc w:val="both"/>
        <w:rPr>
          <w:rFonts w:ascii="宋体" w:hAnsi="宋体" w:cs="宋体"/>
          <w:b/>
          <w:sz w:val="30"/>
          <w:szCs w:val="30"/>
        </w:rPr>
      </w:pPr>
      <w:r>
        <w:rPr>
          <w:rFonts w:hint="eastAsia" w:ascii="宋体" w:hAnsi="宋体" w:cs="宋体"/>
          <w:b/>
          <w:sz w:val="30"/>
          <w:szCs w:val="30"/>
        </w:rPr>
        <w:t>采购人：永嘉县金溪镇人民政府</w:t>
      </w:r>
    </w:p>
    <w:p w14:paraId="679FD80A">
      <w:pPr>
        <w:spacing w:line="600" w:lineRule="exact"/>
        <w:ind w:firstLine="1807" w:firstLineChars="600"/>
        <w:jc w:val="both"/>
        <w:rPr>
          <w:rFonts w:ascii="宋体" w:hAnsi="宋体" w:cs="宋体"/>
          <w:b/>
          <w:sz w:val="30"/>
          <w:szCs w:val="30"/>
        </w:rPr>
      </w:pPr>
      <w:r>
        <w:rPr>
          <w:rFonts w:hint="eastAsia" w:ascii="宋体" w:hAnsi="宋体" w:cs="宋体"/>
          <w:b/>
          <w:sz w:val="30"/>
          <w:szCs w:val="30"/>
        </w:rPr>
        <w:t>采购代理机构：浙江三凯工程管理有限公司</w:t>
      </w:r>
    </w:p>
    <w:p w14:paraId="7A2FEE8A">
      <w:pPr>
        <w:spacing w:line="760" w:lineRule="exact"/>
        <w:ind w:left="753" w:hanging="753" w:hangingChars="250"/>
        <w:jc w:val="center"/>
        <w:rPr>
          <w:rFonts w:ascii="宋体" w:hAnsi="宋体" w:cs="宋体"/>
          <w:b/>
          <w:sz w:val="30"/>
          <w:szCs w:val="30"/>
        </w:rPr>
      </w:pPr>
      <w:r>
        <w:rPr>
          <w:rFonts w:hint="eastAsia" w:ascii="宋体" w:hAnsi="宋体" w:cs="宋体"/>
          <w:b/>
          <w:sz w:val="30"/>
          <w:szCs w:val="30"/>
        </w:rPr>
        <w:t>二〇二五年三月</w:t>
      </w:r>
      <w:bookmarkStart w:id="143" w:name="_GoBack"/>
      <w:bookmarkEnd w:id="143"/>
    </w:p>
    <w:p w14:paraId="1BDF2E74">
      <w:pPr>
        <w:spacing w:before="312" w:beforeLines="100" w:after="312" w:afterLines="100" w:line="360" w:lineRule="auto"/>
        <w:jc w:val="center"/>
        <w:rPr>
          <w:bCs/>
          <w:sz w:val="32"/>
          <w:szCs w:val="32"/>
        </w:rPr>
      </w:pPr>
    </w:p>
    <w:p w14:paraId="5C05D79A">
      <w:pPr>
        <w:spacing w:before="312" w:beforeLines="100" w:after="312" w:afterLines="100" w:line="360" w:lineRule="auto"/>
        <w:jc w:val="center"/>
        <w:rPr>
          <w:bCs/>
          <w:sz w:val="32"/>
          <w:szCs w:val="32"/>
        </w:rPr>
      </w:pPr>
      <w:r>
        <w:rPr>
          <w:rFonts w:hint="eastAsia"/>
          <w:bCs/>
          <w:sz w:val="32"/>
          <w:szCs w:val="32"/>
        </w:rPr>
        <w:t>目录</w:t>
      </w:r>
    </w:p>
    <w:p w14:paraId="672D2960">
      <w:pPr>
        <w:pStyle w:val="24"/>
        <w:tabs>
          <w:tab w:val="right" w:leader="hyphen" w:pos="9240"/>
          <w:tab w:val="clear" w:pos="8948"/>
        </w:tabs>
        <w:spacing w:line="480" w:lineRule="auto"/>
        <w:ind w:left="0"/>
        <w:rPr>
          <w:rFonts w:ascii="宋体" w:hAnsi="宋体" w:cs="宋体"/>
        </w:rPr>
      </w:pPr>
      <w:r>
        <w:rPr>
          <w:rFonts w:hint="eastAsia" w:cs="宋体"/>
          <w:kern w:val="2"/>
          <w:sz w:val="24"/>
          <w:szCs w:val="24"/>
        </w:rPr>
        <w:fldChar w:fldCharType="begin"/>
      </w:r>
      <w:r>
        <w:rPr>
          <w:rFonts w:hint="eastAsia" w:cs="宋体"/>
          <w:kern w:val="2"/>
          <w:sz w:val="24"/>
          <w:szCs w:val="24"/>
        </w:rPr>
        <w:instrText xml:space="preserve"> TOC \o "1-3" \h \z \u </w:instrText>
      </w:r>
      <w:r>
        <w:rPr>
          <w:rFonts w:hint="eastAsia" w:cs="宋体"/>
          <w:kern w:val="2"/>
          <w:sz w:val="24"/>
          <w:szCs w:val="24"/>
        </w:rPr>
        <w:fldChar w:fldCharType="separate"/>
      </w:r>
      <w:r>
        <w:fldChar w:fldCharType="begin"/>
      </w:r>
      <w:r>
        <w:instrText xml:space="preserve"> HYPERLINK \l "_Toc2189" </w:instrText>
      </w:r>
      <w:r>
        <w:fldChar w:fldCharType="separate"/>
      </w:r>
      <w:r>
        <w:rPr>
          <w:rFonts w:hint="eastAsia" w:ascii="宋体" w:hAnsi="宋体" w:cs="宋体"/>
          <w:szCs w:val="36"/>
        </w:rPr>
        <w:t>第一部分磋商邀请函（供应商须知前附表）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_Toc2189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rPr>
        <w:fldChar w:fldCharType="end"/>
      </w:r>
    </w:p>
    <w:p w14:paraId="4A99406F">
      <w:pPr>
        <w:pStyle w:val="20"/>
        <w:tabs>
          <w:tab w:val="right" w:leader="hyphen" w:pos="9240"/>
          <w:tab w:val="clear" w:pos="8948"/>
        </w:tabs>
        <w:spacing w:line="480" w:lineRule="auto"/>
        <w:rPr>
          <w:rFonts w:cs="宋体"/>
          <w:b w:val="0"/>
          <w:bCs w:val="0"/>
        </w:rPr>
      </w:pPr>
      <w:r>
        <w:fldChar w:fldCharType="begin"/>
      </w:r>
      <w:r>
        <w:instrText xml:space="preserve"> HYPERLINK \l "_Toc26864" </w:instrText>
      </w:r>
      <w:r>
        <w:fldChar w:fldCharType="separate"/>
      </w:r>
      <w:r>
        <w:rPr>
          <w:rFonts w:hint="eastAsia" w:cs="宋体"/>
          <w:b w:val="0"/>
          <w:bCs w:val="0"/>
          <w:szCs w:val="36"/>
        </w:rPr>
        <w:t>第二部分供应商须知</w:t>
      </w:r>
      <w:r>
        <w:rPr>
          <w:rFonts w:hint="eastAsia" w:cs="宋体"/>
          <w:b w:val="0"/>
          <w:bCs w:val="0"/>
        </w:rPr>
        <w:tab/>
      </w:r>
      <w:r>
        <w:rPr>
          <w:rFonts w:hint="eastAsia" w:cs="宋体"/>
          <w:b w:val="0"/>
          <w:bCs w:val="0"/>
        </w:rPr>
        <w:fldChar w:fldCharType="begin"/>
      </w:r>
      <w:r>
        <w:rPr>
          <w:rFonts w:hint="eastAsia" w:cs="宋体"/>
          <w:b w:val="0"/>
          <w:bCs w:val="0"/>
        </w:rPr>
        <w:instrText xml:space="preserve"> PAGEREF _Toc26864 \h </w:instrText>
      </w:r>
      <w:r>
        <w:rPr>
          <w:rFonts w:hint="eastAsia" w:cs="宋体"/>
          <w:b w:val="0"/>
          <w:bCs w:val="0"/>
        </w:rPr>
        <w:fldChar w:fldCharType="separate"/>
      </w:r>
      <w:r>
        <w:rPr>
          <w:rFonts w:hint="eastAsia" w:cs="宋体"/>
          <w:b w:val="0"/>
          <w:bCs w:val="0"/>
        </w:rPr>
        <w:t>10</w:t>
      </w:r>
      <w:r>
        <w:rPr>
          <w:rFonts w:hint="eastAsia" w:cs="宋体"/>
          <w:b w:val="0"/>
          <w:bCs w:val="0"/>
        </w:rPr>
        <w:fldChar w:fldCharType="end"/>
      </w:r>
      <w:r>
        <w:rPr>
          <w:rFonts w:hint="eastAsia" w:cs="宋体"/>
          <w:b w:val="0"/>
          <w:bCs w:val="0"/>
        </w:rPr>
        <w:fldChar w:fldCharType="end"/>
      </w:r>
    </w:p>
    <w:p w14:paraId="7449C620">
      <w:pPr>
        <w:pStyle w:val="20"/>
        <w:tabs>
          <w:tab w:val="right" w:leader="hyphen" w:pos="9240"/>
          <w:tab w:val="clear" w:pos="8948"/>
        </w:tabs>
        <w:spacing w:line="480" w:lineRule="auto"/>
        <w:rPr>
          <w:rFonts w:cs="宋体"/>
          <w:b w:val="0"/>
          <w:bCs w:val="0"/>
        </w:rPr>
      </w:pPr>
      <w:r>
        <w:fldChar w:fldCharType="begin"/>
      </w:r>
      <w:r>
        <w:instrText xml:space="preserve"> HYPERLINK \l "_Toc12187" </w:instrText>
      </w:r>
      <w:r>
        <w:fldChar w:fldCharType="separate"/>
      </w:r>
      <w:r>
        <w:rPr>
          <w:rFonts w:hint="eastAsia" w:cs="宋体"/>
          <w:b w:val="0"/>
          <w:bCs w:val="0"/>
          <w:szCs w:val="28"/>
        </w:rPr>
        <w:t>第三部分采购内容及要求</w:t>
      </w:r>
      <w:r>
        <w:rPr>
          <w:rFonts w:hint="eastAsia" w:cs="宋体"/>
          <w:b w:val="0"/>
          <w:bCs w:val="0"/>
        </w:rPr>
        <w:tab/>
      </w:r>
      <w:r>
        <w:rPr>
          <w:rFonts w:hint="eastAsia" w:cs="宋体"/>
          <w:b w:val="0"/>
          <w:bCs w:val="0"/>
        </w:rPr>
        <w:fldChar w:fldCharType="begin"/>
      </w:r>
      <w:r>
        <w:rPr>
          <w:rFonts w:hint="eastAsia" w:cs="宋体"/>
          <w:b w:val="0"/>
          <w:bCs w:val="0"/>
        </w:rPr>
        <w:instrText xml:space="preserve"> PAGEREF _Toc12187 \h </w:instrText>
      </w:r>
      <w:r>
        <w:rPr>
          <w:rFonts w:hint="eastAsia" w:cs="宋体"/>
          <w:b w:val="0"/>
          <w:bCs w:val="0"/>
        </w:rPr>
        <w:fldChar w:fldCharType="separate"/>
      </w:r>
      <w:r>
        <w:rPr>
          <w:rFonts w:hint="eastAsia" w:cs="宋体"/>
          <w:b w:val="0"/>
          <w:bCs w:val="0"/>
        </w:rPr>
        <w:t>25</w:t>
      </w:r>
      <w:r>
        <w:rPr>
          <w:rFonts w:hint="eastAsia" w:cs="宋体"/>
          <w:b w:val="0"/>
          <w:bCs w:val="0"/>
        </w:rPr>
        <w:fldChar w:fldCharType="end"/>
      </w:r>
      <w:r>
        <w:rPr>
          <w:rFonts w:hint="eastAsia" w:cs="宋体"/>
          <w:b w:val="0"/>
          <w:bCs w:val="0"/>
        </w:rPr>
        <w:fldChar w:fldCharType="end"/>
      </w:r>
    </w:p>
    <w:p w14:paraId="4D42B7BB">
      <w:pPr>
        <w:pStyle w:val="20"/>
        <w:tabs>
          <w:tab w:val="right" w:leader="hyphen" w:pos="9240"/>
          <w:tab w:val="clear" w:pos="8948"/>
        </w:tabs>
        <w:spacing w:line="480" w:lineRule="auto"/>
        <w:rPr>
          <w:rFonts w:cs="宋体"/>
          <w:b w:val="0"/>
          <w:bCs w:val="0"/>
        </w:rPr>
      </w:pPr>
      <w:r>
        <w:fldChar w:fldCharType="begin"/>
      </w:r>
      <w:r>
        <w:instrText xml:space="preserve"> HYPERLINK \l "_Toc14167" </w:instrText>
      </w:r>
      <w:r>
        <w:fldChar w:fldCharType="separate"/>
      </w:r>
      <w:r>
        <w:rPr>
          <w:rFonts w:hint="eastAsia" w:cs="宋体"/>
          <w:b w:val="0"/>
          <w:bCs w:val="0"/>
          <w:szCs w:val="36"/>
        </w:rPr>
        <w:t>第四部分合同条款</w:t>
      </w:r>
      <w:r>
        <w:rPr>
          <w:rFonts w:hint="eastAsia" w:cs="宋体"/>
          <w:b w:val="0"/>
          <w:bCs w:val="0"/>
        </w:rPr>
        <w:tab/>
      </w:r>
      <w:r>
        <w:rPr>
          <w:rFonts w:hint="eastAsia" w:cs="宋体"/>
          <w:b w:val="0"/>
          <w:bCs w:val="0"/>
        </w:rPr>
        <w:fldChar w:fldCharType="begin"/>
      </w:r>
      <w:r>
        <w:rPr>
          <w:rFonts w:hint="eastAsia" w:cs="宋体"/>
          <w:b w:val="0"/>
          <w:bCs w:val="0"/>
        </w:rPr>
        <w:instrText xml:space="preserve"> PAGEREF _Toc14167 \h </w:instrText>
      </w:r>
      <w:r>
        <w:rPr>
          <w:rFonts w:hint="eastAsia" w:cs="宋体"/>
          <w:b w:val="0"/>
          <w:bCs w:val="0"/>
        </w:rPr>
        <w:fldChar w:fldCharType="separate"/>
      </w:r>
      <w:r>
        <w:rPr>
          <w:rFonts w:hint="eastAsia" w:cs="宋体"/>
          <w:b w:val="0"/>
          <w:bCs w:val="0"/>
        </w:rPr>
        <w:t>25</w:t>
      </w:r>
      <w:r>
        <w:rPr>
          <w:rFonts w:hint="eastAsia" w:cs="宋体"/>
          <w:b w:val="0"/>
          <w:bCs w:val="0"/>
        </w:rPr>
        <w:fldChar w:fldCharType="end"/>
      </w:r>
      <w:r>
        <w:rPr>
          <w:rFonts w:hint="eastAsia" w:cs="宋体"/>
          <w:b w:val="0"/>
          <w:bCs w:val="0"/>
        </w:rPr>
        <w:fldChar w:fldCharType="end"/>
      </w:r>
    </w:p>
    <w:p w14:paraId="138F4F63">
      <w:pPr>
        <w:pStyle w:val="20"/>
        <w:tabs>
          <w:tab w:val="right" w:leader="hyphen" w:pos="9240"/>
          <w:tab w:val="clear" w:pos="8948"/>
        </w:tabs>
        <w:spacing w:line="480" w:lineRule="auto"/>
        <w:rPr>
          <w:rFonts w:cs="宋体"/>
          <w:b w:val="0"/>
          <w:bCs w:val="0"/>
        </w:rPr>
      </w:pPr>
      <w:r>
        <w:fldChar w:fldCharType="begin"/>
      </w:r>
      <w:r>
        <w:instrText xml:space="preserve"> HYPERLINK \l "_Toc11746" </w:instrText>
      </w:r>
      <w:r>
        <w:fldChar w:fldCharType="separate"/>
      </w:r>
      <w:r>
        <w:rPr>
          <w:rFonts w:hint="eastAsia" w:cs="宋体"/>
          <w:b w:val="0"/>
          <w:bCs w:val="0"/>
          <w:szCs w:val="36"/>
        </w:rPr>
        <w:t>第五部分磋商响应文件格式</w:t>
      </w:r>
      <w:r>
        <w:rPr>
          <w:rFonts w:hint="eastAsia" w:cs="宋体"/>
          <w:b w:val="0"/>
          <w:bCs w:val="0"/>
        </w:rPr>
        <w:tab/>
      </w:r>
      <w:r>
        <w:rPr>
          <w:rFonts w:hint="eastAsia" w:cs="宋体"/>
          <w:b w:val="0"/>
          <w:bCs w:val="0"/>
        </w:rPr>
        <w:fldChar w:fldCharType="begin"/>
      </w:r>
      <w:r>
        <w:rPr>
          <w:rFonts w:hint="eastAsia" w:cs="宋体"/>
          <w:b w:val="0"/>
          <w:bCs w:val="0"/>
        </w:rPr>
        <w:instrText xml:space="preserve"> PAGEREF _Toc11746 \h </w:instrText>
      </w:r>
      <w:r>
        <w:rPr>
          <w:rFonts w:hint="eastAsia" w:cs="宋体"/>
          <w:b w:val="0"/>
          <w:bCs w:val="0"/>
        </w:rPr>
        <w:fldChar w:fldCharType="separate"/>
      </w:r>
      <w:r>
        <w:rPr>
          <w:rFonts w:hint="eastAsia" w:cs="宋体"/>
          <w:b w:val="0"/>
          <w:bCs w:val="0"/>
        </w:rPr>
        <w:t>44</w:t>
      </w:r>
      <w:r>
        <w:rPr>
          <w:rFonts w:hint="eastAsia" w:cs="宋体"/>
          <w:b w:val="0"/>
          <w:bCs w:val="0"/>
        </w:rPr>
        <w:fldChar w:fldCharType="end"/>
      </w:r>
      <w:r>
        <w:rPr>
          <w:rFonts w:hint="eastAsia" w:cs="宋体"/>
          <w:b w:val="0"/>
          <w:bCs w:val="0"/>
        </w:rPr>
        <w:fldChar w:fldCharType="end"/>
      </w:r>
    </w:p>
    <w:p w14:paraId="7BE54341">
      <w:pPr>
        <w:pStyle w:val="20"/>
        <w:tabs>
          <w:tab w:val="right" w:leader="hyphen" w:pos="9240"/>
          <w:tab w:val="clear" w:pos="8948"/>
        </w:tabs>
        <w:spacing w:line="480" w:lineRule="auto"/>
      </w:pPr>
      <w:r>
        <w:fldChar w:fldCharType="begin"/>
      </w:r>
      <w:r>
        <w:instrText xml:space="preserve"> HYPERLINK \l "_Toc26739" </w:instrText>
      </w:r>
      <w:r>
        <w:fldChar w:fldCharType="separate"/>
      </w:r>
      <w:r>
        <w:rPr>
          <w:rFonts w:hint="eastAsia" w:cs="宋体"/>
          <w:b w:val="0"/>
          <w:bCs w:val="0"/>
          <w:szCs w:val="22"/>
        </w:rPr>
        <w:t>第六部分确定成交供应商办法</w:t>
      </w:r>
      <w:r>
        <w:rPr>
          <w:rFonts w:hint="eastAsia" w:cs="宋体"/>
          <w:b w:val="0"/>
          <w:bCs w:val="0"/>
        </w:rPr>
        <w:tab/>
      </w:r>
      <w:r>
        <w:rPr>
          <w:rFonts w:hint="eastAsia" w:cs="宋体"/>
          <w:b w:val="0"/>
          <w:bCs w:val="0"/>
        </w:rPr>
        <w:fldChar w:fldCharType="begin"/>
      </w:r>
      <w:r>
        <w:rPr>
          <w:rFonts w:hint="eastAsia" w:cs="宋体"/>
          <w:b w:val="0"/>
          <w:bCs w:val="0"/>
        </w:rPr>
        <w:instrText xml:space="preserve"> PAGEREF _Toc26739 \h </w:instrText>
      </w:r>
      <w:r>
        <w:rPr>
          <w:rFonts w:hint="eastAsia" w:cs="宋体"/>
          <w:b w:val="0"/>
          <w:bCs w:val="0"/>
        </w:rPr>
        <w:fldChar w:fldCharType="separate"/>
      </w:r>
      <w:r>
        <w:rPr>
          <w:rFonts w:hint="eastAsia" w:cs="宋体"/>
          <w:b w:val="0"/>
          <w:bCs w:val="0"/>
        </w:rPr>
        <w:t>62</w:t>
      </w:r>
      <w:r>
        <w:rPr>
          <w:rFonts w:hint="eastAsia" w:cs="宋体"/>
          <w:b w:val="0"/>
          <w:bCs w:val="0"/>
        </w:rPr>
        <w:fldChar w:fldCharType="end"/>
      </w:r>
      <w:r>
        <w:rPr>
          <w:rFonts w:hint="eastAsia" w:cs="宋体"/>
          <w:b w:val="0"/>
          <w:bCs w:val="0"/>
        </w:rPr>
        <w:fldChar w:fldCharType="end"/>
      </w:r>
    </w:p>
    <w:p w14:paraId="255220F5">
      <w:pPr>
        <w:spacing w:line="276" w:lineRule="auto"/>
        <w:ind w:right="630"/>
        <w:jc w:val="center"/>
        <w:rPr>
          <w:rFonts w:ascii="宋体" w:hAnsi="宋体" w:cs="宋体"/>
          <w:bCs/>
          <w:kern w:val="2"/>
          <w:szCs w:val="24"/>
        </w:rPr>
      </w:pPr>
      <w:r>
        <w:rPr>
          <w:rFonts w:hint="eastAsia" w:ascii="宋体" w:hAnsi="宋体" w:cs="宋体"/>
          <w:bCs/>
          <w:kern w:val="2"/>
          <w:szCs w:val="24"/>
        </w:rPr>
        <w:fldChar w:fldCharType="end"/>
      </w:r>
      <w:bookmarkStart w:id="0" w:name="_Toc221356881"/>
      <w:bookmarkStart w:id="1" w:name="_Toc221423614"/>
      <w:bookmarkStart w:id="2" w:name="_Toc245191309"/>
      <w:bookmarkStart w:id="3" w:name="_Toc262105498"/>
      <w:bookmarkStart w:id="4" w:name="_Toc249758707"/>
      <w:bookmarkStart w:id="5" w:name="_Toc249758859"/>
      <w:bookmarkStart w:id="6" w:name="_Toc222114874"/>
      <w:bookmarkStart w:id="7" w:name="_Toc241404197"/>
      <w:bookmarkStart w:id="8" w:name="_Toc221356946"/>
      <w:bookmarkStart w:id="9" w:name="_Toc246261260"/>
      <w:bookmarkStart w:id="10" w:name="_Toc239145349"/>
      <w:bookmarkStart w:id="11" w:name="_Toc223715993"/>
      <w:bookmarkStart w:id="12" w:name="_Toc245722276"/>
      <w:bookmarkStart w:id="13" w:name="_Toc221374621"/>
      <w:bookmarkStart w:id="14" w:name="_Toc262049413"/>
      <w:bookmarkStart w:id="15" w:name="_Toc5096"/>
    </w:p>
    <w:p w14:paraId="5AC712B8">
      <w:pPr>
        <w:spacing w:line="276" w:lineRule="auto"/>
        <w:ind w:right="630"/>
        <w:jc w:val="center"/>
        <w:rPr>
          <w:rFonts w:ascii="宋体" w:hAnsi="宋体" w:cs="宋体"/>
          <w:bCs/>
          <w:kern w:val="2"/>
          <w:szCs w:val="24"/>
        </w:rPr>
      </w:pPr>
    </w:p>
    <w:p w14:paraId="22261422">
      <w:pPr>
        <w:spacing w:line="276" w:lineRule="auto"/>
        <w:ind w:right="630"/>
        <w:jc w:val="center"/>
        <w:rPr>
          <w:rFonts w:ascii="宋体" w:hAnsi="宋体" w:cs="宋体"/>
          <w:bCs/>
          <w:kern w:val="2"/>
          <w:szCs w:val="24"/>
        </w:rPr>
      </w:pPr>
    </w:p>
    <w:p w14:paraId="29DF166C">
      <w:pPr>
        <w:spacing w:line="276" w:lineRule="auto"/>
        <w:ind w:right="630"/>
        <w:jc w:val="center"/>
        <w:rPr>
          <w:rFonts w:ascii="宋体" w:hAnsi="宋体" w:cs="宋体"/>
          <w:bCs/>
          <w:kern w:val="2"/>
          <w:szCs w:val="24"/>
        </w:rPr>
      </w:pPr>
    </w:p>
    <w:p w14:paraId="6E6BFE4E">
      <w:pPr>
        <w:spacing w:line="276" w:lineRule="auto"/>
        <w:ind w:right="630"/>
        <w:jc w:val="center"/>
        <w:rPr>
          <w:rFonts w:ascii="宋体" w:hAnsi="宋体" w:cs="宋体"/>
          <w:bCs/>
          <w:kern w:val="2"/>
          <w:szCs w:val="24"/>
        </w:rPr>
      </w:pPr>
    </w:p>
    <w:p w14:paraId="4007E4B5">
      <w:pPr>
        <w:spacing w:line="276" w:lineRule="auto"/>
        <w:ind w:right="630"/>
        <w:jc w:val="center"/>
        <w:rPr>
          <w:rFonts w:ascii="宋体" w:hAnsi="宋体" w:cs="宋体"/>
          <w:bCs/>
          <w:kern w:val="2"/>
          <w:szCs w:val="24"/>
        </w:rPr>
      </w:pPr>
    </w:p>
    <w:p w14:paraId="09DDBCAA">
      <w:pPr>
        <w:spacing w:line="276" w:lineRule="auto"/>
        <w:ind w:right="630"/>
        <w:jc w:val="center"/>
        <w:rPr>
          <w:rFonts w:ascii="宋体" w:hAnsi="宋体" w:cs="宋体"/>
          <w:bCs/>
          <w:kern w:val="2"/>
          <w:szCs w:val="24"/>
        </w:rPr>
      </w:pPr>
    </w:p>
    <w:p w14:paraId="1A9B6F1F">
      <w:pPr>
        <w:spacing w:line="276" w:lineRule="auto"/>
        <w:ind w:right="630"/>
        <w:jc w:val="center"/>
        <w:rPr>
          <w:rFonts w:ascii="宋体" w:hAnsi="宋体" w:cs="宋体"/>
          <w:bCs/>
          <w:kern w:val="2"/>
          <w:szCs w:val="24"/>
        </w:rPr>
      </w:pPr>
    </w:p>
    <w:p w14:paraId="5802B5ED">
      <w:pPr>
        <w:spacing w:line="276" w:lineRule="auto"/>
        <w:ind w:right="630"/>
        <w:jc w:val="center"/>
        <w:rPr>
          <w:rFonts w:ascii="宋体" w:hAnsi="宋体" w:cs="宋体"/>
          <w:bCs/>
          <w:kern w:val="2"/>
          <w:szCs w:val="24"/>
        </w:rPr>
      </w:pPr>
    </w:p>
    <w:p w14:paraId="7B0A31BE">
      <w:pPr>
        <w:spacing w:line="276" w:lineRule="auto"/>
        <w:ind w:right="630"/>
        <w:jc w:val="center"/>
        <w:rPr>
          <w:rFonts w:ascii="宋体" w:hAnsi="宋体" w:cs="宋体"/>
          <w:bCs/>
          <w:kern w:val="2"/>
          <w:szCs w:val="24"/>
        </w:rPr>
      </w:pPr>
    </w:p>
    <w:p w14:paraId="51232E66">
      <w:pPr>
        <w:spacing w:line="276" w:lineRule="auto"/>
        <w:ind w:right="630"/>
        <w:jc w:val="center"/>
        <w:rPr>
          <w:rFonts w:ascii="宋体" w:hAnsi="宋体" w:cs="宋体"/>
          <w:bCs/>
          <w:kern w:val="2"/>
          <w:szCs w:val="24"/>
        </w:rPr>
      </w:pPr>
    </w:p>
    <w:p w14:paraId="4DB7D9F1">
      <w:pPr>
        <w:spacing w:line="276" w:lineRule="auto"/>
        <w:ind w:right="630"/>
        <w:jc w:val="center"/>
        <w:rPr>
          <w:rFonts w:ascii="宋体" w:hAnsi="宋体" w:cs="宋体"/>
          <w:bCs/>
          <w:kern w:val="2"/>
          <w:szCs w:val="24"/>
        </w:rPr>
      </w:pPr>
    </w:p>
    <w:p w14:paraId="2130D90E">
      <w:pPr>
        <w:spacing w:line="276" w:lineRule="auto"/>
        <w:ind w:right="630"/>
        <w:jc w:val="center"/>
        <w:rPr>
          <w:rFonts w:ascii="宋体" w:hAnsi="宋体" w:cs="宋体"/>
          <w:bCs/>
          <w:kern w:val="2"/>
          <w:szCs w:val="24"/>
        </w:rPr>
      </w:pPr>
    </w:p>
    <w:p w14:paraId="6A03B424">
      <w:pPr>
        <w:spacing w:line="276" w:lineRule="auto"/>
        <w:ind w:right="630"/>
        <w:jc w:val="center"/>
        <w:rPr>
          <w:rFonts w:ascii="宋体" w:hAnsi="宋体" w:cs="宋体"/>
          <w:bCs/>
          <w:kern w:val="2"/>
          <w:szCs w:val="24"/>
        </w:rPr>
      </w:pPr>
    </w:p>
    <w:p w14:paraId="2B22C2EA">
      <w:pPr>
        <w:spacing w:line="276" w:lineRule="auto"/>
        <w:ind w:right="630"/>
        <w:jc w:val="center"/>
        <w:rPr>
          <w:rFonts w:ascii="宋体" w:hAnsi="宋体" w:cs="宋体"/>
          <w:bCs/>
          <w:kern w:val="2"/>
          <w:szCs w:val="24"/>
        </w:rPr>
      </w:pPr>
    </w:p>
    <w:p w14:paraId="6F9C4BD1">
      <w:pPr>
        <w:spacing w:line="276" w:lineRule="auto"/>
        <w:ind w:right="630"/>
        <w:jc w:val="center"/>
        <w:rPr>
          <w:rFonts w:ascii="宋体" w:hAnsi="宋体" w:cs="宋体"/>
          <w:bCs/>
          <w:kern w:val="2"/>
          <w:szCs w:val="24"/>
        </w:rPr>
      </w:pPr>
    </w:p>
    <w:p w14:paraId="5A1595B3">
      <w:pPr>
        <w:spacing w:line="276" w:lineRule="auto"/>
        <w:ind w:right="630"/>
        <w:jc w:val="center"/>
        <w:rPr>
          <w:rFonts w:ascii="宋体" w:hAnsi="宋体" w:cs="宋体"/>
          <w:bCs/>
          <w:kern w:val="2"/>
          <w:szCs w:val="24"/>
        </w:rPr>
      </w:pPr>
    </w:p>
    <w:p w14:paraId="091CC8C6">
      <w:pPr>
        <w:spacing w:line="276" w:lineRule="auto"/>
        <w:ind w:right="630"/>
        <w:jc w:val="center"/>
        <w:rPr>
          <w:rFonts w:ascii="宋体" w:hAnsi="宋体" w:cs="宋体"/>
          <w:bCs/>
          <w:kern w:val="2"/>
          <w:szCs w:val="24"/>
        </w:rPr>
      </w:pPr>
    </w:p>
    <w:p w14:paraId="304F181E">
      <w:pPr>
        <w:spacing w:line="276" w:lineRule="auto"/>
        <w:ind w:right="630"/>
        <w:jc w:val="center"/>
        <w:rPr>
          <w:rFonts w:ascii="宋体" w:hAnsi="宋体" w:cs="宋体"/>
          <w:bCs/>
          <w:kern w:val="2"/>
          <w:szCs w:val="24"/>
        </w:rPr>
      </w:pPr>
    </w:p>
    <w:p w14:paraId="655CF59D">
      <w:pPr>
        <w:spacing w:line="276" w:lineRule="auto"/>
        <w:ind w:right="630"/>
        <w:jc w:val="center"/>
        <w:rPr>
          <w:rFonts w:ascii="宋体" w:hAnsi="宋体" w:cs="宋体"/>
          <w:bCs/>
          <w:kern w:val="2"/>
          <w:szCs w:val="24"/>
        </w:rPr>
      </w:pPr>
    </w:p>
    <w:p w14:paraId="3A476326">
      <w:pPr>
        <w:spacing w:line="276" w:lineRule="auto"/>
        <w:ind w:right="630"/>
        <w:jc w:val="center"/>
        <w:rPr>
          <w:rFonts w:ascii="宋体" w:hAnsi="宋体" w:cs="宋体"/>
          <w:bCs/>
          <w:kern w:val="2"/>
          <w:szCs w:val="24"/>
        </w:rPr>
      </w:pPr>
    </w:p>
    <w:p w14:paraId="5FB37DD9">
      <w:pPr>
        <w:spacing w:line="276" w:lineRule="auto"/>
        <w:ind w:right="630"/>
        <w:jc w:val="center"/>
        <w:rPr>
          <w:rFonts w:ascii="宋体" w:hAnsi="宋体" w:cs="宋体"/>
          <w:bCs/>
          <w:kern w:val="2"/>
          <w:szCs w:val="24"/>
        </w:rPr>
      </w:pPr>
    </w:p>
    <w:p w14:paraId="03EFCDE5">
      <w:pPr>
        <w:spacing w:line="276" w:lineRule="auto"/>
        <w:ind w:right="630"/>
        <w:jc w:val="center"/>
        <w:rPr>
          <w:rFonts w:ascii="宋体" w:hAnsi="宋体" w:cs="宋体"/>
          <w:bCs/>
          <w:kern w:val="2"/>
          <w:szCs w:val="24"/>
        </w:rPr>
      </w:pPr>
    </w:p>
    <w:p w14:paraId="21BA786D">
      <w:pPr>
        <w:spacing w:line="276" w:lineRule="auto"/>
        <w:ind w:right="630"/>
        <w:jc w:val="center"/>
        <w:rPr>
          <w:rFonts w:ascii="宋体" w:hAnsi="宋体" w:cs="宋体"/>
          <w:b/>
          <w:bCs/>
          <w:sz w:val="36"/>
          <w:szCs w:val="36"/>
        </w:rPr>
      </w:pPr>
      <w:r>
        <w:rPr>
          <w:rFonts w:hint="eastAsia" w:ascii="宋体" w:hAnsi="宋体" w:cs="宋体"/>
          <w:b/>
          <w:bCs/>
          <w:sz w:val="36"/>
          <w:szCs w:val="36"/>
        </w:rPr>
        <w:t>关于永嘉县银坑铅锌矿（山根村）历史遗留废渣治理工程全过程咨询服务的竞争性磋商公告</w:t>
      </w:r>
    </w:p>
    <w:p w14:paraId="09AAA3D9">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浙江三凯工程管理有限公司受永嘉县金溪镇人民政府委托，就永嘉县银坑铅锌矿（山根村）历史遗留废渣治理工程全过程咨询服务以竞争性磋商方式进行采购，欢迎国内合格的供应商前来磋商。</w:t>
      </w:r>
    </w:p>
    <w:p w14:paraId="1EC18627">
      <w:pPr>
        <w:widowControl w:val="0"/>
        <w:ind w:firstLine="540" w:firstLineChars="200"/>
        <w:rPr>
          <w:rFonts w:hint="eastAsia" w:ascii="仿宋" w:hAnsi="仿宋" w:eastAsia="仿宋" w:cs="仿宋"/>
          <w:color w:val="000000"/>
          <w:sz w:val="27"/>
          <w:szCs w:val="27"/>
        </w:rPr>
      </w:pPr>
      <w:r>
        <w:rPr>
          <w:rFonts w:hint="eastAsia" w:ascii="仿宋" w:hAnsi="仿宋" w:eastAsia="仿宋" w:cs="仿宋"/>
          <w:color w:val="000000"/>
          <w:sz w:val="27"/>
          <w:szCs w:val="27"/>
        </w:rPr>
        <w:t>一、项目编号:ZJSKCG-2025-0417</w:t>
      </w:r>
    </w:p>
    <w:p w14:paraId="621259B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二、采购类型：分散委托采购</w:t>
      </w:r>
    </w:p>
    <w:p w14:paraId="7509D09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三、项目概况（内容、用途、数量、简要技术要求等）：</w:t>
      </w:r>
    </w:p>
    <w:tbl>
      <w:tblPr>
        <w:tblStyle w:val="29"/>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27"/>
        <w:gridCol w:w="855"/>
        <w:gridCol w:w="1383"/>
        <w:gridCol w:w="3413"/>
      </w:tblGrid>
      <w:tr w14:paraId="5D52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65" w:type="dxa"/>
            <w:vAlign w:val="center"/>
          </w:tcPr>
          <w:p w14:paraId="1495549B">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序号</w:t>
            </w:r>
          </w:p>
        </w:tc>
        <w:tc>
          <w:tcPr>
            <w:tcW w:w="3427" w:type="dxa"/>
            <w:vAlign w:val="center"/>
          </w:tcPr>
          <w:p w14:paraId="3FDB8710">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标项内容</w:t>
            </w:r>
          </w:p>
        </w:tc>
        <w:tc>
          <w:tcPr>
            <w:tcW w:w="855" w:type="dxa"/>
            <w:vAlign w:val="center"/>
          </w:tcPr>
          <w:p w14:paraId="63D958F6">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数量</w:t>
            </w:r>
          </w:p>
        </w:tc>
        <w:tc>
          <w:tcPr>
            <w:tcW w:w="1383" w:type="dxa"/>
            <w:vAlign w:val="center"/>
          </w:tcPr>
          <w:p w14:paraId="2436C1A4">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总预算（万元）</w:t>
            </w:r>
          </w:p>
        </w:tc>
        <w:tc>
          <w:tcPr>
            <w:tcW w:w="3413" w:type="dxa"/>
            <w:vAlign w:val="center"/>
          </w:tcPr>
          <w:p w14:paraId="63AF761C">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简要技术要求、用途</w:t>
            </w:r>
          </w:p>
        </w:tc>
      </w:tr>
      <w:tr w14:paraId="15F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65" w:type="dxa"/>
            <w:vAlign w:val="center"/>
          </w:tcPr>
          <w:p w14:paraId="54242184">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1</w:t>
            </w:r>
          </w:p>
        </w:tc>
        <w:tc>
          <w:tcPr>
            <w:tcW w:w="3427" w:type="dxa"/>
            <w:vAlign w:val="center"/>
          </w:tcPr>
          <w:p w14:paraId="0926A0BE">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 xml:space="preserve"> 永嘉县银坑铅锌矿（山根村）历史遗留废渣治理工程全过程咨询服务</w:t>
            </w:r>
          </w:p>
        </w:tc>
        <w:tc>
          <w:tcPr>
            <w:tcW w:w="855" w:type="dxa"/>
            <w:vAlign w:val="center"/>
          </w:tcPr>
          <w:p w14:paraId="29F1600F">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1项</w:t>
            </w:r>
          </w:p>
        </w:tc>
        <w:tc>
          <w:tcPr>
            <w:tcW w:w="1383" w:type="dxa"/>
            <w:vAlign w:val="center"/>
          </w:tcPr>
          <w:p w14:paraId="2BFEDA6B">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52</w:t>
            </w:r>
          </w:p>
        </w:tc>
        <w:tc>
          <w:tcPr>
            <w:tcW w:w="3413" w:type="dxa"/>
            <w:vAlign w:val="center"/>
          </w:tcPr>
          <w:p w14:paraId="6B0E12D6">
            <w:pPr>
              <w:widowControl w:val="0"/>
              <w:jc w:val="center"/>
              <w:rPr>
                <w:rFonts w:ascii="仿宋" w:hAnsi="仿宋" w:eastAsia="仿宋" w:cs="仿宋"/>
                <w:color w:val="000000"/>
                <w:sz w:val="27"/>
                <w:szCs w:val="27"/>
              </w:rPr>
            </w:pPr>
            <w:r>
              <w:rPr>
                <w:rFonts w:hint="eastAsia" w:ascii="仿宋" w:hAnsi="仿宋" w:eastAsia="仿宋" w:cs="仿宋"/>
                <w:color w:val="000000"/>
                <w:sz w:val="27"/>
                <w:szCs w:val="27"/>
              </w:rPr>
              <w:t>具体采购内容及详细技术要求见磋商文件第三部分</w:t>
            </w:r>
          </w:p>
        </w:tc>
      </w:tr>
    </w:tbl>
    <w:p w14:paraId="0616D696">
      <w:pPr>
        <w:widowControl w:val="0"/>
        <w:ind w:firstLine="540" w:firstLineChars="200"/>
        <w:rPr>
          <w:sz w:val="27"/>
          <w:szCs w:val="27"/>
        </w:rPr>
      </w:pPr>
      <w:bookmarkStart w:id="16" w:name="B09_招标内容"/>
      <w:bookmarkEnd w:id="16"/>
      <w:r>
        <w:rPr>
          <w:rFonts w:hint="eastAsia" w:ascii="仿宋" w:hAnsi="仿宋" w:eastAsia="仿宋" w:cs="仿宋"/>
          <w:sz w:val="27"/>
          <w:szCs w:val="27"/>
        </w:rPr>
        <w:t>四、</w:t>
      </w:r>
      <w:r>
        <w:rPr>
          <w:rFonts w:hint="eastAsia" w:ascii="仿宋" w:hAnsi="仿宋" w:eastAsia="仿宋" w:cs="仿宋"/>
          <w:color w:val="000000"/>
          <w:sz w:val="27"/>
          <w:szCs w:val="27"/>
        </w:rPr>
        <w:t>磋商供应商资格要求：</w:t>
      </w:r>
    </w:p>
    <w:p w14:paraId="3532DDF5">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1、符合《中华人民共和国政府采购法》第二十二条的规定：</w:t>
      </w:r>
    </w:p>
    <w:p w14:paraId="7B79D2F2">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2、单位负责人为同一人或者存在直接控股、管理关系的不同供应商，不得参加同一合同项下的采购活动；</w:t>
      </w:r>
    </w:p>
    <w:p w14:paraId="0B9E910B">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3、落实政府采购政策需满足的资格要求：本项目整体专门面向中小企业采购，投标供应商应为中小企业。中小企业是指符合《政府采购促进中小企业发展管理办法》（财库〔2020〕46号）第二条规定的企业。监狱企业、残疾人福利性单位视同小型、微型企业。</w:t>
      </w:r>
    </w:p>
    <w:p w14:paraId="5D2F01AD">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xml:space="preserve"> </w:t>
      </w:r>
    </w:p>
    <w:p w14:paraId="6F6029E7">
      <w:pPr>
        <w:numPr>
          <w:ilvl w:val="0"/>
          <w:numId w:val="3"/>
        </w:numPr>
        <w:autoSpaceDE w:val="0"/>
        <w:autoSpaceDN w:val="0"/>
        <w:spacing w:line="460" w:lineRule="exact"/>
        <w:ind w:firstLine="540" w:firstLineChars="200"/>
        <w:rPr>
          <w:rFonts w:ascii="仿宋" w:hAnsi="仿宋" w:eastAsia="仿宋" w:cs="仿宋"/>
          <w:color w:val="FF0000"/>
          <w:sz w:val="27"/>
          <w:szCs w:val="27"/>
        </w:rPr>
      </w:pPr>
      <w:r>
        <w:rPr>
          <w:rFonts w:hint="eastAsia" w:ascii="仿宋" w:hAnsi="仿宋" w:eastAsia="仿宋" w:cs="仿宋"/>
          <w:color w:val="FF0000"/>
          <w:sz w:val="27"/>
          <w:szCs w:val="27"/>
        </w:rPr>
        <w:t>本项目的特定资格要求：本次招标要求投标人须同时具备①、②两种资质或由①、②)两种资质组成联合体投标。</w:t>
      </w:r>
    </w:p>
    <w:p w14:paraId="57347DE0">
      <w:pPr>
        <w:numPr>
          <w:ilvl w:val="0"/>
          <w:numId w:val="4"/>
        </w:numPr>
        <w:autoSpaceDE w:val="0"/>
        <w:autoSpaceDN w:val="0"/>
        <w:spacing w:line="460" w:lineRule="exact"/>
        <w:ind w:firstLine="540" w:firstLineChars="200"/>
        <w:rPr>
          <w:rFonts w:ascii="仿宋" w:hAnsi="仿宋" w:eastAsia="仿宋" w:cs="仿宋"/>
          <w:color w:val="FF0000"/>
          <w:sz w:val="27"/>
          <w:szCs w:val="27"/>
        </w:rPr>
      </w:pPr>
      <w:r>
        <w:rPr>
          <w:rFonts w:hint="eastAsia" w:ascii="仿宋" w:hAnsi="仿宋" w:eastAsia="仿宋" w:cs="仿宋"/>
          <w:color w:val="FF0000"/>
          <w:sz w:val="27"/>
          <w:szCs w:val="27"/>
        </w:rPr>
        <w:t>、①省级及以上建设项目环境监理资格推荐证书乙级及以上资质(含“社会服务”或“社会区域”类别)、②工程监理综合资质或具备市政工程监理乙级及以上资质。</w:t>
      </w:r>
    </w:p>
    <w:p w14:paraId="13CDD710">
      <w:pPr>
        <w:autoSpaceDE w:val="0"/>
        <w:autoSpaceDN w:val="0"/>
        <w:spacing w:line="460" w:lineRule="exact"/>
        <w:ind w:firstLine="540" w:firstLineChars="200"/>
        <w:rPr>
          <w:rFonts w:ascii="仿宋" w:hAnsi="仿宋" w:eastAsia="仿宋" w:cs="仿宋"/>
          <w:color w:val="FF0000"/>
          <w:sz w:val="27"/>
          <w:szCs w:val="27"/>
        </w:rPr>
      </w:pPr>
      <w:r>
        <w:rPr>
          <w:rFonts w:hint="eastAsia" w:ascii="仿宋" w:hAnsi="仿宋" w:eastAsia="仿宋" w:cs="仿宋"/>
          <w:color w:val="FF0000"/>
          <w:sz w:val="27"/>
          <w:szCs w:val="27"/>
        </w:rPr>
        <w:t>2）拟派项目总负责人须具备：须具备注册环保工程师或国家注册一级建筑师或国家级注册监理工程师或注册一级建造师或国家注册一级造价工程师资格。</w:t>
      </w:r>
    </w:p>
    <w:p w14:paraId="5AC04EBD">
      <w:pPr>
        <w:autoSpaceDE w:val="0"/>
        <w:autoSpaceDN w:val="0"/>
        <w:spacing w:line="460" w:lineRule="exact"/>
        <w:ind w:firstLine="540" w:firstLineChars="200"/>
        <w:rPr>
          <w:rFonts w:ascii="仿宋" w:hAnsi="仿宋" w:eastAsia="仿宋" w:cs="仿宋"/>
          <w:color w:val="0000FF"/>
          <w:sz w:val="27"/>
          <w:szCs w:val="27"/>
        </w:rPr>
      </w:pPr>
      <w:r>
        <w:rPr>
          <w:rFonts w:hint="eastAsia" w:ascii="仿宋" w:hAnsi="仿宋" w:eastAsia="仿宋" w:cs="仿宋"/>
          <w:sz w:val="27"/>
          <w:szCs w:val="27"/>
        </w:rPr>
        <w:t>5、本项目接受联合体磋商，联合体成员（含联合体牵头人）个数不得超过3个</w:t>
      </w:r>
      <w:r>
        <w:rPr>
          <w:rFonts w:hint="eastAsia" w:ascii="仿宋" w:hAnsi="仿宋" w:eastAsia="仿宋" w:cs="仿宋"/>
          <w:color w:val="0000FF"/>
          <w:sz w:val="27"/>
          <w:szCs w:val="27"/>
        </w:rPr>
        <w:t>。</w:t>
      </w:r>
    </w:p>
    <w:p w14:paraId="1E997EE8">
      <w:pPr>
        <w:widowControl w:val="0"/>
        <w:ind w:firstLine="540" w:firstLineChars="200"/>
        <w:rPr>
          <w:rFonts w:ascii="仿宋" w:hAnsi="仿宋" w:eastAsia="仿宋" w:cs="仿宋"/>
          <w:color w:val="000000"/>
          <w:sz w:val="27"/>
          <w:szCs w:val="27"/>
        </w:rPr>
      </w:pPr>
      <w:bookmarkStart w:id="17" w:name="_Toc18685"/>
      <w:bookmarkStart w:id="18" w:name="_Toc31342"/>
      <w:bookmarkStart w:id="19" w:name="_Toc6271"/>
      <w:r>
        <w:rPr>
          <w:rFonts w:hint="eastAsia" w:ascii="仿宋" w:hAnsi="仿宋" w:eastAsia="仿宋" w:cs="仿宋"/>
          <w:color w:val="000000"/>
          <w:sz w:val="27"/>
          <w:szCs w:val="27"/>
        </w:rPr>
        <w:t>五、获取（下载）磋商文件</w:t>
      </w:r>
    </w:p>
    <w:p w14:paraId="01A64062">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时间：磋商公告发布之日至投标截止时间为止，每天上午00:00至12:00，下午12:00至23:59（北京时间，线上获取法定节假日均可，线下获取文件法定节假日除外）</w:t>
      </w:r>
    </w:p>
    <w:p w14:paraId="6200A89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地点（网址）：政采云平台（浙江政府采购网） </w:t>
      </w:r>
    </w:p>
    <w:p w14:paraId="4E51BE5E">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方式：政采云平台在线获取 </w:t>
      </w:r>
    </w:p>
    <w:p w14:paraId="310102F4">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售价（元）：0</w:t>
      </w:r>
    </w:p>
    <w:p w14:paraId="0EDB0636">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六、响应文件提交</w:t>
      </w:r>
    </w:p>
    <w:p w14:paraId="038A089B">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截止时间：2025年  月  日09:30（北京时间）</w:t>
      </w:r>
    </w:p>
    <w:p w14:paraId="6178E49E">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地点（网址）：政采云平台在线提交 </w:t>
      </w:r>
    </w:p>
    <w:p w14:paraId="75E77815">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七、响应文件开启 </w:t>
      </w:r>
    </w:p>
    <w:p w14:paraId="4BF6B30B">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开启时间：2025年  月  日09:30（北京时间）</w:t>
      </w:r>
    </w:p>
    <w:p w14:paraId="523F78BF">
      <w:pPr>
        <w:widowControl w:val="0"/>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地点（网址）：政采云平台在线提交 </w:t>
      </w:r>
    </w:p>
    <w:p w14:paraId="680829BA">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八、公告期限</w:t>
      </w:r>
    </w:p>
    <w:p w14:paraId="1C35A575">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    自本公告发布之日起3个工作日。</w:t>
      </w:r>
    </w:p>
    <w:p w14:paraId="511927A9">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九、其他补充事宜 </w:t>
      </w:r>
    </w:p>
    <w:bookmarkEnd w:id="17"/>
    <w:bookmarkEnd w:id="18"/>
    <w:bookmarkEnd w:id="19"/>
    <w:p w14:paraId="4D135409">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十、其他事项：</w:t>
      </w:r>
      <w:bookmarkStart w:id="20" w:name="_Toc10441"/>
      <w:bookmarkStart w:id="21" w:name="_Toc28385"/>
      <w:bookmarkStart w:id="22" w:name="_Toc26440"/>
      <w:r>
        <w:rPr>
          <w:rFonts w:hint="eastAsia" w:ascii="仿宋" w:hAnsi="仿宋" w:eastAsia="仿宋" w:cs="仿宋"/>
          <w:color w:val="000000"/>
          <w:sz w:val="27"/>
          <w:szCs w:val="27"/>
        </w:rPr>
        <w:t>/</w:t>
      </w:r>
    </w:p>
    <w:p w14:paraId="798BCEB5">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sz w:val="27"/>
          <w:szCs w:val="27"/>
          <w:u w:val="single"/>
        </w:rPr>
        <w:t>潜在供应商需在浙江政府采购网https://zfcg.czt.zj.gov.cn/进行免费注册，具体详见浙江政府采购网供应商注册要求（中标供应商必须在签订合同前成为浙江政府采购网正式注册供应商</w:t>
      </w:r>
      <w:bookmarkEnd w:id="20"/>
      <w:bookmarkEnd w:id="21"/>
      <w:bookmarkEnd w:id="22"/>
    </w:p>
    <w:p w14:paraId="0385F61C">
      <w:pPr>
        <w:widowControl w:val="0"/>
        <w:spacing w:line="236" w:lineRule="auto"/>
        <w:rPr>
          <w:rFonts w:ascii="仿宋" w:hAnsi="仿宋" w:eastAsia="仿宋" w:cs="仿宋"/>
          <w:color w:val="000000"/>
          <w:sz w:val="27"/>
          <w:szCs w:val="27"/>
        </w:rPr>
      </w:pPr>
      <w:r>
        <w:rPr>
          <w:rFonts w:hint="eastAsia" w:ascii="仿宋" w:hAnsi="仿宋" w:eastAsia="仿宋" w:cs="仿宋"/>
          <w:color w:val="000000"/>
          <w:sz w:val="27"/>
          <w:szCs w:val="27"/>
        </w:rPr>
        <w:t>书面质疑受理地点：浙江省温州市鹿城区南汇街道温州大道铁道大厦701室，联系人：郑先生，联系电话：13566224125</w:t>
      </w:r>
    </w:p>
    <w:p w14:paraId="453F497E">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十一、联系方式</w:t>
      </w:r>
    </w:p>
    <w:p w14:paraId="27F33EE4">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1、采购人：永嘉县金溪镇人民政府</w:t>
      </w:r>
    </w:p>
    <w:p w14:paraId="39C07BAF">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联系人：张先生</w:t>
      </w:r>
    </w:p>
    <w:p w14:paraId="2855ADA9">
      <w:pPr>
        <w:widowControl w:val="0"/>
        <w:spacing w:line="236" w:lineRule="auto"/>
        <w:ind w:firstLine="540" w:firstLineChars="200"/>
        <w:rPr>
          <w:rFonts w:ascii="仿宋" w:hAnsi="仿宋" w:eastAsia="仿宋" w:cs="仿宋"/>
          <w:color w:val="000000"/>
          <w:sz w:val="27"/>
          <w:szCs w:val="27"/>
          <w:u w:val="single"/>
        </w:rPr>
      </w:pPr>
      <w:r>
        <w:rPr>
          <w:rFonts w:hint="eastAsia" w:ascii="仿宋" w:hAnsi="仿宋" w:eastAsia="仿宋" w:cs="仿宋"/>
          <w:color w:val="000000"/>
          <w:sz w:val="27"/>
          <w:szCs w:val="27"/>
        </w:rPr>
        <w:t>电话：18911757766</w:t>
      </w:r>
    </w:p>
    <w:p w14:paraId="79F3F200">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2、招标代理机构：浙江三凯工程管理有限公司</w:t>
      </w:r>
    </w:p>
    <w:p w14:paraId="1E97E064">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地址：浙江省温州市鹿城区南汇街道温州大道铁道大厦701室</w:t>
      </w:r>
    </w:p>
    <w:p w14:paraId="43880F81">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联系人：郑先生、王先生</w:t>
      </w:r>
    </w:p>
    <w:p w14:paraId="55C7A406">
      <w:pPr>
        <w:widowControl w:val="0"/>
        <w:spacing w:line="236" w:lineRule="auto"/>
        <w:ind w:firstLine="540" w:firstLineChars="200"/>
        <w:rPr>
          <w:rFonts w:ascii="仿宋" w:hAnsi="仿宋" w:eastAsia="仿宋" w:cs="仿宋"/>
          <w:color w:val="000000"/>
          <w:sz w:val="27"/>
          <w:szCs w:val="27"/>
        </w:rPr>
      </w:pPr>
      <w:r>
        <w:rPr>
          <w:rFonts w:hint="eastAsia" w:ascii="仿宋" w:hAnsi="仿宋" w:eastAsia="仿宋" w:cs="仿宋"/>
          <w:color w:val="000000"/>
          <w:sz w:val="27"/>
          <w:szCs w:val="27"/>
        </w:rPr>
        <w:t>联系电话：18814094460、13566224125</w:t>
      </w:r>
    </w:p>
    <w:p w14:paraId="66EC640D">
      <w:pPr>
        <w:widowControl w:val="0"/>
        <w:spacing w:line="236" w:lineRule="auto"/>
        <w:ind w:firstLine="540" w:firstLineChars="200"/>
        <w:rPr>
          <w:rFonts w:ascii="仿宋" w:hAnsi="仿宋" w:eastAsia="仿宋" w:cs="仿宋"/>
          <w:sz w:val="27"/>
          <w:szCs w:val="27"/>
        </w:rPr>
      </w:pPr>
      <w:r>
        <w:rPr>
          <w:rFonts w:hint="eastAsia" w:ascii="仿宋" w:hAnsi="仿宋" w:eastAsia="仿宋" w:cs="仿宋"/>
          <w:sz w:val="27"/>
          <w:szCs w:val="27"/>
        </w:rPr>
        <w:t>3、采购监督管理部门名称：</w:t>
      </w:r>
      <w:r>
        <w:rPr>
          <w:rFonts w:hint="eastAsia" w:ascii="仿宋" w:hAnsi="仿宋" w:eastAsia="仿宋" w:cs="仿宋"/>
          <w:color w:val="000000"/>
          <w:sz w:val="27"/>
          <w:szCs w:val="27"/>
        </w:rPr>
        <w:t>温州市永嘉县财政局 </w:t>
      </w:r>
    </w:p>
    <w:p w14:paraId="15C739D1">
      <w:pPr>
        <w:widowControl w:val="0"/>
        <w:spacing w:line="236" w:lineRule="auto"/>
        <w:ind w:firstLine="540" w:firstLineChars="200"/>
        <w:rPr>
          <w:rFonts w:ascii="仿宋" w:hAnsi="仿宋" w:eastAsia="仿宋" w:cs="仿宋"/>
          <w:sz w:val="27"/>
          <w:szCs w:val="27"/>
        </w:rPr>
      </w:pPr>
      <w:r>
        <w:rPr>
          <w:rFonts w:hint="eastAsia" w:ascii="仿宋" w:hAnsi="仿宋" w:eastAsia="仿宋" w:cs="仿宋"/>
          <w:color w:val="000000"/>
          <w:sz w:val="27"/>
          <w:szCs w:val="27"/>
        </w:rPr>
        <w:t>联系电话：</w:t>
      </w:r>
      <w:r>
        <w:rPr>
          <w:rFonts w:hint="eastAsia" w:ascii="仿宋" w:hAnsi="仿宋" w:eastAsia="仿宋" w:cs="仿宋"/>
          <w:sz w:val="27"/>
          <w:szCs w:val="27"/>
        </w:rPr>
        <w:t>0577-67230257</w:t>
      </w:r>
    </w:p>
    <w:p w14:paraId="1701BA68">
      <w:pPr>
        <w:widowControl w:val="0"/>
        <w:spacing w:line="236" w:lineRule="auto"/>
        <w:ind w:firstLine="540" w:firstLineChars="200"/>
        <w:rPr>
          <w:rFonts w:ascii="仿宋" w:hAnsi="仿宋" w:eastAsia="仿宋" w:cs="仿宋"/>
          <w:sz w:val="27"/>
          <w:szCs w:val="27"/>
        </w:rPr>
      </w:pPr>
      <w:r>
        <w:rPr>
          <w:rFonts w:hint="eastAsia" w:ascii="仿宋" w:hAnsi="仿宋" w:eastAsia="仿宋" w:cs="仿宋"/>
          <w:sz w:val="27"/>
          <w:szCs w:val="27"/>
        </w:rPr>
        <w:t>若对项目采购电子交易系统操作有疑问，可登录政采云（https://www.zcygov.cn/），点击右侧咨询小采，获取采小蜜智能服务管家帮助，或拨打政采云服务热线400-881-7190获取热线服务帮助。       </w:t>
      </w:r>
    </w:p>
    <w:p w14:paraId="3858D317">
      <w:pPr>
        <w:widowControl w:val="0"/>
        <w:spacing w:line="236" w:lineRule="auto"/>
        <w:ind w:firstLine="540" w:firstLineChars="200"/>
        <w:sectPr>
          <w:headerReference r:id="rId3" w:type="default"/>
          <w:footerReference r:id="rId4" w:type="default"/>
          <w:pgSz w:w="11906" w:h="16838"/>
          <w:pgMar w:top="1588" w:right="1248" w:bottom="1134" w:left="1418" w:header="680" w:footer="992" w:gutter="0"/>
          <w:pgNumType w:start="1"/>
          <w:cols w:space="720" w:num="1"/>
          <w:docGrid w:type="lines" w:linePitch="312" w:charSpace="0"/>
        </w:sectPr>
      </w:pPr>
      <w:r>
        <w:rPr>
          <w:rFonts w:hint="eastAsia" w:ascii="仿宋" w:hAnsi="仿宋" w:eastAsia="仿宋" w:cs="仿宋"/>
          <w:sz w:val="27"/>
          <w:szCs w:val="27"/>
        </w:rPr>
        <w:t>CA问题联系电话（人工）：汇信CA 400-888-4636；天谷CA 400-087-8198</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2A6F2BF">
      <w:pPr>
        <w:pStyle w:val="4"/>
        <w:numPr>
          <w:ilvl w:val="1"/>
          <w:numId w:val="0"/>
        </w:numPr>
        <w:tabs>
          <w:tab w:val="clear" w:pos="567"/>
        </w:tabs>
        <w:spacing w:before="120" w:beforeLines="50" w:after="120" w:afterLines="50" w:line="240" w:lineRule="auto"/>
        <w:jc w:val="center"/>
        <w:rPr>
          <w:sz w:val="24"/>
          <w:szCs w:val="24"/>
        </w:rPr>
      </w:pPr>
      <w:bookmarkStart w:id="23" w:name="_Toc2189"/>
      <w:r>
        <w:rPr>
          <w:rFonts w:hint="eastAsia" w:hAnsi="宋体"/>
          <w:sz w:val="28"/>
          <w:szCs w:val="36"/>
        </w:rPr>
        <w:t>第一部分磋商邀请函（供应商须知前附表）</w:t>
      </w:r>
      <w:bookmarkEnd w:id="15"/>
      <w:bookmarkEnd w:id="23"/>
    </w:p>
    <w:tbl>
      <w:tblPr>
        <w:tblStyle w:val="29"/>
        <w:tblW w:w="10208" w:type="dxa"/>
        <w:jc w:val="center"/>
        <w:tblLayout w:type="fixed"/>
        <w:tblCellMar>
          <w:top w:w="0" w:type="dxa"/>
          <w:left w:w="108" w:type="dxa"/>
          <w:bottom w:w="0" w:type="dxa"/>
          <w:right w:w="108" w:type="dxa"/>
        </w:tblCellMar>
      </w:tblPr>
      <w:tblGrid>
        <w:gridCol w:w="1004"/>
        <w:gridCol w:w="1718"/>
        <w:gridCol w:w="7486"/>
      </w:tblGrid>
      <w:tr w14:paraId="3DF4EC4E">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9BB579D">
            <w:pPr>
              <w:spacing w:line="360" w:lineRule="exact"/>
              <w:jc w:val="center"/>
              <w:rPr>
                <w:rFonts w:ascii="宋体" w:hAnsi="宋体" w:cs="宋体"/>
                <w:b/>
              </w:rPr>
            </w:pPr>
            <w:r>
              <w:rPr>
                <w:rFonts w:hint="eastAsia" w:ascii="宋体" w:hAnsi="宋体" w:cs="宋体"/>
                <w:b/>
              </w:rPr>
              <w:t>序号</w:t>
            </w:r>
          </w:p>
        </w:tc>
        <w:tc>
          <w:tcPr>
            <w:tcW w:w="1718" w:type="dxa"/>
            <w:tcBorders>
              <w:top w:val="single" w:color="auto" w:sz="4" w:space="0"/>
              <w:left w:val="single" w:color="auto" w:sz="4" w:space="0"/>
              <w:bottom w:val="single" w:color="auto" w:sz="4" w:space="0"/>
              <w:right w:val="single" w:color="auto" w:sz="4" w:space="0"/>
            </w:tcBorders>
            <w:vAlign w:val="center"/>
          </w:tcPr>
          <w:p w14:paraId="431CEDCA">
            <w:pPr>
              <w:spacing w:line="360" w:lineRule="exact"/>
              <w:jc w:val="center"/>
              <w:rPr>
                <w:rFonts w:ascii="宋体" w:hAnsi="宋体" w:cs="宋体"/>
                <w:b/>
              </w:rPr>
            </w:pPr>
            <w:r>
              <w:rPr>
                <w:rFonts w:hint="eastAsia" w:ascii="宋体" w:hAnsi="宋体" w:cs="宋体"/>
                <w:b/>
              </w:rPr>
              <w:t>条款名称</w:t>
            </w:r>
          </w:p>
        </w:tc>
        <w:tc>
          <w:tcPr>
            <w:tcW w:w="7486" w:type="dxa"/>
            <w:tcBorders>
              <w:top w:val="single" w:color="auto" w:sz="4" w:space="0"/>
              <w:left w:val="single" w:color="auto" w:sz="4" w:space="0"/>
              <w:bottom w:val="single" w:color="auto" w:sz="4" w:space="0"/>
              <w:right w:val="single" w:color="auto" w:sz="4" w:space="0"/>
            </w:tcBorders>
            <w:vAlign w:val="center"/>
          </w:tcPr>
          <w:p w14:paraId="47DB2A5C">
            <w:pPr>
              <w:spacing w:line="360" w:lineRule="exact"/>
              <w:jc w:val="center"/>
              <w:rPr>
                <w:rFonts w:ascii="宋体" w:hAnsi="宋体" w:cs="宋体"/>
                <w:b/>
              </w:rPr>
            </w:pPr>
            <w:r>
              <w:rPr>
                <w:rFonts w:hint="eastAsia" w:ascii="宋体" w:hAnsi="宋体" w:cs="宋体"/>
                <w:b/>
              </w:rPr>
              <w:t>编列内容</w:t>
            </w:r>
          </w:p>
        </w:tc>
      </w:tr>
      <w:tr w14:paraId="3E7363F4">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81A40DA">
            <w:pPr>
              <w:spacing w:line="360" w:lineRule="exact"/>
              <w:jc w:val="center"/>
              <w:rPr>
                <w:rFonts w:ascii="宋体" w:hAnsi="宋体" w:cs="宋体"/>
              </w:rPr>
            </w:pPr>
            <w:r>
              <w:rPr>
                <w:rFonts w:hint="eastAsia" w:ascii="宋体" w:hAnsi="宋体" w:cs="宋体"/>
              </w:rPr>
              <w:t>1</w:t>
            </w:r>
          </w:p>
        </w:tc>
        <w:tc>
          <w:tcPr>
            <w:tcW w:w="1718" w:type="dxa"/>
            <w:tcBorders>
              <w:top w:val="single" w:color="auto" w:sz="4" w:space="0"/>
              <w:left w:val="single" w:color="auto" w:sz="4" w:space="0"/>
              <w:bottom w:val="single" w:color="auto" w:sz="4" w:space="0"/>
              <w:right w:val="single" w:color="auto" w:sz="4" w:space="0"/>
            </w:tcBorders>
            <w:vAlign w:val="center"/>
          </w:tcPr>
          <w:p w14:paraId="2236E734">
            <w:pPr>
              <w:spacing w:line="360" w:lineRule="exact"/>
              <w:jc w:val="center"/>
              <w:rPr>
                <w:rFonts w:ascii="宋体" w:hAnsi="宋体" w:cs="宋体"/>
              </w:rPr>
            </w:pPr>
            <w:r>
              <w:rPr>
                <w:rFonts w:hint="eastAsia" w:ascii="宋体" w:hAnsi="宋体" w:cs="宋体"/>
              </w:rPr>
              <w:t>项目名称</w:t>
            </w:r>
          </w:p>
        </w:tc>
        <w:tc>
          <w:tcPr>
            <w:tcW w:w="7486" w:type="dxa"/>
            <w:tcBorders>
              <w:top w:val="single" w:color="auto" w:sz="4" w:space="0"/>
              <w:left w:val="single" w:color="auto" w:sz="4" w:space="0"/>
              <w:bottom w:val="single" w:color="auto" w:sz="4" w:space="0"/>
              <w:right w:val="single" w:color="auto" w:sz="4" w:space="0"/>
            </w:tcBorders>
            <w:vAlign w:val="center"/>
          </w:tcPr>
          <w:p w14:paraId="2F50810C">
            <w:pPr>
              <w:spacing w:line="360" w:lineRule="exact"/>
              <w:rPr>
                <w:rFonts w:ascii="宋体" w:hAnsi="宋体" w:cs="宋体"/>
              </w:rPr>
            </w:pPr>
            <w:r>
              <w:rPr>
                <w:rFonts w:hint="eastAsia" w:ascii="宋体" w:hAnsi="宋体" w:cs="宋体"/>
              </w:rPr>
              <w:t>永嘉县银坑铅锌矿（山根村）历史遗留废渣治理工程全过程咨询服务</w:t>
            </w:r>
          </w:p>
        </w:tc>
      </w:tr>
      <w:tr w14:paraId="124D1F77">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BCE6320">
            <w:pPr>
              <w:spacing w:line="360" w:lineRule="exact"/>
              <w:jc w:val="center"/>
              <w:rPr>
                <w:rFonts w:ascii="宋体" w:hAnsi="宋体" w:cs="宋体"/>
              </w:rPr>
            </w:pPr>
            <w:r>
              <w:rPr>
                <w:rFonts w:hint="eastAsia" w:ascii="宋体" w:hAnsi="宋体" w:cs="宋体"/>
              </w:rPr>
              <w:t>2</w:t>
            </w:r>
          </w:p>
        </w:tc>
        <w:tc>
          <w:tcPr>
            <w:tcW w:w="1718" w:type="dxa"/>
            <w:tcBorders>
              <w:top w:val="single" w:color="auto" w:sz="4" w:space="0"/>
              <w:left w:val="single" w:color="auto" w:sz="4" w:space="0"/>
              <w:bottom w:val="single" w:color="auto" w:sz="4" w:space="0"/>
              <w:right w:val="single" w:color="auto" w:sz="4" w:space="0"/>
            </w:tcBorders>
            <w:vAlign w:val="center"/>
          </w:tcPr>
          <w:p w14:paraId="67BDBA82">
            <w:pPr>
              <w:spacing w:line="360" w:lineRule="exact"/>
              <w:jc w:val="center"/>
              <w:rPr>
                <w:rFonts w:ascii="宋体" w:hAnsi="宋体" w:cs="宋体"/>
              </w:rPr>
            </w:pPr>
            <w:r>
              <w:rPr>
                <w:rFonts w:hint="eastAsia" w:ascii="宋体" w:hAnsi="宋体" w:cs="宋体"/>
              </w:rPr>
              <w:t>项目编号及预算</w:t>
            </w:r>
          </w:p>
        </w:tc>
        <w:tc>
          <w:tcPr>
            <w:tcW w:w="7486" w:type="dxa"/>
            <w:tcBorders>
              <w:top w:val="single" w:color="auto" w:sz="4" w:space="0"/>
              <w:left w:val="single" w:color="auto" w:sz="4" w:space="0"/>
              <w:bottom w:val="single" w:color="auto" w:sz="4" w:space="0"/>
              <w:right w:val="single" w:color="auto" w:sz="4" w:space="0"/>
            </w:tcBorders>
            <w:vAlign w:val="center"/>
          </w:tcPr>
          <w:p w14:paraId="2A356F3F">
            <w:pPr>
              <w:spacing w:line="360" w:lineRule="exact"/>
              <w:rPr>
                <w:rFonts w:hint="eastAsia" w:ascii="宋体" w:hAnsi="宋体" w:cs="宋体"/>
                <w:b/>
                <w:u w:val="single"/>
                <w:lang w:val="en-US" w:eastAsia="zh-CN"/>
              </w:rPr>
            </w:pPr>
            <w:r>
              <w:rPr>
                <w:rFonts w:hint="eastAsia" w:ascii="宋体" w:hAnsi="宋体" w:cs="宋体"/>
                <w:b/>
                <w:u w:val="single"/>
              </w:rPr>
              <w:t>项目编号： ZJSKCG-2025-0417</w:t>
            </w:r>
            <w:r>
              <w:rPr>
                <w:rFonts w:hint="eastAsia" w:ascii="宋体" w:hAnsi="宋体" w:cs="宋体"/>
                <w:b/>
                <w:u w:val="single"/>
                <w:lang w:val="en-US" w:eastAsia="zh-CN"/>
              </w:rPr>
              <w:t xml:space="preserve">   </w:t>
            </w:r>
          </w:p>
          <w:p w14:paraId="74A8FF0A">
            <w:pPr>
              <w:spacing w:line="360" w:lineRule="exact"/>
              <w:rPr>
                <w:rFonts w:ascii="宋体" w:hAnsi="宋体" w:cs="宋体"/>
              </w:rPr>
            </w:pPr>
            <w:r>
              <w:rPr>
                <w:rFonts w:hint="eastAsia" w:ascii="宋体" w:hAnsi="宋体" w:cs="宋体"/>
                <w:b/>
                <w:u w:val="single"/>
              </w:rPr>
              <w:t>本项目采购预算为人民币52万元整。投标供应商的投标报价超过采购预算的，按无效标处理。</w:t>
            </w:r>
          </w:p>
        </w:tc>
      </w:tr>
      <w:tr w14:paraId="4C649E49">
        <w:tblPrEx>
          <w:tblCellMar>
            <w:top w:w="0" w:type="dxa"/>
            <w:left w:w="108" w:type="dxa"/>
            <w:bottom w:w="0" w:type="dxa"/>
            <w:right w:w="108" w:type="dxa"/>
          </w:tblCellMar>
        </w:tblPrEx>
        <w:trPr>
          <w:trHeight w:val="59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3BCE362">
            <w:pPr>
              <w:spacing w:line="360" w:lineRule="exact"/>
              <w:jc w:val="center"/>
              <w:rPr>
                <w:rFonts w:ascii="宋体" w:hAnsi="宋体" w:cs="宋体"/>
              </w:rPr>
            </w:pPr>
            <w:r>
              <w:rPr>
                <w:rFonts w:hint="eastAsia" w:ascii="宋体" w:hAnsi="宋体" w:cs="宋体"/>
              </w:rPr>
              <w:t>3</w:t>
            </w:r>
          </w:p>
        </w:tc>
        <w:tc>
          <w:tcPr>
            <w:tcW w:w="1718" w:type="dxa"/>
            <w:tcBorders>
              <w:top w:val="single" w:color="auto" w:sz="4" w:space="0"/>
              <w:left w:val="single" w:color="auto" w:sz="4" w:space="0"/>
              <w:bottom w:val="single" w:color="auto" w:sz="4" w:space="0"/>
              <w:right w:val="single" w:color="auto" w:sz="4" w:space="0"/>
            </w:tcBorders>
            <w:vAlign w:val="center"/>
          </w:tcPr>
          <w:p w14:paraId="706C078E">
            <w:pPr>
              <w:spacing w:line="360" w:lineRule="exact"/>
              <w:jc w:val="center"/>
              <w:rPr>
                <w:rFonts w:ascii="宋体" w:hAnsi="宋体" w:cs="宋体"/>
              </w:rPr>
            </w:pPr>
            <w:r>
              <w:rPr>
                <w:rFonts w:hint="eastAsia" w:ascii="宋体" w:hAnsi="宋体" w:cs="宋体"/>
              </w:rPr>
              <w:t>采购内容</w:t>
            </w:r>
          </w:p>
        </w:tc>
        <w:tc>
          <w:tcPr>
            <w:tcW w:w="7486" w:type="dxa"/>
            <w:tcBorders>
              <w:top w:val="single" w:color="auto" w:sz="4" w:space="0"/>
              <w:left w:val="single" w:color="auto" w:sz="4" w:space="0"/>
              <w:bottom w:val="single" w:color="auto" w:sz="4" w:space="0"/>
              <w:right w:val="single" w:color="auto" w:sz="4" w:space="0"/>
            </w:tcBorders>
            <w:vAlign w:val="center"/>
          </w:tcPr>
          <w:p w14:paraId="7B6AD46F">
            <w:pPr>
              <w:spacing w:line="360" w:lineRule="exact"/>
              <w:rPr>
                <w:rFonts w:ascii="宋体" w:hAnsi="宋体" w:cs="宋体"/>
              </w:rPr>
            </w:pPr>
            <w:r>
              <w:rPr>
                <w:rFonts w:hint="eastAsia" w:ascii="宋体" w:hAnsi="宋体" w:cs="宋体"/>
              </w:rPr>
              <w:t>永嘉县银坑铅锌矿（山根村）历史遗留废渣治理工程全过程咨询服务。详见第三部分。</w:t>
            </w:r>
          </w:p>
        </w:tc>
      </w:tr>
      <w:tr w14:paraId="64105986">
        <w:tblPrEx>
          <w:tblCellMar>
            <w:top w:w="0" w:type="dxa"/>
            <w:left w:w="108" w:type="dxa"/>
            <w:bottom w:w="0" w:type="dxa"/>
            <w:right w:w="108" w:type="dxa"/>
          </w:tblCellMar>
        </w:tblPrEx>
        <w:trPr>
          <w:trHeight w:val="9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B192904">
            <w:pPr>
              <w:spacing w:line="360" w:lineRule="exact"/>
              <w:jc w:val="center"/>
              <w:rPr>
                <w:rFonts w:ascii="宋体" w:hAnsi="宋体" w:cs="宋体"/>
              </w:rPr>
            </w:pPr>
            <w:r>
              <w:rPr>
                <w:rFonts w:hint="eastAsia" w:ascii="宋体" w:hAnsi="宋体" w:cs="宋体"/>
              </w:rPr>
              <w:t>4</w:t>
            </w:r>
          </w:p>
        </w:tc>
        <w:tc>
          <w:tcPr>
            <w:tcW w:w="1718" w:type="dxa"/>
            <w:tcBorders>
              <w:top w:val="single" w:color="auto" w:sz="4" w:space="0"/>
              <w:left w:val="single" w:color="auto" w:sz="4" w:space="0"/>
              <w:bottom w:val="single" w:color="auto" w:sz="4" w:space="0"/>
              <w:right w:val="single" w:color="auto" w:sz="4" w:space="0"/>
            </w:tcBorders>
            <w:vAlign w:val="center"/>
          </w:tcPr>
          <w:p w14:paraId="1F4757C5">
            <w:pPr>
              <w:spacing w:line="360" w:lineRule="exact"/>
              <w:jc w:val="center"/>
              <w:rPr>
                <w:rFonts w:ascii="宋体" w:hAnsi="宋体" w:cs="宋体"/>
              </w:rPr>
            </w:pPr>
            <w:r>
              <w:rPr>
                <w:rFonts w:hint="eastAsia" w:ascii="宋体" w:hAnsi="宋体" w:cs="宋体"/>
              </w:rPr>
              <w:t>是否接受联合体投标</w:t>
            </w:r>
          </w:p>
        </w:tc>
        <w:tc>
          <w:tcPr>
            <w:tcW w:w="7486" w:type="dxa"/>
            <w:tcBorders>
              <w:top w:val="single" w:color="auto" w:sz="4" w:space="0"/>
              <w:left w:val="single" w:color="auto" w:sz="4" w:space="0"/>
              <w:bottom w:val="single" w:color="auto" w:sz="4" w:space="0"/>
              <w:right w:val="single" w:color="auto" w:sz="4" w:space="0"/>
            </w:tcBorders>
            <w:vAlign w:val="center"/>
          </w:tcPr>
          <w:p w14:paraId="0EFEE7D4">
            <w:pPr>
              <w:spacing w:line="360" w:lineRule="exact"/>
              <w:rPr>
                <w:rFonts w:ascii="宋体" w:hAnsi="宋体" w:cs="宋体"/>
              </w:rPr>
            </w:pPr>
            <w:r>
              <w:rPr>
                <w:rFonts w:hint="eastAsia" w:ascii="宋体" w:hAnsi="宋体" w:cs="宋体"/>
              </w:rPr>
              <w:t>接受。</w:t>
            </w:r>
          </w:p>
        </w:tc>
      </w:tr>
      <w:tr w14:paraId="76ED567C">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2475BA5">
            <w:pPr>
              <w:spacing w:line="360" w:lineRule="exact"/>
              <w:jc w:val="center"/>
              <w:rPr>
                <w:rFonts w:ascii="宋体" w:hAnsi="宋体" w:cs="宋体"/>
              </w:rPr>
            </w:pPr>
            <w:r>
              <w:rPr>
                <w:rFonts w:hint="eastAsia" w:ascii="宋体" w:hAnsi="宋体" w:cs="宋体"/>
              </w:rPr>
              <w:t>5</w:t>
            </w:r>
          </w:p>
        </w:tc>
        <w:tc>
          <w:tcPr>
            <w:tcW w:w="1718" w:type="dxa"/>
            <w:tcBorders>
              <w:top w:val="single" w:color="auto" w:sz="4" w:space="0"/>
              <w:left w:val="single" w:color="auto" w:sz="4" w:space="0"/>
              <w:bottom w:val="single" w:color="auto" w:sz="4" w:space="0"/>
              <w:right w:val="single" w:color="auto" w:sz="4" w:space="0"/>
            </w:tcBorders>
            <w:vAlign w:val="center"/>
          </w:tcPr>
          <w:p w14:paraId="6693AD58">
            <w:pPr>
              <w:spacing w:line="360" w:lineRule="exact"/>
              <w:jc w:val="center"/>
              <w:rPr>
                <w:rFonts w:ascii="宋体" w:hAnsi="宋体" w:cs="宋体"/>
                <w:color w:val="000000"/>
              </w:rPr>
            </w:pPr>
            <w:r>
              <w:rPr>
                <w:rFonts w:hint="eastAsia" w:ascii="宋体" w:hAnsi="宋体" w:cs="宋体"/>
                <w:color w:val="000000"/>
              </w:rPr>
              <w:t>踏勘现场及投标预备会及分包</w:t>
            </w:r>
          </w:p>
        </w:tc>
        <w:tc>
          <w:tcPr>
            <w:tcW w:w="7486" w:type="dxa"/>
            <w:tcBorders>
              <w:top w:val="single" w:color="auto" w:sz="4" w:space="0"/>
              <w:left w:val="single" w:color="auto" w:sz="4" w:space="0"/>
              <w:bottom w:val="single" w:color="auto" w:sz="4" w:space="0"/>
              <w:right w:val="single" w:color="auto" w:sz="4" w:space="0"/>
            </w:tcBorders>
            <w:vAlign w:val="center"/>
          </w:tcPr>
          <w:p w14:paraId="4A6DF218">
            <w:pPr>
              <w:spacing w:line="360" w:lineRule="exact"/>
              <w:rPr>
                <w:rFonts w:ascii="宋体" w:hAnsi="宋体" w:cs="宋体"/>
                <w:color w:val="000000"/>
              </w:rPr>
            </w:pPr>
            <w:r>
              <w:rPr>
                <w:rFonts w:ascii="宋体" w:hAnsi="宋体" w:cs="宋体"/>
                <w:color w:val="000000"/>
              </w:rPr>
              <w:drawing>
                <wp:inline distT="0" distB="0" distL="0" distR="0">
                  <wp:extent cx="190500" cy="2286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noFill/>
                          <a:ln>
                            <a:noFill/>
                          </a:ln>
                        </pic:spPr>
                      </pic:pic>
                    </a:graphicData>
                  </a:graphic>
                </wp:inline>
              </w:drawing>
            </w:r>
            <w:r>
              <w:rPr>
                <w:rFonts w:hint="eastAsia" w:ascii="宋体" w:hAnsi="宋体" w:cs="宋体"/>
                <w:color w:val="000000"/>
              </w:rPr>
              <w:t>不组织</w:t>
            </w:r>
            <w:r>
              <w:rPr>
                <w:rFonts w:ascii="宋体" w:hAnsi="宋体" w:cs="宋体"/>
                <w:color w:val="000000"/>
              </w:rPr>
              <w:drawing>
                <wp:inline distT="0" distB="0" distL="0" distR="0">
                  <wp:extent cx="190500" cy="228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0500" cy="228600"/>
                          </a:xfrm>
                          <a:prstGeom prst="rect">
                            <a:avLst/>
                          </a:prstGeom>
                          <a:noFill/>
                          <a:ln>
                            <a:noFill/>
                          </a:ln>
                        </pic:spPr>
                      </pic:pic>
                    </a:graphicData>
                  </a:graphic>
                </wp:inline>
              </w:drawing>
            </w:r>
            <w:r>
              <w:rPr>
                <w:rFonts w:hint="eastAsia" w:ascii="宋体" w:hAnsi="宋体" w:cs="宋体"/>
                <w:color w:val="000000"/>
              </w:rPr>
              <w:t>不召开</w:t>
            </w:r>
            <w:r>
              <w:rPr>
                <w:rFonts w:ascii="宋体" w:hAnsi="宋体" w:cs="宋体"/>
                <w:color w:val="000000"/>
              </w:rPr>
              <w:drawing>
                <wp:inline distT="0" distB="0" distL="114300" distR="114300">
                  <wp:extent cx="194945" cy="228600"/>
                  <wp:effectExtent l="0" t="0" r="1460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194945" cy="228600"/>
                          </a:xfrm>
                          <a:prstGeom prst="rect">
                            <a:avLst/>
                          </a:prstGeom>
                          <a:noFill/>
                          <a:ln>
                            <a:noFill/>
                          </a:ln>
                        </pic:spPr>
                      </pic:pic>
                    </a:graphicData>
                  </a:graphic>
                </wp:inline>
              </w:drawing>
            </w:r>
            <w:r>
              <w:rPr>
                <w:rFonts w:hint="eastAsia" w:ascii="宋体" w:hAnsi="宋体" w:cs="宋体"/>
                <w:color w:val="000000"/>
              </w:rPr>
              <w:t>不允许分包</w:t>
            </w:r>
          </w:p>
        </w:tc>
      </w:tr>
      <w:tr w14:paraId="51DFBACA">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A1BD61A">
            <w:pPr>
              <w:spacing w:line="360" w:lineRule="exact"/>
              <w:jc w:val="center"/>
              <w:rPr>
                <w:rFonts w:ascii="宋体" w:hAnsi="宋体" w:cs="宋体"/>
              </w:rPr>
            </w:pPr>
            <w:r>
              <w:rPr>
                <w:rFonts w:hint="eastAsia" w:ascii="宋体" w:hAnsi="宋体" w:cs="宋体"/>
              </w:rPr>
              <w:t>6</w:t>
            </w:r>
          </w:p>
        </w:tc>
        <w:tc>
          <w:tcPr>
            <w:tcW w:w="1718" w:type="dxa"/>
            <w:tcBorders>
              <w:top w:val="single" w:color="auto" w:sz="4" w:space="0"/>
              <w:left w:val="single" w:color="auto" w:sz="4" w:space="0"/>
              <w:bottom w:val="single" w:color="auto" w:sz="4" w:space="0"/>
              <w:right w:val="single" w:color="auto" w:sz="4" w:space="0"/>
            </w:tcBorders>
            <w:vAlign w:val="center"/>
          </w:tcPr>
          <w:p w14:paraId="68F14B15">
            <w:pPr>
              <w:spacing w:line="360" w:lineRule="exact"/>
              <w:jc w:val="center"/>
              <w:rPr>
                <w:rFonts w:ascii="宋体" w:hAnsi="宋体" w:cs="宋体"/>
                <w:color w:val="000000"/>
              </w:rPr>
            </w:pPr>
            <w:r>
              <w:rPr>
                <w:rFonts w:hint="eastAsia" w:ascii="宋体" w:hAnsi="宋体" w:cs="宋体"/>
                <w:color w:val="000000"/>
              </w:rPr>
              <w:t>投标报价</w:t>
            </w:r>
          </w:p>
          <w:p w14:paraId="0BDA41D8">
            <w:pPr>
              <w:spacing w:line="360" w:lineRule="exact"/>
              <w:jc w:val="center"/>
              <w:rPr>
                <w:rFonts w:ascii="宋体" w:hAnsi="宋体" w:cs="宋体"/>
                <w:color w:val="000000"/>
              </w:rPr>
            </w:pPr>
            <w:r>
              <w:rPr>
                <w:rFonts w:hint="eastAsia" w:ascii="宋体" w:hAnsi="宋体" w:cs="宋体"/>
                <w:color w:val="000000"/>
              </w:rPr>
              <w:t>与费用</w:t>
            </w:r>
          </w:p>
        </w:tc>
        <w:tc>
          <w:tcPr>
            <w:tcW w:w="7486" w:type="dxa"/>
            <w:tcBorders>
              <w:top w:val="single" w:color="auto" w:sz="4" w:space="0"/>
              <w:left w:val="single" w:color="auto" w:sz="4" w:space="0"/>
              <w:bottom w:val="single" w:color="auto" w:sz="4" w:space="0"/>
              <w:right w:val="single" w:color="auto" w:sz="4" w:space="0"/>
            </w:tcBorders>
            <w:vAlign w:val="center"/>
          </w:tcPr>
          <w:p w14:paraId="4F1CAD72">
            <w:pPr>
              <w:spacing w:line="360" w:lineRule="exact"/>
              <w:jc w:val="both"/>
              <w:rPr>
                <w:rFonts w:ascii="宋体" w:hAnsi="宋体" w:cs="宋体"/>
                <w:color w:val="000000"/>
              </w:rPr>
            </w:pPr>
            <w:r>
              <w:rPr>
                <w:rFonts w:hint="eastAsia" w:ascii="宋体" w:hAnsi="宋体" w:cs="宋体"/>
                <w:color w:val="000000"/>
              </w:rPr>
              <w:t>（1）本项目中价格全部采用人民币元报价。</w:t>
            </w:r>
          </w:p>
          <w:p w14:paraId="1A36CE2D">
            <w:pPr>
              <w:spacing w:line="360" w:lineRule="exact"/>
              <w:jc w:val="both"/>
              <w:rPr>
                <w:rFonts w:ascii="宋体" w:hAnsi="宋体" w:cs="宋体"/>
                <w:color w:val="000000"/>
              </w:rPr>
            </w:pPr>
            <w:r>
              <w:rPr>
                <w:rFonts w:hint="eastAsia" w:ascii="宋体" w:hAnsi="宋体" w:cs="宋体"/>
                <w:color w:val="000000"/>
              </w:rPr>
              <w:t>（2）本项目不接受选择性报价。且要求报价的唯一。</w:t>
            </w:r>
          </w:p>
          <w:p w14:paraId="43904D12">
            <w:pPr>
              <w:spacing w:line="360" w:lineRule="exact"/>
              <w:jc w:val="both"/>
              <w:rPr>
                <w:rFonts w:ascii="宋体" w:hAnsi="宋体" w:cs="宋体"/>
                <w:color w:val="000000"/>
              </w:rPr>
            </w:pPr>
            <w:r>
              <w:rPr>
                <w:rFonts w:hint="eastAsia" w:ascii="宋体" w:hAnsi="宋体" w:cs="宋体"/>
                <w:color w:val="000000"/>
              </w:rPr>
              <w:t>（3）有关本项目实施所需的所有费用（含税费）均计入报价。</w:t>
            </w:r>
          </w:p>
          <w:p w14:paraId="11E97246">
            <w:pPr>
              <w:spacing w:line="360" w:lineRule="exact"/>
              <w:jc w:val="both"/>
              <w:rPr>
                <w:rFonts w:ascii="宋体" w:hAnsi="宋体" w:cs="宋体"/>
                <w:color w:val="000000"/>
              </w:rPr>
            </w:pPr>
            <w:r>
              <w:rPr>
                <w:rFonts w:hint="eastAsia" w:ascii="宋体" w:hAnsi="宋体" w:cs="宋体"/>
                <w:color w:val="000000"/>
              </w:rPr>
              <w:t>（4）招标文件未列明，而投标人认为必需的费用也需计入报价。</w:t>
            </w:r>
          </w:p>
          <w:p w14:paraId="43D1ACE3">
            <w:pPr>
              <w:spacing w:line="360" w:lineRule="exact"/>
              <w:jc w:val="both"/>
              <w:rPr>
                <w:rFonts w:ascii="宋体" w:hAnsi="宋体" w:cs="宋体"/>
                <w:color w:val="000000"/>
              </w:rPr>
            </w:pPr>
            <w:r>
              <w:rPr>
                <w:rFonts w:hint="eastAsia" w:ascii="宋体" w:hAnsi="宋体" w:cs="宋体"/>
                <w:color w:val="000000"/>
              </w:rPr>
              <w:t>（5）不论投标结果如何，投标人均应自行承担所有与投标有关的全部费用。</w:t>
            </w:r>
          </w:p>
          <w:p w14:paraId="5DE268EA">
            <w:pPr>
              <w:spacing w:line="360" w:lineRule="exact"/>
              <w:jc w:val="both"/>
            </w:pPr>
            <w:r>
              <w:rPr>
                <w:rFonts w:hint="eastAsia" w:ascii="宋体" w:hAnsi="宋体" w:cs="宋体"/>
                <w:color w:val="000000"/>
              </w:rPr>
              <w:t>（6）本项目的投标报价以通过最终验收为要求，实施期间因上级部门或其他政策原因一并纳入实施的内容的，中标供应商应予以配合。</w:t>
            </w:r>
          </w:p>
        </w:tc>
      </w:tr>
      <w:tr w14:paraId="13A197FC">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F0DB2CC">
            <w:pPr>
              <w:spacing w:line="360" w:lineRule="exact"/>
              <w:jc w:val="center"/>
              <w:rPr>
                <w:rFonts w:ascii="宋体" w:hAnsi="宋体" w:cs="宋体"/>
              </w:rPr>
            </w:pPr>
            <w:r>
              <w:rPr>
                <w:rFonts w:hint="eastAsia" w:ascii="宋体" w:hAnsi="宋体" w:cs="宋体"/>
              </w:rPr>
              <w:t>7</w:t>
            </w:r>
          </w:p>
        </w:tc>
        <w:tc>
          <w:tcPr>
            <w:tcW w:w="1718" w:type="dxa"/>
            <w:tcBorders>
              <w:top w:val="single" w:color="auto" w:sz="4" w:space="0"/>
              <w:left w:val="single" w:color="auto" w:sz="4" w:space="0"/>
              <w:bottom w:val="single" w:color="auto" w:sz="4" w:space="0"/>
              <w:right w:val="single" w:color="auto" w:sz="4" w:space="0"/>
            </w:tcBorders>
            <w:vAlign w:val="center"/>
          </w:tcPr>
          <w:p w14:paraId="1B9106AA">
            <w:pPr>
              <w:spacing w:line="360" w:lineRule="exact"/>
              <w:jc w:val="center"/>
              <w:rPr>
                <w:rFonts w:ascii="宋体" w:hAnsi="宋体" w:cs="宋体"/>
              </w:rPr>
            </w:pPr>
            <w:r>
              <w:rPr>
                <w:rFonts w:hint="eastAsia" w:ascii="宋体" w:hAnsi="宋体" w:cs="宋体"/>
              </w:rPr>
              <w:t>采购标的及其对应的中小企业划分标准所属行业</w:t>
            </w:r>
          </w:p>
        </w:tc>
        <w:tc>
          <w:tcPr>
            <w:tcW w:w="7486" w:type="dxa"/>
            <w:tcBorders>
              <w:top w:val="single" w:color="auto" w:sz="4" w:space="0"/>
              <w:left w:val="single" w:color="auto" w:sz="4" w:space="0"/>
              <w:bottom w:val="single" w:color="auto" w:sz="4" w:space="0"/>
              <w:right w:val="single" w:color="auto" w:sz="4" w:space="0"/>
            </w:tcBorders>
            <w:vAlign w:val="center"/>
          </w:tcPr>
          <w:p w14:paraId="25B97755">
            <w:pPr>
              <w:spacing w:line="360" w:lineRule="exact"/>
              <w:rPr>
                <w:rFonts w:ascii="宋体" w:hAnsi="宋体" w:cs="宋体"/>
              </w:rPr>
            </w:pPr>
            <w:r>
              <w:rPr>
                <w:rFonts w:hint="eastAsia" w:ascii="宋体" w:hAnsi="宋体" w:cs="宋体"/>
              </w:rPr>
              <w:t>（1）标的：永嘉县银坑铅锌矿（山根村）历史遗留废渣治理工程全过程咨询服务；属于</w:t>
            </w:r>
            <w:r>
              <w:rPr>
                <w:rFonts w:hint="eastAsia" w:ascii="宋体" w:hAnsi="宋体" w:cs="宋体"/>
                <w:u w:val="single"/>
              </w:rPr>
              <w:t xml:space="preserve"> 其他未列明行业</w:t>
            </w:r>
            <w:r>
              <w:rPr>
                <w:rFonts w:hint="eastAsia" w:ascii="宋体" w:hAnsi="宋体" w:cs="宋体"/>
              </w:rPr>
              <w:t>。</w:t>
            </w:r>
          </w:p>
          <w:p w14:paraId="5723CDF8">
            <w:pPr>
              <w:spacing w:line="360" w:lineRule="exact"/>
              <w:rPr>
                <w:rFonts w:ascii="宋体" w:hAnsi="宋体" w:cs="宋体"/>
              </w:rPr>
            </w:pPr>
            <w:r>
              <w:rPr>
                <w:rFonts w:hint="eastAsia" w:ascii="宋体" w:hAnsi="宋体" w:cs="宋体"/>
              </w:rPr>
              <w:t>注：中小企业的划分标准依据《关于印发中小企业划型标准规定的通知》（工信部联企业〔2011〕300号）文件执行</w:t>
            </w:r>
          </w:p>
        </w:tc>
      </w:tr>
      <w:tr w14:paraId="769F2B06">
        <w:tblPrEx>
          <w:tblCellMar>
            <w:top w:w="0" w:type="dxa"/>
            <w:left w:w="108" w:type="dxa"/>
            <w:bottom w:w="0" w:type="dxa"/>
            <w:right w:w="108" w:type="dxa"/>
          </w:tblCellMar>
        </w:tblPrEx>
        <w:trPr>
          <w:trHeight w:val="48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39505FCF">
            <w:pPr>
              <w:spacing w:line="360" w:lineRule="exact"/>
              <w:jc w:val="center"/>
              <w:rPr>
                <w:rFonts w:ascii="宋体" w:hAnsi="宋体" w:cs="宋体"/>
              </w:rPr>
            </w:pPr>
            <w:r>
              <w:rPr>
                <w:rFonts w:hint="eastAsia" w:ascii="宋体" w:hAnsi="宋体" w:cs="宋体"/>
              </w:rPr>
              <w:t>8</w:t>
            </w:r>
          </w:p>
        </w:tc>
        <w:tc>
          <w:tcPr>
            <w:tcW w:w="1718" w:type="dxa"/>
            <w:tcBorders>
              <w:top w:val="single" w:color="auto" w:sz="4" w:space="0"/>
              <w:left w:val="single" w:color="auto" w:sz="4" w:space="0"/>
              <w:bottom w:val="single" w:color="auto" w:sz="4" w:space="0"/>
              <w:right w:val="single" w:color="auto" w:sz="4" w:space="0"/>
            </w:tcBorders>
            <w:vAlign w:val="center"/>
          </w:tcPr>
          <w:p w14:paraId="5B786A0E">
            <w:pPr>
              <w:spacing w:line="360" w:lineRule="exact"/>
              <w:rPr>
                <w:rFonts w:ascii="宋体" w:hAnsi="宋体" w:cs="宋体"/>
              </w:rPr>
            </w:pPr>
            <w:r>
              <w:rPr>
                <w:rFonts w:hint="eastAsia" w:ascii="宋体" w:hAnsi="宋体" w:cs="宋体"/>
              </w:rPr>
              <w:t>偏离</w:t>
            </w:r>
          </w:p>
        </w:tc>
        <w:tc>
          <w:tcPr>
            <w:tcW w:w="7486" w:type="dxa"/>
            <w:tcBorders>
              <w:top w:val="single" w:color="auto" w:sz="4" w:space="0"/>
              <w:left w:val="single" w:color="auto" w:sz="4" w:space="0"/>
              <w:bottom w:val="single" w:color="auto" w:sz="4" w:space="0"/>
              <w:right w:val="single" w:color="auto" w:sz="4" w:space="0"/>
            </w:tcBorders>
            <w:vAlign w:val="center"/>
          </w:tcPr>
          <w:p w14:paraId="35897D78">
            <w:pPr>
              <w:spacing w:line="360" w:lineRule="exact"/>
              <w:rPr>
                <w:rFonts w:ascii="宋体" w:hAnsi="宋体" w:cs="宋体"/>
              </w:rPr>
            </w:pPr>
            <w:r>
              <w:rPr>
                <w:rFonts w:hint="eastAsia" w:ascii="宋体" w:hAnsi="宋体" w:cs="宋体"/>
              </w:rPr>
              <w:t>不允许偏离</w:t>
            </w:r>
          </w:p>
        </w:tc>
      </w:tr>
      <w:tr w14:paraId="316175A4">
        <w:tblPrEx>
          <w:tblCellMar>
            <w:top w:w="0" w:type="dxa"/>
            <w:left w:w="108" w:type="dxa"/>
            <w:bottom w:w="0" w:type="dxa"/>
            <w:right w:w="108" w:type="dxa"/>
          </w:tblCellMar>
        </w:tblPrEx>
        <w:trPr>
          <w:trHeight w:val="409"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3427B7E">
            <w:pPr>
              <w:spacing w:line="360" w:lineRule="exact"/>
              <w:jc w:val="center"/>
              <w:rPr>
                <w:rFonts w:ascii="宋体" w:hAnsi="宋体" w:cs="宋体"/>
              </w:rPr>
            </w:pPr>
            <w:r>
              <w:rPr>
                <w:rFonts w:hint="eastAsia" w:ascii="宋体" w:hAnsi="宋体" w:cs="宋体"/>
              </w:rPr>
              <w:t>9</w:t>
            </w:r>
          </w:p>
        </w:tc>
        <w:tc>
          <w:tcPr>
            <w:tcW w:w="1718" w:type="dxa"/>
            <w:tcBorders>
              <w:top w:val="single" w:color="auto" w:sz="4" w:space="0"/>
              <w:left w:val="single" w:color="auto" w:sz="4" w:space="0"/>
              <w:bottom w:val="single" w:color="auto" w:sz="4" w:space="0"/>
              <w:right w:val="single" w:color="auto" w:sz="4" w:space="0"/>
            </w:tcBorders>
            <w:vAlign w:val="center"/>
          </w:tcPr>
          <w:p w14:paraId="3888636C">
            <w:pPr>
              <w:spacing w:line="360" w:lineRule="exact"/>
              <w:jc w:val="center"/>
              <w:rPr>
                <w:rFonts w:ascii="宋体" w:hAnsi="宋体" w:cs="宋体"/>
              </w:rPr>
            </w:pPr>
            <w:r>
              <w:rPr>
                <w:rFonts w:hint="eastAsia" w:ascii="宋体" w:hAnsi="宋体" w:cs="宋体"/>
              </w:rPr>
              <w:t>投标有效期</w:t>
            </w:r>
          </w:p>
        </w:tc>
        <w:tc>
          <w:tcPr>
            <w:tcW w:w="7486" w:type="dxa"/>
            <w:tcBorders>
              <w:top w:val="single" w:color="auto" w:sz="4" w:space="0"/>
              <w:left w:val="single" w:color="auto" w:sz="4" w:space="0"/>
              <w:bottom w:val="single" w:color="auto" w:sz="4" w:space="0"/>
              <w:right w:val="single" w:color="auto" w:sz="4" w:space="0"/>
            </w:tcBorders>
            <w:vAlign w:val="center"/>
          </w:tcPr>
          <w:p w14:paraId="635AE71F">
            <w:pPr>
              <w:spacing w:line="360" w:lineRule="exact"/>
              <w:rPr>
                <w:rFonts w:ascii="宋体" w:hAnsi="宋体" w:cs="宋体"/>
              </w:rPr>
            </w:pPr>
            <w:r>
              <w:rPr>
                <w:rFonts w:hint="eastAsia" w:ascii="宋体" w:hAnsi="宋体" w:cs="宋体"/>
              </w:rPr>
              <w:t>投标文件自投标截止时间起生效，有效期90天。</w:t>
            </w:r>
          </w:p>
        </w:tc>
      </w:tr>
      <w:tr w14:paraId="5F8E09BE">
        <w:tblPrEx>
          <w:tblCellMar>
            <w:top w:w="0" w:type="dxa"/>
            <w:left w:w="108" w:type="dxa"/>
            <w:bottom w:w="0" w:type="dxa"/>
            <w:right w:w="108" w:type="dxa"/>
          </w:tblCellMar>
        </w:tblPrEx>
        <w:trPr>
          <w:trHeight w:val="46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2EAE534">
            <w:pPr>
              <w:spacing w:line="360" w:lineRule="exact"/>
              <w:jc w:val="center"/>
              <w:rPr>
                <w:rFonts w:ascii="宋体" w:hAnsi="宋体" w:cs="宋体"/>
              </w:rPr>
            </w:pPr>
            <w:r>
              <w:rPr>
                <w:rFonts w:hint="eastAsia" w:ascii="宋体" w:hAnsi="宋体" w:cs="宋体"/>
              </w:rPr>
              <w:t>10</w:t>
            </w:r>
          </w:p>
        </w:tc>
        <w:tc>
          <w:tcPr>
            <w:tcW w:w="1718" w:type="dxa"/>
            <w:tcBorders>
              <w:top w:val="single" w:color="auto" w:sz="4" w:space="0"/>
              <w:left w:val="single" w:color="auto" w:sz="4" w:space="0"/>
              <w:bottom w:val="single" w:color="auto" w:sz="4" w:space="0"/>
              <w:right w:val="single" w:color="auto" w:sz="4" w:space="0"/>
            </w:tcBorders>
            <w:vAlign w:val="center"/>
          </w:tcPr>
          <w:p w14:paraId="0867C074">
            <w:pPr>
              <w:spacing w:line="360" w:lineRule="exact"/>
              <w:jc w:val="center"/>
              <w:rPr>
                <w:rFonts w:ascii="宋体" w:hAnsi="宋体" w:cs="宋体"/>
              </w:rPr>
            </w:pPr>
            <w:r>
              <w:rPr>
                <w:rFonts w:hint="eastAsia" w:ascii="宋体" w:hAnsi="宋体" w:cs="宋体"/>
              </w:rPr>
              <w:t>投标保证金</w:t>
            </w:r>
          </w:p>
        </w:tc>
        <w:tc>
          <w:tcPr>
            <w:tcW w:w="7486" w:type="dxa"/>
            <w:tcBorders>
              <w:top w:val="single" w:color="auto" w:sz="4" w:space="0"/>
              <w:left w:val="single" w:color="auto" w:sz="4" w:space="0"/>
              <w:bottom w:val="single" w:color="auto" w:sz="4" w:space="0"/>
              <w:right w:val="single" w:color="auto" w:sz="4" w:space="0"/>
            </w:tcBorders>
            <w:vAlign w:val="center"/>
          </w:tcPr>
          <w:p w14:paraId="0F4EDD57">
            <w:pPr>
              <w:spacing w:line="440" w:lineRule="exact"/>
              <w:rPr>
                <w:rFonts w:ascii="宋体" w:hAnsi="宋体" w:cs="宋体"/>
              </w:rPr>
            </w:pPr>
            <w:r>
              <w:rPr>
                <w:rFonts w:hint="eastAsia" w:ascii="宋体" w:hAnsi="宋体" w:cs="宋体"/>
              </w:rPr>
              <w:t>本项目无需提交投标保证金</w:t>
            </w:r>
          </w:p>
        </w:tc>
      </w:tr>
      <w:tr w14:paraId="0A152C16">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718A2FD">
            <w:pPr>
              <w:spacing w:line="360" w:lineRule="exact"/>
              <w:jc w:val="center"/>
              <w:rPr>
                <w:rFonts w:ascii="宋体" w:hAnsi="宋体" w:cs="宋体"/>
              </w:rPr>
            </w:pPr>
            <w:r>
              <w:rPr>
                <w:rFonts w:hint="eastAsia" w:ascii="宋体" w:hAnsi="宋体" w:cs="宋体"/>
              </w:rPr>
              <w:t>11</w:t>
            </w:r>
          </w:p>
        </w:tc>
        <w:tc>
          <w:tcPr>
            <w:tcW w:w="1718" w:type="dxa"/>
            <w:tcBorders>
              <w:top w:val="single" w:color="auto" w:sz="4" w:space="0"/>
              <w:left w:val="single" w:color="auto" w:sz="4" w:space="0"/>
              <w:bottom w:val="single" w:color="auto" w:sz="4" w:space="0"/>
              <w:right w:val="single" w:color="auto" w:sz="4" w:space="0"/>
            </w:tcBorders>
            <w:vAlign w:val="center"/>
          </w:tcPr>
          <w:p w14:paraId="3731A7B7">
            <w:pPr>
              <w:spacing w:line="360" w:lineRule="exact"/>
              <w:jc w:val="center"/>
              <w:rPr>
                <w:rFonts w:ascii="宋体" w:hAnsi="宋体" w:cs="宋体"/>
              </w:rPr>
            </w:pPr>
            <w:r>
              <w:rPr>
                <w:rFonts w:hint="eastAsia" w:ascii="宋体" w:hAnsi="宋体" w:cs="宋体"/>
              </w:rPr>
              <w:t>递交投标文件地点</w:t>
            </w:r>
          </w:p>
        </w:tc>
        <w:tc>
          <w:tcPr>
            <w:tcW w:w="7486" w:type="dxa"/>
            <w:tcBorders>
              <w:top w:val="single" w:color="auto" w:sz="4" w:space="0"/>
              <w:left w:val="single" w:color="auto" w:sz="4" w:space="0"/>
              <w:bottom w:val="single" w:color="auto" w:sz="4" w:space="0"/>
              <w:right w:val="single" w:color="auto" w:sz="4" w:space="0"/>
            </w:tcBorders>
            <w:vAlign w:val="center"/>
          </w:tcPr>
          <w:p w14:paraId="06FBEF3A">
            <w:pPr>
              <w:spacing w:line="360" w:lineRule="exact"/>
              <w:rPr>
                <w:rFonts w:ascii="宋体" w:hAnsi="宋体" w:cs="宋体"/>
              </w:rPr>
            </w:pPr>
            <w:r>
              <w:rPr>
                <w:rFonts w:hint="eastAsia" w:ascii="宋体" w:cs="宋体"/>
              </w:rPr>
              <w:t>见磋商公告</w:t>
            </w:r>
          </w:p>
        </w:tc>
      </w:tr>
      <w:tr w14:paraId="4FD53514">
        <w:tblPrEx>
          <w:tblCellMar>
            <w:top w:w="0" w:type="dxa"/>
            <w:left w:w="108" w:type="dxa"/>
            <w:bottom w:w="0" w:type="dxa"/>
            <w:right w:w="108" w:type="dxa"/>
          </w:tblCellMar>
        </w:tblPrEx>
        <w:trPr>
          <w:trHeight w:val="752"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948FB51">
            <w:pPr>
              <w:spacing w:line="360" w:lineRule="exact"/>
              <w:jc w:val="center"/>
              <w:rPr>
                <w:rFonts w:ascii="宋体" w:hAnsi="宋体" w:cs="宋体"/>
              </w:rPr>
            </w:pPr>
            <w:r>
              <w:rPr>
                <w:rFonts w:hint="eastAsia" w:ascii="宋体" w:hAnsi="宋体" w:cs="宋体"/>
              </w:rPr>
              <w:t>12</w:t>
            </w:r>
          </w:p>
        </w:tc>
        <w:tc>
          <w:tcPr>
            <w:tcW w:w="1718" w:type="dxa"/>
            <w:tcBorders>
              <w:top w:val="single" w:color="auto" w:sz="4" w:space="0"/>
              <w:left w:val="single" w:color="auto" w:sz="4" w:space="0"/>
              <w:bottom w:val="single" w:color="auto" w:sz="4" w:space="0"/>
              <w:right w:val="single" w:color="auto" w:sz="4" w:space="0"/>
            </w:tcBorders>
            <w:vAlign w:val="center"/>
          </w:tcPr>
          <w:p w14:paraId="2FDE3C87">
            <w:pPr>
              <w:spacing w:line="360" w:lineRule="exact"/>
              <w:jc w:val="center"/>
              <w:rPr>
                <w:rFonts w:ascii="宋体" w:hAnsi="宋体" w:cs="宋体"/>
              </w:rPr>
            </w:pPr>
            <w:r>
              <w:rPr>
                <w:rFonts w:hint="eastAsia" w:ascii="宋体" w:hAnsi="宋体" w:cs="宋体"/>
              </w:rPr>
              <w:t>开标时间和</w:t>
            </w:r>
          </w:p>
          <w:p w14:paraId="7BC4C24F">
            <w:pPr>
              <w:spacing w:line="360" w:lineRule="exact"/>
              <w:jc w:val="center"/>
              <w:rPr>
                <w:rFonts w:ascii="宋体" w:hAnsi="宋体" w:cs="宋体"/>
              </w:rPr>
            </w:pPr>
            <w:r>
              <w:rPr>
                <w:rFonts w:hint="eastAsia" w:ascii="宋体" w:hAnsi="宋体" w:cs="宋体"/>
              </w:rPr>
              <w:t>地点</w:t>
            </w:r>
          </w:p>
        </w:tc>
        <w:tc>
          <w:tcPr>
            <w:tcW w:w="7486" w:type="dxa"/>
            <w:tcBorders>
              <w:top w:val="single" w:color="auto" w:sz="4" w:space="0"/>
              <w:left w:val="single" w:color="auto" w:sz="4" w:space="0"/>
              <w:bottom w:val="single" w:color="auto" w:sz="4" w:space="0"/>
              <w:right w:val="single" w:color="auto" w:sz="4" w:space="0"/>
            </w:tcBorders>
            <w:vAlign w:val="center"/>
          </w:tcPr>
          <w:p w14:paraId="465F448A">
            <w:pPr>
              <w:spacing w:line="360" w:lineRule="exact"/>
              <w:rPr>
                <w:rFonts w:ascii="宋体" w:hAnsi="宋体" w:cs="宋体"/>
              </w:rPr>
            </w:pPr>
            <w:r>
              <w:rPr>
                <w:rFonts w:hint="eastAsia" w:ascii="宋体" w:cs="宋体"/>
              </w:rPr>
              <w:t>见</w:t>
            </w:r>
            <w:r>
              <w:rPr>
                <w:rFonts w:hint="eastAsia" w:ascii="宋体" w:hAnsi="宋体" w:cs="宋体"/>
                <w:bCs/>
                <w:color w:val="000000"/>
                <w:kern w:val="21"/>
              </w:rPr>
              <w:t>磋商</w:t>
            </w:r>
            <w:r>
              <w:rPr>
                <w:rFonts w:hint="eastAsia" w:ascii="宋体" w:cs="宋体"/>
              </w:rPr>
              <w:t>公告</w:t>
            </w:r>
          </w:p>
        </w:tc>
      </w:tr>
      <w:tr w14:paraId="0A5E0E0A">
        <w:tblPrEx>
          <w:tblCellMar>
            <w:top w:w="0" w:type="dxa"/>
            <w:left w:w="108" w:type="dxa"/>
            <w:bottom w:w="0" w:type="dxa"/>
            <w:right w:w="108" w:type="dxa"/>
          </w:tblCellMar>
        </w:tblPrEx>
        <w:trPr>
          <w:trHeight w:val="1124"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1621D07">
            <w:pPr>
              <w:spacing w:line="360" w:lineRule="exact"/>
              <w:jc w:val="center"/>
              <w:rPr>
                <w:rFonts w:ascii="宋体" w:hAnsi="宋体" w:cs="宋体"/>
              </w:rPr>
            </w:pPr>
            <w:r>
              <w:rPr>
                <w:rFonts w:hint="eastAsia" w:ascii="宋体" w:hAnsi="宋体" w:cs="宋体"/>
              </w:rPr>
              <w:t>13</w:t>
            </w:r>
          </w:p>
        </w:tc>
        <w:tc>
          <w:tcPr>
            <w:tcW w:w="1718" w:type="dxa"/>
            <w:tcBorders>
              <w:top w:val="single" w:color="auto" w:sz="4" w:space="0"/>
              <w:left w:val="single" w:color="auto" w:sz="4" w:space="0"/>
              <w:bottom w:val="single" w:color="auto" w:sz="4" w:space="0"/>
              <w:right w:val="single" w:color="auto" w:sz="4" w:space="0"/>
            </w:tcBorders>
            <w:vAlign w:val="center"/>
          </w:tcPr>
          <w:p w14:paraId="6C006A6F">
            <w:pPr>
              <w:spacing w:line="360" w:lineRule="exact"/>
              <w:jc w:val="center"/>
              <w:rPr>
                <w:rFonts w:ascii="宋体" w:hAnsi="宋体" w:cs="宋体"/>
              </w:rPr>
            </w:pPr>
            <w:r>
              <w:rPr>
                <w:rFonts w:hint="eastAsia" w:ascii="宋体" w:hAnsi="宋体" w:cs="宋体"/>
                <w:color w:val="000000"/>
              </w:rPr>
              <w:t>磋商小组</w:t>
            </w:r>
            <w:r>
              <w:rPr>
                <w:rFonts w:hint="eastAsia" w:ascii="宋体" w:hAnsi="宋体" w:cs="宋体"/>
              </w:rPr>
              <w:t>的组建</w:t>
            </w:r>
          </w:p>
        </w:tc>
        <w:tc>
          <w:tcPr>
            <w:tcW w:w="7486" w:type="dxa"/>
            <w:tcBorders>
              <w:top w:val="single" w:color="auto" w:sz="4" w:space="0"/>
              <w:left w:val="single" w:color="auto" w:sz="4" w:space="0"/>
              <w:bottom w:val="single" w:color="auto" w:sz="4" w:space="0"/>
              <w:right w:val="single" w:color="auto" w:sz="4" w:space="0"/>
            </w:tcBorders>
            <w:vAlign w:val="center"/>
          </w:tcPr>
          <w:p w14:paraId="67001CCF">
            <w:pPr>
              <w:spacing w:line="360" w:lineRule="exact"/>
              <w:rPr>
                <w:rFonts w:ascii="宋体" w:hAnsi="宋体" w:cs="宋体"/>
              </w:rPr>
            </w:pPr>
            <w:r>
              <w:rPr>
                <w:rFonts w:hint="eastAsia" w:ascii="宋体" w:hAnsi="宋体" w:cs="宋体"/>
                <w:color w:val="000000"/>
              </w:rPr>
              <w:t>磋商小组构成：由采购人代表以及有关技术、经济等方面的专家组成，成员为3人及以上单数，其中技术、经济类专家不得少于总人数的2/3；评标专家确定方式：按相关规定从专家库中抽取。</w:t>
            </w:r>
          </w:p>
        </w:tc>
      </w:tr>
      <w:tr w14:paraId="12823027">
        <w:tblPrEx>
          <w:tblCellMar>
            <w:top w:w="0" w:type="dxa"/>
            <w:left w:w="108" w:type="dxa"/>
            <w:bottom w:w="0" w:type="dxa"/>
            <w:right w:w="108" w:type="dxa"/>
          </w:tblCellMar>
        </w:tblPrEx>
        <w:trPr>
          <w:trHeight w:val="428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554D4B21">
            <w:pPr>
              <w:spacing w:line="360" w:lineRule="exact"/>
              <w:jc w:val="center"/>
              <w:rPr>
                <w:rFonts w:ascii="宋体" w:hAnsi="宋体" w:cs="宋体"/>
              </w:rPr>
            </w:pPr>
            <w:r>
              <w:rPr>
                <w:rFonts w:hint="eastAsia" w:ascii="宋体" w:hAnsi="宋体" w:cs="宋体"/>
              </w:rPr>
              <w:t>14</w:t>
            </w:r>
          </w:p>
        </w:tc>
        <w:tc>
          <w:tcPr>
            <w:tcW w:w="1718" w:type="dxa"/>
            <w:tcBorders>
              <w:top w:val="single" w:color="auto" w:sz="4" w:space="0"/>
              <w:left w:val="single" w:color="auto" w:sz="4" w:space="0"/>
              <w:bottom w:val="single" w:color="auto" w:sz="4" w:space="0"/>
              <w:right w:val="single" w:color="auto" w:sz="4" w:space="0"/>
            </w:tcBorders>
            <w:vAlign w:val="center"/>
          </w:tcPr>
          <w:p w14:paraId="1148255B">
            <w:pPr>
              <w:spacing w:line="360" w:lineRule="exact"/>
              <w:jc w:val="center"/>
              <w:rPr>
                <w:rFonts w:ascii="宋体" w:hAnsi="宋体" w:cs="宋体"/>
              </w:rPr>
            </w:pPr>
            <w:r>
              <w:rPr>
                <w:rFonts w:hint="eastAsia" w:ascii="宋体" w:hAnsi="宋体" w:cs="宋体"/>
              </w:rPr>
              <w:t>知识产权</w:t>
            </w:r>
          </w:p>
        </w:tc>
        <w:tc>
          <w:tcPr>
            <w:tcW w:w="7486" w:type="dxa"/>
            <w:tcBorders>
              <w:top w:val="single" w:color="auto" w:sz="4" w:space="0"/>
              <w:left w:val="single" w:color="auto" w:sz="4" w:space="0"/>
              <w:bottom w:val="single" w:color="auto" w:sz="4" w:space="0"/>
              <w:right w:val="single" w:color="auto" w:sz="4" w:space="0"/>
            </w:tcBorders>
            <w:vAlign w:val="center"/>
          </w:tcPr>
          <w:p w14:paraId="17CDCAE9">
            <w:pPr>
              <w:autoSpaceDE w:val="0"/>
              <w:autoSpaceDN w:val="0"/>
              <w:adjustRightInd w:val="0"/>
              <w:snapToGrid w:val="0"/>
              <w:spacing w:line="460" w:lineRule="atLeast"/>
              <w:textAlignment w:val="bottom"/>
              <w:rPr>
                <w:rFonts w:ascii="宋体" w:hAnsi="宋体" w:cs="宋体"/>
              </w:rPr>
            </w:pPr>
            <w:r>
              <w:rPr>
                <w:rFonts w:hint="eastAsia" w:ascii="宋体" w:hAnsi="宋体" w:cs="宋体"/>
              </w:rPr>
              <w:t>1、供应商应保证，采购人在中华人民共和国使用货物和服务的任何一部分时，免受第三方提出侵犯其专利权、商标权或其它知识产权的起诉。在法律范围内，所有文字、商标和技术侵权造成的相关费用，业主概不负责。</w:t>
            </w:r>
          </w:p>
          <w:p w14:paraId="4CEDFE9F">
            <w:pPr>
              <w:autoSpaceDE w:val="0"/>
              <w:autoSpaceDN w:val="0"/>
              <w:adjustRightInd w:val="0"/>
              <w:snapToGrid w:val="0"/>
              <w:spacing w:line="460" w:lineRule="atLeast"/>
              <w:textAlignment w:val="bottom"/>
              <w:rPr>
                <w:rFonts w:ascii="宋体" w:hAnsi="宋体" w:cs="宋体"/>
              </w:rPr>
            </w:pPr>
            <w:r>
              <w:rPr>
                <w:rFonts w:hint="eastAsia" w:ascii="宋体" w:hAnsi="宋体" w:cs="宋体"/>
              </w:rPr>
              <w:t>2、投标人应对采购人在使用该产品时所涉及到的专利权负责，不损害采购人的利益。</w:t>
            </w:r>
          </w:p>
          <w:p w14:paraId="614DF985">
            <w:pPr>
              <w:autoSpaceDE w:val="0"/>
              <w:autoSpaceDN w:val="0"/>
              <w:adjustRightInd w:val="0"/>
              <w:snapToGrid w:val="0"/>
              <w:spacing w:line="460" w:lineRule="atLeast"/>
              <w:textAlignment w:val="bottom"/>
              <w:rPr>
                <w:rFonts w:ascii="宋体" w:hAnsi="宋体" w:cs="宋体"/>
              </w:rPr>
            </w:pPr>
            <w:r>
              <w:rPr>
                <w:rFonts w:hint="eastAsia" w:ascii="宋体" w:hAnsi="宋体" w:cs="宋体"/>
              </w:rPr>
              <w:t>3、投标报价应包括所有应支付的对专利权和版权、设计或其他知识产权而需要向其他方支付的版税。</w:t>
            </w:r>
          </w:p>
          <w:p w14:paraId="076A4267">
            <w:pPr>
              <w:autoSpaceDE w:val="0"/>
              <w:autoSpaceDN w:val="0"/>
              <w:adjustRightInd w:val="0"/>
              <w:snapToGrid w:val="0"/>
              <w:spacing w:line="460" w:lineRule="atLeast"/>
              <w:textAlignment w:val="bottom"/>
              <w:rPr>
                <w:rFonts w:ascii="宋体" w:hAnsi="宋体" w:cs="宋体"/>
              </w:rPr>
            </w:pPr>
            <w:r>
              <w:rPr>
                <w:rFonts w:hint="eastAsia" w:ascii="宋体" w:hAnsi="宋体" w:cs="宋体"/>
              </w:rPr>
              <w:t>4、投标人提供得货物中如使用其他公司的相关专利，应在标书中出示相关授权，如未出示但使用了其他公司的专利，导致供应商中标而引起相关诉讼，由投标人承担。</w:t>
            </w:r>
          </w:p>
        </w:tc>
      </w:tr>
      <w:tr w14:paraId="44C63E7D">
        <w:tblPrEx>
          <w:tblCellMar>
            <w:top w:w="0" w:type="dxa"/>
            <w:left w:w="108" w:type="dxa"/>
            <w:bottom w:w="0" w:type="dxa"/>
            <w:right w:w="108" w:type="dxa"/>
          </w:tblCellMar>
        </w:tblPrEx>
        <w:trPr>
          <w:trHeight w:val="917"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277E0DA1">
            <w:pPr>
              <w:spacing w:line="360" w:lineRule="exact"/>
              <w:jc w:val="center"/>
              <w:rPr>
                <w:rFonts w:ascii="宋体" w:hAnsi="宋体" w:cs="宋体"/>
              </w:rPr>
            </w:pPr>
            <w:r>
              <w:rPr>
                <w:rFonts w:hint="eastAsia" w:ascii="宋体" w:hAnsi="宋体" w:cs="宋体"/>
              </w:rPr>
              <w:t>15</w:t>
            </w:r>
          </w:p>
        </w:tc>
        <w:tc>
          <w:tcPr>
            <w:tcW w:w="1718" w:type="dxa"/>
            <w:tcBorders>
              <w:top w:val="single" w:color="auto" w:sz="4" w:space="0"/>
              <w:left w:val="single" w:color="auto" w:sz="4" w:space="0"/>
              <w:bottom w:val="single" w:color="auto" w:sz="4" w:space="0"/>
              <w:right w:val="single" w:color="auto" w:sz="4" w:space="0"/>
            </w:tcBorders>
            <w:vAlign w:val="center"/>
          </w:tcPr>
          <w:p w14:paraId="29DD9B94">
            <w:pPr>
              <w:spacing w:line="360" w:lineRule="exact"/>
              <w:jc w:val="center"/>
              <w:rPr>
                <w:rFonts w:ascii="宋体" w:hAnsi="宋体" w:cs="宋体"/>
              </w:rPr>
            </w:pPr>
            <w:r>
              <w:rPr>
                <w:rFonts w:hint="eastAsia" w:ascii="宋体" w:hAnsi="宋体" w:cs="宋体"/>
              </w:rPr>
              <w:t>核心产品</w:t>
            </w:r>
          </w:p>
        </w:tc>
        <w:tc>
          <w:tcPr>
            <w:tcW w:w="7486" w:type="dxa"/>
            <w:tcBorders>
              <w:top w:val="single" w:color="auto" w:sz="4" w:space="0"/>
              <w:left w:val="single" w:color="auto" w:sz="4" w:space="0"/>
              <w:bottom w:val="single" w:color="auto" w:sz="4" w:space="0"/>
              <w:right w:val="single" w:color="auto" w:sz="4" w:space="0"/>
            </w:tcBorders>
            <w:vAlign w:val="center"/>
          </w:tcPr>
          <w:p w14:paraId="35A6382F">
            <w:pPr>
              <w:adjustRightInd w:val="0"/>
              <w:spacing w:line="440" w:lineRule="atLeast"/>
              <w:rPr>
                <w:rFonts w:ascii="宋体" w:hAnsi="宋体" w:cs="宋体"/>
              </w:rPr>
            </w:pPr>
            <w:r>
              <w:rPr>
                <w:rFonts w:hint="eastAsia" w:ascii="宋体" w:hAnsi="宋体" w:cs="宋体"/>
              </w:rPr>
              <w:t>非单一产品采购项目，采购人应当根据采购项目技术构成、产品价格比重等合理确定核心产品，并在文件中载明。</w:t>
            </w:r>
          </w:p>
        </w:tc>
      </w:tr>
      <w:tr w14:paraId="424891FD">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04580BF8">
            <w:pPr>
              <w:spacing w:line="300" w:lineRule="exact"/>
              <w:jc w:val="center"/>
              <w:rPr>
                <w:rFonts w:ascii="新宋体" w:hAnsi="新宋体" w:eastAsia="新宋体"/>
              </w:rPr>
            </w:pPr>
            <w:r>
              <w:rPr>
                <w:rFonts w:hint="eastAsia" w:ascii="新宋体" w:hAnsi="新宋体" w:eastAsia="新宋体"/>
              </w:rPr>
              <w:t>16</w:t>
            </w:r>
          </w:p>
        </w:tc>
        <w:tc>
          <w:tcPr>
            <w:tcW w:w="1718" w:type="dxa"/>
            <w:tcBorders>
              <w:top w:val="single" w:color="auto" w:sz="4" w:space="0"/>
              <w:left w:val="single" w:color="auto" w:sz="4" w:space="0"/>
              <w:bottom w:val="single" w:color="auto" w:sz="4" w:space="0"/>
              <w:right w:val="single" w:color="auto" w:sz="4" w:space="0"/>
            </w:tcBorders>
            <w:vAlign w:val="center"/>
          </w:tcPr>
          <w:p w14:paraId="40CFD24E">
            <w:pPr>
              <w:spacing w:line="300" w:lineRule="exact"/>
              <w:jc w:val="center"/>
              <w:rPr>
                <w:rFonts w:ascii="新宋体" w:hAnsi="新宋体" w:eastAsia="新宋体"/>
              </w:rPr>
            </w:pPr>
            <w:r>
              <w:rPr>
                <w:rFonts w:hint="eastAsia" w:ascii="新宋体" w:hAnsi="新宋体" w:eastAsia="新宋体"/>
              </w:rPr>
              <w:t>磋商响应文件形式、制作及组成</w:t>
            </w:r>
          </w:p>
        </w:tc>
        <w:tc>
          <w:tcPr>
            <w:tcW w:w="7486" w:type="dxa"/>
            <w:tcBorders>
              <w:top w:val="single" w:color="auto" w:sz="4" w:space="0"/>
              <w:left w:val="single" w:color="auto" w:sz="4" w:space="0"/>
              <w:bottom w:val="single" w:color="auto" w:sz="4" w:space="0"/>
              <w:right w:val="single" w:color="auto" w:sz="4" w:space="0"/>
            </w:tcBorders>
            <w:vAlign w:val="center"/>
          </w:tcPr>
          <w:p w14:paraId="7FC3D06D">
            <w:pPr>
              <w:spacing w:line="300" w:lineRule="exact"/>
              <w:rPr>
                <w:rFonts w:ascii="新宋体" w:hAnsi="新宋体" w:eastAsia="新宋体"/>
              </w:rPr>
            </w:pPr>
            <w:r>
              <w:rPr>
                <w:rFonts w:ascii="新宋体" w:hAnsi="新宋体" w:eastAsia="新宋体"/>
              </w:rPr>
              <w:t>本项目实行网上</w:t>
            </w:r>
            <w:r>
              <w:rPr>
                <w:rFonts w:hint="eastAsia" w:ascii="新宋体" w:hAnsi="新宋体" w:eastAsia="新宋体"/>
              </w:rPr>
              <w:t>投标。</w:t>
            </w:r>
          </w:p>
          <w:p w14:paraId="161FDA7D">
            <w:pPr>
              <w:spacing w:line="300" w:lineRule="exact"/>
              <w:rPr>
                <w:rFonts w:ascii="新宋体" w:hAnsi="新宋体" w:eastAsia="新宋体"/>
              </w:rPr>
            </w:pPr>
            <w:r>
              <w:rPr>
                <w:rFonts w:hint="eastAsia" w:ascii="新宋体" w:hAnsi="新宋体" w:eastAsia="新宋体"/>
              </w:rPr>
              <w:t>供应商应准备电子磋商响应文件：</w:t>
            </w:r>
          </w:p>
          <w:p w14:paraId="5F0DAEAC">
            <w:pPr>
              <w:spacing w:line="300" w:lineRule="exact"/>
              <w:rPr>
                <w:rFonts w:ascii="新宋体" w:hAnsi="新宋体" w:eastAsia="新宋体"/>
              </w:rPr>
            </w:pPr>
            <w:r>
              <w:rPr>
                <w:rFonts w:hint="eastAsia" w:ascii="新宋体" w:hAnsi="新宋体" w:eastAsia="新宋体"/>
              </w:rPr>
              <w:t>（1）电子磋商响应文件，按政采云平台</w:t>
            </w:r>
            <w:r>
              <w:rPr>
                <w:rFonts w:ascii="新宋体" w:hAnsi="新宋体" w:eastAsia="新宋体"/>
              </w:rPr>
              <w:t>项目采购-电子招投标操作指南</w:t>
            </w:r>
            <w:r>
              <w:rPr>
                <w:rFonts w:hint="eastAsia" w:ascii="新宋体" w:hAnsi="新宋体" w:eastAsia="新宋体"/>
              </w:rPr>
              <w:t>及本竞争性磋商文件要求递交</w:t>
            </w:r>
            <w:r>
              <w:rPr>
                <w:rFonts w:ascii="新宋体" w:hAnsi="新宋体" w:eastAsia="新宋体"/>
              </w:rPr>
              <w:t>。</w:t>
            </w:r>
          </w:p>
          <w:p w14:paraId="2AF2DE58">
            <w:pPr>
              <w:spacing w:line="300" w:lineRule="exact"/>
              <w:rPr>
                <w:rFonts w:ascii="新宋体" w:hAnsi="新宋体" w:eastAsia="新宋体"/>
              </w:rPr>
            </w:pPr>
            <w:r>
              <w:rPr>
                <w:rFonts w:hint="eastAsia" w:ascii="新宋体" w:hAnsi="新宋体" w:eastAsia="新宋体"/>
              </w:rPr>
              <w:t>磋商响应文件由资格文件、商务技术文件、报价文件三部分组成。</w:t>
            </w:r>
          </w:p>
        </w:tc>
      </w:tr>
      <w:tr w14:paraId="1AEC5A3C">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5155D57">
            <w:pPr>
              <w:spacing w:line="300" w:lineRule="exact"/>
              <w:jc w:val="center"/>
              <w:rPr>
                <w:rFonts w:ascii="新宋体" w:hAnsi="新宋体" w:eastAsia="新宋体"/>
              </w:rPr>
            </w:pPr>
            <w:r>
              <w:rPr>
                <w:rFonts w:hint="eastAsia" w:ascii="新宋体" w:hAnsi="新宋体" w:eastAsia="新宋体"/>
              </w:rPr>
              <w:t>17</w:t>
            </w:r>
          </w:p>
        </w:tc>
        <w:tc>
          <w:tcPr>
            <w:tcW w:w="1718" w:type="dxa"/>
            <w:tcBorders>
              <w:top w:val="single" w:color="auto" w:sz="4" w:space="0"/>
              <w:left w:val="single" w:color="auto" w:sz="4" w:space="0"/>
              <w:bottom w:val="single" w:color="auto" w:sz="4" w:space="0"/>
              <w:right w:val="single" w:color="auto" w:sz="4" w:space="0"/>
            </w:tcBorders>
            <w:vAlign w:val="center"/>
          </w:tcPr>
          <w:p w14:paraId="4FAAC8EB">
            <w:pPr>
              <w:spacing w:line="300" w:lineRule="exact"/>
              <w:jc w:val="center"/>
              <w:rPr>
                <w:rFonts w:ascii="新宋体" w:hAnsi="新宋体" w:eastAsia="新宋体"/>
              </w:rPr>
            </w:pPr>
            <w:r>
              <w:rPr>
                <w:rFonts w:hint="eastAsia" w:ascii="新宋体" w:hAnsi="新宋体" w:eastAsia="新宋体"/>
              </w:rPr>
              <w:t>磋商</w:t>
            </w:r>
            <w:r>
              <w:rPr>
                <w:rFonts w:hint="eastAsia" w:ascii="新宋体" w:hAnsi="新宋体" w:eastAsia="新宋体" w:cs="新宋体"/>
              </w:rPr>
              <w:t>响应文件签字或盖章要求</w:t>
            </w:r>
          </w:p>
        </w:tc>
        <w:tc>
          <w:tcPr>
            <w:tcW w:w="7486" w:type="dxa"/>
            <w:tcBorders>
              <w:top w:val="single" w:color="auto" w:sz="4" w:space="0"/>
              <w:left w:val="single" w:color="auto" w:sz="4" w:space="0"/>
              <w:bottom w:val="single" w:color="auto" w:sz="4" w:space="0"/>
              <w:right w:val="single" w:color="auto" w:sz="4" w:space="0"/>
            </w:tcBorders>
            <w:vAlign w:val="center"/>
          </w:tcPr>
          <w:p w14:paraId="65EAB204">
            <w:pPr>
              <w:spacing w:line="300" w:lineRule="exact"/>
              <w:rPr>
                <w:rFonts w:ascii="新宋体" w:hAnsi="新宋体" w:eastAsia="新宋体" w:cs="新宋体"/>
              </w:rPr>
            </w:pPr>
            <w:r>
              <w:rPr>
                <w:rFonts w:hint="eastAsia" w:ascii="新宋体" w:hAnsi="新宋体" w:eastAsia="新宋体" w:cs="新宋体"/>
              </w:rPr>
              <w:t>磋商响应文件的相应位置应加盖：</w:t>
            </w:r>
          </w:p>
          <w:p w14:paraId="77BC2AB4">
            <w:pPr>
              <w:spacing w:line="300" w:lineRule="exact"/>
              <w:rPr>
                <w:rFonts w:ascii="新宋体" w:hAnsi="新宋体" w:eastAsia="新宋体" w:cs="新宋体"/>
              </w:rPr>
            </w:pPr>
            <w:r>
              <w:rPr>
                <w:rFonts w:hint="eastAsia" w:ascii="新宋体" w:hAnsi="新宋体" w:eastAsia="新宋体" w:cs="新宋体"/>
              </w:rPr>
              <w:t>（1）单位公章；</w:t>
            </w:r>
          </w:p>
          <w:p w14:paraId="08BF20C6">
            <w:pPr>
              <w:spacing w:line="300" w:lineRule="exact"/>
              <w:rPr>
                <w:rFonts w:ascii="新宋体" w:hAnsi="新宋体" w:eastAsia="新宋体" w:cs="新宋体"/>
              </w:rPr>
            </w:pPr>
            <w:r>
              <w:rPr>
                <w:rFonts w:hint="eastAsia" w:ascii="新宋体" w:hAnsi="新宋体" w:eastAsia="新宋体" w:cs="新宋体"/>
              </w:rPr>
              <w:t>（2）法定代表人或其授权委托代理人签字或盖章（如为授权委托代理人签字或盖章的须提供法定代表人授权委托书）。</w:t>
            </w:r>
          </w:p>
          <w:p w14:paraId="2758F644">
            <w:pPr>
              <w:spacing w:line="300" w:lineRule="exact"/>
              <w:rPr>
                <w:rFonts w:ascii="新宋体" w:hAnsi="新宋体" w:eastAsia="新宋体" w:cs="新宋体"/>
              </w:rPr>
            </w:pPr>
            <w:r>
              <w:rPr>
                <w:rFonts w:hint="eastAsia" w:ascii="新宋体" w:hAnsi="新宋体" w:eastAsia="新宋体" w:cs="新宋体"/>
              </w:rPr>
              <w:t>（3）供应商单位不得以投标专用章、合同专用章等其他形式印章代替，否则视为无效印章。</w:t>
            </w:r>
          </w:p>
        </w:tc>
      </w:tr>
      <w:tr w14:paraId="086B1CF6">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84E66DE">
            <w:pPr>
              <w:spacing w:line="300" w:lineRule="exact"/>
              <w:jc w:val="center"/>
              <w:rPr>
                <w:rFonts w:ascii="新宋体" w:hAnsi="新宋体" w:eastAsia="新宋体"/>
              </w:rPr>
            </w:pPr>
            <w:r>
              <w:rPr>
                <w:rFonts w:hint="eastAsia" w:ascii="新宋体" w:hAnsi="新宋体" w:eastAsia="新宋体"/>
              </w:rPr>
              <w:t>18</w:t>
            </w:r>
          </w:p>
        </w:tc>
        <w:tc>
          <w:tcPr>
            <w:tcW w:w="1718" w:type="dxa"/>
            <w:tcBorders>
              <w:top w:val="single" w:color="auto" w:sz="4" w:space="0"/>
              <w:left w:val="single" w:color="auto" w:sz="4" w:space="0"/>
              <w:bottom w:val="single" w:color="auto" w:sz="4" w:space="0"/>
              <w:right w:val="single" w:color="auto" w:sz="4" w:space="0"/>
            </w:tcBorders>
            <w:vAlign w:val="center"/>
          </w:tcPr>
          <w:p w14:paraId="72CD3FE4">
            <w:pPr>
              <w:spacing w:line="300" w:lineRule="exact"/>
              <w:jc w:val="center"/>
              <w:rPr>
                <w:rFonts w:ascii="新宋体" w:hAnsi="新宋体" w:eastAsia="新宋体"/>
              </w:rPr>
            </w:pPr>
            <w:r>
              <w:rPr>
                <w:rFonts w:hint="eastAsia" w:ascii="新宋体" w:hAnsi="新宋体" w:eastAsia="新宋体"/>
              </w:rPr>
              <w:t>磋商响应文件的上传与递交</w:t>
            </w:r>
          </w:p>
        </w:tc>
        <w:tc>
          <w:tcPr>
            <w:tcW w:w="7486" w:type="dxa"/>
            <w:tcBorders>
              <w:top w:val="single" w:color="auto" w:sz="4" w:space="0"/>
              <w:left w:val="single" w:color="auto" w:sz="4" w:space="0"/>
              <w:bottom w:val="single" w:color="auto" w:sz="4" w:space="0"/>
              <w:right w:val="single" w:color="auto" w:sz="4" w:space="0"/>
            </w:tcBorders>
            <w:vAlign w:val="center"/>
          </w:tcPr>
          <w:p w14:paraId="471907BD">
            <w:pPr>
              <w:rPr>
                <w:rFonts w:ascii="新宋体" w:hAnsi="新宋体" w:eastAsia="新宋体" w:cs="新宋体"/>
              </w:rPr>
            </w:pPr>
            <w:r>
              <w:rPr>
                <w:rFonts w:hint="eastAsia" w:ascii="新宋体" w:hAnsi="新宋体" w:eastAsia="新宋体" w:cs="新宋体"/>
              </w:rPr>
              <w:t>（1）“电子磋商响应文件”的上传、递交：</w:t>
            </w:r>
          </w:p>
          <w:p w14:paraId="264AA585">
            <w:pPr>
              <w:rPr>
                <w:rFonts w:ascii="新宋体" w:hAnsi="新宋体" w:eastAsia="新宋体" w:cs="新宋体"/>
              </w:rPr>
            </w:pPr>
            <w:r>
              <w:rPr>
                <w:rFonts w:hint="eastAsia" w:ascii="新宋体" w:hAnsi="新宋体" w:eastAsia="新宋体" w:cs="新宋体"/>
              </w:rPr>
              <w:t>a.投标人应在投标文件递交截止时间前将“电子采购响应文件”成功上传递交至“政采云平台”，否则投标无效。</w:t>
            </w:r>
          </w:p>
          <w:p w14:paraId="18BC9A36">
            <w:pPr>
              <w:rPr>
                <w:rFonts w:ascii="新宋体" w:hAnsi="新宋体" w:eastAsia="新宋体" w:cs="新宋体"/>
              </w:rPr>
            </w:pPr>
            <w:r>
              <w:rPr>
                <w:rFonts w:hint="eastAsia" w:ascii="新宋体" w:hAnsi="新宋体" w:eastAsia="新宋体" w:cs="新宋体"/>
              </w:rPr>
              <w:t>b.“电子采购响应文件”成功上传递交后，供应商可自行打印投标文件接收回执。</w:t>
            </w:r>
          </w:p>
          <w:p w14:paraId="1674DA9E">
            <w:pPr>
              <w:rPr>
                <w:rFonts w:ascii="新宋体" w:hAnsi="新宋体" w:eastAsia="新宋体" w:cs="新宋体"/>
              </w:rPr>
            </w:pPr>
            <w:r>
              <w:rPr>
                <w:rFonts w:hint="eastAsia" w:ascii="新宋体" w:hAnsi="新宋体" w:eastAsia="新宋体" w:cs="新宋体"/>
              </w:rPr>
              <w:t>（2）“备份投标文件”的递交（是否提交由投标人自行决定）：</w:t>
            </w:r>
          </w:p>
          <w:p w14:paraId="1BF3A070">
            <w:pPr>
              <w:rPr>
                <w:rFonts w:ascii="新宋体" w:hAnsi="新宋体" w:eastAsia="新宋体" w:cs="新宋体"/>
              </w:rPr>
            </w:pPr>
            <w:r>
              <w:rPr>
                <w:rFonts w:hint="eastAsia" w:ascii="新宋体" w:hAnsi="新宋体" w:eastAsia="新宋体" w:cs="新宋体"/>
              </w:rPr>
              <w:t>a.投标人在“政采云平台”完成“电子采购响应文件”的上传递交后，还可以在开标截止前将备份投标文件压缩加密以邮箱形式发送346139344@qq.com。已经解密CA必须是上传并制作电子采购响应文件CA锁。</w:t>
            </w:r>
          </w:p>
          <w:p w14:paraId="6C5EB5A3">
            <w:pPr>
              <w:spacing w:line="300" w:lineRule="exact"/>
              <w:rPr>
                <w:rFonts w:ascii="新宋体" w:hAnsi="新宋体" w:eastAsia="新宋体" w:cs="新宋体"/>
              </w:rPr>
            </w:pPr>
            <w:r>
              <w:rPr>
                <w:rFonts w:hint="eastAsia" w:ascii="新宋体" w:hAnsi="新宋体" w:eastAsia="新宋体" w:cs="新宋体"/>
              </w:rPr>
              <w:t>b.通过“政采云平台”成功上传递交的“电子采购响应文件”已按时解密的，“备份投标文件”自动失效。投标文件递交截止时间前，投标人仅递交了“备份投标文件”而未将“电子采购响应文件”成功上传至“政采云平台”的，投标无效。</w:t>
            </w:r>
          </w:p>
        </w:tc>
      </w:tr>
      <w:tr w14:paraId="3E982B79">
        <w:tblPrEx>
          <w:tblCellMar>
            <w:top w:w="0" w:type="dxa"/>
            <w:left w:w="108" w:type="dxa"/>
            <w:bottom w:w="0" w:type="dxa"/>
            <w:right w:w="108" w:type="dxa"/>
          </w:tblCellMar>
        </w:tblPrEx>
        <w:trPr>
          <w:trHeight w:val="72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042CED4">
            <w:pPr>
              <w:spacing w:line="300" w:lineRule="exact"/>
              <w:jc w:val="center"/>
              <w:rPr>
                <w:rFonts w:ascii="新宋体" w:hAnsi="新宋体" w:eastAsia="新宋体"/>
              </w:rPr>
            </w:pPr>
            <w:r>
              <w:rPr>
                <w:rFonts w:hint="eastAsia" w:ascii="新宋体" w:hAnsi="新宋体" w:eastAsia="新宋体"/>
              </w:rPr>
              <w:t>19</w:t>
            </w:r>
          </w:p>
        </w:tc>
        <w:tc>
          <w:tcPr>
            <w:tcW w:w="1718" w:type="dxa"/>
            <w:tcBorders>
              <w:top w:val="single" w:color="auto" w:sz="4" w:space="0"/>
              <w:left w:val="single" w:color="auto" w:sz="4" w:space="0"/>
              <w:bottom w:val="single" w:color="auto" w:sz="4" w:space="0"/>
              <w:right w:val="single" w:color="auto" w:sz="4" w:space="0"/>
            </w:tcBorders>
            <w:vAlign w:val="center"/>
          </w:tcPr>
          <w:p w14:paraId="6E055D1A">
            <w:pPr>
              <w:spacing w:line="300" w:lineRule="exact"/>
              <w:jc w:val="center"/>
              <w:rPr>
                <w:rFonts w:ascii="新宋体" w:hAnsi="新宋体" w:eastAsia="新宋体"/>
              </w:rPr>
            </w:pPr>
            <w:r>
              <w:rPr>
                <w:rFonts w:hint="eastAsia" w:ascii="新宋体" w:hAnsi="新宋体" w:eastAsia="新宋体"/>
              </w:rPr>
              <w:t>开标时间和评标地点</w:t>
            </w:r>
          </w:p>
        </w:tc>
        <w:tc>
          <w:tcPr>
            <w:tcW w:w="7486" w:type="dxa"/>
            <w:tcBorders>
              <w:top w:val="single" w:color="auto" w:sz="4" w:space="0"/>
              <w:left w:val="single" w:color="auto" w:sz="4" w:space="0"/>
              <w:bottom w:val="single" w:color="auto" w:sz="4" w:space="0"/>
              <w:right w:val="single" w:color="auto" w:sz="4" w:space="0"/>
            </w:tcBorders>
            <w:vAlign w:val="center"/>
          </w:tcPr>
          <w:p w14:paraId="5ED1903A">
            <w:pPr>
              <w:spacing w:line="300" w:lineRule="exact"/>
              <w:rPr>
                <w:rFonts w:ascii="新宋体" w:hAnsi="新宋体" w:eastAsia="新宋体"/>
              </w:rPr>
            </w:pPr>
            <w:r>
              <w:rPr>
                <w:rFonts w:hint="eastAsia" w:ascii="新宋体" w:hAnsi="新宋体" w:eastAsia="新宋体"/>
              </w:rPr>
              <w:t>开标时间：2025年  月  日09时30分</w:t>
            </w:r>
          </w:p>
          <w:p w14:paraId="2896DC8F">
            <w:pPr>
              <w:spacing w:line="300" w:lineRule="exact"/>
              <w:rPr>
                <w:rFonts w:ascii="新宋体" w:hAnsi="新宋体" w:eastAsia="新宋体"/>
              </w:rPr>
            </w:pPr>
            <w:r>
              <w:rPr>
                <w:rFonts w:hint="eastAsia" w:ascii="新宋体" w:hAnsi="新宋体" w:eastAsia="新宋体"/>
              </w:rPr>
              <w:t>评标地点：</w:t>
            </w:r>
            <w:r>
              <w:rPr>
                <w:rFonts w:hint="eastAsia" w:ascii="新宋体" w:hAnsi="新宋体" w:eastAsia="新宋体"/>
                <w:bCs/>
              </w:rPr>
              <w:t>浙江三凯工程管理有限公司会议室（浙江省温州市鹿城区南汇街道温州大道铁道大厦7楼）</w:t>
            </w:r>
            <w:r>
              <w:rPr>
                <w:rFonts w:hint="eastAsia" w:ascii="新宋体" w:hAnsi="新宋体" w:eastAsia="新宋体"/>
              </w:rPr>
              <w:t>。</w:t>
            </w:r>
          </w:p>
        </w:tc>
      </w:tr>
      <w:tr w14:paraId="282C7FD9">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EC88C68">
            <w:pPr>
              <w:spacing w:line="300" w:lineRule="exact"/>
              <w:jc w:val="center"/>
              <w:rPr>
                <w:rFonts w:ascii="新宋体" w:hAnsi="新宋体" w:eastAsia="新宋体"/>
              </w:rPr>
            </w:pPr>
            <w:r>
              <w:rPr>
                <w:rFonts w:hint="eastAsia" w:ascii="新宋体" w:hAnsi="新宋体" w:eastAsia="新宋体" w:cs="新宋体"/>
              </w:rPr>
              <w:t>20</w:t>
            </w:r>
          </w:p>
        </w:tc>
        <w:tc>
          <w:tcPr>
            <w:tcW w:w="1718" w:type="dxa"/>
            <w:tcBorders>
              <w:top w:val="single" w:color="auto" w:sz="4" w:space="0"/>
              <w:left w:val="single" w:color="auto" w:sz="4" w:space="0"/>
              <w:bottom w:val="single" w:color="auto" w:sz="4" w:space="0"/>
              <w:right w:val="single" w:color="auto" w:sz="4" w:space="0"/>
            </w:tcBorders>
            <w:vAlign w:val="center"/>
          </w:tcPr>
          <w:p w14:paraId="1EBF6E9D">
            <w:pPr>
              <w:jc w:val="center"/>
              <w:rPr>
                <w:rFonts w:ascii="新宋体" w:hAnsi="新宋体" w:eastAsia="新宋体"/>
              </w:rPr>
            </w:pPr>
            <w:r>
              <w:rPr>
                <w:rFonts w:hint="eastAsia" w:ascii="新宋体" w:hAnsi="新宋体" w:eastAsia="新宋体" w:cs="新宋体"/>
              </w:rPr>
              <w:t>供应商信用查询</w:t>
            </w:r>
          </w:p>
        </w:tc>
        <w:tc>
          <w:tcPr>
            <w:tcW w:w="7486" w:type="dxa"/>
            <w:tcBorders>
              <w:top w:val="single" w:color="auto" w:sz="4" w:space="0"/>
              <w:left w:val="single" w:color="auto" w:sz="4" w:space="0"/>
              <w:bottom w:val="single" w:color="auto" w:sz="4" w:space="0"/>
              <w:right w:val="single" w:color="auto" w:sz="4" w:space="0"/>
            </w:tcBorders>
            <w:vAlign w:val="center"/>
          </w:tcPr>
          <w:p w14:paraId="31034831">
            <w:pPr>
              <w:rPr>
                <w:rFonts w:ascii="新宋体" w:hAnsi="新宋体" w:eastAsia="新宋体" w:cs="新宋体"/>
              </w:rPr>
            </w:pPr>
            <w:r>
              <w:rPr>
                <w:rFonts w:hint="eastAsia" w:ascii="新宋体" w:hAnsi="新宋体" w:eastAsia="新宋体" w:cs="新宋体"/>
              </w:rPr>
              <w:t>（1）供应商信用信息查询的查询渠道：“信用中国”(</w:t>
            </w:r>
            <w:r>
              <w:fldChar w:fldCharType="begin"/>
            </w:r>
            <w:r>
              <w:instrText xml:space="preserve"> HYPERLINK "http://www.creditchina.gov.cn" </w:instrText>
            </w:r>
            <w:r>
              <w:fldChar w:fldCharType="separate"/>
            </w:r>
            <w:r>
              <w:rPr>
                <w:rFonts w:hint="eastAsia" w:ascii="新宋体" w:hAnsi="新宋体" w:eastAsia="新宋体" w:cs="新宋体"/>
              </w:rPr>
              <w:t>www.creditchina.gov.cn</w:t>
            </w:r>
            <w:r>
              <w:rPr>
                <w:rFonts w:hint="eastAsia" w:ascii="新宋体" w:hAnsi="新宋体" w:eastAsia="新宋体" w:cs="新宋体"/>
              </w:rPr>
              <w:fldChar w:fldCharType="end"/>
            </w:r>
            <w:r>
              <w:rPr>
                <w:rFonts w:hint="eastAsia" w:ascii="新宋体" w:hAnsi="新宋体" w:eastAsia="新宋体" w:cs="新宋体"/>
              </w:rPr>
              <w:t>)；“中国政府采购网”（http://www.ccgp.gov.cn/）；</w:t>
            </w:r>
          </w:p>
          <w:p w14:paraId="65F53A65">
            <w:pPr>
              <w:rPr>
                <w:rFonts w:ascii="新宋体" w:hAnsi="新宋体" w:eastAsia="新宋体" w:cs="新宋体"/>
              </w:rPr>
            </w:pPr>
            <w:r>
              <w:rPr>
                <w:rFonts w:hint="eastAsia" w:ascii="新宋体" w:hAnsi="新宋体" w:eastAsia="新宋体" w:cs="新宋体"/>
              </w:rPr>
              <w:t>（2）供应商信用信息查询截止时点：公告发布之日起至本项目投标截止时间内任意时间。</w:t>
            </w:r>
          </w:p>
          <w:p w14:paraId="0BCE102F">
            <w:pPr>
              <w:rPr>
                <w:rFonts w:ascii="新宋体" w:hAnsi="新宋体" w:eastAsia="新宋体" w:cs="新宋体"/>
              </w:rPr>
            </w:pPr>
            <w:r>
              <w:rPr>
                <w:rFonts w:hint="eastAsia" w:ascii="新宋体" w:hAnsi="新宋体" w:eastAsia="新宋体" w:cs="新宋体"/>
              </w:rPr>
              <w:t>（3）供应商信用信息查询记录和证据留存的具体方式：网页截图打印；</w:t>
            </w:r>
          </w:p>
          <w:p w14:paraId="7B4F863B">
            <w:pPr>
              <w:rPr>
                <w:rFonts w:ascii="新宋体" w:hAnsi="新宋体" w:eastAsia="新宋体" w:cs="新宋体"/>
              </w:rPr>
            </w:pPr>
            <w:r>
              <w:rPr>
                <w:rFonts w:hint="eastAsia" w:ascii="新宋体" w:hAnsi="新宋体" w:eastAsia="新宋体" w:cs="新宋体"/>
              </w:rPr>
              <w:t>（4）信用信息的使用规则：</w:t>
            </w:r>
          </w:p>
          <w:p w14:paraId="34DD7740">
            <w:pPr>
              <w:rPr>
                <w:rFonts w:ascii="新宋体" w:hAnsi="新宋体" w:eastAsia="新宋体" w:cs="新宋体"/>
              </w:rPr>
            </w:pPr>
            <w:r>
              <w:rPr>
                <w:rFonts w:hint="eastAsia" w:ascii="新宋体" w:hAnsi="新宋体" w:eastAsia="新宋体" w:cs="新宋体"/>
              </w:rPr>
              <w:t>①在“信用中国”具有负面记录：列入失信被执行人、重大税收违法案件当事人名单、政府采购严重违法失信行为名单；</w:t>
            </w:r>
          </w:p>
          <w:p w14:paraId="2F34A8CB">
            <w:pPr>
              <w:rPr>
                <w:rFonts w:ascii="新宋体" w:hAnsi="新宋体" w:eastAsia="新宋体" w:cs="新宋体"/>
              </w:rPr>
            </w:pPr>
            <w:r>
              <w:rPr>
                <w:rFonts w:hint="eastAsia" w:ascii="新宋体" w:hAnsi="新宋体" w:eastAsia="新宋体" w:cs="新宋体"/>
              </w:rPr>
              <w:t>②被“中国政府采购网”(www.ccgp.gov.cn)列入政府采购严重违法失信行为记录名单。</w:t>
            </w:r>
          </w:p>
          <w:p w14:paraId="123C45B9">
            <w:pPr>
              <w:rPr>
                <w:rFonts w:ascii="新宋体" w:hAnsi="新宋体" w:eastAsia="新宋体" w:cs="新宋体"/>
              </w:rPr>
            </w:pPr>
            <w:r>
              <w:rPr>
                <w:rFonts w:hint="eastAsia" w:ascii="新宋体" w:hAnsi="新宋体" w:eastAsia="新宋体" w:cs="新宋体"/>
              </w:rPr>
              <w:t>（5）具有以上（4）所述信息记录的供应商，其投标做无效投标处理。</w:t>
            </w:r>
          </w:p>
          <w:p w14:paraId="2D4B72BF">
            <w:pPr>
              <w:rPr>
                <w:rFonts w:ascii="新宋体" w:hAnsi="新宋体" w:eastAsia="新宋体" w:cs="新宋体"/>
              </w:rPr>
            </w:pPr>
            <w:r>
              <w:rPr>
                <w:rFonts w:hint="eastAsia" w:ascii="新宋体" w:hAnsi="新宋体" w:eastAsia="新宋体" w:cs="新宋体"/>
                <w:b/>
                <w:bCs/>
                <w:szCs w:val="21"/>
                <w:u w:val="single"/>
              </w:rPr>
              <w:t>（6）▲</w:t>
            </w:r>
            <w:r>
              <w:rPr>
                <w:rFonts w:hint="eastAsia" w:ascii="新宋体" w:hAnsi="新宋体" w:eastAsia="新宋体" w:cs="新宋体"/>
                <w:b/>
                <w:u w:val="single"/>
              </w:rPr>
              <w:t>关于</w:t>
            </w:r>
            <w:r>
              <w:rPr>
                <w:rFonts w:hint="eastAsia" w:ascii="新宋体" w:hAnsi="新宋体" w:eastAsia="新宋体" w:cs="新宋体"/>
                <w:b/>
                <w:bCs/>
                <w:u w:val="single"/>
              </w:rPr>
              <w:t>“信用中国”(www.creditchina.gov.cn) 信用记录网页截图相关说明</w:t>
            </w:r>
            <w:r>
              <w:rPr>
                <w:rFonts w:hint="eastAsia" w:ascii="新宋体" w:hAnsi="新宋体" w:eastAsia="新宋体" w:cs="新宋体"/>
                <w:bCs/>
              </w:rPr>
              <w:t>：</w:t>
            </w:r>
          </w:p>
          <w:p w14:paraId="427DC721">
            <w:pPr>
              <w:rPr>
                <w:rFonts w:ascii="新宋体" w:hAnsi="新宋体" w:eastAsia="新宋体" w:cs="新宋体"/>
                <w:bCs/>
              </w:rPr>
            </w:pPr>
            <w:r>
              <w:rPr>
                <w:rFonts w:hint="eastAsia" w:ascii="新宋体" w:hAnsi="新宋体" w:eastAsia="新宋体" w:cs="新宋体"/>
                <w:bCs/>
              </w:rPr>
              <w:t>①若供应商查询页面“行政处罚”栏显示有行政处罚事项，须将所有行政处罚事项在“信用中国”网页上列出的明细一并打印，并附说明，是否属于“经营活动中的重大违法记录”。</w:t>
            </w:r>
          </w:p>
          <w:p w14:paraId="6E4D0A3D">
            <w:pPr>
              <w:rPr>
                <w:rFonts w:ascii="新宋体" w:hAnsi="新宋体" w:eastAsia="新宋体" w:cs="新宋体"/>
                <w:bCs/>
              </w:rPr>
            </w:pPr>
            <w:r>
              <w:rPr>
                <w:rFonts w:hint="eastAsia" w:ascii="新宋体" w:hAnsi="新宋体" w:eastAsia="新宋体" w:cs="新宋体"/>
                <w:bCs/>
              </w:rPr>
              <w:t>②若供应商在“信用中国”无数据，亦须将搜索结果页面打印。</w:t>
            </w:r>
          </w:p>
          <w:p w14:paraId="1C8EAA6B">
            <w:pPr>
              <w:rPr>
                <w:rFonts w:ascii="新宋体" w:hAnsi="新宋体" w:eastAsia="新宋体"/>
              </w:rPr>
            </w:pPr>
            <w:r>
              <w:rPr>
                <w:rFonts w:hint="eastAsia" w:ascii="新宋体" w:hAnsi="新宋体" w:eastAsia="新宋体" w:cs="新宋体"/>
                <w:bCs/>
              </w:rPr>
              <w:t>（7）具体结果以开标当日采购人或采购代理机构对</w:t>
            </w:r>
            <w:r>
              <w:rPr>
                <w:rFonts w:hint="eastAsia" w:ascii="新宋体" w:hAnsi="新宋体" w:eastAsia="新宋体" w:cs="楷体"/>
              </w:rPr>
              <w:t>投标人信用查询网页的</w:t>
            </w:r>
            <w:r>
              <w:rPr>
                <w:rFonts w:hint="eastAsia" w:ascii="新宋体" w:hAnsi="新宋体" w:eastAsia="新宋体" w:cs="新宋体"/>
                <w:bCs/>
              </w:rPr>
              <w:t>查询结果为准。</w:t>
            </w:r>
          </w:p>
        </w:tc>
      </w:tr>
      <w:tr w14:paraId="5CD1839A">
        <w:tblPrEx>
          <w:tblCellMar>
            <w:top w:w="0" w:type="dxa"/>
            <w:left w:w="108" w:type="dxa"/>
            <w:bottom w:w="0" w:type="dxa"/>
            <w:right w:w="108" w:type="dxa"/>
          </w:tblCellMar>
        </w:tblPrEx>
        <w:trPr>
          <w:trHeight w:val="85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E316B6B">
            <w:pPr>
              <w:jc w:val="center"/>
              <w:rPr>
                <w:rFonts w:ascii="新宋体" w:hAnsi="新宋体" w:eastAsia="新宋体"/>
              </w:rPr>
            </w:pPr>
            <w:r>
              <w:rPr>
                <w:rFonts w:hint="eastAsia" w:ascii="新宋体" w:hAnsi="新宋体" w:eastAsia="新宋体" w:cs="新宋体"/>
              </w:rPr>
              <w:t>21</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58F2BB91">
            <w:pPr>
              <w:jc w:val="center"/>
              <w:rPr>
                <w:rFonts w:ascii="新宋体" w:hAnsi="新宋体" w:eastAsia="新宋体"/>
              </w:rPr>
            </w:pPr>
            <w:r>
              <w:rPr>
                <w:rFonts w:hint="eastAsia" w:ascii="新宋体" w:hAnsi="新宋体" w:eastAsia="新宋体" w:cs="新宋体"/>
              </w:rPr>
              <w:t>合同备案</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73127F64">
            <w:pPr>
              <w:rPr>
                <w:rFonts w:ascii="新宋体" w:hAnsi="新宋体" w:eastAsia="新宋体" w:cs="新宋体"/>
              </w:rPr>
            </w:pPr>
            <w:r>
              <w:rPr>
                <w:rFonts w:hint="eastAsia" w:ascii="新宋体" w:hAnsi="新宋体" w:eastAsia="新宋体" w:cs="新宋体"/>
              </w:rPr>
              <w:t>（1）成交供应商须在成交通知书发出之日起30日历天内与采购人签订合同。</w:t>
            </w:r>
          </w:p>
          <w:p w14:paraId="27AE17BD">
            <w:pPr>
              <w:rPr>
                <w:rFonts w:ascii="新宋体" w:hAnsi="新宋体" w:eastAsia="新宋体"/>
              </w:rPr>
            </w:pPr>
            <w:r>
              <w:rPr>
                <w:rFonts w:hint="eastAsia" w:ascii="新宋体" w:hAnsi="新宋体" w:eastAsia="新宋体" w:cs="新宋体"/>
              </w:rPr>
              <w:t>（2）成交供应商与采购人签订合同后，2日历天内将合同扫描件电子版发给采购代理机构：邮箱：</w:t>
            </w:r>
            <w:r>
              <w:rPr>
                <w:rFonts w:hint="eastAsia" w:ascii="新宋体" w:hAnsi="新宋体" w:eastAsia="新宋体" w:cs="新宋体"/>
                <w:b/>
                <w:u w:val="single"/>
              </w:rPr>
              <w:t>346139344@qq.com</w:t>
            </w:r>
            <w:r>
              <w:rPr>
                <w:rFonts w:hint="eastAsia" w:ascii="新宋体" w:hAnsi="新宋体" w:eastAsia="新宋体" w:cs="新宋体"/>
              </w:rPr>
              <w:t>。</w:t>
            </w:r>
          </w:p>
        </w:tc>
      </w:tr>
      <w:tr w14:paraId="0C3F8EE2">
        <w:tblPrEx>
          <w:tblCellMar>
            <w:top w:w="0" w:type="dxa"/>
            <w:left w:w="108" w:type="dxa"/>
            <w:bottom w:w="0" w:type="dxa"/>
            <w:right w:w="108" w:type="dxa"/>
          </w:tblCellMar>
        </w:tblPrEx>
        <w:trPr>
          <w:trHeight w:val="41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CB291E5">
            <w:pPr>
              <w:jc w:val="center"/>
              <w:rPr>
                <w:rFonts w:ascii="新宋体" w:hAnsi="新宋体" w:eastAsia="新宋体"/>
              </w:rPr>
            </w:pPr>
            <w:r>
              <w:rPr>
                <w:rFonts w:hint="eastAsia" w:ascii="新宋体" w:hAnsi="新宋体" w:eastAsia="新宋体" w:cs="新宋体"/>
              </w:rPr>
              <w:t>22</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993EE10">
            <w:pPr>
              <w:jc w:val="center"/>
              <w:rPr>
                <w:rFonts w:ascii="新宋体" w:hAnsi="新宋体" w:eastAsia="新宋体"/>
              </w:rPr>
            </w:pPr>
            <w:r>
              <w:rPr>
                <w:rFonts w:hint="eastAsia" w:ascii="新宋体" w:hAnsi="新宋体" w:eastAsia="新宋体" w:cs="新宋体"/>
              </w:rPr>
              <w:t>合同履约管理</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5B2096A1">
            <w:pPr>
              <w:rPr>
                <w:rFonts w:ascii="新宋体" w:hAnsi="新宋体" w:eastAsia="新宋体"/>
              </w:rPr>
            </w:pPr>
            <w:r>
              <w:rPr>
                <w:rFonts w:hint="eastAsia" w:ascii="新宋体" w:hAnsi="新宋体" w:eastAsia="新宋体" w:cs="新宋体"/>
              </w:rPr>
              <w:t>合同签订后，采购人依法加强对合同履约进行管理，并在中标单位服务、项目验收等重要关节，如实填写《合同验收报告》（或考核资料），并及时向同级财政部门报告验收过程中遇到的问题。</w:t>
            </w:r>
          </w:p>
        </w:tc>
      </w:tr>
      <w:tr w14:paraId="09325117">
        <w:tblPrEx>
          <w:tblCellMar>
            <w:top w:w="0" w:type="dxa"/>
            <w:left w:w="108" w:type="dxa"/>
            <w:bottom w:w="0" w:type="dxa"/>
            <w:right w:w="108" w:type="dxa"/>
          </w:tblCellMar>
        </w:tblPrEx>
        <w:trPr>
          <w:trHeight w:val="91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D593942">
            <w:pPr>
              <w:jc w:val="center"/>
              <w:rPr>
                <w:rFonts w:ascii="新宋体" w:hAnsi="新宋体" w:eastAsia="新宋体"/>
              </w:rPr>
            </w:pPr>
            <w:r>
              <w:rPr>
                <w:rFonts w:hint="eastAsia" w:ascii="新宋体" w:hAnsi="新宋体" w:eastAsia="新宋体" w:cs="新宋体"/>
              </w:rPr>
              <w:t>23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2F68BEA">
            <w:pPr>
              <w:jc w:val="center"/>
              <w:rPr>
                <w:rFonts w:ascii="新宋体" w:hAnsi="新宋体" w:eastAsia="新宋体"/>
              </w:rPr>
            </w:pPr>
            <w:r>
              <w:rPr>
                <w:rFonts w:hint="eastAsia" w:ascii="新宋体" w:hAnsi="新宋体" w:eastAsia="新宋体" w:cs="新宋体"/>
                <w:bCs/>
              </w:rPr>
              <w:t>服务期限</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2762826D">
            <w:pPr>
              <w:rPr>
                <w:rFonts w:ascii="新宋体" w:hAnsi="新宋体" w:eastAsia="新宋体"/>
              </w:rPr>
            </w:pPr>
            <w:r>
              <w:rPr>
                <w:rFonts w:hint="eastAsia" w:ascii="新宋体" w:hAnsi="新宋体" w:eastAsia="新宋体"/>
              </w:rPr>
              <w:t>为本工程施工范围内的全部工期，直至所有工程综合验收合格并资料移交备案且办理竣工结算审核完毕至质量缺陷责任期结束为止。</w:t>
            </w:r>
          </w:p>
        </w:tc>
      </w:tr>
      <w:tr w14:paraId="66B70836">
        <w:tblPrEx>
          <w:tblCellMar>
            <w:top w:w="0" w:type="dxa"/>
            <w:left w:w="108" w:type="dxa"/>
            <w:bottom w:w="0" w:type="dxa"/>
            <w:right w:w="108" w:type="dxa"/>
          </w:tblCellMar>
        </w:tblPrEx>
        <w:trPr>
          <w:trHeight w:val="1380"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A5D8963">
            <w:pPr>
              <w:jc w:val="center"/>
              <w:rPr>
                <w:rFonts w:ascii="新宋体" w:hAnsi="新宋体" w:eastAsia="新宋体" w:cs="新宋体"/>
              </w:rPr>
            </w:pPr>
            <w:r>
              <w:rPr>
                <w:rFonts w:hint="eastAsia" w:ascii="新宋体" w:hAnsi="新宋体" w:eastAsia="新宋体" w:cs="新宋体"/>
              </w:rPr>
              <w:t>24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216C9759">
            <w:pPr>
              <w:jc w:val="center"/>
              <w:rPr>
                <w:rFonts w:ascii="新宋体" w:hAnsi="新宋体" w:eastAsia="新宋体"/>
              </w:rPr>
            </w:pPr>
            <w:r>
              <w:rPr>
                <w:rFonts w:hint="eastAsia" w:ascii="新宋体" w:hAnsi="新宋体" w:eastAsia="新宋体" w:cs="新宋体"/>
              </w:rPr>
              <w:t>解释权</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5DF6F8E3">
            <w:pPr>
              <w:rPr>
                <w:rFonts w:ascii="新宋体" w:hAnsi="新宋体" w:eastAsia="新宋体"/>
              </w:rPr>
            </w:pPr>
            <w:r>
              <w:rPr>
                <w:rFonts w:hint="eastAsia" w:ascii="新宋体" w:hAnsi="新宋体" w:eastAsia="新宋体" w:cs="新宋体"/>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供应商须知、评标办法、采购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01BB9DB">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6C2E11A">
            <w:pPr>
              <w:jc w:val="center"/>
              <w:rPr>
                <w:rFonts w:ascii="新宋体" w:hAnsi="新宋体" w:eastAsia="新宋体" w:cs="新宋体"/>
              </w:rPr>
            </w:pPr>
            <w:r>
              <w:rPr>
                <w:rFonts w:hint="eastAsia" w:ascii="新宋体" w:hAnsi="新宋体" w:eastAsia="新宋体" w:cs="新宋体"/>
              </w:rPr>
              <w:t>25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4D4261FC">
            <w:pPr>
              <w:jc w:val="center"/>
              <w:rPr>
                <w:rFonts w:ascii="新宋体" w:hAnsi="新宋体" w:eastAsia="新宋体" w:cs="新宋体"/>
                <w:lang w:val="zh-CN"/>
              </w:rPr>
            </w:pPr>
            <w:r>
              <w:rPr>
                <w:rFonts w:hint="eastAsia" w:ascii="新宋体" w:hAnsi="新宋体" w:eastAsia="新宋体"/>
              </w:rPr>
              <w:t>电子招投标特殊情况处理方式</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06B5DB97">
            <w:pPr>
              <w:rPr>
                <w:rFonts w:ascii="新宋体" w:hAnsi="新宋体" w:eastAsia="新宋体"/>
              </w:rPr>
            </w:pPr>
            <w:r>
              <w:rPr>
                <w:rFonts w:hint="eastAsia" w:ascii="新宋体" w:hAnsi="新宋体" w:eastAsia="新宋体"/>
              </w:rPr>
              <w:t>本项目原则上采用政采云电子招投标开标及评审程序，但有下情形之一的，按以下情况处理：</w:t>
            </w:r>
          </w:p>
          <w:p w14:paraId="09B5D792">
            <w:pPr>
              <w:rPr>
                <w:rFonts w:ascii="新宋体" w:hAnsi="新宋体" w:eastAsia="新宋体" w:cs="新宋体"/>
                <w:lang w:val="zh-CN"/>
              </w:rPr>
            </w:pPr>
            <w:r>
              <w:rPr>
                <w:rFonts w:hint="eastAsia" w:ascii="新宋体" w:hAnsi="新宋体" w:eastAsia="新宋体"/>
              </w:rPr>
              <w:t>（1）若投标供应商在规定时间内无法解密或解密失败，采购代理机构将开启相应无法解密或解密失败的投标供应商以邮件形式发送的备份采购响应文件，上传至政采云平台项目采购模块，以完成开标，电子采购响应文件自动失效。</w:t>
            </w:r>
          </w:p>
        </w:tc>
      </w:tr>
      <w:tr w14:paraId="1FC0CE89">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2B5DAC7">
            <w:pPr>
              <w:tabs>
                <w:tab w:val="left" w:pos="420"/>
                <w:tab w:val="left" w:pos="1145"/>
              </w:tabs>
              <w:spacing w:line="460" w:lineRule="exact"/>
              <w:jc w:val="center"/>
              <w:rPr>
                <w:rFonts w:ascii="新宋体" w:hAnsi="新宋体" w:eastAsia="新宋体" w:cs="新宋体"/>
              </w:rPr>
            </w:pPr>
            <w:r>
              <w:rPr>
                <w:rFonts w:hint="eastAsia" w:ascii="新宋体" w:hAnsi="新宋体" w:eastAsia="新宋体" w:cs="新宋体"/>
              </w:rPr>
              <w:t>26</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7596E46C">
            <w:pPr>
              <w:jc w:val="center"/>
              <w:rPr>
                <w:rFonts w:ascii="新宋体" w:hAnsi="新宋体" w:eastAsia="新宋体" w:cs="新宋体"/>
                <w:lang w:val="zh-CN"/>
              </w:rPr>
            </w:pPr>
            <w:r>
              <w:rPr>
                <w:rFonts w:hint="eastAsia" w:ascii="新宋体" w:hAnsi="新宋体" w:eastAsia="新宋体" w:cs="新宋体"/>
                <w:color w:val="FF0000"/>
              </w:rPr>
              <w:t>采购代理服务费</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38C60529">
            <w:pPr>
              <w:rPr>
                <w:rFonts w:ascii="新宋体" w:hAnsi="新宋体" w:eastAsia="新宋体" w:cs="新宋体"/>
              </w:rPr>
            </w:pPr>
            <w:r>
              <w:rPr>
                <w:rFonts w:hint="eastAsia" w:ascii="新宋体" w:hAnsi="新宋体" w:eastAsia="新宋体" w:cs="新宋体"/>
              </w:rPr>
              <w:t>（1）</w:t>
            </w:r>
            <w:r>
              <w:rPr>
                <w:rFonts w:hint="eastAsia" w:ascii="新宋体" w:hAnsi="新宋体" w:eastAsia="新宋体"/>
              </w:rPr>
              <w:t>成交供应商无需支付招标代理费。</w:t>
            </w:r>
          </w:p>
        </w:tc>
      </w:tr>
      <w:tr w14:paraId="42CE278C">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42C0330A">
            <w:pPr>
              <w:tabs>
                <w:tab w:val="left" w:pos="420"/>
                <w:tab w:val="left" w:pos="1145"/>
              </w:tabs>
              <w:spacing w:line="460" w:lineRule="exact"/>
              <w:jc w:val="center"/>
              <w:rPr>
                <w:rFonts w:ascii="宋体" w:hAnsi="宋体" w:eastAsia="新宋体" w:cs="Courier New"/>
                <w:color w:val="000000"/>
              </w:rPr>
            </w:pPr>
            <w:bookmarkStart w:id="24" w:name="_Toc19406"/>
            <w:r>
              <w:rPr>
                <w:rFonts w:hint="eastAsia" w:ascii="宋体" w:hAnsi="宋体" w:eastAsia="新宋体" w:cs="Courier New"/>
                <w:color w:val="000000"/>
              </w:rPr>
              <w:t>27</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6272D53B">
            <w:pPr>
              <w:jc w:val="center"/>
              <w:rPr>
                <w:rFonts w:ascii="新宋体" w:hAnsi="新宋体" w:eastAsia="新宋体" w:cs="新宋体"/>
                <w:lang w:val="zh-CN"/>
              </w:rPr>
            </w:pPr>
            <w:r>
              <w:rPr>
                <w:rFonts w:hint="eastAsia" w:ascii="新宋体" w:hAnsi="新宋体" w:eastAsia="新宋体" w:cs="新宋体"/>
                <w:lang w:val="zh-CN"/>
              </w:rPr>
              <w:t>电子磋商响应文件份数</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6A6B2707">
            <w:pPr>
              <w:rPr>
                <w:rFonts w:ascii="新宋体" w:hAnsi="新宋体" w:eastAsia="新宋体" w:cs="新宋体"/>
                <w:lang w:val="zh-CN"/>
              </w:rPr>
            </w:pPr>
            <w:r>
              <w:rPr>
                <w:rFonts w:hint="eastAsia"/>
              </w:rPr>
              <w:t xml:space="preserve">  </w:t>
            </w:r>
            <w:r>
              <w:rPr>
                <w:rFonts w:hint="eastAsia" w:ascii="新宋体" w:hAnsi="新宋体" w:eastAsia="新宋体" w:cs="新宋体"/>
                <w:lang w:val="zh-CN"/>
              </w:rPr>
              <w:t>（1）“电子加密响应文件”：一份，后缀格式为.jmbs。</w:t>
            </w:r>
          </w:p>
          <w:p w14:paraId="2BC51548">
            <w:r>
              <w:rPr>
                <w:rFonts w:hint="eastAsia" w:ascii="新宋体" w:hAnsi="新宋体" w:eastAsia="新宋体" w:cs="新宋体"/>
                <w:lang w:val="zh-CN"/>
              </w:rPr>
              <w:t>（2）“备份响应文件”：一份，</w:t>
            </w:r>
            <w:r>
              <w:fldChar w:fldCharType="begin"/>
            </w:r>
            <w:r>
              <w:instrText xml:space="preserve"> HYPERLINK "mailto:可以（建议）在投标截止时间前将系统生成的备份标书（后缀格式为.bfbs）以电子邮件形式传送至采购代理机构邮箱7439036@qq.com，" </w:instrText>
            </w:r>
            <w:r>
              <w:fldChar w:fldCharType="separate"/>
            </w:r>
            <w:r>
              <w:rPr>
                <w:rFonts w:hint="eastAsia" w:ascii="新宋体" w:hAnsi="新宋体" w:eastAsia="新宋体" w:cs="新宋体"/>
                <w:lang w:val="zh-CN"/>
              </w:rPr>
              <w:t>后缀格式为.bfbs</w:t>
            </w:r>
            <w:r>
              <w:rPr>
                <w:rFonts w:hint="eastAsia" w:ascii="新宋体" w:hAnsi="新宋体" w:eastAsia="新宋体" w:cs="新宋体"/>
                <w:lang w:val="zh-CN"/>
              </w:rPr>
              <w:fldChar w:fldCharType="end"/>
            </w:r>
            <w:r>
              <w:rPr>
                <w:rFonts w:hint="eastAsia" w:ascii="新宋体" w:hAnsi="新宋体" w:eastAsia="新宋体" w:cs="新宋体"/>
                <w:lang w:val="zh-CN"/>
              </w:rPr>
              <w:t>。</w:t>
            </w:r>
          </w:p>
        </w:tc>
      </w:tr>
      <w:tr w14:paraId="305262D9">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79D00F21">
            <w:pPr>
              <w:spacing w:line="360" w:lineRule="exact"/>
              <w:jc w:val="center"/>
              <w:rPr>
                <w:rFonts w:ascii="宋体" w:hAnsi="宋体" w:eastAsia="新宋体" w:cs="Courier New"/>
                <w:color w:val="000000"/>
              </w:rPr>
            </w:pPr>
            <w:r>
              <w:rPr>
                <w:rFonts w:hint="eastAsia" w:ascii="宋体" w:hAnsi="宋体"/>
              </w:rPr>
              <w:t>23</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3DE16D0F">
            <w:pPr>
              <w:jc w:val="center"/>
              <w:rPr>
                <w:rFonts w:ascii="新宋体" w:hAnsi="新宋体" w:eastAsia="新宋体" w:cs="新宋体"/>
                <w:lang w:val="zh-CN"/>
              </w:rPr>
            </w:pPr>
            <w:r>
              <w:rPr>
                <w:rFonts w:hint="eastAsia" w:ascii="宋体" w:hAnsi="宋体"/>
              </w:rPr>
              <w:t>免则声明</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0C21ACE6">
            <w:pPr>
              <w:spacing w:line="400" w:lineRule="exact"/>
              <w:rPr>
                <w:rFonts w:ascii="宋体" w:hAnsi="宋体"/>
              </w:rPr>
            </w:pPr>
            <w:r>
              <w:rPr>
                <w:rFonts w:hint="eastAsia" w:ascii="宋体" w:hAnsi="宋体"/>
              </w:rPr>
              <w:t>1、供应商自行承担投标过程中产生的费用。无论何种因素导致采购项目延期开标、废标（流标）、供应商未成交、项目终止采购的，采购人与代理机构均不承担供应商采用采购过程的全部费用。</w:t>
            </w:r>
          </w:p>
          <w:p w14:paraId="02F29BDF">
            <w:pPr>
              <w:spacing w:line="400" w:lineRule="exact"/>
            </w:pPr>
            <w:r>
              <w:rPr>
                <w:rFonts w:hint="eastAsia" w:ascii="宋体" w:hAnsi="宋体"/>
              </w:rPr>
              <w:t>2、供应商在参与本项目采购、合同履行过程中必须做好安全保障工作，不因项目实施而危及自身及第三方人员、财产安全。若发生任何安全事故，由成交供应商自行承担一切责任并赔偿损失。</w:t>
            </w:r>
          </w:p>
        </w:tc>
      </w:tr>
      <w:tr w14:paraId="750682C8">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63A6F872">
            <w:pPr>
              <w:tabs>
                <w:tab w:val="left" w:pos="420"/>
                <w:tab w:val="left" w:pos="1145"/>
              </w:tabs>
              <w:spacing w:line="460" w:lineRule="exact"/>
              <w:jc w:val="center"/>
              <w:rPr>
                <w:rFonts w:ascii="宋体" w:hAnsi="宋体" w:eastAsia="新宋体" w:cs="Courier New"/>
                <w:color w:val="000000"/>
              </w:rPr>
            </w:pPr>
            <w:r>
              <w:rPr>
                <w:rFonts w:hint="eastAsia" w:ascii="宋体" w:hAnsi="宋体" w:eastAsia="新宋体" w:cs="Courier New"/>
                <w:color w:val="000000"/>
              </w:rPr>
              <w:t>24</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1796278D">
            <w:pPr>
              <w:spacing w:line="400" w:lineRule="exact"/>
              <w:rPr>
                <w:rFonts w:ascii="新宋体" w:hAnsi="新宋体" w:eastAsia="新宋体" w:cs="新宋体"/>
                <w:lang w:val="zh-CN"/>
              </w:rPr>
            </w:pPr>
            <w:r>
              <w:rPr>
                <w:rFonts w:hint="eastAsia" w:ascii="宋体" w:hAnsi="宋体"/>
              </w:rPr>
              <w:t>履约保证金的收取及退还</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7678028B">
            <w:pPr>
              <w:spacing w:line="400" w:lineRule="exact"/>
            </w:pPr>
            <w:r>
              <w:rPr>
                <w:rFonts w:hint="eastAsia" w:ascii="宋体" w:hAnsi="宋体"/>
              </w:rPr>
              <w:t>政府采购货物和服务项目鼓励采购单位免收履约保证金，确需收取履约保证金的，采购人收取不超过政府采购合同总金额1%作为履约保证金。履约期（验收合格）结束后5个工作日内，采购人无息退付履约保证金。</w:t>
            </w:r>
          </w:p>
        </w:tc>
      </w:tr>
      <w:tr w14:paraId="42F95582">
        <w:tblPrEx>
          <w:tblCellMar>
            <w:top w:w="0" w:type="dxa"/>
            <w:left w:w="108" w:type="dxa"/>
            <w:bottom w:w="0" w:type="dxa"/>
            <w:right w:w="108" w:type="dxa"/>
          </w:tblCellMar>
        </w:tblPrEx>
        <w:trPr>
          <w:trHeight w:val="1035" w:hRule="atLeast"/>
          <w:jc w:val="center"/>
        </w:trPr>
        <w:tc>
          <w:tcPr>
            <w:tcW w:w="1004" w:type="dxa"/>
            <w:tcBorders>
              <w:top w:val="single" w:color="auto" w:sz="4" w:space="0"/>
              <w:left w:val="single" w:color="auto" w:sz="4" w:space="0"/>
              <w:bottom w:val="single" w:color="auto" w:sz="4" w:space="0"/>
              <w:right w:val="single" w:color="auto" w:sz="4" w:space="0"/>
            </w:tcBorders>
            <w:vAlign w:val="center"/>
          </w:tcPr>
          <w:p w14:paraId="15D42F44">
            <w:pPr>
              <w:tabs>
                <w:tab w:val="left" w:pos="420"/>
                <w:tab w:val="left" w:pos="1145"/>
              </w:tabs>
              <w:spacing w:line="460" w:lineRule="exact"/>
              <w:jc w:val="center"/>
              <w:rPr>
                <w:rFonts w:ascii="宋体" w:hAnsi="宋体" w:eastAsia="新宋体" w:cs="Courier New"/>
                <w:color w:val="000000"/>
              </w:rPr>
            </w:pPr>
            <w:r>
              <w:rPr>
                <w:rFonts w:hint="eastAsia" w:ascii="宋体" w:hAnsi="宋体" w:eastAsia="新宋体" w:cs="Courier New"/>
                <w:color w:val="000000"/>
              </w:rPr>
              <w:t>25</w:t>
            </w:r>
          </w:p>
        </w:tc>
        <w:tc>
          <w:tcPr>
            <w:tcW w:w="1718" w:type="dxa"/>
            <w:tcBorders>
              <w:top w:val="single" w:color="auto" w:sz="4" w:space="0"/>
              <w:left w:val="single" w:color="auto" w:sz="4" w:space="0"/>
              <w:bottom w:val="single" w:color="auto" w:sz="4" w:space="0"/>
              <w:right w:val="single" w:color="auto" w:sz="4" w:space="0"/>
            </w:tcBorders>
            <w:shd w:val="clear" w:color="auto" w:fill="auto"/>
            <w:vAlign w:val="center"/>
          </w:tcPr>
          <w:p w14:paraId="0825F9E1">
            <w:pPr>
              <w:jc w:val="center"/>
              <w:rPr>
                <w:rFonts w:ascii="新宋体" w:hAnsi="新宋体" w:eastAsia="新宋体" w:cs="新宋体"/>
              </w:rPr>
            </w:pPr>
            <w:r>
              <w:rPr>
                <w:rFonts w:hint="eastAsia" w:ascii="新宋体" w:hAnsi="新宋体" w:eastAsia="新宋体" w:cs="新宋体"/>
              </w:rPr>
              <w:t>特别说明</w:t>
            </w:r>
          </w:p>
        </w:tc>
        <w:tc>
          <w:tcPr>
            <w:tcW w:w="7486" w:type="dxa"/>
            <w:tcBorders>
              <w:top w:val="single" w:color="auto" w:sz="4" w:space="0"/>
              <w:left w:val="single" w:color="auto" w:sz="4" w:space="0"/>
              <w:bottom w:val="single" w:color="auto" w:sz="4" w:space="0"/>
              <w:right w:val="single" w:color="auto" w:sz="4" w:space="0"/>
            </w:tcBorders>
            <w:shd w:val="clear" w:color="auto" w:fill="auto"/>
            <w:vAlign w:val="center"/>
          </w:tcPr>
          <w:p w14:paraId="33EFECBA">
            <w:pPr>
              <w:pStyle w:val="27"/>
              <w:ind w:firstLine="221"/>
              <w:rPr>
                <w:rFonts w:ascii="新宋体" w:hAnsi="新宋体" w:eastAsia="新宋体"/>
                <w:b/>
                <w:bCs/>
                <w:sz w:val="22"/>
              </w:rPr>
            </w:pPr>
            <w:r>
              <w:rPr>
                <w:rFonts w:hint="eastAsia" w:ascii="新宋体" w:hAnsi="新宋体" w:eastAsia="新宋体"/>
                <w:b/>
                <w:bCs/>
                <w:sz w:val="22"/>
              </w:rPr>
              <w:t>1.请务必确保磋商响应文件制作客户端为最新版本，旧版本可能导致磋商响应文件解密失败。</w:t>
            </w:r>
          </w:p>
          <w:p w14:paraId="16597A0F">
            <w:pPr>
              <w:pStyle w:val="27"/>
              <w:ind w:firstLine="221"/>
              <w:rPr>
                <w:rFonts w:ascii="新宋体" w:hAnsi="新宋体" w:eastAsia="新宋体"/>
                <w:b/>
                <w:bCs/>
                <w:sz w:val="22"/>
              </w:rPr>
            </w:pPr>
            <w:r>
              <w:rPr>
                <w:rFonts w:hint="eastAsia" w:ascii="新宋体" w:hAnsi="新宋体" w:eastAsia="新宋体"/>
                <w:b/>
                <w:bCs/>
                <w:sz w:val="22"/>
              </w:rPr>
              <w:t>2.请务必确保磋商响应文件制作时所用的 CA 锁与磋商响应文件解密时的 CA 锁为同一把，否则可能导致磋商响应文件解密失败。</w:t>
            </w:r>
          </w:p>
          <w:p w14:paraId="01AC46CD">
            <w:pPr>
              <w:pStyle w:val="27"/>
              <w:ind w:firstLine="221"/>
              <w:rPr>
                <w:rFonts w:ascii="新宋体" w:hAnsi="新宋体" w:eastAsia="新宋体"/>
                <w:b/>
                <w:bCs/>
                <w:sz w:val="22"/>
              </w:rPr>
            </w:pPr>
            <w:r>
              <w:rPr>
                <w:rFonts w:hint="eastAsia" w:ascii="新宋体" w:hAnsi="新宋体" w:eastAsia="新宋体"/>
                <w:b/>
                <w:bCs/>
                <w:sz w:val="22"/>
              </w:rPr>
              <w:t>3.中标供应商需提供全套纸质投标文件3份（加盖公章和法人章）邮寄至代理单位用于后期项目资料归档。（浙江三凯工程管理有限公司，浙江省温州市鹿城区南汇街道温州大道铁道大厦701室，郑启彬 13566224125 ）</w:t>
            </w:r>
          </w:p>
          <w:p w14:paraId="4924E689">
            <w:pPr>
              <w:pStyle w:val="27"/>
              <w:ind w:firstLine="221"/>
              <w:rPr>
                <w:rFonts w:ascii="新宋体" w:hAnsi="新宋体" w:eastAsia="新宋体"/>
                <w:b/>
                <w:bCs/>
                <w:sz w:val="22"/>
              </w:rPr>
            </w:pPr>
            <w:r>
              <w:rPr>
                <w:rFonts w:hint="eastAsia" w:ascii="新宋体" w:hAnsi="新宋体" w:eastAsia="新宋体"/>
                <w:b/>
                <w:bCs/>
                <w:sz w:val="22"/>
              </w:rPr>
              <w:t>4.投标人上传投标文件时须充分考虑网络、投标文件大小等因素，逾期未完成上传或未按规定时间完成文件解密，招标人予以拒收。</w:t>
            </w:r>
          </w:p>
          <w:p w14:paraId="27ACFB3A">
            <w:pPr>
              <w:pStyle w:val="27"/>
              <w:ind w:firstLine="221"/>
              <w:rPr>
                <w:rFonts w:ascii="新宋体" w:hAnsi="新宋体" w:eastAsia="新宋体"/>
                <w:b/>
                <w:bCs/>
                <w:sz w:val="22"/>
              </w:rPr>
            </w:pPr>
            <w:r>
              <w:rPr>
                <w:rFonts w:hint="eastAsia" w:ascii="新宋体" w:hAnsi="新宋体" w:eastAsia="新宋体"/>
                <w:b/>
                <w:bCs/>
                <w:sz w:val="22"/>
              </w:rPr>
              <w:t>5.本项目的招标文件下载、获取以及投标文件上传、解密等均通过互联网操作，请各投标人充分考虑网络拥堵及平台操作所需时间等因素，保证在开评标期间电脑、网络、预留电话等能够正常使用。</w:t>
            </w:r>
          </w:p>
          <w:p w14:paraId="322EA84D">
            <w:pPr>
              <w:pStyle w:val="22"/>
              <w:ind w:left="0" w:firstLine="221" w:firstLineChars="100"/>
              <w:rPr>
                <w:rFonts w:ascii="新宋体" w:hAnsi="新宋体" w:eastAsia="新宋体"/>
                <w:b/>
                <w:bCs/>
                <w:kern w:val="2"/>
                <w:sz w:val="22"/>
                <w:szCs w:val="22"/>
              </w:rPr>
            </w:pPr>
            <w:r>
              <w:rPr>
                <w:rFonts w:hint="eastAsia" w:ascii="新宋体" w:hAnsi="新宋体" w:eastAsia="新宋体"/>
                <w:b/>
                <w:bCs/>
                <w:kern w:val="2"/>
                <w:sz w:val="22"/>
                <w:szCs w:val="22"/>
              </w:rPr>
              <w:t xml:space="preserve">6. </w:t>
            </w:r>
            <w:r>
              <w:rPr>
                <w:rFonts w:ascii="新宋体" w:hAnsi="新宋体" w:eastAsia="新宋体"/>
                <w:b/>
                <w:bCs/>
                <w:kern w:val="2"/>
                <w:sz w:val="22"/>
                <w:szCs w:val="22"/>
              </w:rPr>
              <w:t>因供应商使用的操作终端（软件或硬件）发生故障或参数设置等问题，导致不能参与交易活动，由供应商自行承担一切后果。</w:t>
            </w:r>
          </w:p>
          <w:p w14:paraId="42FB6FB5"/>
        </w:tc>
      </w:tr>
    </w:tbl>
    <w:p w14:paraId="72524580">
      <w:pPr>
        <w:pStyle w:val="20"/>
        <w:rPr>
          <w:sz w:val="24"/>
          <w:szCs w:val="24"/>
        </w:rPr>
      </w:pPr>
    </w:p>
    <w:bookmarkEnd w:id="24"/>
    <w:p w14:paraId="59412135">
      <w:pPr>
        <w:pStyle w:val="23"/>
        <w:adjustRightInd w:val="0"/>
        <w:snapToGrid w:val="0"/>
        <w:spacing w:line="460" w:lineRule="atLeast"/>
        <w:ind w:firstLine="0" w:firstLineChars="0"/>
        <w:jc w:val="center"/>
        <w:outlineLvl w:val="0"/>
        <w:rPr>
          <w:rFonts w:ascii="Arial" w:hAnsi="宋体"/>
          <w:b/>
          <w:color w:val="auto"/>
          <w:sz w:val="28"/>
          <w:szCs w:val="36"/>
        </w:rPr>
      </w:pPr>
      <w:bookmarkStart w:id="25" w:name="_Toc45140191"/>
      <w:bookmarkStart w:id="26" w:name="_Toc306200953"/>
      <w:bookmarkStart w:id="27" w:name="_Toc6784"/>
    </w:p>
    <w:p w14:paraId="32A3C2B3">
      <w:pPr>
        <w:pStyle w:val="23"/>
        <w:adjustRightInd w:val="0"/>
        <w:snapToGrid w:val="0"/>
        <w:spacing w:line="460" w:lineRule="atLeast"/>
        <w:ind w:firstLine="0" w:firstLineChars="0"/>
        <w:jc w:val="center"/>
        <w:outlineLvl w:val="0"/>
        <w:rPr>
          <w:rFonts w:ascii="Arial" w:hAnsi="宋体"/>
          <w:b/>
          <w:color w:val="auto"/>
          <w:sz w:val="28"/>
          <w:szCs w:val="36"/>
        </w:rPr>
      </w:pPr>
    </w:p>
    <w:p w14:paraId="4F711BB4">
      <w:pPr>
        <w:pStyle w:val="23"/>
        <w:adjustRightInd w:val="0"/>
        <w:snapToGrid w:val="0"/>
        <w:spacing w:line="460" w:lineRule="atLeast"/>
        <w:ind w:firstLine="0" w:firstLineChars="0"/>
        <w:jc w:val="center"/>
        <w:outlineLvl w:val="0"/>
        <w:rPr>
          <w:rFonts w:ascii="Arial" w:hAnsi="宋体"/>
          <w:b/>
          <w:color w:val="auto"/>
          <w:sz w:val="28"/>
          <w:szCs w:val="36"/>
        </w:rPr>
      </w:pPr>
    </w:p>
    <w:p w14:paraId="41409797">
      <w:pPr>
        <w:pStyle w:val="23"/>
        <w:adjustRightInd w:val="0"/>
        <w:snapToGrid w:val="0"/>
        <w:spacing w:line="460" w:lineRule="atLeast"/>
        <w:ind w:firstLine="0" w:firstLineChars="0"/>
        <w:jc w:val="center"/>
        <w:outlineLvl w:val="0"/>
        <w:rPr>
          <w:rFonts w:ascii="Arial" w:hAnsi="宋体"/>
          <w:b/>
          <w:color w:val="auto"/>
          <w:sz w:val="28"/>
          <w:szCs w:val="36"/>
        </w:rPr>
      </w:pPr>
    </w:p>
    <w:p w14:paraId="66045578">
      <w:pPr>
        <w:pStyle w:val="23"/>
        <w:adjustRightInd w:val="0"/>
        <w:snapToGrid w:val="0"/>
        <w:spacing w:line="460" w:lineRule="atLeast"/>
        <w:ind w:firstLine="0" w:firstLineChars="0"/>
        <w:jc w:val="center"/>
        <w:outlineLvl w:val="0"/>
        <w:rPr>
          <w:rFonts w:ascii="Arial" w:hAnsi="宋体"/>
          <w:b/>
          <w:color w:val="auto"/>
          <w:sz w:val="28"/>
          <w:szCs w:val="36"/>
        </w:rPr>
      </w:pPr>
    </w:p>
    <w:p w14:paraId="4F4FBFB9">
      <w:pPr>
        <w:pStyle w:val="23"/>
        <w:adjustRightInd w:val="0"/>
        <w:snapToGrid w:val="0"/>
        <w:spacing w:line="460" w:lineRule="atLeast"/>
        <w:ind w:firstLine="0" w:firstLineChars="0"/>
        <w:jc w:val="center"/>
        <w:outlineLvl w:val="0"/>
        <w:rPr>
          <w:rFonts w:ascii="Arial" w:hAnsi="宋体"/>
          <w:b/>
          <w:color w:val="auto"/>
          <w:sz w:val="28"/>
          <w:szCs w:val="36"/>
        </w:rPr>
      </w:pPr>
    </w:p>
    <w:p w14:paraId="417B01F6">
      <w:pPr>
        <w:pStyle w:val="23"/>
        <w:adjustRightInd w:val="0"/>
        <w:snapToGrid w:val="0"/>
        <w:spacing w:line="460" w:lineRule="atLeast"/>
        <w:ind w:firstLine="0" w:firstLineChars="0"/>
        <w:jc w:val="center"/>
        <w:outlineLvl w:val="0"/>
        <w:rPr>
          <w:rFonts w:ascii="宋体" w:hAnsi="宋体" w:eastAsia="宋体"/>
          <w:sz w:val="36"/>
        </w:rPr>
      </w:pPr>
      <w:bookmarkStart w:id="28" w:name="_Toc26864"/>
      <w:r>
        <w:rPr>
          <w:rFonts w:hint="eastAsia" w:ascii="Arial" w:hAnsi="宋体"/>
          <w:b/>
          <w:color w:val="auto"/>
          <w:sz w:val="28"/>
          <w:szCs w:val="36"/>
        </w:rPr>
        <w:t>第二部分供应商须知</w:t>
      </w:r>
      <w:bookmarkEnd w:id="28"/>
    </w:p>
    <w:p w14:paraId="27070778">
      <w:pPr>
        <w:pStyle w:val="3"/>
        <w:numPr>
          <w:ilvl w:val="0"/>
          <w:numId w:val="0"/>
        </w:numPr>
        <w:spacing w:line="440" w:lineRule="atLeast"/>
        <w:ind w:left="851" w:hanging="851"/>
        <w:rPr>
          <w:rFonts w:ascii="宋体" w:hAnsi="宋体" w:cs="宋体"/>
          <w:bCs/>
          <w:color w:val="000000"/>
          <w:sz w:val="22"/>
        </w:rPr>
      </w:pPr>
      <w:bookmarkStart w:id="29" w:name="_Toc45140193"/>
      <w:bookmarkStart w:id="30" w:name="_Toc29421"/>
      <w:r>
        <w:rPr>
          <w:rFonts w:hint="eastAsia" w:ascii="宋体" w:hAnsi="宋体" w:cs="宋体"/>
          <w:bCs/>
          <w:color w:val="000000"/>
          <w:sz w:val="22"/>
        </w:rPr>
        <w:t>一、说明</w:t>
      </w:r>
      <w:bookmarkEnd w:id="29"/>
      <w:bookmarkEnd w:id="30"/>
    </w:p>
    <w:p w14:paraId="53B65CE9">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1、本次采购工作是按照《中华人民共和国政府采购法》及相关法律规章组织和实施。</w:t>
      </w:r>
    </w:p>
    <w:p w14:paraId="16173A14">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2、供应商必须对所有的全部内容进行报价，只对部分内容进行报价的供应商将按无效投标处理。</w:t>
      </w:r>
    </w:p>
    <w:p w14:paraId="141BC62B">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3、无论采购过程中的作法和结果如何，供应商自行承担采购活动中所发生的全部费用。</w:t>
      </w:r>
    </w:p>
    <w:p w14:paraId="088E1C3E">
      <w:pPr>
        <w:autoSpaceDE w:val="0"/>
        <w:autoSpaceDN w:val="0"/>
        <w:adjustRightInd w:val="0"/>
        <w:snapToGrid w:val="0"/>
        <w:spacing w:line="380" w:lineRule="exact"/>
        <w:ind w:firstLine="431" w:firstLineChars="196"/>
        <w:textAlignment w:val="bottom"/>
        <w:rPr>
          <w:rFonts w:ascii="宋体" w:hAnsi="宋体" w:cs="宋体"/>
          <w:color w:val="000000"/>
        </w:rPr>
      </w:pPr>
      <w:r>
        <w:rPr>
          <w:rFonts w:hint="eastAsia" w:ascii="宋体" w:hAnsi="宋体" w:cs="宋体"/>
          <w:color w:val="000000"/>
        </w:rPr>
        <w:t>4、</w:t>
      </w:r>
      <w:r>
        <w:rPr>
          <w:rFonts w:hint="eastAsia" w:ascii="宋体" w:hAnsi="宋体" w:cs="宋体"/>
          <w:b/>
          <w:color w:val="000000"/>
        </w:rPr>
        <w:t>本次采购预算见公告，如果某个（些）供应商最终报价超出采购预算的，则该供应商的报价按无效报价处理。</w:t>
      </w:r>
    </w:p>
    <w:p w14:paraId="4EDE27FA">
      <w:pPr>
        <w:autoSpaceDE w:val="0"/>
        <w:autoSpaceDN w:val="0"/>
        <w:adjustRightInd w:val="0"/>
        <w:snapToGrid w:val="0"/>
        <w:spacing w:line="380" w:lineRule="exact"/>
        <w:ind w:firstLine="431" w:firstLineChars="196"/>
        <w:textAlignment w:val="bottom"/>
        <w:rPr>
          <w:rFonts w:ascii="宋体" w:hAnsi="宋体" w:cs="宋体"/>
          <w:b/>
          <w:color w:val="000000"/>
        </w:rPr>
      </w:pPr>
      <w:r>
        <w:rPr>
          <w:rFonts w:hint="eastAsia" w:ascii="宋体" w:hAnsi="宋体" w:cs="宋体"/>
          <w:color w:val="000000"/>
        </w:rPr>
        <w:t>5、</w:t>
      </w:r>
      <w:r>
        <w:rPr>
          <w:rFonts w:hint="eastAsia" w:ascii="宋体" w:hAnsi="宋体" w:cs="宋体"/>
          <w:b/>
          <w:color w:val="000000"/>
        </w:rPr>
        <w:t>本项目采用竞争性磋商采购方式进行采购，在磋商过程中，磋商小组可以根据磋商文件和磋商情况实质性变动采购需求中的技术、服务要求以及合同草案条款，但不得变动磋商文件中的其他内容。实质性变动的内容，须经采购人代表确认。已提交磋商响应文件的供应商，在提交最后报价之前，可以根据磋商情况退出磋商。</w:t>
      </w:r>
    </w:p>
    <w:p w14:paraId="3BB0772A">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6、知识产权</w:t>
      </w:r>
    </w:p>
    <w:p w14:paraId="7BD85BD3">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6.1投标供应商应保证，采购人在中华人民共和国使用货物和服务的任何一部分时，免受第三方提出侵犯其专利权、商标权或其它知识产权的起诉。</w:t>
      </w:r>
    </w:p>
    <w:p w14:paraId="36479820">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6.2投标供应商应对采购人在使用该产品时所涉及到的专利权负责，不损害采购人的利益。</w:t>
      </w:r>
    </w:p>
    <w:p w14:paraId="73A3E1CF">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6.3报价应包括所有应支付的对专利权和版权、设计或其他知识产权而需要向其他方支付的版税。</w:t>
      </w:r>
    </w:p>
    <w:p w14:paraId="711AA866">
      <w:pPr>
        <w:snapToGrid w:val="0"/>
        <w:spacing w:line="380" w:lineRule="exact"/>
        <w:ind w:firstLine="440" w:firstLineChars="200"/>
        <w:rPr>
          <w:rFonts w:ascii="宋体" w:hAnsi="宋体" w:cs="宋体"/>
          <w:color w:val="000000"/>
          <w:lang w:val="zh-CN"/>
        </w:rPr>
      </w:pPr>
      <w:r>
        <w:rPr>
          <w:rFonts w:hint="eastAsia" w:ascii="宋体" w:hAnsi="宋体" w:cs="宋体"/>
          <w:color w:val="000000"/>
          <w:lang w:val="zh-CN"/>
        </w:rPr>
        <w:t>6.4投标供应商提供得货物或服务中如使用其他公司的相关专利，应在标书中出示相关授权，如未出示但使用了其他公司的专利，导致供应商中标而引起相关诉讼，由投标供应商承担。</w:t>
      </w:r>
    </w:p>
    <w:p w14:paraId="26BB47F8">
      <w:pPr>
        <w:adjustRightInd w:val="0"/>
        <w:spacing w:line="380" w:lineRule="exact"/>
        <w:ind w:firstLine="431" w:firstLineChars="196"/>
        <w:rPr>
          <w:rFonts w:ascii="宋体" w:hAnsi="宋体" w:cs="宋体"/>
          <w:color w:val="000000"/>
        </w:rPr>
      </w:pPr>
      <w:r>
        <w:rPr>
          <w:rFonts w:hint="eastAsia" w:ascii="宋体" w:hAnsi="宋体" w:cs="宋体"/>
          <w:color w:val="000000"/>
        </w:rPr>
        <w:t>7、单位负责人为同一人或者存在直接控股、管理关系的不同供应商，不得参加同一合同项下的政府采购活动。如在评标过程（或标后质疑投诉期内）中发现供应商间存在上述关系，存在上述关系的全部供应商均做无效投标（无效中标）处理。</w:t>
      </w:r>
    </w:p>
    <w:p w14:paraId="79C4B2C2">
      <w:pPr>
        <w:snapToGrid w:val="0"/>
        <w:spacing w:line="380" w:lineRule="exact"/>
        <w:ind w:firstLine="440" w:firstLineChars="200"/>
        <w:rPr>
          <w:rFonts w:ascii="宋体" w:hAnsi="宋体" w:cs="宋体"/>
          <w:color w:val="000000"/>
        </w:rPr>
      </w:pPr>
      <w:r>
        <w:rPr>
          <w:rFonts w:hint="eastAsia" w:ascii="宋体" w:hAnsi="宋体" w:cs="宋体"/>
          <w:color w:val="000000"/>
        </w:rPr>
        <w:t>除单一来源采购项目外，为采购项目提供整体设计、规范编制或者项目管理、监理、检测等服务的供应商，不得再参加该采购项目的其他采购活动。</w:t>
      </w:r>
    </w:p>
    <w:p w14:paraId="0A0AA920">
      <w:pPr>
        <w:snapToGrid w:val="0"/>
        <w:spacing w:line="380" w:lineRule="exact"/>
        <w:ind w:firstLine="440" w:firstLineChars="200"/>
        <w:rPr>
          <w:rFonts w:ascii="宋体" w:hAnsi="宋体" w:cs="宋体"/>
          <w:color w:val="000000"/>
        </w:rPr>
      </w:pPr>
      <w:r>
        <w:rPr>
          <w:rFonts w:hint="eastAsia" w:ascii="宋体" w:hAnsi="宋体" w:cs="宋体"/>
          <w:color w:val="000000"/>
        </w:rPr>
        <w:t>8、为使供应商对本项目情况有所了解，供应商可自行到采购人实地进行现场勘察，以便获取由供应商自行负责编制磋商响应文件和签订合同所需的一切资料并充分理解了为之所承担的风险、义务和责任。</w:t>
      </w:r>
    </w:p>
    <w:p w14:paraId="5606F2C9">
      <w:pPr>
        <w:snapToGrid w:val="0"/>
        <w:spacing w:line="380" w:lineRule="exact"/>
        <w:ind w:firstLine="442" w:firstLineChars="200"/>
        <w:rPr>
          <w:rFonts w:ascii="宋体" w:hAnsi="宋体" w:cs="宋体"/>
          <w:b/>
          <w:bCs/>
          <w:color w:val="000000"/>
        </w:rPr>
      </w:pPr>
      <w:r>
        <w:rPr>
          <w:rFonts w:hint="eastAsia" w:ascii="宋体" w:hAnsi="宋体" w:cs="宋体"/>
          <w:b/>
          <w:bCs/>
          <w:color w:val="000000"/>
        </w:rPr>
        <w:t>9、本项目采用在线投标响应方式，执行《浙江省财政厅关于印发浙江省政府采购项目电子交易管理暂行办法的通知》（浙财采监〔2019〕10 号）等相关规定。</w:t>
      </w:r>
    </w:p>
    <w:p w14:paraId="639CF1C4">
      <w:pPr>
        <w:autoSpaceDE w:val="0"/>
        <w:autoSpaceDN w:val="0"/>
        <w:adjustRightInd w:val="0"/>
        <w:snapToGrid w:val="0"/>
        <w:spacing w:line="380" w:lineRule="exact"/>
        <w:ind w:firstLine="422" w:firstLineChars="191"/>
        <w:textAlignment w:val="bottom"/>
        <w:rPr>
          <w:rFonts w:ascii="宋体" w:hAnsi="宋体" w:cs="宋体"/>
          <w:b/>
          <w:color w:val="000000"/>
        </w:rPr>
      </w:pPr>
      <w:r>
        <w:rPr>
          <w:rFonts w:hint="eastAsia" w:ascii="宋体" w:hAnsi="宋体" w:cs="宋体"/>
          <w:b/>
          <w:bCs/>
          <w:color w:val="000000"/>
        </w:rPr>
        <w:t>10、本</w:t>
      </w:r>
      <w:r>
        <w:rPr>
          <w:rFonts w:hint="eastAsia" w:ascii="宋体" w:hAnsi="宋体" w:cs="宋体"/>
          <w:b/>
          <w:color w:val="000000"/>
        </w:rPr>
        <w:t>项目在线开评标进行时，供应商授权代表需自行关注平台提示信息，期间如有发出“询标/澄清函”等相关线上函件时，因供应商自身原因逾期/错过回复时间，由此造成的后果由供应商自行承担。</w:t>
      </w:r>
    </w:p>
    <w:p w14:paraId="16F3E9DC">
      <w:pPr>
        <w:pStyle w:val="3"/>
        <w:numPr>
          <w:ilvl w:val="0"/>
          <w:numId w:val="0"/>
        </w:numPr>
        <w:spacing w:line="440" w:lineRule="atLeast"/>
        <w:ind w:left="851" w:hanging="851"/>
        <w:rPr>
          <w:rFonts w:ascii="宋体" w:hAnsi="宋体" w:cs="宋体"/>
          <w:bCs/>
          <w:color w:val="000000"/>
          <w:sz w:val="22"/>
        </w:rPr>
      </w:pPr>
      <w:bookmarkStart w:id="31" w:name="_Toc45140194"/>
      <w:bookmarkStart w:id="32" w:name="_Toc25524"/>
      <w:r>
        <w:rPr>
          <w:rFonts w:hint="eastAsia" w:ascii="宋体" w:hAnsi="宋体" w:cs="宋体"/>
          <w:bCs/>
          <w:color w:val="000000"/>
          <w:sz w:val="22"/>
        </w:rPr>
        <w:t>二、竞争性磋商文件</w:t>
      </w:r>
      <w:bookmarkEnd w:id="31"/>
      <w:bookmarkEnd w:id="32"/>
    </w:p>
    <w:p w14:paraId="265F67DA">
      <w:pPr>
        <w:snapToGrid w:val="0"/>
        <w:spacing w:line="460" w:lineRule="atLeast"/>
        <w:ind w:firstLine="440" w:firstLineChars="200"/>
        <w:rPr>
          <w:rFonts w:ascii="宋体" w:hAnsi="宋体" w:cs="宋体"/>
          <w:color w:val="000000"/>
        </w:rPr>
      </w:pPr>
      <w:r>
        <w:rPr>
          <w:rFonts w:hint="eastAsia" w:ascii="宋体" w:hAnsi="宋体" w:cs="宋体"/>
          <w:color w:val="000000"/>
        </w:rPr>
        <w:t>1、竞争性磋商文件</w:t>
      </w:r>
    </w:p>
    <w:p w14:paraId="351FE240">
      <w:pPr>
        <w:snapToGrid w:val="0"/>
        <w:spacing w:line="460" w:lineRule="atLeast"/>
        <w:ind w:firstLine="440" w:firstLineChars="200"/>
        <w:rPr>
          <w:rFonts w:ascii="宋体" w:hAnsi="宋体" w:cs="宋体"/>
          <w:color w:val="000000"/>
        </w:rPr>
      </w:pPr>
      <w:r>
        <w:rPr>
          <w:rFonts w:hint="eastAsia" w:ascii="宋体" w:hAnsi="宋体" w:cs="宋体"/>
          <w:color w:val="000000"/>
        </w:rPr>
        <w:t>1.1、磋商文件发放</w:t>
      </w:r>
    </w:p>
    <w:p w14:paraId="233772BD">
      <w:pPr>
        <w:snapToGrid w:val="0"/>
        <w:spacing w:line="460" w:lineRule="atLeast"/>
        <w:ind w:firstLine="440" w:firstLineChars="200"/>
        <w:rPr>
          <w:rFonts w:ascii="宋体" w:hAnsi="宋体" w:cs="宋体"/>
          <w:color w:val="000000"/>
        </w:rPr>
      </w:pPr>
      <w:r>
        <w:rPr>
          <w:rFonts w:hint="eastAsia" w:ascii="宋体" w:hAnsi="宋体" w:cs="宋体"/>
          <w:color w:val="000000"/>
        </w:rPr>
        <w:t>提交报名资料，经审查合格后获取载磋商文件。</w:t>
      </w:r>
    </w:p>
    <w:p w14:paraId="21398D0F">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1.2、竞争性磋商文件约束力</w:t>
      </w:r>
    </w:p>
    <w:p w14:paraId="37E54E78">
      <w:pPr>
        <w:autoSpaceDE w:val="0"/>
        <w:autoSpaceDN w:val="0"/>
        <w:adjustRightInd w:val="0"/>
        <w:snapToGrid w:val="0"/>
        <w:spacing w:line="460" w:lineRule="atLeast"/>
        <w:ind w:firstLine="431" w:firstLineChars="196"/>
        <w:textAlignment w:val="bottom"/>
        <w:rPr>
          <w:rFonts w:ascii="宋体" w:hAnsi="宋体" w:cs="宋体"/>
          <w:color w:val="000000"/>
          <w:u w:val="single"/>
        </w:rPr>
      </w:pPr>
      <w:r>
        <w:rPr>
          <w:rFonts w:hint="eastAsia" w:ascii="宋体" w:hAnsi="宋体" w:cs="宋体"/>
          <w:color w:val="000000"/>
        </w:rPr>
        <w:t>▲</w:t>
      </w:r>
      <w:r>
        <w:rPr>
          <w:rFonts w:hint="eastAsia" w:ascii="宋体" w:hAnsi="宋体" w:cs="宋体"/>
          <w:color w:val="000000"/>
          <w:u w:val="single"/>
        </w:rPr>
        <w:t>供应商一旦获取了本竞争性磋商文件并参加磋商采购，即被认为接受了本竞争性磋商文件中所有条款和规定。</w:t>
      </w:r>
    </w:p>
    <w:p w14:paraId="73001926">
      <w:pPr>
        <w:autoSpaceDE w:val="0"/>
        <w:autoSpaceDN w:val="0"/>
        <w:adjustRightInd w:val="0"/>
        <w:snapToGrid w:val="0"/>
        <w:spacing w:line="460" w:lineRule="atLeast"/>
        <w:textAlignment w:val="bottom"/>
        <w:rPr>
          <w:rFonts w:ascii="宋体" w:hAnsi="宋体" w:cs="宋体"/>
          <w:color w:val="000000"/>
        </w:rPr>
      </w:pPr>
      <w:r>
        <w:rPr>
          <w:rFonts w:hint="eastAsia" w:ascii="宋体" w:hAnsi="宋体" w:cs="宋体"/>
          <w:color w:val="000000"/>
        </w:rPr>
        <w:t xml:space="preserve">    1.3、竞争性磋商文件的组成</w:t>
      </w:r>
    </w:p>
    <w:p w14:paraId="65D1B28D">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竞争性磋商文件由竞争性磋商文件总目录所列内容及补充资料等组成。</w:t>
      </w:r>
    </w:p>
    <w:p w14:paraId="38BBACDB">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2、竞争性磋商文件的澄清</w:t>
      </w:r>
    </w:p>
    <w:p w14:paraId="12E31B0A">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供应商对竞争性磋商文件如有疑点要求澄清，或认为有必要与采购人进行技术交流，可用书面形式（包括信函、传真，下同）通知采购代理机构，但通知不得迟于规定的质疑时间前使采购代理机构收到，采购代理机构将用书面形式予以答复。如有必要，可将不说明来源的答复书面发给各有关供应商并予以公告。</w:t>
      </w:r>
      <w:r>
        <w:rPr>
          <w:rFonts w:hint="eastAsia" w:ascii="宋体" w:hAnsi="宋体" w:cs="宋体"/>
          <w:b/>
          <w:color w:val="000000"/>
        </w:rPr>
        <w:t>任何口头答复均不作为报价依据</w:t>
      </w:r>
      <w:r>
        <w:rPr>
          <w:rFonts w:hint="eastAsia" w:ascii="宋体" w:hAnsi="宋体" w:cs="宋体"/>
          <w:color w:val="000000"/>
        </w:rPr>
        <w:t>。</w:t>
      </w:r>
    </w:p>
    <w:p w14:paraId="2D90FB11">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3、竞争性磋商文件的修改</w:t>
      </w:r>
    </w:p>
    <w:p w14:paraId="2DFC8A00">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3.1、在磋商响应文件递交截止时间前，采购人有权修改竞争性磋商文件，并通知供应商。补充文件作为竞争性磋商文件的补充和组成部分，对所有供应商均有约束力。</w:t>
      </w:r>
    </w:p>
    <w:p w14:paraId="4C46FF23">
      <w:pPr>
        <w:autoSpaceDE w:val="0"/>
        <w:autoSpaceDN w:val="0"/>
        <w:adjustRightInd w:val="0"/>
        <w:snapToGrid w:val="0"/>
        <w:spacing w:line="460" w:lineRule="atLeast"/>
        <w:ind w:firstLine="541" w:firstLineChars="246"/>
        <w:textAlignment w:val="bottom"/>
        <w:rPr>
          <w:rFonts w:ascii="宋体" w:hAnsi="宋体" w:cs="宋体"/>
          <w:color w:val="000000"/>
        </w:rPr>
      </w:pPr>
      <w:r>
        <w:rPr>
          <w:rFonts w:hint="eastAsia" w:ascii="宋体" w:hAnsi="宋体" w:cs="宋体"/>
          <w:color w:val="000000"/>
        </w:rPr>
        <w:t>3.2、为使供应商有足够的时间按竞争性磋商文件要求修正磋商响应文件，采购人可酌情推迟磋商响应文件递交截止时间和开始时间，并将此变更通知供应商。</w:t>
      </w:r>
    </w:p>
    <w:p w14:paraId="5AB6B316">
      <w:pPr>
        <w:autoSpaceDE w:val="0"/>
        <w:autoSpaceDN w:val="0"/>
        <w:adjustRightInd w:val="0"/>
        <w:snapToGrid w:val="0"/>
        <w:spacing w:line="460" w:lineRule="atLeast"/>
        <w:ind w:firstLine="543" w:firstLineChars="246"/>
        <w:textAlignment w:val="bottom"/>
        <w:rPr>
          <w:rFonts w:ascii="宋体" w:hAnsi="宋体" w:cs="宋体"/>
          <w:b/>
          <w:color w:val="000000"/>
        </w:rPr>
      </w:pPr>
      <w:r>
        <w:rPr>
          <w:rFonts w:hint="eastAsia" w:ascii="宋体" w:hAnsi="宋体" w:cs="宋体"/>
          <w:b/>
          <w:color w:val="000000"/>
        </w:rPr>
        <w:t>3.3、本项目磋商文件如有补充、更正、澄清均见浙江政府采购网。投标供应商须在磋商响应文件递交截止前自行查看是否有补充、更正、澄清文件，并按补充、更正、澄清文件要求投标，否则责任自负。</w:t>
      </w:r>
    </w:p>
    <w:p w14:paraId="2E0136DF">
      <w:pPr>
        <w:pStyle w:val="3"/>
        <w:numPr>
          <w:ilvl w:val="0"/>
          <w:numId w:val="0"/>
        </w:numPr>
        <w:spacing w:line="440" w:lineRule="atLeast"/>
        <w:ind w:left="851" w:hanging="851"/>
        <w:rPr>
          <w:rFonts w:ascii="宋体" w:hAnsi="宋体" w:cs="宋体"/>
          <w:bCs/>
          <w:color w:val="000000"/>
          <w:sz w:val="22"/>
        </w:rPr>
      </w:pPr>
      <w:bookmarkStart w:id="33" w:name="_Toc45140195"/>
      <w:bookmarkStart w:id="34" w:name="_Toc29850"/>
      <w:r>
        <w:rPr>
          <w:rFonts w:hint="eastAsia" w:ascii="宋体" w:hAnsi="宋体" w:cs="宋体"/>
          <w:bCs/>
          <w:color w:val="000000"/>
          <w:sz w:val="22"/>
        </w:rPr>
        <w:t>三、磋商响应文件</w:t>
      </w:r>
      <w:bookmarkEnd w:id="33"/>
      <w:bookmarkEnd w:id="34"/>
    </w:p>
    <w:p w14:paraId="7FA2E7B8">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1、磋商响应文件</w:t>
      </w:r>
    </w:p>
    <w:p w14:paraId="27A06E76">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1.1、供应商应仔细阅读竞争性磋商文件中的所有内容，按照竞争性磋商文件要求，详细编制磋商响应文件。并对竞争性磋商文件的要求做出实质性响应。实质性响应的磋商响应文件应该是与竞争性磋商文件要求没有重大偏离。未实质性响应的磋商响应文件将被拒绝，但允许在基本满足采购技术要求的前提下出现的微小差异。</w:t>
      </w:r>
    </w:p>
    <w:p w14:paraId="50BA7F01">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lang w:val="zh-CN"/>
        </w:rPr>
        <w:t>1.2、</w:t>
      </w:r>
      <w:r>
        <w:rPr>
          <w:rFonts w:hint="eastAsia" w:ascii="宋体" w:hAnsi="宋体" w:cs="宋体"/>
          <w:color w:val="000000"/>
        </w:rPr>
        <w:t>供应商必须按竞争性磋商文件的要求提供相关技术参数、资料，包括采用的计量单位，并保证磋商响应文件的正确性和真实性。磋商响应文件全部内容应保持一致，否则可能导致对其不利评定甚至被拒绝。技术和商务如有偏离均应填写偏离表。</w:t>
      </w:r>
    </w:p>
    <w:p w14:paraId="1DA736E9">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lang w:val="zh-CN"/>
        </w:rPr>
        <w:t>1.3、供应商应仔细阅读竞争性磋商文件中的所有内容，按照竞争性磋商文件要求，详细编制</w:t>
      </w:r>
      <w:r>
        <w:rPr>
          <w:rFonts w:hint="eastAsia" w:ascii="宋体" w:hAnsi="宋体" w:cs="宋体"/>
          <w:color w:val="000000"/>
        </w:rPr>
        <w:t>磋商响应文件</w:t>
      </w:r>
      <w:r>
        <w:rPr>
          <w:rFonts w:hint="eastAsia" w:ascii="宋体" w:hAnsi="宋体" w:cs="宋体"/>
          <w:color w:val="000000"/>
          <w:lang w:val="zh-CN"/>
        </w:rPr>
        <w:t>，所有文件资料必须是针对本次采购。不按竞争性磋商文件的要求提供的</w:t>
      </w:r>
      <w:r>
        <w:rPr>
          <w:rFonts w:hint="eastAsia" w:ascii="宋体" w:hAnsi="宋体" w:cs="宋体"/>
          <w:color w:val="000000"/>
        </w:rPr>
        <w:t>磋商响应文件</w:t>
      </w:r>
      <w:r>
        <w:rPr>
          <w:rFonts w:hint="eastAsia" w:ascii="宋体" w:hAnsi="宋体" w:cs="宋体"/>
          <w:color w:val="000000"/>
          <w:lang w:val="zh-CN"/>
        </w:rPr>
        <w:t>可能导致被拒绝。</w:t>
      </w:r>
    </w:p>
    <w:p w14:paraId="32F2518D">
      <w:pPr>
        <w:autoSpaceDE w:val="0"/>
        <w:autoSpaceDN w:val="0"/>
        <w:adjustRightInd w:val="0"/>
        <w:snapToGrid w:val="0"/>
        <w:spacing w:line="460" w:lineRule="atLeast"/>
        <w:ind w:firstLine="431" w:firstLineChars="196"/>
        <w:textAlignment w:val="bottom"/>
        <w:rPr>
          <w:rFonts w:ascii="宋体" w:hAnsi="宋体" w:cs="宋体"/>
          <w:color w:val="000000"/>
        </w:rPr>
      </w:pPr>
      <w:r>
        <w:rPr>
          <w:rFonts w:hint="eastAsia" w:ascii="宋体" w:hAnsi="宋体" w:cs="宋体"/>
          <w:color w:val="000000"/>
        </w:rPr>
        <w:t>2、磋商响应文件的组成</w:t>
      </w:r>
    </w:p>
    <w:p w14:paraId="152F5DF3">
      <w:pPr>
        <w:autoSpaceDE w:val="0"/>
        <w:autoSpaceDN w:val="0"/>
        <w:adjustRightInd w:val="0"/>
        <w:snapToGrid w:val="0"/>
        <w:spacing w:line="460" w:lineRule="atLeast"/>
        <w:ind w:firstLine="440" w:firstLineChars="200"/>
        <w:rPr>
          <w:rFonts w:ascii="宋体" w:hAnsi="宋体" w:cs="宋体"/>
          <w:b/>
          <w:bCs/>
          <w:color w:val="000000"/>
          <w:u w:val="single"/>
        </w:rPr>
      </w:pPr>
      <w:r>
        <w:rPr>
          <w:rFonts w:hint="eastAsia" w:ascii="宋体" w:hAnsi="宋体" w:cs="宋体"/>
          <w:color w:val="000000"/>
        </w:rPr>
        <w:t>▲</w:t>
      </w:r>
      <w:r>
        <w:rPr>
          <w:rFonts w:hint="eastAsia" w:ascii="宋体" w:hAnsi="宋体" w:cs="宋体"/>
          <w:b/>
          <w:bCs/>
          <w:color w:val="000000"/>
          <w:u w:val="single"/>
        </w:rPr>
        <w:t>磋商响应文件由资格文件、报价文件、商务技术文件组成。</w:t>
      </w:r>
    </w:p>
    <w:p w14:paraId="5533F0F1">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2.1、资格文件组成</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A15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4AF3A32">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序号</w:t>
            </w:r>
          </w:p>
        </w:tc>
        <w:tc>
          <w:tcPr>
            <w:tcW w:w="8747" w:type="dxa"/>
          </w:tcPr>
          <w:p w14:paraId="1158788B">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r>
              <w:rPr>
                <w:rFonts w:hint="eastAsia" w:ascii="宋体" w:hAnsi="宋体" w:cs="宋体"/>
                <w:b/>
                <w:color w:val="000000"/>
                <w:lang w:val="zh-CN"/>
              </w:rPr>
              <w:t>以下内容投标供应商必须提供，否则不能通过资格审查的，责任自负。</w:t>
            </w:r>
            <w:r>
              <w:rPr>
                <w:rFonts w:hint="eastAsia" w:ascii="宋体" w:hAnsi="宋体" w:cs="宋体"/>
                <w:color w:val="000000"/>
                <w:lang w:val="zh-CN"/>
              </w:rPr>
              <w:t>）</w:t>
            </w:r>
          </w:p>
        </w:tc>
      </w:tr>
      <w:tr w14:paraId="3AAC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79DC372">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47" w:type="dxa"/>
          </w:tcPr>
          <w:p w14:paraId="2A5FDCF5">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投标供应商的营业执照，如为联合体投标的需提供各方的营业执照，扫描件加盖公章</w:t>
            </w:r>
          </w:p>
        </w:tc>
      </w:tr>
      <w:tr w14:paraId="1A48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53B87C9">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47" w:type="dxa"/>
          </w:tcPr>
          <w:p w14:paraId="57D4D04F">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投标供应商参与政府采购活动投标资格声明函（附件一）</w:t>
            </w:r>
          </w:p>
        </w:tc>
      </w:tr>
      <w:tr w14:paraId="5C4A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FD56BD5">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3</w:t>
            </w:r>
          </w:p>
        </w:tc>
        <w:tc>
          <w:tcPr>
            <w:tcW w:w="8747" w:type="dxa"/>
          </w:tcPr>
          <w:p w14:paraId="1996A365">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特定资质：须同时具备①、②两种资质或由①、②)两种资质组成联合体投标。</w:t>
            </w:r>
          </w:p>
          <w:p w14:paraId="43072B70">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1）、①省级及以上建设项目环境监理资格推荐证书乙级及以上资质(含“社会服务”或“社会区域”类别)、②工程监理综合资质或具备市政工程监理乙级及以上资质。</w:t>
            </w:r>
          </w:p>
          <w:p w14:paraId="051A480D">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2）拟派项目总负责人须具备：须具备注册环保工程师或国家注册一级建筑师或国家级注册监理工程师或注册一级建造师或国家注册一级造价工程师资格。</w:t>
            </w:r>
          </w:p>
        </w:tc>
      </w:tr>
      <w:tr w14:paraId="382A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A79A75C">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4</w:t>
            </w:r>
          </w:p>
        </w:tc>
        <w:tc>
          <w:tcPr>
            <w:tcW w:w="8747" w:type="dxa"/>
          </w:tcPr>
          <w:p w14:paraId="68163CE0">
            <w:pPr>
              <w:autoSpaceDE w:val="0"/>
              <w:autoSpaceDN w:val="0"/>
              <w:adjustRightInd w:val="0"/>
              <w:snapToGrid w:val="0"/>
              <w:spacing w:line="430" w:lineRule="atLeast"/>
              <w:rPr>
                <w:rFonts w:ascii="宋体" w:hAnsi="宋体" w:cs="宋体"/>
              </w:rPr>
            </w:pPr>
            <w:r>
              <w:rPr>
                <w:rFonts w:ascii="宋体" w:hAnsi="宋体" w:cs="宋体"/>
              </w:rPr>
              <w:t>联合</w:t>
            </w:r>
            <w:r>
              <w:rPr>
                <w:rFonts w:hint="eastAsia" w:ascii="宋体" w:hAnsi="宋体" w:cs="宋体"/>
              </w:rPr>
              <w:t>体</w:t>
            </w:r>
            <w:r>
              <w:rPr>
                <w:rFonts w:ascii="宋体" w:hAnsi="宋体" w:cs="宋体"/>
              </w:rPr>
              <w:t>协议</w:t>
            </w:r>
            <w:r>
              <w:rPr>
                <w:rFonts w:hint="eastAsia" w:ascii="宋体" w:hAnsi="宋体" w:cs="宋体"/>
              </w:rPr>
              <w:t>书（附件十六）</w:t>
            </w:r>
          </w:p>
        </w:tc>
      </w:tr>
      <w:tr w14:paraId="442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4A4C7FD8">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5</w:t>
            </w:r>
          </w:p>
        </w:tc>
        <w:tc>
          <w:tcPr>
            <w:tcW w:w="8747" w:type="dxa"/>
            <w:shd w:val="clear" w:color="auto" w:fill="auto"/>
          </w:tcPr>
          <w:p w14:paraId="73D16BDD">
            <w:pPr>
              <w:snapToGrid w:val="0"/>
              <w:spacing w:line="460" w:lineRule="atLeast"/>
              <w:rPr>
                <w:rFonts w:ascii="宋体" w:hAnsi="宋体" w:cs="宋体"/>
                <w:color w:val="000000"/>
              </w:rPr>
            </w:pPr>
            <w:r>
              <w:rPr>
                <w:rFonts w:hint="eastAsia" w:ascii="新宋体" w:hAnsi="新宋体" w:eastAsia="新宋体" w:cs="新宋体"/>
                <w:lang w:val="zh-CN"/>
              </w:rPr>
              <w:t>中小企业声明函（或监狱企业声明函）及其相关的充分的证明材料、残疾人福利性单位声明函（采购文件第一部分第七项相关附件，非此类企业无须提供）</w:t>
            </w:r>
          </w:p>
        </w:tc>
      </w:tr>
    </w:tbl>
    <w:p w14:paraId="3358FAD0">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2.2、报价文件组成</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781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779AD8D2">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序号</w:t>
            </w:r>
          </w:p>
        </w:tc>
        <w:tc>
          <w:tcPr>
            <w:tcW w:w="8736" w:type="dxa"/>
          </w:tcPr>
          <w:p w14:paraId="0A7CF9A3">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p>
        </w:tc>
      </w:tr>
      <w:tr w14:paraId="3FC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4" w:type="dxa"/>
            <w:vAlign w:val="center"/>
          </w:tcPr>
          <w:p w14:paraId="410DBC56">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36" w:type="dxa"/>
          </w:tcPr>
          <w:p w14:paraId="46FF00B0">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rPr>
              <w:t>报价文件封面（格式自拟）</w:t>
            </w:r>
          </w:p>
        </w:tc>
      </w:tr>
      <w:tr w14:paraId="71F3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EA3DB9B">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36" w:type="dxa"/>
          </w:tcPr>
          <w:p w14:paraId="7F2CBA4C">
            <w:pPr>
              <w:autoSpaceDE w:val="0"/>
              <w:autoSpaceDN w:val="0"/>
              <w:adjustRightInd w:val="0"/>
              <w:spacing w:line="430" w:lineRule="atLeast"/>
              <w:textAlignment w:val="bottom"/>
              <w:rPr>
                <w:rFonts w:ascii="宋体" w:hAnsi="宋体" w:cs="宋体"/>
                <w:color w:val="000000"/>
              </w:rPr>
            </w:pPr>
            <w:r>
              <w:rPr>
                <w:rFonts w:hint="eastAsia" w:ascii="宋体" w:hAnsi="宋体" w:cs="宋体"/>
                <w:color w:val="000000"/>
              </w:rPr>
              <w:t>第（大写数字）轮报价一览表（附件二（1））</w:t>
            </w:r>
          </w:p>
        </w:tc>
      </w:tr>
      <w:tr w14:paraId="5F97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36AB8400">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3</w:t>
            </w:r>
          </w:p>
        </w:tc>
        <w:tc>
          <w:tcPr>
            <w:tcW w:w="8736" w:type="dxa"/>
          </w:tcPr>
          <w:p w14:paraId="6CF3C9F1">
            <w:pPr>
              <w:snapToGrid w:val="0"/>
              <w:spacing w:line="460" w:lineRule="atLeast"/>
              <w:rPr>
                <w:rFonts w:ascii="新宋体" w:hAnsi="新宋体" w:eastAsia="新宋体" w:cs="新宋体"/>
              </w:rPr>
            </w:pPr>
            <w:r>
              <w:rPr>
                <w:rFonts w:hint="eastAsia" w:ascii="新宋体" w:hAnsi="新宋体" w:eastAsia="新宋体" w:cs="新宋体"/>
              </w:rPr>
              <w:t>报价明细表（附件二（2））</w:t>
            </w:r>
          </w:p>
        </w:tc>
      </w:tr>
      <w:tr w14:paraId="7D71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40546385">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4</w:t>
            </w:r>
          </w:p>
        </w:tc>
        <w:tc>
          <w:tcPr>
            <w:tcW w:w="8736" w:type="dxa"/>
          </w:tcPr>
          <w:p w14:paraId="007AAE00">
            <w:pPr>
              <w:snapToGrid w:val="0"/>
              <w:spacing w:line="460" w:lineRule="atLeast"/>
              <w:rPr>
                <w:rFonts w:ascii="宋体" w:hAnsi="宋体" w:cs="宋体"/>
                <w:color w:val="000000"/>
              </w:rPr>
            </w:pPr>
            <w:r>
              <w:rPr>
                <w:rFonts w:hint="eastAsia" w:ascii="宋体" w:hAnsi="宋体" w:cs="宋体"/>
                <w:color w:val="000000"/>
              </w:rPr>
              <w:t>其他供应商须说明的资料（如有则提供）其他资料提交的资料没有格式的可自拟。</w:t>
            </w:r>
          </w:p>
        </w:tc>
      </w:tr>
    </w:tbl>
    <w:p w14:paraId="17307252">
      <w:pPr>
        <w:tabs>
          <w:tab w:val="left" w:pos="5355"/>
        </w:tabs>
        <w:spacing w:line="430" w:lineRule="exact"/>
        <w:ind w:left="-8" w:firstLine="428"/>
        <w:rPr>
          <w:rFonts w:ascii="宋体" w:hAnsi="宋体" w:cs="宋体"/>
          <w:b/>
          <w:bCs/>
          <w:color w:val="000000"/>
          <w:u w:val="single"/>
        </w:rPr>
      </w:pPr>
      <w:r>
        <w:rPr>
          <w:rFonts w:ascii="Calibri" w:hAnsi="Calibri" w:cs="Calibri"/>
        </w:rPr>
        <w:t>①</w:t>
      </w:r>
      <w:r>
        <w:rPr>
          <w:rFonts w:hint="eastAsia" w:ascii="宋体" w:hAnsi="宋体" w:cs="宋体"/>
        </w:rPr>
        <w:t>以上所需的各种证书、证件、证明、执照需为原件扫描件，提供的扫描件必须清楚，否则有可能对投标供应商不利的评审。</w:t>
      </w:r>
    </w:p>
    <w:p w14:paraId="389E847D">
      <w:pPr>
        <w:autoSpaceDE w:val="0"/>
        <w:autoSpaceDN w:val="0"/>
        <w:adjustRightInd w:val="0"/>
        <w:snapToGrid w:val="0"/>
        <w:spacing w:line="460" w:lineRule="atLeast"/>
        <w:ind w:firstLine="442" w:firstLineChars="200"/>
        <w:rPr>
          <w:rFonts w:ascii="宋体" w:hAnsi="宋体" w:cs="宋体"/>
          <w:b/>
          <w:bCs/>
          <w:color w:val="000000"/>
          <w:u w:val="single"/>
        </w:rPr>
      </w:pPr>
      <w:r>
        <w:rPr>
          <w:rFonts w:hint="eastAsia" w:ascii="宋体" w:hAnsi="宋体" w:cs="宋体"/>
          <w:b/>
          <w:bCs/>
          <w:color w:val="000000"/>
          <w:u w:val="single"/>
        </w:rPr>
        <w:t>2.3、商务技术文件组成</w:t>
      </w:r>
    </w:p>
    <w:tbl>
      <w:tblPr>
        <w:tblStyle w:val="29"/>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05408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44D7AF0">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序号</w:t>
            </w:r>
          </w:p>
        </w:tc>
        <w:tc>
          <w:tcPr>
            <w:tcW w:w="8747" w:type="dxa"/>
          </w:tcPr>
          <w:p w14:paraId="1B7226A0">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lang w:val="zh-CN"/>
              </w:rPr>
              <w:t>内容</w:t>
            </w:r>
          </w:p>
        </w:tc>
      </w:tr>
      <w:tr w14:paraId="3F23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18BB1320">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1</w:t>
            </w:r>
          </w:p>
        </w:tc>
        <w:tc>
          <w:tcPr>
            <w:tcW w:w="8747" w:type="dxa"/>
          </w:tcPr>
          <w:p w14:paraId="5BD96C78">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rPr>
              <w:t>商务技术文件封面（格式自拟）</w:t>
            </w:r>
          </w:p>
        </w:tc>
      </w:tr>
      <w:tr w14:paraId="088C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40AE11FF">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2</w:t>
            </w:r>
          </w:p>
        </w:tc>
        <w:tc>
          <w:tcPr>
            <w:tcW w:w="8747" w:type="dxa"/>
          </w:tcPr>
          <w:p w14:paraId="70F52B57">
            <w:pPr>
              <w:autoSpaceDE w:val="0"/>
              <w:autoSpaceDN w:val="0"/>
              <w:adjustRightInd w:val="0"/>
              <w:snapToGrid w:val="0"/>
              <w:spacing w:line="430" w:lineRule="atLeast"/>
              <w:rPr>
                <w:rFonts w:ascii="宋体" w:hAnsi="宋体" w:cs="宋体"/>
                <w:color w:val="000000"/>
                <w:lang w:val="zh-CN"/>
              </w:rPr>
            </w:pPr>
            <w:r>
              <w:rPr>
                <w:rFonts w:hint="eastAsia" w:ascii="宋体" w:hAnsi="宋体" w:cs="宋体"/>
                <w:color w:val="000000"/>
              </w:rPr>
              <w:t>磋商函（附件三）</w:t>
            </w:r>
          </w:p>
        </w:tc>
      </w:tr>
      <w:tr w14:paraId="1C7B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63ACA20">
            <w:pPr>
              <w:autoSpaceDE w:val="0"/>
              <w:autoSpaceDN w:val="0"/>
              <w:adjustRightInd w:val="0"/>
              <w:snapToGrid w:val="0"/>
              <w:spacing w:line="430" w:lineRule="atLeast"/>
              <w:jc w:val="center"/>
              <w:rPr>
                <w:rFonts w:ascii="宋体" w:hAnsi="宋体" w:cs="宋体"/>
                <w:color w:val="000000"/>
                <w:lang w:val="zh-CN"/>
              </w:rPr>
            </w:pPr>
            <w:r>
              <w:rPr>
                <w:rFonts w:hint="eastAsia" w:ascii="宋体" w:hAnsi="宋体" w:cs="宋体"/>
                <w:color w:val="000000"/>
                <w:lang w:val="zh-CN"/>
              </w:rPr>
              <w:t>3</w:t>
            </w:r>
          </w:p>
        </w:tc>
        <w:tc>
          <w:tcPr>
            <w:tcW w:w="8747" w:type="dxa"/>
          </w:tcPr>
          <w:p w14:paraId="6868EDE9">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投标供应商法定代表人授权书（附件四）</w:t>
            </w:r>
          </w:p>
        </w:tc>
      </w:tr>
      <w:tr w14:paraId="1E3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BCC3797">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4</w:t>
            </w:r>
          </w:p>
        </w:tc>
        <w:tc>
          <w:tcPr>
            <w:tcW w:w="8747" w:type="dxa"/>
          </w:tcPr>
          <w:p w14:paraId="447D83C8">
            <w:pPr>
              <w:autoSpaceDE w:val="0"/>
              <w:autoSpaceDN w:val="0"/>
              <w:adjustRightInd w:val="0"/>
              <w:snapToGrid w:val="0"/>
              <w:spacing w:line="430" w:lineRule="atLeast"/>
            </w:pPr>
            <w:r>
              <w:rPr>
                <w:rFonts w:hint="eastAsia" w:ascii="宋体" w:hAnsi="宋体" w:cs="宋体"/>
                <w:color w:val="000000"/>
              </w:rPr>
              <w:t>法定代表人诚信投标承诺书（附件五）</w:t>
            </w:r>
          </w:p>
        </w:tc>
      </w:tr>
      <w:tr w14:paraId="227A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01BE2315">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5</w:t>
            </w:r>
          </w:p>
        </w:tc>
        <w:tc>
          <w:tcPr>
            <w:tcW w:w="8747" w:type="dxa"/>
          </w:tcPr>
          <w:p w14:paraId="76547E32">
            <w:pPr>
              <w:autoSpaceDE w:val="0"/>
              <w:autoSpaceDN w:val="0"/>
              <w:adjustRightInd w:val="0"/>
              <w:snapToGrid w:val="0"/>
              <w:spacing w:line="430" w:lineRule="atLeast"/>
              <w:rPr>
                <w:rFonts w:ascii="宋体" w:hAnsi="宋体" w:cs="宋体"/>
                <w:color w:val="000000"/>
              </w:rPr>
            </w:pPr>
            <w:r>
              <w:rPr>
                <w:rFonts w:hint="eastAsia" w:ascii="宋体" w:hAnsi="宋体" w:cs="宋体"/>
                <w:bCs/>
              </w:rPr>
              <w:t>参加政府采购活动前3年内在经营</w:t>
            </w:r>
            <w:r>
              <w:rPr>
                <w:rFonts w:hint="eastAsia" w:ascii="宋体" w:hAnsi="宋体" w:cs="宋体"/>
              </w:rPr>
              <w:t>活动</w:t>
            </w:r>
            <w:r>
              <w:rPr>
                <w:rFonts w:hint="eastAsia" w:ascii="宋体" w:hAnsi="宋体" w:cs="宋体"/>
                <w:bCs/>
              </w:rPr>
              <w:t>中有/无重大违法记录（包括行贿犯罪记录）的书面声明（附件六）</w:t>
            </w:r>
          </w:p>
        </w:tc>
      </w:tr>
      <w:tr w14:paraId="688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405DC35">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6</w:t>
            </w:r>
          </w:p>
        </w:tc>
        <w:tc>
          <w:tcPr>
            <w:tcW w:w="8747" w:type="dxa"/>
          </w:tcPr>
          <w:p w14:paraId="2FDDBBF7">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磋商供应商证书情况（附件七）</w:t>
            </w:r>
          </w:p>
        </w:tc>
      </w:tr>
      <w:tr w14:paraId="46D8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DDEE99D">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7</w:t>
            </w:r>
          </w:p>
        </w:tc>
        <w:tc>
          <w:tcPr>
            <w:tcW w:w="8747" w:type="dxa"/>
          </w:tcPr>
          <w:p w14:paraId="5BB4EC3F">
            <w:pPr>
              <w:rPr>
                <w:rFonts w:ascii="宋体" w:hAnsi="宋体" w:cs="宋体"/>
                <w:color w:val="000000"/>
              </w:rPr>
            </w:pPr>
            <w:r>
              <w:rPr>
                <w:rFonts w:hint="eastAsia" w:ascii="宋体" w:hAnsi="宋体" w:cs="宋体"/>
                <w:color w:val="000000"/>
              </w:rPr>
              <w:t>拟投入本项目人员配备情况表</w:t>
            </w:r>
            <w:r>
              <w:rPr>
                <w:rFonts w:hint="eastAsia" w:ascii="宋体" w:hAnsi="宋体" w:cs="宋体"/>
              </w:rPr>
              <w:t>（附件八）</w:t>
            </w:r>
          </w:p>
        </w:tc>
      </w:tr>
      <w:tr w14:paraId="259B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3" w:type="dxa"/>
            <w:vAlign w:val="center"/>
          </w:tcPr>
          <w:p w14:paraId="6C5B1324">
            <w:pPr>
              <w:jc w:val="center"/>
              <w:rPr>
                <w:rFonts w:ascii="宋体" w:hAnsi="宋体" w:cs="宋体"/>
              </w:rPr>
            </w:pPr>
            <w:r>
              <w:rPr>
                <w:rFonts w:hint="eastAsia" w:ascii="宋体" w:hAnsi="宋体" w:cs="宋体"/>
              </w:rPr>
              <w:t>8</w:t>
            </w:r>
          </w:p>
        </w:tc>
        <w:tc>
          <w:tcPr>
            <w:tcW w:w="8747" w:type="dxa"/>
          </w:tcPr>
          <w:p w14:paraId="7CFA33A0">
            <w:pPr>
              <w:jc w:val="both"/>
            </w:pPr>
            <w:r>
              <w:rPr>
                <w:rFonts w:hint="eastAsia" w:ascii="宋体" w:hAnsi="宋体" w:cs="宋体"/>
              </w:rPr>
              <w:t>投标人自2020年1月1日（以合同签订时间为准）以来，承接过类似项目。</w:t>
            </w:r>
            <w:r>
              <w:rPr>
                <w:rFonts w:hint="eastAsia" w:ascii="宋体" w:hAnsi="宋体" w:cs="宋体"/>
                <w:color w:val="000000"/>
              </w:rPr>
              <w:t>（附件九）</w:t>
            </w:r>
          </w:p>
        </w:tc>
      </w:tr>
      <w:tr w14:paraId="3A87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9EB4331">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9</w:t>
            </w:r>
          </w:p>
        </w:tc>
        <w:tc>
          <w:tcPr>
            <w:tcW w:w="8747" w:type="dxa"/>
            <w:vAlign w:val="center"/>
          </w:tcPr>
          <w:p w14:paraId="317D99F3">
            <w:pPr>
              <w:tabs>
                <w:tab w:val="left" w:pos="482"/>
                <w:tab w:val="left" w:pos="2183"/>
                <w:tab w:val="left" w:pos="3884"/>
                <w:tab w:val="left" w:pos="5585"/>
              </w:tabs>
              <w:snapToGrid w:val="0"/>
              <w:rPr>
                <w:rFonts w:ascii="宋体" w:hAnsi="宋体" w:cs="宋体"/>
                <w:color w:val="000000"/>
              </w:rPr>
            </w:pPr>
            <w:r>
              <w:rPr>
                <w:rFonts w:ascii="宋体" w:hAnsi="宋体" w:cs="宋体"/>
              </w:rPr>
              <w:t>总体方案</w:t>
            </w:r>
            <w:r>
              <w:rPr>
                <w:rFonts w:hint="eastAsia" w:ascii="宋体" w:hAnsi="宋体" w:cs="宋体"/>
              </w:rPr>
              <w:t>（附件十）</w:t>
            </w:r>
          </w:p>
        </w:tc>
      </w:tr>
      <w:tr w14:paraId="4B6D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72B7663">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10</w:t>
            </w:r>
          </w:p>
        </w:tc>
        <w:tc>
          <w:tcPr>
            <w:tcW w:w="8747" w:type="dxa"/>
            <w:vAlign w:val="center"/>
          </w:tcPr>
          <w:p w14:paraId="296965A5">
            <w:pPr>
              <w:tabs>
                <w:tab w:val="left" w:pos="482"/>
                <w:tab w:val="left" w:pos="2183"/>
                <w:tab w:val="left" w:pos="3884"/>
                <w:tab w:val="left" w:pos="5585"/>
              </w:tabs>
              <w:snapToGrid w:val="0"/>
              <w:rPr>
                <w:rFonts w:ascii="宋体" w:hAnsi="宋体" w:cs="宋体"/>
                <w:color w:val="000000"/>
              </w:rPr>
            </w:pPr>
            <w:r>
              <w:rPr>
                <w:rFonts w:hint="eastAsia" w:ascii="宋体" w:hAnsi="宋体" w:cs="宋体"/>
              </w:rPr>
              <w:t>成果（附件十一）</w:t>
            </w:r>
          </w:p>
        </w:tc>
      </w:tr>
      <w:tr w14:paraId="778C0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6AA4439">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11</w:t>
            </w:r>
          </w:p>
        </w:tc>
        <w:tc>
          <w:tcPr>
            <w:tcW w:w="8747" w:type="dxa"/>
            <w:vAlign w:val="center"/>
          </w:tcPr>
          <w:p w14:paraId="3D0803F1">
            <w:pPr>
              <w:tabs>
                <w:tab w:val="left" w:pos="482"/>
                <w:tab w:val="left" w:pos="2183"/>
                <w:tab w:val="left" w:pos="3884"/>
                <w:tab w:val="left" w:pos="5585"/>
              </w:tabs>
              <w:snapToGrid w:val="0"/>
              <w:rPr>
                <w:rFonts w:ascii="宋体" w:hAnsi="宋体" w:cs="宋体"/>
                <w:color w:val="000000"/>
              </w:rPr>
            </w:pPr>
            <w:r>
              <w:rPr>
                <w:rFonts w:hint="eastAsia" w:ascii="宋体" w:hAnsi="宋体" w:cs="宋体"/>
              </w:rPr>
              <w:t>重点难点分析（附件十二）</w:t>
            </w:r>
          </w:p>
        </w:tc>
      </w:tr>
      <w:tr w14:paraId="0E8F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21F6EDD">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12</w:t>
            </w:r>
          </w:p>
        </w:tc>
        <w:tc>
          <w:tcPr>
            <w:tcW w:w="8747" w:type="dxa"/>
            <w:vAlign w:val="center"/>
          </w:tcPr>
          <w:p w14:paraId="1AECEEBA">
            <w:pPr>
              <w:tabs>
                <w:tab w:val="left" w:pos="482"/>
                <w:tab w:val="left" w:pos="2183"/>
                <w:tab w:val="left" w:pos="3884"/>
                <w:tab w:val="left" w:pos="5585"/>
              </w:tabs>
              <w:snapToGrid w:val="0"/>
              <w:rPr>
                <w:rFonts w:ascii="宋体" w:hAnsi="宋体" w:cs="宋体"/>
                <w:color w:val="000000"/>
              </w:rPr>
            </w:pPr>
            <w:r>
              <w:rPr>
                <w:rFonts w:hint="eastAsia" w:ascii="宋体" w:hAnsi="宋体" w:cs="宋体"/>
              </w:rPr>
              <w:t>质量保证措施（附件十三）</w:t>
            </w:r>
          </w:p>
        </w:tc>
      </w:tr>
      <w:tr w14:paraId="789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1BC7320">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13</w:t>
            </w:r>
          </w:p>
        </w:tc>
        <w:tc>
          <w:tcPr>
            <w:tcW w:w="8747" w:type="dxa"/>
            <w:vAlign w:val="center"/>
          </w:tcPr>
          <w:p w14:paraId="559963D9">
            <w:pPr>
              <w:tabs>
                <w:tab w:val="left" w:pos="482"/>
                <w:tab w:val="left" w:pos="2183"/>
                <w:tab w:val="left" w:pos="3884"/>
                <w:tab w:val="left" w:pos="5585"/>
              </w:tabs>
              <w:snapToGrid w:val="0"/>
              <w:rPr>
                <w:rFonts w:ascii="宋体" w:hAnsi="宋体" w:cs="宋体"/>
                <w:color w:val="000000"/>
              </w:rPr>
            </w:pPr>
            <w:r>
              <w:rPr>
                <w:rFonts w:hint="eastAsia" w:ascii="宋体" w:hAnsi="宋体" w:cs="宋体"/>
              </w:rPr>
              <w:t>工作人员工作守则及廉政措施（附件十四）</w:t>
            </w:r>
          </w:p>
        </w:tc>
      </w:tr>
      <w:tr w14:paraId="355E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685FFE3">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14</w:t>
            </w:r>
          </w:p>
        </w:tc>
        <w:tc>
          <w:tcPr>
            <w:tcW w:w="8747" w:type="dxa"/>
            <w:vAlign w:val="center"/>
          </w:tcPr>
          <w:p w14:paraId="5DB64AC1">
            <w:pPr>
              <w:tabs>
                <w:tab w:val="left" w:pos="482"/>
                <w:tab w:val="left" w:pos="2183"/>
                <w:tab w:val="left" w:pos="3884"/>
                <w:tab w:val="left" w:pos="5585"/>
              </w:tabs>
              <w:snapToGrid w:val="0"/>
              <w:rPr>
                <w:rFonts w:ascii="宋体" w:hAnsi="宋体" w:cs="宋体"/>
                <w:color w:val="000000"/>
              </w:rPr>
            </w:pPr>
            <w:r>
              <w:rPr>
                <w:rFonts w:hint="eastAsia" w:ascii="宋体" w:hAnsi="宋体" w:cs="宋体"/>
                <w:color w:val="FFC000"/>
                <w:lang w:eastAsia="zh-CN"/>
              </w:rPr>
              <w:t>服务响应承诺</w:t>
            </w:r>
            <w:r>
              <w:rPr>
                <w:rFonts w:hint="eastAsia" w:ascii="宋体" w:hAnsi="宋体" w:cs="宋体"/>
                <w:color w:val="FFC000"/>
              </w:rPr>
              <w:t>（附件十五）</w:t>
            </w:r>
          </w:p>
        </w:tc>
      </w:tr>
      <w:tr w14:paraId="57B5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14:paraId="0E8B88B7">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15</w:t>
            </w:r>
          </w:p>
        </w:tc>
        <w:tc>
          <w:tcPr>
            <w:tcW w:w="8747" w:type="dxa"/>
            <w:shd w:val="clear" w:color="auto" w:fill="auto"/>
          </w:tcPr>
          <w:p w14:paraId="1A089E83">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偏离表（附件十七）</w:t>
            </w:r>
          </w:p>
        </w:tc>
      </w:tr>
      <w:tr w14:paraId="0C3C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shd w:val="clear" w:color="auto" w:fill="auto"/>
            <w:vAlign w:val="center"/>
          </w:tcPr>
          <w:p w14:paraId="747CAE53">
            <w:pPr>
              <w:autoSpaceDE w:val="0"/>
              <w:autoSpaceDN w:val="0"/>
              <w:adjustRightInd w:val="0"/>
              <w:snapToGrid w:val="0"/>
              <w:spacing w:line="430" w:lineRule="atLeast"/>
              <w:jc w:val="center"/>
              <w:rPr>
                <w:rFonts w:ascii="宋体" w:hAnsi="宋体" w:cs="宋体"/>
                <w:color w:val="000000"/>
              </w:rPr>
            </w:pPr>
            <w:r>
              <w:rPr>
                <w:rFonts w:hint="eastAsia" w:ascii="宋体" w:hAnsi="宋体" w:cs="宋体"/>
                <w:color w:val="000000"/>
              </w:rPr>
              <w:t>16</w:t>
            </w:r>
          </w:p>
        </w:tc>
        <w:tc>
          <w:tcPr>
            <w:tcW w:w="8747" w:type="dxa"/>
            <w:shd w:val="clear" w:color="auto" w:fill="auto"/>
          </w:tcPr>
          <w:p w14:paraId="6E38986A">
            <w:pPr>
              <w:autoSpaceDE w:val="0"/>
              <w:autoSpaceDN w:val="0"/>
              <w:adjustRightInd w:val="0"/>
              <w:snapToGrid w:val="0"/>
              <w:spacing w:line="430" w:lineRule="atLeast"/>
              <w:rPr>
                <w:rFonts w:ascii="宋体" w:hAnsi="宋体" w:cs="宋体"/>
                <w:color w:val="000000"/>
              </w:rPr>
            </w:pPr>
            <w:r>
              <w:rPr>
                <w:rFonts w:hint="eastAsia" w:ascii="宋体" w:hAnsi="宋体" w:cs="宋体"/>
                <w:color w:val="000000"/>
              </w:rPr>
              <w:t>根据磋商文件中的采购内容与技术要求、评标细则，需要提供的其它文件和资料。其他资料提交的资料没有格式的可自拟。</w:t>
            </w:r>
          </w:p>
        </w:tc>
      </w:tr>
    </w:tbl>
    <w:p w14:paraId="78DF499A">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3、采购内容填写说明</w:t>
      </w:r>
    </w:p>
    <w:p w14:paraId="2917976D">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3.1、磋商响应文件格式</w:t>
      </w:r>
    </w:p>
    <w:p w14:paraId="0918FB74">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供应商应按照本文件第二部分所列出的内容及格式</w:t>
      </w:r>
      <w:r>
        <w:rPr>
          <w:rFonts w:hint="eastAsia" w:ascii="宋体" w:hAnsi="宋体" w:cs="宋体"/>
          <w:bCs/>
          <w:color w:val="000000"/>
          <w:u w:val="thick"/>
        </w:rPr>
        <w:t>逐一按顺序</w:t>
      </w:r>
      <w:r>
        <w:rPr>
          <w:rFonts w:hint="eastAsia" w:ascii="宋体" w:hAnsi="宋体" w:cs="宋体"/>
          <w:color w:val="000000"/>
        </w:rPr>
        <w:t>组成磋商响应文件。</w:t>
      </w:r>
    </w:p>
    <w:p w14:paraId="1E73563A">
      <w:pPr>
        <w:autoSpaceDE w:val="0"/>
        <w:autoSpaceDN w:val="0"/>
        <w:adjustRightInd w:val="0"/>
        <w:snapToGrid w:val="0"/>
        <w:spacing w:line="460" w:lineRule="atLeast"/>
        <w:ind w:firstLine="450"/>
        <w:textAlignment w:val="bottom"/>
        <w:rPr>
          <w:rFonts w:ascii="宋体" w:hAnsi="宋体" w:cs="宋体"/>
          <w:color w:val="000000"/>
        </w:rPr>
      </w:pPr>
      <w:bookmarkStart w:id="35" w:name="_Toc132122115"/>
      <w:bookmarkStart w:id="36" w:name="_Toc132122412"/>
      <w:r>
        <w:rPr>
          <w:rFonts w:hint="eastAsia" w:ascii="宋体" w:hAnsi="宋体" w:cs="宋体"/>
          <w:color w:val="000000"/>
        </w:rPr>
        <w:t>4、报价</w:t>
      </w:r>
      <w:bookmarkEnd w:id="35"/>
      <w:bookmarkEnd w:id="36"/>
    </w:p>
    <w:p w14:paraId="49BFB4AE">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4.1、供应商应按磋商文件中《第（大写数字）轮报价一览表》填写投标总价。</w:t>
      </w:r>
    </w:p>
    <w:p w14:paraId="5A83473C">
      <w:pPr>
        <w:autoSpaceDE w:val="0"/>
        <w:autoSpaceDN w:val="0"/>
        <w:adjustRightInd w:val="0"/>
        <w:snapToGrid w:val="0"/>
        <w:spacing w:line="460" w:lineRule="atLeast"/>
        <w:ind w:firstLine="440" w:firstLineChars="200"/>
        <w:textAlignment w:val="bottom"/>
        <w:rPr>
          <w:rFonts w:ascii="宋体" w:hAnsi="宋体" w:cs="宋体"/>
          <w:b/>
          <w:color w:val="000000"/>
        </w:rPr>
      </w:pPr>
      <w:r>
        <w:rPr>
          <w:rFonts w:hint="eastAsia" w:ascii="宋体" w:hAnsi="宋体" w:cs="宋体"/>
          <w:color w:val="000000"/>
        </w:rPr>
        <w:t>4.2、</w:t>
      </w:r>
      <w:r>
        <w:rPr>
          <w:rFonts w:hint="eastAsia" w:ascii="宋体" w:hAnsi="宋体" w:cs="宋体"/>
          <w:b/>
          <w:color w:val="000000"/>
        </w:rPr>
        <w:t>投标报价应为完成本项目全部工作所发生的所有费用、招标代理费（磋商文件另有说明的除外），并承担一切风险责任。</w:t>
      </w:r>
    </w:p>
    <w:p w14:paraId="7950A255">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4.3、</w:t>
      </w:r>
      <w:r>
        <w:rPr>
          <w:rFonts w:hint="eastAsia" w:ascii="宋体" w:hAnsi="宋体" w:cs="宋体"/>
          <w:b/>
          <w:color w:val="000000"/>
        </w:rPr>
        <w:t>供应商投标报价中应充分考虑所有可能发生的费用，否则采购人将视其总价中已包括所有费用。</w:t>
      </w:r>
    </w:p>
    <w:p w14:paraId="25709968">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供应商对在合同执行中，除上述费用及磋商文件规定的由成交供应商负责的工作范围以外需要采购人协调或提供便利的工作应当在磋商响应文件中说明。</w:t>
      </w:r>
    </w:p>
    <w:p w14:paraId="6BB9EE70">
      <w:pPr>
        <w:autoSpaceDE w:val="0"/>
        <w:autoSpaceDN w:val="0"/>
        <w:adjustRightInd w:val="0"/>
        <w:snapToGrid w:val="0"/>
        <w:spacing w:line="460" w:lineRule="atLeast"/>
        <w:ind w:firstLine="440" w:firstLineChars="200"/>
        <w:textAlignment w:val="bottom"/>
        <w:rPr>
          <w:rFonts w:ascii="宋体" w:hAnsi="宋体" w:cs="宋体"/>
          <w:color w:val="000000"/>
        </w:rPr>
      </w:pPr>
      <w:r>
        <w:rPr>
          <w:rFonts w:hint="eastAsia" w:ascii="宋体" w:hAnsi="宋体" w:cs="宋体"/>
          <w:color w:val="000000"/>
        </w:rPr>
        <w:t>填写报价表格时，各项费用应如实填写。</w:t>
      </w:r>
    </w:p>
    <w:p w14:paraId="56FD3FB7">
      <w:pPr>
        <w:autoSpaceDE w:val="0"/>
        <w:autoSpaceDN w:val="0"/>
        <w:adjustRightInd w:val="0"/>
        <w:snapToGrid w:val="0"/>
        <w:spacing w:line="460" w:lineRule="atLeast"/>
        <w:ind w:firstLine="440" w:firstLineChars="200"/>
        <w:rPr>
          <w:rFonts w:ascii="宋体" w:hAnsi="宋体" w:cs="宋体"/>
          <w:color w:val="000000"/>
          <w:lang w:val="zh-CN"/>
        </w:rPr>
      </w:pPr>
      <w:r>
        <w:rPr>
          <w:rFonts w:hint="eastAsia" w:ascii="宋体" w:hAnsi="宋体" w:cs="宋体"/>
          <w:color w:val="000000"/>
        </w:rPr>
        <w:t>5、采购人要求分类报价是为了方便评审，但在任何情况下不限制采购人以其认为最合适的条款签订合同的权利。</w:t>
      </w:r>
    </w:p>
    <w:p w14:paraId="4C82213A">
      <w:pPr>
        <w:pStyle w:val="15"/>
        <w:adjustRightInd w:val="0"/>
        <w:snapToGrid w:val="0"/>
        <w:spacing w:line="460" w:lineRule="atLeast"/>
        <w:ind w:firstLine="440" w:firstLineChars="200"/>
        <w:rPr>
          <w:rFonts w:hAnsi="宋体" w:cs="宋体"/>
          <w:color w:val="000000"/>
          <w:szCs w:val="22"/>
        </w:rPr>
      </w:pPr>
      <w:bookmarkStart w:id="37" w:name="_Toc132122414"/>
      <w:bookmarkStart w:id="38" w:name="_Toc132122117"/>
      <w:r>
        <w:rPr>
          <w:rFonts w:hint="eastAsia" w:hAnsi="宋体" w:cs="宋体"/>
          <w:color w:val="000000"/>
          <w:szCs w:val="22"/>
        </w:rPr>
        <w:t>7、磋商响应文件的有效期</w:t>
      </w:r>
      <w:bookmarkEnd w:id="37"/>
      <w:bookmarkEnd w:id="38"/>
    </w:p>
    <w:p w14:paraId="37418E6E">
      <w:pPr>
        <w:pStyle w:val="15"/>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7.1、自响应文件递交截止时间起90天内，磋商响应文件应保持有效。有效期短于这个规定期限的磋商响应文件将被拒绝。</w:t>
      </w:r>
    </w:p>
    <w:p w14:paraId="6901DC10">
      <w:pPr>
        <w:pStyle w:val="15"/>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7.2、在特殊情况下，采购人可与供应商协商延长磋商响应文件的有效期，这种要求和答复均应以书面形式进行。</w:t>
      </w:r>
    </w:p>
    <w:p w14:paraId="0764444F">
      <w:pPr>
        <w:pStyle w:val="15"/>
        <w:adjustRightInd w:val="0"/>
        <w:snapToGrid w:val="0"/>
        <w:spacing w:line="460" w:lineRule="atLeast"/>
        <w:ind w:firstLine="440" w:firstLineChars="200"/>
        <w:rPr>
          <w:rFonts w:hAnsi="宋体" w:cs="宋体"/>
          <w:color w:val="000000"/>
          <w:szCs w:val="22"/>
        </w:rPr>
      </w:pPr>
      <w:r>
        <w:rPr>
          <w:rFonts w:hint="eastAsia" w:hAnsi="宋体" w:cs="宋体"/>
          <w:color w:val="000000"/>
          <w:szCs w:val="22"/>
        </w:rPr>
        <w:t>7.3、供应商可拒绝接受延期要求，同意延长有效期的供应商不能修改磋商响应文件。</w:t>
      </w:r>
    </w:p>
    <w:p w14:paraId="2C9D2CCB">
      <w:pPr>
        <w:pStyle w:val="15"/>
        <w:adjustRightInd w:val="0"/>
        <w:snapToGrid w:val="0"/>
        <w:spacing w:line="460" w:lineRule="atLeast"/>
        <w:ind w:firstLine="440" w:firstLineChars="200"/>
        <w:rPr>
          <w:rFonts w:hAnsi="宋体" w:cs="宋体"/>
          <w:color w:val="000000"/>
          <w:szCs w:val="22"/>
        </w:rPr>
      </w:pPr>
      <w:bookmarkStart w:id="39" w:name="_Toc132122118"/>
      <w:bookmarkStart w:id="40" w:name="_Toc132122415"/>
      <w:r>
        <w:rPr>
          <w:rFonts w:hint="eastAsia" w:hAnsi="宋体" w:cs="宋体"/>
          <w:color w:val="000000"/>
          <w:szCs w:val="22"/>
        </w:rPr>
        <w:t>8、磋商响应文件的</w:t>
      </w:r>
      <w:bookmarkEnd w:id="39"/>
      <w:bookmarkEnd w:id="40"/>
      <w:r>
        <w:rPr>
          <w:rFonts w:hint="eastAsia" w:hAnsi="宋体" w:cs="宋体"/>
          <w:color w:val="000000"/>
          <w:szCs w:val="22"/>
        </w:rPr>
        <w:t>编制</w:t>
      </w:r>
    </w:p>
    <w:p w14:paraId="24CC3406">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8.1、本项目通过“政府采购云平台（www.zcygov.cn）”实行在线投标响应（电子投标）。供应商应通过“政采云电子交易客户端”，并按照本磋商文件和“政府采购云平台”的要求编制并加密磋商响应文件。</w:t>
      </w:r>
    </w:p>
    <w:p w14:paraId="48F4A092">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8.2、投标供应商应当按照本章节“磋商响应文件组成”规定的内容及顺序在“政采云电子交易客户端”编制磋商响应文件。</w:t>
      </w:r>
    </w:p>
    <w:p w14:paraId="6BC0EB6F">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8.3、本文件《第六部分磋商响应文件格式》中有提供格式的，投标供应商参照格式进行编制（格式中要求提供相关证明材料的还需后附相关证明材料），并在指定位置根据要求进行签章，否则视为未提供；本文件《第六部分磋商响应文件格式》未提供格式的，请各投标单位自行拟定格式。</w:t>
      </w:r>
    </w:p>
    <w:p w14:paraId="6314FED4">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8.4、《磋商响应文件》内容不完整、编排混乱导致《磋商响应文件》被误读、漏读或者查找不到相关内容的，相关责任由投标供应商自负。</w:t>
      </w:r>
    </w:p>
    <w:p w14:paraId="3780EE72">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8.5、《磋商响应文件》因字迹潦草或表达不清所引起的后果由投标供应商负责。</w:t>
      </w:r>
    </w:p>
    <w:p w14:paraId="684866AD">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8.6、投标供应商没有按照本章节“磋商响应文件组成”要求提供全部资料，或者没有仔细阅读磋商文件，或者没有对磋商文件在各方面的要求作出实质性响应，由此造成的一切后果由投标供应商自行承担。</w:t>
      </w:r>
    </w:p>
    <w:p w14:paraId="3C97DDD4">
      <w:pPr>
        <w:pStyle w:val="15"/>
        <w:adjustRightInd w:val="0"/>
        <w:snapToGrid w:val="0"/>
        <w:spacing w:line="460" w:lineRule="atLeast"/>
        <w:ind w:firstLine="422"/>
        <w:rPr>
          <w:rFonts w:hAnsi="宋体" w:cs="宋体"/>
          <w:b/>
          <w:color w:val="000000"/>
          <w:szCs w:val="22"/>
        </w:rPr>
      </w:pPr>
      <w:r>
        <w:rPr>
          <w:rFonts w:hint="eastAsia" w:hAnsi="宋体" w:cs="宋体"/>
          <w:b/>
          <w:color w:val="000000"/>
          <w:szCs w:val="22"/>
        </w:rPr>
        <w:t>9、磋商响应文件的签章</w:t>
      </w:r>
    </w:p>
    <w:p w14:paraId="2925E5D5">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9.1、《磋商响应文件》的签章：见《第一部分磋商邀请函（供应商须知前附表）》；</w:t>
      </w:r>
    </w:p>
    <w:p w14:paraId="2DEEF1B9">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9.2、《磋商响应文件》：根据磋商文件要求在磋商响应文件相应位置由投标供应商法定代表人或授权代表签字（或盖章），需要加盖投标供应商公章的采用CA电子签章。</w:t>
      </w:r>
    </w:p>
    <w:p w14:paraId="42BC1BC6">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9.3、CA电子签章操作指南详见《供应商-政府采购项目电子交易操作指南》（https://help.zcygov.cn/web/site_2/2018/12-28/2573.html）。</w:t>
      </w:r>
    </w:p>
    <w:p w14:paraId="45826567">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10、磋商响应文件的形式</w:t>
      </w:r>
    </w:p>
    <w:p w14:paraId="3678FE87">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10.1、磋商响应文件的形式：见《第一部分磋商邀请函（供应商须知前附表）》；</w:t>
      </w:r>
    </w:p>
    <w:p w14:paraId="5AC96047">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10.2、“电子加密磋商响应文件”：“电子加密磋商响应文件”是指通过“政采云电子交易客户端”完成磋商响应文件编制后生成并加密的数据电文形式的磋商响应文件。</w:t>
      </w:r>
    </w:p>
    <w:p w14:paraId="7A7F5875">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10.3磋商响应文件的份数</w:t>
      </w:r>
    </w:p>
    <w:p w14:paraId="02718A73">
      <w:pPr>
        <w:autoSpaceDE w:val="0"/>
        <w:autoSpaceDN w:val="0"/>
        <w:adjustRightInd w:val="0"/>
        <w:snapToGrid w:val="0"/>
        <w:spacing w:line="460" w:lineRule="atLeast"/>
        <w:ind w:firstLine="442" w:firstLineChars="200"/>
        <w:textAlignment w:val="bottom"/>
        <w:rPr>
          <w:rFonts w:ascii="宋体" w:hAnsi="宋体" w:cs="宋体"/>
          <w:b/>
          <w:color w:val="000000"/>
        </w:rPr>
      </w:pPr>
      <w:r>
        <w:rPr>
          <w:rFonts w:hint="eastAsia" w:ascii="宋体" w:hAnsi="宋体" w:cs="宋体"/>
          <w:b/>
          <w:color w:val="000000"/>
        </w:rPr>
        <w:t>磋商响应文件的份数：见《第一部分磋商邀请函（供应商须知前附表）》。</w:t>
      </w:r>
    </w:p>
    <w:p w14:paraId="58D920B0">
      <w:pPr>
        <w:pStyle w:val="3"/>
        <w:numPr>
          <w:ilvl w:val="0"/>
          <w:numId w:val="0"/>
        </w:numPr>
        <w:spacing w:line="240" w:lineRule="auto"/>
        <w:ind w:left="850" w:hanging="850"/>
        <w:rPr>
          <w:rFonts w:ascii="宋体" w:hAnsi="宋体" w:cs="宋体"/>
          <w:color w:val="000000"/>
          <w:sz w:val="22"/>
        </w:rPr>
      </w:pPr>
      <w:bookmarkStart w:id="41" w:name="_Toc132126154"/>
      <w:bookmarkStart w:id="42" w:name="_Toc132655776"/>
      <w:bookmarkStart w:id="43" w:name="_Toc132124594"/>
      <w:bookmarkStart w:id="44" w:name="_Toc132125574"/>
      <w:bookmarkStart w:id="45" w:name="_Toc132122119"/>
      <w:bookmarkStart w:id="46" w:name="_Toc132122416"/>
      <w:bookmarkStart w:id="47" w:name="_Toc10734"/>
      <w:bookmarkStart w:id="48" w:name="_Toc132123547"/>
      <w:bookmarkStart w:id="49" w:name="_Toc132123439"/>
      <w:bookmarkStart w:id="50" w:name="_Toc132125095"/>
      <w:bookmarkStart w:id="51" w:name="_Toc132123881"/>
      <w:bookmarkStart w:id="52" w:name="_Toc132123838"/>
      <w:bookmarkStart w:id="53" w:name="_Toc132125983"/>
      <w:bookmarkStart w:id="54" w:name="_Toc132125151"/>
      <w:bookmarkStart w:id="55" w:name="_Toc132125037"/>
      <w:bookmarkStart w:id="56" w:name="_Toc132123634"/>
      <w:bookmarkStart w:id="57" w:name="_Toc45140196"/>
      <w:r>
        <w:rPr>
          <w:rFonts w:hint="eastAsia" w:ascii="宋体" w:hAnsi="宋体" w:cs="宋体"/>
          <w:bCs/>
          <w:color w:val="000000"/>
          <w:sz w:val="22"/>
        </w:rPr>
        <w:t>四、磋商响应文件递交</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CC7E1A6">
      <w:pPr>
        <w:snapToGrid w:val="0"/>
        <w:spacing w:line="360" w:lineRule="auto"/>
        <w:ind w:firstLine="442" w:firstLineChars="200"/>
        <w:rPr>
          <w:rFonts w:ascii="宋体" w:hAnsi="宋体" w:cs="宋体"/>
          <w:b/>
          <w:color w:val="000000"/>
        </w:rPr>
      </w:pPr>
      <w:r>
        <w:rPr>
          <w:rFonts w:hint="eastAsia" w:ascii="宋体" w:hAnsi="宋体" w:cs="宋体"/>
          <w:b/>
          <w:color w:val="000000"/>
        </w:rPr>
        <w:t>1、磋商响应文件的上传和递交</w:t>
      </w:r>
    </w:p>
    <w:p w14:paraId="3B286264">
      <w:pPr>
        <w:snapToGrid w:val="0"/>
        <w:spacing w:line="360" w:lineRule="auto"/>
        <w:ind w:firstLine="442" w:firstLineChars="200"/>
        <w:rPr>
          <w:rFonts w:ascii="宋体" w:hAnsi="宋体" w:cs="宋体"/>
          <w:b/>
          <w:color w:val="000000"/>
        </w:rPr>
      </w:pPr>
      <w:r>
        <w:rPr>
          <w:rFonts w:hint="eastAsia" w:ascii="宋体" w:hAnsi="宋体" w:cs="宋体"/>
          <w:b/>
          <w:color w:val="000000"/>
        </w:rPr>
        <w:t>“磋商响应文件”的上传、递交：见《第一部分磋商邀请函（供应商须知前附表）》。</w:t>
      </w:r>
    </w:p>
    <w:p w14:paraId="17535BF0">
      <w:pPr>
        <w:snapToGrid w:val="0"/>
        <w:spacing w:line="360" w:lineRule="auto"/>
        <w:ind w:firstLine="442" w:firstLineChars="200"/>
        <w:rPr>
          <w:rFonts w:ascii="宋体" w:hAnsi="宋体" w:cs="宋体"/>
          <w:b/>
          <w:color w:val="000000"/>
        </w:rPr>
      </w:pPr>
      <w:r>
        <w:rPr>
          <w:rFonts w:hint="eastAsia" w:ascii="宋体" w:hAnsi="宋体" w:cs="宋体"/>
          <w:b/>
          <w:color w:val="000000"/>
        </w:rPr>
        <w:t>2、“电子加密磋商响应文件”解密和异常情况处理</w:t>
      </w:r>
    </w:p>
    <w:p w14:paraId="73FAD635">
      <w:pPr>
        <w:snapToGrid w:val="0"/>
        <w:spacing w:line="360" w:lineRule="auto"/>
        <w:ind w:firstLine="442" w:firstLineChars="200"/>
        <w:rPr>
          <w:rFonts w:ascii="宋体" w:hAnsi="宋体" w:cs="宋体"/>
          <w:b/>
          <w:color w:val="000000"/>
        </w:rPr>
      </w:pPr>
      <w:r>
        <w:rPr>
          <w:rFonts w:hint="eastAsia" w:ascii="宋体" w:hAnsi="宋体" w:cs="宋体"/>
          <w:b/>
          <w:color w:val="000000"/>
        </w:rPr>
        <w:t>“电子加密磋商响应文件”解密：见《第一部分磋商邀请函（供应商须知前附表）》。</w:t>
      </w:r>
    </w:p>
    <w:p w14:paraId="78F8AF27">
      <w:pPr>
        <w:tabs>
          <w:tab w:val="center" w:pos="4810"/>
        </w:tabs>
        <w:snapToGrid w:val="0"/>
        <w:spacing w:line="360" w:lineRule="auto"/>
        <w:ind w:firstLine="442" w:firstLineChars="200"/>
        <w:rPr>
          <w:rFonts w:ascii="宋体" w:hAnsi="宋体" w:cs="宋体"/>
          <w:b/>
          <w:color w:val="000000"/>
        </w:rPr>
      </w:pPr>
      <w:r>
        <w:rPr>
          <w:rFonts w:hint="eastAsia" w:ascii="宋体" w:hAnsi="宋体" w:cs="宋体"/>
          <w:b/>
          <w:color w:val="000000"/>
        </w:rPr>
        <w:t>3、磋商响应文件的补充、修改或撤回</w:t>
      </w:r>
      <w:r>
        <w:rPr>
          <w:rFonts w:hint="eastAsia" w:ascii="宋体" w:hAnsi="宋体" w:cs="宋体"/>
          <w:b/>
          <w:color w:val="000000"/>
        </w:rPr>
        <w:tab/>
      </w:r>
    </w:p>
    <w:p w14:paraId="77646DC4">
      <w:pPr>
        <w:snapToGrid w:val="0"/>
        <w:spacing w:line="360" w:lineRule="auto"/>
        <w:ind w:firstLine="442" w:firstLineChars="200"/>
        <w:rPr>
          <w:rFonts w:ascii="宋体" w:hAnsi="宋体" w:cs="宋体"/>
          <w:b/>
          <w:color w:val="000000"/>
        </w:rPr>
      </w:pPr>
      <w:r>
        <w:rPr>
          <w:rFonts w:hint="eastAsia" w:ascii="宋体" w:hAnsi="宋体" w:cs="宋体"/>
          <w:b/>
          <w:color w:val="000000"/>
        </w:rPr>
        <w:t>3.1、供应商应当在响应文件递交截止时间前完成磋商响应文件的上传、递交，并可以补充、修改或者撤回磋商响应文件。补充或者修改磋商响应文件的，应当先行撤回原文件，补充、修改后重新上传、递交。响应文件递交截止时间前未完成上传、递交的，视为撤回磋商响应文件。响应文件递交截止时间后递交的磋商响应文件，“政府采购云平台”将予以拒收。</w:t>
      </w:r>
    </w:p>
    <w:p w14:paraId="62D3E91E">
      <w:pPr>
        <w:snapToGrid w:val="0"/>
        <w:spacing w:line="360" w:lineRule="auto"/>
        <w:ind w:firstLine="442" w:firstLineChars="200"/>
        <w:rPr>
          <w:rFonts w:ascii="宋体" w:hAnsi="宋体" w:cs="宋体"/>
          <w:b/>
          <w:color w:val="000000"/>
        </w:rPr>
      </w:pPr>
      <w:r>
        <w:rPr>
          <w:rFonts w:hint="eastAsia" w:ascii="宋体" w:hAnsi="宋体" w:cs="宋体"/>
          <w:b/>
          <w:color w:val="000000"/>
        </w:rPr>
        <w:t>3.2、响应文件递交截止时间后，投标供应商不得撤回、修改《磋商响应文件》。</w:t>
      </w:r>
    </w:p>
    <w:p w14:paraId="76A319E8">
      <w:pPr>
        <w:snapToGrid w:val="0"/>
        <w:spacing w:line="360" w:lineRule="auto"/>
        <w:ind w:firstLine="442" w:firstLineChars="200"/>
        <w:rPr>
          <w:rFonts w:ascii="宋体" w:hAnsi="宋体" w:cs="宋体"/>
          <w:b/>
          <w:color w:val="000000"/>
        </w:rPr>
      </w:pPr>
      <w:r>
        <w:rPr>
          <w:rFonts w:hint="eastAsia" w:ascii="宋体" w:hAnsi="宋体" w:cs="宋体"/>
          <w:b/>
          <w:color w:val="000000"/>
        </w:rPr>
        <w:t>4、磋商响应文件的备选方案</w:t>
      </w:r>
    </w:p>
    <w:p w14:paraId="6A25DCB4">
      <w:pPr>
        <w:pStyle w:val="11"/>
        <w:adjustRightInd w:val="0"/>
        <w:snapToGrid w:val="0"/>
        <w:spacing w:after="50"/>
        <w:ind w:firstLine="442" w:firstLineChars="200"/>
        <w:rPr>
          <w:rFonts w:ascii="宋体" w:hAnsi="宋体" w:eastAsia="宋体" w:cs="宋体"/>
          <w:b/>
          <w:color w:val="000000"/>
          <w:sz w:val="22"/>
        </w:rPr>
      </w:pPr>
      <w:r>
        <w:rPr>
          <w:rFonts w:hint="eastAsia" w:ascii="宋体" w:hAnsi="宋体" w:eastAsia="宋体" w:cs="宋体"/>
          <w:b/>
          <w:color w:val="000000"/>
          <w:sz w:val="22"/>
        </w:rPr>
        <w:t>投标供应商不得递交任何的投标备选（替代）方案，否则其磋商响应文件将作无效标处理。</w:t>
      </w:r>
      <w:bookmarkStart w:id="58" w:name="_Toc45140197"/>
    </w:p>
    <w:p w14:paraId="4990D64F">
      <w:pPr>
        <w:pStyle w:val="11"/>
        <w:numPr>
          <w:ilvl w:val="0"/>
          <w:numId w:val="5"/>
        </w:numPr>
        <w:adjustRightInd w:val="0"/>
        <w:snapToGrid w:val="0"/>
        <w:spacing w:after="50"/>
        <w:rPr>
          <w:rFonts w:ascii="宋体" w:hAnsi="宋体" w:eastAsia="宋体" w:cs="宋体"/>
          <w:b/>
          <w:bCs/>
          <w:color w:val="000000"/>
          <w:sz w:val="22"/>
        </w:rPr>
      </w:pPr>
      <w:r>
        <w:rPr>
          <w:rFonts w:hint="eastAsia" w:ascii="宋体" w:hAnsi="宋体" w:eastAsia="宋体" w:cs="宋体"/>
          <w:b/>
          <w:bCs/>
          <w:color w:val="000000"/>
          <w:sz w:val="22"/>
        </w:rPr>
        <w:t>开标和评审</w:t>
      </w:r>
      <w:bookmarkEnd w:id="58"/>
    </w:p>
    <w:p w14:paraId="547A6446">
      <w:pPr>
        <w:pStyle w:val="11"/>
        <w:adjustRightInd w:val="0"/>
        <w:snapToGrid w:val="0"/>
        <w:spacing w:after="50"/>
        <w:rPr>
          <w:rFonts w:ascii="宋体" w:hAnsi="宋体" w:eastAsia="宋体" w:cs="宋体"/>
          <w:b/>
          <w:color w:val="000000"/>
          <w:kern w:val="0"/>
          <w:sz w:val="22"/>
        </w:rPr>
      </w:pPr>
      <w:r>
        <w:rPr>
          <w:rFonts w:hint="eastAsia" w:ascii="宋体" w:hAnsi="宋体" w:eastAsia="宋体" w:cs="宋体"/>
          <w:b/>
          <w:color w:val="000000"/>
          <w:kern w:val="0"/>
          <w:sz w:val="22"/>
        </w:rPr>
        <w:t>1、开标</w:t>
      </w:r>
    </w:p>
    <w:p w14:paraId="7665A785">
      <w:pPr>
        <w:pStyle w:val="15"/>
        <w:adjustRightInd w:val="0"/>
        <w:snapToGrid w:val="0"/>
        <w:spacing w:line="360" w:lineRule="auto"/>
        <w:ind w:firstLine="442" w:firstLineChars="200"/>
        <w:rPr>
          <w:rFonts w:hAnsi="宋体" w:cs="宋体"/>
          <w:color w:val="000000"/>
          <w:szCs w:val="22"/>
        </w:rPr>
      </w:pPr>
      <w:r>
        <w:rPr>
          <w:rFonts w:hint="eastAsia" w:hAnsi="宋体" w:cs="宋体"/>
          <w:b/>
          <w:color w:val="000000"/>
          <w:szCs w:val="22"/>
        </w:rPr>
        <w:t>1.1采购代理机构按磋商文件规定的时间、地点通过“政府采购云平台”组织开标、开启磋商响应文件，所有供应商均应当准时在线参加。投标供应商因未在线参加开标而导致磋商响应文件无法按时解密等一切后果由供应商自己承担</w:t>
      </w:r>
      <w:r>
        <w:rPr>
          <w:rFonts w:hint="eastAsia" w:hAnsi="宋体" w:cs="宋体"/>
          <w:color w:val="000000"/>
          <w:szCs w:val="22"/>
        </w:rPr>
        <w:t>。</w:t>
      </w:r>
    </w:p>
    <w:p w14:paraId="34D88E35">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1.2、开标流程</w:t>
      </w:r>
    </w:p>
    <w:p w14:paraId="72D44884">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（1）向各投标供应商发出电子加密磋商响应文件【开始解密】通知，由供应商按磋商文件规定的时间内自行进行磋商响应文件解密。</w:t>
      </w:r>
      <w:r>
        <w:rPr>
          <w:rFonts w:hint="eastAsia" w:hAnsi="宋体" w:cs="宋体"/>
          <w:b/>
          <w:color w:val="000000"/>
          <w:szCs w:val="22"/>
        </w:rPr>
        <w:t>投标供应商在规定的时间内无法完成已递交的“电子加密磋商响应文件”解密的，其磋商响应文件按拒收处理</w:t>
      </w:r>
      <w:r>
        <w:rPr>
          <w:rFonts w:hint="eastAsia" w:hAnsi="宋体" w:cs="宋体"/>
          <w:color w:val="000000"/>
          <w:szCs w:val="22"/>
        </w:rPr>
        <w:t>。</w:t>
      </w:r>
    </w:p>
    <w:p w14:paraId="54EED1CF">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磋商响应文件解密结束，磋商小组在对磋商响应文件的有效性、完整性和响应程度进行审查时，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68F3D4BA">
      <w:pPr>
        <w:tabs>
          <w:tab w:val="left" w:pos="900"/>
          <w:tab w:val="left" w:pos="5355"/>
        </w:tabs>
        <w:spacing w:line="430" w:lineRule="exact"/>
        <w:ind w:left="-8" w:firstLine="648"/>
        <w:rPr>
          <w:rFonts w:hAnsi="宋体" w:cs="宋体"/>
          <w:color w:val="000000"/>
        </w:rPr>
      </w:pPr>
      <w:r>
        <w:rPr>
          <w:rFonts w:hint="eastAsia" w:ascii="宋体" w:hAnsi="宋体" w:cs="宋体"/>
          <w:color w:val="FF0000"/>
        </w:rPr>
        <w:t>（3）电子投标文件解密结束后，各供应商签署《政府采购活动现场确认声明书》（见P20页）后将扫描件发送至采购代理机构邮箱346139344@qq.com。</w:t>
      </w:r>
    </w:p>
    <w:p w14:paraId="6D34DE4D">
      <w:pPr>
        <w:pStyle w:val="15"/>
        <w:adjustRightInd w:val="0"/>
        <w:snapToGrid w:val="0"/>
        <w:spacing w:line="360" w:lineRule="auto"/>
        <w:ind w:firstLine="660" w:firstLineChars="300"/>
        <w:rPr>
          <w:rFonts w:hAnsi="宋体" w:cs="宋体"/>
          <w:b/>
          <w:color w:val="000000"/>
          <w:szCs w:val="22"/>
        </w:rPr>
      </w:pPr>
      <w:r>
        <w:rPr>
          <w:rFonts w:hint="eastAsia" w:hAnsi="宋体" w:cs="宋体"/>
          <w:color w:val="000000"/>
          <w:szCs w:val="22"/>
        </w:rPr>
        <w:t>（4）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通知所有参加磋商的供应商。供应商应当按照磋商文件的变动情况和磋商小组的要求重新提交磋商响应文件，并由其法定代表人或授权代表签字（或盖章）并加盖公章。</w:t>
      </w:r>
      <w:r>
        <w:rPr>
          <w:rFonts w:hint="eastAsia" w:hAnsi="宋体" w:cs="宋体"/>
          <w:b/>
          <w:color w:val="000000"/>
          <w:szCs w:val="22"/>
        </w:rPr>
        <w:t>如竞争性磋商文件所列采购内容明确不需要修改的或供应商磋商响应文件清楚明确不需要澄清的，可以不进行磋商，直接要求供应商进行最终报价。</w:t>
      </w:r>
    </w:p>
    <w:p w14:paraId="20411E0B">
      <w:pPr>
        <w:pStyle w:val="15"/>
        <w:adjustRightInd w:val="0"/>
        <w:snapToGrid w:val="0"/>
        <w:spacing w:line="360" w:lineRule="auto"/>
        <w:ind w:firstLine="431" w:firstLineChars="196"/>
        <w:rPr>
          <w:rFonts w:hAnsi="宋体" w:cs="宋体"/>
          <w:color w:val="000000"/>
          <w:szCs w:val="22"/>
        </w:rPr>
      </w:pPr>
      <w:r>
        <w:rPr>
          <w:rFonts w:hint="eastAsia" w:hAnsi="宋体" w:cs="宋体"/>
          <w:color w:val="000000"/>
          <w:szCs w:val="22"/>
        </w:rPr>
        <w:t>（5）磋商结束后，磋商小组应当要求所有实质性响应的投标供应商在规定时间内提交最终报价。投标供应商未在规定时间提交最终报价的按无效投标处理。</w:t>
      </w:r>
    </w:p>
    <w:p w14:paraId="7D2A5F63">
      <w:pPr>
        <w:pStyle w:val="15"/>
        <w:adjustRightInd w:val="0"/>
        <w:snapToGrid w:val="0"/>
        <w:spacing w:line="360" w:lineRule="auto"/>
        <w:ind w:firstLine="431" w:firstLineChars="196"/>
        <w:rPr>
          <w:rFonts w:hAnsi="宋体" w:cs="宋体"/>
          <w:color w:val="000000"/>
          <w:szCs w:val="22"/>
        </w:rPr>
      </w:pPr>
      <w:r>
        <w:rPr>
          <w:rFonts w:hint="eastAsia" w:hAnsi="宋体" w:cs="宋体"/>
          <w:color w:val="000000"/>
          <w:szCs w:val="22"/>
        </w:rPr>
        <w:t>（6）开启所有实质性响应的投标供应商的最终报价。</w:t>
      </w:r>
    </w:p>
    <w:p w14:paraId="5D9A5F89">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（7）评审结束后，公布采购结果。</w:t>
      </w:r>
    </w:p>
    <w:p w14:paraId="064FED4E">
      <w:pPr>
        <w:pStyle w:val="15"/>
        <w:adjustRightInd w:val="0"/>
        <w:snapToGrid w:val="0"/>
        <w:spacing w:line="360" w:lineRule="auto"/>
        <w:ind w:firstLine="433" w:firstLineChars="196"/>
        <w:rPr>
          <w:rFonts w:hAnsi="宋体" w:cs="宋体"/>
          <w:b/>
          <w:color w:val="000000"/>
          <w:szCs w:val="22"/>
        </w:rPr>
      </w:pPr>
      <w:r>
        <w:rPr>
          <w:rFonts w:hint="eastAsia" w:hAnsi="宋体" w:cs="宋体"/>
          <w:b/>
          <w:color w:val="000000"/>
          <w:szCs w:val="22"/>
        </w:rPr>
        <w:t>特别说明：如遇“政府采购云平台”电子化开标或评审程序调整的，按调整后程序执行。</w:t>
      </w:r>
    </w:p>
    <w:p w14:paraId="434F7758">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2、评审</w:t>
      </w:r>
    </w:p>
    <w:p w14:paraId="5AA232AC">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2.1、评审由采购人依法组建的磋商小组负责，并独立履行下列职责：</w:t>
      </w:r>
    </w:p>
    <w:p w14:paraId="1B7EEA2C">
      <w:pPr>
        <w:snapToGrid w:val="0"/>
        <w:spacing w:line="360" w:lineRule="auto"/>
        <w:ind w:firstLine="431" w:firstLineChars="196"/>
        <w:rPr>
          <w:rFonts w:ascii="宋体" w:hAnsi="宋体" w:cs="宋体"/>
          <w:color w:val="000000"/>
        </w:rPr>
      </w:pPr>
      <w:r>
        <w:rPr>
          <w:rFonts w:hint="eastAsia" w:ascii="宋体" w:hAnsi="宋体" w:cs="宋体"/>
          <w:color w:val="000000"/>
        </w:rPr>
        <w:t>1）审查磋商响应文件是否符合竞争性磋商文件要求，并作出评价；</w:t>
      </w:r>
    </w:p>
    <w:p w14:paraId="6EEA4CDC">
      <w:pPr>
        <w:snapToGrid w:val="0"/>
        <w:spacing w:line="360" w:lineRule="auto"/>
        <w:ind w:firstLine="450"/>
        <w:rPr>
          <w:rFonts w:ascii="宋体" w:hAnsi="宋体" w:cs="宋体"/>
          <w:color w:val="000000"/>
        </w:rPr>
      </w:pPr>
      <w:r>
        <w:rPr>
          <w:rFonts w:hint="eastAsia" w:ascii="宋体" w:hAnsi="宋体" w:cs="宋体"/>
          <w:color w:val="000000"/>
        </w:rPr>
        <w:t>2）要求供应商对磋商响应文件有关事项作出解释或者澄清；</w:t>
      </w:r>
    </w:p>
    <w:p w14:paraId="2D937A93">
      <w:pPr>
        <w:snapToGrid w:val="0"/>
        <w:spacing w:line="360" w:lineRule="auto"/>
        <w:ind w:firstLine="450"/>
        <w:rPr>
          <w:rFonts w:ascii="宋体" w:hAnsi="宋体" w:cs="宋体"/>
          <w:color w:val="000000"/>
        </w:rPr>
      </w:pPr>
      <w:r>
        <w:rPr>
          <w:rFonts w:hint="eastAsia" w:ascii="宋体" w:hAnsi="宋体" w:cs="宋体"/>
          <w:color w:val="000000"/>
        </w:rPr>
        <w:t>3）按照竞争性磋商文件确定的评审办法对供应商进行排序，推荐候选供应商，将综合得分第一的供应商向采购人推荐其为成交供应商；</w:t>
      </w:r>
    </w:p>
    <w:p w14:paraId="0DD22D8D">
      <w:pPr>
        <w:pStyle w:val="15"/>
        <w:adjustRightInd w:val="0"/>
        <w:snapToGrid w:val="0"/>
        <w:spacing w:line="360" w:lineRule="auto"/>
        <w:ind w:firstLine="431" w:firstLineChars="196"/>
        <w:rPr>
          <w:rFonts w:hAnsi="宋体" w:cs="宋体"/>
          <w:color w:val="000000"/>
          <w:szCs w:val="22"/>
        </w:rPr>
      </w:pPr>
      <w:r>
        <w:rPr>
          <w:rFonts w:hint="eastAsia" w:hAnsi="宋体" w:cs="宋体"/>
          <w:color w:val="000000"/>
          <w:szCs w:val="22"/>
        </w:rPr>
        <w:t>4）向采购代理机构或者有关部门报告非法干预评审工作的行为。</w:t>
      </w:r>
    </w:p>
    <w:p w14:paraId="532A2D06">
      <w:pPr>
        <w:snapToGrid w:val="0"/>
        <w:spacing w:line="360" w:lineRule="auto"/>
        <w:ind w:firstLine="431" w:firstLineChars="196"/>
        <w:rPr>
          <w:rFonts w:ascii="宋体" w:hAnsi="宋体" w:cs="宋体"/>
          <w:color w:val="000000"/>
        </w:rPr>
      </w:pPr>
      <w:r>
        <w:rPr>
          <w:rFonts w:hint="eastAsia" w:ascii="宋体" w:hAnsi="宋体" w:cs="宋体"/>
          <w:color w:val="000000"/>
        </w:rPr>
        <w:t>2.2、评审应当遵循下列工作程序：</w:t>
      </w:r>
    </w:p>
    <w:p w14:paraId="140E1EDE">
      <w:pPr>
        <w:snapToGrid w:val="0"/>
        <w:spacing w:line="360" w:lineRule="auto"/>
        <w:ind w:firstLine="450"/>
        <w:rPr>
          <w:rFonts w:ascii="宋体" w:hAnsi="宋体" w:cs="宋体"/>
          <w:color w:val="000000"/>
        </w:rPr>
      </w:pPr>
      <w:r>
        <w:rPr>
          <w:rFonts w:hint="eastAsia" w:ascii="宋体" w:hAnsi="宋体" w:cs="宋体"/>
          <w:color w:val="000000"/>
        </w:rPr>
        <w:t>1）磋商响应文件初审。初审分为资格性检查和符合性检查。</w:t>
      </w:r>
    </w:p>
    <w:p w14:paraId="7CC2DC66">
      <w:pPr>
        <w:snapToGrid w:val="0"/>
        <w:spacing w:line="360" w:lineRule="auto"/>
        <w:rPr>
          <w:rFonts w:ascii="宋体" w:hAnsi="宋体" w:cs="宋体"/>
          <w:color w:val="000000"/>
        </w:rPr>
      </w:pPr>
      <w:r>
        <w:rPr>
          <w:rFonts w:hint="eastAsia" w:ascii="宋体" w:hAnsi="宋体" w:cs="宋体"/>
          <w:color w:val="000000"/>
        </w:rPr>
        <w:t>（1）资格性检查。依据法律法规和竞争性磋商文件的规定，对磋商响应文件中的资格证明等进行审查，以确定供应商是否具备参与磋商资格。</w:t>
      </w:r>
    </w:p>
    <w:p w14:paraId="5A8E2645">
      <w:pPr>
        <w:snapToGrid w:val="0"/>
        <w:spacing w:line="360" w:lineRule="auto"/>
        <w:rPr>
          <w:rFonts w:ascii="宋体" w:hAnsi="宋体" w:cs="宋体"/>
          <w:color w:val="000000"/>
        </w:rPr>
      </w:pPr>
      <w:r>
        <w:rPr>
          <w:rFonts w:hint="eastAsia" w:ascii="宋体" w:hAnsi="宋体" w:cs="宋体"/>
          <w:color w:val="000000"/>
        </w:rPr>
        <w:t>（2）符合性检查。依据竞争性磋商文件的规定，从磋商响应文件的有效性、完整性和对竞争性磋商文件的响应程度进行审查，以确定是否对竞争性磋商文件的实质性要求作出响应。</w:t>
      </w:r>
    </w:p>
    <w:p w14:paraId="1A5F1097">
      <w:pPr>
        <w:snapToGrid w:val="0"/>
        <w:spacing w:line="360" w:lineRule="auto"/>
        <w:ind w:firstLine="450"/>
        <w:rPr>
          <w:rFonts w:ascii="宋体" w:hAnsi="宋体" w:cs="宋体"/>
          <w:color w:val="000000"/>
        </w:rPr>
      </w:pPr>
      <w:r>
        <w:rPr>
          <w:rFonts w:hint="eastAsia" w:ascii="宋体" w:hAnsi="宋体" w:cs="宋体"/>
          <w:color w:val="000000"/>
        </w:rPr>
        <w:t>2）澄清有关问题。对磋商响应文件中含义不明确、同类问题表述不一致或者有明显文字和计算错误的内容，磋商小组可以要求供应商对磋商响应文件中含义不明确、同类问题表述不一致或者有明显文字和计算错误的内容等作出必要的澄清、说明或者更正。供应商的澄清、说明或者更正不得超出磋商响应文件的范围或者改变磋商响应文件的实质性内容。</w:t>
      </w:r>
    </w:p>
    <w:p w14:paraId="4C0C3D6F">
      <w:pPr>
        <w:snapToGrid w:val="0"/>
        <w:spacing w:line="360" w:lineRule="auto"/>
        <w:ind w:firstLine="450"/>
        <w:rPr>
          <w:rFonts w:ascii="宋体" w:hAnsi="宋体" w:cs="宋体"/>
          <w:color w:val="000000"/>
        </w:rPr>
      </w:pPr>
      <w:r>
        <w:rPr>
          <w:rFonts w:hint="eastAsia" w:ascii="宋体" w:hAnsi="宋体" w:cs="宋体"/>
          <w:color w:val="000000"/>
        </w:rPr>
        <w:t>3）比较与评价。按竞争性磋商文件中规定的评审方法和标准，对资格性检查和符合性检查合格的磋商响应文件进行商务和技术评估，综合比较与评价。</w:t>
      </w:r>
    </w:p>
    <w:p w14:paraId="0C9D973B">
      <w:pPr>
        <w:pStyle w:val="15"/>
        <w:adjustRightInd w:val="0"/>
        <w:snapToGrid w:val="0"/>
        <w:spacing w:line="360" w:lineRule="auto"/>
        <w:ind w:firstLine="431" w:firstLineChars="196"/>
        <w:rPr>
          <w:rFonts w:hAnsi="宋体" w:cs="宋体"/>
          <w:color w:val="000000"/>
          <w:szCs w:val="22"/>
        </w:rPr>
      </w:pPr>
      <w:r>
        <w:rPr>
          <w:rFonts w:hint="eastAsia" w:hAnsi="宋体" w:cs="宋体"/>
          <w:color w:val="000000"/>
          <w:szCs w:val="22"/>
        </w:rPr>
        <w:t>2.3、</w:t>
      </w:r>
      <w:r>
        <w:rPr>
          <w:rFonts w:hint="eastAsia" w:hAnsi="宋体" w:cs="宋体"/>
          <w:b/>
          <w:color w:val="000000"/>
          <w:szCs w:val="22"/>
        </w:rPr>
        <w:t>本次采购，供应商的最终报价均超出采购预算的，本次采购做废标处理。</w:t>
      </w:r>
    </w:p>
    <w:p w14:paraId="14BF65FD">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2.4、▲</w:t>
      </w:r>
      <w:r>
        <w:rPr>
          <w:rFonts w:hint="eastAsia" w:hAnsi="宋体" w:cs="宋体"/>
          <w:b/>
          <w:color w:val="000000"/>
          <w:szCs w:val="22"/>
        </w:rPr>
        <w:t>供应商存在下列情况之一的，磋商响应文件按无效处理：</w:t>
      </w:r>
    </w:p>
    <w:p w14:paraId="0DB84D31">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1）磋商响应文件未按磋商文件要求签署或CA电子签章的；</w:t>
      </w:r>
    </w:p>
    <w:p w14:paraId="7275FFB4">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2）不具备磋商文件中规定的资格要求的；</w:t>
      </w:r>
    </w:p>
    <w:p w14:paraId="33DF915B">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3）最终报价超过磋商文件中规定的预算金额或者最高限价的；</w:t>
      </w:r>
    </w:p>
    <w:p w14:paraId="22D8185E">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4）对关键条文的偏离、保留或反对，例如关于付款方式、完工期（服务期）、免费质保期、适用法律法规、标准、税费等其他内容；</w:t>
      </w:r>
    </w:p>
    <w:p w14:paraId="572B8C7D">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5）存在串标或弄虚作假情况的；</w:t>
      </w:r>
    </w:p>
    <w:p w14:paraId="3CB9760C">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6）参与本项目的不同供应商单位负责人为同一人或者存在直接控股、管理关系的；</w:t>
      </w:r>
    </w:p>
    <w:p w14:paraId="31F26DA5">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7）在竞争性磋商文件未做任何调整的情况下，参与磋商的供应商最终报价超过其磋商响应文件中报价的；</w:t>
      </w:r>
    </w:p>
    <w:p w14:paraId="3C653120">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8）未在规定时间提交最终报价的；</w:t>
      </w:r>
    </w:p>
    <w:p w14:paraId="111A7ED5">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9）法律、法规和磋商文件规定的其他无效情形（或出现重大偏差）。</w:t>
      </w:r>
    </w:p>
    <w:p w14:paraId="40805B90">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2.5、▲</w:t>
      </w:r>
      <w:r>
        <w:rPr>
          <w:rFonts w:hint="eastAsia" w:hAnsi="宋体" w:cs="宋体"/>
          <w:b/>
          <w:color w:val="000000"/>
          <w:szCs w:val="22"/>
        </w:rPr>
        <w:t>磋商小组发现磋商响应文件有下列情形之一的属于重大偏差(磋商小组按少数服从多数原则认定),按照无效投标处理</w:t>
      </w:r>
      <w:r>
        <w:rPr>
          <w:rFonts w:hint="eastAsia" w:hAnsi="宋体" w:cs="宋体"/>
          <w:color w:val="000000"/>
          <w:szCs w:val="22"/>
        </w:rPr>
        <w:t>：</w:t>
      </w:r>
    </w:p>
    <w:p w14:paraId="17458745">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1）未按磋商文件要求编制或字迹模糊、辨认不清的磋商响应文件；</w:t>
      </w:r>
    </w:p>
    <w:p w14:paraId="61632161">
      <w:pPr>
        <w:pStyle w:val="15"/>
        <w:adjustRightInd w:val="0"/>
        <w:snapToGrid w:val="0"/>
        <w:spacing w:line="360" w:lineRule="auto"/>
        <w:ind w:firstLine="442" w:firstLineChars="200"/>
        <w:rPr>
          <w:rFonts w:hAnsi="宋体" w:cs="宋体"/>
          <w:b/>
          <w:color w:val="000000"/>
          <w:szCs w:val="22"/>
        </w:rPr>
      </w:pPr>
      <w:r>
        <w:rPr>
          <w:rFonts w:hint="eastAsia" w:hAnsi="宋体" w:cs="宋体"/>
          <w:b/>
          <w:color w:val="000000"/>
          <w:szCs w:val="22"/>
        </w:rPr>
        <w:t>2）除2.4条款以外，出现其它明显不符合采购要求的磋商响应文件；</w:t>
      </w:r>
    </w:p>
    <w:p w14:paraId="330472BC">
      <w:pPr>
        <w:pStyle w:val="15"/>
        <w:adjustRightInd w:val="0"/>
        <w:snapToGrid w:val="0"/>
        <w:spacing w:line="360" w:lineRule="auto"/>
        <w:ind w:firstLine="442" w:firstLineChars="200"/>
        <w:rPr>
          <w:rFonts w:hAnsi="宋体" w:cs="宋体"/>
          <w:color w:val="000000"/>
          <w:szCs w:val="22"/>
        </w:rPr>
      </w:pPr>
      <w:r>
        <w:rPr>
          <w:rFonts w:hint="eastAsia" w:hAnsi="宋体" w:cs="宋体"/>
          <w:b/>
          <w:color w:val="000000"/>
          <w:szCs w:val="22"/>
        </w:rPr>
        <w:t>3）除2.4条款以外，出现其它不符合磋商文件中规定的实质性要求的磋商响应文件，是否为偏离实质性要求由磋商小组认定。</w:t>
      </w:r>
    </w:p>
    <w:p w14:paraId="4CB270BC">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2.6、▲</w:t>
      </w:r>
      <w:r>
        <w:rPr>
          <w:rFonts w:hint="eastAsia" w:hAnsi="宋体" w:cs="宋体"/>
          <w:b/>
          <w:color w:val="000000"/>
          <w:szCs w:val="22"/>
        </w:rPr>
        <w:t>磋商小组认为供应商的最终报价明显低于其他有效供应商的最终报价，有可能影响采购质量或者不能诚信履约的，应当要求其在合理的时间内提供书面说明，必要时提交相关证明材料；供应商不能证明其报价合理性的，磋商小组应当将其作为无效投标处理</w:t>
      </w:r>
      <w:r>
        <w:rPr>
          <w:rFonts w:hint="eastAsia" w:hAnsi="宋体" w:cs="宋体"/>
          <w:color w:val="000000"/>
          <w:szCs w:val="22"/>
        </w:rPr>
        <w:t>。</w:t>
      </w:r>
    </w:p>
    <w:p w14:paraId="749BBF59">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2.7、磋商小组在评标中，不得改变磋商文件中规定的评标标准、方法和中标条件。</w:t>
      </w:r>
    </w:p>
    <w:p w14:paraId="1608BE7C">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2.8、评标时如遇到磋商文件未规定的特殊情况，由磋商小组按少数服从多数原则集体决定处理。</w:t>
      </w:r>
    </w:p>
    <w:p w14:paraId="688045FB">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2.9、磋商小组对未中标的供应商不作解释。同时根据政府采购法实施条例第四十条规定，本项目不对供应商公布详细的评审情况，不公布具体评标细则中小项得分。</w:t>
      </w:r>
    </w:p>
    <w:p w14:paraId="1C098B19">
      <w:pPr>
        <w:pStyle w:val="15"/>
        <w:adjustRightInd w:val="0"/>
        <w:snapToGrid w:val="0"/>
        <w:spacing w:line="360" w:lineRule="auto"/>
        <w:ind w:firstLine="450"/>
        <w:rPr>
          <w:rFonts w:hAnsi="宋体" w:cs="宋体"/>
          <w:color w:val="000000"/>
          <w:szCs w:val="22"/>
        </w:rPr>
      </w:pPr>
      <w:r>
        <w:rPr>
          <w:rFonts w:hint="eastAsia" w:hAnsi="宋体" w:cs="宋体"/>
          <w:color w:val="000000"/>
          <w:szCs w:val="22"/>
        </w:rPr>
        <w:t>3、磋商响应文件的澄清</w:t>
      </w:r>
    </w:p>
    <w:p w14:paraId="3529FA8D">
      <w:pPr>
        <w:adjustRightInd w:val="0"/>
        <w:snapToGrid w:val="0"/>
        <w:spacing w:line="360" w:lineRule="auto"/>
        <w:ind w:firstLine="440" w:firstLineChars="200"/>
        <w:rPr>
          <w:rFonts w:ascii="宋体" w:hAnsi="宋体" w:cs="宋体"/>
          <w:color w:val="000000"/>
        </w:rPr>
      </w:pPr>
      <w:r>
        <w:rPr>
          <w:rFonts w:hint="eastAsia" w:ascii="宋体" w:hAnsi="宋体" w:cs="宋体"/>
          <w:color w:val="000000"/>
        </w:rPr>
        <w:t>3.1、为有利于对磋商响应文件的比较和评议，必要时磋商小组可要求投标供应商对磋商响应文件相关事宜进行澄清。磋商小组将通过“政府采购云平台”在线询标的形式要求投标供应商在规定的时间内作出必要的澄清、说明，供投标供应商澄清、说明时间不少于30分钟。</w:t>
      </w:r>
    </w:p>
    <w:p w14:paraId="267DBD1B">
      <w:pPr>
        <w:adjustRightInd w:val="0"/>
        <w:snapToGrid w:val="0"/>
        <w:spacing w:line="360" w:lineRule="auto"/>
        <w:ind w:firstLine="440" w:firstLineChars="200"/>
        <w:rPr>
          <w:rFonts w:ascii="宋体" w:hAnsi="宋体" w:cs="宋体"/>
          <w:color w:val="000000"/>
        </w:rPr>
      </w:pPr>
      <w:r>
        <w:rPr>
          <w:rFonts w:hint="eastAsia" w:ascii="宋体" w:hAnsi="宋体" w:cs="宋体"/>
          <w:color w:val="000000"/>
        </w:rPr>
        <w:t>3.2、投标供应商的澄清、说明应当通过“政府采购云平台”在线答复形式提交。投标供应商的澄清、说明不得超出磋商响应文件的范围或者改变磋商响应文件的实质性内容。</w:t>
      </w:r>
    </w:p>
    <w:p w14:paraId="40CC6C08">
      <w:pPr>
        <w:pStyle w:val="15"/>
        <w:adjustRightInd w:val="0"/>
        <w:snapToGrid w:val="0"/>
        <w:spacing w:line="360" w:lineRule="auto"/>
        <w:ind w:firstLine="440" w:firstLineChars="200"/>
        <w:rPr>
          <w:rFonts w:hAnsi="宋体" w:cs="宋体"/>
          <w:color w:val="000000"/>
          <w:szCs w:val="22"/>
        </w:rPr>
      </w:pPr>
      <w:r>
        <w:rPr>
          <w:rFonts w:hint="eastAsia" w:hAnsi="宋体" w:cs="宋体"/>
          <w:color w:val="000000"/>
          <w:szCs w:val="22"/>
        </w:rPr>
        <w:t>4、响应文件递交截止时或评审过程中有效投标供应商不足三家的，不予开标或评标，符合《财政部关于政府采购竞争性磋商采购方式管理暂行办法有关问题的补充通知》（财库【2015】124号文件）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D5943B9">
      <w:pPr>
        <w:snapToGrid w:val="0"/>
        <w:spacing w:line="360" w:lineRule="auto"/>
        <w:rPr>
          <w:rFonts w:ascii="宋体" w:hAnsi="宋体" w:cs="宋体"/>
          <w:color w:val="000000"/>
        </w:rPr>
      </w:pPr>
      <w:r>
        <w:rPr>
          <w:rFonts w:hint="eastAsia" w:ascii="宋体" w:hAnsi="宋体" w:cs="宋体"/>
          <w:color w:val="000000"/>
        </w:rPr>
        <w:t xml:space="preserve">    5、评审原则</w:t>
      </w:r>
    </w:p>
    <w:p w14:paraId="648801B9">
      <w:pPr>
        <w:pStyle w:val="15"/>
        <w:adjustRightInd w:val="0"/>
        <w:snapToGrid w:val="0"/>
        <w:spacing w:line="360" w:lineRule="auto"/>
        <w:ind w:firstLine="450"/>
        <w:rPr>
          <w:rFonts w:hAnsi="宋体" w:cs="宋体"/>
          <w:color w:val="000000"/>
          <w:szCs w:val="22"/>
        </w:rPr>
      </w:pPr>
      <w:r>
        <w:rPr>
          <w:rFonts w:hint="eastAsia" w:hAnsi="宋体" w:cs="宋体"/>
          <w:color w:val="000000"/>
          <w:szCs w:val="22"/>
        </w:rPr>
        <w:t>磋商小组按照竞争性磋商文件的要求和条件对磋商响应文件进行评估，综合比较与评价。</w:t>
      </w:r>
    </w:p>
    <w:p w14:paraId="50B6F73D">
      <w:pPr>
        <w:pStyle w:val="15"/>
        <w:adjustRightInd w:val="0"/>
        <w:snapToGrid w:val="0"/>
        <w:spacing w:line="360" w:lineRule="auto"/>
        <w:ind w:firstLine="450"/>
        <w:rPr>
          <w:rFonts w:hAnsi="宋体" w:cs="宋体"/>
          <w:color w:val="000000"/>
          <w:szCs w:val="22"/>
        </w:rPr>
      </w:pPr>
      <w:r>
        <w:rPr>
          <w:rFonts w:hint="eastAsia" w:hAnsi="宋体" w:cs="宋体"/>
          <w:color w:val="000000"/>
          <w:szCs w:val="22"/>
        </w:rPr>
        <w:t>5.1、磋商小组负责审查磋商响应文件是否符合竞争性磋商文件的要求，并作出评价。磋商小组认为必要时，可向供应商进行询标澄清。</w:t>
      </w:r>
    </w:p>
    <w:p w14:paraId="1637C19E">
      <w:pPr>
        <w:pStyle w:val="15"/>
        <w:adjustRightInd w:val="0"/>
        <w:snapToGrid w:val="0"/>
        <w:spacing w:line="360" w:lineRule="auto"/>
        <w:ind w:firstLine="450"/>
        <w:rPr>
          <w:rFonts w:hAnsi="宋体" w:cs="宋体"/>
          <w:color w:val="000000"/>
          <w:szCs w:val="22"/>
        </w:rPr>
      </w:pPr>
      <w:r>
        <w:rPr>
          <w:rFonts w:hint="eastAsia" w:hAnsi="宋体" w:cs="宋体"/>
          <w:color w:val="000000"/>
          <w:szCs w:val="22"/>
        </w:rPr>
        <w:t>5.2、磋商小组将综合分析合格供应商的各项指标，而不是以单项指标的优劣评选出成交的供应商。</w:t>
      </w:r>
    </w:p>
    <w:p w14:paraId="740B97CC">
      <w:pPr>
        <w:pStyle w:val="15"/>
        <w:adjustRightInd w:val="0"/>
        <w:snapToGrid w:val="0"/>
        <w:spacing w:line="360" w:lineRule="auto"/>
        <w:ind w:firstLine="450"/>
        <w:rPr>
          <w:rFonts w:hAnsi="宋体" w:cs="宋体"/>
          <w:color w:val="000000"/>
          <w:szCs w:val="22"/>
        </w:rPr>
      </w:pPr>
      <w:r>
        <w:rPr>
          <w:rFonts w:hint="eastAsia" w:hAnsi="宋体" w:cs="宋体"/>
          <w:color w:val="000000"/>
          <w:szCs w:val="22"/>
        </w:rPr>
        <w:t>5.3、磋商小组对合格供应商的磋商响应文件和最终报价进行综合评定。如竞争性磋商文件所列采购内容明确不需要修改的或供应商磋商响应文件清楚明确不需要澄清的，可以不进行磋商环节，直接要求供应商进行最终报价，进行综合评分。在竞争性磋商文件未做任何调整的情况下，参与磋商的供应商如有出现最终磋商报价超过其磋商响应文件中报价的，则该供应商的报价按无效处理。</w:t>
      </w:r>
    </w:p>
    <w:p w14:paraId="7BCB5F4C">
      <w:pPr>
        <w:snapToGrid w:val="0"/>
        <w:spacing w:line="360" w:lineRule="auto"/>
        <w:ind w:firstLine="431" w:firstLineChars="196"/>
        <w:rPr>
          <w:rFonts w:ascii="宋体" w:hAnsi="宋体" w:cs="宋体"/>
          <w:color w:val="000000"/>
        </w:rPr>
      </w:pPr>
      <w:r>
        <w:rPr>
          <w:rFonts w:hint="eastAsia" w:ascii="宋体" w:hAnsi="宋体" w:cs="宋体"/>
          <w:color w:val="000000"/>
        </w:rPr>
        <w:t>5.4、本次评审采用综合评分法，磋商小组根据竞争性磋商文件制定的评审办法对供应商进行评审排序，将综合得分第一的供应商向采购人推荐其为成交供应商。</w:t>
      </w:r>
    </w:p>
    <w:p w14:paraId="4413DFEB">
      <w:pPr>
        <w:snapToGrid w:val="0"/>
        <w:spacing w:line="360" w:lineRule="auto"/>
        <w:ind w:firstLine="431" w:firstLineChars="196"/>
        <w:rPr>
          <w:rFonts w:ascii="宋体" w:hAnsi="宋体" w:cs="宋体"/>
          <w:color w:val="000000"/>
        </w:rPr>
      </w:pPr>
      <w:r>
        <w:rPr>
          <w:rFonts w:hint="eastAsia" w:ascii="宋体" w:hAnsi="宋体" w:cs="宋体"/>
          <w:color w:val="000000"/>
        </w:rPr>
        <w:t>6、有下列情形之一的，视为供应商相互串通投标：</w:t>
      </w:r>
    </w:p>
    <w:p w14:paraId="49821735">
      <w:pPr>
        <w:snapToGrid w:val="0"/>
        <w:spacing w:line="360" w:lineRule="auto"/>
        <w:ind w:firstLine="431" w:firstLineChars="196"/>
        <w:rPr>
          <w:rFonts w:ascii="宋体" w:hAnsi="宋体" w:cs="宋体"/>
          <w:color w:val="000000"/>
        </w:rPr>
      </w:pPr>
      <w:r>
        <w:rPr>
          <w:rFonts w:hint="eastAsia" w:ascii="宋体" w:hAnsi="宋体" w:cs="宋体"/>
          <w:color w:val="000000"/>
        </w:rPr>
        <w:t>6.1、不同供应商的磋商响应文件由同一单位或者个人编制；</w:t>
      </w:r>
    </w:p>
    <w:p w14:paraId="1EC1281E">
      <w:pPr>
        <w:snapToGrid w:val="0"/>
        <w:spacing w:line="360" w:lineRule="auto"/>
        <w:ind w:firstLine="431" w:firstLineChars="196"/>
        <w:rPr>
          <w:rFonts w:ascii="宋体" w:hAnsi="宋体" w:cs="宋体"/>
          <w:color w:val="000000"/>
        </w:rPr>
      </w:pPr>
      <w:r>
        <w:rPr>
          <w:rFonts w:hint="eastAsia" w:ascii="宋体" w:hAnsi="宋体" w:cs="宋体"/>
          <w:color w:val="000000"/>
        </w:rPr>
        <w:t>6.2、不同供应商委托同一单位或者个人办理投标事宜；</w:t>
      </w:r>
    </w:p>
    <w:p w14:paraId="732CD4E5">
      <w:pPr>
        <w:snapToGrid w:val="0"/>
        <w:spacing w:line="360" w:lineRule="auto"/>
        <w:ind w:firstLine="431" w:firstLineChars="196"/>
        <w:rPr>
          <w:rFonts w:ascii="宋体" w:hAnsi="宋体" w:cs="宋体"/>
          <w:color w:val="000000"/>
        </w:rPr>
      </w:pPr>
      <w:r>
        <w:rPr>
          <w:rFonts w:hint="eastAsia" w:ascii="宋体" w:hAnsi="宋体" w:cs="宋体"/>
          <w:color w:val="000000"/>
        </w:rPr>
        <w:t>6.3、不同供应商的磋商响应文件载明的项目管理成员为同一人；</w:t>
      </w:r>
    </w:p>
    <w:p w14:paraId="19F058C5">
      <w:pPr>
        <w:snapToGrid w:val="0"/>
        <w:spacing w:line="360" w:lineRule="auto"/>
        <w:ind w:firstLine="431" w:firstLineChars="196"/>
        <w:rPr>
          <w:rFonts w:ascii="宋体" w:hAnsi="宋体" w:cs="宋体"/>
          <w:color w:val="000000"/>
        </w:rPr>
      </w:pPr>
      <w:r>
        <w:rPr>
          <w:rFonts w:hint="eastAsia" w:ascii="宋体" w:hAnsi="宋体" w:cs="宋体"/>
          <w:color w:val="000000"/>
        </w:rPr>
        <w:t>6.4、不同供应商的磋商响应文件异常一致或者投标报价呈规律性差异；</w:t>
      </w:r>
    </w:p>
    <w:p w14:paraId="348A2F8B">
      <w:pPr>
        <w:snapToGrid w:val="0"/>
        <w:spacing w:line="360" w:lineRule="auto"/>
        <w:ind w:firstLine="431" w:firstLineChars="196"/>
        <w:rPr>
          <w:rFonts w:ascii="宋体" w:hAnsi="宋体" w:cs="宋体"/>
          <w:color w:val="000000"/>
        </w:rPr>
      </w:pPr>
      <w:r>
        <w:rPr>
          <w:rFonts w:hint="eastAsia" w:ascii="宋体" w:hAnsi="宋体" w:cs="宋体"/>
          <w:color w:val="000000"/>
        </w:rPr>
        <w:t>6.5、不同供应商的磋商响应文件相互混装；</w:t>
      </w:r>
    </w:p>
    <w:p w14:paraId="344EC741">
      <w:pPr>
        <w:snapToGrid w:val="0"/>
        <w:spacing w:line="360" w:lineRule="auto"/>
        <w:ind w:firstLine="431" w:firstLineChars="196"/>
        <w:rPr>
          <w:rFonts w:ascii="宋体" w:hAnsi="宋体" w:cs="宋体"/>
          <w:color w:val="000000"/>
        </w:rPr>
      </w:pPr>
      <w:r>
        <w:rPr>
          <w:rFonts w:hint="eastAsia" w:ascii="宋体" w:hAnsi="宋体" w:cs="宋体"/>
          <w:color w:val="000000"/>
        </w:rPr>
        <w:t>7、经磋商小组认定供应商进行串通投标的，磋商小组可以对相关供应商做出无效投标处理，并上报政府采购管理部门进行进一步处理。</w:t>
      </w:r>
    </w:p>
    <w:p w14:paraId="4D3EE7B2">
      <w:pPr>
        <w:snapToGrid w:val="0"/>
        <w:spacing w:line="380" w:lineRule="exact"/>
        <w:ind w:firstLine="433" w:firstLineChars="196"/>
        <w:rPr>
          <w:rFonts w:ascii="宋体" w:hAnsi="宋体" w:cs="宋体"/>
          <w:b/>
          <w:color w:val="000000"/>
        </w:rPr>
      </w:pPr>
      <w:r>
        <w:rPr>
          <w:rFonts w:hint="eastAsia" w:ascii="宋体" w:hAnsi="宋体" w:cs="宋体"/>
          <w:b/>
          <w:color w:val="000000"/>
        </w:rPr>
        <w:t>8、可中止电子交易活动的情形</w:t>
      </w:r>
    </w:p>
    <w:p w14:paraId="014B84C4">
      <w:pPr>
        <w:snapToGrid w:val="0"/>
        <w:spacing w:line="380" w:lineRule="exact"/>
        <w:ind w:firstLine="433" w:firstLineChars="196"/>
        <w:rPr>
          <w:rFonts w:ascii="宋体" w:hAnsi="宋体" w:cs="宋体"/>
          <w:b/>
          <w:color w:val="000000"/>
        </w:rPr>
      </w:pPr>
      <w:r>
        <w:rPr>
          <w:rFonts w:hint="eastAsia" w:ascii="宋体" w:hAnsi="宋体" w:cs="宋体"/>
          <w:b/>
          <w:color w:val="000000"/>
        </w:rPr>
        <w:t>采购过程中出现以下情形，导致电子交易平台无法正常运行，或者无法保证电子交易的公平、公正和安全时，采购组织机构可中止电子交易活动：</w:t>
      </w:r>
    </w:p>
    <w:p w14:paraId="4930F24C">
      <w:pPr>
        <w:snapToGrid w:val="0"/>
        <w:spacing w:line="380" w:lineRule="exact"/>
        <w:ind w:firstLine="433" w:firstLineChars="196"/>
        <w:rPr>
          <w:rFonts w:ascii="宋体" w:hAnsi="宋体" w:cs="宋体"/>
          <w:b/>
          <w:color w:val="000000"/>
        </w:rPr>
      </w:pPr>
      <w:r>
        <w:rPr>
          <w:rFonts w:hint="eastAsia" w:ascii="宋体" w:hAnsi="宋体" w:cs="宋体"/>
          <w:b/>
          <w:color w:val="000000"/>
        </w:rPr>
        <w:t>1）电子交易平台发生故障而无法登录访问的；</w:t>
      </w:r>
    </w:p>
    <w:p w14:paraId="75CC360F">
      <w:pPr>
        <w:snapToGrid w:val="0"/>
        <w:spacing w:line="380" w:lineRule="exact"/>
        <w:ind w:firstLine="433" w:firstLineChars="196"/>
        <w:rPr>
          <w:rFonts w:ascii="宋体" w:hAnsi="宋体" w:cs="宋体"/>
          <w:b/>
          <w:color w:val="000000"/>
        </w:rPr>
      </w:pPr>
      <w:r>
        <w:rPr>
          <w:rFonts w:hint="eastAsia" w:ascii="宋体" w:hAnsi="宋体" w:cs="宋体"/>
          <w:b/>
          <w:color w:val="000000"/>
        </w:rPr>
        <w:t>2）电子交易平台应用或数据库出现错误，不能进行正常操作的；</w:t>
      </w:r>
    </w:p>
    <w:p w14:paraId="3642CAB2">
      <w:pPr>
        <w:snapToGrid w:val="0"/>
        <w:spacing w:line="380" w:lineRule="exact"/>
        <w:ind w:firstLine="433" w:firstLineChars="196"/>
        <w:rPr>
          <w:rFonts w:ascii="宋体" w:hAnsi="宋体" w:cs="宋体"/>
          <w:b/>
          <w:color w:val="000000"/>
        </w:rPr>
      </w:pPr>
      <w:r>
        <w:rPr>
          <w:rFonts w:hint="eastAsia" w:ascii="宋体" w:hAnsi="宋体" w:cs="宋体"/>
          <w:b/>
          <w:color w:val="000000"/>
        </w:rPr>
        <w:t>3）电子交易平台发现严重安全漏洞，有潜在泄密危险的；</w:t>
      </w:r>
    </w:p>
    <w:p w14:paraId="3B66E236">
      <w:pPr>
        <w:snapToGrid w:val="0"/>
        <w:spacing w:line="380" w:lineRule="exact"/>
        <w:ind w:firstLine="433" w:firstLineChars="196"/>
        <w:rPr>
          <w:rFonts w:ascii="宋体" w:hAnsi="宋体" w:cs="宋体"/>
          <w:b/>
          <w:color w:val="000000"/>
        </w:rPr>
      </w:pPr>
      <w:r>
        <w:rPr>
          <w:rFonts w:hint="eastAsia" w:ascii="宋体" w:hAnsi="宋体" w:cs="宋体"/>
          <w:b/>
          <w:color w:val="000000"/>
        </w:rPr>
        <w:t>4）病毒发作导致不能进行正常操作的；</w:t>
      </w:r>
    </w:p>
    <w:p w14:paraId="7500F965">
      <w:pPr>
        <w:snapToGrid w:val="0"/>
        <w:spacing w:line="380" w:lineRule="exact"/>
        <w:ind w:firstLine="433" w:firstLineChars="196"/>
        <w:rPr>
          <w:rFonts w:ascii="宋体" w:hAnsi="宋体" w:cs="宋体"/>
          <w:b/>
          <w:color w:val="000000"/>
        </w:rPr>
      </w:pPr>
      <w:r>
        <w:rPr>
          <w:rFonts w:hint="eastAsia" w:ascii="宋体" w:hAnsi="宋体" w:cs="宋体"/>
          <w:b/>
          <w:color w:val="000000"/>
        </w:rPr>
        <w:t>5）其他无法保证电子交易的公平、公正和安全的情况。</w:t>
      </w:r>
    </w:p>
    <w:p w14:paraId="416C9858">
      <w:pPr>
        <w:snapToGrid w:val="0"/>
        <w:spacing w:line="380" w:lineRule="exact"/>
        <w:ind w:firstLine="433" w:firstLineChars="196"/>
        <w:rPr>
          <w:rFonts w:ascii="宋体" w:hAnsi="宋体" w:cs="宋体"/>
          <w:b/>
          <w:color w:val="000000"/>
        </w:rPr>
      </w:pPr>
      <w:r>
        <w:rPr>
          <w:rFonts w:hint="eastAsia" w:ascii="宋体" w:hAnsi="宋体" w:cs="宋体"/>
          <w:b/>
          <w:color w:val="000000"/>
        </w:rPr>
        <w:t>出现前款规定情形，不影响采购公平、公正性的，采购组织机构可以待上述情形消除后继续组织电子交易活动；影响或可能影响采购公平、公正性的，应当重新采购。</w:t>
      </w:r>
    </w:p>
    <w:p w14:paraId="7E1D3D29">
      <w:pPr>
        <w:pStyle w:val="3"/>
        <w:numPr>
          <w:ilvl w:val="0"/>
          <w:numId w:val="0"/>
        </w:numPr>
        <w:spacing w:line="380" w:lineRule="exact"/>
        <w:ind w:left="851" w:hanging="851"/>
        <w:rPr>
          <w:rFonts w:ascii="宋体" w:hAnsi="宋体" w:cs="宋体"/>
          <w:bCs/>
          <w:color w:val="000000"/>
          <w:sz w:val="22"/>
        </w:rPr>
      </w:pPr>
      <w:bookmarkStart w:id="59" w:name="_Toc23759"/>
      <w:bookmarkStart w:id="60" w:name="_Toc45140198"/>
      <w:r>
        <w:rPr>
          <w:rFonts w:hint="eastAsia" w:ascii="宋体" w:hAnsi="宋体" w:cs="宋体"/>
          <w:bCs/>
          <w:color w:val="000000"/>
          <w:sz w:val="22"/>
        </w:rPr>
        <w:t>六、授予合同</w:t>
      </w:r>
      <w:bookmarkEnd w:id="59"/>
      <w:bookmarkEnd w:id="60"/>
    </w:p>
    <w:p w14:paraId="42C03BE4">
      <w:pPr>
        <w:pStyle w:val="15"/>
        <w:adjustRightInd w:val="0"/>
        <w:snapToGrid w:val="0"/>
        <w:spacing w:line="380" w:lineRule="exact"/>
        <w:ind w:firstLine="440" w:firstLineChars="200"/>
        <w:rPr>
          <w:rFonts w:hAnsi="宋体" w:cs="宋体"/>
          <w:color w:val="000000"/>
          <w:szCs w:val="22"/>
        </w:rPr>
      </w:pPr>
      <w:r>
        <w:rPr>
          <w:rFonts w:hint="eastAsia" w:hAnsi="宋体" w:cs="宋体"/>
          <w:color w:val="000000"/>
          <w:szCs w:val="22"/>
        </w:rPr>
        <w:t>1、决标</w:t>
      </w:r>
    </w:p>
    <w:p w14:paraId="63C6662E">
      <w:pPr>
        <w:pStyle w:val="15"/>
        <w:adjustRightInd w:val="0"/>
        <w:snapToGrid w:val="0"/>
        <w:spacing w:line="380" w:lineRule="exact"/>
        <w:rPr>
          <w:rFonts w:hAnsi="宋体" w:cs="宋体"/>
          <w:b/>
          <w:color w:val="000000"/>
          <w:szCs w:val="22"/>
        </w:rPr>
      </w:pPr>
      <w:r>
        <w:rPr>
          <w:rFonts w:hint="eastAsia" w:hAnsi="宋体" w:cs="宋体"/>
          <w:color w:val="000000"/>
          <w:szCs w:val="22"/>
        </w:rPr>
        <w:t>磋商结束后，磋商小组按照竞争性磋商文件确定的评审办法，确定成交供应商。</w:t>
      </w:r>
    </w:p>
    <w:p w14:paraId="4D4AD012">
      <w:pPr>
        <w:pStyle w:val="15"/>
        <w:adjustRightInd w:val="0"/>
        <w:snapToGrid w:val="0"/>
        <w:spacing w:line="380" w:lineRule="exact"/>
        <w:rPr>
          <w:rFonts w:hAnsi="宋体" w:cs="宋体"/>
          <w:color w:val="000000"/>
          <w:szCs w:val="22"/>
        </w:rPr>
      </w:pPr>
      <w:r>
        <w:rPr>
          <w:rFonts w:hint="eastAsia" w:hAnsi="宋体" w:cs="宋体"/>
          <w:color w:val="000000"/>
          <w:szCs w:val="22"/>
        </w:rPr>
        <w:t xml:space="preserve">    2、成交通知书</w:t>
      </w:r>
    </w:p>
    <w:p w14:paraId="4A1D28D1">
      <w:pPr>
        <w:pStyle w:val="11"/>
        <w:adjustRightInd w:val="0"/>
        <w:snapToGrid w:val="0"/>
        <w:spacing w:line="380" w:lineRule="exact"/>
        <w:ind w:firstLine="440" w:firstLineChars="200"/>
        <w:rPr>
          <w:rFonts w:ascii="宋体" w:hAnsi="宋体" w:eastAsia="宋体" w:cs="宋体"/>
          <w:color w:val="000000"/>
          <w:sz w:val="22"/>
        </w:rPr>
      </w:pPr>
      <w:r>
        <w:rPr>
          <w:rFonts w:hint="eastAsia" w:ascii="宋体" w:hAnsi="宋体" w:eastAsia="宋体" w:cs="宋体"/>
          <w:color w:val="000000"/>
          <w:sz w:val="22"/>
        </w:rPr>
        <w:t>2.1、评审结束后，采购代理机构在浙江政府采购网公告采购结果，同时发出成交通知书，成交公告期限为1个工作日。</w:t>
      </w:r>
    </w:p>
    <w:p w14:paraId="5BB3B171">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2.2、成交通知书对采购人和成交供应商具有法律约束力。成交通知书发出后，采购人改变成交结果或者成交供应商放弃成交资格的，应当承担法律责任。</w:t>
      </w:r>
    </w:p>
    <w:p w14:paraId="17AB1BE3">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2.3、成交无效</w:t>
      </w:r>
    </w:p>
    <w:p w14:paraId="1A599328">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1）发现成交供应商资格无效或成交供应商放弃成交或拒绝与采购人签订合同的,按相关规定执行。</w:t>
      </w:r>
    </w:p>
    <w:p w14:paraId="796F2824">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2）有《中华人民共和国政府采购法实施条例》第七十一条、第七十二条、第七十三条、第七十四条规定的违法行为之一，由政府采购监管部门依法处理。</w:t>
      </w:r>
    </w:p>
    <w:p w14:paraId="3863D946">
      <w:pPr>
        <w:adjustRightInd w:val="0"/>
        <w:snapToGrid w:val="0"/>
        <w:spacing w:line="380" w:lineRule="exact"/>
        <w:rPr>
          <w:rFonts w:ascii="宋体" w:hAnsi="宋体" w:cs="宋体"/>
          <w:color w:val="000000"/>
        </w:rPr>
      </w:pPr>
      <w:r>
        <w:rPr>
          <w:rFonts w:hint="eastAsia" w:ascii="宋体" w:hAnsi="宋体" w:cs="宋体"/>
          <w:color w:val="000000"/>
        </w:rPr>
        <w:t xml:space="preserve">    3、磋商小组对未成交的供应商不作落标原因解释。</w:t>
      </w:r>
    </w:p>
    <w:p w14:paraId="6993375B">
      <w:pPr>
        <w:pStyle w:val="15"/>
        <w:adjustRightInd w:val="0"/>
        <w:snapToGrid w:val="0"/>
        <w:spacing w:line="380" w:lineRule="exact"/>
        <w:rPr>
          <w:rFonts w:hAnsi="宋体" w:cs="宋体"/>
          <w:color w:val="000000"/>
          <w:szCs w:val="22"/>
        </w:rPr>
      </w:pPr>
      <w:r>
        <w:rPr>
          <w:rFonts w:hint="eastAsia" w:hAnsi="宋体" w:cs="宋体"/>
          <w:color w:val="000000"/>
          <w:szCs w:val="22"/>
        </w:rPr>
        <w:t xml:space="preserve">    4、签订合同</w:t>
      </w:r>
    </w:p>
    <w:p w14:paraId="4FBF9199">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4.1、成交供应商须主动联系采购人或采购代理机构领取成交通知书。成交供应商应当在成交通知书发出之日起30日内与采购人签订合同。成交供应商未经采购人许可，在规定时间内未到采购人处与采购人签订合同，则视为拒签合同。</w:t>
      </w:r>
    </w:p>
    <w:p w14:paraId="034177DF">
      <w:pPr>
        <w:adjustRightInd w:val="0"/>
        <w:snapToGrid w:val="0"/>
        <w:spacing w:line="380" w:lineRule="exact"/>
        <w:ind w:firstLine="440" w:firstLineChars="200"/>
        <w:rPr>
          <w:rFonts w:ascii="宋体" w:hAnsi="宋体" w:cs="宋体"/>
          <w:color w:val="000000"/>
        </w:rPr>
      </w:pPr>
      <w:r>
        <w:rPr>
          <w:rFonts w:hint="eastAsia" w:ascii="宋体" w:hAnsi="宋体" w:cs="宋体"/>
          <w:color w:val="000000"/>
        </w:rPr>
        <w:t>4.2、磋商文件、成交供应商的磋商响应文件及投标修改文件、评标过程中有关澄清文件及经双方签字的询标纪要（承诺）和成交通知书均作为合同附件。</w:t>
      </w:r>
    </w:p>
    <w:p w14:paraId="01A05EF6">
      <w:pPr>
        <w:pStyle w:val="15"/>
        <w:adjustRightInd w:val="0"/>
        <w:snapToGrid w:val="0"/>
        <w:spacing w:line="380" w:lineRule="exact"/>
        <w:rPr>
          <w:rFonts w:hAnsi="宋体" w:cs="宋体"/>
          <w:color w:val="000000"/>
          <w:szCs w:val="22"/>
        </w:rPr>
      </w:pPr>
      <w:r>
        <w:rPr>
          <w:rFonts w:hint="eastAsia" w:hAnsi="宋体" w:cs="宋体"/>
          <w:color w:val="000000"/>
          <w:szCs w:val="22"/>
        </w:rPr>
        <w:t xml:space="preserve">    4.3、拒签合同的责任</w:t>
      </w:r>
    </w:p>
    <w:p w14:paraId="0067B8A6">
      <w:pPr>
        <w:pStyle w:val="15"/>
        <w:adjustRightInd w:val="0"/>
        <w:snapToGrid w:val="0"/>
        <w:spacing w:line="380" w:lineRule="exact"/>
        <w:rPr>
          <w:rFonts w:hAnsi="宋体" w:cs="宋体"/>
          <w:szCs w:val="22"/>
        </w:rPr>
      </w:pPr>
      <w:r>
        <w:rPr>
          <w:rFonts w:hint="eastAsia" w:hAnsi="宋体" w:cs="宋体"/>
          <w:color w:val="000000"/>
          <w:szCs w:val="22"/>
        </w:rPr>
        <w:t>成交供应商接到成交通知书后，在规定时间内借故否认已经承诺的条件而拒签合同，以违约处理，并</w:t>
      </w:r>
      <w:r>
        <w:rPr>
          <w:rFonts w:hint="eastAsia" w:hAnsi="宋体" w:cs="宋体"/>
          <w:szCs w:val="22"/>
        </w:rPr>
        <w:t>赔偿采购人由此造成的直接经济损失；采购人重新组织采购的，所需费用由原成交供应商承担。</w:t>
      </w:r>
    </w:p>
    <w:p w14:paraId="26236209">
      <w:pPr>
        <w:pStyle w:val="15"/>
        <w:adjustRightInd w:val="0"/>
        <w:snapToGrid w:val="0"/>
        <w:spacing w:line="380" w:lineRule="exact"/>
        <w:rPr>
          <w:rFonts w:hAnsi="宋体" w:cs="宋体"/>
          <w:szCs w:val="22"/>
        </w:rPr>
      </w:pPr>
      <w:r>
        <w:rPr>
          <w:rFonts w:hint="eastAsia" w:hAnsi="宋体" w:cs="宋体"/>
          <w:szCs w:val="22"/>
        </w:rPr>
        <w:t>5、招标代理费</w:t>
      </w:r>
    </w:p>
    <w:p w14:paraId="3674C0A7">
      <w:pPr>
        <w:autoSpaceDE w:val="0"/>
        <w:autoSpaceDN w:val="0"/>
        <w:adjustRightInd w:val="0"/>
        <w:snapToGrid w:val="0"/>
        <w:spacing w:line="380" w:lineRule="exact"/>
        <w:ind w:left="112" w:leftChars="51" w:firstLine="550" w:firstLineChars="250"/>
        <w:textAlignment w:val="bottom"/>
        <w:rPr>
          <w:rFonts w:ascii="宋体" w:hAnsi="宋体"/>
          <w:color w:val="000000"/>
        </w:rPr>
        <w:sectPr>
          <w:footerReference r:id="rId7" w:type="first"/>
          <w:headerReference r:id="rId5" w:type="default"/>
          <w:footerReference r:id="rId6" w:type="default"/>
          <w:pgSz w:w="11907" w:h="16840"/>
          <w:pgMar w:top="1440" w:right="1080" w:bottom="1440" w:left="1080" w:header="720" w:footer="720" w:gutter="0"/>
          <w:cols w:space="720" w:num="1"/>
          <w:titlePg/>
          <w:docGrid w:linePitch="286" w:charSpace="-3831"/>
        </w:sectPr>
      </w:pPr>
      <w:r>
        <w:rPr>
          <w:rFonts w:hint="eastAsia" w:ascii="新宋体" w:hAnsi="新宋体" w:eastAsia="新宋体" w:cs="新宋体"/>
        </w:rPr>
        <w:t>（1）</w:t>
      </w:r>
      <w:r>
        <w:rPr>
          <w:rFonts w:hint="eastAsia" w:ascii="新宋体" w:hAnsi="新宋体" w:eastAsia="新宋体"/>
        </w:rPr>
        <w:t>成交供应商无需支付招标代理费。</w:t>
      </w:r>
      <w:r>
        <w:rPr>
          <w:rFonts w:ascii="宋体" w:hAnsi="宋体"/>
          <w:color w:val="000000"/>
        </w:rPr>
        <w:br w:type="page"/>
      </w:r>
    </w:p>
    <w:p w14:paraId="380F9D36">
      <w:pPr>
        <w:pStyle w:val="52"/>
        <w:spacing w:line="500" w:lineRule="exact"/>
        <w:ind w:firstLine="0" w:firstLineChars="0"/>
        <w:jc w:val="center"/>
        <w:rPr>
          <w:rFonts w:ascii="新宋体" w:hAnsi="新宋体" w:eastAsia="新宋体" w:cs="宋体"/>
          <w:b/>
          <w:sz w:val="24"/>
          <w:szCs w:val="24"/>
        </w:rPr>
      </w:pPr>
      <w:bookmarkStart w:id="61" w:name="_Toc13302"/>
      <w:bookmarkStart w:id="62" w:name="_Toc495955195"/>
      <w:bookmarkStart w:id="63" w:name="_Toc497985017"/>
      <w:bookmarkStart w:id="64" w:name="_Toc30257"/>
      <w:bookmarkStart w:id="65" w:name="_Toc21348"/>
      <w:bookmarkStart w:id="66" w:name="_Toc8508"/>
      <w:r>
        <w:rPr>
          <w:rFonts w:hint="eastAsia" w:ascii="新宋体" w:hAnsi="新宋体" w:eastAsia="新宋体" w:cs="宋体"/>
          <w:b/>
          <w:sz w:val="24"/>
          <w:szCs w:val="24"/>
        </w:rPr>
        <w:t>政府采购活动现场确认声明书</w:t>
      </w:r>
    </w:p>
    <w:p w14:paraId="4A0EF297">
      <w:pPr>
        <w:pStyle w:val="52"/>
        <w:spacing w:line="500" w:lineRule="exact"/>
        <w:ind w:firstLine="0" w:firstLineChars="0"/>
        <w:rPr>
          <w:rFonts w:ascii="新宋体" w:hAnsi="新宋体" w:eastAsia="新宋体" w:cs="宋体"/>
          <w:b/>
          <w:sz w:val="22"/>
          <w:szCs w:val="22"/>
        </w:rPr>
      </w:pPr>
      <w:r>
        <w:rPr>
          <w:rFonts w:hint="eastAsia" w:ascii="新宋体" w:hAnsi="新宋体" w:eastAsia="新宋体" w:cs="宋体"/>
          <w:b/>
          <w:bCs/>
          <w:sz w:val="22"/>
          <w:szCs w:val="22"/>
        </w:rPr>
        <w:t>浙江三凯工程管理有限公司</w:t>
      </w:r>
      <w:r>
        <w:rPr>
          <w:rFonts w:hint="eastAsia" w:ascii="新宋体" w:hAnsi="新宋体" w:eastAsia="新宋体" w:cs="宋体"/>
          <w:b/>
          <w:kern w:val="0"/>
          <w:sz w:val="22"/>
          <w:szCs w:val="22"/>
        </w:rPr>
        <w:t>：</w:t>
      </w:r>
    </w:p>
    <w:p w14:paraId="3A7D59C1">
      <w:pPr>
        <w:pStyle w:val="52"/>
        <w:spacing w:line="480" w:lineRule="exact"/>
        <w:ind w:firstLine="464"/>
        <w:rPr>
          <w:rFonts w:ascii="新宋体" w:hAnsi="新宋体" w:eastAsia="新宋体" w:cs="宋体"/>
          <w:spacing w:val="6"/>
          <w:sz w:val="22"/>
          <w:szCs w:val="22"/>
        </w:rPr>
      </w:pPr>
      <w:r>
        <w:rPr>
          <w:rFonts w:hint="eastAsia" w:ascii="新宋体" w:hAnsi="新宋体" w:eastAsia="新宋体" w:cs="宋体"/>
          <w:spacing w:val="6"/>
          <w:sz w:val="22"/>
          <w:szCs w:val="22"/>
        </w:rPr>
        <w:t>本人经由</w:t>
      </w:r>
      <w:r>
        <w:rPr>
          <w:rFonts w:hint="eastAsia" w:ascii="新宋体" w:hAnsi="新宋体" w:eastAsia="新宋体" w:cs="宋体"/>
          <w:spacing w:val="6"/>
          <w:sz w:val="22"/>
          <w:szCs w:val="22"/>
          <w:u w:val="single"/>
        </w:rPr>
        <w:t xml:space="preserve">                  （单位）</w:t>
      </w:r>
      <w:r>
        <w:rPr>
          <w:rFonts w:hint="eastAsia" w:ascii="新宋体" w:hAnsi="新宋体" w:eastAsia="新宋体" w:cs="宋体"/>
          <w:spacing w:val="6"/>
          <w:sz w:val="22"/>
          <w:szCs w:val="22"/>
        </w:rPr>
        <w:t>负责人</w:t>
      </w:r>
      <w:r>
        <w:rPr>
          <w:rFonts w:hint="eastAsia" w:ascii="新宋体" w:hAnsi="新宋体" w:eastAsia="新宋体" w:cs="宋体"/>
          <w:spacing w:val="6"/>
          <w:sz w:val="22"/>
          <w:szCs w:val="22"/>
          <w:u w:val="single"/>
        </w:rPr>
        <w:t xml:space="preserve">        （姓名）</w:t>
      </w:r>
      <w:r>
        <w:rPr>
          <w:rFonts w:hint="eastAsia" w:ascii="新宋体" w:hAnsi="新宋体" w:eastAsia="新宋体" w:cs="宋体"/>
          <w:spacing w:val="6"/>
          <w:sz w:val="22"/>
          <w:szCs w:val="22"/>
        </w:rPr>
        <w:t>合法授权参加</w:t>
      </w:r>
      <w:r>
        <w:rPr>
          <w:rFonts w:hint="eastAsia" w:ascii="新宋体" w:hAnsi="新宋体" w:eastAsia="新宋体" w:cs="宋体"/>
          <w:spacing w:val="6"/>
          <w:sz w:val="22"/>
          <w:szCs w:val="22"/>
          <w:u w:val="single"/>
        </w:rPr>
        <w:t xml:space="preserve">                  </w:t>
      </w:r>
      <w:r>
        <w:rPr>
          <w:rFonts w:hint="eastAsia" w:ascii="新宋体" w:hAnsi="新宋体" w:eastAsia="新宋体" w:cs="宋体"/>
          <w:spacing w:val="6"/>
          <w:sz w:val="22"/>
          <w:szCs w:val="22"/>
        </w:rPr>
        <w:t>）项目（编号：</w:t>
      </w:r>
      <w:r>
        <w:rPr>
          <w:rFonts w:hint="eastAsia" w:ascii="新宋体" w:hAnsi="新宋体" w:eastAsia="新宋体" w:cs="宋体"/>
          <w:spacing w:val="6"/>
          <w:sz w:val="22"/>
          <w:szCs w:val="22"/>
          <w:u w:val="single"/>
        </w:rPr>
        <w:t xml:space="preserve">             </w:t>
      </w:r>
      <w:r>
        <w:rPr>
          <w:rFonts w:hint="eastAsia" w:ascii="新宋体" w:hAnsi="新宋体" w:eastAsia="新宋体" w:cs="宋体"/>
          <w:spacing w:val="6"/>
          <w:sz w:val="22"/>
          <w:szCs w:val="22"/>
        </w:rPr>
        <w:t xml:space="preserve">）政府采购活动，经与本单位法人代表（负责人）联系确认，现就有关公平竞争事项郑重声明如下： </w:t>
      </w:r>
    </w:p>
    <w:p w14:paraId="75E92537">
      <w:pPr>
        <w:pStyle w:val="53"/>
        <w:widowControl/>
        <w:numPr>
          <w:ilvl w:val="0"/>
          <w:numId w:val="6"/>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本单位与采购人之间 □不存在利害关系 □存在下列利害关系：</w:t>
      </w:r>
    </w:p>
    <w:p w14:paraId="0C45A299">
      <w:pPr>
        <w:pStyle w:val="53"/>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A.投资关系    B.行政隶属关系    C.业务指导关系</w:t>
      </w:r>
    </w:p>
    <w:p w14:paraId="667B858C">
      <w:pPr>
        <w:pStyle w:val="53"/>
        <w:widowControl/>
        <w:snapToGrid w:val="0"/>
        <w:spacing w:line="480" w:lineRule="exact"/>
        <w:rPr>
          <w:rFonts w:ascii="新宋体" w:hAnsi="新宋体" w:eastAsia="新宋体" w:cs="宋体"/>
          <w:kern w:val="0"/>
          <w:sz w:val="22"/>
          <w:szCs w:val="22"/>
        </w:rPr>
      </w:pPr>
      <w:r>
        <w:rPr>
          <w:rFonts w:hint="eastAsia" w:ascii="新宋体" w:hAnsi="新宋体" w:eastAsia="新宋体" w:cs="宋体"/>
          <w:kern w:val="0"/>
          <w:sz w:val="22"/>
          <w:szCs w:val="22"/>
        </w:rPr>
        <w:t xml:space="preserve">  D.其他可能</w:t>
      </w:r>
      <w:r>
        <w:rPr>
          <w:rFonts w:hint="eastAsia" w:ascii="新宋体" w:hAnsi="新宋体" w:eastAsia="新宋体" w:cs="宋体"/>
          <w:sz w:val="22"/>
          <w:szCs w:val="22"/>
        </w:rPr>
        <w:t>影响采购公正的</w:t>
      </w:r>
      <w:r>
        <w:rPr>
          <w:rFonts w:hint="eastAsia" w:ascii="新宋体" w:hAnsi="新宋体" w:eastAsia="新宋体" w:cs="宋体"/>
          <w:kern w:val="0"/>
          <w:sz w:val="22"/>
          <w:szCs w:val="22"/>
        </w:rPr>
        <w:t>利害关系</w:t>
      </w:r>
      <w:r>
        <w:rPr>
          <w:rFonts w:hint="eastAsia" w:ascii="新宋体" w:hAnsi="新宋体" w:eastAsia="新宋体" w:cs="宋体"/>
          <w:kern w:val="0"/>
          <w:sz w:val="22"/>
          <w:szCs w:val="22"/>
          <w:u w:val="single"/>
        </w:rPr>
        <w:t xml:space="preserve">（如有，请如实说明）                 </w:t>
      </w:r>
      <w:r>
        <w:rPr>
          <w:rFonts w:hint="eastAsia" w:ascii="新宋体" w:hAnsi="新宋体" w:eastAsia="新宋体" w:cs="宋体"/>
          <w:kern w:val="0"/>
          <w:sz w:val="22"/>
          <w:szCs w:val="22"/>
        </w:rPr>
        <w:t>。</w:t>
      </w:r>
    </w:p>
    <w:p w14:paraId="2BBF2E04">
      <w:pPr>
        <w:pStyle w:val="53"/>
        <w:widowControl/>
        <w:snapToGrid w:val="0"/>
        <w:spacing w:line="480" w:lineRule="exact"/>
        <w:rPr>
          <w:rFonts w:ascii="新宋体" w:hAnsi="新宋体" w:eastAsia="新宋体" w:cs="宋体"/>
          <w:kern w:val="0"/>
          <w:sz w:val="22"/>
          <w:szCs w:val="22"/>
        </w:rPr>
      </w:pPr>
      <w:r>
        <w:rPr>
          <w:rFonts w:hint="eastAsia" w:ascii="新宋体" w:hAnsi="新宋体" w:eastAsia="新宋体" w:cs="宋体"/>
          <w:spacing w:val="6"/>
          <w:sz w:val="22"/>
          <w:szCs w:val="22"/>
        </w:rPr>
        <w:t xml:space="preserve">  二、</w:t>
      </w:r>
      <w:r>
        <w:rPr>
          <w:rFonts w:hint="eastAsia" w:ascii="新宋体" w:hAnsi="新宋体" w:eastAsia="新宋体" w:cs="宋体"/>
          <w:kern w:val="0"/>
          <w:sz w:val="22"/>
          <w:szCs w:val="22"/>
        </w:rPr>
        <w:t>现已清楚知道参加本项目采购活动的其他所有供应商名称，本单位 □与其他所有供应商之间均不存在利害关系 □与</w:t>
      </w:r>
      <w:r>
        <w:rPr>
          <w:rFonts w:hint="eastAsia" w:ascii="新宋体" w:hAnsi="新宋体" w:eastAsia="新宋体" w:cs="宋体"/>
          <w:kern w:val="0"/>
          <w:sz w:val="22"/>
          <w:szCs w:val="22"/>
          <w:u w:val="single"/>
        </w:rPr>
        <w:t xml:space="preserve">           （供应商名称）</w:t>
      </w:r>
      <w:r>
        <w:rPr>
          <w:rFonts w:hint="eastAsia" w:ascii="新宋体" w:hAnsi="新宋体" w:eastAsia="新宋体" w:cs="宋体"/>
          <w:kern w:val="0"/>
          <w:sz w:val="22"/>
          <w:szCs w:val="22"/>
        </w:rPr>
        <w:t>之间存在下列利害关系：</w:t>
      </w:r>
    </w:p>
    <w:p w14:paraId="60552758">
      <w:pPr>
        <w:pStyle w:val="52"/>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A.法定代表人或负责人或实际控制人是同一人</w:t>
      </w:r>
    </w:p>
    <w:p w14:paraId="3DD33748">
      <w:pPr>
        <w:pStyle w:val="52"/>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B.法定代表人或负责人或实际控制人是夫妻关系</w:t>
      </w:r>
    </w:p>
    <w:p w14:paraId="6AFC969A">
      <w:pPr>
        <w:pStyle w:val="52"/>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C.法定代表人或负责人或实际控制人是直系血亲关系</w:t>
      </w:r>
    </w:p>
    <w:p w14:paraId="772A7CCA">
      <w:pPr>
        <w:pStyle w:val="52"/>
        <w:spacing w:line="480" w:lineRule="exact"/>
        <w:ind w:firstLine="440"/>
        <w:rPr>
          <w:rFonts w:ascii="新宋体" w:hAnsi="新宋体" w:eastAsia="新宋体" w:cs="宋体"/>
          <w:spacing w:val="6"/>
          <w:sz w:val="22"/>
          <w:szCs w:val="22"/>
        </w:rPr>
      </w:pPr>
      <w:r>
        <w:rPr>
          <w:rFonts w:hint="eastAsia" w:ascii="新宋体" w:hAnsi="新宋体" w:eastAsia="新宋体" w:cs="宋体"/>
          <w:kern w:val="0"/>
          <w:sz w:val="22"/>
          <w:szCs w:val="22"/>
        </w:rPr>
        <w:t xml:space="preserve">  D.法定代表人或负责人或实际控制人存在三代以内旁系血亲关系</w:t>
      </w:r>
    </w:p>
    <w:p w14:paraId="3402527C">
      <w:pPr>
        <w:pStyle w:val="52"/>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E.法定代表人或负责人或实际控制人存在近姻亲关系</w:t>
      </w:r>
    </w:p>
    <w:p w14:paraId="582337B0">
      <w:pPr>
        <w:pStyle w:val="52"/>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F.法定代表人或负责人或实际控制人存在股份控制或实际控制关系</w:t>
      </w:r>
    </w:p>
    <w:p w14:paraId="5A1C3034">
      <w:pPr>
        <w:pStyle w:val="52"/>
        <w:spacing w:line="480" w:lineRule="exact"/>
        <w:ind w:firstLine="440"/>
        <w:rPr>
          <w:rFonts w:ascii="新宋体" w:hAnsi="新宋体" w:eastAsia="新宋体" w:cs="宋体"/>
          <w:kern w:val="0"/>
          <w:sz w:val="22"/>
          <w:szCs w:val="22"/>
        </w:rPr>
      </w:pPr>
      <w:r>
        <w:rPr>
          <w:rFonts w:hint="eastAsia" w:ascii="新宋体" w:hAnsi="新宋体" w:eastAsia="新宋体" w:cs="宋体"/>
          <w:kern w:val="0"/>
          <w:sz w:val="22"/>
          <w:szCs w:val="22"/>
        </w:rPr>
        <w:t xml:space="preserve">  G.存在共同直接或间接投资设立子公司、联营企业和合营企业情况</w:t>
      </w:r>
    </w:p>
    <w:p w14:paraId="06722FDC">
      <w:pPr>
        <w:pStyle w:val="52"/>
        <w:spacing w:line="480" w:lineRule="exact"/>
        <w:ind w:firstLine="440"/>
        <w:rPr>
          <w:rFonts w:ascii="新宋体" w:hAnsi="新宋体" w:eastAsia="新宋体" w:cs="宋体"/>
          <w:sz w:val="22"/>
          <w:szCs w:val="22"/>
        </w:rPr>
      </w:pPr>
      <w:r>
        <w:rPr>
          <w:rFonts w:hint="eastAsia" w:ascii="新宋体" w:hAnsi="新宋体" w:eastAsia="新宋体" w:cs="宋体"/>
          <w:kern w:val="0"/>
          <w:sz w:val="22"/>
          <w:szCs w:val="22"/>
        </w:rPr>
        <w:t xml:space="preserve">  H.存在分级代理或代销关系、同一生产制造商关系、</w:t>
      </w:r>
      <w:r>
        <w:rPr>
          <w:rFonts w:hint="eastAsia" w:ascii="新宋体" w:hAnsi="新宋体" w:eastAsia="新宋体" w:cs="宋体"/>
          <w:sz w:val="22"/>
          <w:szCs w:val="22"/>
        </w:rPr>
        <w:t>管理关系、重要业务（占主营业务收入50%以上）或重要财务往来关系（如融资）等其他实质性控制关系</w:t>
      </w:r>
    </w:p>
    <w:p w14:paraId="65A2ACCA">
      <w:pPr>
        <w:pStyle w:val="52"/>
        <w:spacing w:line="480" w:lineRule="exact"/>
        <w:ind w:firstLine="440"/>
        <w:rPr>
          <w:rFonts w:ascii="新宋体" w:hAnsi="新宋体" w:eastAsia="新宋体" w:cs="宋体"/>
          <w:spacing w:val="6"/>
          <w:sz w:val="22"/>
          <w:szCs w:val="22"/>
        </w:rPr>
      </w:pPr>
      <w:r>
        <w:rPr>
          <w:rFonts w:hint="eastAsia" w:ascii="新宋体" w:hAnsi="新宋体" w:eastAsia="新宋体" w:cs="宋体"/>
          <w:sz w:val="22"/>
          <w:szCs w:val="22"/>
        </w:rPr>
        <w:t xml:space="preserve">    I</w:t>
      </w:r>
      <w:r>
        <w:rPr>
          <w:rFonts w:hint="eastAsia" w:ascii="新宋体" w:hAnsi="新宋体" w:eastAsia="新宋体" w:cs="宋体"/>
          <w:kern w:val="0"/>
          <w:sz w:val="22"/>
          <w:szCs w:val="22"/>
        </w:rPr>
        <w:t>.</w:t>
      </w:r>
      <w:r>
        <w:rPr>
          <w:rFonts w:hint="eastAsia" w:ascii="新宋体" w:hAnsi="新宋体" w:eastAsia="新宋体" w:cs="宋体"/>
          <w:sz w:val="22"/>
          <w:szCs w:val="22"/>
        </w:rPr>
        <w:t>其他利害关系情况</w:t>
      </w:r>
      <w:r>
        <w:rPr>
          <w:rFonts w:hint="eastAsia" w:ascii="新宋体" w:hAnsi="新宋体" w:eastAsia="新宋体" w:cs="宋体"/>
          <w:kern w:val="0"/>
          <w:sz w:val="22"/>
          <w:szCs w:val="22"/>
        </w:rPr>
        <w:t>。</w:t>
      </w:r>
    </w:p>
    <w:p w14:paraId="2CCB9F1F">
      <w:pPr>
        <w:pStyle w:val="53"/>
        <w:widowControl/>
        <w:numPr>
          <w:ilvl w:val="0"/>
          <w:numId w:val="7"/>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sz w:val="22"/>
          <w:szCs w:val="22"/>
        </w:rPr>
        <w:t>现已清楚知道并</w:t>
      </w:r>
      <w:r>
        <w:rPr>
          <w:rFonts w:hint="eastAsia" w:ascii="新宋体" w:hAnsi="新宋体" w:eastAsia="新宋体" w:cs="宋体"/>
          <w:kern w:val="0"/>
          <w:sz w:val="22"/>
          <w:szCs w:val="22"/>
        </w:rPr>
        <w:t>严格遵守政府采购法律法规和现场纪律。</w:t>
      </w:r>
    </w:p>
    <w:p w14:paraId="1AA424A8">
      <w:pPr>
        <w:pStyle w:val="53"/>
        <w:widowControl/>
        <w:numPr>
          <w:ilvl w:val="0"/>
          <w:numId w:val="7"/>
        </w:numPr>
        <w:snapToGrid w:val="0"/>
        <w:spacing w:line="480" w:lineRule="exact"/>
        <w:ind w:firstLine="415" w:firstLineChars="189"/>
        <w:rPr>
          <w:rFonts w:ascii="新宋体" w:hAnsi="新宋体" w:eastAsia="新宋体" w:cs="宋体"/>
          <w:kern w:val="0"/>
          <w:sz w:val="22"/>
          <w:szCs w:val="22"/>
        </w:rPr>
      </w:pPr>
      <w:r>
        <w:rPr>
          <w:rFonts w:hint="eastAsia" w:ascii="新宋体" w:hAnsi="新宋体" w:eastAsia="新宋体" w:cs="宋体"/>
          <w:kern w:val="0"/>
          <w:sz w:val="22"/>
          <w:szCs w:val="22"/>
        </w:rPr>
        <w:t>我发现供应商之间存在或可能存在上述第二条第项利害关系。</w:t>
      </w:r>
    </w:p>
    <w:p w14:paraId="261F03F2">
      <w:pPr>
        <w:pStyle w:val="52"/>
        <w:spacing w:line="500" w:lineRule="exact"/>
        <w:ind w:firstLine="440"/>
        <w:rPr>
          <w:rFonts w:ascii="新宋体" w:hAnsi="新宋体" w:eastAsia="新宋体" w:cs="宋体"/>
          <w:sz w:val="22"/>
          <w:szCs w:val="22"/>
        </w:rPr>
      </w:pPr>
      <w:r>
        <w:rPr>
          <w:rFonts w:hint="eastAsia" w:ascii="新宋体" w:hAnsi="新宋体" w:eastAsia="新宋体" w:cs="宋体"/>
          <w:sz w:val="22"/>
          <w:szCs w:val="22"/>
        </w:rPr>
        <w:t>供应商代表签字：</w:t>
      </w:r>
      <w:r>
        <w:rPr>
          <w:rFonts w:hint="eastAsia" w:ascii="新宋体" w:hAnsi="新宋体" w:eastAsia="新宋体" w:cs="宋体"/>
          <w:sz w:val="22"/>
          <w:szCs w:val="22"/>
        </w:rPr>
        <w:tab/>
      </w:r>
      <w:r>
        <w:rPr>
          <w:rFonts w:hint="eastAsia" w:ascii="新宋体" w:hAnsi="新宋体" w:eastAsia="新宋体" w:cs="宋体"/>
          <w:sz w:val="22"/>
          <w:szCs w:val="22"/>
        </w:rPr>
        <w:tab/>
      </w:r>
    </w:p>
    <w:p w14:paraId="0EE71643">
      <w:pPr>
        <w:spacing w:line="440" w:lineRule="exact"/>
        <w:jc w:val="right"/>
        <w:rPr>
          <w:rFonts w:ascii="新宋体" w:hAnsi="新宋体" w:eastAsia="新宋体" w:cs="宋体"/>
        </w:rPr>
      </w:pPr>
    </w:p>
    <w:p w14:paraId="524DB66C">
      <w:pPr>
        <w:spacing w:line="440" w:lineRule="exact"/>
        <w:jc w:val="right"/>
        <w:rPr>
          <w:rFonts w:ascii="新宋体" w:hAnsi="新宋体" w:eastAsia="新宋体" w:cs="新宋体"/>
          <w:b/>
          <w:bCs/>
        </w:rPr>
      </w:pPr>
      <w:r>
        <w:rPr>
          <w:rFonts w:hint="eastAsia" w:ascii="新宋体" w:hAnsi="新宋体" w:eastAsia="新宋体" w:cs="宋体"/>
        </w:rPr>
        <w:t xml:space="preserve"> 年  月  日</w:t>
      </w:r>
    </w:p>
    <w:p w14:paraId="0A5C1BEA">
      <w:pPr>
        <w:pStyle w:val="26"/>
        <w:rPr>
          <w:rFonts w:ascii="新宋体" w:hAnsi="新宋体" w:eastAsia="新宋体"/>
          <w:kern w:val="2"/>
          <w:sz w:val="36"/>
          <w:szCs w:val="36"/>
        </w:rPr>
      </w:pPr>
      <w:r>
        <w:rPr>
          <w:rFonts w:hint="eastAsia" w:ascii="新宋体" w:hAnsi="新宋体" w:eastAsia="新宋体"/>
          <w:sz w:val="22"/>
          <w:szCs w:val="22"/>
        </w:rPr>
        <w:br w:type="page"/>
      </w:r>
      <w:bookmarkStart w:id="67" w:name="_Toc27328"/>
      <w:r>
        <w:rPr>
          <w:rFonts w:hint="eastAsia" w:ascii="宋体" w:hAnsi="宋体" w:cs="宋体"/>
          <w:kern w:val="2"/>
          <w:sz w:val="26"/>
          <w:szCs w:val="26"/>
        </w:rPr>
        <w:t>七、政府采购政策功能相关说明</w:t>
      </w:r>
      <w:bookmarkEnd w:id="61"/>
      <w:bookmarkEnd w:id="62"/>
      <w:bookmarkEnd w:id="63"/>
      <w:bookmarkEnd w:id="64"/>
      <w:bookmarkEnd w:id="65"/>
      <w:bookmarkEnd w:id="66"/>
      <w:bookmarkEnd w:id="67"/>
    </w:p>
    <w:p w14:paraId="0AA788D9">
      <w:pPr>
        <w:rPr>
          <w:rFonts w:ascii="新宋体" w:hAnsi="新宋体" w:eastAsia="新宋体"/>
          <w:b/>
        </w:rPr>
      </w:pPr>
    </w:p>
    <w:p w14:paraId="5839A015">
      <w:pPr>
        <w:rPr>
          <w:rFonts w:ascii="新宋体" w:hAnsi="新宋体" w:eastAsia="新宋体"/>
          <w:bCs/>
        </w:rPr>
      </w:pPr>
      <w:r>
        <w:rPr>
          <w:rFonts w:hint="eastAsia" w:ascii="新宋体" w:hAnsi="新宋体" w:eastAsia="新宋体"/>
          <w:bCs/>
        </w:rPr>
        <w:t>一、小、微企业（含监狱企业、残疾人福利性单位）扶持政策说明</w:t>
      </w:r>
    </w:p>
    <w:p w14:paraId="35BF28C3">
      <w:pPr>
        <w:spacing w:line="440" w:lineRule="atLeast"/>
        <w:rPr>
          <w:rFonts w:ascii="新宋体" w:hAnsi="新宋体" w:eastAsia="新宋体"/>
          <w:bCs/>
        </w:rPr>
      </w:pPr>
      <w:r>
        <w:rPr>
          <w:rFonts w:hint="eastAsia" w:ascii="新宋体" w:hAnsi="新宋体" w:eastAsia="新宋体"/>
          <w:bCs/>
        </w:rPr>
        <w:t>1、文件依据</w:t>
      </w:r>
    </w:p>
    <w:p w14:paraId="018B803C">
      <w:pPr>
        <w:spacing w:line="440" w:lineRule="atLeast"/>
        <w:rPr>
          <w:rFonts w:ascii="新宋体" w:hAnsi="新宋体" w:eastAsia="新宋体"/>
          <w:bCs/>
        </w:rPr>
      </w:pPr>
      <w:r>
        <w:rPr>
          <w:rFonts w:hint="eastAsia" w:ascii="新宋体" w:hAnsi="新宋体" w:eastAsia="新宋体"/>
          <w:bCs/>
        </w:rPr>
        <w:t>（1）关于印发《政府采购促进中小企业发展暂行办法》的通知（财库[2011]181号）</w:t>
      </w:r>
    </w:p>
    <w:p w14:paraId="5FC32488">
      <w:pPr>
        <w:spacing w:line="440" w:lineRule="atLeast"/>
        <w:rPr>
          <w:rFonts w:ascii="新宋体" w:hAnsi="新宋体" w:eastAsia="新宋体"/>
          <w:bCs/>
        </w:rPr>
      </w:pPr>
      <w:r>
        <w:rPr>
          <w:rFonts w:hint="eastAsia" w:ascii="新宋体" w:hAnsi="新宋体" w:eastAsia="新宋体"/>
          <w:bCs/>
        </w:rPr>
        <w:t>（2）浙江省财政厅转发财政部 工业和信息化部关于印发《政府采购促进中小企业发展暂行办法》的通知（浙财采监[2012]11号）</w:t>
      </w:r>
    </w:p>
    <w:p w14:paraId="5C5D7216">
      <w:pPr>
        <w:spacing w:line="440" w:lineRule="atLeast"/>
        <w:rPr>
          <w:rFonts w:ascii="新宋体" w:hAnsi="新宋体" w:eastAsia="新宋体"/>
          <w:bCs/>
        </w:rPr>
      </w:pPr>
      <w:r>
        <w:rPr>
          <w:rFonts w:hint="eastAsia" w:ascii="新宋体" w:hAnsi="新宋体" w:eastAsia="新宋体"/>
          <w:bCs/>
        </w:rPr>
        <w:t>（3）浙江省省财政厅《关于开展政府采购供应商网上注册登记和诚信管理工作的通知》（浙财采监〔2010〕8号)</w:t>
      </w:r>
    </w:p>
    <w:p w14:paraId="07EEA4E4">
      <w:pPr>
        <w:spacing w:line="440" w:lineRule="atLeast"/>
        <w:rPr>
          <w:rFonts w:ascii="新宋体" w:hAnsi="新宋体" w:eastAsia="新宋体"/>
          <w:bCs/>
        </w:rPr>
      </w:pPr>
      <w:r>
        <w:rPr>
          <w:rFonts w:hint="eastAsia" w:ascii="新宋体" w:hAnsi="新宋体" w:eastAsia="新宋体"/>
          <w:bCs/>
        </w:rPr>
        <w:t>（4）《工业和信息化部、国家统计局、国家发展和改革委员会、财政部关于印发中小企业划型标准规定的通知》（工信部联企业[2011]300号）</w:t>
      </w:r>
    </w:p>
    <w:p w14:paraId="69386BB5">
      <w:pPr>
        <w:spacing w:line="440" w:lineRule="atLeast"/>
        <w:rPr>
          <w:rFonts w:ascii="新宋体" w:hAnsi="新宋体" w:eastAsia="新宋体"/>
          <w:bCs/>
        </w:rPr>
      </w:pPr>
      <w:r>
        <w:rPr>
          <w:rFonts w:hint="eastAsia" w:ascii="新宋体" w:hAnsi="新宋体" w:eastAsia="新宋体"/>
          <w:bCs/>
        </w:rPr>
        <w:t>（5）财政部、司法部《关于政府采购支持监狱企业发展有关问题的通知》（财库〔2014〕68号）</w:t>
      </w:r>
    </w:p>
    <w:p w14:paraId="3488F764">
      <w:pPr>
        <w:spacing w:line="440" w:lineRule="atLeast"/>
        <w:rPr>
          <w:rFonts w:ascii="新宋体" w:hAnsi="新宋体" w:eastAsia="新宋体"/>
          <w:bCs/>
        </w:rPr>
      </w:pPr>
      <w:r>
        <w:rPr>
          <w:rFonts w:hint="eastAsia" w:ascii="新宋体" w:hAnsi="新宋体" w:eastAsia="新宋体"/>
          <w:bCs/>
        </w:rPr>
        <w:t>（6）《财政部 民政部 中国残疾人联合会关于促进残疾人就业政府采购政策的通知》（财库〔2017〕 141号）</w:t>
      </w:r>
    </w:p>
    <w:p w14:paraId="05877BBE">
      <w:pPr>
        <w:spacing w:line="440" w:lineRule="atLeast"/>
        <w:rPr>
          <w:rFonts w:ascii="新宋体" w:hAnsi="新宋体" w:eastAsia="新宋体"/>
          <w:bCs/>
        </w:rPr>
      </w:pPr>
      <w:r>
        <w:rPr>
          <w:rFonts w:hint="eastAsia" w:ascii="新宋体" w:hAnsi="新宋体" w:eastAsia="新宋体"/>
          <w:bCs/>
        </w:rPr>
        <w:t>2、享受小微企业价格折扣应具备的条件与价格折扣比例</w:t>
      </w:r>
    </w:p>
    <w:p w14:paraId="39A2D548">
      <w:pPr>
        <w:spacing w:line="440" w:lineRule="atLeast"/>
        <w:rPr>
          <w:rFonts w:ascii="新宋体" w:hAnsi="新宋体" w:eastAsia="新宋体"/>
        </w:rPr>
      </w:pPr>
      <w:r>
        <w:rPr>
          <w:rFonts w:hint="eastAsia" w:ascii="新宋体" w:hAnsi="新宋体" w:eastAsia="新宋体"/>
        </w:rPr>
        <w:t>（1）符合中小企业划分标准；</w:t>
      </w:r>
    </w:p>
    <w:p w14:paraId="36DCF9E8">
      <w:pPr>
        <w:spacing w:line="440" w:lineRule="atLeast"/>
        <w:rPr>
          <w:rFonts w:ascii="新宋体" w:hAnsi="新宋体" w:eastAsia="新宋体"/>
        </w:rPr>
      </w:pPr>
      <w:r>
        <w:rPr>
          <w:rFonts w:hint="eastAsia" w:ascii="新宋体" w:hAnsi="新宋体" w:eastAsia="新宋体"/>
        </w:rPr>
        <w:t>（2）提供本企业制造的货物、承担的工程或者服务，或者提供其他中小企业制造的货物。本项所称货物不包括使用大型企业注册商标的货物。</w:t>
      </w:r>
    </w:p>
    <w:p w14:paraId="566C0F73">
      <w:pPr>
        <w:spacing w:line="440" w:lineRule="atLeast"/>
        <w:rPr>
          <w:rFonts w:ascii="新宋体" w:hAnsi="新宋体" w:eastAsia="新宋体"/>
        </w:rPr>
      </w:pPr>
      <w:r>
        <w:rPr>
          <w:rFonts w:hint="eastAsia" w:ascii="新宋体" w:hAnsi="新宋体" w:eastAsia="新宋体"/>
        </w:rPr>
        <w:t>  中小企业划分标准，是指国务院有关部门根据企业从业人员、营业收入、资产总额等指标制定的中小企业划型标准。</w:t>
      </w:r>
    </w:p>
    <w:p w14:paraId="0A998446">
      <w:pPr>
        <w:spacing w:line="440" w:lineRule="atLeast"/>
        <w:rPr>
          <w:rFonts w:ascii="新宋体" w:hAnsi="新宋体" w:eastAsia="新宋体"/>
        </w:rPr>
      </w:pPr>
      <w:r>
        <w:rPr>
          <w:rFonts w:hint="eastAsia" w:ascii="新宋体" w:hAnsi="新宋体" w:eastAsia="新宋体"/>
        </w:rPr>
        <w:t>  小型、微型企业提供中型企业制造的货物的，视同为中型企业。</w:t>
      </w:r>
    </w:p>
    <w:p w14:paraId="3E742E92">
      <w:pPr>
        <w:spacing w:line="440" w:lineRule="atLeast"/>
        <w:rPr>
          <w:rFonts w:ascii="新宋体" w:hAnsi="新宋体" w:eastAsia="新宋体"/>
          <w:color w:val="FF0000"/>
          <w:u w:val="single"/>
        </w:rPr>
      </w:pPr>
      <w:r>
        <w:rPr>
          <w:rFonts w:hint="eastAsia" w:ascii="新宋体" w:hAnsi="新宋体" w:eastAsia="新宋体"/>
          <w:color w:val="FF0000"/>
          <w:u w:val="single"/>
        </w:rPr>
        <w:t>（3）本项目对小型和微型企业产品的价格给予0%的扣除，用扣除后的价格参与评审。</w:t>
      </w:r>
    </w:p>
    <w:p w14:paraId="0A2B7946">
      <w:pPr>
        <w:spacing w:line="440" w:lineRule="atLeast"/>
        <w:rPr>
          <w:rFonts w:ascii="新宋体" w:hAnsi="新宋体" w:eastAsia="新宋体"/>
        </w:rPr>
      </w:pPr>
      <w:r>
        <w:rPr>
          <w:rFonts w:hint="eastAsia" w:ascii="新宋体" w:hAnsi="新宋体" w:eastAsia="新宋体"/>
          <w:u w:val="single"/>
        </w:rPr>
        <w:t>3、享受小微企业价格折扣应提供以下证明材料（采购响应文件报价标中，缺一不可）</w:t>
      </w:r>
      <w:r>
        <w:rPr>
          <w:rFonts w:hint="eastAsia" w:ascii="新宋体" w:hAnsi="新宋体" w:eastAsia="新宋体"/>
        </w:rPr>
        <w:t>：</w:t>
      </w:r>
    </w:p>
    <w:p w14:paraId="40D82AED">
      <w:pPr>
        <w:spacing w:line="440" w:lineRule="atLeast"/>
        <w:rPr>
          <w:rFonts w:ascii="新宋体" w:hAnsi="新宋体" w:eastAsia="新宋体"/>
        </w:rPr>
      </w:pPr>
      <w:r>
        <w:rPr>
          <w:rFonts w:hint="eastAsia" w:ascii="新宋体" w:hAnsi="新宋体" w:eastAsia="新宋体"/>
        </w:rPr>
        <w:t>（1）通过浙江政府采购网申请注册加入政府采购供应商库（不包括公示期内，提供浙江省政府采购网页面截图或其它入库证明材料，加盖供应商公章）</w:t>
      </w:r>
    </w:p>
    <w:p w14:paraId="3FF39E4A">
      <w:pPr>
        <w:spacing w:line="440" w:lineRule="atLeast"/>
        <w:rPr>
          <w:rFonts w:ascii="新宋体" w:hAnsi="新宋体" w:eastAsia="新宋体"/>
        </w:rPr>
      </w:pPr>
      <w:r>
        <w:rPr>
          <w:rFonts w:hint="eastAsia" w:ascii="新宋体" w:hAnsi="新宋体" w:eastAsia="新宋体"/>
        </w:rPr>
        <w:t>（2）《中小企业声明函》（原件，加盖供应商公章，格式见附件1）</w:t>
      </w:r>
    </w:p>
    <w:p w14:paraId="000C4EB5">
      <w:pPr>
        <w:spacing w:line="440" w:lineRule="atLeast"/>
        <w:rPr>
          <w:rFonts w:ascii="新宋体" w:hAnsi="新宋体" w:eastAsia="新宋体"/>
        </w:rPr>
      </w:pPr>
      <w:r>
        <w:rPr>
          <w:rFonts w:hint="eastAsia" w:ascii="新宋体" w:hAnsi="新宋体" w:eastAsia="新宋体"/>
        </w:rPr>
        <w:t>4、</w:t>
      </w:r>
      <w:r>
        <w:rPr>
          <w:rFonts w:hint="eastAsia" w:ascii="新宋体" w:hAnsi="新宋体" w:eastAsia="新宋体"/>
          <w:u w:val="single"/>
        </w:rPr>
        <w:t>享受监狱企业价格折扣应提供以下证明材料（采购响应文件报价标中，不提供的不享受价格折扣）</w:t>
      </w:r>
      <w:r>
        <w:rPr>
          <w:rFonts w:hint="eastAsia" w:ascii="新宋体" w:hAnsi="新宋体" w:eastAsia="新宋体"/>
        </w:rPr>
        <w:t>：</w:t>
      </w:r>
    </w:p>
    <w:p w14:paraId="733436B7">
      <w:pPr>
        <w:spacing w:line="440" w:lineRule="atLeast"/>
        <w:rPr>
          <w:rFonts w:ascii="新宋体" w:hAnsi="新宋体" w:eastAsia="新宋体"/>
        </w:rPr>
      </w:pPr>
      <w:r>
        <w:rPr>
          <w:rFonts w:hint="eastAsia" w:ascii="新宋体" w:hAnsi="新宋体" w:eastAsia="新宋体"/>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3523F6D4">
      <w:pPr>
        <w:spacing w:line="440" w:lineRule="atLeast"/>
        <w:rPr>
          <w:rFonts w:ascii="新宋体" w:hAnsi="新宋体" w:eastAsia="新宋体"/>
          <w:bCs/>
        </w:rPr>
      </w:pPr>
      <w:r>
        <w:rPr>
          <w:rFonts w:hint="eastAsia" w:ascii="新宋体" w:hAnsi="新宋体" w:eastAsia="新宋体"/>
        </w:rPr>
        <w:t>5、</w:t>
      </w:r>
      <w:r>
        <w:rPr>
          <w:rFonts w:hint="eastAsia" w:ascii="新宋体" w:hAnsi="新宋体" w:eastAsia="新宋体"/>
          <w:u w:val="single"/>
        </w:rPr>
        <w:t>享受残疾人福利性单位格折扣应提供以下证明材料（采购响应文件报价标中，不提供的不享</w:t>
      </w:r>
      <w:r>
        <w:rPr>
          <w:rFonts w:hint="eastAsia" w:ascii="新宋体" w:hAnsi="新宋体" w:eastAsia="新宋体"/>
          <w:bCs/>
          <w:u w:val="single"/>
        </w:rPr>
        <w:t>受价格折扣）</w:t>
      </w:r>
      <w:r>
        <w:rPr>
          <w:rFonts w:hint="eastAsia" w:ascii="新宋体" w:hAnsi="新宋体" w:eastAsia="新宋体"/>
          <w:bCs/>
        </w:rPr>
        <w:t>：</w:t>
      </w:r>
    </w:p>
    <w:p w14:paraId="3FC0FD4E">
      <w:pPr>
        <w:spacing w:line="440" w:lineRule="atLeast"/>
        <w:rPr>
          <w:rFonts w:ascii="新宋体" w:hAnsi="新宋体" w:eastAsia="新宋体"/>
          <w:bCs/>
        </w:rPr>
      </w:pPr>
      <w:r>
        <w:rPr>
          <w:rFonts w:hint="eastAsia" w:ascii="新宋体" w:hAnsi="新宋体" w:eastAsia="新宋体"/>
          <w:bCs/>
        </w:rPr>
        <w:t>（1）残疾人福利性单位声明函（附件2）；</w:t>
      </w:r>
    </w:p>
    <w:p w14:paraId="69C26E74">
      <w:pPr>
        <w:spacing w:line="440" w:lineRule="atLeast"/>
        <w:rPr>
          <w:rFonts w:ascii="新宋体" w:hAnsi="新宋体" w:eastAsia="新宋体"/>
          <w:bCs/>
        </w:rPr>
      </w:pPr>
      <w:r>
        <w:rPr>
          <w:rFonts w:hint="eastAsia" w:ascii="新宋体" w:hAnsi="新宋体" w:eastAsia="新宋体"/>
          <w:bCs/>
        </w:rPr>
        <w:t>6、非单一产品采购，无法核实（按采购响应文件资料）全部货物均为小微企业（含监狱企业、残疾人福利性单位）制造；或小微企业（含监狱企业、残疾人福利性单位）提供其他制造商制造的货物且无法核实（按采购响应文件资料）制造商是否为小微企业（含监狱企业、残疾人福利性单位）的，不享受价格折扣。</w:t>
      </w:r>
    </w:p>
    <w:p w14:paraId="63143F2A">
      <w:pPr>
        <w:spacing w:line="440" w:lineRule="atLeast"/>
        <w:rPr>
          <w:rFonts w:ascii="新宋体" w:hAnsi="新宋体" w:eastAsia="新宋体"/>
          <w:b/>
        </w:rPr>
      </w:pPr>
    </w:p>
    <w:p w14:paraId="1AC82519">
      <w:pPr>
        <w:spacing w:line="440" w:lineRule="atLeast"/>
        <w:rPr>
          <w:rFonts w:ascii="新宋体" w:hAnsi="新宋体" w:eastAsia="新宋体"/>
          <w:b/>
        </w:rPr>
      </w:pPr>
    </w:p>
    <w:p w14:paraId="0B43E6B5">
      <w:pPr>
        <w:spacing w:line="440" w:lineRule="atLeast"/>
        <w:rPr>
          <w:rFonts w:ascii="新宋体" w:hAnsi="新宋体" w:eastAsia="新宋体"/>
          <w:b/>
        </w:rPr>
      </w:pPr>
    </w:p>
    <w:p w14:paraId="46F67130">
      <w:pPr>
        <w:spacing w:line="440" w:lineRule="atLeast"/>
        <w:rPr>
          <w:rFonts w:ascii="新宋体" w:hAnsi="新宋体" w:eastAsia="新宋体"/>
          <w:b/>
        </w:rPr>
      </w:pPr>
    </w:p>
    <w:p w14:paraId="77612A8E">
      <w:pPr>
        <w:spacing w:line="440" w:lineRule="atLeast"/>
        <w:rPr>
          <w:rFonts w:ascii="新宋体" w:hAnsi="新宋体" w:eastAsia="新宋体"/>
          <w:b/>
        </w:rPr>
      </w:pPr>
    </w:p>
    <w:p w14:paraId="65AA8DE8">
      <w:pPr>
        <w:spacing w:line="440" w:lineRule="atLeast"/>
        <w:rPr>
          <w:rFonts w:ascii="新宋体" w:hAnsi="新宋体" w:eastAsia="新宋体"/>
          <w:b/>
        </w:rPr>
      </w:pPr>
    </w:p>
    <w:p w14:paraId="5B12F517">
      <w:pPr>
        <w:spacing w:line="440" w:lineRule="atLeast"/>
        <w:rPr>
          <w:rFonts w:ascii="新宋体" w:hAnsi="新宋体" w:eastAsia="新宋体"/>
          <w:b/>
        </w:rPr>
      </w:pPr>
    </w:p>
    <w:p w14:paraId="01515E35">
      <w:pPr>
        <w:spacing w:line="440" w:lineRule="atLeast"/>
        <w:rPr>
          <w:rFonts w:ascii="新宋体" w:hAnsi="新宋体" w:eastAsia="新宋体"/>
          <w:b/>
        </w:rPr>
      </w:pPr>
    </w:p>
    <w:p w14:paraId="2997CB7B">
      <w:pPr>
        <w:spacing w:line="440" w:lineRule="atLeast"/>
        <w:rPr>
          <w:rFonts w:ascii="新宋体" w:hAnsi="新宋体" w:eastAsia="新宋体"/>
          <w:b/>
        </w:rPr>
      </w:pPr>
    </w:p>
    <w:p w14:paraId="3F65F850">
      <w:pPr>
        <w:spacing w:line="440" w:lineRule="atLeast"/>
        <w:rPr>
          <w:rFonts w:ascii="新宋体" w:hAnsi="新宋体" w:eastAsia="新宋体"/>
          <w:b/>
        </w:rPr>
      </w:pPr>
    </w:p>
    <w:p w14:paraId="45F3F71B">
      <w:pPr>
        <w:spacing w:line="440" w:lineRule="atLeast"/>
        <w:rPr>
          <w:rFonts w:ascii="新宋体" w:hAnsi="新宋体" w:eastAsia="新宋体"/>
          <w:b/>
        </w:rPr>
      </w:pPr>
    </w:p>
    <w:p w14:paraId="3B5BA777">
      <w:pPr>
        <w:spacing w:line="440" w:lineRule="atLeast"/>
        <w:rPr>
          <w:rFonts w:ascii="新宋体" w:hAnsi="新宋体" w:eastAsia="新宋体"/>
          <w:b/>
        </w:rPr>
      </w:pPr>
    </w:p>
    <w:p w14:paraId="46346635">
      <w:pPr>
        <w:spacing w:line="440" w:lineRule="atLeast"/>
        <w:rPr>
          <w:rFonts w:ascii="新宋体" w:hAnsi="新宋体" w:eastAsia="新宋体"/>
          <w:b/>
        </w:rPr>
      </w:pPr>
    </w:p>
    <w:p w14:paraId="6341E142">
      <w:pPr>
        <w:spacing w:line="440" w:lineRule="atLeast"/>
        <w:rPr>
          <w:rFonts w:ascii="新宋体" w:hAnsi="新宋体" w:eastAsia="新宋体"/>
          <w:b/>
        </w:rPr>
      </w:pPr>
    </w:p>
    <w:p w14:paraId="716B914B">
      <w:pPr>
        <w:spacing w:line="440" w:lineRule="atLeast"/>
        <w:rPr>
          <w:rFonts w:ascii="新宋体" w:hAnsi="新宋体" w:eastAsia="新宋体"/>
          <w:b/>
        </w:rPr>
      </w:pPr>
    </w:p>
    <w:p w14:paraId="46B1CECD">
      <w:pPr>
        <w:spacing w:line="440" w:lineRule="atLeast"/>
        <w:rPr>
          <w:rFonts w:ascii="新宋体" w:hAnsi="新宋体" w:eastAsia="新宋体"/>
          <w:b/>
        </w:rPr>
      </w:pPr>
    </w:p>
    <w:p w14:paraId="2E575F52">
      <w:pPr>
        <w:spacing w:line="440" w:lineRule="atLeast"/>
        <w:rPr>
          <w:rFonts w:ascii="新宋体" w:hAnsi="新宋体" w:eastAsia="新宋体"/>
          <w:b/>
        </w:rPr>
      </w:pPr>
    </w:p>
    <w:p w14:paraId="68F0A640">
      <w:pPr>
        <w:spacing w:line="440" w:lineRule="atLeast"/>
        <w:rPr>
          <w:rFonts w:ascii="新宋体" w:hAnsi="新宋体" w:eastAsia="新宋体"/>
          <w:b/>
        </w:rPr>
      </w:pPr>
    </w:p>
    <w:p w14:paraId="7326E0CE">
      <w:pPr>
        <w:spacing w:line="440" w:lineRule="atLeast"/>
        <w:rPr>
          <w:rFonts w:ascii="新宋体" w:hAnsi="新宋体" w:eastAsia="新宋体"/>
          <w:b/>
        </w:rPr>
      </w:pPr>
    </w:p>
    <w:p w14:paraId="358B2CD5">
      <w:pPr>
        <w:pStyle w:val="8"/>
        <w:rPr>
          <w:rFonts w:ascii="新宋体" w:hAnsi="新宋体" w:eastAsia="新宋体"/>
          <w:b/>
        </w:rPr>
      </w:pPr>
    </w:p>
    <w:p w14:paraId="3743B3BB">
      <w:pPr>
        <w:rPr>
          <w:rFonts w:ascii="新宋体" w:hAnsi="新宋体" w:eastAsia="新宋体"/>
          <w:b/>
        </w:rPr>
      </w:pPr>
    </w:p>
    <w:p w14:paraId="3B52EA4B">
      <w:pPr>
        <w:pStyle w:val="8"/>
        <w:rPr>
          <w:rFonts w:ascii="新宋体" w:hAnsi="新宋体" w:eastAsia="新宋体"/>
          <w:b/>
        </w:rPr>
      </w:pPr>
    </w:p>
    <w:p w14:paraId="76F32585"/>
    <w:p w14:paraId="68F35D32">
      <w:pPr>
        <w:spacing w:line="440" w:lineRule="atLeast"/>
        <w:rPr>
          <w:rFonts w:ascii="新宋体" w:hAnsi="新宋体" w:eastAsia="新宋体"/>
          <w:b/>
        </w:rPr>
      </w:pPr>
    </w:p>
    <w:p w14:paraId="5B4B26FF">
      <w:pPr>
        <w:spacing w:line="440" w:lineRule="atLeast"/>
        <w:rPr>
          <w:rFonts w:ascii="新宋体" w:hAnsi="新宋体" w:eastAsia="新宋体"/>
          <w:b/>
        </w:rPr>
      </w:pPr>
    </w:p>
    <w:p w14:paraId="6D23EAB0">
      <w:pPr>
        <w:spacing w:before="100" w:beforeAutospacing="1" w:after="100" w:afterAutospacing="1" w:line="440" w:lineRule="atLeast"/>
        <w:rPr>
          <w:rFonts w:ascii="新宋体" w:hAnsi="新宋体" w:eastAsia="新宋体"/>
          <w:b/>
          <w:sz w:val="24"/>
        </w:rPr>
      </w:pPr>
      <w:r>
        <w:rPr>
          <w:rFonts w:hint="eastAsia" w:ascii="新宋体" w:hAnsi="新宋体" w:eastAsia="新宋体"/>
          <w:b/>
          <w:sz w:val="24"/>
        </w:rPr>
        <w:t>附件1：</w:t>
      </w:r>
    </w:p>
    <w:p w14:paraId="15EF4AEA">
      <w:pPr>
        <w:jc w:val="center"/>
        <w:rPr>
          <w:rFonts w:ascii="宋体" w:hAnsi="宋体" w:cs="宋体"/>
        </w:rPr>
      </w:pPr>
      <w:r>
        <w:rPr>
          <w:rFonts w:hint="eastAsia" w:ascii="宋体" w:hAnsi="宋体" w:cs="宋体"/>
          <w:b/>
          <w:lang w:bidi="ar"/>
        </w:rPr>
        <w:t>中小企业声明函</w:t>
      </w:r>
    </w:p>
    <w:p w14:paraId="1819B8EB">
      <w:pPr>
        <w:ind w:firstLine="420"/>
        <w:rPr>
          <w:rFonts w:ascii="宋体" w:hAnsi="宋体" w:cs="宋体"/>
        </w:rPr>
      </w:pPr>
      <w:r>
        <w:rPr>
          <w:rFonts w:hint="eastAsia" w:ascii="宋体" w:hAnsi="宋体" w:cs="宋体"/>
          <w:lang w:bidi="ar"/>
        </w:rPr>
        <w:t>本公司（联合体）郑重声明，根据《政府采购促进中小 企业发展管理办法》（财库﹝2020﹞46 号）的规定，本公司 （联合体）参加（单位名称）的（项目名称）采购活动，提 供的货物全部由符合政策要求的中小企业制造。相关企业 （含联合体中的中小企业、签订分包意向协议的中小企业） 的具体情况如下：</w:t>
      </w:r>
    </w:p>
    <w:p w14:paraId="2DD7D4E8">
      <w:pPr>
        <w:spacing w:line="480" w:lineRule="auto"/>
        <w:rPr>
          <w:rFonts w:ascii="宋体" w:hAnsi="宋体" w:cs="宋体"/>
        </w:rPr>
      </w:pPr>
      <w:r>
        <w:rPr>
          <w:rFonts w:hint="eastAsia" w:ascii="宋体" w:hAnsi="宋体" w:cs="宋体"/>
          <w:lang w:bidi="ar"/>
        </w:rPr>
        <w:t>1. （</w:t>
      </w:r>
      <w:r>
        <w:rPr>
          <w:rFonts w:hint="eastAsia" w:ascii="宋体" w:hAnsi="宋体" w:cs="宋体"/>
          <w:u w:val="single"/>
          <w:lang w:bidi="ar"/>
        </w:rPr>
        <w:t>标的名称）</w:t>
      </w:r>
      <w:r>
        <w:rPr>
          <w:rFonts w:hint="eastAsia" w:ascii="宋体" w:hAnsi="宋体" w:cs="宋体"/>
          <w:lang w:bidi="ar"/>
        </w:rPr>
        <w:t xml:space="preserve"> ，属于</w:t>
      </w:r>
      <w:r>
        <w:rPr>
          <w:rFonts w:hint="eastAsia" w:ascii="宋体" w:hAnsi="宋体" w:cs="宋体"/>
          <w:u w:val="single"/>
          <w:lang w:bidi="ar"/>
        </w:rPr>
        <w:t>（采购文件中明确的所属行业）</w:t>
      </w:r>
      <w:r>
        <w:rPr>
          <w:rFonts w:hint="eastAsia" w:ascii="宋体" w:hAnsi="宋体" w:cs="宋体"/>
          <w:lang w:bidi="ar"/>
        </w:rPr>
        <w:t>；制造商为</w:t>
      </w:r>
      <w:r>
        <w:rPr>
          <w:rFonts w:hint="eastAsia" w:ascii="宋体" w:hAnsi="宋体" w:cs="宋体"/>
          <w:u w:val="single"/>
          <w:lang w:bidi="ar"/>
        </w:rPr>
        <w:t>（企业名称）</w:t>
      </w:r>
      <w:r>
        <w:rPr>
          <w:rFonts w:hint="eastAsia" w:ascii="宋体" w:hAnsi="宋体" w:cs="宋体"/>
          <w:lang w:bidi="ar"/>
        </w:rPr>
        <w:t>，从业人员</w:t>
      </w:r>
      <w:r>
        <w:rPr>
          <w:rFonts w:hint="eastAsia" w:ascii="宋体" w:hAnsi="宋体" w:cs="宋体"/>
          <w:u w:val="single"/>
          <w:lang w:bidi="ar"/>
        </w:rPr>
        <w:t xml:space="preserve">  </w:t>
      </w:r>
      <w:r>
        <w:rPr>
          <w:rFonts w:hint="eastAsia" w:ascii="宋体" w:hAnsi="宋体" w:cs="宋体"/>
          <w:lang w:bidi="ar"/>
        </w:rPr>
        <w:t xml:space="preserve"> </w:t>
      </w:r>
    </w:p>
    <w:p w14:paraId="4C0F9156">
      <w:pPr>
        <w:spacing w:line="480" w:lineRule="auto"/>
        <w:rPr>
          <w:rFonts w:ascii="宋体" w:hAnsi="宋体" w:cs="宋体"/>
        </w:rPr>
      </w:pPr>
      <w:r>
        <w:rPr>
          <w:rFonts w:hint="eastAsia" w:ascii="宋体" w:hAnsi="宋体" w:cs="宋体"/>
          <w:lang w:bidi="ar"/>
        </w:rPr>
        <w:t>人，营业收入为</w:t>
      </w:r>
      <w:r>
        <w:rPr>
          <w:rFonts w:hint="eastAsia" w:ascii="宋体" w:hAnsi="宋体" w:cs="宋体"/>
          <w:u w:val="single"/>
          <w:lang w:bidi="ar"/>
        </w:rPr>
        <w:t xml:space="preserve">      </w:t>
      </w:r>
      <w:r>
        <w:rPr>
          <w:rFonts w:hint="eastAsia" w:ascii="宋体" w:hAnsi="宋体" w:cs="宋体"/>
          <w:lang w:bidi="ar"/>
        </w:rPr>
        <w:t>万元，资产总额为</w:t>
      </w:r>
      <w:r>
        <w:rPr>
          <w:rFonts w:hint="eastAsia" w:ascii="宋体" w:hAnsi="宋体" w:cs="宋体"/>
          <w:u w:val="single"/>
          <w:lang w:bidi="ar"/>
        </w:rPr>
        <w:t xml:space="preserve">      </w:t>
      </w:r>
      <w:r>
        <w:rPr>
          <w:rFonts w:hint="eastAsia" w:ascii="宋体" w:hAnsi="宋体" w:cs="宋体"/>
          <w:lang w:bidi="ar"/>
        </w:rPr>
        <w:t>万元，属于</w:t>
      </w:r>
      <w:r>
        <w:rPr>
          <w:rFonts w:hint="eastAsia" w:ascii="宋体" w:hAnsi="宋体" w:cs="宋体"/>
          <w:u w:val="single"/>
          <w:lang w:bidi="ar"/>
        </w:rPr>
        <w:t>（中型企业、小型企业、微型企业）</w:t>
      </w:r>
      <w:r>
        <w:rPr>
          <w:rFonts w:hint="eastAsia" w:ascii="宋体" w:hAnsi="宋体" w:cs="宋体"/>
          <w:lang w:bidi="ar"/>
        </w:rPr>
        <w:t xml:space="preserve">； </w:t>
      </w:r>
    </w:p>
    <w:p w14:paraId="0C476DE8">
      <w:pPr>
        <w:spacing w:line="480" w:lineRule="auto"/>
        <w:rPr>
          <w:rFonts w:ascii="宋体" w:hAnsi="宋体" w:cs="宋体"/>
        </w:rPr>
      </w:pPr>
      <w:r>
        <w:rPr>
          <w:rFonts w:hint="eastAsia" w:ascii="宋体" w:hAnsi="宋体" w:cs="宋体"/>
          <w:lang w:bidi="ar"/>
        </w:rPr>
        <w:t>2. （</w:t>
      </w:r>
      <w:r>
        <w:rPr>
          <w:rFonts w:hint="eastAsia" w:ascii="宋体" w:hAnsi="宋体" w:cs="宋体"/>
          <w:u w:val="single"/>
          <w:lang w:bidi="ar"/>
        </w:rPr>
        <w:t>标的名称）</w:t>
      </w:r>
      <w:r>
        <w:rPr>
          <w:rFonts w:hint="eastAsia" w:ascii="宋体" w:hAnsi="宋体" w:cs="宋体"/>
          <w:lang w:bidi="ar"/>
        </w:rPr>
        <w:t xml:space="preserve"> ，属于</w:t>
      </w:r>
      <w:r>
        <w:rPr>
          <w:rFonts w:hint="eastAsia" w:ascii="宋体" w:hAnsi="宋体" w:cs="宋体"/>
          <w:u w:val="single"/>
          <w:lang w:bidi="ar"/>
        </w:rPr>
        <w:t>（采购文件中明确的所属行业）</w:t>
      </w:r>
      <w:r>
        <w:rPr>
          <w:rFonts w:hint="eastAsia" w:ascii="宋体" w:hAnsi="宋体" w:cs="宋体"/>
          <w:lang w:bidi="ar"/>
        </w:rPr>
        <w:t>；制造商为</w:t>
      </w:r>
      <w:r>
        <w:rPr>
          <w:rFonts w:hint="eastAsia" w:ascii="宋体" w:hAnsi="宋体" w:cs="宋体"/>
          <w:u w:val="single"/>
          <w:lang w:bidi="ar"/>
        </w:rPr>
        <w:t>（企业名称）</w:t>
      </w:r>
      <w:r>
        <w:rPr>
          <w:rFonts w:hint="eastAsia" w:ascii="宋体" w:hAnsi="宋体" w:cs="宋体"/>
          <w:lang w:bidi="ar"/>
        </w:rPr>
        <w:t>，从业人员</w:t>
      </w:r>
      <w:r>
        <w:rPr>
          <w:rFonts w:hint="eastAsia" w:ascii="宋体" w:hAnsi="宋体" w:cs="宋体"/>
          <w:u w:val="single"/>
          <w:lang w:bidi="ar"/>
        </w:rPr>
        <w:t xml:space="preserve">  </w:t>
      </w:r>
      <w:r>
        <w:rPr>
          <w:rFonts w:hint="eastAsia" w:ascii="宋体" w:hAnsi="宋体" w:cs="宋体"/>
          <w:lang w:bidi="ar"/>
        </w:rPr>
        <w:t xml:space="preserve"> </w:t>
      </w:r>
    </w:p>
    <w:p w14:paraId="2B5012B5">
      <w:pPr>
        <w:spacing w:line="480" w:lineRule="auto"/>
        <w:rPr>
          <w:rFonts w:ascii="宋体" w:hAnsi="宋体" w:cs="宋体"/>
        </w:rPr>
      </w:pPr>
      <w:r>
        <w:rPr>
          <w:rFonts w:hint="eastAsia" w:ascii="宋体" w:hAnsi="宋体" w:cs="宋体"/>
          <w:lang w:bidi="ar"/>
        </w:rPr>
        <w:t>人，营业收入为</w:t>
      </w:r>
      <w:r>
        <w:rPr>
          <w:rFonts w:hint="eastAsia" w:ascii="宋体" w:hAnsi="宋体" w:cs="宋体"/>
          <w:u w:val="single"/>
          <w:lang w:bidi="ar"/>
        </w:rPr>
        <w:t xml:space="preserve">      </w:t>
      </w:r>
      <w:r>
        <w:rPr>
          <w:rFonts w:hint="eastAsia" w:ascii="宋体" w:hAnsi="宋体" w:cs="宋体"/>
          <w:lang w:bidi="ar"/>
        </w:rPr>
        <w:t>万元，资产总额为</w:t>
      </w:r>
      <w:r>
        <w:rPr>
          <w:rFonts w:hint="eastAsia" w:ascii="宋体" w:hAnsi="宋体" w:cs="宋体"/>
          <w:u w:val="single"/>
          <w:lang w:bidi="ar"/>
        </w:rPr>
        <w:t xml:space="preserve">      </w:t>
      </w:r>
      <w:r>
        <w:rPr>
          <w:rFonts w:hint="eastAsia" w:ascii="宋体" w:hAnsi="宋体" w:cs="宋体"/>
          <w:lang w:bidi="ar"/>
        </w:rPr>
        <w:t>万元，属于</w:t>
      </w:r>
      <w:r>
        <w:rPr>
          <w:rFonts w:hint="eastAsia" w:ascii="宋体" w:hAnsi="宋体" w:cs="宋体"/>
          <w:u w:val="single"/>
          <w:lang w:bidi="ar"/>
        </w:rPr>
        <w:t>（中型企业、小型企业、微型企业）</w:t>
      </w:r>
      <w:r>
        <w:rPr>
          <w:rFonts w:hint="eastAsia" w:ascii="宋体" w:hAnsi="宋体" w:cs="宋体"/>
          <w:lang w:bidi="ar"/>
        </w:rPr>
        <w:t xml:space="preserve">； </w:t>
      </w:r>
    </w:p>
    <w:p w14:paraId="39EA70C9">
      <w:pPr>
        <w:spacing w:line="480" w:lineRule="auto"/>
        <w:rPr>
          <w:rFonts w:ascii="宋体" w:hAnsi="宋体" w:cs="宋体"/>
        </w:rPr>
      </w:pPr>
      <w:r>
        <w:rPr>
          <w:rFonts w:hint="eastAsia" w:ascii="宋体" w:hAnsi="宋体" w:cs="宋体"/>
          <w:lang w:bidi="ar"/>
        </w:rPr>
        <w:t>……</w:t>
      </w:r>
    </w:p>
    <w:p w14:paraId="71F5B059">
      <w:pPr>
        <w:spacing w:line="480" w:lineRule="auto"/>
        <w:rPr>
          <w:rFonts w:ascii="宋体" w:hAnsi="宋体" w:cs="宋体"/>
        </w:rPr>
      </w:pPr>
      <w:r>
        <w:rPr>
          <w:rFonts w:hint="eastAsia" w:ascii="宋体" w:hAnsi="宋体" w:cs="宋体"/>
          <w:lang w:bidi="ar"/>
        </w:rPr>
        <w:t>以上企业，不属于大企业的分支机构，不存在控股股东为大企业的情形，也不存在与大企业的负责人为同一人的情形。</w:t>
      </w:r>
    </w:p>
    <w:p w14:paraId="797B44A8">
      <w:pPr>
        <w:spacing w:line="480" w:lineRule="auto"/>
        <w:rPr>
          <w:rFonts w:ascii="宋体" w:hAnsi="宋体" w:cs="宋体"/>
        </w:rPr>
      </w:pPr>
      <w:r>
        <w:rPr>
          <w:rFonts w:hint="eastAsia" w:ascii="宋体" w:hAnsi="宋体" w:cs="宋体"/>
          <w:lang w:bidi="ar"/>
        </w:rPr>
        <w:t xml:space="preserve">本企业对上述声明内容的真实性负责。如有虚假，将依法承担相应责任。 </w:t>
      </w:r>
    </w:p>
    <w:p w14:paraId="0905EAD4">
      <w:pPr>
        <w:spacing w:line="480" w:lineRule="auto"/>
        <w:jc w:val="right"/>
        <w:rPr>
          <w:rFonts w:ascii="宋体" w:hAnsi="宋体" w:cs="宋体"/>
        </w:rPr>
      </w:pPr>
      <w:r>
        <w:rPr>
          <w:rFonts w:hint="eastAsia" w:ascii="宋体" w:hAnsi="宋体" w:cs="宋体"/>
          <w:lang w:bidi="ar"/>
        </w:rPr>
        <w:t xml:space="preserve">企业名称（盖章）： </w:t>
      </w:r>
    </w:p>
    <w:p w14:paraId="430E7BFD">
      <w:pPr>
        <w:spacing w:line="480" w:lineRule="auto"/>
        <w:jc w:val="right"/>
        <w:rPr>
          <w:rFonts w:ascii="宋体" w:hAnsi="宋体" w:cs="宋体"/>
        </w:rPr>
      </w:pPr>
      <w:r>
        <w:rPr>
          <w:rFonts w:hint="eastAsia" w:ascii="宋体" w:hAnsi="宋体" w:cs="宋体"/>
          <w:lang w:bidi="ar"/>
        </w:rPr>
        <w:t>日 期：</w:t>
      </w:r>
    </w:p>
    <w:p w14:paraId="1DB782DC">
      <w:pPr>
        <w:spacing w:line="480" w:lineRule="auto"/>
        <w:ind w:firstLine="420"/>
        <w:rPr>
          <w:rFonts w:ascii="宋体" w:hAnsi="宋体" w:cs="宋体"/>
          <w:lang w:bidi="ar"/>
        </w:rPr>
      </w:pPr>
    </w:p>
    <w:p w14:paraId="2424059E">
      <w:pPr>
        <w:spacing w:line="480" w:lineRule="auto"/>
        <w:ind w:firstLine="420"/>
        <w:rPr>
          <w:rFonts w:ascii="宋体" w:hAnsi="宋体" w:cs="宋体"/>
        </w:rPr>
      </w:pPr>
      <w:r>
        <w:rPr>
          <w:rFonts w:hint="eastAsia" w:ascii="宋体" w:hAnsi="宋体" w:cs="宋体"/>
          <w:lang w:bidi="ar"/>
        </w:rPr>
        <w:t>注：从业人员、营业收入、资产总额填报上一年度数据，无上一年度数据的新成立企业可不填报</w:t>
      </w:r>
    </w:p>
    <w:p w14:paraId="14F8541F">
      <w:pPr>
        <w:spacing w:line="440" w:lineRule="atLeast"/>
        <w:rPr>
          <w:rFonts w:ascii="新宋体" w:hAnsi="新宋体" w:eastAsia="新宋体"/>
          <w:bCs/>
        </w:rPr>
      </w:pPr>
      <w:r>
        <w:rPr>
          <w:rFonts w:hint="eastAsia" w:ascii="新宋体" w:hAnsi="新宋体" w:eastAsia="新宋体"/>
          <w:bCs/>
        </w:rPr>
        <w:t>                           　　　　　</w:t>
      </w:r>
    </w:p>
    <w:p w14:paraId="15BFD4F3">
      <w:pPr>
        <w:spacing w:line="440" w:lineRule="atLeast"/>
        <w:rPr>
          <w:rFonts w:ascii="新宋体" w:hAnsi="新宋体" w:eastAsia="新宋体"/>
          <w:bCs/>
          <w:sz w:val="24"/>
        </w:rPr>
      </w:pPr>
    </w:p>
    <w:p w14:paraId="7B591DC7">
      <w:pPr>
        <w:pStyle w:val="8"/>
        <w:rPr>
          <w:rFonts w:ascii="新宋体" w:hAnsi="新宋体" w:eastAsia="新宋体"/>
          <w:bCs/>
          <w:sz w:val="24"/>
        </w:rPr>
      </w:pPr>
    </w:p>
    <w:p w14:paraId="24D861A4">
      <w:pPr>
        <w:rPr>
          <w:rFonts w:ascii="新宋体" w:hAnsi="新宋体" w:eastAsia="新宋体"/>
          <w:bCs/>
          <w:sz w:val="24"/>
        </w:rPr>
      </w:pPr>
    </w:p>
    <w:p w14:paraId="1C269E48">
      <w:pPr>
        <w:pStyle w:val="8"/>
        <w:rPr>
          <w:rFonts w:ascii="新宋体" w:hAnsi="新宋体" w:eastAsia="新宋体"/>
          <w:bCs/>
          <w:sz w:val="24"/>
        </w:rPr>
      </w:pPr>
    </w:p>
    <w:p w14:paraId="1092F17F">
      <w:pPr>
        <w:rPr>
          <w:rFonts w:ascii="新宋体" w:hAnsi="新宋体" w:eastAsia="新宋体"/>
          <w:bCs/>
          <w:sz w:val="24"/>
        </w:rPr>
      </w:pPr>
    </w:p>
    <w:p w14:paraId="70475798">
      <w:pPr>
        <w:pStyle w:val="8"/>
        <w:rPr>
          <w:rFonts w:ascii="新宋体" w:hAnsi="新宋体" w:eastAsia="新宋体"/>
          <w:bCs/>
          <w:sz w:val="24"/>
        </w:rPr>
      </w:pPr>
    </w:p>
    <w:p w14:paraId="7BF866D7">
      <w:pPr>
        <w:rPr>
          <w:rFonts w:ascii="新宋体" w:hAnsi="新宋体" w:eastAsia="新宋体"/>
          <w:bCs/>
          <w:sz w:val="24"/>
        </w:rPr>
      </w:pPr>
    </w:p>
    <w:p w14:paraId="038E336E">
      <w:pPr>
        <w:pStyle w:val="8"/>
        <w:rPr>
          <w:rFonts w:ascii="新宋体" w:hAnsi="新宋体" w:eastAsia="新宋体"/>
          <w:bCs/>
          <w:sz w:val="24"/>
        </w:rPr>
      </w:pPr>
    </w:p>
    <w:p w14:paraId="0157B70A">
      <w:pPr>
        <w:rPr>
          <w:rFonts w:ascii="新宋体" w:hAnsi="新宋体" w:eastAsia="新宋体"/>
          <w:bCs/>
          <w:sz w:val="24"/>
        </w:rPr>
      </w:pPr>
    </w:p>
    <w:p w14:paraId="1D15B754">
      <w:pPr>
        <w:pStyle w:val="8"/>
        <w:rPr>
          <w:rFonts w:ascii="新宋体" w:hAnsi="新宋体" w:eastAsia="新宋体"/>
          <w:bCs/>
          <w:sz w:val="24"/>
        </w:rPr>
      </w:pPr>
    </w:p>
    <w:p w14:paraId="6526C9F0">
      <w:pPr>
        <w:rPr>
          <w:rFonts w:ascii="新宋体" w:hAnsi="新宋体" w:eastAsia="新宋体"/>
          <w:bCs/>
          <w:sz w:val="24"/>
        </w:rPr>
      </w:pPr>
    </w:p>
    <w:p w14:paraId="1C1DD8EA">
      <w:pPr>
        <w:pStyle w:val="8"/>
      </w:pPr>
    </w:p>
    <w:p w14:paraId="40174733">
      <w:pPr>
        <w:spacing w:before="100" w:beforeAutospacing="1" w:after="100" w:afterAutospacing="1" w:line="440" w:lineRule="atLeast"/>
        <w:rPr>
          <w:rFonts w:ascii="新宋体" w:hAnsi="新宋体" w:eastAsia="新宋体"/>
          <w:b/>
          <w:sz w:val="24"/>
        </w:rPr>
      </w:pPr>
      <w:r>
        <w:rPr>
          <w:rFonts w:hint="eastAsia" w:ascii="新宋体" w:hAnsi="新宋体" w:eastAsia="新宋体"/>
          <w:b/>
          <w:sz w:val="24"/>
        </w:rPr>
        <w:t>附件2</w:t>
      </w:r>
    </w:p>
    <w:p w14:paraId="58134039">
      <w:pPr>
        <w:spacing w:before="100" w:beforeAutospacing="1" w:after="100" w:afterAutospacing="1" w:line="440" w:lineRule="atLeast"/>
        <w:jc w:val="center"/>
        <w:rPr>
          <w:rFonts w:ascii="新宋体" w:hAnsi="新宋体" w:eastAsia="新宋体"/>
          <w:b/>
          <w:bCs/>
          <w:sz w:val="24"/>
        </w:rPr>
      </w:pPr>
      <w:bookmarkStart w:id="68" w:name="OLE_LINK14"/>
      <w:r>
        <w:rPr>
          <w:rFonts w:hint="eastAsia" w:ascii="新宋体" w:hAnsi="新宋体" w:eastAsia="新宋体"/>
          <w:b/>
          <w:bCs/>
          <w:sz w:val="24"/>
        </w:rPr>
        <w:t>残疾人福利性单位声明函</w:t>
      </w:r>
    </w:p>
    <w:bookmarkEnd w:id="68"/>
    <w:p w14:paraId="7593BC98">
      <w:pPr>
        <w:spacing w:line="588" w:lineRule="exact"/>
        <w:rPr>
          <w:rFonts w:ascii="新宋体" w:hAnsi="新宋体" w:eastAsia="新宋体"/>
          <w:b/>
          <w:spacing w:val="6"/>
          <w:sz w:val="30"/>
          <w:szCs w:val="30"/>
        </w:rPr>
      </w:pPr>
    </w:p>
    <w:p w14:paraId="3FB71705">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本单位郑重声明，根据《财政部 民政部 中国残疾人联合会关于促进残疾人就业政府采购政策的通知》（财库</w:t>
      </w:r>
      <w:r>
        <w:rPr>
          <w:rFonts w:hint="eastAsia" w:ascii="新宋体" w:hAnsi="新宋体" w:eastAsia="新宋体"/>
          <w:sz w:val="24"/>
        </w:rPr>
        <w:t>〔2017〕 141</w:t>
      </w:r>
      <w:r>
        <w:rPr>
          <w:rFonts w:hint="eastAsia" w:ascii="新宋体" w:hAnsi="新宋体" w:eastAsia="新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FAE1C5">
      <w:pPr>
        <w:spacing w:line="588" w:lineRule="exact"/>
        <w:ind w:firstLine="504" w:firstLineChars="200"/>
        <w:rPr>
          <w:rFonts w:ascii="新宋体" w:hAnsi="新宋体" w:eastAsia="新宋体"/>
          <w:spacing w:val="6"/>
          <w:sz w:val="24"/>
        </w:rPr>
      </w:pPr>
      <w:r>
        <w:rPr>
          <w:rFonts w:hint="eastAsia" w:ascii="新宋体" w:hAnsi="新宋体" w:eastAsia="新宋体"/>
          <w:spacing w:val="6"/>
          <w:sz w:val="24"/>
        </w:rPr>
        <w:t>本单位对上述声明的真实性负责。如有虚假，将依法承担相应责任。</w:t>
      </w:r>
    </w:p>
    <w:p w14:paraId="4CB4434B">
      <w:pPr>
        <w:spacing w:line="588" w:lineRule="exact"/>
        <w:ind w:firstLine="464" w:firstLineChars="200"/>
        <w:rPr>
          <w:rFonts w:ascii="新宋体" w:hAnsi="新宋体" w:eastAsia="新宋体"/>
          <w:spacing w:val="6"/>
        </w:rPr>
      </w:pPr>
    </w:p>
    <w:p w14:paraId="3A86707C">
      <w:pPr>
        <w:spacing w:line="588" w:lineRule="exact"/>
        <w:ind w:firstLine="464" w:firstLineChars="200"/>
        <w:rPr>
          <w:rFonts w:ascii="新宋体" w:hAnsi="新宋体" w:eastAsia="新宋体"/>
          <w:spacing w:val="6"/>
        </w:rPr>
      </w:pPr>
    </w:p>
    <w:p w14:paraId="52960F86">
      <w:pPr>
        <w:tabs>
          <w:tab w:val="left" w:pos="4860"/>
        </w:tabs>
        <w:spacing w:line="588" w:lineRule="exact"/>
        <w:ind w:right="1560" w:firstLine="464" w:firstLineChars="200"/>
        <w:jc w:val="center"/>
        <w:rPr>
          <w:rFonts w:ascii="新宋体" w:hAnsi="新宋体" w:eastAsia="新宋体"/>
          <w:spacing w:val="6"/>
        </w:rPr>
      </w:pPr>
      <w:r>
        <w:rPr>
          <w:rFonts w:hint="eastAsia" w:ascii="新宋体" w:hAnsi="新宋体" w:eastAsia="新宋体"/>
          <w:spacing w:val="6"/>
        </w:rPr>
        <w:t xml:space="preserve">               单位名称（盖章）：</w:t>
      </w:r>
    </w:p>
    <w:p w14:paraId="61DE76A6">
      <w:pPr>
        <w:tabs>
          <w:tab w:val="left" w:pos="4860"/>
        </w:tabs>
        <w:spacing w:line="588" w:lineRule="exact"/>
        <w:ind w:right="1560" w:firstLine="464" w:firstLineChars="200"/>
        <w:jc w:val="center"/>
        <w:rPr>
          <w:rFonts w:ascii="新宋体" w:hAnsi="新宋体" w:eastAsia="新宋体"/>
          <w:spacing w:val="6"/>
        </w:rPr>
      </w:pPr>
      <w:r>
        <w:rPr>
          <w:rFonts w:hint="eastAsia" w:ascii="新宋体" w:hAnsi="新宋体" w:eastAsia="新宋体"/>
          <w:spacing w:val="6"/>
        </w:rPr>
        <w:t xml:space="preserve">       日  期：</w:t>
      </w:r>
    </w:p>
    <w:p w14:paraId="2E7A9885">
      <w:pPr>
        <w:tabs>
          <w:tab w:val="left" w:pos="4860"/>
        </w:tabs>
        <w:spacing w:line="588" w:lineRule="exact"/>
        <w:ind w:right="1560" w:firstLine="624" w:firstLineChars="200"/>
        <w:jc w:val="center"/>
        <w:rPr>
          <w:rFonts w:ascii="新宋体" w:hAnsi="新宋体" w:eastAsia="新宋体"/>
          <w:spacing w:val="6"/>
          <w:sz w:val="30"/>
          <w:szCs w:val="30"/>
        </w:rPr>
      </w:pPr>
    </w:p>
    <w:p w14:paraId="3039F478">
      <w:pPr>
        <w:tabs>
          <w:tab w:val="left" w:pos="4860"/>
        </w:tabs>
        <w:spacing w:line="588" w:lineRule="exact"/>
        <w:ind w:right="1560" w:firstLine="624" w:firstLineChars="200"/>
        <w:jc w:val="center"/>
        <w:rPr>
          <w:rFonts w:ascii="新宋体" w:hAnsi="新宋体" w:eastAsia="新宋体"/>
          <w:spacing w:val="6"/>
          <w:sz w:val="30"/>
          <w:szCs w:val="30"/>
        </w:rPr>
      </w:pPr>
    </w:p>
    <w:p w14:paraId="3A646461">
      <w:pPr>
        <w:tabs>
          <w:tab w:val="left" w:pos="4860"/>
        </w:tabs>
        <w:spacing w:line="588" w:lineRule="exact"/>
        <w:ind w:right="1560"/>
        <w:rPr>
          <w:rFonts w:ascii="新宋体" w:hAnsi="新宋体" w:eastAsia="新宋体"/>
          <w:b/>
        </w:rPr>
      </w:pPr>
      <w:r>
        <w:rPr>
          <w:rFonts w:hint="eastAsia" w:ascii="新宋体" w:hAnsi="新宋体" w:eastAsia="新宋体"/>
          <w:b/>
        </w:rPr>
        <w:t>备注说明：</w:t>
      </w:r>
    </w:p>
    <w:p w14:paraId="386BAD56">
      <w:pPr>
        <w:tabs>
          <w:tab w:val="left" w:pos="4860"/>
        </w:tabs>
        <w:spacing w:line="588" w:lineRule="exact"/>
        <w:ind w:right="1560"/>
        <w:rPr>
          <w:rFonts w:ascii="新宋体" w:hAnsi="新宋体" w:eastAsia="新宋体"/>
          <w:b/>
        </w:rPr>
      </w:pPr>
      <w:r>
        <w:rPr>
          <w:rFonts w:hint="eastAsia" w:ascii="新宋体" w:hAnsi="新宋体" w:eastAsia="新宋体"/>
          <w:b/>
        </w:rPr>
        <w:t>1.如中标，将在中标公示中将此残疾人福利性单位声明函予以公示，接受社会监督；</w:t>
      </w:r>
    </w:p>
    <w:p w14:paraId="15E59CC1">
      <w:pPr>
        <w:spacing w:line="440" w:lineRule="exact"/>
        <w:rPr>
          <w:rFonts w:ascii="新宋体" w:hAnsi="新宋体" w:eastAsia="新宋体"/>
          <w:b/>
          <w:bCs/>
        </w:rPr>
      </w:pPr>
      <w:r>
        <w:rPr>
          <w:rFonts w:hint="eastAsia" w:ascii="新宋体" w:hAnsi="新宋体" w:eastAsia="新宋体"/>
          <w:b/>
        </w:rPr>
        <w:t>2.供应商提供的《残疾人福利性单位声明函》与事实不符的，依照《政府采购法》第七十七条第一款的规定追究法律责任。</w:t>
      </w:r>
    </w:p>
    <w:p w14:paraId="24BB49CB">
      <w:pPr>
        <w:autoSpaceDE w:val="0"/>
        <w:autoSpaceDN w:val="0"/>
        <w:adjustRightInd w:val="0"/>
        <w:snapToGrid w:val="0"/>
        <w:spacing w:line="380" w:lineRule="exact"/>
        <w:jc w:val="center"/>
        <w:textAlignment w:val="bottom"/>
        <w:outlineLvl w:val="0"/>
        <w:rPr>
          <w:rFonts w:ascii="宋体" w:hAnsi="宋体"/>
          <w:color w:val="000000"/>
          <w:sz w:val="36"/>
        </w:rPr>
      </w:pPr>
      <w:r>
        <w:rPr>
          <w:rFonts w:hint="eastAsia" w:ascii="宋体" w:hAnsi="宋体" w:cs="宋体"/>
          <w:sz w:val="32"/>
          <w:szCs w:val="32"/>
        </w:rPr>
        <w:br w:type="page"/>
      </w:r>
      <w:bookmarkStart w:id="69" w:name="_Toc12187"/>
      <w:r>
        <w:rPr>
          <w:rFonts w:hint="eastAsia" w:ascii="黑体" w:hAnsi="黑体" w:eastAsia="黑体" w:cs="黑体"/>
          <w:color w:val="000000"/>
          <w:sz w:val="28"/>
          <w:szCs w:val="28"/>
        </w:rPr>
        <w:t>第三部分采购内容及要求</w:t>
      </w:r>
      <w:bookmarkEnd w:id="25"/>
      <w:bookmarkEnd w:id="69"/>
    </w:p>
    <w:p w14:paraId="400AB4A2">
      <w:pPr>
        <w:numPr>
          <w:ilvl w:val="3"/>
          <w:numId w:val="0"/>
        </w:numPr>
        <w:snapToGrid w:val="0"/>
        <w:spacing w:line="360" w:lineRule="auto"/>
        <w:ind w:left="126" w:hanging="126" w:hangingChars="57"/>
        <w:outlineLvl w:val="1"/>
        <w:rPr>
          <w:rFonts w:ascii="宋体" w:hAnsi="宋体" w:cs="宋体"/>
          <w:b/>
          <w:bCs/>
        </w:rPr>
      </w:pPr>
      <w:bookmarkStart w:id="70" w:name="_Toc11695"/>
      <w:bookmarkStart w:id="71" w:name="_Toc17105"/>
      <w:bookmarkStart w:id="72" w:name="_Toc20292"/>
      <w:r>
        <w:rPr>
          <w:rFonts w:hint="eastAsia" w:ascii="宋体" w:hAnsi="宋体" w:cs="宋体"/>
          <w:b/>
          <w:bCs/>
        </w:rPr>
        <w:t>一、概述</w:t>
      </w:r>
      <w:bookmarkEnd w:id="70"/>
      <w:bookmarkEnd w:id="71"/>
      <w:bookmarkEnd w:id="72"/>
    </w:p>
    <w:p w14:paraId="75C0740E">
      <w:pPr>
        <w:numPr>
          <w:ilvl w:val="1"/>
          <w:numId w:val="0"/>
        </w:numPr>
        <w:tabs>
          <w:tab w:val="left" w:pos="420"/>
        </w:tabs>
        <w:snapToGrid w:val="0"/>
        <w:spacing w:line="360" w:lineRule="auto"/>
        <w:ind w:firstLine="440" w:firstLineChars="200"/>
        <w:jc w:val="both"/>
        <w:rPr>
          <w:rFonts w:ascii="宋体" w:hAnsi="宋体" w:cs="宋体"/>
          <w:bCs/>
        </w:rPr>
      </w:pPr>
      <w:r>
        <w:rPr>
          <w:rFonts w:hint="eastAsia" w:ascii="宋体" w:hAnsi="宋体" w:cs="宋体"/>
          <w:bCs/>
        </w:rPr>
        <w:t>1、此份采购内容及技术要求是磋商文件的一部分，包括所有条款的具体说明及技术要求，磋商供应商需在各自技术和商务占优势的基础上对本次采购的服务（货物或工程）进行报价。</w:t>
      </w:r>
    </w:p>
    <w:p w14:paraId="733128AE">
      <w:pPr>
        <w:numPr>
          <w:ilvl w:val="1"/>
          <w:numId w:val="0"/>
        </w:numPr>
        <w:tabs>
          <w:tab w:val="left" w:pos="420"/>
        </w:tabs>
        <w:snapToGrid w:val="0"/>
        <w:spacing w:line="360" w:lineRule="auto"/>
        <w:ind w:firstLine="440" w:firstLineChars="200"/>
        <w:jc w:val="both"/>
        <w:rPr>
          <w:rFonts w:ascii="宋体" w:hAnsi="宋体" w:cs="宋体"/>
          <w:bCs/>
        </w:rPr>
      </w:pPr>
      <w:r>
        <w:rPr>
          <w:rFonts w:hint="eastAsia" w:ascii="宋体" w:hAnsi="宋体" w:cs="宋体"/>
          <w:bCs/>
        </w:rPr>
        <w:t>2、现场踏勘：各磋商供应商于磋商截止时间前自行到现场进行踏勘（如有），以获取本次磋商所需的现场资料及数据，磋商供应商若未到现场踏勘，引起的一切后果均由其自行负责，由此造成报价的偏差均不予调整。</w:t>
      </w:r>
    </w:p>
    <w:p w14:paraId="3FF2951F">
      <w:pPr>
        <w:numPr>
          <w:ilvl w:val="1"/>
          <w:numId w:val="0"/>
        </w:numPr>
        <w:tabs>
          <w:tab w:val="left" w:pos="420"/>
        </w:tabs>
        <w:snapToGrid w:val="0"/>
        <w:spacing w:line="360" w:lineRule="auto"/>
        <w:ind w:firstLine="440" w:firstLineChars="200"/>
        <w:jc w:val="both"/>
        <w:rPr>
          <w:rFonts w:ascii="宋体" w:hAnsi="宋体" w:cs="宋体"/>
          <w:bCs/>
        </w:rPr>
      </w:pPr>
      <w:r>
        <w:rPr>
          <w:rFonts w:hint="eastAsia" w:ascii="宋体" w:hAnsi="宋体" w:cs="宋体"/>
          <w:bCs/>
        </w:rPr>
        <w:t>3、▲每个磋商供应商必须完成采购内容和合同（基本要求、价格和服务）规定义务，不允许只对部分内容进行报价。</w:t>
      </w:r>
    </w:p>
    <w:p w14:paraId="584F8E1E">
      <w:pPr>
        <w:numPr>
          <w:ilvl w:val="1"/>
          <w:numId w:val="0"/>
        </w:numPr>
        <w:tabs>
          <w:tab w:val="left" w:pos="426"/>
        </w:tabs>
        <w:snapToGrid w:val="0"/>
        <w:spacing w:line="360" w:lineRule="auto"/>
        <w:ind w:firstLine="440" w:firstLineChars="200"/>
        <w:jc w:val="both"/>
        <w:rPr>
          <w:rFonts w:ascii="宋体" w:hAnsi="宋体" w:cs="宋体"/>
          <w:b/>
          <w:bCs/>
        </w:rPr>
      </w:pPr>
      <w:r>
        <w:rPr>
          <w:rFonts w:hint="eastAsia" w:ascii="宋体" w:hAnsi="宋体" w:cs="宋体"/>
          <w:bCs/>
        </w:rPr>
        <w:t>4、</w:t>
      </w:r>
      <w:r>
        <w:rPr>
          <w:rFonts w:hint="eastAsia" w:ascii="宋体" w:hAnsi="宋体" w:cs="宋体"/>
          <w:b/>
        </w:rPr>
        <w:t>本次采购设一个标段，磋商供应商须对采购范围内的全部内容进行报价，而不允许只对其中部分内容进行报价，否则投标将被否决。</w:t>
      </w:r>
    </w:p>
    <w:p w14:paraId="7F0BF627">
      <w:pPr>
        <w:numPr>
          <w:ilvl w:val="1"/>
          <w:numId w:val="0"/>
        </w:numPr>
        <w:tabs>
          <w:tab w:val="left" w:pos="426"/>
        </w:tabs>
        <w:snapToGrid w:val="0"/>
        <w:spacing w:line="360" w:lineRule="auto"/>
        <w:ind w:firstLine="440" w:firstLineChars="200"/>
        <w:jc w:val="both"/>
        <w:rPr>
          <w:rFonts w:ascii="宋体" w:hAnsi="宋体" w:cs="宋体"/>
          <w:bCs/>
        </w:rPr>
      </w:pPr>
      <w:r>
        <w:rPr>
          <w:rFonts w:hint="eastAsia" w:ascii="宋体" w:hAnsi="宋体" w:cs="宋体"/>
          <w:bCs/>
        </w:rPr>
        <w:t>5、本次项目服务的标准、规范，应符合国家有关条例及规范。如有新的标准应采纳新标准。</w:t>
      </w:r>
    </w:p>
    <w:p w14:paraId="08EF2D88">
      <w:pPr>
        <w:numPr>
          <w:ilvl w:val="1"/>
          <w:numId w:val="0"/>
        </w:numPr>
        <w:tabs>
          <w:tab w:val="left" w:pos="426"/>
        </w:tabs>
        <w:snapToGrid w:val="0"/>
        <w:spacing w:line="360" w:lineRule="auto"/>
        <w:ind w:firstLine="440" w:firstLineChars="200"/>
        <w:jc w:val="both"/>
        <w:rPr>
          <w:rFonts w:ascii="宋体" w:hAnsi="宋体" w:cs="宋体"/>
        </w:rPr>
      </w:pPr>
      <w:r>
        <w:rPr>
          <w:rFonts w:hint="eastAsia" w:ascii="宋体" w:hAnsi="宋体" w:cs="宋体"/>
        </w:rPr>
        <w:t>6、</w:t>
      </w:r>
      <w:r>
        <w:rPr>
          <w:rFonts w:hint="eastAsia" w:ascii="宋体" w:hAnsi="宋体" w:cs="宋体"/>
          <w:bCs/>
        </w:rPr>
        <w:t>在报价之前，磋商供应商须仔细阅读采购文件，如发现有任何疑问、冲突或技术问题，磋商供应商须在答疑截止时间前以书面形式向采购代理机构提出。逾期采购人不再作答复，有关风险及责任由磋商供应商自行承担</w:t>
      </w:r>
      <w:r>
        <w:rPr>
          <w:rFonts w:hint="eastAsia" w:ascii="宋体" w:hAnsi="宋体" w:cs="宋体"/>
        </w:rPr>
        <w:t>。</w:t>
      </w:r>
    </w:p>
    <w:p w14:paraId="5AB27B85">
      <w:pPr>
        <w:numPr>
          <w:ilvl w:val="3"/>
          <w:numId w:val="0"/>
        </w:numPr>
        <w:snapToGrid w:val="0"/>
        <w:spacing w:line="360" w:lineRule="auto"/>
        <w:ind w:left="126" w:hanging="126" w:hangingChars="57"/>
        <w:outlineLvl w:val="1"/>
        <w:rPr>
          <w:rFonts w:ascii="宋体" w:hAnsi="宋体" w:cs="宋体"/>
          <w:b/>
          <w:bCs/>
        </w:rPr>
      </w:pPr>
      <w:bookmarkStart w:id="73" w:name="_Toc20256"/>
      <w:bookmarkStart w:id="74" w:name="_Toc17270"/>
      <w:r>
        <w:rPr>
          <w:rFonts w:hint="eastAsia" w:ascii="宋体" w:hAnsi="宋体" w:cs="宋体"/>
          <w:b/>
          <w:bCs/>
        </w:rPr>
        <w:t>二、项目基本情况</w:t>
      </w:r>
      <w:bookmarkEnd w:id="73"/>
      <w:bookmarkEnd w:id="74"/>
    </w:p>
    <w:bookmarkEnd w:id="26"/>
    <w:bookmarkEnd w:id="27"/>
    <w:p w14:paraId="0C39713D">
      <w:pPr>
        <w:widowControl w:val="0"/>
        <w:autoSpaceDE w:val="0"/>
        <w:autoSpaceDN w:val="0"/>
        <w:spacing w:line="360" w:lineRule="auto"/>
        <w:rPr>
          <w:rFonts w:ascii="宋体" w:hAnsi="宋体" w:cs="宋体"/>
          <w:b/>
          <w:bCs/>
        </w:rPr>
      </w:pPr>
      <w:bookmarkStart w:id="75" w:name="_Toc14167"/>
      <w:bookmarkStart w:id="76" w:name="_Toc13689"/>
      <w:r>
        <w:rPr>
          <w:rFonts w:hint="eastAsia" w:ascii="宋体" w:hAnsi="宋体" w:cs="宋体"/>
          <w:b/>
          <w:bCs/>
        </w:rPr>
        <w:t>（一）、项目概况及招标范围和服务期限</w:t>
      </w:r>
    </w:p>
    <w:p w14:paraId="12B9F56C">
      <w:pPr>
        <w:spacing w:line="360" w:lineRule="auto"/>
        <w:ind w:firstLine="440" w:firstLineChars="200"/>
        <w:rPr>
          <w:rFonts w:ascii="宋体" w:hAnsi="宋体" w:cs="宋体"/>
        </w:rPr>
      </w:pPr>
      <w:r>
        <w:rPr>
          <w:rFonts w:hint="eastAsia" w:ascii="宋体" w:hAnsi="宋体" w:cs="宋体"/>
        </w:rPr>
        <w:t>（1）本项目投资估算3356.19万元，其中建安工程造价2355万元。本项目治理对象为矿区废渣及污染土壤，渣土治理总面积约25865.00 m</w:t>
      </w:r>
      <w:r>
        <w:rPr>
          <w:rFonts w:hint="eastAsia" w:ascii="宋体" w:hAnsi="宋体" w:cs="宋体"/>
          <w:vertAlign w:val="superscript"/>
        </w:rPr>
        <w:t>2</w:t>
      </w:r>
      <w:r>
        <w:rPr>
          <w:rFonts w:hint="eastAsia" w:ascii="宋体" w:hAnsi="宋体" w:cs="宋体"/>
        </w:rPr>
        <w:t>，治理总方量约 33818.32 m</w:t>
      </w:r>
      <w:r>
        <w:rPr>
          <w:rFonts w:hint="eastAsia" w:ascii="宋体" w:hAnsi="宋体" w:cs="宋体"/>
          <w:vertAlign w:val="superscript"/>
        </w:rPr>
        <w:t>3</w:t>
      </w:r>
      <w:r>
        <w:rPr>
          <w:rFonts w:hint="eastAsia" w:ascii="宋体" w:hAnsi="宋体" w:cs="宋体"/>
        </w:rPr>
        <w:t>，建设地点：永嘉县金溪镇山根村。建设范围：铅锌矿废石料处置、一般固体废物处置、生态恢复。</w:t>
      </w:r>
    </w:p>
    <w:p w14:paraId="0308F5EC">
      <w:pPr>
        <w:widowControl w:val="0"/>
        <w:autoSpaceDE w:val="0"/>
        <w:autoSpaceDN w:val="0"/>
        <w:spacing w:line="360" w:lineRule="auto"/>
        <w:ind w:firstLine="440" w:firstLineChars="200"/>
        <w:rPr>
          <w:rFonts w:ascii="宋体" w:hAnsi="宋体" w:cs="宋体"/>
        </w:rPr>
      </w:pPr>
      <w:r>
        <w:rPr>
          <w:rFonts w:hint="eastAsia" w:ascii="宋体" w:hAnsi="宋体" w:cs="宋体"/>
        </w:rPr>
        <w:t>建设地点：温州市永嘉县金溪镇</w:t>
      </w:r>
    </w:p>
    <w:p w14:paraId="09CF0F5E">
      <w:pPr>
        <w:widowControl w:val="0"/>
        <w:autoSpaceDE w:val="0"/>
        <w:autoSpaceDN w:val="0"/>
        <w:spacing w:line="360" w:lineRule="auto"/>
        <w:ind w:firstLine="440" w:firstLineChars="200"/>
        <w:rPr>
          <w:rFonts w:ascii="宋体" w:hAnsi="宋体" w:cs="宋体"/>
        </w:rPr>
      </w:pPr>
      <w:r>
        <w:rPr>
          <w:rFonts w:hint="eastAsia" w:ascii="宋体" w:hAnsi="宋体" w:cs="宋体"/>
        </w:rPr>
        <w:t>投资估算：本项目投资估算3356.19万元，其中建安工程造价2355万元。</w:t>
      </w:r>
    </w:p>
    <w:p w14:paraId="678D3834">
      <w:pPr>
        <w:widowControl w:val="0"/>
        <w:autoSpaceDE w:val="0"/>
        <w:autoSpaceDN w:val="0"/>
        <w:spacing w:line="360" w:lineRule="auto"/>
        <w:ind w:firstLine="440" w:firstLineChars="200"/>
        <w:rPr>
          <w:rFonts w:ascii="宋体" w:hAnsi="宋体" w:cs="宋体"/>
        </w:rPr>
      </w:pPr>
      <w:r>
        <w:rPr>
          <w:rFonts w:hint="eastAsia" w:ascii="宋体" w:hAnsi="宋体" w:cs="宋体"/>
        </w:rPr>
        <w:t>（2）采购范围</w:t>
      </w:r>
    </w:p>
    <w:p w14:paraId="2FB2166C">
      <w:pPr>
        <w:widowControl w:val="0"/>
        <w:autoSpaceDE w:val="0"/>
        <w:autoSpaceDN w:val="0"/>
        <w:spacing w:line="360" w:lineRule="auto"/>
        <w:ind w:firstLine="440" w:firstLineChars="200"/>
        <w:rPr>
          <w:rFonts w:ascii="宋体" w:hAnsi="宋体" w:cs="宋体"/>
        </w:rPr>
      </w:pPr>
      <w:r>
        <w:rPr>
          <w:rFonts w:hint="eastAsia" w:ascii="宋体" w:hAnsi="宋体" w:cs="宋体"/>
        </w:rPr>
        <w:t>负责实施本项目全过程的咨询服务（包括但不限于本项目实施期间因上级部门或其他政策原因一并纳入实施改造的内容均由全过程咨询单位提供相应的咨询、监管服务），服务范围包括项目监理、造价咨询服务及其他受到采购人委托等相关工作。具体内容如下：</w:t>
      </w:r>
    </w:p>
    <w:p w14:paraId="5E12FB3C">
      <w:pPr>
        <w:widowControl w:val="0"/>
        <w:autoSpaceDE w:val="0"/>
        <w:autoSpaceDN w:val="0"/>
        <w:spacing w:line="360" w:lineRule="auto"/>
        <w:ind w:firstLine="440" w:firstLineChars="200"/>
        <w:rPr>
          <w:rFonts w:ascii="宋体" w:hAnsi="宋体" w:cs="宋体"/>
        </w:rPr>
      </w:pPr>
      <w:r>
        <w:rPr>
          <w:rFonts w:hint="eastAsia" w:ascii="宋体" w:hAnsi="宋体" w:cs="宋体"/>
        </w:rPr>
        <w:t>专项咨询服务：</w:t>
      </w:r>
    </w:p>
    <w:p w14:paraId="193D0A03">
      <w:pPr>
        <w:widowControl w:val="0"/>
        <w:autoSpaceDE w:val="0"/>
        <w:autoSpaceDN w:val="0"/>
        <w:spacing w:line="360" w:lineRule="auto"/>
        <w:ind w:firstLine="440" w:firstLineChars="200"/>
        <w:rPr>
          <w:rFonts w:ascii="宋体" w:hAnsi="宋体" w:cs="宋体"/>
        </w:rPr>
      </w:pPr>
      <w:r>
        <w:rPr>
          <w:rFonts w:hint="eastAsia" w:ascii="宋体" w:hAnsi="宋体" w:cs="宋体"/>
        </w:rPr>
        <w:sym w:font="Wingdings 2" w:char="0052"/>
      </w:r>
      <w:r>
        <w:rPr>
          <w:rFonts w:hint="eastAsia" w:ascii="宋体" w:hAnsi="宋体" w:cs="宋体"/>
        </w:rPr>
        <w:t>项目监理：本项目实施阶段全过程及缺陷责任期监理（包含质量、进度、投资控制、合同管理和组织协调，安全、文明施工监管、环境保护监管，施工期间的环境保护措施落实、污染物排放符合国家和地方规定的标准，环境保护投资落实到位等）。</w:t>
      </w:r>
    </w:p>
    <w:p w14:paraId="55B5C711">
      <w:pPr>
        <w:widowControl w:val="0"/>
        <w:autoSpaceDE w:val="0"/>
        <w:autoSpaceDN w:val="0"/>
        <w:spacing w:line="360" w:lineRule="auto"/>
        <w:ind w:firstLine="440" w:firstLineChars="200"/>
        <w:rPr>
          <w:rFonts w:ascii="宋体" w:hAnsi="宋体" w:cs="宋体"/>
        </w:rPr>
      </w:pPr>
      <w:r>
        <w:rPr>
          <w:rFonts w:hint="eastAsia" w:ascii="宋体" w:hAnsi="宋体" w:cs="宋体"/>
        </w:rPr>
        <w:sym w:font="Wingdings 2" w:char="0052"/>
      </w:r>
      <w:r>
        <w:rPr>
          <w:rFonts w:hint="eastAsia" w:ascii="宋体" w:hAnsi="宋体" w:cs="宋体"/>
        </w:rPr>
        <w:t>项目造价咨询服务：施工阶段全过程造价控制（不含项目工程量清单、招标控制价编制和结算审核）。</w:t>
      </w:r>
    </w:p>
    <w:p w14:paraId="39A2B6EF">
      <w:pPr>
        <w:widowControl w:val="0"/>
        <w:autoSpaceDE w:val="0"/>
        <w:autoSpaceDN w:val="0"/>
        <w:spacing w:line="360" w:lineRule="auto"/>
        <w:ind w:firstLine="440" w:firstLineChars="200"/>
        <w:rPr>
          <w:rFonts w:ascii="宋体" w:hAnsi="宋体" w:cs="宋体"/>
        </w:rPr>
      </w:pPr>
      <w:r>
        <w:rPr>
          <w:rFonts w:hint="eastAsia" w:ascii="宋体" w:hAnsi="宋体" w:cs="宋体"/>
        </w:rPr>
        <w:sym w:font="Wingdings 2" w:char="0052"/>
      </w:r>
      <w:r>
        <w:rPr>
          <w:rFonts w:hint="eastAsia" w:ascii="宋体" w:hAnsi="宋体" w:cs="宋体"/>
        </w:rPr>
        <w:t>附加服务：在项目实施过程中的包括不限于以上等未列明的服务。例如向委托人提供国内和本市项目项目的造价咨询业务有关法律、法令、条例、规定、标准、规范和一般惯例的咨询服务；向委托人提供涉及委托项目项目的金额、材料、设备等造价信息和规定的咨询服务等；</w:t>
      </w:r>
    </w:p>
    <w:p w14:paraId="3250CDE9">
      <w:pPr>
        <w:widowControl w:val="0"/>
        <w:autoSpaceDE w:val="0"/>
        <w:autoSpaceDN w:val="0"/>
        <w:spacing w:line="360" w:lineRule="auto"/>
        <w:ind w:firstLine="440" w:firstLineChars="200"/>
        <w:rPr>
          <w:rFonts w:ascii="宋体" w:hAnsi="宋体" w:cs="宋体"/>
        </w:rPr>
      </w:pPr>
      <w:r>
        <w:rPr>
          <w:rFonts w:hint="eastAsia" w:ascii="宋体" w:hAnsi="宋体" w:cs="宋体"/>
        </w:rPr>
        <w:t>（三）其他要求：磋商供应商须承诺人员满足后续项目备案要求。</w:t>
      </w:r>
    </w:p>
    <w:p w14:paraId="60F82A60">
      <w:pPr>
        <w:widowControl w:val="0"/>
        <w:autoSpaceDE w:val="0"/>
        <w:autoSpaceDN w:val="0"/>
        <w:spacing w:line="360" w:lineRule="auto"/>
        <w:ind w:firstLine="440" w:firstLineChars="200"/>
        <w:rPr>
          <w:rFonts w:ascii="宋体" w:hAnsi="宋体" w:cs="宋体"/>
        </w:rPr>
      </w:pPr>
      <w:r>
        <w:rPr>
          <w:rFonts w:hint="eastAsia" w:ascii="宋体" w:hAnsi="宋体" w:cs="宋体"/>
        </w:rPr>
        <w:t>（四）服务期限</w:t>
      </w:r>
    </w:p>
    <w:p w14:paraId="2B7E90B3">
      <w:pPr>
        <w:widowControl w:val="0"/>
        <w:autoSpaceDE w:val="0"/>
        <w:autoSpaceDN w:val="0"/>
        <w:spacing w:line="360" w:lineRule="auto"/>
        <w:ind w:firstLine="440" w:firstLineChars="200"/>
        <w:rPr>
          <w:rFonts w:ascii="宋体" w:hAnsi="宋体" w:cs="宋体"/>
          <w:b/>
          <w:bCs/>
        </w:rPr>
      </w:pPr>
      <w:r>
        <w:rPr>
          <w:rFonts w:hint="eastAsia" w:ascii="宋体" w:hAnsi="宋体" w:cs="宋体"/>
        </w:rPr>
        <w:t>全过程咨询服务期限自签订合同之日起至项目竣工验收通过、缺陷责任期满，且全部资料归档，财务决算审计完成止。</w:t>
      </w:r>
    </w:p>
    <w:p w14:paraId="3181E51E">
      <w:pPr>
        <w:widowControl w:val="0"/>
        <w:autoSpaceDE w:val="0"/>
        <w:autoSpaceDN w:val="0"/>
        <w:spacing w:line="360" w:lineRule="auto"/>
        <w:rPr>
          <w:rFonts w:ascii="宋体" w:hAnsi="宋体" w:cs="宋体"/>
          <w:b/>
          <w:bCs/>
        </w:rPr>
      </w:pPr>
      <w:r>
        <w:rPr>
          <w:rFonts w:hint="eastAsia" w:ascii="宋体" w:hAnsi="宋体" w:cs="宋体"/>
          <w:b/>
          <w:bCs/>
        </w:rPr>
        <w:t>二、服务要求</w:t>
      </w:r>
    </w:p>
    <w:p w14:paraId="5F3F6B51">
      <w:pPr>
        <w:widowControl w:val="0"/>
        <w:autoSpaceDE w:val="0"/>
        <w:autoSpaceDN w:val="0"/>
        <w:spacing w:line="360" w:lineRule="auto"/>
        <w:ind w:firstLine="442" w:firstLineChars="200"/>
        <w:rPr>
          <w:rFonts w:ascii="宋体" w:hAnsi="宋体" w:cs="宋体"/>
          <w:b/>
          <w:bCs/>
        </w:rPr>
      </w:pPr>
      <w:r>
        <w:rPr>
          <w:rFonts w:hint="eastAsia" w:ascii="宋体" w:hAnsi="宋体" w:cs="宋体"/>
          <w:b/>
          <w:bCs/>
        </w:rPr>
        <w:t xml:space="preserve">（一）施工监理服务 </w:t>
      </w:r>
    </w:p>
    <w:p w14:paraId="1F04DDD7">
      <w:pPr>
        <w:widowControl w:val="0"/>
        <w:autoSpaceDE w:val="0"/>
        <w:autoSpaceDN w:val="0"/>
        <w:spacing w:line="360" w:lineRule="auto"/>
        <w:ind w:firstLine="440" w:firstLineChars="200"/>
        <w:rPr>
          <w:rFonts w:ascii="宋体" w:hAnsi="宋体" w:cs="宋体"/>
        </w:rPr>
      </w:pPr>
      <w:r>
        <w:rPr>
          <w:rFonts w:hint="eastAsia" w:ascii="宋体" w:hAnsi="宋体" w:cs="宋体"/>
        </w:rPr>
        <w:t>（1）按相关规定编制全过程实施方案、全过程工期实施计划、全过程实施细则，报委托人同意后实施。</w:t>
      </w:r>
    </w:p>
    <w:p w14:paraId="18BF4BA9">
      <w:pPr>
        <w:widowControl w:val="0"/>
        <w:autoSpaceDE w:val="0"/>
        <w:autoSpaceDN w:val="0"/>
        <w:spacing w:line="360" w:lineRule="auto"/>
        <w:ind w:firstLine="440" w:firstLineChars="200"/>
        <w:rPr>
          <w:rFonts w:ascii="宋体" w:hAnsi="宋体" w:cs="宋体"/>
        </w:rPr>
      </w:pPr>
      <w:r>
        <w:rPr>
          <w:rFonts w:hint="eastAsia" w:ascii="宋体" w:hAnsi="宋体" w:cs="宋体"/>
        </w:rPr>
        <w:t>（2）熟悉合同文件，了解施工现场。</w:t>
      </w:r>
    </w:p>
    <w:p w14:paraId="7DC661F7">
      <w:pPr>
        <w:widowControl w:val="0"/>
        <w:autoSpaceDE w:val="0"/>
        <w:autoSpaceDN w:val="0"/>
        <w:spacing w:line="360" w:lineRule="auto"/>
        <w:ind w:firstLine="440" w:firstLineChars="200"/>
        <w:rPr>
          <w:rFonts w:ascii="宋体" w:hAnsi="宋体" w:cs="宋体"/>
        </w:rPr>
      </w:pPr>
      <w:r>
        <w:rPr>
          <w:rFonts w:hint="eastAsia" w:ascii="宋体" w:hAnsi="宋体" w:cs="宋体"/>
        </w:rPr>
        <w:t>（3）参与交桩和设计交底工作，审查承包人提交的复测结果、施工图变更设计和施工组织设计，督促和检查承包人建立质量保证体系、安全保证体系。</w:t>
      </w:r>
    </w:p>
    <w:p w14:paraId="3EA93D30">
      <w:pPr>
        <w:widowControl w:val="0"/>
        <w:autoSpaceDE w:val="0"/>
        <w:autoSpaceDN w:val="0"/>
        <w:spacing w:line="360" w:lineRule="auto"/>
        <w:ind w:firstLine="440" w:firstLineChars="200"/>
        <w:rPr>
          <w:rFonts w:ascii="宋体" w:hAnsi="宋体" w:cs="宋体"/>
        </w:rPr>
      </w:pPr>
      <w:r>
        <w:rPr>
          <w:rFonts w:hint="eastAsia" w:ascii="宋体" w:hAnsi="宋体" w:cs="宋体"/>
        </w:rPr>
        <w:t>（4）检查施工承包人的开工准备工作，审批施工组织设计，签认开工报告，批准单项项目开工报告。</w:t>
      </w:r>
    </w:p>
    <w:p w14:paraId="7D9D2909">
      <w:pPr>
        <w:widowControl w:val="0"/>
        <w:autoSpaceDE w:val="0"/>
        <w:autoSpaceDN w:val="0"/>
        <w:spacing w:line="360" w:lineRule="auto"/>
        <w:ind w:firstLine="440" w:firstLineChars="200"/>
        <w:rPr>
          <w:rFonts w:ascii="宋体" w:hAnsi="宋体" w:cs="宋体"/>
        </w:rPr>
      </w:pPr>
      <w:r>
        <w:rPr>
          <w:rFonts w:hint="eastAsia" w:ascii="宋体" w:hAnsi="宋体" w:cs="宋体"/>
        </w:rPr>
        <w:t>（5）审查承包人授权的常驻现场代表的资质，以及其他派驻到现场的主要技术、管理人员的资质；审查特殊作业人员上岗证件。</w:t>
      </w:r>
    </w:p>
    <w:p w14:paraId="113C2CDE">
      <w:pPr>
        <w:widowControl w:val="0"/>
        <w:autoSpaceDE w:val="0"/>
        <w:autoSpaceDN w:val="0"/>
        <w:spacing w:line="360" w:lineRule="auto"/>
        <w:ind w:firstLine="440" w:firstLineChars="200"/>
        <w:rPr>
          <w:rFonts w:ascii="宋体" w:hAnsi="宋体" w:cs="宋体"/>
        </w:rPr>
      </w:pPr>
      <w:r>
        <w:rPr>
          <w:rFonts w:hint="eastAsia" w:ascii="宋体" w:hAnsi="宋体" w:cs="宋体"/>
        </w:rPr>
        <w:t>（6）建立监理的试验、检测工作体系，按照规定的频率独立开展监理的试验、检测工作。</w:t>
      </w:r>
    </w:p>
    <w:p w14:paraId="4C91F805">
      <w:pPr>
        <w:widowControl w:val="0"/>
        <w:autoSpaceDE w:val="0"/>
        <w:autoSpaceDN w:val="0"/>
        <w:spacing w:line="360" w:lineRule="auto"/>
        <w:ind w:firstLine="440" w:firstLineChars="200"/>
        <w:rPr>
          <w:rFonts w:ascii="宋体" w:hAnsi="宋体" w:cs="宋体"/>
        </w:rPr>
      </w:pPr>
      <w:r>
        <w:rPr>
          <w:rFonts w:hint="eastAsia" w:ascii="宋体" w:hAnsi="宋体" w:cs="宋体"/>
        </w:rPr>
        <w:t>（7）审批承包人拟用于本项目的原始材料、成套设备的品质。</w:t>
      </w:r>
    </w:p>
    <w:p w14:paraId="16E4BA93">
      <w:pPr>
        <w:widowControl w:val="0"/>
        <w:autoSpaceDE w:val="0"/>
        <w:autoSpaceDN w:val="0"/>
        <w:spacing w:line="360" w:lineRule="auto"/>
        <w:ind w:firstLine="440" w:firstLineChars="200"/>
        <w:rPr>
          <w:rFonts w:ascii="宋体" w:hAnsi="宋体" w:cs="宋体"/>
        </w:rPr>
      </w:pPr>
      <w:r>
        <w:rPr>
          <w:rFonts w:hint="eastAsia" w:ascii="宋体" w:hAnsi="宋体" w:cs="宋体"/>
        </w:rPr>
        <w:t>（8）审查施工承包人实施项目的实施方案及主要方法或工艺，审批施工承包人提交的各项安全专项方案；还应对施工承包人在施工过程中采取的环境保护措施和施工安全、文明措施加强监督和管理；验收承包人的工地试验室，审核其人员资质。</w:t>
      </w:r>
    </w:p>
    <w:p w14:paraId="5FD65C50">
      <w:pPr>
        <w:widowControl w:val="0"/>
        <w:autoSpaceDE w:val="0"/>
        <w:autoSpaceDN w:val="0"/>
        <w:spacing w:line="360" w:lineRule="auto"/>
        <w:ind w:firstLine="440" w:firstLineChars="200"/>
        <w:rPr>
          <w:rFonts w:ascii="宋体" w:hAnsi="宋体" w:cs="宋体"/>
        </w:rPr>
      </w:pPr>
      <w:r>
        <w:rPr>
          <w:rFonts w:hint="eastAsia" w:ascii="宋体" w:hAnsi="宋体" w:cs="宋体"/>
        </w:rPr>
        <w:t>（9）审查施工承包人拟用于本项目的机械设备的性能与数量。</w:t>
      </w:r>
    </w:p>
    <w:p w14:paraId="3DA04AC5">
      <w:pPr>
        <w:widowControl w:val="0"/>
        <w:autoSpaceDE w:val="0"/>
        <w:autoSpaceDN w:val="0"/>
        <w:spacing w:line="360" w:lineRule="auto"/>
        <w:ind w:firstLine="440" w:firstLineChars="200"/>
        <w:rPr>
          <w:rFonts w:ascii="宋体" w:hAnsi="宋体" w:cs="宋体"/>
        </w:rPr>
      </w:pPr>
      <w:r>
        <w:rPr>
          <w:rFonts w:hint="eastAsia" w:ascii="宋体" w:hAnsi="宋体" w:cs="宋体"/>
        </w:rPr>
        <w:t>（10）审查承包人提交的总体进度计划，检查和督促承包人实施进度计划、核批承包人的修正计划。</w:t>
      </w:r>
    </w:p>
    <w:p w14:paraId="49613C03">
      <w:pPr>
        <w:widowControl w:val="0"/>
        <w:autoSpaceDE w:val="0"/>
        <w:autoSpaceDN w:val="0"/>
        <w:spacing w:line="360" w:lineRule="auto"/>
        <w:ind w:firstLine="440" w:firstLineChars="200"/>
        <w:rPr>
          <w:rFonts w:ascii="宋体" w:hAnsi="宋体" w:cs="宋体"/>
        </w:rPr>
      </w:pPr>
      <w:r>
        <w:rPr>
          <w:rFonts w:hint="eastAsia" w:ascii="宋体" w:hAnsi="宋体" w:cs="宋体"/>
        </w:rPr>
        <w:t>（11）审查分包合同和分包人的资质，控制重要外购成品件或半成品的质量。</w:t>
      </w:r>
    </w:p>
    <w:p w14:paraId="32480DC4">
      <w:pPr>
        <w:widowControl w:val="0"/>
        <w:autoSpaceDE w:val="0"/>
        <w:autoSpaceDN w:val="0"/>
        <w:spacing w:line="360" w:lineRule="auto"/>
        <w:ind w:firstLine="440" w:firstLineChars="200"/>
        <w:rPr>
          <w:rFonts w:ascii="宋体" w:hAnsi="宋体" w:cs="宋体"/>
        </w:rPr>
      </w:pPr>
      <w:r>
        <w:rPr>
          <w:rFonts w:hint="eastAsia" w:ascii="宋体" w:hAnsi="宋体" w:cs="宋体"/>
        </w:rPr>
        <w:t>（12）审查承包人提交的总体进度计划，检查和督促承包人实施进度计划、核批承包人的修正计划。</w:t>
      </w:r>
    </w:p>
    <w:p w14:paraId="1144E768">
      <w:pPr>
        <w:widowControl w:val="0"/>
        <w:autoSpaceDE w:val="0"/>
        <w:autoSpaceDN w:val="0"/>
        <w:spacing w:line="360" w:lineRule="auto"/>
        <w:ind w:firstLine="440" w:firstLineChars="200"/>
        <w:rPr>
          <w:rFonts w:ascii="宋体" w:hAnsi="宋体" w:cs="宋体"/>
        </w:rPr>
      </w:pPr>
      <w:r>
        <w:rPr>
          <w:rFonts w:hint="eastAsia" w:ascii="宋体" w:hAnsi="宋体" w:cs="宋体"/>
        </w:rPr>
        <w:t>（13）参加第一次开始的工地监理会议和主持日常工地监理会议，参加造价专题例会，参加跟踪审计造价会议。</w:t>
      </w:r>
    </w:p>
    <w:p w14:paraId="1B6E3409">
      <w:pPr>
        <w:widowControl w:val="0"/>
        <w:autoSpaceDE w:val="0"/>
        <w:autoSpaceDN w:val="0"/>
        <w:spacing w:line="360" w:lineRule="auto"/>
        <w:ind w:firstLine="440" w:firstLineChars="200"/>
        <w:rPr>
          <w:rFonts w:ascii="宋体" w:hAnsi="宋体" w:cs="宋体"/>
        </w:rPr>
      </w:pPr>
      <w:r>
        <w:rPr>
          <w:rFonts w:hint="eastAsia" w:ascii="宋体" w:hAnsi="宋体" w:cs="宋体"/>
        </w:rPr>
        <w:t>（14）要求承包人按照合同条件、技术规范和监理程序进行施工、通过旁站、巡视、检测、整体验收等手段全面监督、检查和控制项目质量；尤其须注意对进场材料、设备的平行检验及对混凝土浇筑等关键部分、关键工序实行全过程旁站。</w:t>
      </w:r>
    </w:p>
    <w:p w14:paraId="6DCEFA09">
      <w:pPr>
        <w:widowControl w:val="0"/>
        <w:autoSpaceDE w:val="0"/>
        <w:autoSpaceDN w:val="0"/>
        <w:spacing w:line="360" w:lineRule="auto"/>
        <w:ind w:firstLine="440" w:firstLineChars="200"/>
        <w:rPr>
          <w:rFonts w:ascii="宋体" w:hAnsi="宋体" w:cs="宋体"/>
        </w:rPr>
      </w:pPr>
      <w:r>
        <w:rPr>
          <w:rFonts w:hint="eastAsia" w:ascii="宋体" w:hAnsi="宋体" w:cs="宋体"/>
        </w:rPr>
        <w:t>（15）对已完成项目量进行准确的计量，对项目量的增减做好实测实量，保存好原始凭证，并接受委托人代表检核，重大项目量的计量按宁波市有关文件和合同约定执行，审核变更的工作量并签署确认意见（项目量变更的对外确认只能由委托人进行），对上报进度款的工作量进行审核确认后，交委托人最终确认。</w:t>
      </w:r>
    </w:p>
    <w:p w14:paraId="385B1106">
      <w:pPr>
        <w:widowControl w:val="0"/>
        <w:autoSpaceDE w:val="0"/>
        <w:autoSpaceDN w:val="0"/>
        <w:spacing w:line="360" w:lineRule="auto"/>
        <w:ind w:firstLine="440" w:firstLineChars="200"/>
        <w:rPr>
          <w:rFonts w:ascii="宋体" w:hAnsi="宋体" w:cs="宋体"/>
        </w:rPr>
      </w:pPr>
      <w:r>
        <w:rPr>
          <w:rFonts w:hint="eastAsia" w:ascii="宋体" w:hAnsi="宋体" w:cs="宋体"/>
        </w:rPr>
        <w:t>（16）对承包人安全、文明施工进行监管，督促承包单位做好半成品保护，对施工单位成品保护工作的质量与效果进行经常性检查，要避免因成品保护不善造成操作损坏或污染，影响项目整体质量。</w:t>
      </w:r>
    </w:p>
    <w:p w14:paraId="18A8E06F">
      <w:pPr>
        <w:widowControl w:val="0"/>
        <w:autoSpaceDE w:val="0"/>
        <w:autoSpaceDN w:val="0"/>
        <w:spacing w:line="360" w:lineRule="auto"/>
        <w:ind w:firstLine="440" w:firstLineChars="200"/>
        <w:rPr>
          <w:rFonts w:ascii="宋体" w:hAnsi="宋体" w:cs="宋体"/>
        </w:rPr>
      </w:pPr>
      <w:r>
        <w:rPr>
          <w:rFonts w:hint="eastAsia" w:ascii="宋体" w:hAnsi="宋体" w:cs="宋体"/>
        </w:rPr>
        <w:t>（17）签发中间交工文件。</w:t>
      </w:r>
    </w:p>
    <w:p w14:paraId="21B6C038">
      <w:pPr>
        <w:widowControl w:val="0"/>
        <w:autoSpaceDE w:val="0"/>
        <w:autoSpaceDN w:val="0"/>
        <w:spacing w:line="360" w:lineRule="auto"/>
        <w:ind w:firstLine="440" w:firstLineChars="200"/>
        <w:rPr>
          <w:rFonts w:ascii="宋体" w:hAnsi="宋体" w:cs="宋体"/>
        </w:rPr>
      </w:pPr>
      <w:r>
        <w:rPr>
          <w:rFonts w:hint="eastAsia" w:ascii="宋体" w:hAnsi="宋体" w:cs="宋体"/>
        </w:rPr>
        <w:t>（18）调查、处理项目质量缺陷和事故，与设计、施工单位一起提出改进措施和方法，出现重大质量和安全事故时，督促承包人按规定上报有关部门。对施工现场安全、质量管理进行监管，如发生安全质量事故或区级以上相关行政单位通报批评，与施工单位等被通报批评单位接受相应处罚。</w:t>
      </w:r>
    </w:p>
    <w:p w14:paraId="7AF8D92A">
      <w:pPr>
        <w:widowControl w:val="0"/>
        <w:autoSpaceDE w:val="0"/>
        <w:autoSpaceDN w:val="0"/>
        <w:spacing w:line="360" w:lineRule="auto"/>
        <w:ind w:firstLine="440" w:firstLineChars="200"/>
        <w:rPr>
          <w:rFonts w:ascii="宋体" w:hAnsi="宋体" w:cs="宋体"/>
        </w:rPr>
      </w:pPr>
      <w:r>
        <w:rPr>
          <w:rFonts w:hint="eastAsia" w:ascii="宋体" w:hAnsi="宋体" w:cs="宋体"/>
        </w:rPr>
        <w:t>（19）签认项目款及其他费用中期支付凭证。</w:t>
      </w:r>
    </w:p>
    <w:p w14:paraId="37B022A2">
      <w:pPr>
        <w:widowControl w:val="0"/>
        <w:autoSpaceDE w:val="0"/>
        <w:autoSpaceDN w:val="0"/>
        <w:spacing w:line="360" w:lineRule="auto"/>
        <w:ind w:firstLine="440" w:firstLineChars="200"/>
        <w:rPr>
          <w:rFonts w:ascii="宋体" w:hAnsi="宋体" w:cs="宋体"/>
        </w:rPr>
      </w:pPr>
      <w:r>
        <w:rPr>
          <w:rFonts w:hint="eastAsia" w:ascii="宋体" w:hAnsi="宋体" w:cs="宋体"/>
        </w:rPr>
        <w:t>（20）发布停（复）工令，须事先经委托人核准同意。</w:t>
      </w:r>
    </w:p>
    <w:p w14:paraId="7B2D7CC9">
      <w:pPr>
        <w:widowControl w:val="0"/>
        <w:autoSpaceDE w:val="0"/>
        <w:autoSpaceDN w:val="0"/>
        <w:spacing w:line="360" w:lineRule="auto"/>
        <w:ind w:firstLine="440" w:firstLineChars="200"/>
        <w:rPr>
          <w:rFonts w:ascii="宋体" w:hAnsi="宋体" w:cs="宋体"/>
        </w:rPr>
      </w:pPr>
      <w:r>
        <w:rPr>
          <w:rFonts w:hint="eastAsia" w:ascii="宋体" w:hAnsi="宋体" w:cs="宋体"/>
        </w:rPr>
        <w:t>（21）发布变更令（重大、重要变更报委托人核准，凡涉及项目造价须事前经委托人核准）。</w:t>
      </w:r>
    </w:p>
    <w:p w14:paraId="1B19265B">
      <w:pPr>
        <w:widowControl w:val="0"/>
        <w:autoSpaceDE w:val="0"/>
        <w:autoSpaceDN w:val="0"/>
        <w:spacing w:line="360" w:lineRule="auto"/>
        <w:ind w:firstLine="440" w:firstLineChars="200"/>
        <w:rPr>
          <w:rFonts w:ascii="宋体" w:hAnsi="宋体" w:cs="宋体"/>
        </w:rPr>
      </w:pPr>
      <w:r>
        <w:rPr>
          <w:rFonts w:hint="eastAsia" w:ascii="宋体" w:hAnsi="宋体" w:cs="宋体"/>
        </w:rPr>
        <w:t>（22）受理合同事宜，根据合同规定进行评估和处理。</w:t>
      </w:r>
    </w:p>
    <w:p w14:paraId="2EE123F0">
      <w:pPr>
        <w:widowControl w:val="0"/>
        <w:autoSpaceDE w:val="0"/>
        <w:autoSpaceDN w:val="0"/>
        <w:spacing w:line="360" w:lineRule="auto"/>
        <w:ind w:firstLine="440" w:firstLineChars="200"/>
        <w:rPr>
          <w:rFonts w:ascii="宋体" w:hAnsi="宋体" w:cs="宋体"/>
        </w:rPr>
      </w:pPr>
      <w:r>
        <w:rPr>
          <w:rFonts w:hint="eastAsia" w:ascii="宋体" w:hAnsi="宋体" w:cs="宋体"/>
        </w:rPr>
        <w:t>（23）根据合同规定处理违约事件，协调争端，在诉讼或仲裁过程中作证。</w:t>
      </w:r>
    </w:p>
    <w:p w14:paraId="0E2C6E7B">
      <w:pPr>
        <w:widowControl w:val="0"/>
        <w:autoSpaceDE w:val="0"/>
        <w:autoSpaceDN w:val="0"/>
        <w:spacing w:line="360" w:lineRule="auto"/>
        <w:ind w:firstLine="440" w:firstLineChars="200"/>
        <w:rPr>
          <w:rFonts w:ascii="宋体" w:hAnsi="宋体" w:cs="宋体"/>
        </w:rPr>
      </w:pPr>
      <w:r>
        <w:rPr>
          <w:rFonts w:hint="eastAsia" w:ascii="宋体" w:hAnsi="宋体" w:cs="宋体"/>
        </w:rPr>
        <w:t>（24）编制监理工作周报、月报及委托人要求编制的报表（或文件等）在每周一、每月25日前向委托人递交。</w:t>
      </w:r>
    </w:p>
    <w:p w14:paraId="59971250">
      <w:pPr>
        <w:widowControl w:val="0"/>
        <w:autoSpaceDE w:val="0"/>
        <w:autoSpaceDN w:val="0"/>
        <w:spacing w:line="360" w:lineRule="auto"/>
        <w:ind w:firstLine="440" w:firstLineChars="200"/>
        <w:rPr>
          <w:rFonts w:ascii="宋体" w:hAnsi="宋体" w:cs="宋体"/>
        </w:rPr>
      </w:pPr>
      <w:r>
        <w:rPr>
          <w:rFonts w:hint="eastAsia" w:ascii="宋体" w:hAnsi="宋体" w:cs="宋体"/>
        </w:rPr>
        <w:t>（25）对承包人的交工申请进行评估，主持对拟交工项目的检查和验收，签认交工文件，签署监理意见。</w:t>
      </w:r>
    </w:p>
    <w:p w14:paraId="13A678A8">
      <w:pPr>
        <w:widowControl w:val="0"/>
        <w:autoSpaceDE w:val="0"/>
        <w:autoSpaceDN w:val="0"/>
        <w:spacing w:line="360" w:lineRule="auto"/>
        <w:ind w:firstLine="440" w:firstLineChars="200"/>
        <w:rPr>
          <w:rFonts w:ascii="宋体" w:hAnsi="宋体" w:cs="宋体"/>
        </w:rPr>
      </w:pPr>
      <w:r>
        <w:rPr>
          <w:rFonts w:hint="eastAsia" w:ascii="宋体" w:hAnsi="宋体" w:cs="宋体"/>
        </w:rPr>
        <w:t>（26）督促、检查承包人按项目管理部门和委托人的要求编制竣工文件，审核竣工文件和竣工图并签署意见，配合审计工作，并做好归档工作。</w:t>
      </w:r>
    </w:p>
    <w:p w14:paraId="746F8697">
      <w:pPr>
        <w:widowControl w:val="0"/>
        <w:autoSpaceDE w:val="0"/>
        <w:autoSpaceDN w:val="0"/>
        <w:spacing w:line="360" w:lineRule="auto"/>
        <w:ind w:firstLine="440" w:firstLineChars="200"/>
        <w:rPr>
          <w:rFonts w:ascii="宋体" w:hAnsi="宋体" w:cs="宋体"/>
        </w:rPr>
      </w:pPr>
      <w:r>
        <w:rPr>
          <w:rFonts w:hint="eastAsia" w:ascii="宋体" w:hAnsi="宋体" w:cs="宋体"/>
        </w:rPr>
        <w:t>（27）配合委托人的竣工验收、项目移交和各种预验工作，督促整改意见的落实；</w:t>
      </w:r>
    </w:p>
    <w:p w14:paraId="758B4C95">
      <w:pPr>
        <w:widowControl w:val="0"/>
        <w:autoSpaceDE w:val="0"/>
        <w:autoSpaceDN w:val="0"/>
        <w:spacing w:line="360" w:lineRule="auto"/>
        <w:ind w:firstLine="440" w:firstLineChars="200"/>
        <w:rPr>
          <w:rFonts w:ascii="宋体" w:hAnsi="宋体" w:cs="宋体"/>
        </w:rPr>
      </w:pPr>
      <w:r>
        <w:rPr>
          <w:rFonts w:hint="eastAsia" w:ascii="宋体" w:hAnsi="宋体" w:cs="宋体"/>
        </w:rPr>
        <w:t>（28）对施工承包人的项目负责人及现场管理人员进行考勤。</w:t>
      </w:r>
    </w:p>
    <w:p w14:paraId="7C05E889">
      <w:pPr>
        <w:widowControl w:val="0"/>
        <w:autoSpaceDE w:val="0"/>
        <w:autoSpaceDN w:val="0"/>
        <w:spacing w:line="360" w:lineRule="auto"/>
        <w:ind w:firstLine="440" w:firstLineChars="200"/>
        <w:rPr>
          <w:rFonts w:ascii="宋体" w:hAnsi="宋体" w:cs="宋体"/>
        </w:rPr>
      </w:pPr>
      <w:r>
        <w:rPr>
          <w:rFonts w:hint="eastAsia" w:ascii="宋体" w:hAnsi="宋体" w:cs="宋体"/>
        </w:rPr>
        <w:t>（29）编制监理方面的竣工文件。</w:t>
      </w:r>
    </w:p>
    <w:p w14:paraId="09B6CC14">
      <w:pPr>
        <w:widowControl w:val="0"/>
        <w:autoSpaceDE w:val="0"/>
        <w:autoSpaceDN w:val="0"/>
        <w:spacing w:line="360" w:lineRule="auto"/>
        <w:ind w:firstLine="440" w:firstLineChars="200"/>
        <w:rPr>
          <w:rFonts w:ascii="宋体" w:hAnsi="宋体" w:cs="宋体"/>
        </w:rPr>
      </w:pPr>
      <w:r>
        <w:rPr>
          <w:rFonts w:hint="eastAsia" w:ascii="宋体" w:hAnsi="宋体" w:cs="宋体"/>
        </w:rPr>
        <w:t>（30）根据监理工作日记和造价变更工作日记，配合委托人做好决算和结算审计工作，对结算中有关争议内容出具公正、独立的书面意见，并提供相关依据。</w:t>
      </w:r>
    </w:p>
    <w:p w14:paraId="44BFDBEE">
      <w:pPr>
        <w:widowControl w:val="0"/>
        <w:autoSpaceDE w:val="0"/>
        <w:autoSpaceDN w:val="0"/>
        <w:spacing w:line="360" w:lineRule="auto"/>
        <w:ind w:firstLine="440" w:firstLineChars="200"/>
        <w:rPr>
          <w:rFonts w:ascii="宋体" w:hAnsi="宋体" w:cs="宋体"/>
        </w:rPr>
      </w:pPr>
      <w:r>
        <w:rPr>
          <w:rFonts w:hint="eastAsia" w:ascii="宋体" w:hAnsi="宋体" w:cs="宋体"/>
        </w:rPr>
        <w:t>（31）配合委托人做好竣工验收和验收后的维保和项目移交工作。</w:t>
      </w:r>
    </w:p>
    <w:p w14:paraId="0F6509F0">
      <w:pPr>
        <w:widowControl w:val="0"/>
        <w:autoSpaceDE w:val="0"/>
        <w:autoSpaceDN w:val="0"/>
        <w:spacing w:line="360" w:lineRule="auto"/>
        <w:ind w:firstLine="440" w:firstLineChars="200"/>
        <w:rPr>
          <w:rFonts w:ascii="宋体" w:hAnsi="宋体" w:cs="宋体"/>
        </w:rPr>
      </w:pPr>
      <w:r>
        <w:rPr>
          <w:rFonts w:hint="eastAsia" w:ascii="宋体" w:hAnsi="宋体" w:cs="宋体"/>
        </w:rPr>
        <w:t>（32）项目完工后，向委托人提交项目履约评估报告。</w:t>
      </w:r>
    </w:p>
    <w:p w14:paraId="323AF2D0">
      <w:pPr>
        <w:widowControl w:val="0"/>
        <w:autoSpaceDE w:val="0"/>
        <w:autoSpaceDN w:val="0"/>
        <w:spacing w:line="360" w:lineRule="auto"/>
        <w:ind w:firstLine="440" w:firstLineChars="200"/>
        <w:rPr>
          <w:rFonts w:ascii="宋体" w:hAnsi="宋体" w:cs="宋体"/>
        </w:rPr>
      </w:pPr>
      <w:r>
        <w:rPr>
          <w:rFonts w:hint="eastAsia" w:ascii="宋体" w:hAnsi="宋体" w:cs="宋体"/>
        </w:rPr>
        <w:t>（33）按监理规范规定的其他工作。</w:t>
      </w:r>
    </w:p>
    <w:p w14:paraId="1A81D900">
      <w:pPr>
        <w:widowControl w:val="0"/>
        <w:autoSpaceDE w:val="0"/>
        <w:autoSpaceDN w:val="0"/>
        <w:spacing w:line="360" w:lineRule="auto"/>
        <w:ind w:firstLine="440" w:firstLineChars="200"/>
        <w:rPr>
          <w:rFonts w:ascii="宋体" w:hAnsi="宋体" w:cs="宋体"/>
        </w:rPr>
      </w:pPr>
      <w:r>
        <w:rPr>
          <w:rFonts w:hint="eastAsia" w:ascii="宋体" w:hAnsi="宋体" w:cs="宋体"/>
        </w:rPr>
        <w:t>（34）遵守委托人内部规章制度，接受委托人的履约考核，对现场安全、质量、进度等管控不力的，按照委托人规章制度标准扣除违约金。</w:t>
      </w:r>
    </w:p>
    <w:p w14:paraId="026E9AC3">
      <w:pPr>
        <w:pStyle w:val="38"/>
        <w:ind w:firstLine="440"/>
        <w:rPr>
          <w:rFonts w:ascii="宋体" w:hAnsi="宋体" w:cs="宋体"/>
          <w:b/>
          <w:bCs/>
        </w:rPr>
      </w:pPr>
      <w:r>
        <w:rPr>
          <w:rFonts w:hint="eastAsia" w:ascii="宋体" w:hAnsi="宋体" w:cs="宋体"/>
        </w:rPr>
        <w:t>（三）</w:t>
      </w:r>
      <w:r>
        <w:rPr>
          <w:rFonts w:hint="eastAsia" w:ascii="宋体" w:hAnsi="宋体" w:cs="宋体"/>
          <w:b/>
          <w:bCs/>
        </w:rPr>
        <w:t>环境监理服务</w:t>
      </w:r>
    </w:p>
    <w:p w14:paraId="6833E26F">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（1）协助发包人做好开工准备，编写开工报告和开工令；</w:t>
      </w:r>
    </w:p>
    <w:p w14:paraId="2982B3FD">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（2）审查承包人编制的施工组织设计、施工方案(包括施工进度计划、质量保证体系及施工安全防护措施)；</w:t>
      </w:r>
    </w:p>
    <w:p w14:paraId="163FBE77">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（3）督促检查承包人严格执行工程承包合同和国家工程技术规范、修复方案、标准设计图纸文件，协调委托人与承包人之间的关系；</w:t>
      </w:r>
    </w:p>
    <w:p w14:paraId="267A8EA2">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（4）督促检查承包人落实文明施工、安全防护措施；</w:t>
      </w:r>
    </w:p>
    <w:p w14:paraId="46BEA78E">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（5）核验承包人所作的工程进度计划，签收检查承包人填报周、月、季等报表，随时提出监理意见，控制工程进度；</w:t>
      </w:r>
    </w:p>
    <w:p w14:paraId="1B2ED019">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（6）施工方案变更由监理机构负责经办，对于重大的方案修改和技术洽商，除监理提出意见之外，委托人应绘予协调，并由监理方组织专家对变更后的施工方案予以论证，论证可行后再进行实施；</w:t>
      </w:r>
    </w:p>
    <w:p w14:paraId="6DF21CEE">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7）根据承包人提出的阶段、部位、环节、各系统的分段工程的检验、验收以及整体工程竣工验收申请报告，提交工程监理工作报告，负责组织初验，在预验收中发现的问题，应及时与施工单位沟通，提出整改要求，签署由承包人提出的全部工程竣工验收报告，参加委托人组织的最终验收；</w:t>
      </w:r>
    </w:p>
    <w:p w14:paraId="7C4CCC18">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（8）负责检查工作状况，鉴定质量问题责任，督促维修；</w:t>
      </w:r>
    </w:p>
    <w:p w14:paraId="293EBBD1">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 xml:space="preserve">（9）监理机构应及时向委托人报送相关监理资料一份，并每月向委托人提交监理工作报告； </w:t>
      </w:r>
    </w:p>
    <w:p w14:paraId="66B80795">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（10）组织和参加定期(或不定期)召开的工程协调会并做好纪要，调解有关工程合同各方的争议，协助委托人处理索赔事项，对有关质量、进度和投资等问题提出监理意见；</w:t>
      </w:r>
    </w:p>
    <w:p w14:paraId="3D07C3FC">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（11）记录工程进度、质量检测、施工安全、施工干扰、监管部门和受托人意见、问题处理结果等情况，做好监理日记和有关的监理记录；</w:t>
      </w:r>
    </w:p>
    <w:p w14:paraId="6DF660C1">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（12）环境监理工作方案编制：根据施工单位提交的施工方案，针对采用的实施模式、实施技术、施工时间节点等信息，编制环境监理工作方案；</w:t>
      </w:r>
    </w:p>
    <w:p w14:paraId="1FEAAD86">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13）现场巡视监控及二次污染防控监督：在施工过程中，以不定时到现场巡视、拍照、现场询问等方式对施工过程进行监督，尤其关注在非修复管控范围和异味管控范围内进行的施工、建设，对可能出现的二次污染提出预防或整改建议；</w:t>
      </w:r>
    </w:p>
    <w:p w14:paraId="090FA641">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14）施工质量检验：按照施工方案的施工节点，采取“边实施边捡验”的方式，对工程质量进行检验检验对象为施工区域的环境，参照既定目标进行检验：未达到既定目标的，提出调整清理边界或深度、调整施工技术方法等建议，确保施工区域的清理及污染施工达到既定目要求；</w:t>
      </w:r>
    </w:p>
    <w:p w14:paraId="3869C469">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（15）编制施工环境监理工作报告：包括环境监理过程、环境监理工作内容、环境监理工作的实施、施工效果质量控制检验结果、施工二次污染防治等方面的内容；</w:t>
      </w:r>
    </w:p>
    <w:p w14:paraId="4CA0BDD8">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（16）对建设工程相关的工作和对施工阶段进行质量、进度、投资控制，合同、信息、安全管理，协调有关单位之间的关系，督促承包人强化安全管理工作等；</w:t>
      </w:r>
    </w:p>
    <w:p w14:paraId="4D9FEF2B">
      <w:pPr>
        <w:pStyle w:val="45"/>
        <w:spacing w:line="470" w:lineRule="exact"/>
        <w:ind w:firstLine="440" w:firstLineChars="200"/>
        <w:rPr>
          <w:rFonts w:ascii="宋体" w:hAnsi="宋体" w:eastAsia="宋体" w:cs="宋体"/>
          <w:color w:val="auto"/>
          <w:sz w:val="22"/>
          <w:szCs w:val="22"/>
          <w:lang w:bidi="zh-CN"/>
        </w:rPr>
      </w:pPr>
      <w:r>
        <w:rPr>
          <w:rFonts w:hint="eastAsia" w:ascii="宋体" w:hAnsi="宋体" w:eastAsia="宋体" w:cs="宋体"/>
          <w:color w:val="auto"/>
          <w:sz w:val="22"/>
          <w:szCs w:val="22"/>
          <w:lang w:bidi="zh-CN"/>
        </w:rPr>
        <w:t>（17）符合监理规范规定和行业惯例的其他工作；</w:t>
      </w:r>
    </w:p>
    <w:p w14:paraId="0BA72D73">
      <w:pPr>
        <w:pStyle w:val="45"/>
        <w:spacing w:line="470" w:lineRule="exact"/>
        <w:ind w:firstLine="440" w:firstLineChars="200"/>
        <w:rPr>
          <w:rFonts w:ascii="宋体" w:hAnsi="宋体" w:eastAsia="宋体" w:cs="宋体"/>
          <w:sz w:val="22"/>
          <w:szCs w:val="22"/>
        </w:rPr>
      </w:pPr>
      <w:r>
        <w:rPr>
          <w:rFonts w:hint="eastAsia" w:ascii="宋体" w:hAnsi="宋体" w:eastAsia="宋体" w:cs="宋体"/>
          <w:color w:val="auto"/>
          <w:sz w:val="22"/>
          <w:szCs w:val="22"/>
          <w:lang w:bidi="zh-CN"/>
        </w:rPr>
        <w:t>（18）未尽事宜按监理的有关法律法规执行。</w:t>
      </w:r>
    </w:p>
    <w:p w14:paraId="27874CAD">
      <w:pPr>
        <w:widowControl w:val="0"/>
        <w:autoSpaceDE w:val="0"/>
        <w:autoSpaceDN w:val="0"/>
        <w:spacing w:line="360" w:lineRule="auto"/>
        <w:ind w:firstLine="442" w:firstLineChars="200"/>
        <w:rPr>
          <w:rFonts w:ascii="宋体" w:hAnsi="宋体" w:cs="宋体"/>
        </w:rPr>
      </w:pPr>
      <w:r>
        <w:rPr>
          <w:rFonts w:hint="eastAsia" w:ascii="宋体" w:hAnsi="宋体" w:cs="宋体"/>
          <w:b/>
          <w:bCs/>
        </w:rPr>
        <w:t>（四）</w:t>
      </w:r>
      <w:r>
        <w:rPr>
          <w:rFonts w:hint="eastAsia" w:ascii="宋体" w:hAnsi="宋体" w:cs="宋体"/>
        </w:rPr>
        <w:t>施工阶段全过程项目造价控制服务（不含招标控制价、项目工程量清单编制和结算审核）</w:t>
      </w:r>
    </w:p>
    <w:p w14:paraId="0C954FA9">
      <w:pPr>
        <w:widowControl w:val="0"/>
        <w:autoSpaceDE w:val="0"/>
        <w:autoSpaceDN w:val="0"/>
        <w:spacing w:line="360" w:lineRule="auto"/>
        <w:ind w:firstLine="440" w:firstLineChars="200"/>
        <w:rPr>
          <w:rFonts w:ascii="宋体" w:hAnsi="宋体" w:cs="宋体"/>
        </w:rPr>
      </w:pPr>
      <w:r>
        <w:rPr>
          <w:rFonts w:hint="eastAsia" w:ascii="宋体" w:hAnsi="宋体" w:cs="宋体"/>
        </w:rPr>
        <w:t>（1）了解项目基本情况，包括项目前期资料、招投标文件、施工合同、结算方式等内容；</w:t>
      </w:r>
    </w:p>
    <w:p w14:paraId="571DAC75">
      <w:pPr>
        <w:widowControl w:val="0"/>
        <w:autoSpaceDE w:val="0"/>
        <w:autoSpaceDN w:val="0"/>
        <w:spacing w:line="360" w:lineRule="auto"/>
        <w:ind w:firstLine="440" w:firstLineChars="200"/>
        <w:rPr>
          <w:rFonts w:ascii="宋体" w:hAnsi="宋体" w:cs="宋体"/>
        </w:rPr>
      </w:pPr>
      <w:r>
        <w:rPr>
          <w:rFonts w:hint="eastAsia" w:ascii="宋体" w:hAnsi="宋体" w:cs="宋体"/>
        </w:rPr>
        <w:t>（2）协助委托人完成估算、概算审核及报批核对工作；</w:t>
      </w:r>
    </w:p>
    <w:p w14:paraId="286DE8D6">
      <w:pPr>
        <w:widowControl w:val="0"/>
        <w:autoSpaceDE w:val="0"/>
        <w:autoSpaceDN w:val="0"/>
        <w:spacing w:line="360" w:lineRule="auto"/>
        <w:ind w:firstLine="440" w:firstLineChars="200"/>
        <w:rPr>
          <w:rFonts w:ascii="宋体" w:hAnsi="宋体" w:cs="宋体"/>
        </w:rPr>
      </w:pPr>
      <w:r>
        <w:rPr>
          <w:rFonts w:hint="eastAsia" w:ascii="宋体" w:hAnsi="宋体" w:cs="宋体"/>
        </w:rPr>
        <w:t>（3）了解中标施工单位的施工组织设计和主要施工方案是否经济合理；</w:t>
      </w:r>
    </w:p>
    <w:p w14:paraId="1B8A158A">
      <w:pPr>
        <w:widowControl w:val="0"/>
        <w:autoSpaceDE w:val="0"/>
        <w:autoSpaceDN w:val="0"/>
        <w:spacing w:line="360" w:lineRule="auto"/>
        <w:ind w:firstLine="440" w:firstLineChars="200"/>
        <w:rPr>
          <w:rFonts w:ascii="宋体" w:hAnsi="宋体" w:cs="宋体"/>
        </w:rPr>
      </w:pPr>
      <w:r>
        <w:rPr>
          <w:rFonts w:hint="eastAsia" w:ascii="宋体" w:hAnsi="宋体" w:cs="宋体"/>
        </w:rPr>
        <w:t>（4）对施工单位的投标报价做不平衡报价评估；</w:t>
      </w:r>
    </w:p>
    <w:p w14:paraId="1B6900AA">
      <w:pPr>
        <w:widowControl w:val="0"/>
        <w:autoSpaceDE w:val="0"/>
        <w:autoSpaceDN w:val="0"/>
        <w:spacing w:line="360" w:lineRule="auto"/>
        <w:ind w:firstLine="440" w:firstLineChars="200"/>
        <w:rPr>
          <w:rFonts w:ascii="宋体" w:hAnsi="宋体" w:cs="宋体"/>
        </w:rPr>
      </w:pPr>
      <w:r>
        <w:rPr>
          <w:rFonts w:hint="eastAsia" w:ascii="宋体" w:hAnsi="宋体" w:cs="宋体"/>
        </w:rPr>
        <w:t>（5）制定现场控制造价步骤与措施；与项目监理单位（质量、进度控制）协调配合，制定控制造价节点与措施，严格签证制度，避免由此给委托人带来的损失；</w:t>
      </w:r>
    </w:p>
    <w:p w14:paraId="264B2FB5">
      <w:pPr>
        <w:widowControl w:val="0"/>
        <w:autoSpaceDE w:val="0"/>
        <w:autoSpaceDN w:val="0"/>
        <w:spacing w:line="360" w:lineRule="auto"/>
        <w:ind w:firstLine="440" w:firstLineChars="200"/>
        <w:rPr>
          <w:rFonts w:ascii="宋体" w:hAnsi="宋体" w:cs="宋体"/>
        </w:rPr>
      </w:pPr>
      <w:r>
        <w:rPr>
          <w:rFonts w:hint="eastAsia" w:ascii="宋体" w:hAnsi="宋体" w:cs="宋体"/>
        </w:rPr>
        <w:t>（6）协助委托人签署设计变更、项目变更单，对变更的理由、变更的内容、金额提出建议，若发生较大设计变更或市场波动，负责向委托人提交造价测算分析报告，并提供合理的造价控制方法（或建议），并帮助委托人办理重大设计变更的报批手续。变更审核质量达不到委托人的要求并给委托人造成一定损失的，委托人有权视情况处罚；</w:t>
      </w:r>
    </w:p>
    <w:p w14:paraId="2D720434">
      <w:pPr>
        <w:widowControl w:val="0"/>
        <w:autoSpaceDE w:val="0"/>
        <w:autoSpaceDN w:val="0"/>
        <w:spacing w:line="360" w:lineRule="auto"/>
        <w:ind w:firstLine="440" w:firstLineChars="200"/>
        <w:rPr>
          <w:rFonts w:ascii="宋体" w:hAnsi="宋体" w:cs="宋体"/>
        </w:rPr>
      </w:pPr>
      <w:r>
        <w:rPr>
          <w:rFonts w:hint="eastAsia" w:ascii="宋体" w:hAnsi="宋体" w:cs="宋体"/>
        </w:rPr>
        <w:t>（7）在施工过程中如发现清单量误差必须及时书面告知委托人，并测算相关费用；对于清单中已经计算而实际施工中漏掉或改动的工序与结构部件，全过程项目咨询人应该采用现场拍照、录像等手段，以书面资料汇总项目量出入的情况，并计算差价，与证明材料一并交给委托人，以便日后结算备用。如全过程项目咨询人对上述问题未发现或漏报、迟报、误报，给委托人造成损失的，委托人有权处罚；</w:t>
      </w:r>
    </w:p>
    <w:p w14:paraId="0A180361">
      <w:pPr>
        <w:widowControl w:val="0"/>
        <w:autoSpaceDE w:val="0"/>
        <w:autoSpaceDN w:val="0"/>
        <w:spacing w:line="360" w:lineRule="auto"/>
        <w:ind w:firstLine="440" w:firstLineChars="200"/>
        <w:rPr>
          <w:rFonts w:ascii="宋体" w:hAnsi="宋体" w:cs="宋体"/>
        </w:rPr>
      </w:pPr>
      <w:r>
        <w:rPr>
          <w:rFonts w:hint="eastAsia" w:ascii="宋体" w:hAnsi="宋体" w:cs="宋体"/>
        </w:rPr>
        <w:t>（8）全过程咨询人应在施工中标后1个月内，对中标单位的商务报价进行梳理、审核，向委托人出具一份商务标审核意见。</w:t>
      </w:r>
    </w:p>
    <w:p w14:paraId="56465476">
      <w:pPr>
        <w:widowControl w:val="0"/>
        <w:autoSpaceDE w:val="0"/>
        <w:autoSpaceDN w:val="0"/>
        <w:spacing w:line="360" w:lineRule="auto"/>
        <w:ind w:firstLine="440" w:firstLineChars="200"/>
        <w:rPr>
          <w:rFonts w:ascii="宋体" w:hAnsi="宋体" w:cs="宋体"/>
        </w:rPr>
      </w:pPr>
      <w:r>
        <w:rPr>
          <w:rFonts w:hint="eastAsia" w:ascii="宋体" w:hAnsi="宋体" w:cs="宋体"/>
        </w:rPr>
        <w:t>（9）在施工过程中，全过程项目咨询人对施工单位提交的造价变更联系单及时审批完成，因为全过程项目咨询人的错误致使联系单多次修改而影响工期的，委托人有权视情况进行处罚。</w:t>
      </w:r>
    </w:p>
    <w:p w14:paraId="632323DB">
      <w:pPr>
        <w:widowControl w:val="0"/>
        <w:autoSpaceDE w:val="0"/>
        <w:autoSpaceDN w:val="0"/>
        <w:spacing w:line="360" w:lineRule="auto"/>
        <w:ind w:firstLine="440" w:firstLineChars="200"/>
        <w:rPr>
          <w:rFonts w:ascii="宋体" w:hAnsi="宋体" w:cs="宋体"/>
        </w:rPr>
      </w:pPr>
      <w:r>
        <w:rPr>
          <w:rFonts w:hint="eastAsia" w:ascii="宋体" w:hAnsi="宋体" w:cs="宋体"/>
        </w:rPr>
        <w:t>（10）全过程项目咨询人必须在施工前，仔细校核施工图纸，校核各项功能、标准、不合理的地方，对设计图纸“差”、“错”、“漏”、“碰”等问题进行处理。</w:t>
      </w:r>
    </w:p>
    <w:p w14:paraId="56238577">
      <w:pPr>
        <w:widowControl w:val="0"/>
        <w:autoSpaceDE w:val="0"/>
        <w:autoSpaceDN w:val="0"/>
        <w:spacing w:line="360" w:lineRule="auto"/>
        <w:ind w:firstLine="440" w:firstLineChars="200"/>
        <w:rPr>
          <w:rFonts w:ascii="宋体" w:hAnsi="宋体" w:cs="宋体"/>
        </w:rPr>
      </w:pPr>
      <w:r>
        <w:rPr>
          <w:rFonts w:hint="eastAsia" w:ascii="宋体" w:hAnsi="宋体" w:cs="宋体"/>
        </w:rPr>
        <w:t>（11）审查项目月、季、年度项目进度报表是否准确，项目量计量、项目款支付是否合理；根据监理签署的施工单位当期实际完成的进度项目量进行复核，按照施工合同中关于进度款的拨付办法，向委托人提出项目进度款拨付意见；</w:t>
      </w:r>
    </w:p>
    <w:p w14:paraId="2BC3F834">
      <w:pPr>
        <w:widowControl w:val="0"/>
        <w:autoSpaceDE w:val="0"/>
        <w:autoSpaceDN w:val="0"/>
        <w:spacing w:line="360" w:lineRule="auto"/>
        <w:ind w:firstLine="440" w:firstLineChars="200"/>
        <w:rPr>
          <w:rFonts w:ascii="宋体" w:hAnsi="宋体" w:cs="宋体"/>
        </w:rPr>
      </w:pPr>
      <w:r>
        <w:rPr>
          <w:rFonts w:hint="eastAsia" w:ascii="宋体" w:hAnsi="宋体" w:cs="宋体"/>
        </w:rPr>
        <w:t>（12）审查预付项目款、应付项目款等是否真实、准确、完整；</w:t>
      </w:r>
    </w:p>
    <w:p w14:paraId="1815B1CB">
      <w:pPr>
        <w:widowControl w:val="0"/>
        <w:autoSpaceDE w:val="0"/>
        <w:autoSpaceDN w:val="0"/>
        <w:spacing w:line="360" w:lineRule="auto"/>
        <w:ind w:firstLine="440" w:firstLineChars="200"/>
        <w:rPr>
          <w:rFonts w:ascii="宋体" w:hAnsi="宋体" w:cs="宋体"/>
        </w:rPr>
      </w:pPr>
      <w:r>
        <w:rPr>
          <w:rFonts w:hint="eastAsia" w:ascii="宋体" w:hAnsi="宋体" w:cs="宋体"/>
        </w:rPr>
        <w:t>（13）审查有关各方签署的措施项目联系单及各种资料是否符合施工实际情况，必要时进行现场拍照、录像，以备查验。结合招标文件、投标文件及项目量清单报价内容，现场核实措施项目与清单报价的措施项目量，并向委托人提出措施项目费用结算意见。</w:t>
      </w:r>
    </w:p>
    <w:p w14:paraId="1352767D">
      <w:pPr>
        <w:widowControl w:val="0"/>
        <w:autoSpaceDE w:val="0"/>
        <w:autoSpaceDN w:val="0"/>
        <w:spacing w:line="360" w:lineRule="auto"/>
        <w:ind w:firstLine="440" w:firstLineChars="200"/>
        <w:rPr>
          <w:rFonts w:ascii="宋体" w:hAnsi="宋体" w:cs="宋体"/>
        </w:rPr>
      </w:pPr>
      <w:r>
        <w:rPr>
          <w:rFonts w:hint="eastAsia" w:ascii="宋体" w:hAnsi="宋体" w:cs="宋体"/>
        </w:rPr>
        <w:t>（14）根据施工承包合同价、进度计划，编制项目的用款计划书，根据概算进度控制计划，编制年度资金需求计划；</w:t>
      </w:r>
    </w:p>
    <w:p w14:paraId="5D9866A9">
      <w:pPr>
        <w:widowControl w:val="0"/>
        <w:autoSpaceDE w:val="0"/>
        <w:autoSpaceDN w:val="0"/>
        <w:spacing w:line="360" w:lineRule="auto"/>
        <w:ind w:firstLine="440" w:firstLineChars="200"/>
        <w:rPr>
          <w:rFonts w:ascii="宋体" w:hAnsi="宋体" w:cs="宋体"/>
        </w:rPr>
      </w:pPr>
      <w:r>
        <w:rPr>
          <w:rFonts w:hint="eastAsia" w:ascii="宋体" w:hAnsi="宋体" w:cs="宋体"/>
        </w:rPr>
        <w:t>（15）参与造价控制有关的项目会议；随时掌握项目进展的实际情况，实施造价控制的跟踪管理；</w:t>
      </w:r>
    </w:p>
    <w:p w14:paraId="3AA745A6">
      <w:pPr>
        <w:widowControl w:val="0"/>
        <w:autoSpaceDE w:val="0"/>
        <w:autoSpaceDN w:val="0"/>
        <w:spacing w:line="360" w:lineRule="auto"/>
        <w:ind w:firstLine="440" w:firstLineChars="200"/>
        <w:rPr>
          <w:rFonts w:ascii="宋体" w:hAnsi="宋体" w:cs="宋体"/>
        </w:rPr>
      </w:pPr>
      <w:r>
        <w:rPr>
          <w:rFonts w:hint="eastAsia" w:ascii="宋体" w:hAnsi="宋体" w:cs="宋体"/>
        </w:rPr>
        <w:t>（16）会同建设方对特殊材料、设备市场价格的征询或审核；参与无价材料、暂定材料的定牌定价。根据施工图纸的要求，对每种无价材料、暂定材料（招标文件中确定的），全过程项目咨询人协助委托人进行市场询价，确定材料价格，最后经委托人确认。协助委托人进行大型设备的采购与招标。</w:t>
      </w:r>
    </w:p>
    <w:p w14:paraId="3E27CC7E">
      <w:pPr>
        <w:widowControl w:val="0"/>
        <w:autoSpaceDE w:val="0"/>
        <w:autoSpaceDN w:val="0"/>
        <w:spacing w:line="360" w:lineRule="auto"/>
        <w:ind w:firstLine="440" w:firstLineChars="200"/>
        <w:rPr>
          <w:rFonts w:ascii="宋体" w:hAnsi="宋体" w:cs="宋体"/>
        </w:rPr>
      </w:pPr>
      <w:r>
        <w:rPr>
          <w:rFonts w:hint="eastAsia" w:ascii="宋体" w:hAnsi="宋体" w:cs="宋体"/>
        </w:rPr>
        <w:t>（17）及时提醒委托人可能发生的项目费用索赔问题，提供专业评估意见，估算书及反索赔咨询服务，以保证委托人的利益。建设方、施工方双方提出索赔时，为双方提供确认、反馈索赔等咨询意见；</w:t>
      </w:r>
    </w:p>
    <w:p w14:paraId="17DCD9CA">
      <w:pPr>
        <w:widowControl w:val="0"/>
        <w:autoSpaceDE w:val="0"/>
        <w:autoSpaceDN w:val="0"/>
        <w:spacing w:line="360" w:lineRule="auto"/>
        <w:ind w:firstLine="440" w:firstLineChars="200"/>
        <w:rPr>
          <w:rFonts w:ascii="宋体" w:hAnsi="宋体" w:cs="宋体"/>
        </w:rPr>
      </w:pPr>
      <w:r>
        <w:rPr>
          <w:rFonts w:hint="eastAsia" w:ascii="宋体" w:hAnsi="宋体" w:cs="宋体"/>
        </w:rPr>
        <w:t>（18）对分阶段竣工的分部项目，对其完工的结算及时进行核定，每个月向委托人提供造价控制动态分析报告。</w:t>
      </w:r>
    </w:p>
    <w:p w14:paraId="0E9BCFF6">
      <w:pPr>
        <w:widowControl w:val="0"/>
        <w:autoSpaceDE w:val="0"/>
        <w:autoSpaceDN w:val="0"/>
        <w:spacing w:line="360" w:lineRule="auto"/>
        <w:ind w:firstLine="440" w:firstLineChars="200"/>
        <w:rPr>
          <w:rFonts w:ascii="宋体" w:hAnsi="宋体" w:cs="宋体"/>
        </w:rPr>
      </w:pPr>
      <w:r>
        <w:rPr>
          <w:rFonts w:hint="eastAsia" w:ascii="宋体" w:hAnsi="宋体" w:cs="宋体"/>
        </w:rPr>
        <w:t>（19）承包方提出索赔时，凭据合同和有关法律、法规，提供咨询意见；</w:t>
      </w:r>
    </w:p>
    <w:p w14:paraId="0A85BEFA">
      <w:pPr>
        <w:widowControl w:val="0"/>
        <w:autoSpaceDE w:val="0"/>
        <w:autoSpaceDN w:val="0"/>
        <w:spacing w:line="360" w:lineRule="auto"/>
        <w:ind w:firstLine="440" w:firstLineChars="200"/>
        <w:rPr>
          <w:rFonts w:ascii="宋体" w:hAnsi="宋体" w:cs="宋体"/>
        </w:rPr>
      </w:pPr>
      <w:r>
        <w:rPr>
          <w:rFonts w:hint="eastAsia" w:ascii="宋体" w:hAnsi="宋体" w:cs="宋体"/>
        </w:rPr>
        <w:t>（20）提供与造价控制相关的人工、材料、设备等造价信息，过程中协助委托人进行小型材料招标等其他委托人需要的咨询服务。</w:t>
      </w:r>
    </w:p>
    <w:p w14:paraId="47FC2F8C">
      <w:pPr>
        <w:widowControl w:val="0"/>
        <w:autoSpaceDE w:val="0"/>
        <w:autoSpaceDN w:val="0"/>
        <w:spacing w:line="360" w:lineRule="auto"/>
        <w:ind w:firstLine="440" w:firstLineChars="200"/>
        <w:rPr>
          <w:rFonts w:ascii="宋体" w:hAnsi="宋体" w:cs="宋体"/>
        </w:rPr>
      </w:pPr>
      <w:r>
        <w:rPr>
          <w:rFonts w:hint="eastAsia" w:ascii="宋体" w:hAnsi="宋体" w:cs="宋体"/>
        </w:rPr>
        <w:t>（21）提供项目范围内的所有项目及委托人另行委托的咨询服务。</w:t>
      </w:r>
    </w:p>
    <w:p w14:paraId="30B8E693">
      <w:pPr>
        <w:widowControl w:val="0"/>
        <w:autoSpaceDE w:val="0"/>
        <w:autoSpaceDN w:val="0"/>
        <w:spacing w:line="360" w:lineRule="auto"/>
        <w:ind w:firstLine="442" w:firstLineChars="200"/>
        <w:rPr>
          <w:rFonts w:ascii="宋体" w:hAnsi="宋体" w:cs="宋体"/>
          <w:b/>
          <w:bCs/>
        </w:rPr>
      </w:pPr>
      <w:r>
        <w:rPr>
          <w:rFonts w:hint="eastAsia" w:ascii="宋体" w:hAnsi="宋体" w:cs="宋体"/>
          <w:b/>
          <w:bCs/>
        </w:rPr>
        <w:t>（五）全过程咨询人向委托人提供的附加服务包括如下：</w:t>
      </w:r>
    </w:p>
    <w:p w14:paraId="407271A4">
      <w:pPr>
        <w:widowControl w:val="0"/>
        <w:autoSpaceDE w:val="0"/>
        <w:autoSpaceDN w:val="0"/>
        <w:spacing w:line="360" w:lineRule="auto"/>
        <w:ind w:firstLine="440" w:firstLineChars="200"/>
        <w:rPr>
          <w:rFonts w:ascii="宋体" w:hAnsi="宋体" w:cs="宋体"/>
        </w:rPr>
      </w:pPr>
      <w:r>
        <w:rPr>
          <w:rFonts w:hint="eastAsia" w:ascii="宋体" w:hAnsi="宋体" w:cs="宋体"/>
        </w:rPr>
        <w:t>1、向委托人提供国内和本市项目项目的造价咨询业务有关法律、法令、条例、规定、标准、规范和一般惯例的咨询服务；</w:t>
      </w:r>
    </w:p>
    <w:p w14:paraId="017E6B10">
      <w:pPr>
        <w:widowControl w:val="0"/>
        <w:autoSpaceDE w:val="0"/>
        <w:autoSpaceDN w:val="0"/>
        <w:spacing w:line="360" w:lineRule="auto"/>
        <w:ind w:firstLine="440" w:firstLineChars="200"/>
        <w:rPr>
          <w:rFonts w:ascii="宋体" w:hAnsi="宋体" w:cs="宋体"/>
        </w:rPr>
      </w:pPr>
      <w:r>
        <w:rPr>
          <w:rFonts w:hint="eastAsia" w:ascii="宋体" w:hAnsi="宋体" w:cs="宋体"/>
        </w:rPr>
        <w:t>2、向委托人提供涉及委托项目项目的金额、材料、设备等造价信息和规定的咨询服务；</w:t>
      </w:r>
    </w:p>
    <w:p w14:paraId="69DDE70D">
      <w:pPr>
        <w:widowControl w:val="0"/>
        <w:autoSpaceDE w:val="0"/>
        <w:autoSpaceDN w:val="0"/>
        <w:spacing w:line="360" w:lineRule="auto"/>
        <w:ind w:firstLine="442" w:firstLineChars="200"/>
        <w:rPr>
          <w:rFonts w:ascii="宋体" w:hAnsi="宋体" w:cs="宋体"/>
          <w:b/>
          <w:bCs/>
        </w:rPr>
      </w:pPr>
      <w:r>
        <w:rPr>
          <w:rFonts w:hint="eastAsia" w:ascii="宋体" w:hAnsi="宋体" w:cs="宋体"/>
          <w:b/>
          <w:bCs/>
        </w:rPr>
        <w:t>（六）双方约定的委托人应提供的项目造价咨询材料：</w:t>
      </w:r>
    </w:p>
    <w:p w14:paraId="00F5DE4E">
      <w:pPr>
        <w:widowControl w:val="0"/>
        <w:autoSpaceDE w:val="0"/>
        <w:autoSpaceDN w:val="0"/>
        <w:spacing w:line="360" w:lineRule="auto"/>
        <w:ind w:firstLine="440" w:firstLineChars="200"/>
        <w:rPr>
          <w:rFonts w:ascii="宋体" w:hAnsi="宋体" w:cs="宋体"/>
        </w:rPr>
      </w:pPr>
      <w:r>
        <w:rPr>
          <w:rFonts w:hint="eastAsia" w:ascii="宋体" w:hAnsi="宋体" w:cs="宋体"/>
        </w:rPr>
        <w:t>1、经批准的概算文件；</w:t>
      </w:r>
    </w:p>
    <w:p w14:paraId="735E0996">
      <w:pPr>
        <w:widowControl w:val="0"/>
        <w:autoSpaceDE w:val="0"/>
        <w:autoSpaceDN w:val="0"/>
        <w:spacing w:line="360" w:lineRule="auto"/>
        <w:ind w:firstLine="440" w:firstLineChars="200"/>
        <w:rPr>
          <w:rFonts w:ascii="宋体" w:hAnsi="宋体" w:cs="宋体"/>
        </w:rPr>
      </w:pPr>
      <w:r>
        <w:rPr>
          <w:rFonts w:hint="eastAsia" w:ascii="宋体" w:hAnsi="宋体" w:cs="宋体"/>
        </w:rPr>
        <w:t>2、设计施工图壹套；</w:t>
      </w:r>
    </w:p>
    <w:p w14:paraId="79A2A29F">
      <w:pPr>
        <w:widowControl w:val="0"/>
        <w:autoSpaceDE w:val="0"/>
        <w:autoSpaceDN w:val="0"/>
        <w:spacing w:line="360" w:lineRule="auto"/>
        <w:ind w:firstLine="440" w:firstLineChars="200"/>
        <w:rPr>
          <w:rFonts w:ascii="宋体" w:hAnsi="宋体" w:cs="宋体"/>
        </w:rPr>
      </w:pPr>
      <w:r>
        <w:rPr>
          <w:rFonts w:hint="eastAsia" w:ascii="宋体" w:hAnsi="宋体" w:cs="宋体"/>
        </w:rPr>
        <w:t>3、建筑施工电源、水源、施工区域总平面布置图；</w:t>
      </w:r>
    </w:p>
    <w:p w14:paraId="6F459F20">
      <w:pPr>
        <w:widowControl w:val="0"/>
        <w:autoSpaceDE w:val="0"/>
        <w:autoSpaceDN w:val="0"/>
        <w:spacing w:line="360" w:lineRule="auto"/>
        <w:ind w:firstLine="440" w:firstLineChars="200"/>
        <w:rPr>
          <w:rFonts w:ascii="宋体" w:hAnsi="宋体" w:cs="宋体"/>
        </w:rPr>
      </w:pPr>
      <w:r>
        <w:rPr>
          <w:rFonts w:hint="eastAsia" w:ascii="宋体" w:hAnsi="宋体" w:cs="宋体"/>
        </w:rPr>
        <w:t>4、项目招投标需要的有关文件；</w:t>
      </w:r>
    </w:p>
    <w:p w14:paraId="5CF68815">
      <w:pPr>
        <w:widowControl w:val="0"/>
        <w:autoSpaceDE w:val="0"/>
        <w:autoSpaceDN w:val="0"/>
        <w:spacing w:line="360" w:lineRule="auto"/>
        <w:ind w:firstLine="440" w:firstLineChars="200"/>
        <w:rPr>
          <w:rFonts w:ascii="宋体" w:hAnsi="宋体" w:cs="宋体"/>
        </w:rPr>
      </w:pPr>
      <w:r>
        <w:rPr>
          <w:rFonts w:hint="eastAsia" w:ascii="宋体" w:hAnsi="宋体" w:cs="宋体"/>
        </w:rPr>
        <w:t>5、项目预（结）算书及有关设计变更、现场签证、经认可的技术核定单等资料；</w:t>
      </w:r>
    </w:p>
    <w:p w14:paraId="78CF7866">
      <w:pPr>
        <w:widowControl w:val="0"/>
        <w:autoSpaceDE w:val="0"/>
        <w:autoSpaceDN w:val="0"/>
        <w:spacing w:line="360" w:lineRule="auto"/>
        <w:ind w:firstLine="440" w:firstLineChars="200"/>
        <w:rPr>
          <w:rFonts w:ascii="宋体" w:hAnsi="宋体" w:cs="宋体"/>
        </w:rPr>
      </w:pPr>
      <w:r>
        <w:rPr>
          <w:rFonts w:hint="eastAsia" w:ascii="宋体" w:hAnsi="宋体" w:cs="宋体"/>
        </w:rPr>
        <w:t>6、其它与造价相关的文件。</w:t>
      </w:r>
    </w:p>
    <w:p w14:paraId="4A4ADB0A">
      <w:pPr>
        <w:widowControl w:val="0"/>
        <w:autoSpaceDE w:val="0"/>
        <w:autoSpaceDN w:val="0"/>
        <w:spacing w:line="360" w:lineRule="auto"/>
        <w:ind w:firstLine="442" w:firstLineChars="200"/>
        <w:rPr>
          <w:rFonts w:ascii="宋体" w:hAnsi="宋体" w:cs="宋体"/>
          <w:b/>
          <w:bCs/>
        </w:rPr>
      </w:pPr>
      <w:r>
        <w:rPr>
          <w:rFonts w:hint="eastAsia" w:ascii="宋体" w:hAnsi="宋体" w:cs="宋体"/>
          <w:b/>
          <w:bCs/>
        </w:rPr>
        <w:t>（七）其他工作内容</w:t>
      </w:r>
    </w:p>
    <w:p w14:paraId="34C1DD62">
      <w:pPr>
        <w:widowControl w:val="0"/>
        <w:autoSpaceDE w:val="0"/>
        <w:autoSpaceDN w:val="0"/>
        <w:spacing w:line="360" w:lineRule="auto"/>
        <w:ind w:firstLine="440" w:firstLineChars="200"/>
        <w:rPr>
          <w:rFonts w:ascii="宋体" w:hAnsi="宋体" w:cs="宋体"/>
        </w:rPr>
      </w:pPr>
      <w:r>
        <w:rPr>
          <w:rFonts w:hint="eastAsia" w:ascii="宋体" w:hAnsi="宋体" w:cs="宋体"/>
        </w:rPr>
        <w:t>1、本项目的造价咨询服务以完成该委托，提交相关服务成果所必须的时间为服务周期。</w:t>
      </w:r>
    </w:p>
    <w:p w14:paraId="0C56CEC6">
      <w:pPr>
        <w:widowControl w:val="0"/>
        <w:autoSpaceDE w:val="0"/>
        <w:autoSpaceDN w:val="0"/>
        <w:spacing w:line="360" w:lineRule="auto"/>
        <w:ind w:firstLine="440" w:firstLineChars="200"/>
        <w:rPr>
          <w:rFonts w:ascii="宋体" w:hAnsi="宋体" w:cs="宋体"/>
        </w:rPr>
      </w:pPr>
      <w:r>
        <w:rPr>
          <w:rFonts w:hint="eastAsia" w:ascii="宋体" w:hAnsi="宋体" w:cs="宋体"/>
        </w:rPr>
        <w:t>2、本项目的全过程造价咨询服务周期为与建设周期同步。</w:t>
      </w:r>
    </w:p>
    <w:p w14:paraId="7947310E">
      <w:pPr>
        <w:widowControl w:val="0"/>
        <w:autoSpaceDE w:val="0"/>
        <w:autoSpaceDN w:val="0"/>
        <w:spacing w:line="360" w:lineRule="auto"/>
        <w:ind w:firstLine="440" w:firstLineChars="200"/>
        <w:rPr>
          <w:rFonts w:ascii="宋体" w:hAnsi="宋体" w:cs="宋体"/>
        </w:rPr>
      </w:pPr>
      <w:r>
        <w:rPr>
          <w:rFonts w:hint="eastAsia" w:ascii="宋体" w:hAnsi="宋体" w:cs="宋体"/>
        </w:rPr>
        <w:t>3、本合同范围为本项目施工范围内所有的工作内容。</w:t>
      </w:r>
    </w:p>
    <w:p w14:paraId="3B31EFF4">
      <w:pPr>
        <w:widowControl w:val="0"/>
        <w:autoSpaceDE w:val="0"/>
        <w:autoSpaceDN w:val="0"/>
        <w:spacing w:line="360" w:lineRule="auto"/>
        <w:rPr>
          <w:rFonts w:ascii="宋体" w:hAnsi="宋体" w:cs="宋体"/>
          <w:b/>
          <w:bCs/>
        </w:rPr>
      </w:pPr>
      <w:r>
        <w:rPr>
          <w:rFonts w:hint="eastAsia" w:ascii="宋体" w:hAnsi="宋体" w:cs="宋体"/>
          <w:b/>
          <w:bCs/>
        </w:rPr>
        <w:t>三、全过程咨询报酬</w:t>
      </w:r>
    </w:p>
    <w:p w14:paraId="05CF45E0">
      <w:pPr>
        <w:widowControl w:val="0"/>
        <w:autoSpaceDE w:val="0"/>
        <w:autoSpaceDN w:val="0"/>
        <w:spacing w:line="360" w:lineRule="auto"/>
        <w:ind w:firstLine="440" w:firstLineChars="200"/>
        <w:rPr>
          <w:rFonts w:ascii="宋体" w:hAnsi="宋体" w:cs="宋体"/>
        </w:rPr>
      </w:pPr>
      <w:r>
        <w:rPr>
          <w:rFonts w:hint="eastAsia" w:ascii="宋体" w:hAnsi="宋体" w:cs="宋体"/>
        </w:rPr>
        <w:t>本项目项目咨询服务费由项目监理费、项目造价咨询费组成，本项目咨询服务费最高限价为520000元，全过程项目咨询费采用一次性包干的报价形式，</w:t>
      </w:r>
      <w:r>
        <w:rPr>
          <w:rFonts w:hint="eastAsia" w:ascii="宋体" w:hAnsi="宋体" w:cs="宋体"/>
          <w:lang w:val="zh-CN"/>
        </w:rPr>
        <w:t>投标报价应包括所需缴纳的所有税费、项目实施所需的一切费用</w:t>
      </w:r>
      <w:r>
        <w:rPr>
          <w:rFonts w:hint="eastAsia" w:ascii="宋体" w:hAnsi="宋体" w:cs="宋体"/>
        </w:rPr>
        <w:t>,由投标单位自行权衡各项服务内容自报总价，投标报价不得高于最高限价。</w:t>
      </w:r>
    </w:p>
    <w:p w14:paraId="7BB85ADE">
      <w:pPr>
        <w:widowControl w:val="0"/>
        <w:autoSpaceDE w:val="0"/>
        <w:autoSpaceDN w:val="0"/>
        <w:spacing w:line="360" w:lineRule="auto"/>
        <w:rPr>
          <w:rFonts w:ascii="宋体" w:hAnsi="宋体" w:cs="宋体"/>
          <w:b/>
          <w:bCs/>
        </w:rPr>
      </w:pPr>
      <w:r>
        <w:rPr>
          <w:rFonts w:hint="eastAsia" w:ascii="宋体" w:hAnsi="宋体" w:cs="宋体"/>
          <w:b/>
          <w:bCs/>
        </w:rPr>
        <w:t>四、付款方式</w:t>
      </w:r>
    </w:p>
    <w:p w14:paraId="6A82F533">
      <w:pPr>
        <w:widowControl w:val="0"/>
        <w:autoSpaceDE w:val="0"/>
        <w:autoSpaceDN w:val="0"/>
        <w:spacing w:line="360" w:lineRule="auto"/>
        <w:ind w:firstLine="440" w:firstLineChars="200"/>
        <w:rPr>
          <w:rFonts w:ascii="宋体" w:hAnsi="宋体" w:cs="宋体"/>
        </w:rPr>
      </w:pPr>
      <w:r>
        <w:rPr>
          <w:rFonts w:hint="eastAsia" w:ascii="宋体" w:hAnsi="宋体" w:cs="宋体"/>
        </w:rPr>
        <w:t>（1）付款方式：</w:t>
      </w:r>
    </w:p>
    <w:p w14:paraId="3D059DCA">
      <w:pPr>
        <w:widowControl w:val="0"/>
        <w:autoSpaceDE w:val="0"/>
        <w:autoSpaceDN w:val="0"/>
        <w:spacing w:line="360" w:lineRule="auto"/>
        <w:ind w:firstLine="440" w:firstLineChars="200"/>
        <w:rPr>
          <w:rFonts w:ascii="宋体" w:hAnsi="宋体" w:cs="宋体"/>
        </w:rPr>
      </w:pPr>
      <w:r>
        <w:rPr>
          <w:rFonts w:hint="eastAsia" w:ascii="宋体" w:hAnsi="宋体" w:cs="宋体"/>
        </w:rPr>
        <w:t>1、监理服务费付款方式：</w:t>
      </w:r>
    </w:p>
    <w:tbl>
      <w:tblPr>
        <w:tblStyle w:val="29"/>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4890"/>
        <w:gridCol w:w="3852"/>
      </w:tblGrid>
      <w:tr w14:paraId="15E5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noWrap/>
            <w:vAlign w:val="center"/>
          </w:tcPr>
          <w:p w14:paraId="1B831651">
            <w:pPr>
              <w:widowControl w:val="0"/>
              <w:autoSpaceDE w:val="0"/>
              <w:autoSpaceDN w:val="0"/>
              <w:spacing w:line="360" w:lineRule="auto"/>
              <w:jc w:val="center"/>
              <w:rPr>
                <w:rFonts w:ascii="宋体" w:hAnsi="宋体" w:cs="宋体"/>
              </w:rPr>
            </w:pPr>
            <w:r>
              <w:rPr>
                <w:rFonts w:hint="eastAsia" w:ascii="宋体" w:hAnsi="宋体" w:cs="宋体"/>
              </w:rPr>
              <w:t>支付次数</w:t>
            </w:r>
          </w:p>
        </w:tc>
        <w:tc>
          <w:tcPr>
            <w:tcW w:w="2367" w:type="pct"/>
            <w:noWrap/>
            <w:vAlign w:val="center"/>
          </w:tcPr>
          <w:p w14:paraId="0EFBE34B">
            <w:pPr>
              <w:widowControl w:val="0"/>
              <w:autoSpaceDE w:val="0"/>
              <w:autoSpaceDN w:val="0"/>
              <w:spacing w:line="360" w:lineRule="auto"/>
              <w:jc w:val="center"/>
              <w:rPr>
                <w:rFonts w:ascii="宋体" w:hAnsi="宋体" w:cs="宋体"/>
              </w:rPr>
            </w:pPr>
            <w:r>
              <w:rPr>
                <w:rFonts w:hint="eastAsia" w:ascii="宋体" w:hAnsi="宋体" w:cs="宋体"/>
              </w:rPr>
              <w:t>支付时间</w:t>
            </w:r>
          </w:p>
        </w:tc>
        <w:tc>
          <w:tcPr>
            <w:tcW w:w="1864" w:type="pct"/>
            <w:noWrap/>
            <w:vAlign w:val="center"/>
          </w:tcPr>
          <w:p w14:paraId="704B5AC2">
            <w:pPr>
              <w:widowControl w:val="0"/>
              <w:autoSpaceDE w:val="0"/>
              <w:autoSpaceDN w:val="0"/>
              <w:spacing w:line="360" w:lineRule="auto"/>
              <w:jc w:val="center"/>
              <w:rPr>
                <w:rFonts w:ascii="宋体" w:hAnsi="宋体" w:cs="宋体"/>
              </w:rPr>
            </w:pPr>
            <w:r>
              <w:rPr>
                <w:rFonts w:hint="eastAsia" w:ascii="宋体" w:hAnsi="宋体" w:cs="宋体"/>
              </w:rPr>
              <w:t>支付比例</w:t>
            </w:r>
          </w:p>
        </w:tc>
      </w:tr>
      <w:tr w14:paraId="4245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noWrap/>
            <w:vAlign w:val="center"/>
          </w:tcPr>
          <w:p w14:paraId="270E031F">
            <w:pPr>
              <w:widowControl w:val="0"/>
              <w:autoSpaceDE w:val="0"/>
              <w:autoSpaceDN w:val="0"/>
              <w:spacing w:line="360" w:lineRule="auto"/>
              <w:jc w:val="center"/>
              <w:rPr>
                <w:rFonts w:ascii="宋体" w:hAnsi="宋体" w:cs="宋体"/>
              </w:rPr>
            </w:pPr>
            <w:r>
              <w:rPr>
                <w:rFonts w:hint="eastAsia" w:ascii="宋体" w:hAnsi="宋体" w:cs="宋体"/>
              </w:rPr>
              <w:t>第一次付款</w:t>
            </w:r>
          </w:p>
        </w:tc>
        <w:tc>
          <w:tcPr>
            <w:tcW w:w="2367" w:type="pct"/>
            <w:noWrap/>
            <w:vAlign w:val="center"/>
          </w:tcPr>
          <w:p w14:paraId="5F9A7701">
            <w:pPr>
              <w:widowControl w:val="0"/>
              <w:autoSpaceDE w:val="0"/>
              <w:autoSpaceDN w:val="0"/>
              <w:spacing w:line="360" w:lineRule="auto"/>
              <w:jc w:val="center"/>
              <w:rPr>
                <w:rFonts w:ascii="宋体" w:hAnsi="宋体" w:cs="宋体"/>
              </w:rPr>
            </w:pPr>
            <w:r>
              <w:rPr>
                <w:rFonts w:hint="eastAsia" w:ascii="宋体" w:hAnsi="宋体" w:cs="宋体"/>
              </w:rPr>
              <w:t>本合同生效并提交履约担保后（如有）</w:t>
            </w:r>
          </w:p>
        </w:tc>
        <w:tc>
          <w:tcPr>
            <w:tcW w:w="1864" w:type="pct"/>
            <w:noWrap/>
            <w:vAlign w:val="center"/>
          </w:tcPr>
          <w:p w14:paraId="43D44ACA">
            <w:pPr>
              <w:widowControl w:val="0"/>
              <w:autoSpaceDE w:val="0"/>
              <w:autoSpaceDN w:val="0"/>
              <w:spacing w:line="360" w:lineRule="auto"/>
              <w:jc w:val="center"/>
              <w:rPr>
                <w:rFonts w:ascii="宋体" w:hAnsi="宋体" w:cs="宋体"/>
              </w:rPr>
            </w:pPr>
            <w:r>
              <w:rPr>
                <w:rFonts w:hint="eastAsia" w:ascii="宋体" w:hAnsi="宋体" w:cs="宋体"/>
              </w:rPr>
              <w:t>支付至相应合同价的30%</w:t>
            </w:r>
          </w:p>
        </w:tc>
      </w:tr>
      <w:tr w14:paraId="48BF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noWrap/>
            <w:vAlign w:val="center"/>
          </w:tcPr>
          <w:p w14:paraId="102E75F7">
            <w:pPr>
              <w:widowControl w:val="0"/>
              <w:autoSpaceDE w:val="0"/>
              <w:autoSpaceDN w:val="0"/>
              <w:spacing w:line="360" w:lineRule="auto"/>
              <w:jc w:val="center"/>
              <w:rPr>
                <w:rFonts w:ascii="宋体" w:hAnsi="宋体" w:cs="宋体"/>
              </w:rPr>
            </w:pPr>
            <w:r>
              <w:rPr>
                <w:rFonts w:hint="eastAsia" w:ascii="宋体" w:hAnsi="宋体" w:cs="宋体"/>
              </w:rPr>
              <w:t>第二次付款</w:t>
            </w:r>
          </w:p>
        </w:tc>
        <w:tc>
          <w:tcPr>
            <w:tcW w:w="2367" w:type="pct"/>
            <w:noWrap/>
            <w:vAlign w:val="center"/>
          </w:tcPr>
          <w:p w14:paraId="61702DCA">
            <w:pPr>
              <w:widowControl w:val="0"/>
              <w:autoSpaceDE w:val="0"/>
              <w:autoSpaceDN w:val="0"/>
              <w:spacing w:line="360" w:lineRule="auto"/>
              <w:jc w:val="center"/>
              <w:rPr>
                <w:rFonts w:ascii="宋体" w:hAnsi="宋体" w:cs="宋体"/>
              </w:rPr>
            </w:pPr>
            <w:r>
              <w:rPr>
                <w:rFonts w:hint="eastAsia" w:ascii="宋体" w:hAnsi="宋体" w:cs="宋体"/>
              </w:rPr>
              <w:t>施工完成产值达到施工合同价70%后</w:t>
            </w:r>
          </w:p>
        </w:tc>
        <w:tc>
          <w:tcPr>
            <w:tcW w:w="1864" w:type="pct"/>
            <w:noWrap/>
            <w:vAlign w:val="center"/>
          </w:tcPr>
          <w:p w14:paraId="27998CE7">
            <w:pPr>
              <w:widowControl w:val="0"/>
              <w:autoSpaceDE w:val="0"/>
              <w:autoSpaceDN w:val="0"/>
              <w:spacing w:line="360" w:lineRule="auto"/>
              <w:jc w:val="center"/>
              <w:rPr>
                <w:rFonts w:ascii="宋体" w:hAnsi="宋体" w:cs="宋体"/>
              </w:rPr>
            </w:pPr>
            <w:r>
              <w:rPr>
                <w:rFonts w:hint="eastAsia" w:ascii="宋体" w:hAnsi="宋体" w:cs="宋体"/>
              </w:rPr>
              <w:t>支付至相应合同价的60%</w:t>
            </w:r>
          </w:p>
        </w:tc>
      </w:tr>
      <w:tr w14:paraId="78B8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noWrap/>
            <w:vAlign w:val="center"/>
          </w:tcPr>
          <w:p w14:paraId="6E873073">
            <w:pPr>
              <w:widowControl w:val="0"/>
              <w:autoSpaceDE w:val="0"/>
              <w:autoSpaceDN w:val="0"/>
              <w:spacing w:line="360" w:lineRule="auto"/>
              <w:jc w:val="center"/>
              <w:rPr>
                <w:rFonts w:ascii="宋体" w:hAnsi="宋体" w:cs="宋体"/>
              </w:rPr>
            </w:pPr>
            <w:r>
              <w:rPr>
                <w:rFonts w:hint="eastAsia" w:ascii="宋体" w:hAnsi="宋体" w:cs="宋体"/>
              </w:rPr>
              <w:t>第三次付款</w:t>
            </w:r>
          </w:p>
        </w:tc>
        <w:tc>
          <w:tcPr>
            <w:tcW w:w="2367" w:type="pct"/>
            <w:noWrap/>
            <w:vAlign w:val="center"/>
          </w:tcPr>
          <w:p w14:paraId="535A94AD">
            <w:pPr>
              <w:widowControl w:val="0"/>
              <w:autoSpaceDE w:val="0"/>
              <w:autoSpaceDN w:val="0"/>
              <w:spacing w:line="360" w:lineRule="auto"/>
              <w:jc w:val="center"/>
              <w:rPr>
                <w:rFonts w:ascii="宋体" w:hAnsi="宋体" w:cs="宋体"/>
              </w:rPr>
            </w:pPr>
            <w:r>
              <w:rPr>
                <w:rFonts w:hint="eastAsia" w:ascii="宋体" w:hAnsi="宋体" w:cs="宋体"/>
              </w:rPr>
              <w:t>项目竣工验收合格后</w:t>
            </w:r>
          </w:p>
        </w:tc>
        <w:tc>
          <w:tcPr>
            <w:tcW w:w="1864" w:type="pct"/>
            <w:noWrap/>
            <w:vAlign w:val="center"/>
          </w:tcPr>
          <w:p w14:paraId="55069613">
            <w:pPr>
              <w:widowControl w:val="0"/>
              <w:autoSpaceDE w:val="0"/>
              <w:autoSpaceDN w:val="0"/>
              <w:spacing w:line="360" w:lineRule="auto"/>
              <w:jc w:val="center"/>
              <w:rPr>
                <w:rFonts w:ascii="宋体" w:hAnsi="宋体" w:cs="宋体"/>
              </w:rPr>
            </w:pPr>
            <w:r>
              <w:rPr>
                <w:rFonts w:hint="eastAsia" w:ascii="宋体" w:hAnsi="宋体" w:cs="宋体"/>
              </w:rPr>
              <w:t>支付至相应合同价的80%</w:t>
            </w:r>
          </w:p>
        </w:tc>
      </w:tr>
      <w:tr w14:paraId="40E1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7" w:type="pct"/>
            <w:noWrap/>
            <w:vAlign w:val="center"/>
          </w:tcPr>
          <w:p w14:paraId="4F7A4071">
            <w:pPr>
              <w:widowControl w:val="0"/>
              <w:autoSpaceDE w:val="0"/>
              <w:autoSpaceDN w:val="0"/>
              <w:spacing w:line="360" w:lineRule="auto"/>
              <w:jc w:val="center"/>
              <w:rPr>
                <w:rFonts w:ascii="宋体" w:hAnsi="宋体" w:cs="宋体"/>
              </w:rPr>
            </w:pPr>
            <w:r>
              <w:rPr>
                <w:rFonts w:hint="eastAsia" w:ascii="宋体" w:hAnsi="宋体" w:cs="宋体"/>
              </w:rPr>
              <w:t>第四次付款</w:t>
            </w:r>
          </w:p>
        </w:tc>
        <w:tc>
          <w:tcPr>
            <w:tcW w:w="2367" w:type="pct"/>
            <w:noWrap/>
            <w:vAlign w:val="center"/>
          </w:tcPr>
          <w:p w14:paraId="20070FEF">
            <w:pPr>
              <w:widowControl w:val="0"/>
              <w:autoSpaceDE w:val="0"/>
              <w:autoSpaceDN w:val="0"/>
              <w:spacing w:line="360" w:lineRule="auto"/>
              <w:jc w:val="center"/>
              <w:rPr>
                <w:rFonts w:ascii="宋体" w:hAnsi="宋体" w:cs="宋体"/>
              </w:rPr>
            </w:pPr>
            <w:r>
              <w:rPr>
                <w:rFonts w:hint="eastAsia" w:ascii="宋体" w:hAnsi="宋体" w:cs="宋体"/>
              </w:rPr>
              <w:t>项目竣工决算审计完成后</w:t>
            </w:r>
          </w:p>
        </w:tc>
        <w:tc>
          <w:tcPr>
            <w:tcW w:w="1864" w:type="pct"/>
            <w:noWrap/>
            <w:vAlign w:val="center"/>
          </w:tcPr>
          <w:p w14:paraId="49FB1858">
            <w:pPr>
              <w:widowControl w:val="0"/>
              <w:autoSpaceDE w:val="0"/>
              <w:autoSpaceDN w:val="0"/>
              <w:spacing w:line="360" w:lineRule="auto"/>
              <w:jc w:val="center"/>
              <w:rPr>
                <w:rFonts w:ascii="宋体" w:hAnsi="宋体" w:cs="宋体"/>
              </w:rPr>
            </w:pPr>
            <w:r>
              <w:rPr>
                <w:rFonts w:hint="eastAsia" w:ascii="宋体" w:hAnsi="宋体" w:cs="宋体"/>
              </w:rPr>
              <w:t>按审定价付清最终余款</w:t>
            </w:r>
          </w:p>
        </w:tc>
      </w:tr>
    </w:tbl>
    <w:p w14:paraId="2F33FB1D">
      <w:pPr>
        <w:pStyle w:val="39"/>
        <w:spacing w:before="69" w:line="360" w:lineRule="auto"/>
        <w:ind w:left="105" w:right="41"/>
        <w:rPr>
          <w:rFonts w:asciiTheme="minorHAnsi" w:hAnsiTheme="minorHAnsi" w:cstheme="minorBidi"/>
          <w:spacing w:val="-3"/>
          <w:sz w:val="22"/>
          <w:szCs w:val="22"/>
          <w:lang w:eastAsia="zh-CN"/>
        </w:rPr>
      </w:pPr>
      <w:r>
        <w:rPr>
          <w:rFonts w:hint="eastAsia" w:asciiTheme="minorHAnsi" w:hAnsiTheme="minorHAnsi" w:cstheme="minorBidi"/>
          <w:spacing w:val="-3"/>
          <w:sz w:val="22"/>
          <w:szCs w:val="22"/>
          <w:lang w:eastAsia="zh-CN"/>
        </w:rPr>
        <w:t>注：</w:t>
      </w:r>
      <w:r>
        <w:rPr>
          <w:rFonts w:asciiTheme="minorHAnsi" w:hAnsiTheme="minorHAnsi" w:cstheme="minorBidi"/>
          <w:spacing w:val="-3"/>
          <w:sz w:val="22"/>
          <w:szCs w:val="22"/>
          <w:lang w:eastAsia="zh-CN"/>
        </w:rPr>
        <w:t>本项目监理费结算价=实际监理的工程内容造价（建安工程结算造价）×监理费率【监理费率计算公式：监理中标价/</w:t>
      </w:r>
      <w:r>
        <w:rPr>
          <w:rFonts w:hint="eastAsia" w:asciiTheme="minorHAnsi" w:hAnsiTheme="minorHAnsi" w:cstheme="minorBidi"/>
          <w:spacing w:val="-3"/>
          <w:sz w:val="22"/>
          <w:szCs w:val="22"/>
          <w:lang w:eastAsia="zh-CN"/>
        </w:rPr>
        <w:t>施工预算金额</w:t>
      </w:r>
      <w:r>
        <w:rPr>
          <w:rFonts w:asciiTheme="minorHAnsi" w:hAnsiTheme="minorHAnsi" w:cstheme="minorBidi"/>
          <w:spacing w:val="-3"/>
          <w:sz w:val="22"/>
          <w:szCs w:val="22"/>
          <w:lang w:eastAsia="zh-CN"/>
        </w:rPr>
        <w:t>*100%（小数点保留2位，第3位四舍五入，例XX.XX%）】</w:t>
      </w:r>
      <w:r>
        <w:rPr>
          <w:rFonts w:hint="eastAsia" w:asciiTheme="minorHAnsi" w:hAnsiTheme="minorHAnsi" w:cstheme="minorBidi"/>
          <w:spacing w:val="-3"/>
          <w:sz w:val="22"/>
          <w:szCs w:val="22"/>
          <w:lang w:eastAsia="zh-CN"/>
        </w:rPr>
        <w:t>。</w:t>
      </w:r>
    </w:p>
    <w:p w14:paraId="78356185">
      <w:pPr>
        <w:widowControl w:val="0"/>
        <w:autoSpaceDE w:val="0"/>
        <w:autoSpaceDN w:val="0"/>
        <w:spacing w:line="360" w:lineRule="auto"/>
        <w:ind w:firstLine="428" w:firstLineChars="200"/>
        <w:rPr>
          <w:spacing w:val="-1"/>
        </w:rPr>
      </w:pPr>
      <w:r>
        <w:rPr>
          <w:spacing w:val="-3"/>
        </w:rPr>
        <w:t>各投标人在投标时应充分考虑本工程各种原因使施工工期延长</w:t>
      </w:r>
      <w:r>
        <w:rPr>
          <w:spacing w:val="-4"/>
        </w:rPr>
        <w:t>的风险，今后</w:t>
      </w:r>
      <w:r>
        <w:t xml:space="preserve"> </w:t>
      </w:r>
      <w:r>
        <w:rPr>
          <w:spacing w:val="-1"/>
        </w:rPr>
        <w:t>如果施工工期延期，费</w:t>
      </w:r>
      <w:r>
        <w:rPr>
          <w:rFonts w:hint="eastAsia"/>
          <w:spacing w:val="-1"/>
        </w:rPr>
        <w:t>用</w:t>
      </w:r>
      <w:r>
        <w:rPr>
          <w:spacing w:val="-1"/>
        </w:rPr>
        <w:t>不予增加。</w:t>
      </w:r>
      <w:r>
        <w:rPr>
          <w:rFonts w:hint="eastAsia"/>
          <w:spacing w:val="-1"/>
        </w:rPr>
        <w:t>一切付款进度均以财政资金到位情况为前提，如财政拨款因故延迟，付款时间顺延，将不视为委托人违约，且受托人不得以付款延迟为理由拖延或拒绝履行合同义务。</w:t>
      </w:r>
    </w:p>
    <w:p w14:paraId="32EB314A">
      <w:pPr>
        <w:widowControl w:val="0"/>
        <w:autoSpaceDE w:val="0"/>
        <w:autoSpaceDN w:val="0"/>
        <w:spacing w:line="360" w:lineRule="auto"/>
        <w:ind w:firstLine="440" w:firstLineChars="200"/>
        <w:rPr>
          <w:rFonts w:ascii="宋体" w:hAnsi="宋体" w:cs="宋体"/>
        </w:rPr>
      </w:pPr>
      <w:r>
        <w:rPr>
          <w:rFonts w:hint="eastAsia" w:ascii="宋体" w:hAnsi="宋体" w:cs="宋体"/>
        </w:rPr>
        <w:t>（2）施工阶段全过程项目造价控制费（不含招标控制价、项目工程量清单编制和结算审核）付款方式：在施工阶段全过程项目造价控制咨询服务结束，并出具跟踪审计报告后，一次性支付对应咨询费用。</w:t>
      </w:r>
    </w:p>
    <w:p w14:paraId="03CEB509">
      <w:pPr>
        <w:widowControl w:val="0"/>
        <w:autoSpaceDE w:val="0"/>
        <w:autoSpaceDN w:val="0"/>
        <w:spacing w:line="360" w:lineRule="auto"/>
        <w:ind w:firstLine="440" w:firstLineChars="200"/>
        <w:rPr>
          <w:rFonts w:ascii="宋体" w:hAnsi="宋体" w:cs="宋体"/>
        </w:rPr>
      </w:pPr>
      <w:r>
        <w:rPr>
          <w:rFonts w:hint="eastAsia" w:ascii="宋体" w:hAnsi="宋体" w:cs="宋体"/>
        </w:rPr>
        <w:t>（3）受托人在委托人支付费用前开具相应金额增值税专用发票。</w:t>
      </w:r>
    </w:p>
    <w:p w14:paraId="2C03C2E2">
      <w:pPr>
        <w:widowControl w:val="0"/>
        <w:autoSpaceDE w:val="0"/>
        <w:autoSpaceDN w:val="0"/>
        <w:spacing w:line="360" w:lineRule="auto"/>
        <w:ind w:firstLine="440" w:firstLineChars="200"/>
        <w:rPr>
          <w:rFonts w:ascii="宋体" w:hAnsi="宋体" w:cs="宋体"/>
        </w:rPr>
      </w:pPr>
      <w:r>
        <w:rPr>
          <w:rFonts w:hint="eastAsia" w:ascii="宋体" w:hAnsi="宋体" w:cs="宋体"/>
        </w:rPr>
        <w:t>注：（1）以上款项支付在对应工作内容完成后分别提出付款申请；（2）若联合体中标的，则由联合体各方按各自负责的内容提出申请，报采购人确认，费用由采购人直接支付给联合体各方。（3）暂定以上付款方式，最终按实际协商签订的合同为准。</w:t>
      </w:r>
    </w:p>
    <w:p w14:paraId="27581CD0">
      <w:pPr>
        <w:widowControl w:val="0"/>
        <w:autoSpaceDE w:val="0"/>
        <w:autoSpaceDN w:val="0"/>
        <w:spacing w:line="360" w:lineRule="auto"/>
        <w:rPr>
          <w:rFonts w:ascii="宋体" w:hAnsi="宋体" w:cs="宋体"/>
          <w:b/>
          <w:bCs/>
        </w:rPr>
      </w:pPr>
      <w:r>
        <w:rPr>
          <w:rFonts w:hint="eastAsia" w:ascii="宋体" w:hAnsi="宋体" w:cs="宋体"/>
          <w:b/>
          <w:bCs/>
        </w:rPr>
        <w:t>五、违约责任</w:t>
      </w:r>
    </w:p>
    <w:p w14:paraId="7A5620B0">
      <w:pPr>
        <w:widowControl w:val="0"/>
        <w:autoSpaceDE w:val="0"/>
        <w:autoSpaceDN w:val="0"/>
        <w:spacing w:line="341" w:lineRule="auto"/>
        <w:ind w:firstLine="440" w:firstLineChars="200"/>
        <w:rPr>
          <w:rFonts w:ascii="宋体" w:hAnsi="宋体" w:cs="宋体"/>
        </w:rPr>
      </w:pPr>
      <w:r>
        <w:rPr>
          <w:rFonts w:hint="eastAsia" w:ascii="宋体" w:hAnsi="宋体" w:cs="宋体"/>
        </w:rPr>
        <w:t>1、因受托人原因，如项目质量不合格，受托人应无偿返工，直至合格为止。委托人有权对受托人处以违约金，限额为全过程项目咨询对应履约担保金额的30%，不足部分，委托人有权对受托人进行追偿。由此增加的费用及造成项目拖延，由受托人负责。</w:t>
      </w:r>
    </w:p>
    <w:p w14:paraId="55310AEE">
      <w:pPr>
        <w:widowControl w:val="0"/>
        <w:autoSpaceDE w:val="0"/>
        <w:autoSpaceDN w:val="0"/>
        <w:spacing w:line="341" w:lineRule="auto"/>
        <w:ind w:firstLine="440" w:firstLineChars="200"/>
        <w:rPr>
          <w:rFonts w:ascii="宋体" w:hAnsi="宋体" w:cs="宋体"/>
        </w:rPr>
      </w:pPr>
      <w:r>
        <w:rPr>
          <w:rFonts w:hint="eastAsia" w:ascii="宋体" w:hAnsi="宋体" w:cs="宋体"/>
        </w:rPr>
        <w:t>2、因受托人对项目施工质量（或隐蔽项目质量）或安全文明施工等日常巡检管理不到位，导致项目返工或者出现安全事故的，受托人需承担相应的法律责任，并对受托人处以本合同全过程项目咨询对应履约担保金额的30%的罚款，不足部分，委托人有权对受托人进行追偿，并且受托人承担相关法律责任。</w:t>
      </w:r>
    </w:p>
    <w:p w14:paraId="557D2433">
      <w:pPr>
        <w:widowControl w:val="0"/>
        <w:autoSpaceDE w:val="0"/>
        <w:autoSpaceDN w:val="0"/>
        <w:spacing w:line="341" w:lineRule="auto"/>
        <w:ind w:firstLine="440" w:firstLineChars="200"/>
        <w:rPr>
          <w:rFonts w:ascii="宋体" w:hAnsi="宋体" w:cs="宋体"/>
        </w:rPr>
      </w:pPr>
      <w:r>
        <w:rPr>
          <w:rFonts w:hint="eastAsia" w:ascii="宋体" w:hAnsi="宋体" w:cs="宋体"/>
        </w:rPr>
        <w:t>3、因受托人原因，导致工期延长的，未按约定期限完成全过程项目咨询工作，对超出日期按2000元/天计取赔偿，限额为全过程项目咨询对应履约担保金额的20%，不足部分，委托人有权对受托人进行追偿。</w:t>
      </w:r>
    </w:p>
    <w:p w14:paraId="3CE2AD44">
      <w:pPr>
        <w:widowControl w:val="0"/>
        <w:autoSpaceDE w:val="0"/>
        <w:autoSpaceDN w:val="0"/>
        <w:spacing w:line="341" w:lineRule="auto"/>
        <w:ind w:firstLine="440" w:firstLineChars="200"/>
        <w:rPr>
          <w:rFonts w:ascii="宋体" w:hAnsi="宋体" w:cs="宋体"/>
        </w:rPr>
      </w:pPr>
      <w:r>
        <w:rPr>
          <w:rFonts w:hint="eastAsia" w:ascii="宋体" w:hAnsi="宋体" w:cs="宋体"/>
        </w:rPr>
        <w:t>4、因受托人原因，未按委托人要求及时、全面履行建设手续代办、设计管理、综合协调义务，导致项目建设进度的推迟或延误的，委托人将给与警告，情节严重的，委托人有权解除合同。</w:t>
      </w:r>
    </w:p>
    <w:p w14:paraId="5F1DE364">
      <w:pPr>
        <w:widowControl w:val="0"/>
        <w:autoSpaceDE w:val="0"/>
        <w:autoSpaceDN w:val="0"/>
        <w:spacing w:line="341" w:lineRule="auto"/>
        <w:ind w:firstLine="440" w:firstLineChars="200"/>
        <w:rPr>
          <w:rFonts w:ascii="宋体" w:hAnsi="宋体" w:cs="宋体"/>
        </w:rPr>
      </w:pPr>
      <w:r>
        <w:rPr>
          <w:rFonts w:hint="eastAsia" w:ascii="宋体" w:hAnsi="宋体" w:cs="宋体"/>
        </w:rPr>
        <w:t>5、因受托人未妥善履行合同及台账管理义务，对委托人或第三人所提出的问题（约定范围内的）不能及时核对或答复，导致合同不能全部或部分履行，造成委托人经济损失的，受托人应承担赔偿责任。</w:t>
      </w:r>
    </w:p>
    <w:p w14:paraId="18A95D6E">
      <w:pPr>
        <w:widowControl w:val="0"/>
        <w:autoSpaceDE w:val="0"/>
        <w:autoSpaceDN w:val="0"/>
        <w:spacing w:line="341" w:lineRule="auto"/>
        <w:ind w:firstLine="440" w:firstLineChars="200"/>
        <w:rPr>
          <w:rFonts w:ascii="宋体" w:hAnsi="宋体" w:cs="宋体"/>
        </w:rPr>
      </w:pPr>
      <w:r>
        <w:rPr>
          <w:rFonts w:hint="eastAsia" w:ascii="宋体" w:hAnsi="宋体" w:cs="宋体"/>
        </w:rPr>
        <w:t>6、受托人不得接受所有第三方的礼品、宴请和任何其它好处，不得泄露全过程项目咨询过程中依法需要保密的内容。合同终止后，未经委托人同意，受托人不得泄漏与本合同项目相关的任何资料和情况。否则，委托人有权要求其承担赔偿责任，并且承担相关法律责任。</w:t>
      </w:r>
    </w:p>
    <w:p w14:paraId="3472003B">
      <w:pPr>
        <w:widowControl w:val="0"/>
        <w:autoSpaceDE w:val="0"/>
        <w:autoSpaceDN w:val="0"/>
        <w:spacing w:line="341" w:lineRule="auto"/>
        <w:ind w:firstLine="440" w:firstLineChars="200"/>
        <w:rPr>
          <w:rFonts w:ascii="宋体" w:hAnsi="宋体" w:cs="宋体"/>
        </w:rPr>
      </w:pPr>
      <w:r>
        <w:rPr>
          <w:rFonts w:hint="eastAsia" w:ascii="宋体" w:hAnsi="宋体" w:cs="宋体"/>
        </w:rPr>
        <w:t>7、因受托人原因，如果出现重大责任事故，受托人需承担相应的法律责任，并对受托人处以本合同全过程项目咨询对应履约担保金额的50%的罚款，不足部分，委托人有权对受托人进行追偿，并且受托人承担相关法律责任。</w:t>
      </w:r>
    </w:p>
    <w:p w14:paraId="147FA4EA">
      <w:pPr>
        <w:widowControl w:val="0"/>
        <w:autoSpaceDE w:val="0"/>
        <w:autoSpaceDN w:val="0"/>
        <w:spacing w:line="341" w:lineRule="auto"/>
        <w:ind w:firstLine="440" w:firstLineChars="200"/>
        <w:rPr>
          <w:rFonts w:ascii="宋体" w:hAnsi="宋体" w:cs="宋体"/>
        </w:rPr>
      </w:pPr>
      <w:r>
        <w:rPr>
          <w:rFonts w:hint="eastAsia" w:ascii="宋体" w:hAnsi="宋体" w:cs="宋体"/>
        </w:rPr>
        <w:t>8、受托人派驻全过程项目咨询机构的服务人员资格，必须符合现行的相关政策规定，并满足本全过程项目咨询工作需要。项目总监理项目师及项目负责人到位率必须达到正常工作日（考勤天数按每月22日计）的80%，否则按1000元/天的标准赔偿，最高违约金为履约担保金额的20%；项目施工开始后节假日施工期间，项目管理组及监理组须各派一名专业人员到场驻场，否则按500元/天的标准赔偿，最高违约金为履约担保金额的20%，由委托人从履约担保中扣除,该项限额不足时，委托人有权向受托人追偿。</w:t>
      </w:r>
    </w:p>
    <w:p w14:paraId="7FE65170">
      <w:pPr>
        <w:widowControl w:val="0"/>
        <w:autoSpaceDE w:val="0"/>
        <w:autoSpaceDN w:val="0"/>
        <w:spacing w:line="341" w:lineRule="auto"/>
        <w:ind w:firstLine="440" w:firstLineChars="200"/>
        <w:rPr>
          <w:rFonts w:ascii="宋体" w:hAnsi="宋体" w:cs="宋体"/>
        </w:rPr>
      </w:pPr>
      <w:r>
        <w:rPr>
          <w:rFonts w:hint="eastAsia" w:ascii="宋体" w:hAnsi="宋体" w:cs="宋体"/>
        </w:rPr>
        <w:t>9、未经委托人书面同意，受托人不得更换项目负责人及其他管理人员。因不可抗因素（如离职、生病等）涉及人员变更的，需经委托人同意。受托人未经委托人同意擅自变更人员的，委托人有权按50000元/人的标准赔偿进行扣罚，委托人有权对受托人就罚款不足部分进行追偿，且受托人须承担相关法律责任。</w:t>
      </w:r>
    </w:p>
    <w:p w14:paraId="41CF2AE0">
      <w:pPr>
        <w:widowControl w:val="0"/>
        <w:autoSpaceDE w:val="0"/>
        <w:autoSpaceDN w:val="0"/>
        <w:spacing w:line="341" w:lineRule="auto"/>
        <w:ind w:firstLine="440" w:firstLineChars="200"/>
        <w:rPr>
          <w:rFonts w:ascii="宋体" w:hAnsi="宋体" w:cs="宋体"/>
        </w:rPr>
      </w:pPr>
      <w:r>
        <w:rPr>
          <w:rFonts w:hint="eastAsia" w:ascii="宋体" w:hAnsi="宋体" w:cs="宋体"/>
        </w:rPr>
        <w:t>10、对委托人提供的或因与委托人在磋商、签订、执行本合同过程中知晓的任何形式的信息、资料、数据，包括但不限于业务需求、技术规范、管理要求等，未经委托人书面同意不得用于任何非本合同的目的，未经委托人书面特别授权不得将上述信息透露给任何第三方。受托人的保密义务不受本合同期限的限制。如受托人违反保密义务应赔偿委托人因此而遭受的全部损失。</w:t>
      </w:r>
    </w:p>
    <w:p w14:paraId="43ACB083">
      <w:pPr>
        <w:widowControl w:val="0"/>
        <w:autoSpaceDE w:val="0"/>
        <w:autoSpaceDN w:val="0"/>
        <w:spacing w:line="341" w:lineRule="auto"/>
        <w:ind w:firstLine="440" w:firstLineChars="200"/>
        <w:rPr>
          <w:rFonts w:ascii="宋体" w:hAnsi="宋体" w:cs="宋体"/>
        </w:rPr>
      </w:pPr>
      <w:r>
        <w:rPr>
          <w:rFonts w:hint="eastAsia" w:ascii="宋体" w:hAnsi="宋体" w:cs="宋体"/>
        </w:rPr>
        <w:t>11、受托人存在上述问题的，按投标承诺凭履约担保索赔，若给委托人造成的经济损失超过履约担保额度的，委托人可继续向受托人提出索赔要求，受托人应按给委托人造成的实际损失赔偿委托人相关费用。</w:t>
      </w:r>
    </w:p>
    <w:p w14:paraId="52FC62F6">
      <w:pPr>
        <w:tabs>
          <w:tab w:val="left" w:pos="640"/>
        </w:tabs>
        <w:snapToGrid w:val="0"/>
        <w:spacing w:line="320" w:lineRule="exact"/>
        <w:jc w:val="center"/>
        <w:outlineLvl w:val="0"/>
        <w:rPr>
          <w:rFonts w:hAnsi="宋体"/>
          <w:b/>
          <w:bCs/>
          <w:sz w:val="28"/>
          <w:szCs w:val="36"/>
        </w:rPr>
      </w:pPr>
    </w:p>
    <w:p w14:paraId="376D5B3F">
      <w:pPr>
        <w:tabs>
          <w:tab w:val="left" w:pos="640"/>
        </w:tabs>
        <w:snapToGrid w:val="0"/>
        <w:spacing w:line="320" w:lineRule="exact"/>
        <w:jc w:val="center"/>
        <w:outlineLvl w:val="0"/>
        <w:rPr>
          <w:rFonts w:hAnsi="宋体"/>
          <w:b/>
          <w:bCs/>
          <w:sz w:val="28"/>
          <w:szCs w:val="36"/>
        </w:rPr>
      </w:pPr>
      <w:r>
        <w:rPr>
          <w:rFonts w:hint="eastAsia" w:hAnsi="宋体"/>
          <w:b/>
          <w:bCs/>
          <w:sz w:val="28"/>
          <w:szCs w:val="36"/>
        </w:rPr>
        <w:t>第四部分合同条款</w:t>
      </w:r>
      <w:bookmarkEnd w:id="75"/>
    </w:p>
    <w:p w14:paraId="79525E98">
      <w:pPr>
        <w:tabs>
          <w:tab w:val="left" w:pos="640"/>
        </w:tabs>
        <w:snapToGrid w:val="0"/>
        <w:spacing w:line="320" w:lineRule="exact"/>
        <w:jc w:val="both"/>
        <w:rPr>
          <w:rFonts w:hAnsi="宋体"/>
          <w:b/>
          <w:bCs/>
          <w:sz w:val="28"/>
          <w:szCs w:val="36"/>
        </w:rPr>
      </w:pPr>
    </w:p>
    <w:p w14:paraId="6803DDD5">
      <w:pPr>
        <w:tabs>
          <w:tab w:val="left" w:pos="640"/>
        </w:tabs>
        <w:snapToGrid w:val="0"/>
        <w:spacing w:line="320" w:lineRule="exact"/>
        <w:jc w:val="both"/>
        <w:rPr>
          <w:rFonts w:hAnsi="宋体"/>
          <w:b/>
          <w:bCs/>
          <w:sz w:val="28"/>
          <w:szCs w:val="36"/>
        </w:rPr>
      </w:pPr>
    </w:p>
    <w:p w14:paraId="776234E1">
      <w:pPr>
        <w:numPr>
          <w:ilvl w:val="0"/>
          <w:numId w:val="8"/>
        </w:numPr>
        <w:spacing w:line="440" w:lineRule="exact"/>
        <w:jc w:val="center"/>
        <w:outlineLvl w:val="2"/>
      </w:pPr>
      <w:r>
        <w:rPr>
          <w:rFonts w:hint="eastAsia" w:ascii="新宋体" w:hAnsi="新宋体" w:eastAsia="新宋体" w:cs="新宋体"/>
        </w:rPr>
        <w:t xml:space="preserve"> </w:t>
      </w:r>
      <w:bookmarkStart w:id="77" w:name="_Toc31426"/>
      <w:bookmarkStart w:id="78" w:name="_Toc29470"/>
      <w:bookmarkStart w:id="79" w:name="_Toc41747716"/>
      <w:r>
        <w:rPr>
          <w:rFonts w:hint="eastAsia" w:ascii="宋体" w:hAnsi="宋体" w:cs="宋体"/>
          <w:b/>
          <w:szCs w:val="21"/>
        </w:rPr>
        <w:t>建设工程造价咨询合同协议书</w:t>
      </w:r>
      <w:bookmarkEnd w:id="77"/>
      <w:bookmarkEnd w:id="78"/>
      <w:bookmarkEnd w:id="79"/>
      <w:r>
        <w:rPr>
          <w:rFonts w:hint="eastAsia" w:ascii="宋体" w:hAnsi="宋体" w:cs="宋体"/>
          <w:b/>
          <w:szCs w:val="21"/>
        </w:rPr>
        <w:t xml:space="preserve"> </w:t>
      </w:r>
    </w:p>
    <w:p w14:paraId="0D938949">
      <w:pPr>
        <w:widowControl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（本合同为合同样稿，最终稿协商后确定）</w:t>
      </w:r>
    </w:p>
    <w:p w14:paraId="70067E92">
      <w:pPr>
        <w:widowControl w:val="0"/>
        <w:spacing w:line="360" w:lineRule="auto"/>
        <w:jc w:val="both"/>
        <w:rPr>
          <w:rFonts w:ascii="宋体" w:hAnsi="宋体" w:cs="宋体"/>
          <w:kern w:val="2"/>
          <w:sz w:val="21"/>
          <w:szCs w:val="21"/>
        </w:rPr>
      </w:pPr>
      <w:r>
        <w:rPr>
          <w:rFonts w:hint="eastAsia" w:ascii="宋体" w:hAnsi="宋体" w:cs="宋体"/>
          <w:kern w:val="2"/>
          <w:sz w:val="21"/>
          <w:szCs w:val="21"/>
        </w:rPr>
        <w:t>甲方：</w:t>
      </w:r>
      <w:r>
        <w:rPr>
          <w:rFonts w:hint="eastAsia" w:ascii="宋体" w:hAnsi="宋体" w:cs="宋体"/>
          <w:kern w:val="2"/>
          <w:sz w:val="21"/>
          <w:szCs w:val="21"/>
          <w:u w:val="single"/>
        </w:rPr>
        <w:t xml:space="preserve">              （采购人）            </w:t>
      </w:r>
    </w:p>
    <w:p w14:paraId="4432AB10">
      <w:pPr>
        <w:widowControl w:val="0"/>
        <w:spacing w:line="360" w:lineRule="auto"/>
        <w:jc w:val="both"/>
        <w:rPr>
          <w:rFonts w:ascii="宋体" w:hAnsi="宋体" w:cs="宋体"/>
          <w:kern w:val="2"/>
          <w:sz w:val="21"/>
          <w:szCs w:val="21"/>
        </w:rPr>
      </w:pPr>
      <w:r>
        <w:rPr>
          <w:rFonts w:hint="eastAsia" w:ascii="宋体" w:hAnsi="宋体" w:cs="宋体"/>
          <w:kern w:val="2"/>
          <w:sz w:val="21"/>
          <w:szCs w:val="21"/>
        </w:rPr>
        <w:t>乙方：</w:t>
      </w:r>
      <w:r>
        <w:rPr>
          <w:rFonts w:hint="eastAsia" w:ascii="宋体" w:hAnsi="宋体" w:cs="宋体"/>
          <w:kern w:val="2"/>
          <w:sz w:val="21"/>
          <w:szCs w:val="21"/>
          <w:u w:val="single"/>
        </w:rPr>
        <w:t xml:space="preserve">              （中标人）            </w:t>
      </w:r>
    </w:p>
    <w:p w14:paraId="66D960BF">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甲、乙双方根据《中华人民共和国民法典》和</w:t>
      </w:r>
      <w:r>
        <w:rPr>
          <w:rFonts w:hint="eastAsia" w:ascii="宋体" w:hAnsi="宋体" w:cs="宋体"/>
          <w:kern w:val="2"/>
          <w:sz w:val="21"/>
          <w:szCs w:val="21"/>
          <w:u w:val="single"/>
        </w:rPr>
        <w:t xml:space="preserve">    （项目名称）  </w:t>
      </w:r>
      <w:r>
        <w:rPr>
          <w:rFonts w:hint="eastAsia" w:ascii="宋体" w:hAnsi="宋体" w:cs="宋体"/>
          <w:kern w:val="2"/>
          <w:sz w:val="21"/>
          <w:szCs w:val="21"/>
        </w:rPr>
        <w:t>公开招标的结果，甲、乙双方在平等的基础上经充分协商，签署本合同。</w:t>
      </w:r>
    </w:p>
    <w:p w14:paraId="3C617AB8">
      <w:pPr>
        <w:keepNext/>
        <w:keepLines/>
        <w:widowControl w:val="0"/>
        <w:spacing w:line="360" w:lineRule="auto"/>
        <w:jc w:val="both"/>
        <w:outlineLvl w:val="1"/>
        <w:rPr>
          <w:rFonts w:ascii="宋体" w:hAnsi="宋体" w:cs="宋体"/>
          <w:b/>
          <w:bCs/>
          <w:kern w:val="2"/>
          <w:sz w:val="21"/>
          <w:szCs w:val="21"/>
        </w:rPr>
      </w:pPr>
      <w:r>
        <w:rPr>
          <w:rFonts w:hint="eastAsia" w:ascii="宋体" w:hAnsi="宋体" w:cs="宋体"/>
          <w:b/>
          <w:bCs/>
          <w:kern w:val="2"/>
          <w:sz w:val="21"/>
          <w:szCs w:val="21"/>
        </w:rPr>
        <w:t>一、项目需求</w:t>
      </w:r>
    </w:p>
    <w:p w14:paraId="02ADBDF0">
      <w:pPr>
        <w:keepNext/>
        <w:keepLines/>
        <w:widowControl w:val="0"/>
        <w:spacing w:line="360" w:lineRule="auto"/>
        <w:ind w:firstLine="420" w:firstLineChars="200"/>
        <w:jc w:val="both"/>
        <w:outlineLvl w:val="1"/>
        <w:rPr>
          <w:rFonts w:ascii="宋体" w:hAnsi="宋体" w:cs="宋体"/>
          <w:kern w:val="2"/>
          <w:sz w:val="21"/>
          <w:szCs w:val="21"/>
        </w:rPr>
      </w:pPr>
      <w:r>
        <w:rPr>
          <w:rFonts w:hint="eastAsia" w:ascii="宋体" w:hAnsi="宋体" w:cs="宋体"/>
          <w:kern w:val="2"/>
          <w:sz w:val="21"/>
          <w:szCs w:val="21"/>
        </w:rPr>
        <w:t>负责实施本项目全过程的咨询服务（包括但不限于本项目实施期间因上级部门或其他政策原因一并纳入实施改造的内容均由全过程咨询单位提供相应的咨询、监管服务），服务范围包括项目监理、造价咨询服务及其他受到采购人委托等相关工作。具体内容如下：</w:t>
      </w:r>
    </w:p>
    <w:p w14:paraId="5E5C528A">
      <w:pPr>
        <w:keepNext/>
        <w:keepLines/>
        <w:widowControl w:val="0"/>
        <w:spacing w:line="360" w:lineRule="auto"/>
        <w:jc w:val="both"/>
        <w:outlineLvl w:val="1"/>
        <w:rPr>
          <w:rFonts w:ascii="宋体" w:hAnsi="宋体" w:cs="宋体"/>
          <w:kern w:val="2"/>
          <w:sz w:val="21"/>
          <w:szCs w:val="21"/>
        </w:rPr>
      </w:pPr>
      <w:r>
        <w:rPr>
          <w:rFonts w:hint="eastAsia" w:ascii="宋体" w:hAnsi="宋体" w:cs="宋体"/>
          <w:kern w:val="2"/>
          <w:sz w:val="21"/>
          <w:szCs w:val="21"/>
        </w:rPr>
        <w:t>专项咨询服务：</w:t>
      </w:r>
    </w:p>
    <w:p w14:paraId="16D75460">
      <w:pPr>
        <w:keepNext/>
        <w:keepLines/>
        <w:widowControl w:val="0"/>
        <w:spacing w:line="360" w:lineRule="auto"/>
        <w:ind w:firstLine="420" w:firstLineChars="200"/>
        <w:jc w:val="both"/>
        <w:outlineLvl w:val="1"/>
        <w:rPr>
          <w:rFonts w:ascii="宋体" w:hAnsi="宋体" w:cs="宋体"/>
          <w:kern w:val="2"/>
          <w:sz w:val="21"/>
          <w:szCs w:val="21"/>
        </w:rPr>
      </w:pPr>
      <w:r>
        <w:rPr>
          <w:rFonts w:hint="eastAsia" w:ascii="宋体" w:hAnsi="宋体" w:cs="宋体"/>
          <w:kern w:val="2"/>
          <w:sz w:val="21"/>
          <w:szCs w:val="21"/>
        </w:rPr>
        <w:t>监理（施工监理与环境监理）：本项目实施阶段全过程及缺陷责任期监理（包含质量、进度、投资控制、合同管理和组织协调，安全、文明施工监管、环境保护监管，施工期间的环境保护措施落实、污染物排放符合国家和地方规定的标准，环境保护投资落实到位等）。</w:t>
      </w:r>
    </w:p>
    <w:p w14:paraId="5DCCA1FE">
      <w:pPr>
        <w:keepNext/>
        <w:keepLines/>
        <w:widowControl w:val="0"/>
        <w:spacing w:line="360" w:lineRule="auto"/>
        <w:ind w:firstLine="420" w:firstLineChars="200"/>
        <w:jc w:val="both"/>
        <w:outlineLvl w:val="1"/>
        <w:rPr>
          <w:rFonts w:ascii="宋体" w:hAnsi="宋体" w:cs="宋体"/>
          <w:kern w:val="2"/>
          <w:sz w:val="21"/>
          <w:szCs w:val="21"/>
        </w:rPr>
      </w:pPr>
      <w:r>
        <w:rPr>
          <w:rFonts w:hint="eastAsia" w:ascii="宋体" w:hAnsi="宋体" w:cs="宋体"/>
          <w:kern w:val="2"/>
          <w:sz w:val="21"/>
          <w:szCs w:val="21"/>
        </w:rPr>
        <w:t>项目造价咨询服务：施工阶段全过程造价控制（不含项目工程量清单、招标控制价编制和结算审核）。</w:t>
      </w:r>
    </w:p>
    <w:p w14:paraId="0E6F732E">
      <w:pPr>
        <w:pStyle w:val="8"/>
        <w:ind w:firstLine="0"/>
      </w:pPr>
      <w:r>
        <w:rPr>
          <w:rFonts w:hint="eastAsia"/>
        </w:rPr>
        <w:t>其他与本项目</w:t>
      </w:r>
    </w:p>
    <w:p w14:paraId="64A26062">
      <w:pPr>
        <w:keepNext/>
        <w:keepLines/>
        <w:widowControl w:val="0"/>
        <w:spacing w:line="360" w:lineRule="auto"/>
        <w:jc w:val="both"/>
        <w:outlineLvl w:val="1"/>
        <w:rPr>
          <w:rFonts w:ascii="宋体" w:hAnsi="宋体" w:cs="宋体"/>
          <w:b/>
          <w:bCs/>
          <w:kern w:val="2"/>
          <w:sz w:val="21"/>
          <w:szCs w:val="21"/>
        </w:rPr>
      </w:pPr>
      <w:r>
        <w:rPr>
          <w:rFonts w:hint="eastAsia" w:ascii="宋体" w:hAnsi="宋体" w:cs="宋体"/>
          <w:b/>
          <w:bCs/>
          <w:kern w:val="2"/>
          <w:sz w:val="21"/>
          <w:szCs w:val="21"/>
        </w:rPr>
        <w:t>二、服务目标</w:t>
      </w:r>
    </w:p>
    <w:p w14:paraId="4458840A">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服务期限：全过程工程咨询服务期限自签订合同之日起至工程竣工验收通过、缺陷责任期满，且全部资料归档，财务决算审计完成止。</w:t>
      </w:r>
    </w:p>
    <w:p w14:paraId="12CE57D1">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 xml:space="preserve">质量控制目标：达到施工合同规定的质量标准。 </w:t>
      </w:r>
    </w:p>
    <w:p w14:paraId="110B9AC9">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进度控制目标：同施工工期。</w:t>
      </w:r>
    </w:p>
    <w:p w14:paraId="053DCACB">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安全管理目标：达到施工合同规定的安全标准。</w:t>
      </w:r>
    </w:p>
    <w:p w14:paraId="2E9982F2">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投资控制目标：符合国家规定标准。</w:t>
      </w:r>
    </w:p>
    <w:p w14:paraId="52415667">
      <w:pPr>
        <w:keepNext/>
        <w:keepLines/>
        <w:widowControl w:val="0"/>
        <w:numPr>
          <w:ilvl w:val="0"/>
          <w:numId w:val="9"/>
        </w:numPr>
        <w:spacing w:line="360" w:lineRule="auto"/>
        <w:jc w:val="both"/>
        <w:outlineLvl w:val="1"/>
        <w:rPr>
          <w:rFonts w:ascii="宋体" w:hAnsi="宋体" w:cs="宋体"/>
          <w:b/>
          <w:bCs/>
          <w:kern w:val="2"/>
          <w:sz w:val="21"/>
          <w:szCs w:val="21"/>
        </w:rPr>
      </w:pPr>
      <w:r>
        <w:rPr>
          <w:rFonts w:hint="eastAsia" w:ascii="宋体" w:hAnsi="宋体" w:cs="宋体"/>
          <w:b/>
          <w:bCs/>
          <w:kern w:val="2"/>
          <w:sz w:val="21"/>
          <w:szCs w:val="21"/>
        </w:rPr>
        <w:t>全过程咨询报酬</w:t>
      </w:r>
    </w:p>
    <w:p w14:paraId="2F9C9B1D">
      <w:pPr>
        <w:widowControl w:val="0"/>
        <w:spacing w:line="360" w:lineRule="auto"/>
        <w:ind w:firstLine="420" w:firstLineChars="200"/>
        <w:jc w:val="both"/>
        <w:rPr>
          <w:rFonts w:ascii="宋体" w:hAnsi="宋体" w:cs="宋体"/>
          <w:kern w:val="2"/>
          <w:sz w:val="21"/>
          <w:szCs w:val="21"/>
          <w:shd w:val="clear" w:color="auto" w:fill="FFFFFF"/>
        </w:rPr>
      </w:pPr>
      <w:r>
        <w:rPr>
          <w:rFonts w:hint="eastAsia" w:ascii="宋体" w:hAnsi="宋体" w:cs="宋体"/>
          <w:kern w:val="2"/>
          <w:sz w:val="21"/>
          <w:szCs w:val="21"/>
          <w:shd w:val="clear" w:color="auto" w:fill="FFFFFF"/>
        </w:rPr>
        <w:t>总价合同，本合同总价（含税）为：￥</w:t>
      </w:r>
      <w:r>
        <w:rPr>
          <w:rFonts w:hint="eastAsia" w:ascii="宋体" w:hAnsi="宋体" w:cs="宋体"/>
          <w:kern w:val="2"/>
          <w:sz w:val="21"/>
          <w:szCs w:val="21"/>
          <w:u w:val="single"/>
          <w:shd w:val="clear" w:color="auto" w:fill="FFFFFF"/>
        </w:rPr>
        <w:t xml:space="preserve">          </w:t>
      </w:r>
      <w:r>
        <w:rPr>
          <w:rFonts w:hint="eastAsia" w:ascii="宋体" w:hAnsi="宋体" w:cs="宋体"/>
          <w:kern w:val="2"/>
          <w:sz w:val="21"/>
          <w:szCs w:val="21"/>
          <w:shd w:val="clear" w:color="auto" w:fill="FFFFFF"/>
        </w:rPr>
        <w:t xml:space="preserve"> 元（大写：</w:t>
      </w:r>
      <w:r>
        <w:rPr>
          <w:rFonts w:hint="eastAsia" w:ascii="宋体" w:hAnsi="宋体" w:cs="宋体"/>
          <w:kern w:val="2"/>
          <w:sz w:val="21"/>
          <w:szCs w:val="21"/>
          <w:u w:val="single"/>
          <w:shd w:val="clear" w:color="auto" w:fill="FFFFFF"/>
        </w:rPr>
        <w:t xml:space="preserve">                 </w:t>
      </w:r>
      <w:r>
        <w:rPr>
          <w:rFonts w:hint="eastAsia" w:ascii="宋体" w:hAnsi="宋体" w:cs="宋体"/>
          <w:kern w:val="2"/>
          <w:sz w:val="21"/>
          <w:szCs w:val="21"/>
          <w:shd w:val="clear" w:color="auto" w:fill="FFFFFF"/>
        </w:rPr>
        <w:t>元人民币）。</w:t>
      </w:r>
    </w:p>
    <w:p w14:paraId="25F77E61">
      <w:pPr>
        <w:keepNext/>
        <w:keepLines/>
        <w:widowControl w:val="0"/>
        <w:numPr>
          <w:ilvl w:val="0"/>
          <w:numId w:val="9"/>
        </w:numPr>
        <w:spacing w:line="360" w:lineRule="auto"/>
        <w:ind w:firstLine="422" w:firstLineChars="200"/>
        <w:jc w:val="both"/>
        <w:outlineLvl w:val="1"/>
        <w:rPr>
          <w:rFonts w:ascii="宋体" w:hAnsi="宋体" w:cs="宋体"/>
          <w:b/>
          <w:bCs/>
          <w:kern w:val="2"/>
          <w:sz w:val="21"/>
          <w:szCs w:val="21"/>
        </w:rPr>
      </w:pPr>
      <w:r>
        <w:rPr>
          <w:rFonts w:hint="eastAsia" w:ascii="宋体" w:hAnsi="宋体" w:cs="宋体"/>
          <w:b/>
          <w:bCs/>
          <w:kern w:val="2"/>
          <w:sz w:val="21"/>
          <w:szCs w:val="21"/>
        </w:rPr>
        <w:t>服务内容</w:t>
      </w:r>
    </w:p>
    <w:p w14:paraId="22B816B9">
      <w:pPr>
        <w:widowControl w:val="0"/>
        <w:autoSpaceDE w:val="0"/>
        <w:autoSpaceDN w:val="0"/>
        <w:spacing w:line="360" w:lineRule="auto"/>
        <w:ind w:firstLine="422" w:firstLineChars="200"/>
        <w:rPr>
          <w:rFonts w:ascii="宋体" w:hAnsi="宋体" w:cs="宋体"/>
          <w:b/>
          <w:bCs/>
          <w:sz w:val="21"/>
          <w:szCs w:val="21"/>
        </w:rPr>
      </w:pPr>
      <w:r>
        <w:rPr>
          <w:rFonts w:hint="eastAsia" w:ascii="宋体" w:hAnsi="宋体" w:cs="宋体"/>
          <w:b/>
          <w:bCs/>
          <w:sz w:val="21"/>
          <w:szCs w:val="21"/>
        </w:rPr>
        <w:t xml:space="preserve">（一）施工监理服务 </w:t>
      </w:r>
    </w:p>
    <w:p w14:paraId="0B4C75A0">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（1）按相关规定编制全过程实施方案、全过程工期实施计划、全过程实施细则，报委托人同意后实施。</w:t>
      </w:r>
    </w:p>
    <w:p w14:paraId="0F493A5E">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（2）熟悉合同文件，了解施工现场。</w:t>
      </w:r>
    </w:p>
    <w:p w14:paraId="0750E751">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（3）参与交桩和设计交底工作，审查承包人提交的复测结果、施工图变更设计和施工组织设计，督促和检查承包人建立质量保证体系、安全保证体系。</w:t>
      </w:r>
    </w:p>
    <w:p w14:paraId="45C6C69F">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（4）检查施工承包人的开工准备工作，审批施工组织设计，签认开工报告，批准单项项目开工报告。</w:t>
      </w:r>
    </w:p>
    <w:p w14:paraId="75BEA470">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（5）审查承包人授权的常驻现场代表的资质，以及其他派驻到现场的主要技术、管理人员的资质；审查特殊作业人员上岗证件。</w:t>
      </w:r>
    </w:p>
    <w:p w14:paraId="2DB7655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（6）建立监理的试验、检测工作体系，按照规定的频率独立开展监理的试验、检测工作。</w:t>
      </w:r>
    </w:p>
    <w:p w14:paraId="6FB839E2">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（7）审批承包人拟用于本项目的原始材料、成套设备的品质。</w:t>
      </w:r>
    </w:p>
    <w:p w14:paraId="09918D8A">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8）审查施工承包人实施项目的实施方案及主要方法或工艺，审批施工承包人提交的各项安全专项方案；还应对施工承包人在施工过程中采取的环境保护措施和施工安全、文明措施加强监督和管理；验收承包人的工地试验室，审核其人员资质。</w:t>
      </w:r>
    </w:p>
    <w:p w14:paraId="2FEF931E">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（9）审查施工承包人拟用于本项目的机械设备的性能与数量。</w:t>
      </w:r>
    </w:p>
    <w:p w14:paraId="14EBB147">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（10）审查承包人提交的总体进度计划，检查和督促承包人实施进度计划、核批承包人的修正计划。</w:t>
      </w:r>
    </w:p>
    <w:p w14:paraId="30FCC04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（11）审查分包合同和分包人的资质，控制重要外购成品件或半成品的质量。</w:t>
      </w:r>
    </w:p>
    <w:p w14:paraId="6B69CC5E">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（12）审查承包人提交的总体进度计划，检查和督促承包人实施进度计划、核批承包人的修正计划。</w:t>
      </w:r>
    </w:p>
    <w:p w14:paraId="54D22B28">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（13）参加第一次开始的工地监理会议和主持日常工地监理会议，参加造价专题例会，参加跟踪审计造价会议。</w:t>
      </w:r>
    </w:p>
    <w:p w14:paraId="1DCE84D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14）要求承包人按照合同条件、技术规范和监理程序进行施工、通过旁站、巡视、检测、整体验收等手段全面监督、检查和控制项目质量；尤其须注意对进场材料、设备的平行检验及对混凝土浇筑等关键部分、关键工序实行全过程旁站。</w:t>
      </w:r>
    </w:p>
    <w:p w14:paraId="16CBB1E8">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15）对已完成项目量进行准确的计量，对项目量的增减做好实测实量，保存好原始凭证，并接受委托人代表检核，重大项目量的计量按宁波市有关文件和合同约定执行，审核变更的工作量并签署确认意见（项目量变更的对外确认只能由委托人进行），对上报进度款的工作量进行审核确认后，交委托人最终确认。</w:t>
      </w:r>
    </w:p>
    <w:p w14:paraId="1F74DDC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（16）对承包人安全、文明施工进行监管，督促承包单位做好半成品保护，对施工单位成品保护工作的质量与效果进行经常性检查，要避免因成品保护不善造成操作损坏或污染，影响项目整体质量。</w:t>
      </w:r>
    </w:p>
    <w:p w14:paraId="616D2CF4">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（17）签发中间交工文件。</w:t>
      </w:r>
    </w:p>
    <w:p w14:paraId="34626AAD">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18）调查、处理项目质量缺陷和事故，与设计、施工单位一起提出改进措施和方法，出现重大质量和安全事故时，督促承包人按规定上报有关部门。对施工现场安全、质量管理进行监管，如发生安全质量事故或区级以上相关行政单位通报批评，与施工单位等被通报批评单位接受相应处罚。</w:t>
      </w:r>
    </w:p>
    <w:p w14:paraId="3EA3471D">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（19）签认项目款及其他费用中期支付凭证。</w:t>
      </w:r>
    </w:p>
    <w:p w14:paraId="18EBFC54">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（20）发布停（复）工令，须事先经委托人核准同意。</w:t>
      </w:r>
    </w:p>
    <w:p w14:paraId="303BDF5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（21）发布变更令（重大、重要变更报委托人核准，凡涉及项目造价须事前经委托人核准）。</w:t>
      </w:r>
    </w:p>
    <w:p w14:paraId="03F492C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（22）受理合同事宜，根据合同规定进行评估和处理。</w:t>
      </w:r>
    </w:p>
    <w:p w14:paraId="58AFCBA3">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（23）根据合同规定处理违约事件，协调争端，在诉讼或仲裁过程中作证。</w:t>
      </w:r>
    </w:p>
    <w:p w14:paraId="6B2402E8">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（24）编制监理工作周报、月报及委托人要求编制的报表（或文件等）在每周一、每月25日前向委托人递交。</w:t>
      </w:r>
    </w:p>
    <w:p w14:paraId="5F905E30">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（25）对承包人的交工申请进行评估，主持对拟交工项目的检查和验收，签认交工文件，签署监理意见。</w:t>
      </w:r>
    </w:p>
    <w:p w14:paraId="407A4475">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（26）督促、检查承包人按项目管理部门和委托人的要求编制竣工文件，审核竣工文件和竣工图并签署意见，配合审计工作，并做好归档工作。</w:t>
      </w:r>
    </w:p>
    <w:p w14:paraId="2DA1215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（27）配合委托人的竣工验收、项目移交和各种预验工作，督促整改意见的落实；</w:t>
      </w:r>
    </w:p>
    <w:p w14:paraId="19898CA2">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（28）对施工承包人的项目负责人及现场管理人员进行考勤。</w:t>
      </w:r>
    </w:p>
    <w:p w14:paraId="4CE4DDE5">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（29）编制监理方面的竣工文件。</w:t>
      </w:r>
    </w:p>
    <w:p w14:paraId="03217921">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（30）根据监理工作日记和造价变更工作日记，配合委托人做好决算和结算审计工作，对结算中有关争议内容出具公正、独立的书面意见，并提供相关依据。</w:t>
      </w:r>
    </w:p>
    <w:p w14:paraId="36309FC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（31）配合委托人做好竣工验收和验收后的维保和项目移交工作。</w:t>
      </w:r>
    </w:p>
    <w:p w14:paraId="026EAFBA">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（32）项目完工后，向委托人提交项目履约评估报告。</w:t>
      </w:r>
    </w:p>
    <w:p w14:paraId="6B58248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（33）按监理规范规定的其他工作。</w:t>
      </w:r>
    </w:p>
    <w:p w14:paraId="2F7EEE9F">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（34）遵守委托人内部规章制度，接受委托人的履约考核，对现场安全、质量、进度等管控不力的，按照委托人规章制度标准扣除违约金。</w:t>
      </w:r>
    </w:p>
    <w:p w14:paraId="33951990">
      <w:pPr>
        <w:pStyle w:val="38"/>
        <w:rPr>
          <w:rFonts w:ascii="宋体" w:hAnsi="宋体" w:cs="宋体"/>
          <w:b/>
          <w:bCs/>
          <w:sz w:val="24"/>
          <w:szCs w:val="24"/>
        </w:rPr>
      </w:pPr>
      <w:r>
        <w:rPr>
          <w:rFonts w:hint="eastAsia" w:ascii="宋体" w:hAnsi="宋体" w:cs="宋体"/>
          <w:sz w:val="21"/>
          <w:szCs w:val="21"/>
        </w:rPr>
        <w:t>（二）</w:t>
      </w:r>
      <w:r>
        <w:rPr>
          <w:rFonts w:hint="eastAsia" w:ascii="宋体" w:hAnsi="宋体" w:cs="宋体"/>
          <w:b/>
          <w:bCs/>
          <w:sz w:val="24"/>
          <w:szCs w:val="24"/>
        </w:rPr>
        <w:t>环境监理服务</w:t>
      </w:r>
    </w:p>
    <w:p w14:paraId="7A026DF2">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（1）协助发包人做好开工准备，编写开工报告和开工令；</w:t>
      </w:r>
    </w:p>
    <w:p w14:paraId="4A40C570">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（2）审查承包人编制的施工组织设计、施工方案(包括施工进度计划、质量保证体系及施工安全防护措施)；</w:t>
      </w:r>
    </w:p>
    <w:p w14:paraId="31E34283">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（3）督促检查承包人严格执行工程承包合同和国家工程技术规范、修复方案、标准设计图纸文件，协调委托人与承包人之间的关系；</w:t>
      </w:r>
    </w:p>
    <w:p w14:paraId="767B79D9">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（4）督促检查承包人落实文明施工、安全防护措施；</w:t>
      </w:r>
    </w:p>
    <w:p w14:paraId="79FE6700">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（5）核验承包人所作的工程进度计划，签收检查承包人填报周、月、季等报表，随时提出监理意见，控制工程进度；</w:t>
      </w:r>
    </w:p>
    <w:p w14:paraId="2FC25DDE">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（6）施工方案变更由监理机构负责经办，对于重大的方案修改和技术洽商，除监理提出意见之外，委托人应绘予协调，并由监理方组织专家对变更后的施工方案予以论证，论证可行后再进行实施；</w:t>
      </w:r>
    </w:p>
    <w:p w14:paraId="4E97D2A8">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7）根据承包人提出的阶段、部位、环节、各系统的分段工程的检验、验收以及整体工程竣工验收申请报告，提交工程监理工作报告，负责组织初验，在预验收中发现的问题，应及时与施工单位沟通，提出整改要求，签署由承包人提出的全部工程竣工验收报告，参加委托人组织的最终验收；</w:t>
      </w:r>
    </w:p>
    <w:p w14:paraId="31795C09">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（8）负责检查工作状况，鉴定质量问题责任，督促维修；</w:t>
      </w:r>
    </w:p>
    <w:p w14:paraId="17CC996B">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 xml:space="preserve">（9）监理机构应及时向委托人报送相关监理资料一份，并每月向委托人提交监理工作报告； </w:t>
      </w:r>
    </w:p>
    <w:p w14:paraId="1F2650AD">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（10）组织和参加定期(或不定期)召开的工程协调会并做好纪要，调解有关工程合同各方的争议，协助委托人处理索赔事项，对有关质量、进度和投资等问题提出监理意见；</w:t>
      </w:r>
    </w:p>
    <w:p w14:paraId="1BF1B62C">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（11）记录工程进度、质量检测、施工安全、施工干扰、监管部门和受托人意见、问题处理结果等情况，做好监理日记和有关的监理记录；</w:t>
      </w:r>
    </w:p>
    <w:p w14:paraId="22E667BD">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（12）环境监理工作方案编制：根据施工单位提交的施工方案，针对采用的实施模式、实施技术、施工时间节点等信息，编制环境监理工作方案；</w:t>
      </w:r>
    </w:p>
    <w:p w14:paraId="7C268883">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13）现场巡视监控及二次污染防控监督：在施工过程中，以不定时到现场巡视、拍照、现场询问等方式对施工过程进行监督，尤其关注在非修复管控范围和异味管控范围内进行的施工、建设，对可能出现的二次污染提出预防或整改建议；</w:t>
      </w:r>
    </w:p>
    <w:p w14:paraId="6D4FF509">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14）施工质量检验：按照施工方案的施工节点，采取“边实施边捡验”的方式，对工程质量进行检验检验对象为施工区域的环境，参照既定目标进行检验：未达到既定目标的，提出调整清理边界或深度、调整施工技术方法等建议，确保施工区域的清理及污染施工达到既定目要求；</w:t>
      </w:r>
    </w:p>
    <w:p w14:paraId="2F784664">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（15）编制施工环境监理工作报告：包括环境监理过程、环境监理工作内容、环境监理工作的实施、施工效果质量控制检验结果、施工二次污染防治等方面的内容；</w:t>
      </w:r>
    </w:p>
    <w:p w14:paraId="3431485D">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（16）对建设工程相关的工作和对施工阶段进行质量、进度、投资控制，合同、信息、安全管理，协调有关单位之间的关系，督促承包人强化安全管理工作等；</w:t>
      </w:r>
    </w:p>
    <w:p w14:paraId="61B1F00D">
      <w:pPr>
        <w:pStyle w:val="45"/>
        <w:spacing w:line="470" w:lineRule="exact"/>
        <w:ind w:firstLine="420" w:firstLineChars="200"/>
        <w:rPr>
          <w:rFonts w:ascii="宋体" w:hAnsi="宋体" w:eastAsia="宋体" w:cs="宋体"/>
          <w:color w:val="auto"/>
          <w:sz w:val="21"/>
          <w:szCs w:val="21"/>
          <w:lang w:bidi="zh-CN"/>
        </w:rPr>
      </w:pPr>
      <w:r>
        <w:rPr>
          <w:rFonts w:hint="eastAsia" w:ascii="宋体" w:hAnsi="宋体" w:eastAsia="宋体" w:cs="宋体"/>
          <w:color w:val="auto"/>
          <w:sz w:val="21"/>
          <w:szCs w:val="21"/>
          <w:lang w:bidi="zh-CN"/>
        </w:rPr>
        <w:t>（17）符合监理规范规定和行业惯例的其他工作；</w:t>
      </w:r>
    </w:p>
    <w:p w14:paraId="0252FB84">
      <w:pPr>
        <w:pStyle w:val="45"/>
        <w:spacing w:line="470" w:lineRule="exact"/>
        <w:ind w:firstLine="420" w:firstLineChars="200"/>
        <w:rPr>
          <w:rFonts w:ascii="宋体" w:hAnsi="宋体" w:eastAsia="宋体" w:cs="宋体"/>
        </w:rPr>
      </w:pPr>
      <w:r>
        <w:rPr>
          <w:rFonts w:hint="eastAsia" w:ascii="宋体" w:hAnsi="宋体" w:eastAsia="宋体" w:cs="宋体"/>
          <w:color w:val="auto"/>
          <w:sz w:val="21"/>
          <w:szCs w:val="21"/>
          <w:lang w:bidi="zh-CN"/>
        </w:rPr>
        <w:t>（18）未尽事宜按监理的有关法律法规执行。</w:t>
      </w:r>
    </w:p>
    <w:p w14:paraId="4487B3CC">
      <w:pPr>
        <w:widowControl w:val="0"/>
        <w:autoSpaceDE w:val="0"/>
        <w:autoSpaceDN w:val="0"/>
        <w:spacing w:line="360" w:lineRule="auto"/>
        <w:ind w:firstLine="422" w:firstLineChars="200"/>
        <w:rPr>
          <w:rFonts w:ascii="宋体" w:hAnsi="宋体" w:cs="宋体"/>
          <w:b/>
          <w:bCs/>
          <w:sz w:val="21"/>
          <w:szCs w:val="21"/>
        </w:rPr>
      </w:pPr>
      <w:r>
        <w:rPr>
          <w:rFonts w:hint="eastAsia" w:ascii="宋体" w:hAnsi="宋体" w:cs="宋体"/>
          <w:b/>
          <w:bCs/>
          <w:sz w:val="21"/>
          <w:szCs w:val="21"/>
        </w:rPr>
        <w:t>（三）施工阶段全过程项目造价控制服务（不含项目工程量清单、招标控制价编制和结算审核）</w:t>
      </w:r>
    </w:p>
    <w:p w14:paraId="25095F7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（1）了解项目基本情况，包括项目前期资料、招投标文件、施工合同、结算方式等内容；</w:t>
      </w:r>
    </w:p>
    <w:p w14:paraId="73A05E93">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（2）协助委托人完成估算、概算审核及报批核对工作；</w:t>
      </w:r>
    </w:p>
    <w:p w14:paraId="6A592164">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（3）了解中标施工单位的施工组织设计和主要施工方案是否经济合理；</w:t>
      </w:r>
    </w:p>
    <w:p w14:paraId="7862DA0F">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（4）对施工单位的投标报价做不平衡报价评估；</w:t>
      </w:r>
    </w:p>
    <w:p w14:paraId="03545E66">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（5）制定现场控制造价步骤与措施；与项目监理单位（质量、进度控制）协调配合，制定控制造价节点与措施，严格签证制度，避免由此给委托人带来的损失；</w:t>
      </w:r>
    </w:p>
    <w:p w14:paraId="56B626BA">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6）协助委托人签署设计变更、项目变更单，对变更的理由、变更的内容、金额提出建议，若发生较大设计变更或市场波动，负责向委托人提交造价测算分析报告，并提供合理的造价控制方法（或建议），并帮助委托人办理重大设计变更的报批手续。变更审核质量达不到委托人的要求并给委托人造成一定损失的，委托人有权视情况处罚；</w:t>
      </w:r>
    </w:p>
    <w:p w14:paraId="24F885D7">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7）在施工过程中如发现清单量误差必须及时书面告知委托人，并测算相关费用；对于清单中已经计算而实际施工中漏掉或改动的工序与结构部件，全过程项目咨询人应该采用现场拍照、录像等手段，以书面资料汇总项目量出入的情况，并计算差价，与证明材料一并交给委托人，以便日后结算备用。如全过程项目咨询人对上述问题未发现或漏报、迟报、误报，给委托人造成损失的，委托人有权处罚；</w:t>
      </w:r>
    </w:p>
    <w:p w14:paraId="6D335288">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（8）全过程咨询人应在施工中标后1个月内，对中标单位的商务报价进行梳理、审核，向委托人出具一份商务标审核意见。</w:t>
      </w:r>
    </w:p>
    <w:p w14:paraId="64F22BE8">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（9）在施工过程中，全过程项目咨询人对施工单位提交的造价变更联系单及时审批完成，因为全过程项目咨询人的错误致使联系单多次修改而影响工期的，委托人有权视情况进行处罚。</w:t>
      </w:r>
    </w:p>
    <w:p w14:paraId="398B50E7">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（10）全过程项目咨询人必须在施工招标文件发布前，仔细校核施工图纸，校核各项功能、标准、不合理的地方，对设计图纸“差”、“错”、“漏”、“碰”等问题进行处理。</w:t>
      </w:r>
    </w:p>
    <w:p w14:paraId="30AB7DC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11）审查项目月、季、年度项目进度报表是否准确，项目量计量、项目款支付是否合理；根据监理签署的施工单位当期实际完成的进度项目量进行复核，按照施工合同中关于进度款的拨付办法，向委托人提出项目进度款拨付意见；</w:t>
      </w:r>
    </w:p>
    <w:p w14:paraId="3E05A05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（12）审查预付项目款、应付项目款等是否真实、准确、完整；</w:t>
      </w:r>
    </w:p>
    <w:p w14:paraId="78E55AB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13）审查有关各方签署的措施项目联系单及各种资料是否符合施工实际情况，必要时进行现场拍照、录像，以备查验。结合招标文件、投标文件及项目量清单报价内容，现场核实措施项目与清单报价的措施项目量，并向委托人提出措施项目费用结算意见。</w:t>
      </w:r>
    </w:p>
    <w:p w14:paraId="11D6C76D">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（14）根据施工承包合同价、进度计划，编制项目的用款计划书，根据概算进度控制计划，编制年度资金需求计划；</w:t>
      </w:r>
    </w:p>
    <w:p w14:paraId="77AD4E13">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（15）参与造价控制有关的项目会议；随时掌握项目进展的实际情况，实施造价控制的跟踪管理；</w:t>
      </w:r>
    </w:p>
    <w:p w14:paraId="4E9938E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16）会同建设方对特殊材料、设备市场价格的征询或审核；参与无价材料、暂定材料的定牌定价。根据施工图纸的要求，对每种无价材料、暂定材料（招标文件中确定的），全过程项目咨询人协助委托人进行市场询价，确定材料价格，最后经委托人确认。协助委托人进行大型设备的采购与招标。</w:t>
      </w:r>
    </w:p>
    <w:p w14:paraId="67297FB0">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（17）及时提醒委托人可能发生的项目费用索赔问题，提供专业评估意见，估算书及反索赔咨询服务，以保证委托人的利益。建设方、施工方双方提出索赔时，为双方提供确认、反馈索赔等咨询意见；</w:t>
      </w:r>
    </w:p>
    <w:p w14:paraId="3E14677E">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（18）对分阶段竣工的分部项目，对其完工的结算及时进行核定，每个月向委托人提供造价控制动态分析报告。</w:t>
      </w:r>
    </w:p>
    <w:p w14:paraId="2FD31D79">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（19）承包方提出索赔时，凭据合同和有关法律、法规，提供咨询意见；</w:t>
      </w:r>
    </w:p>
    <w:p w14:paraId="511E767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（20）提供与造价控制相关的人工、材料、设备等造价信息，过程中协助委托人进行小型材料招标等其他委托人需要的咨询服务。</w:t>
      </w:r>
    </w:p>
    <w:p w14:paraId="18B4507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（21）提供项目范围内的所有项目及委托人另行委托的咨询服务。</w:t>
      </w:r>
    </w:p>
    <w:p w14:paraId="58806BEE">
      <w:pPr>
        <w:widowControl w:val="0"/>
        <w:autoSpaceDE w:val="0"/>
        <w:autoSpaceDN w:val="0"/>
        <w:spacing w:line="360" w:lineRule="auto"/>
        <w:ind w:firstLine="422" w:firstLineChars="200"/>
        <w:rPr>
          <w:rFonts w:ascii="宋体" w:hAnsi="宋体" w:cs="宋体"/>
          <w:b/>
          <w:bCs/>
          <w:sz w:val="21"/>
          <w:szCs w:val="21"/>
        </w:rPr>
      </w:pPr>
      <w:r>
        <w:rPr>
          <w:rFonts w:hint="eastAsia" w:ascii="宋体" w:hAnsi="宋体" w:cs="宋体"/>
          <w:b/>
          <w:bCs/>
          <w:sz w:val="21"/>
          <w:szCs w:val="21"/>
        </w:rPr>
        <w:t>（四）全过程咨询人向委托人提供的附加服务包括如下：</w:t>
      </w:r>
    </w:p>
    <w:p w14:paraId="51B95CD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1、向委托人提供国内和本市项目项目的造价咨询业务有关法律、法令、条例、规定、标准、规范和一般惯例的咨询服务；</w:t>
      </w:r>
    </w:p>
    <w:p w14:paraId="4F2C1DC4">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2、向委托人提供涉及委托项目项目的金额、材料、设备等造价信息和规定的咨询服务；</w:t>
      </w:r>
    </w:p>
    <w:p w14:paraId="6A7ECABB">
      <w:pPr>
        <w:widowControl w:val="0"/>
        <w:autoSpaceDE w:val="0"/>
        <w:autoSpaceDN w:val="0"/>
        <w:spacing w:line="360" w:lineRule="auto"/>
        <w:ind w:firstLine="422" w:firstLineChars="200"/>
        <w:rPr>
          <w:rFonts w:ascii="宋体" w:hAnsi="宋体" w:cs="宋体"/>
          <w:b/>
          <w:bCs/>
          <w:sz w:val="21"/>
          <w:szCs w:val="21"/>
        </w:rPr>
      </w:pPr>
      <w:r>
        <w:rPr>
          <w:rFonts w:hint="eastAsia" w:ascii="宋体" w:hAnsi="宋体" w:cs="宋体"/>
          <w:b/>
          <w:bCs/>
          <w:sz w:val="21"/>
          <w:szCs w:val="21"/>
        </w:rPr>
        <w:t>（五）双方约定的委托人应提供的项目造价咨询材料：</w:t>
      </w:r>
    </w:p>
    <w:p w14:paraId="1D3462A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1、经批准的概算文件；</w:t>
      </w:r>
    </w:p>
    <w:p w14:paraId="7DBA01D3">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2、设计施工图壹套；</w:t>
      </w:r>
    </w:p>
    <w:p w14:paraId="63E4F556">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3、建筑施工电源、水源、施工区域总平面布置图；</w:t>
      </w:r>
    </w:p>
    <w:p w14:paraId="61A4BD7B">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4、项目招投标需要的有关文件；</w:t>
      </w:r>
    </w:p>
    <w:p w14:paraId="0805FE57">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5、项目预（结）算书及有关设计变更、现场签证、经认可的技术核定单等资料；</w:t>
      </w:r>
    </w:p>
    <w:p w14:paraId="68FAFD3C">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6、其它与造价相关的文件。</w:t>
      </w:r>
    </w:p>
    <w:p w14:paraId="7FD1D862">
      <w:pPr>
        <w:widowControl w:val="0"/>
        <w:autoSpaceDE w:val="0"/>
        <w:autoSpaceDN w:val="0"/>
        <w:spacing w:line="360" w:lineRule="auto"/>
        <w:ind w:firstLine="422" w:firstLineChars="200"/>
        <w:rPr>
          <w:rFonts w:ascii="宋体" w:hAnsi="宋体" w:cs="宋体"/>
          <w:b/>
          <w:bCs/>
          <w:sz w:val="21"/>
          <w:szCs w:val="21"/>
        </w:rPr>
      </w:pPr>
      <w:r>
        <w:rPr>
          <w:rFonts w:hint="eastAsia" w:ascii="宋体" w:hAnsi="宋体" w:cs="宋体"/>
          <w:b/>
          <w:bCs/>
          <w:sz w:val="21"/>
          <w:szCs w:val="21"/>
        </w:rPr>
        <w:t>（六）其他工作内容</w:t>
      </w:r>
    </w:p>
    <w:p w14:paraId="306735E4">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1、本项目的造价咨询服务以完成该委托，提交相关服务成果所必须的时间为服务周期。</w:t>
      </w:r>
    </w:p>
    <w:p w14:paraId="028B4346">
      <w:pPr>
        <w:widowControl w:val="0"/>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2、本项目的全过程造价咨询服务周期为与建设周期同步。</w:t>
      </w:r>
    </w:p>
    <w:p w14:paraId="33A086EF">
      <w:pPr>
        <w:pStyle w:val="28"/>
        <w:ind w:left="440" w:firstLine="0" w:firstLineChars="0"/>
        <w:rPr>
          <w:rFonts w:ascii="宋体" w:hAnsi="宋体" w:cs="宋体"/>
        </w:rPr>
      </w:pPr>
      <w:r>
        <w:rPr>
          <w:rFonts w:hint="eastAsia" w:ascii="宋体" w:hAnsi="宋体" w:cs="宋体"/>
          <w:sz w:val="21"/>
          <w:szCs w:val="21"/>
        </w:rPr>
        <w:t>3、本合同范围为本项目施工范围内所有的工作内容。</w:t>
      </w:r>
    </w:p>
    <w:p w14:paraId="306542A3">
      <w:pPr>
        <w:spacing w:line="360" w:lineRule="auto"/>
        <w:jc w:val="both"/>
        <w:rPr>
          <w:rFonts w:ascii="宋体" w:hAnsi="宋体" w:cs="宋体"/>
          <w:spacing w:val="-4"/>
          <w:kern w:val="2"/>
          <w:sz w:val="21"/>
          <w:szCs w:val="21"/>
        </w:rPr>
      </w:pPr>
      <w:r>
        <w:rPr>
          <w:rFonts w:hint="eastAsia" w:ascii="宋体" w:hAnsi="宋体" w:cs="宋体"/>
          <w:b/>
          <w:bCs/>
          <w:spacing w:val="-4"/>
          <w:kern w:val="2"/>
          <w:sz w:val="21"/>
          <w:szCs w:val="21"/>
        </w:rPr>
        <w:t>五、拟投入人员信息</w:t>
      </w:r>
    </w:p>
    <w:p w14:paraId="37BA4075">
      <w:pPr>
        <w:numPr>
          <w:ilvl w:val="0"/>
          <w:numId w:val="10"/>
        </w:numPr>
        <w:spacing w:line="360" w:lineRule="auto"/>
        <w:ind w:left="0" w:firstLine="424"/>
        <w:jc w:val="both"/>
        <w:rPr>
          <w:rFonts w:ascii="宋体" w:hAnsi="宋体" w:cs="宋体"/>
          <w:spacing w:val="-4"/>
          <w:kern w:val="2"/>
          <w:sz w:val="21"/>
          <w:szCs w:val="21"/>
        </w:rPr>
      </w:pPr>
      <w:r>
        <w:rPr>
          <w:rFonts w:hint="eastAsia" w:ascii="宋体" w:hAnsi="宋体" w:cs="宋体"/>
          <w:spacing w:val="-4"/>
          <w:kern w:val="2"/>
          <w:sz w:val="21"/>
          <w:szCs w:val="21"/>
        </w:rPr>
        <w:t>项目负责人姓名：</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，专业：</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，执业资格：</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w:t>
      </w:r>
    </w:p>
    <w:p w14:paraId="7F4788CA">
      <w:pPr>
        <w:numPr>
          <w:ilvl w:val="0"/>
          <w:numId w:val="10"/>
        </w:numPr>
        <w:spacing w:line="360" w:lineRule="auto"/>
        <w:ind w:left="0" w:firstLine="424"/>
        <w:jc w:val="both"/>
        <w:rPr>
          <w:rFonts w:ascii="宋体" w:hAnsi="宋体" w:cs="宋体"/>
          <w:spacing w:val="-4"/>
          <w:kern w:val="2"/>
          <w:sz w:val="21"/>
          <w:szCs w:val="21"/>
        </w:rPr>
      </w:pPr>
      <w:r>
        <w:rPr>
          <w:rFonts w:hint="eastAsia" w:ascii="宋体" w:hAnsi="宋体" w:cs="宋体"/>
          <w:spacing w:val="-4"/>
          <w:kern w:val="2"/>
          <w:sz w:val="21"/>
          <w:szCs w:val="21"/>
        </w:rPr>
        <w:t>监理负责人姓名：</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，专业：</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，职业资格：</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w:t>
      </w:r>
    </w:p>
    <w:p w14:paraId="7657A7BD">
      <w:pPr>
        <w:numPr>
          <w:ilvl w:val="0"/>
          <w:numId w:val="10"/>
        </w:numPr>
        <w:spacing w:line="360" w:lineRule="auto"/>
        <w:ind w:left="0" w:firstLine="424"/>
        <w:jc w:val="both"/>
        <w:rPr>
          <w:rFonts w:ascii="宋体" w:hAnsi="宋体" w:cs="宋体"/>
          <w:spacing w:val="-4"/>
          <w:kern w:val="2"/>
          <w:sz w:val="21"/>
          <w:szCs w:val="21"/>
        </w:rPr>
      </w:pPr>
      <w:r>
        <w:rPr>
          <w:rFonts w:hint="eastAsia" w:ascii="宋体" w:hAnsi="宋体" w:cs="宋体"/>
          <w:spacing w:val="-4"/>
          <w:kern w:val="2"/>
          <w:sz w:val="21"/>
          <w:szCs w:val="21"/>
        </w:rPr>
        <w:t>造价负责人姓名：</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专业：</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，职业资格：</w:t>
      </w:r>
      <w:r>
        <w:rPr>
          <w:rFonts w:hint="eastAsia" w:ascii="宋体" w:hAnsi="宋体" w:cs="宋体"/>
          <w:spacing w:val="-4"/>
          <w:kern w:val="2"/>
          <w:sz w:val="21"/>
          <w:szCs w:val="21"/>
          <w:u w:val="single"/>
        </w:rPr>
        <w:t xml:space="preserve">                   </w:t>
      </w:r>
      <w:r>
        <w:rPr>
          <w:rFonts w:hint="eastAsia" w:ascii="宋体" w:hAnsi="宋体" w:cs="宋体"/>
          <w:spacing w:val="-4"/>
          <w:kern w:val="2"/>
          <w:sz w:val="21"/>
          <w:szCs w:val="21"/>
        </w:rPr>
        <w:t>。</w:t>
      </w:r>
    </w:p>
    <w:p w14:paraId="1BCAEF54">
      <w:pPr>
        <w:keepNext/>
        <w:keepLines/>
        <w:widowControl w:val="0"/>
        <w:spacing w:line="360" w:lineRule="auto"/>
        <w:jc w:val="both"/>
        <w:outlineLvl w:val="1"/>
        <w:rPr>
          <w:rFonts w:ascii="宋体" w:hAnsi="宋体" w:cs="宋体"/>
          <w:b/>
          <w:bCs/>
          <w:kern w:val="2"/>
          <w:sz w:val="21"/>
          <w:szCs w:val="21"/>
        </w:rPr>
      </w:pPr>
      <w:r>
        <w:rPr>
          <w:rFonts w:hint="eastAsia" w:ascii="宋体" w:hAnsi="宋体" w:cs="宋体"/>
          <w:b/>
          <w:bCs/>
          <w:kern w:val="2"/>
          <w:sz w:val="21"/>
          <w:szCs w:val="21"/>
        </w:rPr>
        <w:t>六、拟投入本项目的办公及检测设备</w:t>
      </w:r>
    </w:p>
    <w:p w14:paraId="534C321F">
      <w:pPr>
        <w:keepNext/>
        <w:keepLines/>
        <w:widowControl w:val="0"/>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中标后，根据投标文件配备。</w:t>
      </w:r>
    </w:p>
    <w:p w14:paraId="2D2BA97A">
      <w:pPr>
        <w:keepNext/>
        <w:keepLines/>
        <w:widowControl w:val="0"/>
        <w:spacing w:line="360" w:lineRule="auto"/>
        <w:jc w:val="both"/>
        <w:outlineLvl w:val="1"/>
        <w:rPr>
          <w:rFonts w:ascii="宋体" w:hAnsi="宋体" w:cs="宋体"/>
          <w:b/>
          <w:bCs/>
          <w:kern w:val="2"/>
          <w:sz w:val="21"/>
          <w:szCs w:val="21"/>
        </w:rPr>
      </w:pPr>
      <w:r>
        <w:rPr>
          <w:rFonts w:hint="eastAsia" w:ascii="宋体" w:hAnsi="宋体" w:cs="宋体"/>
          <w:b/>
          <w:bCs/>
          <w:kern w:val="2"/>
          <w:sz w:val="21"/>
          <w:szCs w:val="21"/>
        </w:rPr>
        <w:t>七、付款方式</w:t>
      </w:r>
    </w:p>
    <w:p w14:paraId="7F117B78">
      <w:pPr>
        <w:spacing w:line="360" w:lineRule="auto"/>
        <w:ind w:firstLine="420" w:firstLineChars="200"/>
        <w:jc w:val="both"/>
        <w:rPr>
          <w:rFonts w:ascii="宋体" w:hAnsi="宋体" w:cs="宋体"/>
          <w:sz w:val="21"/>
          <w:szCs w:val="21"/>
          <w:lang w:bidi="ar"/>
        </w:rPr>
      </w:pPr>
      <w:r>
        <w:rPr>
          <w:rFonts w:hint="eastAsia" w:ascii="宋体" w:hAnsi="宋体" w:cs="宋体"/>
          <w:sz w:val="21"/>
          <w:szCs w:val="21"/>
          <w:lang w:bidi="ar"/>
        </w:rPr>
        <w:t>▲1、付款方式：</w:t>
      </w:r>
    </w:p>
    <w:p w14:paraId="5CBA95BD">
      <w:pPr>
        <w:numPr>
          <w:ilvl w:val="0"/>
          <w:numId w:val="11"/>
        </w:numPr>
        <w:spacing w:line="360" w:lineRule="auto"/>
        <w:ind w:firstLine="406" w:firstLineChars="200"/>
        <w:jc w:val="both"/>
        <w:rPr>
          <w:rFonts w:ascii="宋体" w:hAnsi="宋体" w:cs="宋体"/>
          <w:b/>
          <w:bCs/>
          <w:spacing w:val="-4"/>
          <w:kern w:val="2"/>
          <w:sz w:val="21"/>
          <w:szCs w:val="21"/>
        </w:rPr>
      </w:pPr>
      <w:r>
        <w:rPr>
          <w:rFonts w:hint="eastAsia" w:ascii="宋体" w:hAnsi="宋体" w:cs="宋体"/>
          <w:b/>
          <w:bCs/>
          <w:spacing w:val="-4"/>
          <w:kern w:val="2"/>
          <w:sz w:val="21"/>
          <w:szCs w:val="21"/>
        </w:rPr>
        <w:t>监理服务费付款方式：</w:t>
      </w:r>
    </w:p>
    <w:tbl>
      <w:tblPr>
        <w:tblStyle w:val="29"/>
        <w:tblW w:w="51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4889"/>
        <w:gridCol w:w="3850"/>
      </w:tblGrid>
      <w:tr w14:paraId="0F03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pct"/>
            <w:noWrap/>
            <w:vAlign w:val="center"/>
          </w:tcPr>
          <w:p w14:paraId="7D0F6A45">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支付次数</w:t>
            </w:r>
          </w:p>
        </w:tc>
        <w:tc>
          <w:tcPr>
            <w:tcW w:w="2367" w:type="pct"/>
            <w:noWrap/>
            <w:vAlign w:val="center"/>
          </w:tcPr>
          <w:p w14:paraId="536CC783">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支付时间</w:t>
            </w:r>
          </w:p>
        </w:tc>
        <w:tc>
          <w:tcPr>
            <w:tcW w:w="1864" w:type="pct"/>
            <w:noWrap/>
            <w:vAlign w:val="center"/>
          </w:tcPr>
          <w:p w14:paraId="0F2EBC8B">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支付比例</w:t>
            </w:r>
          </w:p>
        </w:tc>
      </w:tr>
      <w:tr w14:paraId="3D6B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pct"/>
            <w:noWrap/>
            <w:vAlign w:val="center"/>
          </w:tcPr>
          <w:p w14:paraId="1FD0F5AD">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第一次付款</w:t>
            </w:r>
          </w:p>
        </w:tc>
        <w:tc>
          <w:tcPr>
            <w:tcW w:w="2367" w:type="pct"/>
            <w:noWrap/>
            <w:vAlign w:val="center"/>
          </w:tcPr>
          <w:p w14:paraId="2E6DB0FC">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本合同生效并提交履约担保后</w:t>
            </w:r>
          </w:p>
        </w:tc>
        <w:tc>
          <w:tcPr>
            <w:tcW w:w="1864" w:type="pct"/>
            <w:noWrap/>
            <w:vAlign w:val="center"/>
          </w:tcPr>
          <w:p w14:paraId="412B83CC">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支付至相应分项暂定合同价的30%</w:t>
            </w:r>
          </w:p>
        </w:tc>
      </w:tr>
      <w:tr w14:paraId="37AB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pct"/>
            <w:noWrap/>
            <w:vAlign w:val="center"/>
          </w:tcPr>
          <w:p w14:paraId="7110B499">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第二次付款</w:t>
            </w:r>
          </w:p>
        </w:tc>
        <w:tc>
          <w:tcPr>
            <w:tcW w:w="2367" w:type="pct"/>
            <w:noWrap/>
            <w:vAlign w:val="center"/>
          </w:tcPr>
          <w:p w14:paraId="28ED3C95">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施工完成产值达到施工合同价70%后</w:t>
            </w:r>
          </w:p>
        </w:tc>
        <w:tc>
          <w:tcPr>
            <w:tcW w:w="1864" w:type="pct"/>
            <w:noWrap/>
            <w:vAlign w:val="center"/>
          </w:tcPr>
          <w:p w14:paraId="3039E24B">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支付至相应分项暂定合同价的60%</w:t>
            </w:r>
          </w:p>
        </w:tc>
      </w:tr>
      <w:tr w14:paraId="16EF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pct"/>
            <w:noWrap/>
            <w:vAlign w:val="center"/>
          </w:tcPr>
          <w:p w14:paraId="3A033325">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第三次付款</w:t>
            </w:r>
          </w:p>
        </w:tc>
        <w:tc>
          <w:tcPr>
            <w:tcW w:w="2367" w:type="pct"/>
            <w:noWrap/>
            <w:vAlign w:val="center"/>
          </w:tcPr>
          <w:p w14:paraId="27CDDD5F">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项目竣工验收合格后</w:t>
            </w:r>
          </w:p>
        </w:tc>
        <w:tc>
          <w:tcPr>
            <w:tcW w:w="1864" w:type="pct"/>
            <w:noWrap/>
            <w:vAlign w:val="center"/>
          </w:tcPr>
          <w:p w14:paraId="1FB25191">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支付至相应分项暂定合同价的80%</w:t>
            </w:r>
          </w:p>
        </w:tc>
      </w:tr>
      <w:tr w14:paraId="5330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pct"/>
            <w:noWrap/>
            <w:vAlign w:val="center"/>
          </w:tcPr>
          <w:p w14:paraId="0CD0C0A9">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第四次付款</w:t>
            </w:r>
          </w:p>
        </w:tc>
        <w:tc>
          <w:tcPr>
            <w:tcW w:w="2367" w:type="pct"/>
            <w:noWrap/>
            <w:vAlign w:val="center"/>
          </w:tcPr>
          <w:p w14:paraId="3F7BC30D">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项目竣工决算审计完成后</w:t>
            </w:r>
          </w:p>
        </w:tc>
        <w:tc>
          <w:tcPr>
            <w:tcW w:w="1864" w:type="pct"/>
            <w:noWrap/>
            <w:vAlign w:val="center"/>
          </w:tcPr>
          <w:p w14:paraId="09F69148">
            <w:pPr>
              <w:widowControl w:val="0"/>
              <w:autoSpaceDE w:val="0"/>
              <w:autoSpaceDN w:val="0"/>
              <w:spacing w:line="360" w:lineRule="auto"/>
              <w:jc w:val="center"/>
              <w:rPr>
                <w:rFonts w:ascii="宋体" w:hAnsi="宋体" w:cs="宋体"/>
                <w:kern w:val="2"/>
                <w:sz w:val="21"/>
                <w:szCs w:val="21"/>
              </w:rPr>
            </w:pPr>
            <w:r>
              <w:rPr>
                <w:rFonts w:hint="eastAsia" w:ascii="宋体" w:hAnsi="宋体" w:cs="宋体"/>
                <w:kern w:val="2"/>
                <w:sz w:val="21"/>
                <w:szCs w:val="21"/>
              </w:rPr>
              <w:t>按审定价付清最终余款</w:t>
            </w:r>
          </w:p>
        </w:tc>
      </w:tr>
    </w:tbl>
    <w:p w14:paraId="7C8F5B9C">
      <w:pPr>
        <w:pStyle w:val="39"/>
        <w:spacing w:before="69" w:line="360" w:lineRule="auto"/>
        <w:ind w:left="105" w:right="41"/>
        <w:rPr>
          <w:spacing w:val="-1"/>
          <w:sz w:val="22"/>
          <w:szCs w:val="22"/>
          <w:lang w:eastAsia="zh-CN"/>
        </w:rPr>
      </w:pPr>
      <w:r>
        <w:rPr>
          <w:rFonts w:hint="eastAsia" w:asciiTheme="minorHAnsi" w:hAnsiTheme="minorHAnsi" w:cstheme="minorBidi"/>
          <w:spacing w:val="-3"/>
          <w:sz w:val="22"/>
          <w:szCs w:val="22"/>
          <w:lang w:eastAsia="zh-CN"/>
        </w:rPr>
        <w:t>注：</w:t>
      </w:r>
      <w:r>
        <w:rPr>
          <w:rFonts w:asciiTheme="minorHAnsi" w:hAnsiTheme="minorHAnsi" w:cstheme="minorBidi"/>
          <w:spacing w:val="-3"/>
          <w:sz w:val="22"/>
          <w:szCs w:val="22"/>
          <w:lang w:eastAsia="zh-CN"/>
        </w:rPr>
        <w:t>本项目监理费结算价=实际监理的工程内容造价（建安工程结算造价）×监理费率【监理费率计算公式：监理中标价/</w:t>
      </w:r>
      <w:r>
        <w:rPr>
          <w:rFonts w:hint="eastAsia" w:asciiTheme="minorHAnsi" w:hAnsiTheme="minorHAnsi" w:cstheme="minorBidi"/>
          <w:spacing w:val="-3"/>
          <w:sz w:val="22"/>
          <w:szCs w:val="22"/>
          <w:lang w:eastAsia="zh-CN"/>
        </w:rPr>
        <w:t>施工预算金额</w:t>
      </w:r>
      <w:r>
        <w:rPr>
          <w:rFonts w:asciiTheme="minorHAnsi" w:hAnsiTheme="minorHAnsi" w:cstheme="minorBidi"/>
          <w:spacing w:val="-3"/>
          <w:sz w:val="22"/>
          <w:szCs w:val="22"/>
          <w:lang w:eastAsia="zh-CN"/>
        </w:rPr>
        <w:t>*100%（小数点保留2位，第3位四舍五入，例XX.XX%）】</w:t>
      </w:r>
      <w:r>
        <w:rPr>
          <w:rFonts w:hint="eastAsia" w:asciiTheme="minorHAnsi" w:hAnsiTheme="minorHAnsi" w:cstheme="minorBidi"/>
          <w:spacing w:val="-3"/>
          <w:sz w:val="22"/>
          <w:szCs w:val="22"/>
          <w:lang w:eastAsia="zh-CN"/>
        </w:rPr>
        <w:t>。</w:t>
      </w:r>
      <w:r>
        <w:rPr>
          <w:spacing w:val="-3"/>
          <w:sz w:val="22"/>
          <w:szCs w:val="22"/>
          <w:lang w:eastAsia="zh-CN"/>
        </w:rPr>
        <w:t>各投标人在投标时应充分考虑本工程各种原因使施工工期延长</w:t>
      </w:r>
      <w:r>
        <w:rPr>
          <w:spacing w:val="-4"/>
          <w:sz w:val="22"/>
          <w:szCs w:val="22"/>
          <w:lang w:eastAsia="zh-CN"/>
        </w:rPr>
        <w:t>的风险，今后</w:t>
      </w:r>
      <w:r>
        <w:rPr>
          <w:sz w:val="22"/>
          <w:szCs w:val="22"/>
          <w:lang w:eastAsia="zh-CN"/>
        </w:rPr>
        <w:t xml:space="preserve"> </w:t>
      </w:r>
      <w:r>
        <w:rPr>
          <w:spacing w:val="-1"/>
          <w:sz w:val="22"/>
          <w:szCs w:val="22"/>
          <w:lang w:eastAsia="zh-CN"/>
        </w:rPr>
        <w:t>如果施工工期延期，费</w:t>
      </w:r>
      <w:r>
        <w:rPr>
          <w:rFonts w:hint="eastAsia"/>
          <w:spacing w:val="-1"/>
          <w:sz w:val="22"/>
          <w:szCs w:val="22"/>
          <w:lang w:eastAsia="zh-CN"/>
        </w:rPr>
        <w:t>用</w:t>
      </w:r>
      <w:r>
        <w:rPr>
          <w:spacing w:val="-1"/>
          <w:sz w:val="22"/>
          <w:szCs w:val="22"/>
          <w:lang w:eastAsia="zh-CN"/>
        </w:rPr>
        <w:t>不予增加。</w:t>
      </w:r>
      <w:r>
        <w:rPr>
          <w:rFonts w:hint="eastAsia"/>
          <w:spacing w:val="-1"/>
          <w:sz w:val="22"/>
          <w:szCs w:val="22"/>
          <w:lang w:eastAsia="zh-CN"/>
        </w:rPr>
        <w:t>一切付款进度均以财政资金到位情况为前提，如财政拨款因故延迟，付款时间顺延，将不视为委托人违约，且受托人不得以付款延迟为理由拖延或拒绝履行合同义务。</w:t>
      </w:r>
    </w:p>
    <w:p w14:paraId="22BA7BF1">
      <w:pPr>
        <w:widowControl w:val="0"/>
        <w:spacing w:line="360" w:lineRule="auto"/>
        <w:ind w:firstLine="422" w:firstLineChars="200"/>
        <w:jc w:val="both"/>
        <w:rPr>
          <w:rFonts w:ascii="宋体" w:hAnsi="宋体" w:cs="宋体"/>
          <w:b/>
          <w:bCs/>
          <w:kern w:val="2"/>
          <w:sz w:val="21"/>
          <w:szCs w:val="21"/>
        </w:rPr>
      </w:pPr>
      <w:r>
        <w:rPr>
          <w:rFonts w:hint="eastAsia" w:ascii="宋体" w:hAnsi="宋体" w:cs="宋体"/>
          <w:b/>
          <w:bCs/>
          <w:kern w:val="2"/>
          <w:sz w:val="21"/>
          <w:szCs w:val="21"/>
        </w:rPr>
        <w:t>（2）施工阶段全过程工程造价控制费</w:t>
      </w:r>
      <w:r>
        <w:rPr>
          <w:rFonts w:hint="eastAsia" w:ascii="宋体" w:hAnsi="宋体" w:cs="宋体"/>
          <w:b/>
          <w:bCs/>
          <w:sz w:val="21"/>
          <w:szCs w:val="21"/>
        </w:rPr>
        <w:t>（不含项目工程量清单、招标控制价编制和结算审核）</w:t>
      </w:r>
      <w:r>
        <w:rPr>
          <w:rFonts w:hint="eastAsia" w:ascii="宋体" w:hAnsi="宋体" w:cs="宋体"/>
          <w:b/>
          <w:bCs/>
          <w:kern w:val="2"/>
          <w:sz w:val="21"/>
          <w:szCs w:val="21"/>
        </w:rPr>
        <w:t>付款方式：</w:t>
      </w:r>
    </w:p>
    <w:p w14:paraId="67318139">
      <w:pPr>
        <w:widowControl w:val="0"/>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在施工阶段全过程工程造价控制咨询服务结束，并出具跟踪审计报告后，一次性支付对应咨询费用。</w:t>
      </w:r>
    </w:p>
    <w:p w14:paraId="71375C25">
      <w:pPr>
        <w:widowControl w:val="0"/>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（3）乙方在甲方支付费用前开具相应金额增值税专用发票。</w:t>
      </w:r>
    </w:p>
    <w:p w14:paraId="73D6DB9E">
      <w:pPr>
        <w:spacing w:line="360" w:lineRule="auto"/>
        <w:ind w:firstLine="422" w:firstLineChars="200"/>
        <w:jc w:val="both"/>
        <w:rPr>
          <w:rFonts w:ascii="宋体" w:hAnsi="宋体" w:cs="宋体"/>
          <w:b/>
          <w:kern w:val="2"/>
          <w:sz w:val="21"/>
          <w:szCs w:val="21"/>
        </w:rPr>
      </w:pPr>
      <w:r>
        <w:rPr>
          <w:rFonts w:hint="eastAsia" w:ascii="宋体" w:hAnsi="宋体" w:cs="宋体"/>
          <w:b/>
          <w:kern w:val="2"/>
          <w:sz w:val="21"/>
          <w:szCs w:val="21"/>
        </w:rPr>
        <w:t>注：</w:t>
      </w:r>
      <w:r>
        <w:rPr>
          <w:rFonts w:hint="eastAsia" w:ascii="宋体" w:hAnsi="宋体" w:cs="宋体"/>
          <w:b/>
          <w:bCs/>
          <w:sz w:val="21"/>
          <w:szCs w:val="21"/>
          <w:lang w:bidi="ar"/>
        </w:rPr>
        <w:t>（1）以上款项支付在对应工作内容完成后分别提出付款申请；（2）若联合体中标的，则由联合体各方按各自负责的内容提出申请，报采购人确认，费用由采购人直接支付给联合体各方。</w:t>
      </w:r>
    </w:p>
    <w:p w14:paraId="14B4370F">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八、验收、履约担保及其他</w:t>
      </w:r>
    </w:p>
    <w:p w14:paraId="60B0FB43">
      <w:pPr>
        <w:widowControl w:val="0"/>
        <w:spacing w:line="310" w:lineRule="auto"/>
        <w:ind w:firstLine="422" w:firstLineChars="200"/>
        <w:jc w:val="both"/>
        <w:rPr>
          <w:rFonts w:ascii="宋体" w:hAnsi="宋体" w:cs="宋体"/>
          <w:b/>
          <w:kern w:val="2"/>
          <w:sz w:val="21"/>
          <w:szCs w:val="21"/>
        </w:rPr>
      </w:pPr>
      <w:r>
        <w:rPr>
          <w:rFonts w:hint="eastAsia" w:ascii="宋体" w:hAnsi="宋体" w:cs="宋体"/>
          <w:b/>
          <w:kern w:val="2"/>
          <w:sz w:val="21"/>
          <w:szCs w:val="21"/>
        </w:rPr>
        <w:t>（1）验收</w:t>
      </w:r>
    </w:p>
    <w:p w14:paraId="00A417C1">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甲方负责对乙方的履约行为进行考核，标准为本项目的采购文件、乙方的投标文件，要求验收必须符合相关政策法规和地方标准。</w:t>
      </w:r>
    </w:p>
    <w:p w14:paraId="322FF57F">
      <w:pPr>
        <w:widowControl w:val="0"/>
        <w:spacing w:line="310" w:lineRule="auto"/>
        <w:ind w:firstLine="422" w:firstLineChars="200"/>
        <w:jc w:val="both"/>
        <w:rPr>
          <w:rFonts w:ascii="宋体" w:hAnsi="宋体" w:cs="宋体"/>
          <w:b/>
          <w:kern w:val="2"/>
          <w:sz w:val="21"/>
          <w:szCs w:val="21"/>
        </w:rPr>
      </w:pPr>
      <w:r>
        <w:rPr>
          <w:rFonts w:hint="eastAsia" w:ascii="宋体" w:hAnsi="宋体" w:cs="宋体"/>
          <w:b/>
          <w:kern w:val="2"/>
          <w:sz w:val="21"/>
          <w:szCs w:val="21"/>
        </w:rPr>
        <w:t>（2）履约保证金</w:t>
      </w:r>
    </w:p>
    <w:p w14:paraId="74E9CD52">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履约保证金金额：</w:t>
      </w:r>
      <w:r>
        <w:rPr>
          <w:rFonts w:hint="eastAsia" w:ascii="宋体" w:hAnsi="宋体" w:cs="宋体"/>
          <w:spacing w:val="-4"/>
          <w:kern w:val="2"/>
          <w:sz w:val="21"/>
          <w:szCs w:val="21"/>
          <w:u w:val="single"/>
        </w:rPr>
        <w:t>合同签约价的1%（即人民币：         ）</w:t>
      </w:r>
      <w:r>
        <w:rPr>
          <w:rFonts w:hint="eastAsia" w:ascii="宋体" w:hAnsi="宋体" w:cs="宋体"/>
          <w:spacing w:val="-4"/>
          <w:kern w:val="2"/>
          <w:sz w:val="21"/>
          <w:szCs w:val="21"/>
        </w:rPr>
        <w:t>。</w:t>
      </w:r>
    </w:p>
    <w:p w14:paraId="4876B35E">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履约保证金形式：</w:t>
      </w:r>
      <w:r>
        <w:rPr>
          <w:rFonts w:hint="eastAsia" w:ascii="宋体" w:hAnsi="宋体" w:cs="宋体"/>
          <w:kern w:val="2"/>
          <w:sz w:val="21"/>
          <w:szCs w:val="21"/>
          <w:u w:val="single"/>
        </w:rPr>
        <w:t xml:space="preserve">                                   </w:t>
      </w:r>
      <w:r>
        <w:rPr>
          <w:rFonts w:hint="eastAsia" w:ascii="宋体" w:hAnsi="宋体" w:cs="宋体"/>
          <w:kern w:val="2"/>
          <w:sz w:val="21"/>
          <w:szCs w:val="21"/>
        </w:rPr>
        <w:t>。</w:t>
      </w:r>
    </w:p>
    <w:p w14:paraId="0CCC0707">
      <w:pPr>
        <w:spacing w:line="310" w:lineRule="auto"/>
        <w:ind w:firstLine="404" w:firstLineChars="200"/>
        <w:jc w:val="both"/>
        <w:rPr>
          <w:rFonts w:ascii="宋体" w:hAnsi="宋体" w:cs="宋体"/>
          <w:spacing w:val="-4"/>
          <w:kern w:val="2"/>
          <w:sz w:val="21"/>
          <w:szCs w:val="21"/>
          <w:u w:val="single"/>
        </w:rPr>
      </w:pPr>
      <w:r>
        <w:rPr>
          <w:rFonts w:hint="eastAsia" w:ascii="宋体" w:hAnsi="宋体" w:cs="宋体"/>
          <w:spacing w:val="-4"/>
          <w:kern w:val="2"/>
          <w:sz w:val="21"/>
          <w:szCs w:val="21"/>
        </w:rPr>
        <w:t>履约保证金收取：</w:t>
      </w:r>
      <w:r>
        <w:rPr>
          <w:rFonts w:hint="eastAsia" w:ascii="宋体" w:hAnsi="宋体" w:cs="宋体"/>
          <w:spacing w:val="-4"/>
          <w:kern w:val="2"/>
          <w:sz w:val="21"/>
          <w:szCs w:val="21"/>
          <w:u w:val="single"/>
        </w:rPr>
        <w:t>在合同签订后15个工作日内提交（联合体中标的，其履约保证金以联合体中牵头人的名义提交）</w:t>
      </w:r>
      <w:r>
        <w:rPr>
          <w:rFonts w:hint="eastAsia" w:ascii="宋体" w:hAnsi="宋体" w:cs="宋体"/>
          <w:spacing w:val="-4"/>
          <w:kern w:val="2"/>
          <w:sz w:val="21"/>
          <w:szCs w:val="21"/>
        </w:rPr>
        <w:t>。</w:t>
      </w:r>
    </w:p>
    <w:p w14:paraId="0A363DE9">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履约保证金退还：</w:t>
      </w:r>
      <w:r>
        <w:rPr>
          <w:rFonts w:hint="eastAsia" w:ascii="宋体" w:hAnsi="宋体" w:cs="宋体"/>
          <w:bCs/>
          <w:spacing w:val="-4"/>
          <w:kern w:val="2"/>
          <w:sz w:val="21"/>
          <w:szCs w:val="21"/>
          <w:u w:val="single"/>
        </w:rPr>
        <w:t>合同履行完毕后（除违反招标文件中规定的投标人应尽的义务造成履约保证金被罚没的情况外）一个月内退还</w:t>
      </w:r>
      <w:r>
        <w:rPr>
          <w:rFonts w:hint="eastAsia" w:ascii="宋体" w:hAnsi="宋体" w:cs="宋体"/>
          <w:spacing w:val="-4"/>
          <w:kern w:val="2"/>
          <w:sz w:val="21"/>
          <w:szCs w:val="21"/>
        </w:rPr>
        <w:t>。</w:t>
      </w:r>
    </w:p>
    <w:p w14:paraId="5DF1C71E">
      <w:pPr>
        <w:widowControl w:val="0"/>
        <w:spacing w:line="310" w:lineRule="auto"/>
        <w:ind w:firstLine="422" w:firstLineChars="200"/>
        <w:jc w:val="both"/>
        <w:rPr>
          <w:rFonts w:ascii="宋体" w:hAnsi="宋体" w:cs="宋体"/>
          <w:b/>
          <w:kern w:val="2"/>
          <w:sz w:val="21"/>
          <w:szCs w:val="21"/>
        </w:rPr>
      </w:pPr>
      <w:r>
        <w:rPr>
          <w:rFonts w:hint="eastAsia" w:ascii="宋体" w:hAnsi="宋体" w:cs="宋体"/>
          <w:b/>
          <w:kern w:val="2"/>
          <w:sz w:val="21"/>
          <w:szCs w:val="21"/>
        </w:rPr>
        <w:t>（3）其它要求</w:t>
      </w:r>
    </w:p>
    <w:p w14:paraId="1F70C1F0">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乙方及其组建的项目部应当接受行政主管部门及其他有关部门的监督、检查和审计部门的审计。</w:t>
      </w:r>
    </w:p>
    <w:p w14:paraId="43CCC737">
      <w:pPr>
        <w:widowControl w:val="0"/>
        <w:spacing w:line="310" w:lineRule="auto"/>
        <w:ind w:firstLine="422" w:firstLineChars="200"/>
        <w:jc w:val="both"/>
        <w:rPr>
          <w:rFonts w:ascii="宋体" w:hAnsi="宋体" w:cs="宋体"/>
          <w:b/>
          <w:kern w:val="2"/>
          <w:sz w:val="21"/>
          <w:szCs w:val="21"/>
        </w:rPr>
      </w:pPr>
      <w:r>
        <w:rPr>
          <w:rFonts w:hint="eastAsia" w:ascii="宋体" w:hAnsi="宋体" w:cs="宋体"/>
          <w:b/>
          <w:kern w:val="2"/>
          <w:sz w:val="21"/>
          <w:szCs w:val="21"/>
        </w:rPr>
        <w:t>（4）转包或分包</w:t>
      </w:r>
    </w:p>
    <w:p w14:paraId="22035735">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1、本合同范围的服务，应由乙方直接供应，不得转让他人供应；</w:t>
      </w:r>
    </w:p>
    <w:p w14:paraId="75355801">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2、如有转让的分包行为，甲方有权解除合同，没收履约保证金并追究乙方的违约责任。</w:t>
      </w:r>
    </w:p>
    <w:p w14:paraId="1A7E10B5">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九、违约责任</w:t>
      </w:r>
    </w:p>
    <w:p w14:paraId="7153AA6C">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1、因乙方原因，如工程质量不合格，乙方应无偿返工，直至合格为止。甲方有权对乙方处以违约金，限额为全过程工程咨询对应履约担保金额的30%，不足部分，甲方有权对乙方进行追偿。由此增加的费用及造成工程拖延，由乙方负责。</w:t>
      </w:r>
    </w:p>
    <w:p w14:paraId="31BDD3B1">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2、因乙方对工程施工质量（或隐蔽工程质量）或安全文明施工等日常巡检管理不到位，导致工程返工或者出现安全事故的，乙方需承担相应的法律责任，并对乙方处以本合同全过程工程咨询对应履约担保金额的30%的罚款，不足部分，甲方有权对乙方进行追偿，并且乙方承担相关法律责任。</w:t>
      </w:r>
    </w:p>
    <w:p w14:paraId="5A6EFADA">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3、因乙方原因，导致工期延长的，未按约定期限完成全过程工程咨询工作，对超出日期按2000元/天计取赔偿，限额为全过程工程咨询对应履约担保金额的20%，不足部分，甲方有权对乙方进行追偿。</w:t>
      </w:r>
    </w:p>
    <w:p w14:paraId="6E9A56F5">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4、因乙方原因，未按甲方要求及时、全面履行建设手续代办、设计管理、综合协调义务，导致项目建设进度的推迟或延误的，甲方将给与警告，情节严重的，甲方有权解除合同。</w:t>
      </w:r>
    </w:p>
    <w:p w14:paraId="3206E612">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5、因乙方未妥善履行合同及台账管理义务，对乙方或第三人所提出的问题（约定范围内的）不能及时核对或答复，导致合同不能全部或部分履行，造成甲方经济损失的，乙方应承担赔偿责任。</w:t>
      </w:r>
    </w:p>
    <w:p w14:paraId="4DB51E20">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6、乙方不得接受所有第三方的礼品、宴请和任何其它好处，不得泄露全过程工程咨询过程中依法需要保密的内容。合同终止后，未经甲方同意，乙方不得泄漏与本合同工程相关的任何资料和情况。否则，甲方有权要求其承担赔偿责任，并且承担相关法律责任。</w:t>
      </w:r>
    </w:p>
    <w:p w14:paraId="38518672">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7、因乙方原因，如果出现重大责任事故，乙方需承担相应的法律责任，并对乙方处以本合同全过程工程咨询对应履约担保金额的50%的罚款，不足部分，甲方有权对乙方进行追偿，并且乙方承担相关法律责任。</w:t>
      </w:r>
    </w:p>
    <w:p w14:paraId="2A9F8E92">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8、乙方派驻全过程工程咨询机构的服务人员资格，必须符合现行的相关政策规定，并满足本全过程工程咨询工作需要。项目总监理工程师及项目负责人到位率必须达到正常工作日（考勤天数按每月22日计）的80%，否则按1000元/天的标准赔偿，最高违约金为履约担保金额的20%；工程施工开始后节假日施工期间，项目管理组及监理组须各派一名专业人员到场驻场，否则按500元/天的标准赔偿，最高违约金为履约担保金额的20%，由甲方从履约担保中扣除,该项限额不足时，甲方有权向乙方追偿。</w:t>
      </w:r>
    </w:p>
    <w:p w14:paraId="462D31A2">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9、未经甲方书面同意，乙方不得更换项目负责人及其他管理人员。因不可抗因素（如离职、生病等）涉及人员变更的，需经甲方同意。乙方未经甲方同意擅自变更人员的，甲方有权按50000元/人的标准赔偿进行扣罚，甲方有权对乙方就罚款不足部分进行追偿，且乙方须承担相关法律责任。</w:t>
      </w:r>
    </w:p>
    <w:p w14:paraId="4ED5EF57">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10、对甲方提供的或因与甲方在磋商、签订、执行本合同过程中知晓的任何形式的信息、资料、数据，包括但不限于业务需求、技术规范、管理要求等，未经甲方书面同意不得用于任何非本合同的目的，未经甲方书面特别授权不得将上述信息透露给任何第三方。乙方的保密义务不受本合同期限的限制。如乙方违反保密义务应赔偿甲方因此而遭受的全部损失。</w:t>
      </w:r>
    </w:p>
    <w:p w14:paraId="004BAE22">
      <w:pPr>
        <w:widowControl w:val="0"/>
        <w:spacing w:line="310" w:lineRule="auto"/>
        <w:ind w:firstLine="420" w:firstLineChars="200"/>
        <w:jc w:val="both"/>
        <w:rPr>
          <w:rFonts w:ascii="宋体" w:hAnsi="宋体" w:cs="宋体"/>
          <w:kern w:val="2"/>
          <w:sz w:val="21"/>
          <w:szCs w:val="21"/>
        </w:rPr>
      </w:pPr>
      <w:r>
        <w:rPr>
          <w:rFonts w:hint="eastAsia" w:ascii="宋体" w:hAnsi="宋体" w:cs="宋体"/>
          <w:kern w:val="2"/>
          <w:sz w:val="21"/>
          <w:szCs w:val="21"/>
        </w:rPr>
        <w:t>11、乙方存在上述问题的，按投标承诺凭履约担保索赔，若给甲方造成的经济损失超过履约担保额度的，甲方可继续向乙方提出索赔要求，乙方应按给甲方造成的实际损失赔偿甲方相关费用。</w:t>
      </w:r>
    </w:p>
    <w:p w14:paraId="7263F370">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十、税费</w:t>
      </w:r>
    </w:p>
    <w:p w14:paraId="7F7F0C84">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本合同执行中相关的一切税费均由乙方负担。</w:t>
      </w:r>
    </w:p>
    <w:p w14:paraId="481023B5">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十一、不可抗力</w:t>
      </w:r>
    </w:p>
    <w:p w14:paraId="2E36A50E">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1、在合同有效期内，因自然灾害等不可抗力因素造成本合同项目经济损失的，甲、乙双方共同协商妥善解决。</w:t>
      </w:r>
    </w:p>
    <w:p w14:paraId="0166DCD0">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2、不可抗力事件发生后，应立即通知对方，并寄送有关权威机构出具的证明。</w:t>
      </w:r>
    </w:p>
    <w:p w14:paraId="6231B90E">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3、不可抗力事件延续120天以上，双方应通过友好协商，确定是否继续履行合同。</w:t>
      </w:r>
    </w:p>
    <w:p w14:paraId="28952F59">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十二、诉讼</w:t>
      </w:r>
    </w:p>
    <w:p w14:paraId="7E461F6D">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双方在执行合同中所发生的一切争议，应通过协商解决。如协商不成，可向项目所在地法院起诉。</w:t>
      </w:r>
    </w:p>
    <w:p w14:paraId="63309E58">
      <w:pPr>
        <w:keepNext/>
        <w:keepLines/>
        <w:widowControl w:val="0"/>
        <w:spacing w:line="310" w:lineRule="auto"/>
        <w:jc w:val="both"/>
        <w:outlineLvl w:val="1"/>
        <w:rPr>
          <w:rFonts w:ascii="宋体" w:hAnsi="宋体" w:cs="宋体"/>
          <w:b/>
          <w:bCs/>
          <w:kern w:val="2"/>
          <w:sz w:val="21"/>
          <w:szCs w:val="21"/>
        </w:rPr>
      </w:pPr>
      <w:r>
        <w:rPr>
          <w:rFonts w:hint="eastAsia" w:ascii="宋体" w:hAnsi="宋体" w:cs="宋体"/>
          <w:b/>
          <w:bCs/>
          <w:kern w:val="2"/>
          <w:sz w:val="21"/>
          <w:szCs w:val="21"/>
        </w:rPr>
        <w:t>十三、合同生效</w:t>
      </w:r>
    </w:p>
    <w:p w14:paraId="5B3778A6">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1、合同经双方法定代表人或授权代表签字并加盖单位公章且乙方提供履约保证金后生效。</w:t>
      </w:r>
    </w:p>
    <w:p w14:paraId="7A1C5A9B">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2、本合同招标文件、乙方投标文件作为合同附件，对合同条款具有补充作用。</w:t>
      </w:r>
    </w:p>
    <w:p w14:paraId="2CCCF880">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3、合同执行中涉及采购资金和采购内容修改或补充的，须经财政部门审批，并签书面补充协议报政府采购监督管理部门备案，方可作为主合同不可分割的一部分。</w:t>
      </w:r>
    </w:p>
    <w:p w14:paraId="4E661AA5">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4、本合同未尽事宜，遵照《中华人民共和国民法典》有关条文执行。</w:t>
      </w:r>
    </w:p>
    <w:p w14:paraId="3E19051B">
      <w:pPr>
        <w:spacing w:line="31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5、本合同一式六份，具有同等法律效力，甲乙双方各执三份。</w:t>
      </w:r>
    </w:p>
    <w:tbl>
      <w:tblPr>
        <w:tblStyle w:val="29"/>
        <w:tblW w:w="0" w:type="auto"/>
        <w:jc w:val="center"/>
        <w:tblLayout w:type="fixed"/>
        <w:tblCellMar>
          <w:top w:w="0" w:type="dxa"/>
          <w:left w:w="108" w:type="dxa"/>
          <w:bottom w:w="0" w:type="dxa"/>
          <w:right w:w="108" w:type="dxa"/>
        </w:tblCellMar>
      </w:tblPr>
      <w:tblGrid>
        <w:gridCol w:w="4400"/>
        <w:gridCol w:w="4400"/>
      </w:tblGrid>
      <w:tr w14:paraId="1F57C6AF">
        <w:tblPrEx>
          <w:tblCellMar>
            <w:top w:w="0" w:type="dxa"/>
            <w:left w:w="108" w:type="dxa"/>
            <w:bottom w:w="0" w:type="dxa"/>
            <w:right w:w="108" w:type="dxa"/>
          </w:tblCellMar>
        </w:tblPrEx>
        <w:trPr>
          <w:trHeight w:val="634" w:hRule="atLeast"/>
          <w:jc w:val="center"/>
        </w:trPr>
        <w:tc>
          <w:tcPr>
            <w:tcW w:w="4400" w:type="dxa"/>
            <w:vAlign w:val="center"/>
          </w:tcPr>
          <w:p w14:paraId="60E5BC7E">
            <w:pPr>
              <w:spacing w:line="310" w:lineRule="auto"/>
              <w:jc w:val="both"/>
              <w:rPr>
                <w:rFonts w:ascii="宋体" w:hAnsi="宋体" w:cs="宋体"/>
                <w:kern w:val="2"/>
                <w:sz w:val="21"/>
                <w:szCs w:val="21"/>
              </w:rPr>
            </w:pPr>
            <w:r>
              <w:rPr>
                <w:rFonts w:hint="eastAsia" w:ascii="宋体" w:hAnsi="宋体" w:cs="宋体"/>
                <w:kern w:val="2"/>
                <w:sz w:val="21"/>
                <w:szCs w:val="21"/>
              </w:rPr>
              <w:t>甲方：</w:t>
            </w:r>
          </w:p>
        </w:tc>
        <w:tc>
          <w:tcPr>
            <w:tcW w:w="4400" w:type="dxa"/>
            <w:vAlign w:val="center"/>
          </w:tcPr>
          <w:p w14:paraId="687D05E3">
            <w:pPr>
              <w:spacing w:line="310" w:lineRule="auto"/>
              <w:jc w:val="both"/>
              <w:rPr>
                <w:rFonts w:ascii="宋体" w:hAnsi="宋体" w:cs="宋体"/>
                <w:kern w:val="2"/>
                <w:sz w:val="21"/>
                <w:szCs w:val="21"/>
              </w:rPr>
            </w:pPr>
            <w:r>
              <w:rPr>
                <w:rFonts w:hint="eastAsia" w:ascii="宋体" w:hAnsi="宋体" w:cs="宋体"/>
                <w:kern w:val="2"/>
                <w:sz w:val="21"/>
                <w:szCs w:val="21"/>
              </w:rPr>
              <w:t>乙方：</w:t>
            </w:r>
          </w:p>
        </w:tc>
      </w:tr>
      <w:tr w14:paraId="1E245764">
        <w:tblPrEx>
          <w:tblCellMar>
            <w:top w:w="0" w:type="dxa"/>
            <w:left w:w="108" w:type="dxa"/>
            <w:bottom w:w="0" w:type="dxa"/>
            <w:right w:w="108" w:type="dxa"/>
          </w:tblCellMar>
        </w:tblPrEx>
        <w:trPr>
          <w:trHeight w:val="646" w:hRule="atLeast"/>
          <w:jc w:val="center"/>
        </w:trPr>
        <w:tc>
          <w:tcPr>
            <w:tcW w:w="4400" w:type="dxa"/>
            <w:vAlign w:val="center"/>
          </w:tcPr>
          <w:p w14:paraId="056DECA9">
            <w:pPr>
              <w:spacing w:line="310" w:lineRule="auto"/>
              <w:jc w:val="both"/>
              <w:rPr>
                <w:rFonts w:ascii="宋体" w:hAnsi="宋体" w:cs="宋体"/>
                <w:kern w:val="2"/>
                <w:sz w:val="21"/>
                <w:szCs w:val="21"/>
              </w:rPr>
            </w:pPr>
            <w:r>
              <w:rPr>
                <w:rFonts w:hint="eastAsia" w:ascii="宋体" w:hAnsi="宋体" w:cs="宋体"/>
                <w:kern w:val="2"/>
                <w:sz w:val="21"/>
                <w:szCs w:val="21"/>
              </w:rPr>
              <w:t>地址：</w:t>
            </w:r>
          </w:p>
        </w:tc>
        <w:tc>
          <w:tcPr>
            <w:tcW w:w="4400" w:type="dxa"/>
            <w:vAlign w:val="center"/>
          </w:tcPr>
          <w:p w14:paraId="651CD500">
            <w:pPr>
              <w:spacing w:line="310" w:lineRule="auto"/>
              <w:jc w:val="both"/>
              <w:rPr>
                <w:rFonts w:ascii="宋体" w:hAnsi="宋体" w:cs="宋体"/>
                <w:kern w:val="2"/>
                <w:sz w:val="21"/>
                <w:szCs w:val="21"/>
              </w:rPr>
            </w:pPr>
            <w:r>
              <w:rPr>
                <w:rFonts w:hint="eastAsia" w:ascii="宋体" w:hAnsi="宋体" w:cs="宋体"/>
                <w:kern w:val="2"/>
                <w:sz w:val="21"/>
                <w:szCs w:val="21"/>
              </w:rPr>
              <w:t>地址：</w:t>
            </w:r>
          </w:p>
        </w:tc>
      </w:tr>
      <w:tr w14:paraId="36A2B734">
        <w:tblPrEx>
          <w:tblCellMar>
            <w:top w:w="0" w:type="dxa"/>
            <w:left w:w="108" w:type="dxa"/>
            <w:bottom w:w="0" w:type="dxa"/>
            <w:right w:w="108" w:type="dxa"/>
          </w:tblCellMar>
        </w:tblPrEx>
        <w:trPr>
          <w:trHeight w:val="658" w:hRule="atLeast"/>
          <w:jc w:val="center"/>
        </w:trPr>
        <w:tc>
          <w:tcPr>
            <w:tcW w:w="4400" w:type="dxa"/>
            <w:vAlign w:val="center"/>
          </w:tcPr>
          <w:p w14:paraId="73394A80">
            <w:pPr>
              <w:spacing w:line="310" w:lineRule="auto"/>
              <w:jc w:val="both"/>
              <w:rPr>
                <w:rFonts w:ascii="宋体" w:hAnsi="宋体" w:cs="宋体"/>
                <w:kern w:val="2"/>
                <w:sz w:val="21"/>
                <w:szCs w:val="21"/>
              </w:rPr>
            </w:pPr>
            <w:r>
              <w:rPr>
                <w:rFonts w:hint="eastAsia" w:ascii="宋体" w:hAnsi="宋体" w:cs="宋体"/>
                <w:kern w:val="2"/>
                <w:sz w:val="21"/>
                <w:szCs w:val="21"/>
              </w:rPr>
              <w:t>法定（授权）代表人：</w:t>
            </w:r>
          </w:p>
        </w:tc>
        <w:tc>
          <w:tcPr>
            <w:tcW w:w="4400" w:type="dxa"/>
            <w:vAlign w:val="center"/>
          </w:tcPr>
          <w:p w14:paraId="77EC1306">
            <w:pPr>
              <w:spacing w:line="310" w:lineRule="auto"/>
              <w:jc w:val="both"/>
              <w:rPr>
                <w:rFonts w:ascii="宋体" w:hAnsi="宋体" w:cs="宋体"/>
                <w:kern w:val="2"/>
                <w:sz w:val="21"/>
                <w:szCs w:val="21"/>
              </w:rPr>
            </w:pPr>
            <w:r>
              <w:rPr>
                <w:rFonts w:hint="eastAsia" w:ascii="宋体" w:hAnsi="宋体" w:cs="宋体"/>
                <w:kern w:val="2"/>
                <w:sz w:val="21"/>
                <w:szCs w:val="21"/>
              </w:rPr>
              <w:t>法定（授权）代表人：</w:t>
            </w:r>
          </w:p>
        </w:tc>
      </w:tr>
      <w:tr w14:paraId="159F7C64">
        <w:tblPrEx>
          <w:tblCellMar>
            <w:top w:w="0" w:type="dxa"/>
            <w:left w:w="108" w:type="dxa"/>
            <w:bottom w:w="0" w:type="dxa"/>
            <w:right w:w="108" w:type="dxa"/>
          </w:tblCellMar>
        </w:tblPrEx>
        <w:trPr>
          <w:trHeight w:val="646" w:hRule="atLeast"/>
          <w:jc w:val="center"/>
        </w:trPr>
        <w:tc>
          <w:tcPr>
            <w:tcW w:w="4400" w:type="dxa"/>
            <w:vAlign w:val="center"/>
          </w:tcPr>
          <w:p w14:paraId="1B5B20A2">
            <w:pPr>
              <w:spacing w:line="310" w:lineRule="auto"/>
              <w:jc w:val="both"/>
              <w:rPr>
                <w:rFonts w:ascii="宋体" w:hAnsi="宋体" w:cs="宋体"/>
                <w:kern w:val="2"/>
                <w:sz w:val="21"/>
                <w:szCs w:val="21"/>
              </w:rPr>
            </w:pPr>
            <w:r>
              <w:rPr>
                <w:rFonts w:hint="eastAsia" w:ascii="宋体" w:hAnsi="宋体" w:cs="宋体"/>
                <w:kern w:val="2"/>
                <w:sz w:val="21"/>
                <w:szCs w:val="21"/>
              </w:rPr>
              <w:t>签字日期：      年      月      日</w:t>
            </w:r>
          </w:p>
        </w:tc>
        <w:tc>
          <w:tcPr>
            <w:tcW w:w="4400" w:type="dxa"/>
            <w:vAlign w:val="center"/>
          </w:tcPr>
          <w:p w14:paraId="11FF990F">
            <w:pPr>
              <w:spacing w:line="310" w:lineRule="auto"/>
              <w:jc w:val="both"/>
              <w:rPr>
                <w:rFonts w:ascii="宋体" w:hAnsi="宋体" w:cs="宋体"/>
                <w:kern w:val="2"/>
                <w:sz w:val="21"/>
                <w:szCs w:val="21"/>
              </w:rPr>
            </w:pPr>
            <w:r>
              <w:rPr>
                <w:rFonts w:hint="eastAsia" w:ascii="宋体" w:hAnsi="宋体" w:cs="宋体"/>
                <w:kern w:val="2"/>
                <w:sz w:val="21"/>
                <w:szCs w:val="21"/>
              </w:rPr>
              <w:t>签字日期：      年      月      日</w:t>
            </w:r>
          </w:p>
        </w:tc>
      </w:tr>
    </w:tbl>
    <w:p w14:paraId="2273B4B0">
      <w:pPr>
        <w:spacing w:line="288" w:lineRule="auto"/>
        <w:ind w:firstLine="480"/>
        <w:rPr>
          <w:rFonts w:ascii="宋体" w:hAnsi="宋体" w:cs="宋体"/>
        </w:rPr>
      </w:pPr>
    </w:p>
    <w:p w14:paraId="4BE78BCB">
      <w:pPr>
        <w:ind w:firstLine="480"/>
        <w:rPr>
          <w:rFonts w:ascii="宋体" w:hAnsi="宋体" w:cs="宋体"/>
        </w:rPr>
      </w:pPr>
    </w:p>
    <w:p w14:paraId="0CEACC02">
      <w:pPr>
        <w:rPr>
          <w:rFonts w:ascii="宋体" w:hAnsi="宋体" w:cs="宋体"/>
        </w:rPr>
      </w:pPr>
    </w:p>
    <w:p w14:paraId="26A1135D">
      <w:pPr>
        <w:pStyle w:val="38"/>
        <w:ind w:firstLine="440"/>
        <w:rPr>
          <w:rFonts w:ascii="宋体" w:hAnsi="宋体" w:cs="宋体"/>
        </w:rPr>
      </w:pPr>
    </w:p>
    <w:p w14:paraId="0C7097D4">
      <w:pPr>
        <w:rPr>
          <w:rFonts w:ascii="宋体" w:hAnsi="宋体" w:cs="宋体"/>
        </w:rPr>
      </w:pPr>
    </w:p>
    <w:p w14:paraId="567D469A">
      <w:pPr>
        <w:pageBreakBefore/>
        <w:widowControl w:val="0"/>
        <w:spacing w:line="360" w:lineRule="auto"/>
        <w:jc w:val="both"/>
        <w:outlineLvl w:val="1"/>
        <w:rPr>
          <w:rFonts w:ascii="宋体" w:hAnsi="宋体" w:cs="宋体"/>
          <w:kern w:val="2"/>
          <w:sz w:val="21"/>
          <w:szCs w:val="21"/>
        </w:rPr>
      </w:pPr>
      <w:r>
        <w:rPr>
          <w:rFonts w:hint="eastAsia" w:ascii="宋体" w:hAnsi="宋体" w:cs="宋体"/>
          <w:b/>
          <w:bCs/>
          <w:kern w:val="2"/>
          <w:sz w:val="21"/>
          <w:szCs w:val="21"/>
        </w:rPr>
        <w:t>附件：廉政安全条款</w:t>
      </w:r>
    </w:p>
    <w:p w14:paraId="1F0A70B1">
      <w:pPr>
        <w:spacing w:line="360" w:lineRule="auto"/>
        <w:jc w:val="center"/>
        <w:rPr>
          <w:rFonts w:ascii="宋体" w:hAnsi="宋体" w:cs="宋体"/>
          <w:kern w:val="2"/>
          <w:sz w:val="32"/>
          <w:szCs w:val="32"/>
        </w:rPr>
      </w:pPr>
      <w:r>
        <w:rPr>
          <w:rFonts w:hint="eastAsia" w:ascii="宋体" w:hAnsi="宋体" w:cs="宋体"/>
          <w:b/>
          <w:bCs/>
          <w:kern w:val="2"/>
          <w:sz w:val="32"/>
          <w:szCs w:val="32"/>
        </w:rPr>
        <w:t>廉政安全条款</w:t>
      </w:r>
    </w:p>
    <w:p w14:paraId="6E91FB9B">
      <w:pPr>
        <w:spacing w:line="360" w:lineRule="auto"/>
        <w:ind w:firstLine="420" w:firstLineChars="200"/>
        <w:jc w:val="both"/>
        <w:rPr>
          <w:rFonts w:ascii="宋体" w:hAnsi="宋体" w:cs="宋体"/>
          <w:kern w:val="2"/>
          <w:sz w:val="21"/>
          <w:szCs w:val="21"/>
          <w:u w:val="single"/>
        </w:rPr>
      </w:pPr>
      <w:r>
        <w:rPr>
          <w:rFonts w:hint="eastAsia" w:ascii="宋体" w:hAnsi="宋体" w:cs="宋体"/>
          <w:kern w:val="2"/>
          <w:sz w:val="21"/>
          <w:szCs w:val="21"/>
        </w:rPr>
        <w:t>为严格执行《中华人民共和国建筑法》、《中华人民共和国招标投标法》、《中华人民共和国反不正当竞争法》以及有关廉政建设的规定，做好党风廉政建设，保证项目高效优质，保证建设资金的安全和有效使用以及投资效益，甲乙双方特确定以下约定。</w:t>
      </w:r>
    </w:p>
    <w:p w14:paraId="716E6A2F">
      <w:pPr>
        <w:numPr>
          <w:ilvl w:val="0"/>
          <w:numId w:val="12"/>
        </w:numPr>
        <w:spacing w:line="360" w:lineRule="auto"/>
        <w:ind w:firstLineChars="200"/>
        <w:jc w:val="both"/>
        <w:rPr>
          <w:rFonts w:ascii="宋体" w:hAnsi="宋体" w:cs="宋体"/>
          <w:kern w:val="2"/>
          <w:sz w:val="21"/>
          <w:szCs w:val="21"/>
        </w:rPr>
      </w:pPr>
      <w:r>
        <w:rPr>
          <w:rFonts w:hint="eastAsia" w:ascii="宋体" w:hAnsi="宋体" w:cs="宋体"/>
          <w:kern w:val="2"/>
          <w:sz w:val="21"/>
          <w:szCs w:val="21"/>
        </w:rPr>
        <w:t>甲乙双方的权利和义务</w:t>
      </w:r>
    </w:p>
    <w:p w14:paraId="33EC7719">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（一）严格遵守党和国家有关法律法规有关廉政规定。</w:t>
      </w:r>
    </w:p>
    <w:p w14:paraId="11A1D4D3">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（二）双方的业务活动坚持公开、公平、公正、诚信、透明的原则（除法律认定的商业秘密和合同文件另有规定之外），不得损害国家和集体利益，不得违反工程建设管理规章制度。</w:t>
      </w:r>
    </w:p>
    <w:p w14:paraId="086E54DC">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（三）建立健全廉政制度，开展廉政教育，公布举报电话，监督并认真查处违法违纪行为。</w:t>
      </w:r>
    </w:p>
    <w:p w14:paraId="0BBA23DD">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（四）发现对方在业务活动中有违反廉政规定的行为，有及时提醒对方纠正的权利和义务。</w:t>
      </w:r>
    </w:p>
    <w:p w14:paraId="7EFE81A4">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（五）实施工地例会制度，双方项目负责人应根据工程具体情况，每月定期召开工地现场例会，对相对实施过程的安全文明施工、工程质量、施工进度等进行月度总结，排除安全和质量隐患，推进工程顺利实施。</w:t>
      </w:r>
    </w:p>
    <w:p w14:paraId="04C05ECD">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（六）开展每季度不少于1次的安全生产大检查活动，形成记录并下发通报文件。根据上级部门要求和实际需要，在重大节日、活动、重要事件节点前有针对性的开展安全生产大检查。</w:t>
      </w:r>
    </w:p>
    <w:p w14:paraId="63019970">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七）在建设过程中出现一般安全文明施工和工程质量隐患、工程进度未按计划实施等情况，甲方项目负责人会同监理单位、督促施工单位限期整改，对项目存在的违章指挥、违章操作等重大安全、质量隐患、有权勒令其停工整改，并对管理不重视、落实不到位、屡教不改的单位给与单次3000元至30000元不等的违约处罚，处罚金额从近期工程款中扣除。</w:t>
      </w:r>
    </w:p>
    <w:p w14:paraId="4F685C04">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八）对于主要由勘察报告或图纸设计错误所导致的质量隐患，勘察设计单位应及时对报告和图纸进行修改或补充，造成损失的，根据直接经济损失程度按相应合同条款约定向甲方单位支付赔偿金，各参建单位未履行质量管理职责或履职不力，造成严重质量问题、质量事故的，按《建设工程质量管理条例》处理。</w:t>
      </w:r>
    </w:p>
    <w:p w14:paraId="719EE8BB">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（九）发现对方严重违反本合同义务条款的行为，有向其上级有关部门举报、建议给予处理并要求告知处理结果的权利。</w:t>
      </w:r>
    </w:p>
    <w:p w14:paraId="7853419F">
      <w:pPr>
        <w:numPr>
          <w:ilvl w:val="0"/>
          <w:numId w:val="12"/>
        </w:numPr>
        <w:spacing w:line="360" w:lineRule="auto"/>
        <w:ind w:firstLineChars="200"/>
        <w:jc w:val="both"/>
        <w:rPr>
          <w:rFonts w:ascii="宋体" w:hAnsi="宋体" w:cs="宋体"/>
          <w:kern w:val="2"/>
          <w:sz w:val="21"/>
          <w:szCs w:val="21"/>
        </w:rPr>
      </w:pPr>
      <w:r>
        <w:rPr>
          <w:rFonts w:hint="eastAsia" w:ascii="宋体" w:hAnsi="宋体" w:cs="宋体"/>
          <w:kern w:val="2"/>
          <w:sz w:val="21"/>
          <w:szCs w:val="21"/>
        </w:rPr>
        <w:t>甲方的义务</w:t>
      </w:r>
    </w:p>
    <w:p w14:paraId="2D095BFC">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（一）甲方及其工作人员不得索要或接受乙方的礼金、礼券、有价证券和物品，不得在乙方报销任何应由甲方或个人支付的费用等。</w:t>
      </w:r>
    </w:p>
    <w:p w14:paraId="5B1AA9B0">
      <w:pPr>
        <w:spacing w:line="36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（二）</w:t>
      </w:r>
      <w:r>
        <w:rPr>
          <w:rFonts w:hint="eastAsia" w:ascii="宋体" w:hAnsi="宋体" w:cs="宋体"/>
          <w:kern w:val="2"/>
          <w:sz w:val="21"/>
          <w:szCs w:val="21"/>
        </w:rPr>
        <w:t>甲方工作人员不得参加乙方安排的宴请和娱乐活动；不得接受乙方提供的通讯工具、交通工具和高档办公用品等。</w:t>
      </w:r>
    </w:p>
    <w:p w14:paraId="28ECA84B">
      <w:pPr>
        <w:spacing w:line="36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（三）</w:t>
      </w:r>
      <w:r>
        <w:rPr>
          <w:rFonts w:hint="eastAsia" w:ascii="宋体" w:hAnsi="宋体" w:cs="宋体"/>
          <w:kern w:val="2"/>
          <w:sz w:val="21"/>
          <w:szCs w:val="21"/>
        </w:rPr>
        <w:t>甲方及其工作人员不得要求或者接受乙方为其住房装修、操办婚丧嫁娶、安排配偶子女的工作以及出国出境、旅游等。</w:t>
      </w:r>
    </w:p>
    <w:p w14:paraId="1A01198B">
      <w:pPr>
        <w:spacing w:line="36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（四）</w:t>
      </w:r>
      <w:r>
        <w:rPr>
          <w:rFonts w:hint="eastAsia" w:ascii="宋体" w:hAnsi="宋体" w:cs="宋体"/>
          <w:kern w:val="2"/>
          <w:sz w:val="21"/>
          <w:szCs w:val="21"/>
        </w:rPr>
        <w:t>甲方工作人员的配偶、子女及下属单位不得从事与甲方工程有关的材料设备供应、工程分包、劳务等经济活动。</w:t>
      </w:r>
    </w:p>
    <w:p w14:paraId="373DAA3C">
      <w:pPr>
        <w:spacing w:line="360" w:lineRule="auto"/>
        <w:ind w:firstLine="404" w:firstLineChars="200"/>
        <w:jc w:val="both"/>
        <w:rPr>
          <w:rFonts w:ascii="宋体" w:hAnsi="宋体" w:cs="宋体"/>
          <w:spacing w:val="-4"/>
          <w:kern w:val="2"/>
          <w:sz w:val="21"/>
          <w:szCs w:val="21"/>
        </w:rPr>
      </w:pPr>
      <w:r>
        <w:rPr>
          <w:rFonts w:hint="eastAsia" w:ascii="宋体" w:hAnsi="宋体" w:cs="宋体"/>
          <w:spacing w:val="-4"/>
          <w:kern w:val="2"/>
          <w:sz w:val="21"/>
          <w:szCs w:val="21"/>
        </w:rPr>
        <w:t>（五）</w:t>
      </w:r>
      <w:r>
        <w:rPr>
          <w:rFonts w:hint="eastAsia" w:ascii="宋体" w:hAnsi="宋体" w:cs="宋体"/>
          <w:kern w:val="2"/>
          <w:sz w:val="21"/>
          <w:szCs w:val="21"/>
        </w:rPr>
        <w:t>甲方及其工作人员不得经任何理由向乙方推荐分包单位，不得要求乙方购买合同规定外的材料和设备。</w:t>
      </w:r>
    </w:p>
    <w:p w14:paraId="53B8973D">
      <w:pPr>
        <w:numPr>
          <w:ilvl w:val="0"/>
          <w:numId w:val="12"/>
        </w:numPr>
        <w:spacing w:line="360" w:lineRule="auto"/>
        <w:ind w:firstLineChars="200"/>
        <w:jc w:val="both"/>
        <w:rPr>
          <w:rFonts w:ascii="宋体" w:hAnsi="宋体" w:cs="宋体"/>
          <w:kern w:val="2"/>
          <w:sz w:val="21"/>
          <w:szCs w:val="21"/>
        </w:rPr>
      </w:pPr>
      <w:r>
        <w:rPr>
          <w:rFonts w:hint="eastAsia" w:ascii="宋体" w:hAnsi="宋体" w:cs="宋体"/>
          <w:kern w:val="2"/>
          <w:sz w:val="21"/>
          <w:szCs w:val="21"/>
        </w:rPr>
        <w:t>乙方义务</w:t>
      </w:r>
    </w:p>
    <w:p w14:paraId="6B8ED806">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（一）乙方不得以任何理由向甲方及其工作人员行贿或馈赠礼金、有价证券、贵重礼品。</w:t>
      </w:r>
    </w:p>
    <w:p w14:paraId="6202485A">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（二）乙方不得以任何名义为甲方及其工作人员报销应由甲方单位或个人支付的任何费用。</w:t>
      </w:r>
    </w:p>
    <w:p w14:paraId="0C9E8D60">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（三）乙方不得以任何理由安排甲方工作人员参加宴请及娱乐活动。</w:t>
      </w:r>
    </w:p>
    <w:p w14:paraId="39A245D6">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（四）乙方不得为甲方单位和个人购置或提供通讯工具、交通工具和高档办公用品等。</w:t>
      </w:r>
    </w:p>
    <w:p w14:paraId="215DF1CB">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（五）乙方愿意自觉接受甲方及社会各界对工程建设中安全生产的监督。项目实施期间因乙方原因发生任何安全责任事故，乙方应承担一切责任。</w:t>
      </w:r>
    </w:p>
    <w:p w14:paraId="2C11C46D">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（六）乙方必须有明确的安全生产责任人，并履行职责。向所属人员经常进行安全教育。进行安全检查，及时整改隐患，杜绝违章作业。</w:t>
      </w:r>
    </w:p>
    <w:p w14:paraId="40A94E9B">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（七）乙方应对被招用的人员生产技能，年龄、健康（有否作业禁忌症）等状况进行审查把关。</w:t>
      </w:r>
    </w:p>
    <w:p w14:paraId="3A397550">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（八）乙方对生产设施、工具及劳保用品必须经常进行安全检查。现场计量人员要熟悉施工现场的一般安全要求。必要时按规定穿戴必要的防护用品后方准进场。</w:t>
      </w:r>
    </w:p>
    <w:p w14:paraId="49565235">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九）对违反各种安全规定而造成的人身伤亡事故、道路交通事故、设备损坏等各类事故，均由乙方自负，与甲方无涉。甲方所造成的一切经济损失由乙方负责赔偿。人员违反各种治安管理法纪法规，由此引起的一切后果，均由乙方自负，与甲方无涉。</w:t>
      </w:r>
    </w:p>
    <w:p w14:paraId="0F9C946C">
      <w:pPr>
        <w:numPr>
          <w:ilvl w:val="0"/>
          <w:numId w:val="12"/>
        </w:numPr>
        <w:spacing w:line="360" w:lineRule="auto"/>
        <w:ind w:firstLineChars="200"/>
        <w:jc w:val="both"/>
        <w:rPr>
          <w:rFonts w:ascii="宋体" w:hAnsi="宋体" w:cs="宋体"/>
          <w:kern w:val="2"/>
          <w:sz w:val="21"/>
          <w:szCs w:val="21"/>
        </w:rPr>
      </w:pPr>
      <w:r>
        <w:rPr>
          <w:rFonts w:hint="eastAsia" w:ascii="宋体" w:hAnsi="宋体" w:cs="宋体"/>
          <w:kern w:val="2"/>
          <w:sz w:val="21"/>
          <w:szCs w:val="21"/>
        </w:rPr>
        <w:t>违约责任</w:t>
      </w:r>
    </w:p>
    <w:p w14:paraId="04F6AC8F">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（一）甲方及其工作人员违反本合同第一、二条，按管理权限，依据有关规定给予党纪、政纪或组织处理；涉嫌犯罪的，移送司法机关追究刑事责任；给乙方单位造成经济损失的，应予以赔偿。</w:t>
      </w:r>
    </w:p>
    <w:p w14:paraId="06469BB5">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（二）乙方及其工作人员违反本合同第一、三条的，给甲方单位造成经济损失的，应予以赔偿；情节严重的，甲方建议有关主管部门对乙方予以处罚。</w:t>
      </w:r>
    </w:p>
    <w:p w14:paraId="5DD0133E">
      <w:pPr>
        <w:numPr>
          <w:ilvl w:val="0"/>
          <w:numId w:val="12"/>
        </w:numPr>
        <w:spacing w:line="360" w:lineRule="auto"/>
        <w:ind w:firstLineChars="200"/>
        <w:jc w:val="both"/>
        <w:rPr>
          <w:rFonts w:ascii="宋体" w:hAnsi="宋体" w:cs="宋体"/>
          <w:kern w:val="2"/>
          <w:sz w:val="21"/>
          <w:szCs w:val="21"/>
        </w:rPr>
      </w:pPr>
      <w:r>
        <w:rPr>
          <w:rFonts w:hint="eastAsia" w:ascii="宋体" w:hAnsi="宋体" w:cs="宋体"/>
          <w:kern w:val="2"/>
          <w:sz w:val="21"/>
          <w:szCs w:val="21"/>
        </w:rPr>
        <w:t>双方约定</w:t>
      </w:r>
    </w:p>
    <w:p w14:paraId="127F1CF9">
      <w:pPr>
        <w:spacing w:line="360" w:lineRule="auto"/>
        <w:ind w:firstLine="420" w:firstLineChars="200"/>
        <w:jc w:val="both"/>
        <w:rPr>
          <w:rFonts w:ascii="宋体" w:hAnsi="宋体" w:cs="宋体"/>
          <w:kern w:val="2"/>
          <w:sz w:val="21"/>
          <w:szCs w:val="21"/>
        </w:rPr>
      </w:pPr>
      <w:r>
        <w:rPr>
          <w:rFonts w:hint="eastAsia" w:ascii="宋体" w:hAnsi="宋体" w:cs="宋体"/>
          <w:kern w:val="2"/>
          <w:sz w:val="21"/>
          <w:szCs w:val="21"/>
        </w:rPr>
        <w:t>本合同由双方上级及有关单位负责监督执行。由甲方或甲方上级单位的纪检监察机关约请乙方或乙方上级及有关单位对本合同执行情况进行检查，提出在本合同规定范围内的裁定意见。</w:t>
      </w:r>
    </w:p>
    <w:tbl>
      <w:tblPr>
        <w:tblStyle w:val="29"/>
        <w:tblW w:w="0" w:type="auto"/>
        <w:jc w:val="center"/>
        <w:tblLayout w:type="fixed"/>
        <w:tblCellMar>
          <w:top w:w="0" w:type="dxa"/>
          <w:left w:w="108" w:type="dxa"/>
          <w:bottom w:w="0" w:type="dxa"/>
          <w:right w:w="108" w:type="dxa"/>
        </w:tblCellMar>
      </w:tblPr>
      <w:tblGrid>
        <w:gridCol w:w="4115"/>
        <w:gridCol w:w="4104"/>
      </w:tblGrid>
      <w:tr w14:paraId="343DBC11">
        <w:tblPrEx>
          <w:tblCellMar>
            <w:top w:w="0" w:type="dxa"/>
            <w:left w:w="108" w:type="dxa"/>
            <w:bottom w:w="0" w:type="dxa"/>
            <w:right w:w="108" w:type="dxa"/>
          </w:tblCellMar>
        </w:tblPrEx>
        <w:trPr>
          <w:trHeight w:val="469" w:hRule="atLeast"/>
          <w:jc w:val="center"/>
        </w:trPr>
        <w:tc>
          <w:tcPr>
            <w:tcW w:w="4115" w:type="dxa"/>
          </w:tcPr>
          <w:p w14:paraId="31874211">
            <w:pPr>
              <w:spacing w:line="360" w:lineRule="auto"/>
              <w:jc w:val="both"/>
              <w:rPr>
                <w:rFonts w:ascii="宋体" w:hAnsi="宋体" w:cs="宋体"/>
                <w:kern w:val="2"/>
                <w:sz w:val="21"/>
                <w:szCs w:val="21"/>
              </w:rPr>
            </w:pPr>
            <w:r>
              <w:rPr>
                <w:rFonts w:hint="eastAsia" w:ascii="宋体" w:hAnsi="宋体" w:cs="宋体"/>
                <w:kern w:val="2"/>
                <w:sz w:val="21"/>
                <w:szCs w:val="21"/>
              </w:rPr>
              <w:t>甲方：</w:t>
            </w:r>
          </w:p>
        </w:tc>
        <w:tc>
          <w:tcPr>
            <w:tcW w:w="4104" w:type="dxa"/>
          </w:tcPr>
          <w:p w14:paraId="2CFE5633">
            <w:pPr>
              <w:spacing w:line="360" w:lineRule="auto"/>
              <w:jc w:val="both"/>
              <w:rPr>
                <w:rFonts w:ascii="宋体" w:hAnsi="宋体" w:cs="宋体"/>
                <w:kern w:val="2"/>
                <w:sz w:val="21"/>
                <w:szCs w:val="21"/>
              </w:rPr>
            </w:pPr>
            <w:r>
              <w:rPr>
                <w:rFonts w:hint="eastAsia" w:ascii="宋体" w:hAnsi="宋体" w:cs="宋体"/>
                <w:kern w:val="2"/>
                <w:sz w:val="21"/>
                <w:szCs w:val="21"/>
              </w:rPr>
              <w:t>乙方：</w:t>
            </w:r>
          </w:p>
        </w:tc>
      </w:tr>
      <w:tr w14:paraId="32D418A0">
        <w:tblPrEx>
          <w:tblCellMar>
            <w:top w:w="0" w:type="dxa"/>
            <w:left w:w="108" w:type="dxa"/>
            <w:bottom w:w="0" w:type="dxa"/>
            <w:right w:w="108" w:type="dxa"/>
          </w:tblCellMar>
        </w:tblPrEx>
        <w:trPr>
          <w:trHeight w:val="469" w:hRule="atLeast"/>
          <w:jc w:val="center"/>
        </w:trPr>
        <w:tc>
          <w:tcPr>
            <w:tcW w:w="4115" w:type="dxa"/>
          </w:tcPr>
          <w:p w14:paraId="3F64B457">
            <w:pPr>
              <w:spacing w:line="360" w:lineRule="auto"/>
              <w:jc w:val="both"/>
              <w:rPr>
                <w:rFonts w:ascii="宋体" w:hAnsi="宋体" w:cs="宋体"/>
                <w:kern w:val="2"/>
                <w:sz w:val="21"/>
                <w:szCs w:val="21"/>
              </w:rPr>
            </w:pPr>
            <w:r>
              <w:rPr>
                <w:rFonts w:hint="eastAsia" w:ascii="宋体" w:hAnsi="宋体" w:cs="宋体"/>
                <w:kern w:val="2"/>
                <w:sz w:val="21"/>
                <w:szCs w:val="21"/>
              </w:rPr>
              <w:t>地址：</w:t>
            </w:r>
          </w:p>
        </w:tc>
        <w:tc>
          <w:tcPr>
            <w:tcW w:w="4104" w:type="dxa"/>
          </w:tcPr>
          <w:p w14:paraId="1567311E">
            <w:pPr>
              <w:spacing w:line="360" w:lineRule="auto"/>
              <w:jc w:val="both"/>
              <w:rPr>
                <w:rFonts w:ascii="宋体" w:hAnsi="宋体" w:cs="宋体"/>
                <w:kern w:val="2"/>
                <w:sz w:val="21"/>
                <w:szCs w:val="21"/>
              </w:rPr>
            </w:pPr>
            <w:r>
              <w:rPr>
                <w:rFonts w:hint="eastAsia" w:ascii="宋体" w:hAnsi="宋体" w:cs="宋体"/>
                <w:kern w:val="2"/>
                <w:sz w:val="21"/>
                <w:szCs w:val="21"/>
              </w:rPr>
              <w:t>地址：</w:t>
            </w:r>
          </w:p>
        </w:tc>
      </w:tr>
      <w:tr w14:paraId="4769CCCF">
        <w:tblPrEx>
          <w:tblCellMar>
            <w:top w:w="0" w:type="dxa"/>
            <w:left w:w="108" w:type="dxa"/>
            <w:bottom w:w="0" w:type="dxa"/>
            <w:right w:w="108" w:type="dxa"/>
          </w:tblCellMar>
        </w:tblPrEx>
        <w:trPr>
          <w:trHeight w:val="469" w:hRule="atLeast"/>
          <w:jc w:val="center"/>
        </w:trPr>
        <w:tc>
          <w:tcPr>
            <w:tcW w:w="4115" w:type="dxa"/>
          </w:tcPr>
          <w:p w14:paraId="0DC18BF8">
            <w:pPr>
              <w:spacing w:line="360" w:lineRule="auto"/>
              <w:jc w:val="both"/>
              <w:rPr>
                <w:rFonts w:ascii="宋体" w:hAnsi="宋体" w:cs="宋体"/>
                <w:kern w:val="2"/>
                <w:sz w:val="21"/>
                <w:szCs w:val="21"/>
              </w:rPr>
            </w:pPr>
            <w:r>
              <w:rPr>
                <w:rFonts w:hint="eastAsia" w:ascii="宋体" w:hAnsi="宋体" w:cs="宋体"/>
                <w:kern w:val="2"/>
                <w:sz w:val="21"/>
                <w:szCs w:val="21"/>
              </w:rPr>
              <w:t>法定（授权）代表人：</w:t>
            </w:r>
          </w:p>
        </w:tc>
        <w:tc>
          <w:tcPr>
            <w:tcW w:w="4104" w:type="dxa"/>
          </w:tcPr>
          <w:p w14:paraId="55235467">
            <w:pPr>
              <w:spacing w:line="360" w:lineRule="auto"/>
              <w:jc w:val="both"/>
              <w:rPr>
                <w:rFonts w:ascii="宋体" w:hAnsi="宋体" w:cs="宋体"/>
                <w:kern w:val="2"/>
                <w:sz w:val="21"/>
                <w:szCs w:val="21"/>
              </w:rPr>
            </w:pPr>
            <w:r>
              <w:rPr>
                <w:rFonts w:hint="eastAsia" w:ascii="宋体" w:hAnsi="宋体" w:cs="宋体"/>
                <w:kern w:val="2"/>
                <w:sz w:val="21"/>
                <w:szCs w:val="21"/>
              </w:rPr>
              <w:t>法定（授权）代表人：</w:t>
            </w:r>
          </w:p>
        </w:tc>
      </w:tr>
      <w:tr w14:paraId="1535ECAD">
        <w:tblPrEx>
          <w:tblCellMar>
            <w:top w:w="0" w:type="dxa"/>
            <w:left w:w="108" w:type="dxa"/>
            <w:bottom w:w="0" w:type="dxa"/>
            <w:right w:w="108" w:type="dxa"/>
          </w:tblCellMar>
        </w:tblPrEx>
        <w:trPr>
          <w:trHeight w:val="469" w:hRule="atLeast"/>
          <w:jc w:val="center"/>
        </w:trPr>
        <w:tc>
          <w:tcPr>
            <w:tcW w:w="4115" w:type="dxa"/>
          </w:tcPr>
          <w:p w14:paraId="40E2EF6D">
            <w:pPr>
              <w:spacing w:line="360" w:lineRule="auto"/>
              <w:jc w:val="both"/>
              <w:rPr>
                <w:rFonts w:ascii="宋体" w:hAnsi="宋体" w:cs="宋体"/>
                <w:kern w:val="2"/>
                <w:sz w:val="21"/>
                <w:szCs w:val="21"/>
              </w:rPr>
            </w:pPr>
            <w:r>
              <w:rPr>
                <w:rFonts w:hint="eastAsia" w:ascii="宋体" w:hAnsi="宋体" w:cs="宋体"/>
                <w:kern w:val="2"/>
                <w:sz w:val="21"/>
                <w:szCs w:val="21"/>
              </w:rPr>
              <w:t>签字日期：      年      月      日</w:t>
            </w:r>
          </w:p>
        </w:tc>
        <w:tc>
          <w:tcPr>
            <w:tcW w:w="4104" w:type="dxa"/>
          </w:tcPr>
          <w:p w14:paraId="5D07F459">
            <w:pPr>
              <w:spacing w:line="360" w:lineRule="auto"/>
              <w:jc w:val="both"/>
              <w:rPr>
                <w:rFonts w:ascii="宋体" w:hAnsi="宋体" w:cs="宋体"/>
                <w:kern w:val="2"/>
                <w:sz w:val="21"/>
                <w:szCs w:val="21"/>
              </w:rPr>
            </w:pPr>
            <w:r>
              <w:rPr>
                <w:rFonts w:hint="eastAsia" w:ascii="宋体" w:hAnsi="宋体" w:cs="宋体"/>
                <w:kern w:val="2"/>
                <w:sz w:val="21"/>
                <w:szCs w:val="21"/>
              </w:rPr>
              <w:t>签字日期：      年      月      日</w:t>
            </w:r>
          </w:p>
        </w:tc>
      </w:tr>
    </w:tbl>
    <w:p w14:paraId="50C5635E">
      <w:pPr>
        <w:adjustRightInd w:val="0"/>
        <w:snapToGrid w:val="0"/>
        <w:spacing w:line="460" w:lineRule="exact"/>
        <w:rPr>
          <w:rFonts w:ascii="宋体" w:hAnsi="宋体"/>
          <w:szCs w:val="21"/>
        </w:rPr>
      </w:pPr>
      <w:r>
        <w:rPr>
          <w:rFonts w:hint="eastAsia"/>
          <w:sz w:val="21"/>
          <w:szCs w:val="21"/>
        </w:rPr>
        <w:t>注：本合同作为示范文本，具体以成交供应商与采购人所签定正式合同为准</w:t>
      </w:r>
      <w:r>
        <w:rPr>
          <w:rFonts w:hint="eastAsia" w:ascii="宋体" w:hAnsi="宋体"/>
          <w:szCs w:val="21"/>
        </w:rPr>
        <w:t>。</w:t>
      </w:r>
    </w:p>
    <w:p w14:paraId="3F81E1AB">
      <w:pPr>
        <w:adjustRightInd w:val="0"/>
        <w:snapToGrid w:val="0"/>
        <w:spacing w:line="460" w:lineRule="exact"/>
        <w:jc w:val="both"/>
        <w:rPr>
          <w:rFonts w:hAnsi="宋体"/>
          <w:sz w:val="28"/>
          <w:szCs w:val="36"/>
        </w:rPr>
        <w:sectPr>
          <w:footerReference r:id="rId8" w:type="default"/>
          <w:pgSz w:w="11907" w:h="16840"/>
          <w:pgMar w:top="1440" w:right="1080" w:bottom="1440" w:left="1080" w:header="720" w:footer="720" w:gutter="0"/>
          <w:cols w:space="720" w:num="1"/>
          <w:titlePg/>
          <w:docGrid w:linePitch="286" w:charSpace="-3831"/>
        </w:sectPr>
      </w:pPr>
    </w:p>
    <w:p w14:paraId="74BB32C3">
      <w:pPr>
        <w:adjustRightInd w:val="0"/>
        <w:snapToGrid w:val="0"/>
        <w:spacing w:line="460" w:lineRule="exact"/>
        <w:jc w:val="center"/>
        <w:outlineLvl w:val="0"/>
        <w:rPr>
          <w:rFonts w:hAnsi="宋体"/>
          <w:b/>
          <w:bCs/>
          <w:sz w:val="28"/>
          <w:szCs w:val="36"/>
        </w:rPr>
      </w:pPr>
      <w:bookmarkStart w:id="80" w:name="_Toc11746"/>
      <w:r>
        <w:rPr>
          <w:rFonts w:hint="eastAsia" w:hAnsi="宋体"/>
          <w:b/>
          <w:bCs/>
          <w:sz w:val="28"/>
          <w:szCs w:val="36"/>
        </w:rPr>
        <w:t>第五部分磋商响应文件格式</w:t>
      </w:r>
      <w:bookmarkEnd w:id="76"/>
      <w:bookmarkEnd w:id="80"/>
    </w:p>
    <w:p w14:paraId="4C975448">
      <w:pPr>
        <w:snapToGrid w:val="0"/>
        <w:spacing w:before="480" w:beforeLines="200" w:after="120" w:afterLines="50"/>
        <w:jc w:val="center"/>
        <w:rPr>
          <w:rFonts w:ascii="宋体" w:hAnsi="宋体"/>
          <w:b/>
          <w:bCs/>
          <w:sz w:val="28"/>
        </w:rPr>
      </w:pPr>
      <w:r>
        <w:rPr>
          <w:rFonts w:hint="eastAsia" w:ascii="宋体" w:hAnsi="宋体"/>
          <w:b/>
          <w:bCs/>
          <w:sz w:val="28"/>
        </w:rPr>
        <w:t>磋商供应商提交磋商响应文件须知</w:t>
      </w:r>
    </w:p>
    <w:p w14:paraId="6489284B">
      <w:pPr>
        <w:snapToGrid w:val="0"/>
        <w:jc w:val="center"/>
        <w:rPr>
          <w:sz w:val="28"/>
          <w:szCs w:val="21"/>
        </w:rPr>
      </w:pPr>
    </w:p>
    <w:p w14:paraId="7CDBB2CA">
      <w:pPr>
        <w:pStyle w:val="37"/>
        <w:numPr>
          <w:ilvl w:val="1"/>
          <w:numId w:val="0"/>
        </w:numPr>
        <w:snapToGrid w:val="0"/>
        <w:spacing w:line="400" w:lineRule="exact"/>
        <w:ind w:left="851" w:hanging="360"/>
        <w:rPr>
          <w:rFonts w:ascii="宋体" w:hAnsi="宋体" w:cs="宋体"/>
        </w:rPr>
      </w:pPr>
      <w:r>
        <w:rPr>
          <w:rFonts w:hint="eastAsia" w:ascii="宋体" w:hAnsi="宋体" w:cs="宋体"/>
        </w:rPr>
        <w:t>1、磋商供应商应严格按照磋商响应文件的组成提交下述规定的全部格式文件以及其他有关资料，混乱的编排导致磋商响应文件被误读或采购机构、磋商小组查找不到有效文件是磋商供应商的风险。</w:t>
      </w:r>
    </w:p>
    <w:p w14:paraId="1366DEA8">
      <w:pPr>
        <w:pStyle w:val="37"/>
        <w:numPr>
          <w:ilvl w:val="1"/>
          <w:numId w:val="0"/>
        </w:numPr>
        <w:snapToGrid w:val="0"/>
        <w:spacing w:line="400" w:lineRule="exact"/>
        <w:ind w:left="851" w:hanging="360"/>
        <w:rPr>
          <w:rFonts w:ascii="宋体" w:hAnsi="宋体" w:cs="宋体"/>
        </w:rPr>
      </w:pPr>
      <w:r>
        <w:rPr>
          <w:rFonts w:hint="eastAsia" w:ascii="宋体" w:hAnsi="宋体" w:cs="宋体"/>
        </w:rPr>
        <w:t>2、所附表格中要求回答的全部问题和/或信息都必须正面回答。</w:t>
      </w:r>
    </w:p>
    <w:p w14:paraId="6C787C77">
      <w:pPr>
        <w:pStyle w:val="37"/>
        <w:numPr>
          <w:ilvl w:val="1"/>
          <w:numId w:val="0"/>
        </w:numPr>
        <w:snapToGrid w:val="0"/>
        <w:spacing w:line="400" w:lineRule="exact"/>
        <w:ind w:left="851" w:hanging="360"/>
        <w:rPr>
          <w:rFonts w:ascii="宋体" w:hAnsi="宋体" w:cs="宋体"/>
        </w:rPr>
      </w:pPr>
      <w:r>
        <w:rPr>
          <w:rFonts w:hint="eastAsia" w:ascii="宋体" w:hAnsi="宋体" w:cs="宋体"/>
        </w:rPr>
        <w:t>3、本资格声明的签字人应保证全部声明和问题的回答是真实的和准确的。</w:t>
      </w:r>
    </w:p>
    <w:p w14:paraId="654BCC3A">
      <w:pPr>
        <w:pStyle w:val="37"/>
        <w:numPr>
          <w:ilvl w:val="1"/>
          <w:numId w:val="0"/>
        </w:numPr>
        <w:snapToGrid w:val="0"/>
        <w:spacing w:line="400" w:lineRule="exact"/>
        <w:ind w:left="851" w:hanging="360"/>
        <w:rPr>
          <w:rFonts w:ascii="宋体" w:hAnsi="宋体" w:cs="宋体"/>
        </w:rPr>
      </w:pPr>
      <w:r>
        <w:rPr>
          <w:rFonts w:hint="eastAsia" w:ascii="宋体" w:hAnsi="宋体" w:cs="宋体"/>
        </w:rPr>
        <w:t>4、采购机构将应用磋商供应商提交的资料根据自己的判断和考虑决定磋商供应商履行合同的合格性及能力。</w:t>
      </w:r>
    </w:p>
    <w:p w14:paraId="27E6B599">
      <w:pPr>
        <w:pStyle w:val="37"/>
        <w:numPr>
          <w:ilvl w:val="1"/>
          <w:numId w:val="0"/>
        </w:numPr>
        <w:snapToGrid w:val="0"/>
        <w:spacing w:line="400" w:lineRule="exact"/>
        <w:ind w:left="851" w:hanging="360"/>
        <w:rPr>
          <w:rFonts w:ascii="宋体" w:hAnsi="宋体" w:cs="宋体"/>
        </w:rPr>
      </w:pPr>
      <w:r>
        <w:rPr>
          <w:rFonts w:hint="eastAsia" w:ascii="宋体" w:hAnsi="宋体" w:cs="宋体"/>
        </w:rPr>
        <w:t>5、磋商供应商提交的材料将被保密保存，但不退还。</w:t>
      </w:r>
    </w:p>
    <w:p w14:paraId="58D170F8">
      <w:pPr>
        <w:pStyle w:val="37"/>
        <w:numPr>
          <w:ilvl w:val="1"/>
          <w:numId w:val="0"/>
        </w:numPr>
        <w:snapToGrid w:val="0"/>
        <w:spacing w:line="400" w:lineRule="exact"/>
        <w:ind w:left="851" w:hanging="360"/>
        <w:rPr>
          <w:rFonts w:ascii="宋体" w:hAnsi="宋体" w:cs="宋体"/>
        </w:rPr>
      </w:pPr>
      <w:r>
        <w:rPr>
          <w:rFonts w:hint="eastAsia" w:ascii="宋体" w:hAnsi="宋体" w:cs="宋体"/>
        </w:rPr>
        <w:t>6、全部文件应按磋商供应商须知中规定的语言和份数提交。</w:t>
      </w:r>
    </w:p>
    <w:p w14:paraId="75E7B162">
      <w:pPr>
        <w:pStyle w:val="37"/>
        <w:numPr>
          <w:ilvl w:val="1"/>
          <w:numId w:val="0"/>
        </w:numPr>
        <w:snapToGrid w:val="0"/>
        <w:spacing w:line="400" w:lineRule="exact"/>
        <w:ind w:left="851" w:hanging="360"/>
        <w:rPr>
          <w:rFonts w:ascii="宋体" w:hAnsi="宋体" w:cs="宋体"/>
        </w:rPr>
      </w:pPr>
      <w:r>
        <w:rPr>
          <w:rFonts w:hint="eastAsia" w:ascii="宋体" w:hAnsi="宋体" w:cs="宋体"/>
        </w:rPr>
        <w:t>7、投标人上传投标文件时须充分考虑网络、投标文件大小等因素，逾期未完成上传或未按规定时间完成文件解密，招标人予以拒收。</w:t>
      </w:r>
    </w:p>
    <w:p w14:paraId="548CEDE4">
      <w:pPr>
        <w:pStyle w:val="37"/>
        <w:numPr>
          <w:ilvl w:val="1"/>
          <w:numId w:val="0"/>
        </w:numPr>
        <w:snapToGrid w:val="0"/>
        <w:spacing w:line="400" w:lineRule="exact"/>
        <w:ind w:left="851" w:hanging="360"/>
        <w:rPr>
          <w:rFonts w:ascii="宋体" w:hAnsi="宋体" w:cs="宋体"/>
        </w:rPr>
      </w:pPr>
      <w:r>
        <w:rPr>
          <w:rFonts w:hint="eastAsia" w:ascii="宋体" w:hAnsi="宋体" w:cs="宋体"/>
        </w:rPr>
        <w:t>8、本项目的招标文件下载、获取以及投标文件上传、解密等均通过互联网操作，请各投标人充分考虑网络拥堵及平台操作所需时间等因素，保证在开评标期间电脑、网络、预留电话等能够正常使用。</w:t>
      </w:r>
    </w:p>
    <w:p w14:paraId="3D8F363E">
      <w:pPr>
        <w:pStyle w:val="37"/>
        <w:numPr>
          <w:ilvl w:val="1"/>
          <w:numId w:val="0"/>
        </w:numPr>
        <w:snapToGrid w:val="0"/>
        <w:spacing w:line="400" w:lineRule="exact"/>
        <w:ind w:left="851" w:hanging="360"/>
        <w:rPr>
          <w:rFonts w:ascii="宋体" w:hAnsi="宋体" w:cs="宋体"/>
        </w:rPr>
      </w:pPr>
      <w:r>
        <w:rPr>
          <w:rFonts w:hint="eastAsia" w:ascii="宋体" w:hAnsi="宋体" w:cs="宋体"/>
        </w:rPr>
        <w:t>9、因供应商使用 的操作终端（软件或硬件）发生故障或参数设置等问题，导致不能参与交易活动，由供应商自行承担一切后果。</w:t>
      </w:r>
    </w:p>
    <w:p w14:paraId="3A20D060">
      <w:pPr>
        <w:rPr>
          <w:rFonts w:ascii="宋体" w:hAnsi="宋体"/>
          <w:szCs w:val="21"/>
        </w:rPr>
      </w:pPr>
    </w:p>
    <w:p w14:paraId="17E6C347">
      <w:pPr>
        <w:rPr>
          <w:rFonts w:ascii="宋体" w:hAnsi="宋体"/>
          <w:szCs w:val="21"/>
        </w:rPr>
      </w:pPr>
    </w:p>
    <w:p w14:paraId="0ADE2A73">
      <w:pPr>
        <w:rPr>
          <w:rFonts w:ascii="宋体" w:hAnsi="宋体"/>
          <w:szCs w:val="21"/>
        </w:rPr>
      </w:pPr>
    </w:p>
    <w:p w14:paraId="080F4556">
      <w:pPr>
        <w:rPr>
          <w:rFonts w:ascii="宋体" w:hAnsi="宋体"/>
          <w:szCs w:val="21"/>
        </w:rPr>
      </w:pPr>
    </w:p>
    <w:p w14:paraId="4CE3B9A0">
      <w:pPr>
        <w:rPr>
          <w:rFonts w:ascii="宋体" w:hAnsi="宋体"/>
          <w:szCs w:val="21"/>
        </w:rPr>
      </w:pPr>
    </w:p>
    <w:p w14:paraId="5755109B">
      <w:pPr>
        <w:rPr>
          <w:rFonts w:ascii="宋体" w:hAnsi="宋体"/>
          <w:szCs w:val="21"/>
        </w:rPr>
      </w:pPr>
    </w:p>
    <w:p w14:paraId="756AF035">
      <w:pPr>
        <w:rPr>
          <w:rFonts w:ascii="宋体" w:hAnsi="宋体"/>
          <w:szCs w:val="21"/>
        </w:rPr>
      </w:pPr>
    </w:p>
    <w:p w14:paraId="228E22A8">
      <w:pPr>
        <w:rPr>
          <w:rFonts w:ascii="宋体" w:hAnsi="宋体"/>
          <w:szCs w:val="21"/>
        </w:rPr>
      </w:pPr>
    </w:p>
    <w:p w14:paraId="41D4552F">
      <w:pPr>
        <w:rPr>
          <w:rFonts w:ascii="宋体" w:hAnsi="宋体"/>
          <w:szCs w:val="21"/>
        </w:rPr>
      </w:pPr>
    </w:p>
    <w:p w14:paraId="09D4B0DD">
      <w:pPr>
        <w:rPr>
          <w:rFonts w:ascii="宋体" w:hAnsi="宋体"/>
          <w:szCs w:val="21"/>
        </w:rPr>
      </w:pPr>
    </w:p>
    <w:p w14:paraId="3F91B805">
      <w:pPr>
        <w:rPr>
          <w:rFonts w:ascii="宋体" w:hAnsi="宋体"/>
          <w:szCs w:val="21"/>
        </w:rPr>
      </w:pPr>
    </w:p>
    <w:p w14:paraId="544D7853">
      <w:pPr>
        <w:rPr>
          <w:rFonts w:ascii="宋体" w:hAnsi="宋体"/>
          <w:szCs w:val="21"/>
        </w:rPr>
      </w:pPr>
    </w:p>
    <w:p w14:paraId="3B0DE032">
      <w:pPr>
        <w:rPr>
          <w:rFonts w:ascii="宋体" w:hAnsi="宋体"/>
          <w:szCs w:val="21"/>
        </w:rPr>
      </w:pPr>
    </w:p>
    <w:p w14:paraId="1E5EA20D">
      <w:pPr>
        <w:rPr>
          <w:rFonts w:ascii="宋体" w:hAnsi="宋体"/>
          <w:szCs w:val="21"/>
        </w:rPr>
      </w:pPr>
    </w:p>
    <w:p w14:paraId="2F7B95EE">
      <w:pPr>
        <w:rPr>
          <w:rFonts w:ascii="宋体" w:hAnsi="宋体"/>
          <w:szCs w:val="21"/>
        </w:rPr>
      </w:pPr>
    </w:p>
    <w:p w14:paraId="333390B2">
      <w:pPr>
        <w:rPr>
          <w:rFonts w:ascii="宋体" w:hAnsi="宋体"/>
          <w:szCs w:val="21"/>
        </w:rPr>
      </w:pPr>
    </w:p>
    <w:p w14:paraId="5C42D035">
      <w:pPr>
        <w:rPr>
          <w:rFonts w:ascii="宋体" w:hAnsi="宋体"/>
          <w:szCs w:val="21"/>
        </w:rPr>
      </w:pPr>
    </w:p>
    <w:p w14:paraId="0A3A6F67">
      <w:pPr>
        <w:jc w:val="center"/>
        <w:rPr>
          <w:rFonts w:ascii="黑体" w:hAnsi="黑体" w:eastAsia="黑体"/>
          <w:sz w:val="28"/>
          <w:szCs w:val="28"/>
        </w:rPr>
        <w:sectPr>
          <w:pgSz w:w="11907" w:h="16840"/>
          <w:pgMar w:top="1440" w:right="1080" w:bottom="1440" w:left="1080" w:header="720" w:footer="720" w:gutter="0"/>
          <w:cols w:space="720" w:num="1"/>
          <w:titlePg/>
          <w:docGrid w:linePitch="286" w:charSpace="-3831"/>
        </w:sectPr>
      </w:pPr>
      <w:bookmarkStart w:id="81" w:name="_Toc45140202"/>
      <w:bookmarkStart w:id="82" w:name="_Toc11967"/>
    </w:p>
    <w:p w14:paraId="7ED07657">
      <w:pPr>
        <w:jc w:val="center"/>
        <w:outlineLvl w:val="0"/>
        <w:rPr>
          <w:rFonts w:ascii="黑体" w:hAnsi="黑体" w:eastAsia="黑体"/>
          <w:sz w:val="28"/>
          <w:szCs w:val="28"/>
          <w:lang w:val="zh-CN"/>
        </w:rPr>
      </w:pPr>
      <w:bookmarkStart w:id="83" w:name="_Toc18349"/>
      <w:r>
        <w:rPr>
          <w:rFonts w:hint="eastAsia" w:ascii="黑体" w:hAnsi="黑体" w:eastAsia="黑体"/>
          <w:sz w:val="28"/>
          <w:szCs w:val="28"/>
        </w:rPr>
        <w:t>附件一</w:t>
      </w:r>
      <w:bookmarkEnd w:id="81"/>
      <w:bookmarkEnd w:id="82"/>
      <w:bookmarkStart w:id="84" w:name="_Toc45140203"/>
      <w:bookmarkStart w:id="85" w:name="_Toc16021"/>
      <w:r>
        <w:rPr>
          <w:rFonts w:hint="eastAsia" w:ascii="黑体" w:hAnsi="黑体" w:eastAsia="黑体"/>
          <w:sz w:val="28"/>
          <w:szCs w:val="28"/>
          <w:lang w:val="zh-CN"/>
        </w:rPr>
        <w:t>投标供应商参与政府采购活动投标资格声明函</w:t>
      </w:r>
      <w:bookmarkEnd w:id="83"/>
      <w:bookmarkEnd w:id="84"/>
      <w:bookmarkEnd w:id="85"/>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7E3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tcPr>
          <w:p w14:paraId="1E58E317">
            <w:pPr>
              <w:pStyle w:val="15"/>
              <w:adjustRightInd w:val="0"/>
              <w:snapToGrid w:val="0"/>
              <w:spacing w:line="440" w:lineRule="exact"/>
              <w:rPr>
                <w:rFonts w:hAnsi="宋体"/>
                <w:color w:val="000000"/>
                <w:szCs w:val="22"/>
              </w:rPr>
            </w:pPr>
            <w:r>
              <w:rPr>
                <w:rFonts w:hAnsi="宋体"/>
                <w:color w:val="000000"/>
                <w:szCs w:val="22"/>
              </w:rPr>
              <w:t>项目名称</w:t>
            </w:r>
          </w:p>
        </w:tc>
        <w:tc>
          <w:tcPr>
            <w:tcW w:w="7992" w:type="dxa"/>
          </w:tcPr>
          <w:p w14:paraId="530CAA05">
            <w:pPr>
              <w:pStyle w:val="15"/>
              <w:adjustRightInd w:val="0"/>
              <w:snapToGrid w:val="0"/>
              <w:spacing w:line="440" w:lineRule="exact"/>
              <w:ind w:left="422" w:firstLine="331"/>
              <w:rPr>
                <w:rFonts w:hAnsi="宋体"/>
                <w:color w:val="000000"/>
                <w:szCs w:val="22"/>
              </w:rPr>
            </w:pPr>
          </w:p>
        </w:tc>
      </w:tr>
      <w:tr w14:paraId="0C6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20" w:type="dxa"/>
          </w:tcPr>
          <w:p w14:paraId="56D8BDDE">
            <w:pPr>
              <w:pStyle w:val="15"/>
              <w:adjustRightInd w:val="0"/>
              <w:snapToGrid w:val="0"/>
              <w:spacing w:line="440" w:lineRule="exact"/>
              <w:rPr>
                <w:rFonts w:hAnsi="宋体"/>
                <w:color w:val="000000"/>
                <w:szCs w:val="22"/>
              </w:rPr>
            </w:pPr>
            <w:r>
              <w:rPr>
                <w:rFonts w:hint="eastAsia" w:hAnsi="宋体"/>
                <w:color w:val="000000"/>
                <w:szCs w:val="22"/>
              </w:rPr>
              <w:t>项目</w:t>
            </w:r>
            <w:r>
              <w:rPr>
                <w:rFonts w:hAnsi="宋体"/>
                <w:color w:val="000000"/>
                <w:szCs w:val="22"/>
              </w:rPr>
              <w:t>编号</w:t>
            </w:r>
          </w:p>
        </w:tc>
        <w:tc>
          <w:tcPr>
            <w:tcW w:w="7992" w:type="dxa"/>
          </w:tcPr>
          <w:p w14:paraId="53F8D772">
            <w:pPr>
              <w:pStyle w:val="15"/>
              <w:adjustRightInd w:val="0"/>
              <w:snapToGrid w:val="0"/>
              <w:spacing w:line="440" w:lineRule="exact"/>
              <w:ind w:left="422" w:firstLine="361"/>
              <w:rPr>
                <w:rFonts w:hAnsi="宋体"/>
                <w:color w:val="000000"/>
                <w:szCs w:val="22"/>
              </w:rPr>
            </w:pPr>
          </w:p>
        </w:tc>
      </w:tr>
      <w:tr w14:paraId="30A5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74991BA">
            <w:pPr>
              <w:pStyle w:val="15"/>
              <w:adjustRightInd w:val="0"/>
              <w:snapToGrid w:val="0"/>
              <w:spacing w:line="440" w:lineRule="exact"/>
              <w:rPr>
                <w:rFonts w:hAnsi="宋体"/>
                <w:color w:val="000000"/>
                <w:szCs w:val="22"/>
              </w:rPr>
            </w:pPr>
            <w:r>
              <w:rPr>
                <w:rFonts w:hAnsi="宋体"/>
                <w:color w:val="000000"/>
                <w:szCs w:val="22"/>
              </w:rPr>
              <w:t>时间</w:t>
            </w:r>
          </w:p>
        </w:tc>
        <w:tc>
          <w:tcPr>
            <w:tcW w:w="7992" w:type="dxa"/>
          </w:tcPr>
          <w:p w14:paraId="5C68843B">
            <w:pPr>
              <w:pStyle w:val="15"/>
              <w:adjustRightInd w:val="0"/>
              <w:snapToGrid w:val="0"/>
              <w:spacing w:line="440" w:lineRule="exact"/>
              <w:rPr>
                <w:rFonts w:hAnsi="宋体"/>
                <w:color w:val="000000"/>
                <w:szCs w:val="22"/>
              </w:rPr>
            </w:pPr>
            <w:r>
              <w:rPr>
                <w:rFonts w:hAnsi="宋体" w:cs="宋体"/>
                <w:color w:val="000000"/>
                <w:szCs w:val="22"/>
              </w:rPr>
              <w:t>响应文件递交截止时间前</w:t>
            </w:r>
          </w:p>
        </w:tc>
      </w:tr>
      <w:tr w14:paraId="4FB3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5E3AFAAB">
            <w:pPr>
              <w:pStyle w:val="15"/>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我单位参与永嘉县银坑铅锌矿（山根村）历史遗留废渣治理工程全过程咨询服务投标，现声明如下：</w:t>
            </w:r>
          </w:p>
          <w:p w14:paraId="17AF5E3F">
            <w:pPr>
              <w:pStyle w:val="15"/>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1、我单位符合政府采购法第二十二条规定。</w:t>
            </w:r>
          </w:p>
          <w:p w14:paraId="3DBF4E7C">
            <w:pPr>
              <w:pStyle w:val="15"/>
              <w:adjustRightInd w:val="0"/>
              <w:snapToGrid w:val="0"/>
              <w:spacing w:line="400" w:lineRule="exact"/>
              <w:ind w:firstLine="450"/>
              <w:rPr>
                <w:rFonts w:hAnsi="宋体" w:cs="宋体"/>
                <w:color w:val="000000"/>
                <w:sz w:val="21"/>
                <w:szCs w:val="21"/>
              </w:rPr>
            </w:pPr>
            <w:r>
              <w:rPr>
                <w:rFonts w:hint="eastAsia" w:hAnsi="宋体" w:cs="宋体"/>
                <w:color w:val="000000"/>
                <w:sz w:val="21"/>
                <w:szCs w:val="21"/>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int="eastAsia" w:hAnsi="宋体" w:cs="宋体"/>
                <w:color w:val="000000"/>
                <w:sz w:val="21"/>
                <w:szCs w:val="21"/>
                <w:u w:val="single"/>
              </w:rPr>
              <w:t>□存在/□不存在</w:t>
            </w:r>
            <w:r>
              <w:rPr>
                <w:rFonts w:hint="eastAsia" w:hAnsi="宋体" w:cs="宋体"/>
                <w:color w:val="000000"/>
                <w:sz w:val="21"/>
                <w:szCs w:val="21"/>
              </w:rPr>
              <w:t>上述文件规定依法限制参与政府采购的情况。（说明：在□上打√。）</w:t>
            </w:r>
          </w:p>
          <w:p w14:paraId="6F32BC57">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3、我单位□没有被限制参加政府采购活动/□在参加政府采购活动前3年内因违法经营被禁止在一定期限内参加政府采购活动，但期限届满，已可以参加政府采购活动。（说明：在□上打√。）</w:t>
            </w:r>
          </w:p>
          <w:p w14:paraId="087058E2">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cs="宋体"/>
                <w:color w:val="000000"/>
                <w:sz w:val="21"/>
                <w:szCs w:val="21"/>
                <w:u w:val="single"/>
              </w:rPr>
              <w:t>：（没有可填 / ）</w:t>
            </w:r>
          </w:p>
          <w:p w14:paraId="590E9291">
            <w:pPr>
              <w:tabs>
                <w:tab w:val="center" w:pos="4483"/>
              </w:tabs>
              <w:adjustRightInd w:val="0"/>
              <w:spacing w:line="400" w:lineRule="exact"/>
              <w:ind w:firstLine="400"/>
              <w:rPr>
                <w:rFonts w:ascii="宋体" w:hAnsi="宋体" w:cs="宋体"/>
                <w:color w:val="000000"/>
                <w:sz w:val="21"/>
                <w:szCs w:val="21"/>
              </w:rPr>
            </w:pPr>
            <w:r>
              <w:rPr>
                <w:rFonts w:hint="eastAsia" w:ascii="宋体" w:hAnsi="宋体" w:cs="宋体"/>
                <w:color w:val="000000"/>
                <w:sz w:val="21"/>
                <w:szCs w:val="21"/>
              </w:rPr>
              <w:t xml:space="preserve"> 5、我单位符合本项目特定资格条件：</w:t>
            </w:r>
            <w:r>
              <w:rPr>
                <w:rFonts w:hint="eastAsia" w:ascii="宋体" w:hAnsi="宋体" w:cs="宋体"/>
                <w:color w:val="000000"/>
                <w:sz w:val="21"/>
                <w:szCs w:val="21"/>
                <w:u w:val="single"/>
              </w:rPr>
              <w:t>无</w:t>
            </w:r>
          </w:p>
          <w:p w14:paraId="1F19B4EC">
            <w:pPr>
              <w:tabs>
                <w:tab w:val="center" w:pos="4483"/>
              </w:tabs>
              <w:adjustRightIn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6、我单位与参加本次项目同一合同项下政府采购活动的其他供应商不存在单位负责人为同一人或者直接控股、管理关系。</w:t>
            </w:r>
          </w:p>
          <w:p w14:paraId="383E78F5">
            <w:pPr>
              <w:tabs>
                <w:tab w:val="center" w:pos="4483"/>
              </w:tabs>
              <w:adjustRightInd w:val="0"/>
              <w:spacing w:line="400" w:lineRule="exact"/>
              <w:ind w:firstLine="420" w:firstLineChars="200"/>
              <w:rPr>
                <w:rFonts w:ascii="宋体" w:hAnsi="宋体"/>
                <w:bCs/>
                <w:color w:val="000000"/>
                <w:sz w:val="20"/>
              </w:rPr>
            </w:pPr>
            <w:r>
              <w:rPr>
                <w:rFonts w:hint="eastAsia" w:ascii="宋体" w:hAnsi="宋体" w:cs="宋体"/>
                <w:color w:val="000000"/>
                <w:sz w:val="21"/>
                <w:szCs w:val="21"/>
              </w:rPr>
              <w:t>7、本公司所提交的声明和陈述均是真实的、准确的。若与真实情况不符，本公司愿意承担由此而产生的一切后果。</w:t>
            </w:r>
          </w:p>
        </w:tc>
      </w:tr>
      <w:tr w14:paraId="0361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67220CF">
            <w:pPr>
              <w:pStyle w:val="15"/>
              <w:adjustRightInd w:val="0"/>
              <w:snapToGrid w:val="0"/>
              <w:spacing w:line="440" w:lineRule="exact"/>
              <w:rPr>
                <w:rFonts w:hAnsi="宋体"/>
                <w:color w:val="000000"/>
                <w:szCs w:val="22"/>
              </w:rPr>
            </w:pPr>
            <w:r>
              <w:rPr>
                <w:rFonts w:hint="eastAsia" w:hAnsi="宋体"/>
                <w:color w:val="000000"/>
                <w:szCs w:val="22"/>
                <w:lang w:val="zh-CN"/>
              </w:rPr>
              <w:t>投标供应商（盖章）：</w:t>
            </w:r>
          </w:p>
        </w:tc>
      </w:tr>
      <w:tr w14:paraId="51EF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49A4CA3C">
            <w:pPr>
              <w:pStyle w:val="15"/>
              <w:adjustRightInd w:val="0"/>
              <w:snapToGrid w:val="0"/>
              <w:spacing w:line="440" w:lineRule="exact"/>
              <w:rPr>
                <w:rFonts w:hAnsi="宋体"/>
                <w:color w:val="000000"/>
                <w:szCs w:val="22"/>
              </w:rPr>
            </w:pPr>
            <w:r>
              <w:rPr>
                <w:rFonts w:hAnsi="宋体"/>
                <w:color w:val="000000"/>
              </w:rPr>
              <w:t>法定代表人或授权代表（签字或盖章）</w:t>
            </w:r>
            <w:r>
              <w:rPr>
                <w:rFonts w:hAnsi="宋体"/>
                <w:color w:val="000000"/>
                <w:szCs w:val="22"/>
              </w:rPr>
              <w:t>：</w:t>
            </w:r>
          </w:p>
        </w:tc>
      </w:tr>
      <w:tr w14:paraId="274B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612" w:type="dxa"/>
            <w:gridSpan w:val="2"/>
            <w:vAlign w:val="center"/>
          </w:tcPr>
          <w:p w14:paraId="6043E23D">
            <w:pPr>
              <w:pStyle w:val="15"/>
              <w:adjustRightInd w:val="0"/>
              <w:snapToGrid w:val="0"/>
              <w:spacing w:line="440" w:lineRule="exact"/>
              <w:rPr>
                <w:rFonts w:hAnsi="宋体"/>
                <w:color w:val="000000"/>
                <w:szCs w:val="22"/>
              </w:rPr>
            </w:pPr>
            <w:r>
              <w:rPr>
                <w:rFonts w:hAnsi="宋体"/>
                <w:color w:val="000000"/>
                <w:szCs w:val="22"/>
              </w:rPr>
              <w:t>签署日期：</w:t>
            </w:r>
          </w:p>
        </w:tc>
      </w:tr>
    </w:tbl>
    <w:p w14:paraId="0C22ED48">
      <w:pPr>
        <w:pStyle w:val="3"/>
        <w:numPr>
          <w:ilvl w:val="0"/>
          <w:numId w:val="0"/>
        </w:numPr>
        <w:spacing w:line="276" w:lineRule="auto"/>
        <w:ind w:left="851" w:hanging="851"/>
        <w:jc w:val="center"/>
        <w:rPr>
          <w:rFonts w:hAnsi="宋体"/>
          <w:color w:val="000000"/>
          <w:sz w:val="36"/>
        </w:rPr>
        <w:sectPr>
          <w:pgSz w:w="11907" w:h="16840"/>
          <w:pgMar w:top="1440" w:right="1080" w:bottom="1440" w:left="1080" w:header="720" w:footer="720" w:gutter="0"/>
          <w:cols w:space="720" w:num="1"/>
          <w:titlePg/>
          <w:docGrid w:linePitch="286" w:charSpace="-3831"/>
        </w:sectPr>
      </w:pPr>
      <w:r>
        <w:rPr>
          <w:rFonts w:hAnsi="宋体"/>
          <w:color w:val="000000"/>
          <w:sz w:val="36"/>
        </w:rPr>
        <w:br w:type="page"/>
      </w:r>
      <w:bookmarkStart w:id="86" w:name="_Toc45140205"/>
      <w:bookmarkStart w:id="87" w:name="_Toc45140204"/>
      <w:bookmarkStart w:id="88" w:name="_Toc3695"/>
      <w:bookmarkStart w:id="89" w:name="_Toc23681"/>
      <w:bookmarkStart w:id="90" w:name="_Toc493530212"/>
    </w:p>
    <w:p w14:paraId="32F58FD1">
      <w:pPr>
        <w:pStyle w:val="3"/>
        <w:numPr>
          <w:ilvl w:val="0"/>
          <w:numId w:val="0"/>
        </w:numPr>
        <w:spacing w:line="276" w:lineRule="auto"/>
        <w:ind w:left="851" w:hanging="851"/>
        <w:jc w:val="both"/>
        <w:rPr>
          <w:rFonts w:ascii="黑体" w:hAnsi="黑体" w:eastAsia="黑体"/>
          <w:b w:val="0"/>
          <w:bCs/>
          <w:color w:val="000000"/>
          <w:sz w:val="28"/>
          <w:szCs w:val="28"/>
          <w:lang w:val="zh-CN"/>
        </w:rPr>
      </w:pPr>
      <w:bookmarkStart w:id="91" w:name="_Toc15140"/>
      <w:r>
        <w:rPr>
          <w:rFonts w:hint="eastAsia" w:ascii="黑体" w:hAnsi="黑体" w:eastAsia="黑体"/>
          <w:b w:val="0"/>
          <w:bCs/>
          <w:color w:val="000000"/>
          <w:sz w:val="28"/>
          <w:szCs w:val="28"/>
        </w:rPr>
        <w:t>附件</w:t>
      </w:r>
      <w:r>
        <w:rPr>
          <w:rFonts w:hint="eastAsia" w:ascii="黑体" w:hAnsi="黑体" w:eastAsia="黑体"/>
          <w:b w:val="0"/>
          <w:bCs/>
          <w:color w:val="000000"/>
          <w:sz w:val="28"/>
          <w:szCs w:val="28"/>
          <w:lang w:val="zh-CN"/>
        </w:rPr>
        <w:t>二</w:t>
      </w:r>
      <w:bookmarkEnd w:id="86"/>
      <w:bookmarkEnd w:id="87"/>
      <w:bookmarkEnd w:id="88"/>
      <w:bookmarkEnd w:id="89"/>
      <w:r>
        <w:rPr>
          <w:rFonts w:hint="eastAsia" w:ascii="黑体" w:hAnsi="黑体" w:eastAsia="黑体"/>
          <w:b w:val="0"/>
          <w:bCs/>
          <w:color w:val="000000"/>
          <w:sz w:val="28"/>
          <w:szCs w:val="28"/>
          <w:lang w:val="zh-CN"/>
        </w:rPr>
        <w:t>（</w:t>
      </w:r>
      <w:r>
        <w:rPr>
          <w:rFonts w:hint="eastAsia" w:ascii="黑体" w:hAnsi="黑体" w:eastAsia="黑体"/>
          <w:b w:val="0"/>
          <w:bCs/>
          <w:color w:val="000000"/>
          <w:sz w:val="28"/>
          <w:szCs w:val="28"/>
        </w:rPr>
        <w:t>1</w:t>
      </w:r>
      <w:r>
        <w:rPr>
          <w:rFonts w:hint="eastAsia" w:ascii="黑体" w:hAnsi="黑体" w:eastAsia="黑体"/>
          <w:b w:val="0"/>
          <w:bCs/>
          <w:color w:val="000000"/>
          <w:sz w:val="28"/>
          <w:szCs w:val="28"/>
          <w:lang w:val="zh-CN"/>
        </w:rPr>
        <w:t>）</w:t>
      </w:r>
      <w:bookmarkEnd w:id="91"/>
    </w:p>
    <w:p w14:paraId="119B024C">
      <w:pPr>
        <w:pStyle w:val="3"/>
        <w:numPr>
          <w:ilvl w:val="0"/>
          <w:numId w:val="0"/>
        </w:numPr>
        <w:spacing w:line="276" w:lineRule="auto"/>
        <w:ind w:left="851" w:hanging="851"/>
        <w:jc w:val="center"/>
        <w:rPr>
          <w:b w:val="0"/>
          <w:bCs/>
          <w:sz w:val="36"/>
          <w:szCs w:val="36"/>
        </w:rPr>
      </w:pPr>
      <w:bookmarkStart w:id="92" w:name="_Toc27626"/>
      <w:r>
        <w:rPr>
          <w:rFonts w:hint="eastAsia" w:ascii="黑体" w:hAnsi="黑体" w:eastAsia="黑体"/>
          <w:b w:val="0"/>
          <w:bCs/>
          <w:color w:val="000000"/>
          <w:sz w:val="28"/>
          <w:szCs w:val="28"/>
        </w:rPr>
        <w:t>第（大写数字）轮报价一览表</w:t>
      </w:r>
      <w:bookmarkEnd w:id="90"/>
      <w:bookmarkEnd w:id="92"/>
    </w:p>
    <w:p w14:paraId="02B3C806">
      <w:pPr>
        <w:snapToGrid w:val="0"/>
        <w:spacing w:line="360" w:lineRule="auto"/>
        <w:rPr>
          <w:rFonts w:ascii="宋体" w:hAnsi="宋体" w:cs="宋体"/>
          <w:b/>
          <w:lang w:val="zh-CN"/>
        </w:rPr>
      </w:pPr>
      <w:r>
        <w:rPr>
          <w:rFonts w:hint="eastAsia" w:ascii="宋体" w:hAnsi="宋体" w:cs="宋体"/>
        </w:rPr>
        <w:t>项目名称：                                        项目编号：</w:t>
      </w:r>
      <w:r>
        <w:rPr>
          <w:rFonts w:hint="eastAsia" w:ascii="宋体" w:hAnsi="宋体" w:cs="宋体"/>
          <w:b/>
        </w:rPr>
        <w:t xml:space="preserve">                                                  </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0"/>
        <w:gridCol w:w="4056"/>
        <w:gridCol w:w="2321"/>
      </w:tblGrid>
      <w:tr w14:paraId="4D6E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1625" w:type="pct"/>
            <w:vAlign w:val="center"/>
          </w:tcPr>
          <w:p w14:paraId="460D3A50">
            <w:pPr>
              <w:snapToGrid w:val="0"/>
              <w:spacing w:line="360" w:lineRule="auto"/>
              <w:jc w:val="center"/>
              <w:rPr>
                <w:rFonts w:ascii="宋体" w:hAnsi="宋体" w:cs="宋体"/>
              </w:rPr>
            </w:pPr>
            <w:r>
              <w:rPr>
                <w:rFonts w:hint="eastAsia" w:ascii="宋体" w:hAnsi="宋体" w:cs="宋体"/>
              </w:rPr>
              <w:t>项目名称</w:t>
            </w:r>
          </w:p>
        </w:tc>
        <w:tc>
          <w:tcPr>
            <w:tcW w:w="2146" w:type="pct"/>
            <w:vAlign w:val="center"/>
          </w:tcPr>
          <w:p w14:paraId="0482E862">
            <w:pPr>
              <w:snapToGrid w:val="0"/>
              <w:spacing w:line="360" w:lineRule="auto"/>
              <w:jc w:val="center"/>
              <w:rPr>
                <w:rFonts w:ascii="宋体" w:hAnsi="宋体" w:cs="宋体"/>
              </w:rPr>
            </w:pPr>
            <w:r>
              <w:rPr>
                <w:rFonts w:hint="eastAsia" w:ascii="宋体" w:hAnsi="宋体" w:cs="宋体"/>
              </w:rPr>
              <w:t>投标总价（元）</w:t>
            </w:r>
          </w:p>
        </w:tc>
        <w:tc>
          <w:tcPr>
            <w:tcW w:w="1228" w:type="pct"/>
            <w:vAlign w:val="center"/>
          </w:tcPr>
          <w:p w14:paraId="2D19AF80">
            <w:pPr>
              <w:snapToGrid w:val="0"/>
              <w:spacing w:line="360" w:lineRule="auto"/>
              <w:jc w:val="center"/>
              <w:rPr>
                <w:rFonts w:ascii="宋体" w:hAnsi="宋体" w:cs="宋体"/>
              </w:rPr>
            </w:pPr>
            <w:r>
              <w:rPr>
                <w:rFonts w:hint="eastAsia" w:ascii="宋体" w:hAnsi="宋体" w:cs="宋体"/>
              </w:rPr>
              <w:t>备注</w:t>
            </w:r>
          </w:p>
        </w:tc>
      </w:tr>
      <w:tr w14:paraId="1D87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1625" w:type="pct"/>
            <w:vAlign w:val="center"/>
          </w:tcPr>
          <w:p w14:paraId="24700B21">
            <w:pPr>
              <w:snapToGrid w:val="0"/>
              <w:spacing w:line="360" w:lineRule="auto"/>
              <w:jc w:val="center"/>
              <w:rPr>
                <w:rFonts w:ascii="宋体" w:hAnsi="宋体" w:cs="宋体"/>
              </w:rPr>
            </w:pPr>
          </w:p>
        </w:tc>
        <w:tc>
          <w:tcPr>
            <w:tcW w:w="2146" w:type="pct"/>
            <w:vAlign w:val="center"/>
          </w:tcPr>
          <w:p w14:paraId="7967AEF3">
            <w:pPr>
              <w:snapToGrid w:val="0"/>
              <w:spacing w:line="360" w:lineRule="auto"/>
              <w:jc w:val="both"/>
              <w:rPr>
                <w:rFonts w:ascii="宋体" w:hAnsi="宋体" w:cs="宋体"/>
                <w:u w:val="single"/>
              </w:rPr>
            </w:pPr>
            <w:r>
              <w:rPr>
                <w:rFonts w:hint="eastAsia" w:ascii="宋体" w:hAnsi="宋体" w:cs="宋体"/>
              </w:rPr>
              <w:t>大写：</w:t>
            </w:r>
            <w:r>
              <w:rPr>
                <w:rFonts w:hint="eastAsia" w:ascii="宋体" w:hAnsi="宋体" w:cs="宋体"/>
                <w:u w:val="single"/>
              </w:rPr>
              <w:t xml:space="preserve">                </w:t>
            </w:r>
          </w:p>
          <w:p w14:paraId="19AFA8CD">
            <w:pPr>
              <w:pStyle w:val="20"/>
            </w:pPr>
            <w:r>
              <w:rPr>
                <w:rFonts w:hint="eastAsia" w:cs="宋体"/>
                <w:b w:val="0"/>
                <w:bCs w:val="0"/>
                <w:szCs w:val="22"/>
              </w:rPr>
              <w:t>小写：</w:t>
            </w:r>
            <w:r>
              <w:rPr>
                <w:rFonts w:hint="eastAsia" w:cs="宋体"/>
                <w:b w:val="0"/>
                <w:bCs w:val="0"/>
                <w:szCs w:val="22"/>
                <w:u w:val="single"/>
              </w:rPr>
              <w:t xml:space="preserve">                </w:t>
            </w:r>
          </w:p>
        </w:tc>
        <w:tc>
          <w:tcPr>
            <w:tcW w:w="1228" w:type="pct"/>
            <w:vAlign w:val="center"/>
          </w:tcPr>
          <w:p w14:paraId="02EB7227">
            <w:pPr>
              <w:snapToGrid w:val="0"/>
              <w:spacing w:line="360" w:lineRule="auto"/>
              <w:jc w:val="center"/>
              <w:rPr>
                <w:rFonts w:ascii="宋体" w:hAnsi="宋体" w:cs="宋体"/>
                <w:u w:val="single"/>
              </w:rPr>
            </w:pPr>
          </w:p>
        </w:tc>
      </w:tr>
    </w:tbl>
    <w:p w14:paraId="6000104B">
      <w:pPr>
        <w:snapToGrid w:val="0"/>
        <w:spacing w:line="360" w:lineRule="auto"/>
        <w:ind w:left="480"/>
        <w:rPr>
          <w:rFonts w:ascii="宋体" w:hAnsi="宋体" w:cs="宋体"/>
          <w:lang w:val="zh-CN"/>
        </w:rPr>
      </w:pPr>
    </w:p>
    <w:p w14:paraId="7D7DE97B">
      <w:pPr>
        <w:snapToGrid w:val="0"/>
        <w:spacing w:line="360" w:lineRule="auto"/>
        <w:ind w:left="480"/>
        <w:rPr>
          <w:rFonts w:ascii="宋体" w:hAnsi="宋体" w:cs="宋体"/>
          <w:lang w:val="zh-CN"/>
        </w:rPr>
      </w:pPr>
      <w:r>
        <w:rPr>
          <w:rFonts w:hint="eastAsia" w:ascii="宋体" w:hAnsi="宋体" w:cs="宋体"/>
          <w:lang w:val="zh-CN"/>
        </w:rPr>
        <w:t>注：</w:t>
      </w:r>
    </w:p>
    <w:p w14:paraId="62730486">
      <w:pPr>
        <w:spacing w:line="360" w:lineRule="auto"/>
        <w:ind w:firstLine="440" w:firstLineChars="200"/>
        <w:rPr>
          <w:rFonts w:ascii="宋体" w:hAnsi="宋体" w:cs="宋体"/>
        </w:rPr>
      </w:pPr>
      <w:r>
        <w:rPr>
          <w:rFonts w:hint="eastAsia" w:ascii="宋体" w:hAnsi="宋体" w:cs="宋体"/>
        </w:rPr>
        <w:t>1.本表投标总价必须与报价明细表中“合计总价”一致。</w:t>
      </w:r>
    </w:p>
    <w:p w14:paraId="718177CC">
      <w:pPr>
        <w:spacing w:line="360" w:lineRule="auto"/>
        <w:ind w:firstLine="440" w:firstLineChars="200"/>
        <w:rPr>
          <w:rFonts w:ascii="宋体" w:hAnsi="宋体" w:cs="宋体"/>
        </w:rPr>
      </w:pPr>
      <w:r>
        <w:rPr>
          <w:rFonts w:hint="eastAsia" w:ascii="宋体" w:hAnsi="宋体" w:cs="宋体"/>
        </w:rPr>
        <w:t>2.供应商报价超过预算金额或最高限价的作无效响应处理。</w:t>
      </w:r>
    </w:p>
    <w:p w14:paraId="0EDDB543">
      <w:pPr>
        <w:spacing w:line="360" w:lineRule="auto"/>
        <w:ind w:firstLine="440" w:firstLineChars="200"/>
        <w:rPr>
          <w:rFonts w:ascii="宋体" w:hAnsi="宋体" w:cs="宋体"/>
        </w:rPr>
      </w:pPr>
      <w:r>
        <w:rPr>
          <w:rFonts w:hint="eastAsia" w:ascii="宋体" w:hAnsi="宋体" w:cs="宋体"/>
        </w:rPr>
        <w:t>3.本附件必须提供，不得自行增减内容。不提供此表格将被视为没有实质性响应磋商文件。</w:t>
      </w:r>
    </w:p>
    <w:p w14:paraId="6A7F9165">
      <w:pPr>
        <w:spacing w:line="360" w:lineRule="auto"/>
        <w:ind w:firstLine="440" w:firstLineChars="200"/>
        <w:rPr>
          <w:rFonts w:ascii="宋体" w:hAnsi="宋体" w:cs="宋体"/>
        </w:rPr>
      </w:pPr>
      <w:r>
        <w:rPr>
          <w:rFonts w:hint="eastAsia" w:ascii="宋体" w:hAnsi="宋体" w:cs="宋体"/>
        </w:rPr>
        <w:t>4.供应商在线提交最终报价时，本表须作为附件上传，否则视作响应无效。</w:t>
      </w:r>
    </w:p>
    <w:p w14:paraId="3AF9C987">
      <w:pPr>
        <w:spacing w:line="460" w:lineRule="exact"/>
        <w:rPr>
          <w:rFonts w:ascii="宋体" w:hAnsi="宋体" w:cs="宋体"/>
          <w:b/>
          <w:bCs/>
          <w:color w:val="000000"/>
        </w:rPr>
      </w:pPr>
    </w:p>
    <w:p w14:paraId="1BB500DC">
      <w:pPr>
        <w:spacing w:line="460" w:lineRule="exact"/>
        <w:rPr>
          <w:rFonts w:ascii="宋体" w:hAnsi="宋体" w:cs="宋体"/>
          <w:b/>
          <w:bCs/>
          <w:color w:val="000000"/>
        </w:rPr>
      </w:pPr>
    </w:p>
    <w:p w14:paraId="09EEAFF9">
      <w:pPr>
        <w:spacing w:line="460" w:lineRule="exact"/>
        <w:rPr>
          <w:rFonts w:ascii="宋体" w:hAnsi="宋体" w:cs="宋体"/>
          <w:bCs/>
          <w:color w:val="000000"/>
        </w:rPr>
      </w:pPr>
      <w:r>
        <w:rPr>
          <w:rFonts w:hint="eastAsia" w:ascii="宋体" w:hAnsi="宋体" w:cs="宋体"/>
          <w:color w:val="000000"/>
          <w:lang w:val="zh-CN"/>
        </w:rPr>
        <w:t>投标供应商（盖章）：</w:t>
      </w:r>
    </w:p>
    <w:p w14:paraId="24E191D7">
      <w:pPr>
        <w:spacing w:line="460" w:lineRule="exact"/>
        <w:rPr>
          <w:rFonts w:ascii="宋体" w:hAnsi="宋体" w:cs="宋体"/>
          <w:bCs/>
          <w:color w:val="000000"/>
        </w:rPr>
      </w:pPr>
      <w:r>
        <w:rPr>
          <w:rFonts w:hint="eastAsia" w:ascii="宋体" w:hAnsi="宋体" w:cs="宋体"/>
          <w:bCs/>
          <w:color w:val="000000"/>
        </w:rPr>
        <w:t>法定代表人或授权代表（签字或盖章）：</w:t>
      </w:r>
    </w:p>
    <w:p w14:paraId="7CA4A949">
      <w:pPr>
        <w:spacing w:line="460" w:lineRule="exact"/>
        <w:rPr>
          <w:rFonts w:ascii="宋体" w:hAnsi="宋体" w:cs="宋体"/>
          <w:bCs/>
          <w:color w:val="000000"/>
        </w:rPr>
      </w:pPr>
      <w:r>
        <w:rPr>
          <w:rFonts w:hint="eastAsia" w:ascii="宋体" w:hAnsi="宋体" w:cs="宋体"/>
          <w:bCs/>
          <w:color w:val="000000"/>
        </w:rPr>
        <w:t>日期：</w:t>
      </w:r>
    </w:p>
    <w:p w14:paraId="53FF60F6">
      <w:pPr>
        <w:pStyle w:val="3"/>
        <w:numPr>
          <w:ilvl w:val="0"/>
          <w:numId w:val="0"/>
        </w:numPr>
        <w:spacing w:line="276" w:lineRule="auto"/>
        <w:jc w:val="center"/>
        <w:rPr>
          <w:rFonts w:ascii="黑体" w:hAnsi="黑体" w:eastAsia="黑体"/>
          <w:b w:val="0"/>
          <w:bCs/>
          <w:color w:val="000000"/>
          <w:sz w:val="28"/>
          <w:szCs w:val="28"/>
        </w:rPr>
        <w:sectPr>
          <w:pgSz w:w="11906" w:h="16838"/>
          <w:pgMar w:top="1588" w:right="1248" w:bottom="1134" w:left="1418" w:header="680" w:footer="992" w:gutter="0"/>
          <w:cols w:space="720" w:num="1"/>
          <w:docGrid w:type="lines" w:linePitch="312" w:charSpace="0"/>
        </w:sectPr>
      </w:pPr>
      <w:bookmarkStart w:id="93" w:name="_Toc2362"/>
      <w:bookmarkStart w:id="94" w:name="_Toc45140210"/>
      <w:bookmarkStart w:id="95" w:name="_Toc12403"/>
      <w:bookmarkStart w:id="96" w:name="_Toc45140209"/>
    </w:p>
    <w:p w14:paraId="0737988F">
      <w:pPr>
        <w:pStyle w:val="3"/>
        <w:numPr>
          <w:ilvl w:val="0"/>
          <w:numId w:val="0"/>
        </w:numPr>
        <w:spacing w:line="276" w:lineRule="auto"/>
        <w:rPr>
          <w:rFonts w:ascii="黑体" w:hAnsi="黑体" w:eastAsia="黑体"/>
          <w:b w:val="0"/>
          <w:bCs/>
          <w:color w:val="000000"/>
          <w:sz w:val="28"/>
          <w:szCs w:val="28"/>
        </w:rPr>
      </w:pPr>
      <w:bookmarkStart w:id="97" w:name="_Toc3853"/>
      <w:r>
        <w:rPr>
          <w:rFonts w:hint="eastAsia" w:ascii="黑体" w:hAnsi="黑体" w:eastAsia="黑体"/>
          <w:b w:val="0"/>
          <w:bCs/>
          <w:color w:val="000000"/>
          <w:sz w:val="28"/>
          <w:szCs w:val="28"/>
        </w:rPr>
        <w:t>附件二（2）</w:t>
      </w:r>
      <w:bookmarkEnd w:id="97"/>
    </w:p>
    <w:p w14:paraId="7AE45B98">
      <w:pPr>
        <w:tabs>
          <w:tab w:val="left" w:pos="432"/>
        </w:tabs>
        <w:jc w:val="center"/>
        <w:rPr>
          <w:rFonts w:ascii="仿宋" w:hAnsi="仿宋" w:eastAsia="仿宋" w:cs="仿宋"/>
          <w:b/>
          <w:bCs/>
          <w:kern w:val="2"/>
          <w:sz w:val="32"/>
          <w:szCs w:val="32"/>
        </w:rPr>
      </w:pPr>
      <w:r>
        <w:rPr>
          <w:rFonts w:hint="eastAsia" w:ascii="仿宋" w:hAnsi="仿宋" w:eastAsia="仿宋" w:cs="仿宋"/>
          <w:b/>
          <w:bCs/>
          <w:kern w:val="2"/>
          <w:sz w:val="32"/>
          <w:szCs w:val="32"/>
        </w:rPr>
        <w:t>报价明细表</w:t>
      </w:r>
    </w:p>
    <w:p w14:paraId="259AD885">
      <w:pPr>
        <w:spacing w:line="360" w:lineRule="exact"/>
        <w:ind w:firstLine="458" w:firstLineChars="191"/>
        <w:rPr>
          <w:rFonts w:ascii="仿宋" w:hAnsi="仿宋" w:eastAsia="仿宋" w:cs="仿宋"/>
          <w:sz w:val="24"/>
          <w:szCs w:val="24"/>
        </w:rPr>
      </w:pPr>
    </w:p>
    <w:p w14:paraId="40713B5C">
      <w:pPr>
        <w:spacing w:line="360" w:lineRule="exact"/>
        <w:rPr>
          <w:rFonts w:ascii="宋体" w:hAnsi="宋体" w:cs="宋体"/>
        </w:rPr>
      </w:pPr>
      <w:r>
        <w:rPr>
          <w:rFonts w:hint="eastAsia" w:ascii="宋体" w:hAnsi="宋体" w:cs="宋体"/>
        </w:rPr>
        <w:t xml:space="preserve">项目名称：                                                项目编号： </w:t>
      </w:r>
    </w:p>
    <w:tbl>
      <w:tblPr>
        <w:tblStyle w:val="29"/>
        <w:tblW w:w="5105" w:type="pct"/>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957"/>
        <w:gridCol w:w="2394"/>
        <w:gridCol w:w="2040"/>
        <w:gridCol w:w="2205"/>
      </w:tblGrid>
      <w:tr w14:paraId="6A9A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48" w:type="pct"/>
            <w:vAlign w:val="center"/>
          </w:tcPr>
          <w:p w14:paraId="52FF187B">
            <w:pPr>
              <w:spacing w:line="360" w:lineRule="auto"/>
              <w:jc w:val="center"/>
              <w:rPr>
                <w:rFonts w:ascii="宋体" w:hAnsi="宋体" w:cs="宋体"/>
              </w:rPr>
            </w:pPr>
            <w:r>
              <w:rPr>
                <w:rFonts w:hint="eastAsia" w:ascii="宋体" w:hAnsi="宋体" w:cs="宋体"/>
              </w:rPr>
              <w:t>序号</w:t>
            </w:r>
          </w:p>
        </w:tc>
        <w:tc>
          <w:tcPr>
            <w:tcW w:w="1012" w:type="pct"/>
            <w:vAlign w:val="center"/>
          </w:tcPr>
          <w:p w14:paraId="1F5AFB48">
            <w:pPr>
              <w:spacing w:line="360" w:lineRule="auto"/>
              <w:jc w:val="center"/>
              <w:rPr>
                <w:rFonts w:ascii="宋体" w:hAnsi="宋体" w:cs="宋体"/>
              </w:rPr>
            </w:pPr>
            <w:r>
              <w:rPr>
                <w:rFonts w:hint="eastAsia" w:ascii="宋体" w:hAnsi="宋体" w:cs="宋体"/>
              </w:rPr>
              <w:t>工作内容</w:t>
            </w:r>
          </w:p>
        </w:tc>
        <w:tc>
          <w:tcPr>
            <w:tcW w:w="1239" w:type="pct"/>
            <w:vAlign w:val="center"/>
          </w:tcPr>
          <w:p w14:paraId="0066AF69">
            <w:pPr>
              <w:spacing w:line="360" w:lineRule="auto"/>
              <w:jc w:val="center"/>
              <w:rPr>
                <w:rFonts w:ascii="宋体" w:hAnsi="宋体" w:cs="宋体"/>
              </w:rPr>
            </w:pPr>
            <w:r>
              <w:rPr>
                <w:rFonts w:hint="eastAsia" w:ascii="宋体" w:hAnsi="宋体" w:cs="宋体"/>
              </w:rPr>
              <w:t>投标报价（元）</w:t>
            </w:r>
          </w:p>
        </w:tc>
        <w:tc>
          <w:tcPr>
            <w:tcW w:w="1056" w:type="pct"/>
            <w:vAlign w:val="center"/>
          </w:tcPr>
          <w:p w14:paraId="7E63EFBC">
            <w:pPr>
              <w:spacing w:line="360" w:lineRule="auto"/>
              <w:jc w:val="center"/>
              <w:rPr>
                <w:rFonts w:ascii="宋体" w:hAnsi="宋体" w:cs="宋体"/>
              </w:rPr>
            </w:pPr>
            <w:r>
              <w:rPr>
                <w:rFonts w:hint="eastAsia" w:ascii="宋体" w:hAnsi="宋体" w:cs="宋体"/>
              </w:rPr>
              <w:t>最高限价（元）</w:t>
            </w:r>
          </w:p>
        </w:tc>
        <w:tc>
          <w:tcPr>
            <w:tcW w:w="1141" w:type="pct"/>
            <w:vAlign w:val="center"/>
          </w:tcPr>
          <w:p w14:paraId="5AF10006">
            <w:pPr>
              <w:spacing w:line="360" w:lineRule="auto"/>
              <w:jc w:val="center"/>
              <w:rPr>
                <w:rFonts w:ascii="宋体" w:hAnsi="宋体" w:cs="宋体"/>
              </w:rPr>
            </w:pPr>
            <w:r>
              <w:rPr>
                <w:rFonts w:hint="eastAsia" w:ascii="宋体" w:hAnsi="宋体" w:cs="宋体"/>
              </w:rPr>
              <w:t>备注</w:t>
            </w:r>
          </w:p>
        </w:tc>
      </w:tr>
      <w:tr w14:paraId="4B8B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48" w:type="pct"/>
            <w:vAlign w:val="center"/>
          </w:tcPr>
          <w:p w14:paraId="504374C7">
            <w:pPr>
              <w:spacing w:line="360" w:lineRule="auto"/>
              <w:jc w:val="center"/>
              <w:rPr>
                <w:rFonts w:ascii="宋体" w:hAnsi="宋体" w:cs="宋体"/>
              </w:rPr>
            </w:pPr>
            <w:r>
              <w:rPr>
                <w:rFonts w:hint="eastAsia" w:ascii="宋体" w:hAnsi="宋体" w:cs="宋体"/>
              </w:rPr>
              <w:t>1</w:t>
            </w:r>
          </w:p>
        </w:tc>
        <w:tc>
          <w:tcPr>
            <w:tcW w:w="1012" w:type="pct"/>
            <w:vAlign w:val="center"/>
          </w:tcPr>
          <w:p w14:paraId="46E3D587">
            <w:pPr>
              <w:spacing w:line="360" w:lineRule="auto"/>
              <w:jc w:val="center"/>
              <w:rPr>
                <w:rFonts w:ascii="宋体" w:hAnsi="宋体" w:cs="宋体"/>
              </w:rPr>
            </w:pPr>
            <w:r>
              <w:rPr>
                <w:rFonts w:hint="eastAsia" w:ascii="宋体" w:hAnsi="宋体" w:cs="宋体"/>
              </w:rPr>
              <w:t>监理（施工监理与环境监理）</w:t>
            </w:r>
          </w:p>
        </w:tc>
        <w:tc>
          <w:tcPr>
            <w:tcW w:w="1239" w:type="pct"/>
            <w:vAlign w:val="center"/>
          </w:tcPr>
          <w:p w14:paraId="2D8370B7">
            <w:pPr>
              <w:spacing w:line="360" w:lineRule="auto"/>
              <w:jc w:val="center"/>
              <w:rPr>
                <w:rFonts w:ascii="宋体" w:hAnsi="宋体" w:cs="宋体"/>
              </w:rPr>
            </w:pPr>
          </w:p>
        </w:tc>
        <w:tc>
          <w:tcPr>
            <w:tcW w:w="1056" w:type="pct"/>
            <w:vAlign w:val="center"/>
          </w:tcPr>
          <w:p w14:paraId="2687D9B3">
            <w:pPr>
              <w:tabs>
                <w:tab w:val="left" w:pos="600"/>
              </w:tabs>
              <w:snapToGrid w:val="0"/>
              <w:spacing w:line="440" w:lineRule="exact"/>
              <w:jc w:val="center"/>
              <w:rPr>
                <w:rFonts w:ascii="宋体" w:hAnsi="宋体" w:cs="宋体"/>
              </w:rPr>
            </w:pPr>
            <w:r>
              <w:rPr>
                <w:rFonts w:hint="eastAsia" w:ascii="宋体" w:hAnsi="宋体" w:cs="宋体"/>
              </w:rPr>
              <w:t>415848</w:t>
            </w:r>
          </w:p>
        </w:tc>
        <w:tc>
          <w:tcPr>
            <w:tcW w:w="1141" w:type="pct"/>
            <w:vAlign w:val="center"/>
          </w:tcPr>
          <w:p w14:paraId="44B76ADD">
            <w:pPr>
              <w:spacing w:line="360" w:lineRule="auto"/>
              <w:jc w:val="center"/>
              <w:rPr>
                <w:rFonts w:ascii="宋体" w:hAnsi="宋体" w:cs="宋体"/>
                <w:bCs/>
              </w:rPr>
            </w:pPr>
          </w:p>
        </w:tc>
      </w:tr>
      <w:tr w14:paraId="1744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48" w:type="pct"/>
            <w:vAlign w:val="center"/>
          </w:tcPr>
          <w:p w14:paraId="40FB6DBF">
            <w:pPr>
              <w:spacing w:line="360" w:lineRule="auto"/>
              <w:jc w:val="center"/>
              <w:rPr>
                <w:rFonts w:ascii="宋体" w:hAnsi="宋体" w:cs="宋体"/>
              </w:rPr>
            </w:pPr>
            <w:r>
              <w:rPr>
                <w:rFonts w:hint="eastAsia" w:ascii="宋体" w:hAnsi="宋体" w:cs="宋体"/>
              </w:rPr>
              <w:t>2</w:t>
            </w:r>
          </w:p>
        </w:tc>
        <w:tc>
          <w:tcPr>
            <w:tcW w:w="1012" w:type="pct"/>
            <w:vAlign w:val="center"/>
          </w:tcPr>
          <w:p w14:paraId="08AE06B1">
            <w:pPr>
              <w:spacing w:line="360" w:lineRule="auto"/>
              <w:jc w:val="center"/>
              <w:rPr>
                <w:rFonts w:ascii="宋体" w:hAnsi="宋体" w:cs="宋体"/>
              </w:rPr>
            </w:pPr>
            <w:r>
              <w:rPr>
                <w:rFonts w:hint="eastAsia" w:ascii="宋体" w:hAnsi="宋体" w:cs="宋体"/>
              </w:rPr>
              <w:t>全过程造价咨询</w:t>
            </w:r>
          </w:p>
        </w:tc>
        <w:tc>
          <w:tcPr>
            <w:tcW w:w="1239" w:type="pct"/>
            <w:vAlign w:val="center"/>
          </w:tcPr>
          <w:p w14:paraId="174360A9">
            <w:pPr>
              <w:spacing w:line="360" w:lineRule="auto"/>
              <w:jc w:val="center"/>
              <w:rPr>
                <w:rFonts w:ascii="宋体" w:hAnsi="宋体" w:cs="宋体"/>
              </w:rPr>
            </w:pPr>
          </w:p>
        </w:tc>
        <w:tc>
          <w:tcPr>
            <w:tcW w:w="1056" w:type="pct"/>
            <w:vAlign w:val="center"/>
          </w:tcPr>
          <w:p w14:paraId="0EDFFB41">
            <w:pPr>
              <w:tabs>
                <w:tab w:val="left" w:pos="600"/>
              </w:tabs>
              <w:snapToGrid w:val="0"/>
              <w:spacing w:line="440" w:lineRule="exact"/>
              <w:jc w:val="center"/>
              <w:rPr>
                <w:rFonts w:ascii="宋体" w:hAnsi="宋体" w:cs="宋体"/>
              </w:rPr>
            </w:pPr>
            <w:r>
              <w:rPr>
                <w:rFonts w:hint="eastAsia" w:ascii="宋体" w:hAnsi="宋体" w:cs="宋体"/>
              </w:rPr>
              <w:t>104152</w:t>
            </w:r>
          </w:p>
        </w:tc>
        <w:tc>
          <w:tcPr>
            <w:tcW w:w="1141" w:type="pct"/>
            <w:vAlign w:val="center"/>
          </w:tcPr>
          <w:p w14:paraId="41B6A782">
            <w:pPr>
              <w:spacing w:line="360" w:lineRule="auto"/>
              <w:jc w:val="center"/>
              <w:rPr>
                <w:rFonts w:ascii="宋体" w:hAnsi="宋体" w:cs="宋体"/>
                <w:bCs/>
              </w:rPr>
            </w:pPr>
          </w:p>
        </w:tc>
      </w:tr>
      <w:tr w14:paraId="11B4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61" w:type="pct"/>
            <w:gridSpan w:val="2"/>
            <w:vAlign w:val="center"/>
          </w:tcPr>
          <w:p w14:paraId="4BCD2D1C">
            <w:pPr>
              <w:spacing w:line="360" w:lineRule="auto"/>
              <w:jc w:val="center"/>
              <w:rPr>
                <w:rFonts w:ascii="宋体" w:hAnsi="宋体" w:cs="宋体"/>
              </w:rPr>
            </w:pPr>
            <w:r>
              <w:rPr>
                <w:rFonts w:hint="eastAsia" w:ascii="宋体" w:hAnsi="宋体" w:cs="宋体"/>
              </w:rPr>
              <w:t>合计总价（元）</w:t>
            </w:r>
          </w:p>
        </w:tc>
        <w:tc>
          <w:tcPr>
            <w:tcW w:w="1239" w:type="pct"/>
            <w:vAlign w:val="center"/>
          </w:tcPr>
          <w:p w14:paraId="19485820">
            <w:pPr>
              <w:spacing w:line="360" w:lineRule="auto"/>
              <w:jc w:val="center"/>
              <w:rPr>
                <w:rFonts w:ascii="宋体" w:hAnsi="宋体" w:cs="宋体"/>
              </w:rPr>
            </w:pPr>
          </w:p>
        </w:tc>
        <w:tc>
          <w:tcPr>
            <w:tcW w:w="1056" w:type="pct"/>
            <w:vAlign w:val="center"/>
          </w:tcPr>
          <w:p w14:paraId="07698C02">
            <w:pPr>
              <w:tabs>
                <w:tab w:val="left" w:pos="600"/>
              </w:tabs>
              <w:snapToGrid w:val="0"/>
              <w:spacing w:line="440" w:lineRule="exact"/>
              <w:jc w:val="center"/>
              <w:rPr>
                <w:rFonts w:ascii="宋体" w:hAnsi="宋体" w:cs="宋体"/>
              </w:rPr>
            </w:pPr>
            <w:r>
              <w:rPr>
                <w:rFonts w:hint="eastAsia" w:ascii="宋体" w:hAnsi="宋体" w:cs="宋体"/>
              </w:rPr>
              <w:t>520000</w:t>
            </w:r>
          </w:p>
        </w:tc>
        <w:tc>
          <w:tcPr>
            <w:tcW w:w="1141" w:type="pct"/>
            <w:vAlign w:val="center"/>
          </w:tcPr>
          <w:p w14:paraId="772CEE08">
            <w:pPr>
              <w:spacing w:line="360" w:lineRule="auto"/>
              <w:jc w:val="center"/>
              <w:rPr>
                <w:rFonts w:ascii="宋体" w:hAnsi="宋体" w:cs="宋体"/>
              </w:rPr>
            </w:pPr>
          </w:p>
        </w:tc>
      </w:tr>
    </w:tbl>
    <w:p w14:paraId="5AE247AE">
      <w:pPr>
        <w:spacing w:line="360" w:lineRule="exact"/>
        <w:ind w:firstLine="420" w:firstLineChars="191"/>
        <w:rPr>
          <w:rFonts w:ascii="宋体" w:hAnsi="宋体" w:cs="宋体"/>
        </w:rPr>
      </w:pPr>
      <w:r>
        <w:rPr>
          <w:rFonts w:hint="eastAsia" w:ascii="宋体" w:hAnsi="宋体" w:cs="宋体"/>
        </w:rPr>
        <w:t>注：</w:t>
      </w:r>
    </w:p>
    <w:p w14:paraId="35E4B8E0">
      <w:pPr>
        <w:spacing w:line="360" w:lineRule="exact"/>
        <w:ind w:firstLine="420" w:firstLineChars="191"/>
        <w:rPr>
          <w:rFonts w:ascii="宋体" w:hAnsi="宋体" w:cs="宋体"/>
        </w:rPr>
      </w:pPr>
      <w:r>
        <w:rPr>
          <w:rFonts w:hint="eastAsia" w:ascii="宋体" w:hAnsi="宋体" w:cs="宋体"/>
        </w:rPr>
        <w:t>1.未提供报价明细表将视为没有实质性响应磋商文件；</w:t>
      </w:r>
    </w:p>
    <w:p w14:paraId="22953AF9">
      <w:pPr>
        <w:ind w:firstLine="440" w:firstLineChars="200"/>
        <w:rPr>
          <w:rFonts w:ascii="宋体" w:hAnsi="宋体" w:cs="宋体"/>
        </w:rPr>
      </w:pPr>
      <w:r>
        <w:rPr>
          <w:rFonts w:hint="eastAsia" w:ascii="宋体" w:hAnsi="宋体" w:cs="宋体"/>
        </w:rPr>
        <w:t>2.本表中“合计总价”应与“附件二（1）”中投标总价相一致。</w:t>
      </w:r>
    </w:p>
    <w:p w14:paraId="520434E1">
      <w:pPr>
        <w:spacing w:line="360" w:lineRule="auto"/>
        <w:ind w:firstLine="440" w:firstLineChars="200"/>
        <w:rPr>
          <w:rFonts w:ascii="宋体" w:hAnsi="宋体" w:cs="宋体"/>
        </w:rPr>
      </w:pPr>
      <w:r>
        <w:rPr>
          <w:rFonts w:hint="eastAsia" w:ascii="宋体" w:hAnsi="宋体" w:cs="宋体"/>
        </w:rPr>
        <w:t xml:space="preserve">3.本附件必须提供，可自行增减行。 </w:t>
      </w:r>
    </w:p>
    <w:p w14:paraId="066D6E17">
      <w:pPr>
        <w:pStyle w:val="3"/>
        <w:numPr>
          <w:ilvl w:val="0"/>
          <w:numId w:val="0"/>
        </w:numPr>
        <w:spacing w:line="276" w:lineRule="auto"/>
        <w:jc w:val="center"/>
        <w:rPr>
          <w:rFonts w:ascii="宋体" w:hAnsi="宋体" w:cs="宋体"/>
          <w:b w:val="0"/>
          <w:bCs/>
          <w:color w:val="000000"/>
          <w:sz w:val="22"/>
        </w:rPr>
      </w:pPr>
    </w:p>
    <w:p w14:paraId="2F250D5F">
      <w:pPr>
        <w:spacing w:line="460" w:lineRule="exact"/>
        <w:rPr>
          <w:rFonts w:ascii="宋体" w:hAnsi="宋体" w:cs="宋体"/>
          <w:bCs/>
          <w:color w:val="000000"/>
        </w:rPr>
      </w:pPr>
      <w:r>
        <w:rPr>
          <w:rFonts w:hint="eastAsia" w:ascii="宋体" w:hAnsi="宋体" w:cs="宋体"/>
          <w:color w:val="000000"/>
          <w:lang w:val="zh-CN"/>
        </w:rPr>
        <w:t>投标供应商（盖章）：</w:t>
      </w:r>
    </w:p>
    <w:p w14:paraId="3B7EC503">
      <w:pPr>
        <w:spacing w:line="460" w:lineRule="exact"/>
        <w:rPr>
          <w:rFonts w:ascii="宋体" w:hAnsi="宋体" w:cs="宋体"/>
          <w:bCs/>
          <w:color w:val="000000"/>
        </w:rPr>
      </w:pPr>
      <w:r>
        <w:rPr>
          <w:rFonts w:hint="eastAsia" w:ascii="宋体" w:hAnsi="宋体" w:cs="宋体"/>
          <w:bCs/>
          <w:color w:val="000000"/>
        </w:rPr>
        <w:t>法定代表人或授权代表（签字或盖章）：</w:t>
      </w:r>
    </w:p>
    <w:p w14:paraId="0958D338">
      <w:pPr>
        <w:spacing w:line="460" w:lineRule="exact"/>
        <w:rPr>
          <w:rFonts w:ascii="宋体" w:hAnsi="宋体" w:cs="宋体"/>
          <w:bCs/>
          <w:color w:val="000000"/>
        </w:rPr>
      </w:pPr>
      <w:r>
        <w:rPr>
          <w:rFonts w:hint="eastAsia" w:ascii="宋体" w:hAnsi="宋体" w:cs="宋体"/>
          <w:bCs/>
          <w:color w:val="000000"/>
        </w:rPr>
        <w:t>日期：</w:t>
      </w:r>
    </w:p>
    <w:p w14:paraId="2FABB7A1">
      <w:pPr>
        <w:rPr>
          <w:rFonts w:ascii="黑体" w:hAnsi="黑体" w:eastAsia="黑体"/>
          <w:bCs/>
          <w:color w:val="000000"/>
          <w:sz w:val="28"/>
          <w:szCs w:val="28"/>
        </w:rPr>
      </w:pPr>
    </w:p>
    <w:p w14:paraId="69B05C60">
      <w:pPr>
        <w:pStyle w:val="20"/>
        <w:rPr>
          <w:rFonts w:ascii="黑体" w:hAnsi="黑体" w:eastAsia="黑体"/>
          <w:b w:val="0"/>
          <w:color w:val="000000"/>
          <w:sz w:val="28"/>
          <w:szCs w:val="28"/>
        </w:rPr>
      </w:pPr>
    </w:p>
    <w:p w14:paraId="2DD4B441">
      <w:pPr>
        <w:rPr>
          <w:rFonts w:ascii="黑体" w:hAnsi="黑体" w:eastAsia="黑体"/>
          <w:bCs/>
          <w:color w:val="000000"/>
          <w:sz w:val="28"/>
          <w:szCs w:val="28"/>
        </w:rPr>
      </w:pPr>
    </w:p>
    <w:p w14:paraId="5413F23C">
      <w:pPr>
        <w:pStyle w:val="20"/>
        <w:rPr>
          <w:rFonts w:ascii="黑体" w:hAnsi="黑体" w:eastAsia="黑体"/>
          <w:b w:val="0"/>
          <w:color w:val="000000"/>
          <w:sz w:val="28"/>
          <w:szCs w:val="28"/>
        </w:rPr>
      </w:pPr>
    </w:p>
    <w:p w14:paraId="1C40D2B9">
      <w:pPr>
        <w:rPr>
          <w:rFonts w:ascii="黑体" w:hAnsi="黑体" w:eastAsia="黑体"/>
          <w:bCs/>
          <w:color w:val="000000"/>
          <w:sz w:val="28"/>
          <w:szCs w:val="28"/>
        </w:rPr>
      </w:pPr>
    </w:p>
    <w:p w14:paraId="7DE0BE66">
      <w:pPr>
        <w:pStyle w:val="20"/>
        <w:rPr>
          <w:rFonts w:ascii="黑体" w:hAnsi="黑体" w:eastAsia="黑体"/>
          <w:b w:val="0"/>
          <w:color w:val="000000"/>
          <w:sz w:val="28"/>
          <w:szCs w:val="28"/>
        </w:rPr>
      </w:pPr>
    </w:p>
    <w:p w14:paraId="31F53BED">
      <w:pPr>
        <w:rPr>
          <w:rFonts w:ascii="黑体" w:hAnsi="黑体" w:eastAsia="黑体"/>
          <w:bCs/>
          <w:color w:val="000000"/>
          <w:sz w:val="28"/>
          <w:szCs w:val="28"/>
        </w:rPr>
      </w:pPr>
    </w:p>
    <w:p w14:paraId="2808CA17">
      <w:pPr>
        <w:pStyle w:val="20"/>
        <w:rPr>
          <w:rFonts w:ascii="黑体" w:hAnsi="黑体" w:eastAsia="黑体"/>
          <w:b w:val="0"/>
          <w:color w:val="000000"/>
          <w:sz w:val="28"/>
          <w:szCs w:val="28"/>
        </w:rPr>
      </w:pPr>
    </w:p>
    <w:p w14:paraId="743DA9C5">
      <w:pPr>
        <w:pStyle w:val="20"/>
      </w:pPr>
    </w:p>
    <w:p w14:paraId="7CA6ED76">
      <w:pPr>
        <w:pStyle w:val="3"/>
        <w:numPr>
          <w:ilvl w:val="0"/>
          <w:numId w:val="0"/>
        </w:numPr>
        <w:spacing w:line="276" w:lineRule="auto"/>
        <w:jc w:val="both"/>
        <w:rPr>
          <w:rFonts w:hAnsi="宋体" w:cs="Arial"/>
          <w:b w:val="0"/>
          <w:bCs/>
          <w:color w:val="000000"/>
          <w:sz w:val="36"/>
          <w:szCs w:val="36"/>
          <w:lang w:val="zh-CN"/>
        </w:rPr>
      </w:pPr>
      <w:bookmarkStart w:id="98" w:name="_Toc16500"/>
      <w:r>
        <w:rPr>
          <w:rFonts w:hint="eastAsia" w:ascii="黑体" w:hAnsi="黑体" w:eastAsia="黑体"/>
          <w:b w:val="0"/>
          <w:bCs/>
          <w:color w:val="000000"/>
          <w:sz w:val="28"/>
          <w:szCs w:val="28"/>
        </w:rPr>
        <w:t>附件</w:t>
      </w:r>
      <w:bookmarkEnd w:id="93"/>
      <w:bookmarkEnd w:id="94"/>
      <w:r>
        <w:rPr>
          <w:rFonts w:hint="eastAsia" w:ascii="黑体" w:hAnsi="黑体" w:eastAsia="黑体"/>
          <w:b w:val="0"/>
          <w:bCs/>
          <w:color w:val="000000"/>
          <w:sz w:val="28"/>
          <w:szCs w:val="28"/>
        </w:rPr>
        <w:t>三</w:t>
      </w:r>
      <w:bookmarkEnd w:id="95"/>
      <w:bookmarkEnd w:id="96"/>
      <w:r>
        <w:rPr>
          <w:rFonts w:hint="eastAsia" w:ascii="黑体" w:hAnsi="黑体" w:eastAsia="黑体"/>
          <w:b w:val="0"/>
          <w:bCs/>
          <w:color w:val="000000"/>
          <w:sz w:val="28"/>
          <w:szCs w:val="28"/>
        </w:rPr>
        <w:t>磋商函</w:t>
      </w:r>
      <w:bookmarkEnd w:id="98"/>
    </w:p>
    <w:p w14:paraId="2AF0D4A9">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永嘉县金溪镇人民政府</w:t>
      </w:r>
    </w:p>
    <w:p w14:paraId="741B168E">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浙江三凯工程管理有限公司：</w:t>
      </w:r>
    </w:p>
    <w:p w14:paraId="4E3D4A82">
      <w:pPr>
        <w:autoSpaceDE w:val="0"/>
        <w:autoSpaceDN w:val="0"/>
        <w:adjustRightInd w:val="0"/>
        <w:spacing w:line="460" w:lineRule="atLeast"/>
        <w:rPr>
          <w:rFonts w:ascii="宋体" w:hAnsi="宋体"/>
          <w:color w:val="000000"/>
          <w:lang w:val="zh-CN"/>
        </w:rPr>
      </w:pPr>
      <w:r>
        <w:rPr>
          <w:rFonts w:hint="eastAsia" w:ascii="宋体" w:hAnsi="宋体"/>
          <w:color w:val="000000"/>
          <w:u w:val="single"/>
          <w:lang w:val="zh-CN"/>
        </w:rPr>
        <w:t>（投标供应商全称）</w:t>
      </w:r>
      <w:r>
        <w:rPr>
          <w:rFonts w:hint="eastAsia" w:ascii="宋体" w:hAnsi="宋体"/>
          <w:color w:val="000000"/>
          <w:lang w:val="zh-CN"/>
        </w:rPr>
        <w:t>授权</w:t>
      </w:r>
      <w:r>
        <w:rPr>
          <w:rFonts w:hint="eastAsia" w:ascii="宋体" w:hAnsi="宋体"/>
          <w:color w:val="000000"/>
          <w:u w:val="single"/>
          <w:lang w:val="zh-CN"/>
        </w:rPr>
        <w:t>（授权代表名称）（职务、职称）</w:t>
      </w:r>
      <w:r>
        <w:rPr>
          <w:rFonts w:hint="eastAsia" w:ascii="宋体" w:hAnsi="宋体"/>
          <w:color w:val="000000"/>
          <w:lang w:val="zh-CN"/>
        </w:rPr>
        <w:t>为授权代表，参加贵方组织的</w:t>
      </w:r>
      <w:r>
        <w:rPr>
          <w:rFonts w:hint="eastAsia" w:ascii="宋体" w:hAnsi="宋体"/>
          <w:color w:val="000000"/>
          <w:u w:val="single"/>
          <w:lang w:val="zh-CN"/>
        </w:rPr>
        <w:t>（招标项目名称）（括号内填</w:t>
      </w:r>
      <w:r>
        <w:rPr>
          <w:rFonts w:hint="eastAsia" w:ascii="宋体" w:hAnsi="宋体"/>
          <w:color w:val="000000"/>
          <w:u w:val="single"/>
        </w:rPr>
        <w:t>项目</w:t>
      </w:r>
      <w:r>
        <w:rPr>
          <w:rFonts w:hint="eastAsia" w:ascii="宋体" w:hAnsi="宋体"/>
          <w:color w:val="000000"/>
          <w:u w:val="single"/>
          <w:lang w:val="zh-CN"/>
        </w:rPr>
        <w:t>编号）</w:t>
      </w:r>
      <w:r>
        <w:rPr>
          <w:rFonts w:hint="eastAsia" w:ascii="宋体" w:hAnsi="宋体"/>
          <w:color w:val="000000"/>
          <w:lang w:val="zh-CN"/>
        </w:rPr>
        <w:t>招标的有关活动，并对此进行投标。为此：</w:t>
      </w:r>
    </w:p>
    <w:p w14:paraId="2060400F">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1、提供磋商文件要求的全部磋商响应文件。</w:t>
      </w:r>
    </w:p>
    <w:p w14:paraId="27864955">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2、保证遵守磋商文件中的有关规定和约定。</w:t>
      </w:r>
    </w:p>
    <w:p w14:paraId="65B7F919">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3、保证忠实地执行双方所签的合同，并承担合同规定的责任义务。</w:t>
      </w:r>
    </w:p>
    <w:p w14:paraId="5DDC2F43">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4、如我单位中标，我方承诺按磋商文件要求提供各项服务</w:t>
      </w:r>
      <w:r>
        <w:rPr>
          <w:rFonts w:ascii="宋体" w:hAnsi="宋体"/>
          <w:color w:val="000000"/>
          <w:lang w:val="zh-CN"/>
        </w:rPr>
        <w:t>。</w:t>
      </w:r>
    </w:p>
    <w:p w14:paraId="630E0EDB">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5、我方已详细审查全部磋商文件，包括磋商文件补充文件（如有）。我方完全理解并同意放弃对这方面有不明及误解的权力。如果磋商文件有相互矛盾之处，我方同意按采购人的理解处理。</w:t>
      </w:r>
    </w:p>
    <w:p w14:paraId="2D5CC884">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6、愿意向贵方提供任何与该项投标有关的数据、情况和技术资料，完全理解贵方不一定接受最低价的投标或收到的任何投标。</w:t>
      </w:r>
    </w:p>
    <w:p w14:paraId="5B854B70">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7、利益冲突：近三年内直至目前，我方与本项目的采购人、采购代理机构没有任何的隶属关系。</w:t>
      </w:r>
    </w:p>
    <w:p w14:paraId="23ABFF93">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8、我方没有被财政部门限制参加政府采购活动或曾被财政部门限制参加政府采购活动但已不在限制期内。</w:t>
      </w:r>
    </w:p>
    <w:p w14:paraId="187875DC">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9、磋商响应文件自提交响应文件递交截止时间起90天内有效。</w:t>
      </w:r>
    </w:p>
    <w:p w14:paraId="604E2906">
      <w:pPr>
        <w:autoSpaceDE w:val="0"/>
        <w:autoSpaceDN w:val="0"/>
        <w:adjustRightInd w:val="0"/>
        <w:spacing w:line="460" w:lineRule="atLeast"/>
        <w:ind w:firstLine="465"/>
        <w:rPr>
          <w:rFonts w:ascii="宋体" w:hAnsi="宋体"/>
          <w:color w:val="000000"/>
          <w:lang w:val="zh-CN"/>
        </w:rPr>
      </w:pPr>
      <w:r>
        <w:rPr>
          <w:rFonts w:hint="eastAsia" w:ascii="宋体" w:hAnsi="宋体"/>
          <w:color w:val="000000"/>
          <w:lang w:val="zh-CN"/>
        </w:rPr>
        <w:t>10、与本采购有关的一切往来通讯请寄：</w:t>
      </w:r>
    </w:p>
    <w:p w14:paraId="3188BC8C">
      <w:pPr>
        <w:autoSpaceDE w:val="0"/>
        <w:autoSpaceDN w:val="0"/>
        <w:adjustRightInd w:val="0"/>
        <w:spacing w:line="460" w:lineRule="atLeast"/>
        <w:rPr>
          <w:rFonts w:ascii="宋体" w:hAnsi="宋体"/>
          <w:color w:val="000000"/>
          <w:lang w:val="zh-CN"/>
        </w:rPr>
      </w:pPr>
      <w:r>
        <w:rPr>
          <w:rFonts w:hint="eastAsia" w:ascii="宋体" w:hAnsi="宋体"/>
          <w:color w:val="000000"/>
          <w:lang w:val="zh-CN"/>
        </w:rPr>
        <w:t>地址：</w:t>
      </w:r>
    </w:p>
    <w:p w14:paraId="65B619E1">
      <w:pPr>
        <w:autoSpaceDE w:val="0"/>
        <w:autoSpaceDN w:val="0"/>
        <w:adjustRightInd w:val="0"/>
        <w:spacing w:line="460" w:lineRule="atLeast"/>
        <w:rPr>
          <w:rFonts w:ascii="宋体" w:hAnsi="宋体"/>
          <w:color w:val="000000"/>
          <w:lang w:val="zh-CN"/>
        </w:rPr>
      </w:pPr>
      <w:r>
        <w:rPr>
          <w:rFonts w:hint="eastAsia" w:ascii="宋体" w:hAnsi="宋体"/>
          <w:color w:val="000000"/>
          <w:lang w:val="zh-CN"/>
        </w:rPr>
        <w:t>邮编：</w:t>
      </w:r>
      <w:r>
        <w:rPr>
          <w:rFonts w:hint="eastAsia" w:ascii="宋体" w:hAnsi="宋体"/>
          <w:color w:val="000000"/>
        </w:rPr>
        <w:t xml:space="preserve">        </w:t>
      </w:r>
      <w:r>
        <w:rPr>
          <w:rFonts w:hint="eastAsia" w:ascii="宋体" w:hAnsi="宋体"/>
          <w:color w:val="000000"/>
          <w:lang w:val="zh-CN"/>
        </w:rPr>
        <w:t>电话：</w:t>
      </w:r>
      <w:r>
        <w:rPr>
          <w:rFonts w:hint="eastAsia" w:ascii="宋体" w:hAnsi="宋体"/>
          <w:color w:val="000000"/>
        </w:rPr>
        <w:t xml:space="preserve">               </w:t>
      </w:r>
      <w:r>
        <w:rPr>
          <w:rFonts w:hint="eastAsia" w:ascii="宋体" w:hAnsi="宋体"/>
          <w:color w:val="000000"/>
          <w:lang w:val="zh-CN"/>
        </w:rPr>
        <w:t>传真：</w:t>
      </w:r>
    </w:p>
    <w:p w14:paraId="160BB079">
      <w:pPr>
        <w:autoSpaceDE w:val="0"/>
        <w:autoSpaceDN w:val="0"/>
        <w:adjustRightInd w:val="0"/>
        <w:spacing w:line="460" w:lineRule="atLeast"/>
        <w:rPr>
          <w:rFonts w:ascii="宋体" w:hAnsi="宋体"/>
          <w:color w:val="000000"/>
          <w:lang w:val="zh-CN"/>
        </w:rPr>
      </w:pPr>
      <w:r>
        <w:rPr>
          <w:rFonts w:hint="eastAsia" w:ascii="宋体" w:hAnsi="宋体"/>
          <w:color w:val="000000"/>
          <w:lang w:val="zh-CN"/>
        </w:rPr>
        <w:t>投标供应商（盖章）：</w:t>
      </w:r>
    </w:p>
    <w:p w14:paraId="597DBC5D">
      <w:pPr>
        <w:autoSpaceDE w:val="0"/>
        <w:autoSpaceDN w:val="0"/>
        <w:adjustRightInd w:val="0"/>
        <w:spacing w:line="460" w:lineRule="atLeast"/>
        <w:rPr>
          <w:rFonts w:ascii="宋体" w:hAnsi="宋体"/>
          <w:color w:val="000000"/>
          <w:lang w:val="zh-CN"/>
        </w:rPr>
      </w:pPr>
      <w:r>
        <w:rPr>
          <w:rFonts w:hint="eastAsia" w:ascii="宋体" w:hAnsi="宋体"/>
          <w:color w:val="000000"/>
          <w:lang w:val="zh-CN"/>
        </w:rPr>
        <w:t>法定代表人或授权代表（签字或盖章）：</w:t>
      </w:r>
    </w:p>
    <w:p w14:paraId="47B034A5">
      <w:pPr>
        <w:autoSpaceDE w:val="0"/>
        <w:autoSpaceDN w:val="0"/>
        <w:adjustRightInd w:val="0"/>
        <w:spacing w:line="460" w:lineRule="atLeast"/>
        <w:rPr>
          <w:rFonts w:ascii="黑体" w:hAnsi="黑体" w:eastAsia="黑体"/>
          <w:color w:val="000000"/>
          <w:sz w:val="28"/>
          <w:szCs w:val="28"/>
        </w:rPr>
      </w:pPr>
      <w:r>
        <w:rPr>
          <w:rFonts w:hint="eastAsia" w:ascii="宋体" w:hAnsi="宋体"/>
          <w:color w:val="000000"/>
          <w:lang w:val="zh-CN"/>
        </w:rPr>
        <w:t>日期：</w:t>
      </w:r>
      <w:bookmarkStart w:id="99" w:name="_Toc45140212"/>
      <w:bookmarkStart w:id="100" w:name="_Toc17967"/>
    </w:p>
    <w:p w14:paraId="4DE07741">
      <w:pPr>
        <w:pStyle w:val="15"/>
        <w:adjustRightInd w:val="0"/>
        <w:snapToGrid w:val="0"/>
        <w:spacing w:line="440" w:lineRule="atLeast"/>
        <w:jc w:val="center"/>
        <w:outlineLvl w:val="1"/>
        <w:rPr>
          <w:rFonts w:ascii="黑体" w:hAnsi="黑体" w:eastAsia="黑体"/>
          <w:color w:val="000000"/>
          <w:sz w:val="28"/>
          <w:szCs w:val="28"/>
        </w:rPr>
        <w:sectPr>
          <w:pgSz w:w="11906" w:h="16838"/>
          <w:pgMar w:top="1588" w:right="1248" w:bottom="1134" w:left="1418" w:header="680" w:footer="992" w:gutter="0"/>
          <w:cols w:space="720" w:num="1"/>
          <w:docGrid w:type="lines" w:linePitch="312" w:charSpace="0"/>
        </w:sectPr>
      </w:pPr>
    </w:p>
    <w:p w14:paraId="374BE63C">
      <w:pPr>
        <w:pStyle w:val="15"/>
        <w:adjustRightInd w:val="0"/>
        <w:snapToGrid w:val="0"/>
        <w:spacing w:line="440" w:lineRule="atLeast"/>
        <w:jc w:val="center"/>
        <w:outlineLvl w:val="1"/>
        <w:rPr>
          <w:rFonts w:ascii="黑体" w:hAnsi="黑体" w:eastAsia="黑体"/>
          <w:sz w:val="28"/>
          <w:szCs w:val="28"/>
          <w:lang w:val="zh-CN"/>
        </w:rPr>
      </w:pPr>
      <w:bookmarkStart w:id="101" w:name="_Toc27197"/>
      <w:r>
        <w:rPr>
          <w:rFonts w:hint="eastAsia" w:ascii="黑体" w:hAnsi="黑体" w:eastAsia="黑体"/>
          <w:color w:val="000000"/>
          <w:sz w:val="28"/>
          <w:szCs w:val="28"/>
        </w:rPr>
        <w:t>附件</w:t>
      </w:r>
      <w:bookmarkEnd w:id="99"/>
      <w:bookmarkEnd w:id="100"/>
      <w:r>
        <w:rPr>
          <w:rFonts w:hint="eastAsia" w:ascii="黑体" w:hAnsi="黑体" w:eastAsia="黑体"/>
          <w:color w:val="000000"/>
          <w:sz w:val="28"/>
          <w:szCs w:val="28"/>
        </w:rPr>
        <w:t>四</w:t>
      </w:r>
      <w:bookmarkStart w:id="102" w:name="_Toc45140213"/>
      <w:bookmarkStart w:id="103" w:name="_Toc5343"/>
      <w:r>
        <w:rPr>
          <w:rFonts w:hint="eastAsia" w:ascii="黑体" w:hAnsi="黑体" w:eastAsia="黑体"/>
          <w:sz w:val="28"/>
          <w:szCs w:val="28"/>
          <w:lang w:val="zh-CN"/>
        </w:rPr>
        <w:t>法定代表人授权书</w:t>
      </w:r>
      <w:bookmarkEnd w:id="101"/>
      <w:bookmarkEnd w:id="102"/>
      <w:bookmarkEnd w:id="103"/>
    </w:p>
    <w:p w14:paraId="75CC5BAB">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永嘉县金溪镇人民政府</w:t>
      </w:r>
    </w:p>
    <w:p w14:paraId="3BE5A116">
      <w:pPr>
        <w:autoSpaceDE w:val="0"/>
        <w:autoSpaceDN w:val="0"/>
        <w:adjustRightInd w:val="0"/>
        <w:spacing w:line="460" w:lineRule="atLeast"/>
        <w:rPr>
          <w:rFonts w:ascii="宋体" w:hAnsi="宋体"/>
          <w:color w:val="000000"/>
          <w:u w:val="single"/>
          <w:lang w:val="zh-CN"/>
        </w:rPr>
      </w:pPr>
      <w:r>
        <w:rPr>
          <w:rFonts w:hint="eastAsia" w:ascii="宋体" w:hAnsi="宋体"/>
          <w:color w:val="000000"/>
          <w:u w:val="single"/>
          <w:lang w:val="zh-CN"/>
        </w:rPr>
        <w:t>浙江三凯工程管理有限公司：</w:t>
      </w:r>
    </w:p>
    <w:p w14:paraId="7361AD78">
      <w:pPr>
        <w:snapToGrid w:val="0"/>
        <w:spacing w:line="580" w:lineRule="atLeast"/>
        <w:ind w:firstLine="440" w:firstLineChars="200"/>
        <w:rPr>
          <w:rFonts w:ascii="宋体" w:hAnsi="宋体"/>
          <w:color w:val="000000"/>
        </w:rPr>
      </w:pPr>
      <w:r>
        <w:rPr>
          <w:rFonts w:hint="eastAsia" w:ascii="宋体" w:hAnsi="宋体"/>
          <w:color w:val="000000"/>
        </w:rPr>
        <w:t>本授权委托书声明：我</w:t>
      </w:r>
      <w:r>
        <w:rPr>
          <w:rFonts w:hint="eastAsia" w:ascii="宋体" w:hAnsi="宋体"/>
          <w:color w:val="000000"/>
          <w:u w:val="single"/>
        </w:rPr>
        <w:t>（法定代表人姓名）</w:t>
      </w:r>
      <w:r>
        <w:rPr>
          <w:rFonts w:hint="eastAsia" w:ascii="宋体" w:hAnsi="宋体"/>
          <w:color w:val="000000"/>
        </w:rPr>
        <w:t>系</w:t>
      </w:r>
      <w:r>
        <w:rPr>
          <w:rFonts w:hint="eastAsia" w:ascii="宋体" w:hAnsi="宋体"/>
          <w:color w:val="000000"/>
          <w:u w:val="single"/>
        </w:rPr>
        <w:t>（供应商名称）</w:t>
      </w:r>
      <w:r>
        <w:rPr>
          <w:rFonts w:hint="eastAsia" w:ascii="宋体" w:hAnsi="宋体"/>
          <w:color w:val="000000"/>
        </w:rPr>
        <w:t>的法定代表人，现授权委托</w:t>
      </w:r>
      <w:r>
        <w:rPr>
          <w:rFonts w:hint="eastAsia" w:ascii="宋体" w:hAnsi="宋体"/>
          <w:color w:val="000000"/>
          <w:u w:val="single"/>
        </w:rPr>
        <w:t>（单位名称）</w:t>
      </w:r>
      <w:r>
        <w:rPr>
          <w:rFonts w:hint="eastAsia" w:ascii="宋体" w:hAnsi="宋体"/>
          <w:color w:val="000000"/>
        </w:rPr>
        <w:t>的</w:t>
      </w:r>
      <w:r>
        <w:rPr>
          <w:rFonts w:hint="eastAsia" w:ascii="宋体" w:hAnsi="宋体"/>
          <w:color w:val="000000"/>
          <w:u w:val="single"/>
        </w:rPr>
        <w:t>（授权代表姓名）</w:t>
      </w:r>
      <w:r>
        <w:rPr>
          <w:rFonts w:hint="eastAsia" w:ascii="宋体" w:hAnsi="宋体"/>
          <w:color w:val="000000"/>
        </w:rPr>
        <w:t>为我方法定代表人授权代表，参加贵处组织的</w:t>
      </w:r>
      <w:r>
        <w:rPr>
          <w:rFonts w:hint="eastAsia" w:ascii="宋体" w:hAnsi="宋体"/>
          <w:color w:val="000000"/>
          <w:u w:val="single"/>
        </w:rPr>
        <w:t>（招标项目名称、项目编号）</w:t>
      </w:r>
      <w:r>
        <w:rPr>
          <w:rFonts w:hint="eastAsia" w:ascii="宋体" w:hAnsi="宋体"/>
          <w:color w:val="000000"/>
        </w:rPr>
        <w:t>项目投标，全权处理本次招投标活动中的一切事宜，我承认授权代表全权代表我所签署的本项目的磋商响应文件的内容。</w:t>
      </w:r>
    </w:p>
    <w:p w14:paraId="0548C4B1">
      <w:pPr>
        <w:snapToGrid w:val="0"/>
        <w:spacing w:line="580" w:lineRule="atLeast"/>
        <w:ind w:firstLine="440" w:firstLineChars="200"/>
        <w:rPr>
          <w:rFonts w:ascii="宋体" w:hAnsi="宋体"/>
          <w:color w:val="000000"/>
        </w:rPr>
      </w:pPr>
      <w:r>
        <w:rPr>
          <w:rFonts w:hint="eastAsia" w:ascii="宋体" w:hAnsi="宋体"/>
          <w:color w:val="000000"/>
        </w:rPr>
        <w:t>授权代表无转授权，特此授权。</w:t>
      </w:r>
    </w:p>
    <w:p w14:paraId="53AE6396">
      <w:pPr>
        <w:snapToGrid w:val="0"/>
        <w:spacing w:line="580" w:lineRule="atLeast"/>
        <w:ind w:left="1260"/>
        <w:rPr>
          <w:rFonts w:ascii="宋体" w:hAnsi="宋体"/>
          <w:color w:val="000000"/>
        </w:rPr>
      </w:pPr>
    </w:p>
    <w:p w14:paraId="642F4E8D">
      <w:pPr>
        <w:snapToGrid w:val="0"/>
        <w:spacing w:line="580" w:lineRule="atLeast"/>
        <w:ind w:left="2191" w:leftChars="996" w:firstLine="330" w:firstLineChars="150"/>
        <w:rPr>
          <w:rFonts w:ascii="宋体" w:hAnsi="宋体"/>
          <w:color w:val="000000"/>
          <w:u w:val="single"/>
        </w:rPr>
      </w:pPr>
      <w:r>
        <w:rPr>
          <w:rFonts w:hint="eastAsia" w:ascii="宋体" w:hAnsi="宋体"/>
          <w:color w:val="000000"/>
        </w:rPr>
        <w:t>授权代表（签字）：     性别：     年龄：</w:t>
      </w:r>
    </w:p>
    <w:p w14:paraId="05E567FE">
      <w:pPr>
        <w:snapToGrid w:val="0"/>
        <w:spacing w:line="580" w:lineRule="atLeast"/>
        <w:ind w:left="2200" w:leftChars="1000" w:firstLine="440" w:firstLineChars="200"/>
        <w:rPr>
          <w:rFonts w:ascii="宋体" w:hAnsi="宋体"/>
          <w:color w:val="000000"/>
          <w:u w:val="single"/>
        </w:rPr>
      </w:pPr>
      <w:r>
        <w:rPr>
          <w:rFonts w:hint="eastAsia" w:ascii="宋体" w:hAnsi="宋体"/>
          <w:color w:val="000000"/>
        </w:rPr>
        <w:t>详细通讯地址：        邮政编码：</w:t>
      </w:r>
    </w:p>
    <w:p w14:paraId="4CD33CE9">
      <w:pPr>
        <w:snapToGrid w:val="0"/>
        <w:spacing w:line="580" w:lineRule="atLeast"/>
        <w:ind w:left="1" w:firstLine="2510" w:firstLineChars="1141"/>
        <w:rPr>
          <w:rFonts w:ascii="宋体" w:hAnsi="宋体"/>
          <w:color w:val="000000"/>
          <w:u w:val="single"/>
        </w:rPr>
      </w:pPr>
      <w:r>
        <w:rPr>
          <w:rFonts w:hint="eastAsia" w:ascii="宋体" w:hAnsi="宋体"/>
          <w:color w:val="000000"/>
        </w:rPr>
        <w:t>电话：                 传真：</w:t>
      </w:r>
    </w:p>
    <w:p w14:paraId="5ED494FA">
      <w:pPr>
        <w:snapToGrid w:val="0"/>
        <w:spacing w:line="580" w:lineRule="atLeast"/>
        <w:ind w:left="1" w:firstLine="422" w:firstLineChars="192"/>
        <w:rPr>
          <w:rFonts w:ascii="宋体" w:hAnsi="宋体"/>
          <w:color w:val="000000"/>
        </w:rPr>
      </w:pPr>
      <w:r>
        <w:rPr>
          <w:rFonts w:hint="eastAsia" w:ascii="宋体" w:hAnsi="宋体"/>
          <w:color w:val="000000"/>
        </w:rPr>
        <w:t>投标供应商：</w:t>
      </w:r>
      <w:r>
        <w:rPr>
          <w:rFonts w:hint="eastAsia" w:ascii="宋体" w:hAnsi="宋体"/>
          <w:color w:val="000000"/>
          <w:u w:val="single"/>
        </w:rPr>
        <w:t>（盖章）</w:t>
      </w:r>
    </w:p>
    <w:p w14:paraId="1C642EF6">
      <w:pPr>
        <w:snapToGrid w:val="0"/>
        <w:spacing w:line="580" w:lineRule="atLeast"/>
        <w:ind w:right="440" w:firstLine="440" w:firstLineChars="200"/>
        <w:jc w:val="both"/>
        <w:rPr>
          <w:rFonts w:ascii="宋体" w:hAnsi="宋体"/>
          <w:color w:val="000000"/>
        </w:rPr>
      </w:pPr>
      <w:r>
        <w:rPr>
          <w:rFonts w:hint="eastAsia" w:ascii="宋体" w:hAnsi="宋体"/>
          <w:color w:val="000000"/>
        </w:rPr>
        <w:t>法定代表人：</w:t>
      </w:r>
      <w:r>
        <w:rPr>
          <w:rFonts w:hint="eastAsia" w:ascii="宋体" w:hAnsi="宋体"/>
          <w:color w:val="000000"/>
          <w:u w:val="single"/>
        </w:rPr>
        <w:t>（签字或盖章）</w:t>
      </w:r>
    </w:p>
    <w:p w14:paraId="4A6A5BAC">
      <w:pPr>
        <w:pStyle w:val="15"/>
        <w:adjustRightInd w:val="0"/>
        <w:snapToGrid w:val="0"/>
        <w:spacing w:line="580" w:lineRule="atLeast"/>
        <w:jc w:val="right"/>
        <w:rPr>
          <w:rFonts w:hAnsi="宋体"/>
          <w:color w:val="000000"/>
          <w:szCs w:val="22"/>
        </w:rPr>
      </w:pPr>
      <w:r>
        <w:rPr>
          <w:rFonts w:hAnsi="宋体"/>
          <w:color w:val="000000"/>
          <w:szCs w:val="22"/>
        </w:rPr>
        <w:t>授权委托日期：年月日</w:t>
      </w:r>
    </w:p>
    <w:tbl>
      <w:tblPr>
        <w:tblStyle w:val="2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6"/>
      </w:tblGrid>
      <w:tr w14:paraId="0D32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516" w:type="dxa"/>
            <w:vAlign w:val="center"/>
          </w:tcPr>
          <w:p w14:paraId="6D4BBA30">
            <w:pPr>
              <w:pStyle w:val="15"/>
              <w:spacing w:line="440" w:lineRule="atLeast"/>
              <w:jc w:val="center"/>
              <w:rPr>
                <w:rFonts w:hAnsi="宋体" w:eastAsiaTheme="minorEastAsia"/>
                <w:color w:val="000000"/>
                <w:sz w:val="36"/>
                <w:szCs w:val="22"/>
              </w:rPr>
            </w:pPr>
            <w:r>
              <w:rPr>
                <w:rFonts w:hAnsi="宋体"/>
                <w:color w:val="000000"/>
                <w:sz w:val="36"/>
                <w:szCs w:val="22"/>
              </w:rPr>
              <w:t>粘贴授权代表身份证复印件或影印件</w:t>
            </w:r>
            <w:r>
              <w:rPr>
                <w:rFonts w:hint="eastAsia" w:hAnsi="宋体"/>
                <w:color w:val="000000"/>
                <w:sz w:val="36"/>
                <w:szCs w:val="22"/>
              </w:rPr>
              <w:t>正反面</w:t>
            </w:r>
          </w:p>
        </w:tc>
      </w:tr>
    </w:tbl>
    <w:p w14:paraId="6A807643">
      <w:pPr>
        <w:pStyle w:val="15"/>
        <w:adjustRightInd w:val="0"/>
        <w:snapToGrid w:val="0"/>
        <w:spacing w:line="580" w:lineRule="atLeast"/>
        <w:jc w:val="center"/>
        <w:rPr>
          <w:rFonts w:hAnsi="宋体"/>
          <w:color w:val="000000"/>
          <w:szCs w:val="22"/>
        </w:rPr>
      </w:pPr>
    </w:p>
    <w:p w14:paraId="5D45CD7E">
      <w:pPr>
        <w:pStyle w:val="15"/>
        <w:snapToGrid w:val="0"/>
        <w:spacing w:line="580" w:lineRule="atLeast"/>
        <w:rPr>
          <w:rFonts w:hAnsi="宋体" w:cs="黑体"/>
          <w:color w:val="000000"/>
          <w:szCs w:val="22"/>
          <w:u w:val="thick"/>
        </w:rPr>
      </w:pPr>
    </w:p>
    <w:p w14:paraId="59E93CDA">
      <w:pPr>
        <w:pStyle w:val="15"/>
        <w:snapToGrid w:val="0"/>
        <w:spacing w:line="580" w:lineRule="atLeast"/>
        <w:rPr>
          <w:rFonts w:hAnsi="宋体" w:cs="黑体"/>
          <w:color w:val="000000"/>
          <w:szCs w:val="22"/>
          <w:u w:val="thick"/>
        </w:rPr>
      </w:pPr>
    </w:p>
    <w:p w14:paraId="63D06E7B">
      <w:pPr>
        <w:pStyle w:val="15"/>
        <w:snapToGrid w:val="0"/>
        <w:spacing w:line="580" w:lineRule="atLeast"/>
        <w:rPr>
          <w:rFonts w:hAnsi="宋体" w:cs="黑体"/>
          <w:color w:val="000000"/>
          <w:szCs w:val="22"/>
          <w:u w:val="thick"/>
        </w:rPr>
      </w:pPr>
    </w:p>
    <w:p w14:paraId="4E2B451E">
      <w:pPr>
        <w:pStyle w:val="15"/>
        <w:adjustRightInd w:val="0"/>
        <w:snapToGrid w:val="0"/>
        <w:spacing w:line="360" w:lineRule="exact"/>
        <w:rPr>
          <w:rFonts w:hAnsi="宋体"/>
          <w:color w:val="000000"/>
        </w:rPr>
      </w:pPr>
    </w:p>
    <w:tbl>
      <w:tblPr>
        <w:tblStyle w:val="2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3"/>
      </w:tblGrid>
      <w:tr w14:paraId="4F1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483" w:type="dxa"/>
            <w:vAlign w:val="center"/>
          </w:tcPr>
          <w:p w14:paraId="6D0760F8">
            <w:pPr>
              <w:pStyle w:val="15"/>
              <w:spacing w:line="440" w:lineRule="atLeast"/>
              <w:jc w:val="center"/>
              <w:rPr>
                <w:rFonts w:hAnsi="宋体"/>
                <w:color w:val="000000"/>
                <w:sz w:val="36"/>
                <w:szCs w:val="22"/>
              </w:rPr>
            </w:pPr>
            <w:r>
              <w:rPr>
                <w:rFonts w:hAnsi="宋体"/>
                <w:color w:val="000000"/>
                <w:sz w:val="36"/>
                <w:szCs w:val="22"/>
              </w:rPr>
              <w:t>粘贴法定代表人身份证复印件或影印件</w:t>
            </w:r>
            <w:r>
              <w:rPr>
                <w:rFonts w:hint="eastAsia" w:hAnsi="宋体"/>
                <w:color w:val="000000"/>
                <w:sz w:val="36"/>
                <w:szCs w:val="22"/>
              </w:rPr>
              <w:t>正反面</w:t>
            </w:r>
          </w:p>
        </w:tc>
      </w:tr>
    </w:tbl>
    <w:p w14:paraId="188BB623">
      <w:pPr>
        <w:pStyle w:val="15"/>
        <w:snapToGrid w:val="0"/>
        <w:spacing w:line="580" w:lineRule="atLeast"/>
        <w:rPr>
          <w:rFonts w:hAnsi="宋体" w:cs="黑体"/>
          <w:color w:val="000000"/>
          <w:szCs w:val="22"/>
          <w:u w:val="thick"/>
        </w:rPr>
      </w:pPr>
    </w:p>
    <w:p w14:paraId="42D72C70">
      <w:pPr>
        <w:pStyle w:val="15"/>
        <w:adjustRightInd w:val="0"/>
        <w:snapToGrid w:val="0"/>
        <w:spacing w:line="440" w:lineRule="atLeast"/>
        <w:jc w:val="center"/>
        <w:outlineLvl w:val="1"/>
        <w:rPr>
          <w:rFonts w:ascii="黑体" w:hAnsi="黑体" w:eastAsia="黑体"/>
          <w:color w:val="000000"/>
          <w:sz w:val="28"/>
          <w:szCs w:val="28"/>
        </w:rPr>
        <w:sectPr>
          <w:pgSz w:w="11906" w:h="16838"/>
          <w:pgMar w:top="1588" w:right="1248" w:bottom="1134" w:left="1418" w:header="680" w:footer="992" w:gutter="0"/>
          <w:cols w:space="720" w:num="1"/>
          <w:docGrid w:type="lines" w:linePitch="312" w:charSpace="0"/>
        </w:sectPr>
      </w:pPr>
      <w:bookmarkStart w:id="104" w:name="_Toc45140214"/>
      <w:bookmarkStart w:id="105" w:name="_Toc8933"/>
    </w:p>
    <w:p w14:paraId="53D0A8B7">
      <w:pPr>
        <w:pStyle w:val="15"/>
        <w:adjustRightInd w:val="0"/>
        <w:snapToGrid w:val="0"/>
        <w:spacing w:line="440" w:lineRule="atLeast"/>
        <w:jc w:val="center"/>
        <w:outlineLvl w:val="1"/>
        <w:rPr>
          <w:rFonts w:ascii="黑体" w:hAnsi="黑体" w:eastAsia="黑体"/>
          <w:sz w:val="28"/>
          <w:szCs w:val="28"/>
          <w:lang w:val="zh-CN"/>
        </w:rPr>
      </w:pPr>
      <w:bookmarkStart w:id="106" w:name="_Toc18328"/>
      <w:r>
        <w:rPr>
          <w:rFonts w:hint="eastAsia" w:ascii="黑体" w:hAnsi="黑体" w:eastAsia="黑体"/>
          <w:color w:val="000000"/>
          <w:sz w:val="28"/>
          <w:szCs w:val="28"/>
        </w:rPr>
        <w:t>附件</w:t>
      </w:r>
      <w:bookmarkEnd w:id="104"/>
      <w:bookmarkEnd w:id="105"/>
      <w:r>
        <w:rPr>
          <w:rFonts w:hint="eastAsia" w:ascii="黑体" w:hAnsi="黑体" w:eastAsia="黑体"/>
          <w:color w:val="000000"/>
          <w:sz w:val="28"/>
          <w:szCs w:val="28"/>
        </w:rPr>
        <w:t>五</w:t>
      </w:r>
      <w:bookmarkStart w:id="107" w:name="_Toc45140215"/>
      <w:bookmarkStart w:id="108" w:name="_Toc4539"/>
      <w:r>
        <w:rPr>
          <w:rFonts w:hint="eastAsia" w:ascii="黑体" w:hAnsi="黑体" w:eastAsia="黑体"/>
          <w:sz w:val="28"/>
          <w:szCs w:val="28"/>
          <w:lang w:val="zh-CN"/>
        </w:rPr>
        <w:t>法定代表人诚信投标承诺书</w:t>
      </w:r>
      <w:bookmarkEnd w:id="106"/>
      <w:bookmarkEnd w:id="107"/>
      <w:bookmarkEnd w:id="108"/>
    </w:p>
    <w:p w14:paraId="06E56121">
      <w:pPr>
        <w:spacing w:line="460" w:lineRule="atLeast"/>
        <w:rPr>
          <w:rFonts w:ascii="宋体" w:hAnsi="宋体"/>
          <w:color w:val="000000"/>
        </w:rPr>
      </w:pPr>
      <w:r>
        <w:rPr>
          <w:rFonts w:hint="eastAsia" w:ascii="宋体" w:hAnsi="宋体"/>
          <w:color w:val="000000"/>
        </w:rPr>
        <w:t>本人以法定代表人的身份郑重承诺：</w:t>
      </w:r>
    </w:p>
    <w:p w14:paraId="28CBF100">
      <w:pPr>
        <w:spacing w:line="460" w:lineRule="atLeast"/>
        <w:ind w:firstLine="440" w:firstLineChars="200"/>
        <w:rPr>
          <w:rFonts w:ascii="宋体" w:hAnsi="宋体"/>
          <w:color w:val="000000"/>
        </w:rPr>
      </w:pPr>
      <w:r>
        <w:rPr>
          <w:rFonts w:hint="eastAsia" w:ascii="宋体" w:hAnsi="宋体"/>
          <w:color w:val="000000"/>
        </w:rPr>
        <w:t>将遵循公开、公平、公正和诚信信用的原则参加</w:t>
      </w:r>
      <w:r>
        <w:rPr>
          <w:rFonts w:hint="eastAsia" w:ascii="宋体" w:hAnsi="宋体" w:cs="Calibri"/>
          <w:color w:val="000000"/>
          <w:u w:val="single"/>
        </w:rPr>
        <w:t>项目名称（项目编号：    ）</w:t>
      </w:r>
      <w:r>
        <w:rPr>
          <w:rFonts w:hint="eastAsia" w:ascii="宋体" w:hAnsi="宋体"/>
          <w:color w:val="000000"/>
        </w:rPr>
        <w:t>的投标：</w:t>
      </w:r>
    </w:p>
    <w:p w14:paraId="32E967D0">
      <w:pPr>
        <w:spacing w:line="460" w:lineRule="atLeast"/>
        <w:ind w:firstLine="440" w:firstLineChars="200"/>
        <w:rPr>
          <w:rFonts w:ascii="宋体" w:hAnsi="宋体"/>
          <w:color w:val="000000"/>
          <w:u w:val="single"/>
        </w:rPr>
      </w:pPr>
      <w:r>
        <w:rPr>
          <w:rFonts w:hint="eastAsia" w:ascii="宋体" w:hAnsi="宋体"/>
          <w:color w:val="000000"/>
        </w:rPr>
        <w:t>一、杜绝以收取管理费等形式的一切挂靠、违法转包、分包行为。</w:t>
      </w:r>
    </w:p>
    <w:p w14:paraId="3F407619">
      <w:pPr>
        <w:spacing w:line="460" w:lineRule="atLeast"/>
        <w:ind w:firstLine="440" w:firstLineChars="200"/>
        <w:rPr>
          <w:rFonts w:ascii="宋体" w:hAnsi="宋体"/>
          <w:color w:val="000000"/>
        </w:rPr>
      </w:pPr>
      <w:r>
        <w:rPr>
          <w:rFonts w:hint="eastAsia" w:ascii="宋体" w:hAnsi="宋体"/>
          <w:color w:val="000000"/>
        </w:rPr>
        <w:t>二、磋商响应文件所提供的一切材料都是真实、有效、合法的。</w:t>
      </w:r>
    </w:p>
    <w:p w14:paraId="26FF6743">
      <w:pPr>
        <w:spacing w:line="460" w:lineRule="atLeast"/>
        <w:ind w:firstLine="440" w:firstLineChars="200"/>
        <w:rPr>
          <w:rFonts w:ascii="宋体" w:hAnsi="宋体"/>
          <w:color w:val="000000"/>
        </w:rPr>
      </w:pPr>
      <w:r>
        <w:rPr>
          <w:rFonts w:hint="eastAsia" w:ascii="宋体" w:hAnsi="宋体"/>
          <w:color w:val="000000"/>
        </w:rPr>
        <w:t>三、不与其他投标供应商相互串通投标报价，不排挤其他投标供应商的公平竞争，不损害招标人或其他投标供应商的合法权益。</w:t>
      </w:r>
    </w:p>
    <w:p w14:paraId="2F294870">
      <w:pPr>
        <w:spacing w:line="460" w:lineRule="atLeast"/>
        <w:ind w:firstLine="440" w:firstLineChars="200"/>
        <w:rPr>
          <w:rFonts w:ascii="宋体" w:hAnsi="宋体"/>
          <w:color w:val="000000"/>
        </w:rPr>
      </w:pPr>
      <w:r>
        <w:rPr>
          <w:rFonts w:hint="eastAsia" w:ascii="宋体" w:hAnsi="宋体"/>
          <w:color w:val="000000"/>
        </w:rPr>
        <w:t>四、不与采购人或采购代理机构串通投标，不损害国家利益，社会公共利益或其他人的合法权益。</w:t>
      </w:r>
    </w:p>
    <w:p w14:paraId="5DCCB505">
      <w:pPr>
        <w:spacing w:line="460" w:lineRule="atLeast"/>
        <w:ind w:firstLine="440" w:firstLineChars="200"/>
        <w:rPr>
          <w:rFonts w:ascii="宋体" w:hAnsi="宋体"/>
          <w:color w:val="000000"/>
        </w:rPr>
      </w:pPr>
      <w:r>
        <w:rPr>
          <w:rFonts w:hint="eastAsia" w:ascii="宋体" w:hAnsi="宋体"/>
          <w:color w:val="000000"/>
        </w:rPr>
        <w:t>五、不向采购人或者评标委员会成员行贿以牟取中标。</w:t>
      </w:r>
    </w:p>
    <w:p w14:paraId="114973D6">
      <w:pPr>
        <w:spacing w:line="460" w:lineRule="atLeast"/>
        <w:ind w:firstLine="440" w:firstLineChars="200"/>
        <w:rPr>
          <w:rFonts w:ascii="宋体" w:hAnsi="宋体"/>
          <w:color w:val="000000"/>
        </w:rPr>
      </w:pPr>
      <w:r>
        <w:rPr>
          <w:rFonts w:hint="eastAsia" w:ascii="宋体" w:hAnsi="宋体"/>
          <w:color w:val="000000"/>
        </w:rPr>
        <w:t>六、不以其他人名义投标或者以其他方式弄虚作假，骗取中标。</w:t>
      </w:r>
    </w:p>
    <w:p w14:paraId="49ED8540">
      <w:pPr>
        <w:spacing w:line="460" w:lineRule="atLeast"/>
        <w:ind w:firstLine="440" w:firstLineChars="200"/>
        <w:rPr>
          <w:rFonts w:ascii="宋体" w:hAnsi="宋体"/>
          <w:color w:val="000000"/>
        </w:rPr>
      </w:pPr>
      <w:r>
        <w:rPr>
          <w:rFonts w:hint="eastAsia" w:ascii="宋体" w:hAnsi="宋体"/>
          <w:color w:val="000000"/>
        </w:rPr>
        <w:t>七、不在开标后进行虚假恶意投诉。</w:t>
      </w:r>
    </w:p>
    <w:p w14:paraId="381DBE0B">
      <w:pPr>
        <w:spacing w:line="460" w:lineRule="atLeast"/>
        <w:ind w:firstLine="440" w:firstLineChars="200"/>
        <w:rPr>
          <w:rFonts w:ascii="宋体" w:hAnsi="宋体"/>
          <w:color w:val="000000"/>
        </w:rPr>
      </w:pPr>
      <w:r>
        <w:rPr>
          <w:rFonts w:hint="eastAsia" w:ascii="宋体" w:hAnsi="宋体"/>
          <w:color w:val="000000"/>
        </w:rPr>
        <w:t>八、我单位没有被政府机关</w:t>
      </w:r>
      <w:r>
        <w:rPr>
          <w:rFonts w:ascii="宋体" w:hAnsi="宋体"/>
          <w:color w:val="000000"/>
        </w:rPr>
        <w:t>列入失信被执行人</w:t>
      </w:r>
      <w:r>
        <w:rPr>
          <w:rFonts w:hint="eastAsia" w:ascii="宋体" w:hAnsi="宋体"/>
          <w:color w:val="000000"/>
        </w:rPr>
        <w:t>名单</w:t>
      </w:r>
      <w:r>
        <w:rPr>
          <w:rFonts w:ascii="宋体" w:hAnsi="宋体"/>
          <w:color w:val="000000"/>
        </w:rPr>
        <w:t>、重大税收违法案件当事人名单、政府采购严重违法失信行为记录名单及其他不符合《中华人民共和国政府采购法》第二十二条规定条件</w:t>
      </w:r>
      <w:r>
        <w:rPr>
          <w:rFonts w:hint="eastAsia" w:ascii="宋体" w:hAnsi="宋体"/>
          <w:color w:val="000000"/>
        </w:rPr>
        <w:t>的情形（《中华人民共和国政府采购法实施条例》第十九条规定的情形除外）。</w:t>
      </w:r>
    </w:p>
    <w:p w14:paraId="68108502">
      <w:pPr>
        <w:spacing w:line="460" w:lineRule="atLeast"/>
        <w:ind w:firstLine="440" w:firstLineChars="200"/>
        <w:rPr>
          <w:rFonts w:ascii="宋体" w:hAnsi="宋体"/>
          <w:color w:val="000000"/>
        </w:rPr>
      </w:pPr>
      <w:r>
        <w:rPr>
          <w:rFonts w:hint="eastAsia" w:ascii="宋体" w:hAnsi="宋体"/>
          <w:color w:val="000000"/>
        </w:rPr>
        <w:t>本公司若有违反本承诺内容的行为，愿意承担法律责任，包括不限于：愿意接受相关行政主管部门作出的处罚；给采购人造成损失的，依法承担相应的赔偿责任。</w:t>
      </w:r>
    </w:p>
    <w:p w14:paraId="5CCB95D6">
      <w:pPr>
        <w:spacing w:line="460" w:lineRule="atLeast"/>
        <w:ind w:right="1120"/>
        <w:rPr>
          <w:rFonts w:ascii="宋体" w:hAnsi="宋体"/>
          <w:color w:val="000000"/>
        </w:rPr>
      </w:pPr>
    </w:p>
    <w:p w14:paraId="0940131B">
      <w:pPr>
        <w:spacing w:line="460" w:lineRule="atLeast"/>
        <w:ind w:right="1120"/>
        <w:rPr>
          <w:rFonts w:ascii="宋体" w:hAnsi="宋体"/>
          <w:color w:val="000000"/>
        </w:rPr>
      </w:pPr>
      <w:r>
        <w:rPr>
          <w:rFonts w:hint="eastAsia" w:ascii="宋体" w:hAnsi="宋体"/>
          <w:color w:val="000000"/>
        </w:rPr>
        <w:t>投标供应商（盖章）</w:t>
      </w:r>
    </w:p>
    <w:p w14:paraId="7A29968C">
      <w:pPr>
        <w:spacing w:line="460" w:lineRule="atLeast"/>
        <w:ind w:right="1120"/>
        <w:rPr>
          <w:rFonts w:ascii="宋体" w:hAnsi="宋体"/>
          <w:color w:val="000000"/>
        </w:rPr>
      </w:pPr>
      <w:r>
        <w:rPr>
          <w:rFonts w:hint="eastAsia" w:ascii="宋体" w:hAnsi="宋体"/>
          <w:color w:val="000000"/>
        </w:rPr>
        <w:t>法定代表人（签字或盖章）：</w:t>
      </w:r>
    </w:p>
    <w:p w14:paraId="28816B5A">
      <w:pPr>
        <w:snapToGrid w:val="0"/>
        <w:spacing w:line="500" w:lineRule="atLeast"/>
        <w:rPr>
          <w:rFonts w:ascii="宋体" w:hAnsi="宋体"/>
          <w:color w:val="000000"/>
          <w:sz w:val="30"/>
          <w:szCs w:val="30"/>
        </w:rPr>
      </w:pPr>
      <w:r>
        <w:rPr>
          <w:rFonts w:hint="eastAsia" w:ascii="宋体" w:hAnsi="宋体"/>
          <w:color w:val="000000"/>
        </w:rPr>
        <w:t>承诺书签署日期：</w:t>
      </w:r>
    </w:p>
    <w:p w14:paraId="08002428">
      <w:pPr>
        <w:autoSpaceDE w:val="0"/>
        <w:autoSpaceDN w:val="0"/>
        <w:adjustRightInd w:val="0"/>
        <w:spacing w:line="460" w:lineRule="atLeast"/>
        <w:rPr>
          <w:rFonts w:ascii="宋体" w:hAnsi="宋体"/>
          <w:color w:val="000000"/>
          <w:sz w:val="32"/>
        </w:rPr>
      </w:pPr>
    </w:p>
    <w:p w14:paraId="0877B873">
      <w:pPr>
        <w:autoSpaceDE w:val="0"/>
        <w:autoSpaceDN w:val="0"/>
        <w:adjustRightInd w:val="0"/>
        <w:spacing w:line="460" w:lineRule="atLeast"/>
        <w:rPr>
          <w:rFonts w:ascii="宋体" w:hAnsi="宋体"/>
          <w:color w:val="000000"/>
          <w:sz w:val="30"/>
          <w:lang w:val="zh-CN"/>
        </w:rPr>
      </w:pPr>
    </w:p>
    <w:p w14:paraId="73EBC3CE">
      <w:pPr>
        <w:autoSpaceDE w:val="0"/>
        <w:autoSpaceDN w:val="0"/>
        <w:adjustRightInd w:val="0"/>
        <w:spacing w:line="460" w:lineRule="atLeast"/>
        <w:rPr>
          <w:rFonts w:ascii="宋体" w:hAnsi="宋体"/>
          <w:color w:val="000000"/>
          <w:sz w:val="30"/>
          <w:lang w:val="zh-CN"/>
        </w:rPr>
      </w:pPr>
    </w:p>
    <w:p w14:paraId="36C3A03C">
      <w:pPr>
        <w:autoSpaceDE w:val="0"/>
        <w:autoSpaceDN w:val="0"/>
        <w:adjustRightInd w:val="0"/>
        <w:spacing w:line="460" w:lineRule="atLeast"/>
        <w:rPr>
          <w:rFonts w:ascii="宋体" w:hAnsi="宋体"/>
          <w:color w:val="000000"/>
          <w:sz w:val="30"/>
          <w:lang w:val="zh-CN"/>
        </w:rPr>
      </w:pPr>
    </w:p>
    <w:p w14:paraId="09E6F4F1">
      <w:pPr>
        <w:autoSpaceDE w:val="0"/>
        <w:autoSpaceDN w:val="0"/>
        <w:adjustRightInd w:val="0"/>
        <w:spacing w:line="460" w:lineRule="atLeast"/>
        <w:rPr>
          <w:rFonts w:ascii="宋体" w:hAnsi="宋体"/>
          <w:color w:val="000000"/>
          <w:sz w:val="30"/>
          <w:lang w:val="zh-CN"/>
        </w:rPr>
      </w:pPr>
    </w:p>
    <w:p w14:paraId="7C4F7E8A">
      <w:pPr>
        <w:autoSpaceDE w:val="0"/>
        <w:autoSpaceDN w:val="0"/>
        <w:adjustRightInd w:val="0"/>
        <w:spacing w:line="460" w:lineRule="atLeast"/>
        <w:rPr>
          <w:rFonts w:ascii="宋体" w:hAnsi="宋体"/>
          <w:color w:val="000000"/>
          <w:sz w:val="30"/>
          <w:lang w:val="zh-CN"/>
        </w:rPr>
      </w:pPr>
    </w:p>
    <w:p w14:paraId="10B66ECB">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hAnsi="宋体"/>
          <w:bCs/>
          <w:sz w:val="28"/>
          <w:szCs w:val="36"/>
        </w:rPr>
        <w:sectPr>
          <w:pgSz w:w="11906" w:h="16838"/>
          <w:pgMar w:top="1588" w:right="1248" w:bottom="1134" w:left="1418" w:header="680" w:footer="992" w:gutter="0"/>
          <w:cols w:space="720" w:num="1"/>
          <w:docGrid w:type="lines" w:linePitch="312" w:charSpace="0"/>
        </w:sectPr>
      </w:pPr>
      <w:bookmarkStart w:id="109" w:name="_Toc495673652"/>
      <w:bookmarkStart w:id="110" w:name="_Toc518"/>
      <w:bookmarkStart w:id="111" w:name="_Toc11149"/>
      <w:bookmarkStart w:id="112" w:name="_Toc28485"/>
      <w:bookmarkStart w:id="113" w:name="_Toc20550"/>
      <w:bookmarkStart w:id="114" w:name="_Toc364232512"/>
      <w:bookmarkStart w:id="115" w:name="_Toc433019965"/>
      <w:bookmarkStart w:id="116" w:name="_Toc402258850"/>
      <w:bookmarkStart w:id="117" w:name="_Toc18079"/>
      <w:bookmarkStart w:id="118" w:name="_Toc387128399"/>
      <w:bookmarkStart w:id="119" w:name="_Toc303154314"/>
      <w:bookmarkStart w:id="120" w:name="_Toc318139611"/>
      <w:bookmarkStart w:id="121" w:name="_Toc294682038"/>
      <w:bookmarkStart w:id="122" w:name="_Toc211762710"/>
      <w:bookmarkStart w:id="123" w:name="_Toc373927643"/>
      <w:bookmarkStart w:id="124" w:name="_Toc30192"/>
      <w:bookmarkStart w:id="125" w:name="_Toc11299"/>
      <w:bookmarkStart w:id="126" w:name="_Toc252555574"/>
      <w:bookmarkStart w:id="127" w:name="_Toc45140224"/>
    </w:p>
    <w:p w14:paraId="41C5228F">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ascii="黑体" w:hAnsi="黑体"/>
          <w:b w:val="0"/>
          <w:sz w:val="28"/>
          <w:szCs w:val="28"/>
        </w:rPr>
      </w:pPr>
      <w:bookmarkStart w:id="128" w:name="_Toc8527"/>
      <w:r>
        <w:rPr>
          <w:rFonts w:hint="eastAsia" w:ascii="黑体" w:hAnsi="黑体"/>
          <w:b w:val="0"/>
          <w:sz w:val="28"/>
          <w:szCs w:val="28"/>
        </w:rPr>
        <w:t>附件六</w:t>
      </w:r>
      <w:bookmarkEnd w:id="109"/>
      <w:r>
        <w:rPr>
          <w:rFonts w:hint="eastAsia" w:ascii="黑体" w:hAnsi="黑体"/>
          <w:b w:val="0"/>
          <w:sz w:val="28"/>
          <w:szCs w:val="28"/>
        </w:rPr>
        <w:t>参加政府采购活动前3年内在经营活动中有/无重大违法记录（包括行贿犯罪记录）的书面声明</w:t>
      </w:r>
      <w:bookmarkEnd w:id="110"/>
      <w:bookmarkEnd w:id="111"/>
      <w:bookmarkEnd w:id="112"/>
      <w:bookmarkEnd w:id="113"/>
      <w:bookmarkEnd w:id="128"/>
    </w:p>
    <w:p w14:paraId="42CBA65C">
      <w:pPr>
        <w:spacing w:line="400" w:lineRule="atLeast"/>
        <w:rPr>
          <w:rFonts w:ascii="宋体" w:hAnsi="宋体"/>
          <w:szCs w:val="21"/>
        </w:rPr>
      </w:pPr>
      <w:r>
        <w:rPr>
          <w:rFonts w:hint="eastAsia" w:ascii="宋体" w:hAnsi="宋体"/>
          <w:b/>
          <w:szCs w:val="21"/>
        </w:rPr>
        <w:t>项目名称：                                                  项目编号：</w:t>
      </w:r>
    </w:p>
    <w:tbl>
      <w:tblPr>
        <w:tblStyle w:val="2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4"/>
      </w:tblGrid>
      <w:tr w14:paraId="553A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trPr>
        <w:tc>
          <w:tcPr>
            <w:tcW w:w="1418" w:type="dxa"/>
            <w:vAlign w:val="center"/>
          </w:tcPr>
          <w:p w14:paraId="19B9EC2B">
            <w:pPr>
              <w:tabs>
                <w:tab w:val="left" w:pos="9180"/>
              </w:tabs>
              <w:spacing w:line="440" w:lineRule="exact"/>
              <w:jc w:val="center"/>
              <w:rPr>
                <w:rFonts w:ascii="Arial" w:hAnsi="宋体" w:cs="Arial"/>
                <w:snapToGrid w:val="0"/>
                <w:szCs w:val="21"/>
              </w:rPr>
            </w:pPr>
            <w:r>
              <w:rPr>
                <w:rFonts w:hint="eastAsia" w:ascii="Arial" w:hAnsi="宋体" w:cs="Arial"/>
                <w:snapToGrid w:val="0"/>
                <w:szCs w:val="21"/>
              </w:rPr>
              <w:t>参加政府采购活动前3年内重大违法记录</w:t>
            </w:r>
          </w:p>
        </w:tc>
        <w:tc>
          <w:tcPr>
            <w:tcW w:w="7654" w:type="dxa"/>
            <w:vAlign w:val="center"/>
          </w:tcPr>
          <w:p w14:paraId="0CA5F1CF">
            <w:pPr>
              <w:pStyle w:val="3"/>
              <w:keepNext w:val="0"/>
              <w:keepLines w:val="0"/>
              <w:pageBreakBefore/>
              <w:numPr>
                <w:ilvl w:val="0"/>
                <w:numId w:val="0"/>
              </w:numPr>
              <w:tabs>
                <w:tab w:val="left" w:pos="840"/>
              </w:tabs>
              <w:spacing w:before="312" w:beforeLines="100" w:after="312" w:afterLines="100" w:line="240" w:lineRule="auto"/>
              <w:rPr>
                <w:rFonts w:ascii="Arial" w:hAnsi="宋体" w:cs="Arial"/>
                <w:bCs/>
                <w:sz w:val="21"/>
                <w:szCs w:val="21"/>
              </w:rPr>
            </w:pPr>
          </w:p>
        </w:tc>
      </w:tr>
      <w:tr w14:paraId="7F0D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3" w:hRule="atLeast"/>
        </w:trPr>
        <w:tc>
          <w:tcPr>
            <w:tcW w:w="1418" w:type="dxa"/>
            <w:vAlign w:val="center"/>
          </w:tcPr>
          <w:p w14:paraId="393EFC1F">
            <w:pPr>
              <w:tabs>
                <w:tab w:val="left" w:pos="9180"/>
              </w:tabs>
              <w:spacing w:line="440" w:lineRule="exact"/>
              <w:jc w:val="center"/>
              <w:rPr>
                <w:rFonts w:ascii="Arial" w:hAnsi="宋体" w:cs="Arial"/>
                <w:snapToGrid w:val="0"/>
                <w:szCs w:val="21"/>
              </w:rPr>
            </w:pPr>
            <w:r>
              <w:rPr>
                <w:rFonts w:hint="eastAsia" w:ascii="Arial" w:hAnsi="宋体" w:cs="Arial"/>
                <w:snapToGrid w:val="0"/>
                <w:szCs w:val="21"/>
              </w:rPr>
              <w:t>参加政府采购活动前3年内行贿犯罪记录</w:t>
            </w:r>
          </w:p>
        </w:tc>
        <w:tc>
          <w:tcPr>
            <w:tcW w:w="7654" w:type="dxa"/>
            <w:vAlign w:val="center"/>
          </w:tcPr>
          <w:p w14:paraId="405B064E">
            <w:pPr>
              <w:pStyle w:val="12"/>
              <w:spacing w:after="50"/>
              <w:ind w:left="440"/>
              <w:jc w:val="center"/>
              <w:outlineLvl w:val="0"/>
              <w:rPr>
                <w:rFonts w:ascii="Arial" w:hAnsi="宋体" w:cs="Arial"/>
                <w:bCs/>
                <w:szCs w:val="21"/>
              </w:rPr>
            </w:pPr>
          </w:p>
        </w:tc>
      </w:tr>
    </w:tbl>
    <w:p w14:paraId="4D4DFD49">
      <w:pPr>
        <w:tabs>
          <w:tab w:val="left" w:pos="9180"/>
        </w:tabs>
        <w:spacing w:line="440" w:lineRule="exact"/>
        <w:rPr>
          <w:rFonts w:ascii="Arial" w:hAnsi="宋体" w:cs="Arial"/>
          <w:snapToGrid w:val="0"/>
          <w:szCs w:val="21"/>
        </w:rPr>
      </w:pPr>
      <w:r>
        <w:rPr>
          <w:rFonts w:hint="eastAsia" w:ascii="Arial" w:hAnsi="宋体" w:cs="Arial"/>
          <w:snapToGrid w:val="0"/>
          <w:szCs w:val="21"/>
        </w:rPr>
        <w:t>备注：1、参加政府采购活动的时间是指供应商参加本项目的政府采购活动时间为准（具体以投标截止时间为准）。</w:t>
      </w:r>
    </w:p>
    <w:p w14:paraId="43FAB635">
      <w:pPr>
        <w:tabs>
          <w:tab w:val="left" w:pos="9180"/>
        </w:tabs>
        <w:spacing w:line="440" w:lineRule="exact"/>
        <w:ind w:firstLine="550" w:firstLineChars="250"/>
        <w:rPr>
          <w:rFonts w:ascii="Arial" w:hAnsi="宋体" w:cs="Arial"/>
          <w:snapToGrid w:val="0"/>
          <w:szCs w:val="21"/>
        </w:rPr>
      </w:pPr>
      <w:r>
        <w:rPr>
          <w:rFonts w:hint="eastAsia" w:ascii="Arial" w:hAnsi="宋体" w:cs="Arial"/>
          <w:snapToGrid w:val="0"/>
          <w:szCs w:val="21"/>
        </w:rPr>
        <w:t>2、本表必须提供。</w:t>
      </w:r>
    </w:p>
    <w:bookmarkEnd w:id="114"/>
    <w:bookmarkEnd w:id="115"/>
    <w:bookmarkEnd w:id="116"/>
    <w:bookmarkEnd w:id="117"/>
    <w:bookmarkEnd w:id="118"/>
    <w:p w14:paraId="042CDD2F">
      <w:pPr>
        <w:spacing w:line="480" w:lineRule="auto"/>
        <w:ind w:firstLine="3960" w:firstLineChars="1800"/>
        <w:rPr>
          <w:rFonts w:ascii="Arial" w:hAnsi="Arial"/>
        </w:rPr>
      </w:pPr>
      <w:r>
        <w:rPr>
          <w:rFonts w:hint="eastAsia" w:ascii="Arial" w:hAnsi="Arial"/>
        </w:rPr>
        <w:t>磋商供应商（公章）：</w:t>
      </w:r>
    </w:p>
    <w:p w14:paraId="482E03F4">
      <w:pPr>
        <w:spacing w:line="480" w:lineRule="auto"/>
        <w:jc w:val="right"/>
        <w:rPr>
          <w:rFonts w:ascii="Arial" w:hAnsi="Arial"/>
        </w:rPr>
      </w:pPr>
      <w:r>
        <w:rPr>
          <w:rFonts w:hint="eastAsia" w:ascii="Arial" w:hAnsi="Arial"/>
        </w:rPr>
        <w:t>法定代表人（法定负责人）或授权代表（签字或盖章）：</w:t>
      </w:r>
    </w:p>
    <w:p w14:paraId="285A841B">
      <w:pPr>
        <w:pStyle w:val="11"/>
        <w:spacing w:line="480" w:lineRule="auto"/>
        <w:jc w:val="center"/>
        <w:rPr>
          <w:rFonts w:ascii="宋体" w:hAnsi="宋体"/>
          <w:sz w:val="28"/>
        </w:rPr>
        <w:sectPr>
          <w:pgSz w:w="11906" w:h="16838"/>
          <w:pgMar w:top="1588" w:right="1248" w:bottom="1134" w:left="1418" w:header="680" w:footer="992" w:gutter="0"/>
          <w:cols w:space="720" w:num="1"/>
          <w:docGrid w:type="lines" w:linePitch="312" w:charSpace="0"/>
        </w:sectPr>
      </w:pPr>
      <w:r>
        <w:rPr>
          <w:rFonts w:hint="eastAsia" w:ascii="Arial" w:hAnsi="Arial" w:eastAsia="宋体"/>
          <w:kern w:val="0"/>
          <w:sz w:val="21"/>
        </w:rPr>
        <w:t>日期：</w:t>
      </w:r>
      <w:bookmarkStart w:id="129" w:name="_Toc20491"/>
      <w:bookmarkStart w:id="130" w:name="_Toc9320"/>
      <w:bookmarkStart w:id="131" w:name="_Toc19349"/>
    </w:p>
    <w:bookmarkEnd w:id="129"/>
    <w:bookmarkEnd w:id="130"/>
    <w:bookmarkEnd w:id="131"/>
    <w:p w14:paraId="338AB8D5">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ascii="宋体" w:hAnsi="宋体"/>
          <w:b w:val="0"/>
          <w:bCs/>
          <w:sz w:val="28"/>
          <w:szCs w:val="28"/>
        </w:rPr>
        <w:sectPr>
          <w:pgSz w:w="11906" w:h="16838"/>
          <w:pgMar w:top="1588" w:right="1248" w:bottom="1134" w:left="1418" w:header="680" w:footer="992" w:gutter="0"/>
          <w:cols w:space="720" w:num="1"/>
          <w:docGrid w:type="lines" w:linePitch="312" w:charSpace="0"/>
        </w:sectPr>
      </w:pPr>
      <w:bookmarkStart w:id="132" w:name="_Toc30977"/>
      <w:bookmarkStart w:id="133" w:name="_Toc4792"/>
      <w:r>
        <w:rPr>
          <w:rFonts w:hint="eastAsia" w:ascii="宋体" w:hAnsi="宋体"/>
          <w:b w:val="0"/>
          <w:bCs/>
          <w:sz w:val="28"/>
          <w:szCs w:val="28"/>
        </w:rPr>
        <w:t xml:space="preserve">附件七 </w:t>
      </w:r>
      <w:r>
        <w:rPr>
          <w:rFonts w:hint="eastAsia"/>
          <w:b w:val="0"/>
          <w:bCs/>
          <w:sz w:val="28"/>
          <w:szCs w:val="28"/>
        </w:rPr>
        <w:t>磋商供应商证书情况</w:t>
      </w:r>
      <w:bookmarkEnd w:id="132"/>
    </w:p>
    <w:p w14:paraId="6BE17F9E">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ascii="宋体" w:hAnsi="宋体"/>
          <w:b w:val="0"/>
          <w:bCs/>
          <w:sz w:val="28"/>
          <w:szCs w:val="28"/>
        </w:rPr>
      </w:pPr>
      <w:bookmarkStart w:id="134" w:name="_Toc21723"/>
      <w:r>
        <w:rPr>
          <w:rFonts w:hint="eastAsia" w:ascii="宋体" w:hAnsi="宋体"/>
          <w:b w:val="0"/>
          <w:bCs/>
          <w:sz w:val="28"/>
          <w:szCs w:val="28"/>
        </w:rPr>
        <w:t>附件八   拟投入本项目人员配备情况表</w:t>
      </w:r>
      <w:bookmarkEnd w:id="134"/>
    </w:p>
    <w:tbl>
      <w:tblPr>
        <w:tblStyle w:val="29"/>
        <w:tblW w:w="9024"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795"/>
        <w:gridCol w:w="915"/>
        <w:gridCol w:w="2295"/>
        <w:gridCol w:w="1905"/>
        <w:gridCol w:w="1840"/>
      </w:tblGrid>
      <w:tr w14:paraId="5E2C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exact"/>
        </w:trPr>
        <w:tc>
          <w:tcPr>
            <w:tcW w:w="1274" w:type="dxa"/>
            <w:vAlign w:val="center"/>
          </w:tcPr>
          <w:p w14:paraId="44E9D219">
            <w:pPr>
              <w:spacing w:before="31" w:beforeLines="10" w:line="400" w:lineRule="exact"/>
              <w:jc w:val="center"/>
              <w:rPr>
                <w:rFonts w:ascii="宋体" w:hAnsi="宋体" w:cs="Arial Unicode MS"/>
                <w:szCs w:val="21"/>
              </w:rPr>
            </w:pPr>
            <w:r>
              <w:rPr>
                <w:rFonts w:hint="eastAsia" w:ascii="宋体" w:hAnsi="宋体" w:cs="Arial Unicode MS"/>
                <w:szCs w:val="21"/>
              </w:rPr>
              <w:t>姓名</w:t>
            </w:r>
          </w:p>
        </w:tc>
        <w:tc>
          <w:tcPr>
            <w:tcW w:w="795" w:type="dxa"/>
            <w:vAlign w:val="center"/>
          </w:tcPr>
          <w:p w14:paraId="592DF31B">
            <w:pPr>
              <w:spacing w:before="31" w:beforeLines="10" w:line="400" w:lineRule="exact"/>
              <w:jc w:val="center"/>
              <w:rPr>
                <w:rFonts w:ascii="宋体" w:hAnsi="宋体" w:cs="Arial Unicode MS"/>
                <w:szCs w:val="21"/>
              </w:rPr>
            </w:pPr>
            <w:r>
              <w:rPr>
                <w:rFonts w:hint="eastAsia" w:ascii="宋体" w:hAnsi="宋体" w:cs="Arial Unicode MS"/>
                <w:szCs w:val="21"/>
              </w:rPr>
              <w:t>性别</w:t>
            </w:r>
          </w:p>
        </w:tc>
        <w:tc>
          <w:tcPr>
            <w:tcW w:w="915" w:type="dxa"/>
            <w:vAlign w:val="center"/>
          </w:tcPr>
          <w:p w14:paraId="52D42D79">
            <w:pPr>
              <w:spacing w:before="31" w:beforeLines="10" w:line="400" w:lineRule="exact"/>
              <w:jc w:val="center"/>
              <w:rPr>
                <w:rFonts w:ascii="宋体" w:hAnsi="宋体" w:cs="Arial Unicode MS"/>
                <w:szCs w:val="21"/>
              </w:rPr>
            </w:pPr>
            <w:r>
              <w:rPr>
                <w:rFonts w:hint="eastAsia" w:ascii="宋体" w:hAnsi="宋体" w:cs="Arial Unicode MS"/>
                <w:szCs w:val="21"/>
              </w:rPr>
              <w:t>年龄</w:t>
            </w:r>
          </w:p>
        </w:tc>
        <w:tc>
          <w:tcPr>
            <w:tcW w:w="2295" w:type="dxa"/>
            <w:vAlign w:val="center"/>
          </w:tcPr>
          <w:p w14:paraId="30E14C8E">
            <w:pPr>
              <w:spacing w:before="31" w:beforeLines="10" w:line="400" w:lineRule="exact"/>
              <w:jc w:val="center"/>
              <w:rPr>
                <w:rFonts w:ascii="宋体" w:hAnsi="宋体" w:cs="Arial Unicode MS"/>
                <w:szCs w:val="21"/>
              </w:rPr>
            </w:pPr>
            <w:r>
              <w:rPr>
                <w:rFonts w:hint="eastAsia" w:ascii="宋体" w:hAnsi="宋体" w:cs="Arial Unicode MS"/>
                <w:szCs w:val="21"/>
              </w:rPr>
              <w:t>在本项目团队内身份</w:t>
            </w:r>
          </w:p>
        </w:tc>
        <w:tc>
          <w:tcPr>
            <w:tcW w:w="1905" w:type="dxa"/>
            <w:vAlign w:val="center"/>
          </w:tcPr>
          <w:p w14:paraId="4E42B602">
            <w:pPr>
              <w:spacing w:before="31" w:beforeLines="10" w:line="400" w:lineRule="exact"/>
              <w:jc w:val="center"/>
              <w:rPr>
                <w:rFonts w:ascii="宋体" w:hAnsi="宋体" w:cs="Arial Unicode MS"/>
                <w:szCs w:val="21"/>
              </w:rPr>
            </w:pPr>
            <w:r>
              <w:rPr>
                <w:rFonts w:hint="eastAsia" w:ascii="宋体" w:hAnsi="宋体" w:cs="Arial Unicode MS"/>
                <w:szCs w:val="21"/>
              </w:rPr>
              <w:t>职称</w:t>
            </w:r>
          </w:p>
        </w:tc>
        <w:tc>
          <w:tcPr>
            <w:tcW w:w="1840" w:type="dxa"/>
            <w:vAlign w:val="center"/>
          </w:tcPr>
          <w:p w14:paraId="704D3D12">
            <w:pPr>
              <w:spacing w:before="31" w:beforeLines="10" w:line="400" w:lineRule="exact"/>
              <w:jc w:val="center"/>
              <w:rPr>
                <w:rFonts w:ascii="宋体" w:hAnsi="宋体" w:cs="Arial Unicode MS"/>
                <w:szCs w:val="21"/>
              </w:rPr>
            </w:pPr>
            <w:r>
              <w:rPr>
                <w:rFonts w:hint="eastAsia" w:ascii="宋体" w:hAnsi="宋体" w:cs="宋体"/>
              </w:rPr>
              <w:t>备注</w:t>
            </w:r>
          </w:p>
        </w:tc>
      </w:tr>
      <w:tr w14:paraId="2853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4" w:type="dxa"/>
          </w:tcPr>
          <w:p w14:paraId="77CC12CD">
            <w:pPr>
              <w:spacing w:before="31" w:beforeLines="10" w:line="400" w:lineRule="exact"/>
              <w:rPr>
                <w:rFonts w:ascii="宋体" w:hAnsi="宋体" w:cs="Arial Unicode MS"/>
                <w:szCs w:val="21"/>
              </w:rPr>
            </w:pPr>
          </w:p>
        </w:tc>
        <w:tc>
          <w:tcPr>
            <w:tcW w:w="795" w:type="dxa"/>
          </w:tcPr>
          <w:p w14:paraId="6AFA45E5">
            <w:pPr>
              <w:spacing w:before="31" w:beforeLines="10" w:line="400" w:lineRule="exact"/>
              <w:rPr>
                <w:rFonts w:ascii="宋体" w:hAnsi="宋体" w:cs="Arial Unicode MS"/>
                <w:szCs w:val="21"/>
              </w:rPr>
            </w:pPr>
          </w:p>
        </w:tc>
        <w:tc>
          <w:tcPr>
            <w:tcW w:w="915" w:type="dxa"/>
          </w:tcPr>
          <w:p w14:paraId="1E58531C">
            <w:pPr>
              <w:spacing w:before="31" w:beforeLines="10" w:line="400" w:lineRule="exact"/>
              <w:rPr>
                <w:rFonts w:ascii="宋体" w:hAnsi="宋体" w:cs="Arial Unicode MS"/>
                <w:szCs w:val="21"/>
              </w:rPr>
            </w:pPr>
          </w:p>
        </w:tc>
        <w:tc>
          <w:tcPr>
            <w:tcW w:w="2295" w:type="dxa"/>
          </w:tcPr>
          <w:p w14:paraId="3D7928D2">
            <w:pPr>
              <w:spacing w:before="31" w:beforeLines="10" w:line="400" w:lineRule="exact"/>
              <w:jc w:val="center"/>
              <w:rPr>
                <w:rFonts w:ascii="宋体" w:hAnsi="宋体" w:cs="Arial Unicode MS"/>
                <w:szCs w:val="21"/>
              </w:rPr>
            </w:pPr>
          </w:p>
        </w:tc>
        <w:tc>
          <w:tcPr>
            <w:tcW w:w="1905" w:type="dxa"/>
          </w:tcPr>
          <w:p w14:paraId="6C1FDD59">
            <w:pPr>
              <w:spacing w:before="31" w:beforeLines="10" w:line="400" w:lineRule="exact"/>
              <w:rPr>
                <w:rFonts w:ascii="宋体" w:hAnsi="宋体" w:cs="Arial Unicode MS"/>
                <w:szCs w:val="21"/>
              </w:rPr>
            </w:pPr>
          </w:p>
        </w:tc>
        <w:tc>
          <w:tcPr>
            <w:tcW w:w="1840" w:type="dxa"/>
          </w:tcPr>
          <w:p w14:paraId="1D7B901A">
            <w:pPr>
              <w:spacing w:before="31" w:beforeLines="10" w:line="400" w:lineRule="exact"/>
              <w:rPr>
                <w:rFonts w:ascii="宋体" w:hAnsi="宋体" w:cs="Arial Unicode MS"/>
                <w:szCs w:val="21"/>
              </w:rPr>
            </w:pPr>
          </w:p>
        </w:tc>
      </w:tr>
      <w:tr w14:paraId="0555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274" w:type="dxa"/>
          </w:tcPr>
          <w:p w14:paraId="383D9ED6">
            <w:pPr>
              <w:spacing w:before="31" w:beforeLines="10" w:line="400" w:lineRule="exact"/>
              <w:rPr>
                <w:rFonts w:ascii="宋体" w:hAnsi="宋体" w:cs="Arial Unicode MS"/>
                <w:szCs w:val="21"/>
              </w:rPr>
            </w:pPr>
          </w:p>
        </w:tc>
        <w:tc>
          <w:tcPr>
            <w:tcW w:w="795" w:type="dxa"/>
          </w:tcPr>
          <w:p w14:paraId="2F034166">
            <w:pPr>
              <w:spacing w:before="31" w:beforeLines="10" w:line="400" w:lineRule="exact"/>
              <w:rPr>
                <w:rFonts w:ascii="宋体" w:hAnsi="宋体" w:cs="Arial Unicode MS"/>
                <w:szCs w:val="21"/>
              </w:rPr>
            </w:pPr>
          </w:p>
        </w:tc>
        <w:tc>
          <w:tcPr>
            <w:tcW w:w="915" w:type="dxa"/>
          </w:tcPr>
          <w:p w14:paraId="2AF0AEBD">
            <w:pPr>
              <w:spacing w:before="31" w:beforeLines="10" w:line="400" w:lineRule="exact"/>
              <w:rPr>
                <w:rFonts w:ascii="宋体" w:hAnsi="宋体" w:cs="Arial Unicode MS"/>
                <w:szCs w:val="21"/>
              </w:rPr>
            </w:pPr>
          </w:p>
        </w:tc>
        <w:tc>
          <w:tcPr>
            <w:tcW w:w="2295" w:type="dxa"/>
          </w:tcPr>
          <w:p w14:paraId="6E6C437A">
            <w:pPr>
              <w:spacing w:before="31" w:beforeLines="10" w:line="400" w:lineRule="exact"/>
              <w:jc w:val="center"/>
              <w:rPr>
                <w:rFonts w:ascii="宋体" w:hAnsi="宋体" w:cs="Arial Unicode MS"/>
                <w:szCs w:val="21"/>
              </w:rPr>
            </w:pPr>
          </w:p>
        </w:tc>
        <w:tc>
          <w:tcPr>
            <w:tcW w:w="1905" w:type="dxa"/>
          </w:tcPr>
          <w:p w14:paraId="4A658FB6">
            <w:pPr>
              <w:spacing w:before="31" w:beforeLines="10" w:line="400" w:lineRule="exact"/>
              <w:rPr>
                <w:rFonts w:ascii="宋体" w:hAnsi="宋体" w:cs="Arial Unicode MS"/>
                <w:szCs w:val="21"/>
              </w:rPr>
            </w:pPr>
          </w:p>
        </w:tc>
        <w:tc>
          <w:tcPr>
            <w:tcW w:w="1840" w:type="dxa"/>
          </w:tcPr>
          <w:p w14:paraId="354724A4">
            <w:pPr>
              <w:spacing w:before="31" w:beforeLines="10" w:line="400" w:lineRule="exact"/>
              <w:rPr>
                <w:rFonts w:ascii="宋体" w:hAnsi="宋体" w:cs="Arial Unicode MS"/>
                <w:szCs w:val="21"/>
              </w:rPr>
            </w:pPr>
          </w:p>
        </w:tc>
      </w:tr>
      <w:tr w14:paraId="1F8D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274" w:type="dxa"/>
          </w:tcPr>
          <w:p w14:paraId="3A55EE6F">
            <w:pPr>
              <w:spacing w:before="31" w:beforeLines="10" w:line="400" w:lineRule="exact"/>
              <w:rPr>
                <w:rFonts w:ascii="宋体" w:hAnsi="宋体" w:cs="Arial Unicode MS"/>
                <w:szCs w:val="21"/>
              </w:rPr>
            </w:pPr>
          </w:p>
        </w:tc>
        <w:tc>
          <w:tcPr>
            <w:tcW w:w="795" w:type="dxa"/>
          </w:tcPr>
          <w:p w14:paraId="0DA8F23E">
            <w:pPr>
              <w:spacing w:before="31" w:beforeLines="10" w:line="400" w:lineRule="exact"/>
              <w:rPr>
                <w:rFonts w:ascii="宋体" w:hAnsi="宋体" w:cs="Arial Unicode MS"/>
                <w:szCs w:val="21"/>
              </w:rPr>
            </w:pPr>
          </w:p>
        </w:tc>
        <w:tc>
          <w:tcPr>
            <w:tcW w:w="915" w:type="dxa"/>
          </w:tcPr>
          <w:p w14:paraId="2561E6CD">
            <w:pPr>
              <w:spacing w:before="31" w:beforeLines="10" w:line="400" w:lineRule="exact"/>
              <w:rPr>
                <w:rFonts w:ascii="宋体" w:hAnsi="宋体" w:cs="Arial Unicode MS"/>
                <w:szCs w:val="21"/>
              </w:rPr>
            </w:pPr>
          </w:p>
        </w:tc>
        <w:tc>
          <w:tcPr>
            <w:tcW w:w="2295" w:type="dxa"/>
          </w:tcPr>
          <w:p w14:paraId="37E01BBE">
            <w:pPr>
              <w:spacing w:before="31" w:beforeLines="10" w:line="400" w:lineRule="exact"/>
              <w:rPr>
                <w:rFonts w:ascii="宋体" w:hAnsi="宋体" w:cs="Arial Unicode MS"/>
                <w:szCs w:val="21"/>
              </w:rPr>
            </w:pPr>
          </w:p>
        </w:tc>
        <w:tc>
          <w:tcPr>
            <w:tcW w:w="1905" w:type="dxa"/>
          </w:tcPr>
          <w:p w14:paraId="2B9516A0">
            <w:pPr>
              <w:spacing w:before="31" w:beforeLines="10" w:line="400" w:lineRule="exact"/>
              <w:rPr>
                <w:rFonts w:ascii="宋体" w:hAnsi="宋体" w:cs="Arial Unicode MS"/>
                <w:szCs w:val="21"/>
              </w:rPr>
            </w:pPr>
          </w:p>
        </w:tc>
        <w:tc>
          <w:tcPr>
            <w:tcW w:w="1840" w:type="dxa"/>
          </w:tcPr>
          <w:p w14:paraId="1191C05C">
            <w:pPr>
              <w:spacing w:before="31" w:beforeLines="10" w:line="400" w:lineRule="exact"/>
              <w:rPr>
                <w:rFonts w:ascii="宋体" w:hAnsi="宋体" w:cs="Arial Unicode MS"/>
                <w:szCs w:val="21"/>
              </w:rPr>
            </w:pPr>
          </w:p>
        </w:tc>
      </w:tr>
      <w:tr w14:paraId="7CC6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08FB8E81">
            <w:pPr>
              <w:spacing w:before="31" w:beforeLines="10" w:line="400" w:lineRule="exact"/>
              <w:rPr>
                <w:rFonts w:ascii="宋体" w:hAnsi="宋体" w:cs="Arial Unicode MS"/>
                <w:szCs w:val="21"/>
              </w:rPr>
            </w:pPr>
          </w:p>
        </w:tc>
        <w:tc>
          <w:tcPr>
            <w:tcW w:w="795" w:type="dxa"/>
          </w:tcPr>
          <w:p w14:paraId="3596ADC6">
            <w:pPr>
              <w:spacing w:before="31" w:beforeLines="10" w:line="400" w:lineRule="exact"/>
              <w:rPr>
                <w:rFonts w:ascii="宋体" w:hAnsi="宋体" w:cs="Arial Unicode MS"/>
                <w:szCs w:val="21"/>
              </w:rPr>
            </w:pPr>
          </w:p>
        </w:tc>
        <w:tc>
          <w:tcPr>
            <w:tcW w:w="915" w:type="dxa"/>
          </w:tcPr>
          <w:p w14:paraId="709566A2">
            <w:pPr>
              <w:spacing w:before="31" w:beforeLines="10" w:line="400" w:lineRule="exact"/>
              <w:rPr>
                <w:rFonts w:ascii="宋体" w:hAnsi="宋体" w:cs="Arial Unicode MS"/>
                <w:szCs w:val="21"/>
              </w:rPr>
            </w:pPr>
          </w:p>
        </w:tc>
        <w:tc>
          <w:tcPr>
            <w:tcW w:w="2295" w:type="dxa"/>
          </w:tcPr>
          <w:p w14:paraId="2E8F4FA9">
            <w:pPr>
              <w:spacing w:before="31" w:beforeLines="10" w:line="400" w:lineRule="exact"/>
              <w:rPr>
                <w:rFonts w:ascii="宋体" w:hAnsi="宋体" w:cs="Arial Unicode MS"/>
                <w:szCs w:val="21"/>
              </w:rPr>
            </w:pPr>
          </w:p>
        </w:tc>
        <w:tc>
          <w:tcPr>
            <w:tcW w:w="1905" w:type="dxa"/>
          </w:tcPr>
          <w:p w14:paraId="4AEFD525">
            <w:pPr>
              <w:spacing w:before="31" w:beforeLines="10" w:line="400" w:lineRule="exact"/>
              <w:rPr>
                <w:rFonts w:ascii="宋体" w:hAnsi="宋体" w:cs="Arial Unicode MS"/>
                <w:szCs w:val="21"/>
              </w:rPr>
            </w:pPr>
          </w:p>
        </w:tc>
        <w:tc>
          <w:tcPr>
            <w:tcW w:w="1840" w:type="dxa"/>
          </w:tcPr>
          <w:p w14:paraId="6DD0C29B">
            <w:pPr>
              <w:spacing w:before="31" w:beforeLines="10" w:line="400" w:lineRule="exact"/>
              <w:rPr>
                <w:rFonts w:ascii="宋体" w:hAnsi="宋体" w:cs="Arial Unicode MS"/>
                <w:szCs w:val="21"/>
              </w:rPr>
            </w:pPr>
          </w:p>
        </w:tc>
      </w:tr>
      <w:tr w14:paraId="6D02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6D611ED6">
            <w:pPr>
              <w:spacing w:before="31" w:beforeLines="10" w:line="400" w:lineRule="exact"/>
              <w:rPr>
                <w:rFonts w:ascii="宋体" w:hAnsi="宋体" w:cs="Arial Unicode MS"/>
                <w:szCs w:val="21"/>
              </w:rPr>
            </w:pPr>
          </w:p>
        </w:tc>
        <w:tc>
          <w:tcPr>
            <w:tcW w:w="795" w:type="dxa"/>
          </w:tcPr>
          <w:p w14:paraId="41E8E104">
            <w:pPr>
              <w:spacing w:before="31" w:beforeLines="10" w:line="400" w:lineRule="exact"/>
              <w:rPr>
                <w:rFonts w:ascii="宋体" w:hAnsi="宋体" w:cs="Arial Unicode MS"/>
                <w:szCs w:val="21"/>
              </w:rPr>
            </w:pPr>
          </w:p>
        </w:tc>
        <w:tc>
          <w:tcPr>
            <w:tcW w:w="915" w:type="dxa"/>
          </w:tcPr>
          <w:p w14:paraId="1E0D383D">
            <w:pPr>
              <w:spacing w:before="31" w:beforeLines="10" w:line="400" w:lineRule="exact"/>
              <w:rPr>
                <w:rFonts w:ascii="宋体" w:hAnsi="宋体" w:cs="Arial Unicode MS"/>
                <w:szCs w:val="21"/>
              </w:rPr>
            </w:pPr>
          </w:p>
        </w:tc>
        <w:tc>
          <w:tcPr>
            <w:tcW w:w="2295" w:type="dxa"/>
          </w:tcPr>
          <w:p w14:paraId="7C333135">
            <w:pPr>
              <w:spacing w:before="31" w:beforeLines="10" w:line="400" w:lineRule="exact"/>
              <w:rPr>
                <w:rFonts w:ascii="宋体" w:hAnsi="宋体" w:cs="Arial Unicode MS"/>
                <w:szCs w:val="21"/>
              </w:rPr>
            </w:pPr>
          </w:p>
        </w:tc>
        <w:tc>
          <w:tcPr>
            <w:tcW w:w="1905" w:type="dxa"/>
          </w:tcPr>
          <w:p w14:paraId="52F3AF2C">
            <w:pPr>
              <w:spacing w:before="31" w:beforeLines="10" w:line="400" w:lineRule="exact"/>
              <w:rPr>
                <w:rFonts w:ascii="宋体" w:hAnsi="宋体" w:cs="Arial Unicode MS"/>
                <w:szCs w:val="21"/>
              </w:rPr>
            </w:pPr>
          </w:p>
        </w:tc>
        <w:tc>
          <w:tcPr>
            <w:tcW w:w="1840" w:type="dxa"/>
          </w:tcPr>
          <w:p w14:paraId="6993FAA2">
            <w:pPr>
              <w:spacing w:before="31" w:beforeLines="10" w:line="400" w:lineRule="exact"/>
              <w:rPr>
                <w:rFonts w:ascii="宋体" w:hAnsi="宋体" w:cs="Arial Unicode MS"/>
                <w:szCs w:val="21"/>
              </w:rPr>
            </w:pPr>
          </w:p>
        </w:tc>
      </w:tr>
      <w:tr w14:paraId="499B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25A0DC6A">
            <w:pPr>
              <w:spacing w:before="31" w:beforeLines="10" w:line="400" w:lineRule="exact"/>
              <w:rPr>
                <w:rFonts w:ascii="宋体" w:hAnsi="宋体" w:cs="Arial Unicode MS"/>
                <w:szCs w:val="21"/>
              </w:rPr>
            </w:pPr>
          </w:p>
        </w:tc>
        <w:tc>
          <w:tcPr>
            <w:tcW w:w="795" w:type="dxa"/>
          </w:tcPr>
          <w:p w14:paraId="27349039">
            <w:pPr>
              <w:spacing w:before="31" w:beforeLines="10" w:line="400" w:lineRule="exact"/>
              <w:rPr>
                <w:rFonts w:ascii="宋体" w:hAnsi="宋体" w:cs="Arial Unicode MS"/>
                <w:szCs w:val="21"/>
              </w:rPr>
            </w:pPr>
          </w:p>
        </w:tc>
        <w:tc>
          <w:tcPr>
            <w:tcW w:w="915" w:type="dxa"/>
          </w:tcPr>
          <w:p w14:paraId="268D99A6">
            <w:pPr>
              <w:spacing w:before="31" w:beforeLines="10" w:line="400" w:lineRule="exact"/>
              <w:rPr>
                <w:rFonts w:ascii="宋体" w:hAnsi="宋体" w:cs="Arial Unicode MS"/>
                <w:szCs w:val="21"/>
              </w:rPr>
            </w:pPr>
          </w:p>
        </w:tc>
        <w:tc>
          <w:tcPr>
            <w:tcW w:w="2295" w:type="dxa"/>
          </w:tcPr>
          <w:p w14:paraId="214C3EF6">
            <w:pPr>
              <w:spacing w:before="31" w:beforeLines="10" w:line="400" w:lineRule="exact"/>
              <w:rPr>
                <w:rFonts w:ascii="宋体" w:hAnsi="宋体" w:cs="Arial Unicode MS"/>
                <w:szCs w:val="21"/>
              </w:rPr>
            </w:pPr>
          </w:p>
        </w:tc>
        <w:tc>
          <w:tcPr>
            <w:tcW w:w="1905" w:type="dxa"/>
          </w:tcPr>
          <w:p w14:paraId="05182C0D">
            <w:pPr>
              <w:spacing w:before="31" w:beforeLines="10" w:line="400" w:lineRule="exact"/>
              <w:rPr>
                <w:rFonts w:ascii="宋体" w:hAnsi="宋体" w:cs="Arial Unicode MS"/>
                <w:szCs w:val="21"/>
              </w:rPr>
            </w:pPr>
          </w:p>
        </w:tc>
        <w:tc>
          <w:tcPr>
            <w:tcW w:w="1840" w:type="dxa"/>
          </w:tcPr>
          <w:p w14:paraId="0B5EA98B">
            <w:pPr>
              <w:spacing w:before="31" w:beforeLines="10" w:line="400" w:lineRule="exact"/>
              <w:rPr>
                <w:rFonts w:ascii="宋体" w:hAnsi="宋体" w:cs="Arial Unicode MS"/>
                <w:szCs w:val="21"/>
              </w:rPr>
            </w:pPr>
          </w:p>
        </w:tc>
      </w:tr>
      <w:tr w14:paraId="51B4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5AE31733">
            <w:pPr>
              <w:spacing w:before="31" w:beforeLines="10" w:line="400" w:lineRule="exact"/>
              <w:rPr>
                <w:rFonts w:ascii="宋体" w:hAnsi="宋体" w:cs="Arial Unicode MS"/>
                <w:szCs w:val="21"/>
              </w:rPr>
            </w:pPr>
          </w:p>
        </w:tc>
        <w:tc>
          <w:tcPr>
            <w:tcW w:w="795" w:type="dxa"/>
          </w:tcPr>
          <w:p w14:paraId="54FDF277">
            <w:pPr>
              <w:spacing w:before="31" w:beforeLines="10" w:line="400" w:lineRule="exact"/>
              <w:rPr>
                <w:rFonts w:ascii="宋体" w:hAnsi="宋体" w:cs="Arial Unicode MS"/>
                <w:szCs w:val="21"/>
              </w:rPr>
            </w:pPr>
          </w:p>
        </w:tc>
        <w:tc>
          <w:tcPr>
            <w:tcW w:w="915" w:type="dxa"/>
          </w:tcPr>
          <w:p w14:paraId="2D4BB17F">
            <w:pPr>
              <w:spacing w:before="31" w:beforeLines="10" w:line="400" w:lineRule="exact"/>
              <w:rPr>
                <w:rFonts w:ascii="宋体" w:hAnsi="宋体" w:cs="Arial Unicode MS"/>
                <w:szCs w:val="21"/>
              </w:rPr>
            </w:pPr>
          </w:p>
        </w:tc>
        <w:tc>
          <w:tcPr>
            <w:tcW w:w="2295" w:type="dxa"/>
          </w:tcPr>
          <w:p w14:paraId="4BE52F0D">
            <w:pPr>
              <w:spacing w:before="31" w:beforeLines="10" w:line="400" w:lineRule="exact"/>
              <w:rPr>
                <w:rFonts w:ascii="宋体" w:hAnsi="宋体" w:cs="Arial Unicode MS"/>
                <w:szCs w:val="21"/>
              </w:rPr>
            </w:pPr>
          </w:p>
        </w:tc>
        <w:tc>
          <w:tcPr>
            <w:tcW w:w="1905" w:type="dxa"/>
          </w:tcPr>
          <w:p w14:paraId="324ADE5D">
            <w:pPr>
              <w:spacing w:before="31" w:beforeLines="10" w:line="400" w:lineRule="exact"/>
              <w:rPr>
                <w:rFonts w:ascii="宋体" w:hAnsi="宋体" w:cs="Arial Unicode MS"/>
                <w:szCs w:val="21"/>
              </w:rPr>
            </w:pPr>
          </w:p>
        </w:tc>
        <w:tc>
          <w:tcPr>
            <w:tcW w:w="1840" w:type="dxa"/>
          </w:tcPr>
          <w:p w14:paraId="7D416B0D">
            <w:pPr>
              <w:spacing w:before="31" w:beforeLines="10" w:line="400" w:lineRule="exact"/>
              <w:rPr>
                <w:rFonts w:ascii="宋体" w:hAnsi="宋体" w:cs="Arial Unicode MS"/>
                <w:szCs w:val="21"/>
              </w:rPr>
            </w:pPr>
          </w:p>
        </w:tc>
      </w:tr>
      <w:tr w14:paraId="45F2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1F37163F">
            <w:pPr>
              <w:spacing w:before="31" w:beforeLines="10" w:line="400" w:lineRule="exact"/>
              <w:rPr>
                <w:rFonts w:ascii="宋体" w:hAnsi="宋体" w:cs="Arial Unicode MS"/>
                <w:szCs w:val="21"/>
              </w:rPr>
            </w:pPr>
          </w:p>
        </w:tc>
        <w:tc>
          <w:tcPr>
            <w:tcW w:w="795" w:type="dxa"/>
          </w:tcPr>
          <w:p w14:paraId="1F5D2D3B">
            <w:pPr>
              <w:spacing w:before="31" w:beforeLines="10" w:line="400" w:lineRule="exact"/>
              <w:rPr>
                <w:rFonts w:ascii="宋体" w:hAnsi="宋体" w:cs="Arial Unicode MS"/>
                <w:szCs w:val="21"/>
              </w:rPr>
            </w:pPr>
          </w:p>
        </w:tc>
        <w:tc>
          <w:tcPr>
            <w:tcW w:w="915" w:type="dxa"/>
          </w:tcPr>
          <w:p w14:paraId="549CE8B4">
            <w:pPr>
              <w:spacing w:before="31" w:beforeLines="10" w:line="400" w:lineRule="exact"/>
              <w:rPr>
                <w:rFonts w:ascii="宋体" w:hAnsi="宋体" w:cs="Arial Unicode MS"/>
                <w:szCs w:val="21"/>
              </w:rPr>
            </w:pPr>
          </w:p>
        </w:tc>
        <w:tc>
          <w:tcPr>
            <w:tcW w:w="2295" w:type="dxa"/>
          </w:tcPr>
          <w:p w14:paraId="22982B0B">
            <w:pPr>
              <w:spacing w:before="31" w:beforeLines="10" w:line="400" w:lineRule="exact"/>
              <w:rPr>
                <w:rFonts w:ascii="宋体" w:hAnsi="宋体" w:cs="Arial Unicode MS"/>
                <w:szCs w:val="21"/>
              </w:rPr>
            </w:pPr>
          </w:p>
        </w:tc>
        <w:tc>
          <w:tcPr>
            <w:tcW w:w="1905" w:type="dxa"/>
          </w:tcPr>
          <w:p w14:paraId="42B7FCD1">
            <w:pPr>
              <w:spacing w:before="31" w:beforeLines="10" w:line="400" w:lineRule="exact"/>
              <w:rPr>
                <w:rFonts w:ascii="宋体" w:hAnsi="宋体" w:cs="Arial Unicode MS"/>
                <w:szCs w:val="21"/>
              </w:rPr>
            </w:pPr>
          </w:p>
        </w:tc>
        <w:tc>
          <w:tcPr>
            <w:tcW w:w="1840" w:type="dxa"/>
          </w:tcPr>
          <w:p w14:paraId="276AC421">
            <w:pPr>
              <w:spacing w:before="31" w:beforeLines="10" w:line="400" w:lineRule="exact"/>
              <w:rPr>
                <w:rFonts w:ascii="宋体" w:hAnsi="宋体" w:cs="Arial Unicode MS"/>
                <w:szCs w:val="21"/>
              </w:rPr>
            </w:pPr>
          </w:p>
        </w:tc>
      </w:tr>
      <w:tr w14:paraId="1639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14E8C9BA">
            <w:pPr>
              <w:spacing w:before="31" w:beforeLines="10" w:line="400" w:lineRule="exact"/>
              <w:rPr>
                <w:rFonts w:ascii="宋体" w:hAnsi="宋体" w:cs="Arial Unicode MS"/>
                <w:szCs w:val="21"/>
              </w:rPr>
            </w:pPr>
          </w:p>
        </w:tc>
        <w:tc>
          <w:tcPr>
            <w:tcW w:w="795" w:type="dxa"/>
          </w:tcPr>
          <w:p w14:paraId="418FA3E3">
            <w:pPr>
              <w:spacing w:before="31" w:beforeLines="10" w:line="400" w:lineRule="exact"/>
              <w:rPr>
                <w:rFonts w:ascii="宋体" w:hAnsi="宋体" w:cs="Arial Unicode MS"/>
                <w:szCs w:val="21"/>
              </w:rPr>
            </w:pPr>
          </w:p>
        </w:tc>
        <w:tc>
          <w:tcPr>
            <w:tcW w:w="915" w:type="dxa"/>
          </w:tcPr>
          <w:p w14:paraId="3E8F0199">
            <w:pPr>
              <w:spacing w:before="31" w:beforeLines="10" w:line="400" w:lineRule="exact"/>
              <w:rPr>
                <w:rFonts w:ascii="宋体" w:hAnsi="宋体" w:cs="Arial Unicode MS"/>
                <w:szCs w:val="21"/>
              </w:rPr>
            </w:pPr>
          </w:p>
        </w:tc>
        <w:tc>
          <w:tcPr>
            <w:tcW w:w="2295" w:type="dxa"/>
          </w:tcPr>
          <w:p w14:paraId="0F3D2506">
            <w:pPr>
              <w:spacing w:before="31" w:beforeLines="10" w:line="400" w:lineRule="exact"/>
              <w:rPr>
                <w:rFonts w:ascii="宋体" w:hAnsi="宋体" w:cs="Arial Unicode MS"/>
                <w:szCs w:val="21"/>
              </w:rPr>
            </w:pPr>
          </w:p>
        </w:tc>
        <w:tc>
          <w:tcPr>
            <w:tcW w:w="1905" w:type="dxa"/>
          </w:tcPr>
          <w:p w14:paraId="37C213DF">
            <w:pPr>
              <w:spacing w:before="31" w:beforeLines="10" w:line="400" w:lineRule="exact"/>
              <w:rPr>
                <w:rFonts w:ascii="宋体" w:hAnsi="宋体" w:cs="Arial Unicode MS"/>
                <w:szCs w:val="21"/>
              </w:rPr>
            </w:pPr>
          </w:p>
        </w:tc>
        <w:tc>
          <w:tcPr>
            <w:tcW w:w="1840" w:type="dxa"/>
          </w:tcPr>
          <w:p w14:paraId="2B8130CC">
            <w:pPr>
              <w:spacing w:before="31" w:beforeLines="10" w:line="400" w:lineRule="exact"/>
              <w:rPr>
                <w:rFonts w:ascii="宋体" w:hAnsi="宋体" w:cs="Arial Unicode MS"/>
                <w:szCs w:val="21"/>
              </w:rPr>
            </w:pPr>
          </w:p>
        </w:tc>
      </w:tr>
      <w:tr w14:paraId="3404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274" w:type="dxa"/>
          </w:tcPr>
          <w:p w14:paraId="436D39D2">
            <w:pPr>
              <w:spacing w:before="31" w:beforeLines="10" w:line="400" w:lineRule="exact"/>
              <w:rPr>
                <w:rFonts w:ascii="宋体" w:hAnsi="宋体" w:cs="Arial Unicode MS"/>
                <w:szCs w:val="21"/>
              </w:rPr>
            </w:pPr>
          </w:p>
        </w:tc>
        <w:tc>
          <w:tcPr>
            <w:tcW w:w="795" w:type="dxa"/>
          </w:tcPr>
          <w:p w14:paraId="5050143D">
            <w:pPr>
              <w:spacing w:before="31" w:beforeLines="10" w:line="400" w:lineRule="exact"/>
              <w:rPr>
                <w:rFonts w:ascii="宋体" w:hAnsi="宋体" w:cs="Arial Unicode MS"/>
                <w:szCs w:val="21"/>
              </w:rPr>
            </w:pPr>
          </w:p>
        </w:tc>
        <w:tc>
          <w:tcPr>
            <w:tcW w:w="915" w:type="dxa"/>
          </w:tcPr>
          <w:p w14:paraId="2B255808">
            <w:pPr>
              <w:spacing w:before="31" w:beforeLines="10" w:line="400" w:lineRule="exact"/>
              <w:rPr>
                <w:rFonts w:ascii="宋体" w:hAnsi="宋体" w:cs="Arial Unicode MS"/>
                <w:szCs w:val="21"/>
              </w:rPr>
            </w:pPr>
          </w:p>
        </w:tc>
        <w:tc>
          <w:tcPr>
            <w:tcW w:w="2295" w:type="dxa"/>
          </w:tcPr>
          <w:p w14:paraId="52AEE5A6">
            <w:pPr>
              <w:spacing w:before="31" w:beforeLines="10" w:line="400" w:lineRule="exact"/>
              <w:rPr>
                <w:rFonts w:ascii="宋体" w:hAnsi="宋体" w:cs="Arial Unicode MS"/>
                <w:szCs w:val="21"/>
              </w:rPr>
            </w:pPr>
          </w:p>
        </w:tc>
        <w:tc>
          <w:tcPr>
            <w:tcW w:w="1905" w:type="dxa"/>
          </w:tcPr>
          <w:p w14:paraId="1AACFABB">
            <w:pPr>
              <w:spacing w:before="31" w:beforeLines="10" w:line="400" w:lineRule="exact"/>
              <w:rPr>
                <w:rFonts w:ascii="宋体" w:hAnsi="宋体" w:cs="Arial Unicode MS"/>
                <w:szCs w:val="21"/>
              </w:rPr>
            </w:pPr>
          </w:p>
        </w:tc>
        <w:tc>
          <w:tcPr>
            <w:tcW w:w="1840" w:type="dxa"/>
          </w:tcPr>
          <w:p w14:paraId="791BA136">
            <w:pPr>
              <w:spacing w:before="31" w:beforeLines="10" w:line="400" w:lineRule="exact"/>
              <w:rPr>
                <w:rFonts w:ascii="宋体" w:hAnsi="宋体" w:cs="Arial Unicode MS"/>
                <w:szCs w:val="21"/>
              </w:rPr>
            </w:pPr>
          </w:p>
        </w:tc>
      </w:tr>
    </w:tbl>
    <w:p w14:paraId="2CC2E593">
      <w:pPr>
        <w:pStyle w:val="20"/>
      </w:pPr>
      <w:r>
        <w:rPr>
          <w:rFonts w:hint="eastAsia"/>
        </w:rPr>
        <w:t>注：1、本表人员需随表附磋商截止时间前连续3个月的社保证明（复印件加盖公章），否则该人员无效。</w:t>
      </w:r>
    </w:p>
    <w:p w14:paraId="4BEE0787">
      <w:pPr>
        <w:pStyle w:val="20"/>
        <w:numPr>
          <w:ilvl w:val="0"/>
          <w:numId w:val="13"/>
        </w:numPr>
        <w:ind w:firstLine="442" w:firstLineChars="200"/>
      </w:pPr>
      <w:r>
        <w:rPr>
          <w:rFonts w:hint="eastAsia"/>
        </w:rPr>
        <w:t>本表人员应随表提交</w:t>
      </w:r>
      <w:bookmarkStart w:id="135" w:name="OLE_LINK5"/>
      <w:r>
        <w:rPr>
          <w:rFonts w:hint="eastAsia"/>
        </w:rPr>
        <w:t>职称、</w:t>
      </w:r>
      <w:r>
        <w:rPr>
          <w:rFonts w:hint="eastAsia" w:cs="Arial Unicode MS"/>
        </w:rPr>
        <w:t>其他执业或职业证书</w:t>
      </w:r>
      <w:r>
        <w:rPr>
          <w:rFonts w:hint="eastAsia"/>
        </w:rPr>
        <w:t>以及荣誉等（复印件加盖公章）</w:t>
      </w:r>
      <w:bookmarkEnd w:id="135"/>
      <w:r>
        <w:rPr>
          <w:rFonts w:hint="eastAsia"/>
        </w:rPr>
        <w:t>没有则可以不提供。</w:t>
      </w:r>
    </w:p>
    <w:p w14:paraId="05A398B1">
      <w:pPr>
        <w:pStyle w:val="20"/>
        <w:numPr>
          <w:ilvl w:val="0"/>
          <w:numId w:val="13"/>
        </w:numPr>
        <w:ind w:firstLine="442" w:firstLineChars="200"/>
      </w:pPr>
      <w:r>
        <w:rPr>
          <w:rFonts w:hint="eastAsia"/>
        </w:rPr>
        <w:t>列入本表人员未经采购人允许不得更换，否则采购人有权终止本合同。</w:t>
      </w:r>
    </w:p>
    <w:p w14:paraId="70257F30">
      <w:pPr>
        <w:pStyle w:val="20"/>
        <w:numPr>
          <w:ilvl w:val="0"/>
          <w:numId w:val="13"/>
        </w:numPr>
        <w:ind w:firstLine="442" w:firstLineChars="200"/>
      </w:pPr>
      <w:r>
        <w:rPr>
          <w:rFonts w:hint="eastAsia"/>
        </w:rPr>
        <w:t>采购人有权根据服务事项指定列入本表人员为采购人提供服务，成交供应商不得拒绝，否则采购人有权终止本合同。</w:t>
      </w:r>
    </w:p>
    <w:p w14:paraId="698D39D0">
      <w:pPr>
        <w:pStyle w:val="20"/>
        <w:numPr>
          <w:ilvl w:val="0"/>
          <w:numId w:val="13"/>
        </w:numPr>
        <w:ind w:firstLine="442" w:firstLineChars="200"/>
      </w:pPr>
      <w:r>
        <w:rPr>
          <w:rFonts w:hint="eastAsia"/>
        </w:rPr>
        <w:t>如果本表人员无法胜任工作，采购人有权提出更换，成交供应商应重新指派测绘人员。</w:t>
      </w:r>
    </w:p>
    <w:p w14:paraId="69EFD79F">
      <w:pPr>
        <w:spacing w:line="480" w:lineRule="auto"/>
        <w:jc w:val="center"/>
        <w:rPr>
          <w:rFonts w:ascii="Arial" w:hAnsi="Arial"/>
        </w:rPr>
      </w:pPr>
      <w:r>
        <w:rPr>
          <w:rFonts w:hint="eastAsia" w:ascii="Arial" w:hAnsi="Arial"/>
        </w:rPr>
        <w:t xml:space="preserve"> 磋商供应商（公章）：</w:t>
      </w:r>
    </w:p>
    <w:p w14:paraId="312FE0A7">
      <w:pPr>
        <w:spacing w:line="480" w:lineRule="auto"/>
        <w:jc w:val="right"/>
        <w:rPr>
          <w:rFonts w:ascii="Arial" w:hAnsi="Arial"/>
        </w:rPr>
      </w:pPr>
      <w:r>
        <w:rPr>
          <w:rFonts w:hint="eastAsia" w:ascii="Arial" w:hAnsi="Arial"/>
        </w:rPr>
        <w:t>法定代表人（法定负责人）或授权代表（签字或盖章）：</w:t>
      </w:r>
    </w:p>
    <w:p w14:paraId="14CA441B">
      <w:pPr>
        <w:pStyle w:val="11"/>
        <w:spacing w:line="480" w:lineRule="auto"/>
        <w:jc w:val="center"/>
        <w:rPr>
          <w:rFonts w:ascii="宋体" w:hAnsi="宋体"/>
          <w:b/>
          <w:bCs/>
          <w:sz w:val="28"/>
          <w:szCs w:val="28"/>
        </w:rPr>
        <w:sectPr>
          <w:pgSz w:w="11906" w:h="16838"/>
          <w:pgMar w:top="1588" w:right="1248" w:bottom="1134" w:left="1418" w:header="680" w:footer="992" w:gutter="0"/>
          <w:cols w:space="720" w:num="1"/>
          <w:docGrid w:type="lines" w:linePitch="312" w:charSpace="0"/>
        </w:sectPr>
      </w:pPr>
      <w:r>
        <w:rPr>
          <w:rFonts w:hint="eastAsia" w:ascii="Arial" w:hAnsi="Arial" w:eastAsia="宋体"/>
          <w:kern w:val="0"/>
          <w:sz w:val="21"/>
        </w:rPr>
        <w:t>日期：</w:t>
      </w:r>
    </w:p>
    <w:p w14:paraId="2EA386B1">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ascii="黑体" w:hAnsi="黑体"/>
          <w:b w:val="0"/>
          <w:bCs/>
          <w:sz w:val="28"/>
        </w:rPr>
      </w:pPr>
      <w:bookmarkStart w:id="136" w:name="_Toc9263"/>
      <w:r>
        <w:rPr>
          <w:rFonts w:hint="eastAsia" w:ascii="黑体" w:hAnsi="黑体"/>
          <w:b w:val="0"/>
          <w:bCs/>
          <w:sz w:val="28"/>
        </w:rPr>
        <w:t xml:space="preserve">附件九  </w:t>
      </w:r>
      <w:r>
        <w:rPr>
          <w:rFonts w:hint="eastAsia" w:ascii="黑体" w:hAnsi="黑体" w:cs="黑体"/>
          <w:b w:val="0"/>
          <w:bCs/>
          <w:sz w:val="28"/>
          <w:szCs w:val="28"/>
        </w:rPr>
        <w:t>投标人自2020年1月1日（以合同签订时间为准）以来，承接过类似项目业绩一览表</w:t>
      </w:r>
      <w:bookmarkEnd w:id="133"/>
      <w:bookmarkEnd w:id="136"/>
    </w:p>
    <w:tbl>
      <w:tblPr>
        <w:tblStyle w:val="29"/>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48"/>
        <w:gridCol w:w="1764"/>
        <w:gridCol w:w="1203"/>
        <w:gridCol w:w="2403"/>
        <w:gridCol w:w="1180"/>
      </w:tblGrid>
      <w:tr w14:paraId="6448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527307B2">
            <w:pPr>
              <w:spacing w:line="380" w:lineRule="exact"/>
              <w:jc w:val="center"/>
              <w:rPr>
                <w:rFonts w:ascii="宋体" w:hAnsi="宋体" w:cs="Arial Unicode MS"/>
                <w:b/>
                <w:bCs/>
              </w:rPr>
            </w:pPr>
            <w:r>
              <w:rPr>
                <w:rFonts w:hint="eastAsia" w:ascii="宋体" w:hAnsi="宋体" w:cs="Arial Unicode MS"/>
                <w:b/>
                <w:bCs/>
              </w:rPr>
              <w:t>序号</w:t>
            </w:r>
          </w:p>
        </w:tc>
        <w:tc>
          <w:tcPr>
            <w:tcW w:w="1948" w:type="dxa"/>
            <w:vAlign w:val="center"/>
          </w:tcPr>
          <w:p w14:paraId="21FB17E0">
            <w:pPr>
              <w:spacing w:line="380" w:lineRule="exact"/>
              <w:jc w:val="center"/>
              <w:rPr>
                <w:rFonts w:ascii="宋体" w:hAnsi="宋体" w:cs="Arial Unicode MS"/>
                <w:b/>
                <w:bCs/>
              </w:rPr>
            </w:pPr>
            <w:r>
              <w:rPr>
                <w:rFonts w:hint="eastAsia" w:ascii="宋体" w:hAnsi="宋体" w:cs="Arial Unicode MS"/>
                <w:b/>
                <w:bCs/>
              </w:rPr>
              <w:t>项目名称</w:t>
            </w:r>
          </w:p>
        </w:tc>
        <w:tc>
          <w:tcPr>
            <w:tcW w:w="1764" w:type="dxa"/>
            <w:vAlign w:val="center"/>
          </w:tcPr>
          <w:p w14:paraId="38CFA88B">
            <w:pPr>
              <w:spacing w:line="380" w:lineRule="exact"/>
              <w:jc w:val="center"/>
              <w:rPr>
                <w:rFonts w:ascii="宋体" w:hAnsi="宋体" w:cs="Arial Unicode MS"/>
                <w:b/>
                <w:bCs/>
              </w:rPr>
            </w:pPr>
            <w:r>
              <w:rPr>
                <w:rFonts w:hint="eastAsia" w:ascii="宋体" w:hAnsi="宋体" w:cs="Arial Unicode MS"/>
                <w:b/>
                <w:bCs/>
              </w:rPr>
              <w:t>用户单位</w:t>
            </w:r>
          </w:p>
        </w:tc>
        <w:tc>
          <w:tcPr>
            <w:tcW w:w="1203" w:type="dxa"/>
            <w:vAlign w:val="center"/>
          </w:tcPr>
          <w:p w14:paraId="1181B0DE">
            <w:pPr>
              <w:spacing w:line="380" w:lineRule="exact"/>
              <w:jc w:val="center"/>
              <w:rPr>
                <w:rFonts w:ascii="宋体" w:hAnsi="宋体" w:cs="Arial Unicode MS"/>
                <w:b/>
                <w:bCs/>
              </w:rPr>
            </w:pPr>
            <w:r>
              <w:rPr>
                <w:rFonts w:hint="eastAsia" w:ascii="宋体" w:hAnsi="宋体" w:cs="Arial Unicode MS"/>
                <w:b/>
                <w:bCs/>
              </w:rPr>
              <w:t>合同金额</w:t>
            </w:r>
          </w:p>
        </w:tc>
        <w:tc>
          <w:tcPr>
            <w:tcW w:w="2403" w:type="dxa"/>
            <w:vAlign w:val="center"/>
          </w:tcPr>
          <w:p w14:paraId="376AFC5B">
            <w:pPr>
              <w:spacing w:line="380" w:lineRule="exact"/>
              <w:jc w:val="center"/>
              <w:rPr>
                <w:rFonts w:ascii="宋体" w:hAnsi="宋体" w:cs="Arial Unicode MS"/>
                <w:b/>
                <w:bCs/>
              </w:rPr>
            </w:pPr>
            <w:r>
              <w:rPr>
                <w:rFonts w:hint="eastAsia" w:ascii="宋体" w:hAnsi="宋体" w:cs="Arial Unicode MS"/>
                <w:b/>
                <w:bCs/>
              </w:rPr>
              <w:t>用户联系人/联系方式</w:t>
            </w:r>
          </w:p>
        </w:tc>
        <w:tc>
          <w:tcPr>
            <w:tcW w:w="1180" w:type="dxa"/>
            <w:vAlign w:val="center"/>
          </w:tcPr>
          <w:p w14:paraId="1E600262">
            <w:pPr>
              <w:spacing w:line="380" w:lineRule="exact"/>
              <w:jc w:val="center"/>
              <w:rPr>
                <w:rFonts w:ascii="宋体" w:hAnsi="宋体" w:cs="Arial Unicode MS"/>
                <w:b/>
                <w:bCs/>
              </w:rPr>
            </w:pPr>
            <w:r>
              <w:rPr>
                <w:rFonts w:hint="eastAsia" w:ascii="宋体" w:hAnsi="宋体" w:cs="Arial Unicode MS"/>
                <w:b/>
                <w:bCs/>
              </w:rPr>
              <w:t>备注</w:t>
            </w:r>
          </w:p>
        </w:tc>
      </w:tr>
      <w:tr w14:paraId="289C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D795AF9">
            <w:pPr>
              <w:spacing w:line="380" w:lineRule="exact"/>
              <w:jc w:val="center"/>
              <w:rPr>
                <w:rFonts w:ascii="宋体" w:hAnsi="宋体" w:cs="Arial Unicode MS"/>
                <w:b/>
                <w:bCs/>
              </w:rPr>
            </w:pPr>
          </w:p>
        </w:tc>
        <w:tc>
          <w:tcPr>
            <w:tcW w:w="1948" w:type="dxa"/>
            <w:vAlign w:val="center"/>
          </w:tcPr>
          <w:p w14:paraId="73A3D673">
            <w:pPr>
              <w:spacing w:line="380" w:lineRule="exact"/>
              <w:jc w:val="center"/>
              <w:rPr>
                <w:rFonts w:ascii="宋体" w:hAnsi="宋体" w:cs="Arial Unicode MS"/>
                <w:b/>
                <w:bCs/>
              </w:rPr>
            </w:pPr>
          </w:p>
        </w:tc>
        <w:tc>
          <w:tcPr>
            <w:tcW w:w="1764" w:type="dxa"/>
            <w:vAlign w:val="center"/>
          </w:tcPr>
          <w:p w14:paraId="6F66EB5E">
            <w:pPr>
              <w:spacing w:line="380" w:lineRule="exact"/>
              <w:jc w:val="center"/>
              <w:rPr>
                <w:rFonts w:ascii="宋体" w:hAnsi="宋体" w:cs="Arial Unicode MS"/>
                <w:b/>
                <w:bCs/>
              </w:rPr>
            </w:pPr>
          </w:p>
        </w:tc>
        <w:tc>
          <w:tcPr>
            <w:tcW w:w="1203" w:type="dxa"/>
            <w:vAlign w:val="center"/>
          </w:tcPr>
          <w:p w14:paraId="5A605D13">
            <w:pPr>
              <w:spacing w:line="380" w:lineRule="exact"/>
              <w:jc w:val="center"/>
              <w:rPr>
                <w:rFonts w:ascii="宋体" w:hAnsi="宋体" w:cs="Arial Unicode MS"/>
                <w:b/>
                <w:bCs/>
              </w:rPr>
            </w:pPr>
          </w:p>
        </w:tc>
        <w:tc>
          <w:tcPr>
            <w:tcW w:w="2403" w:type="dxa"/>
            <w:vAlign w:val="center"/>
          </w:tcPr>
          <w:p w14:paraId="3DDF7958">
            <w:pPr>
              <w:spacing w:line="380" w:lineRule="exact"/>
              <w:jc w:val="center"/>
              <w:rPr>
                <w:rFonts w:ascii="宋体" w:hAnsi="宋体" w:cs="Arial Unicode MS"/>
                <w:b/>
                <w:bCs/>
              </w:rPr>
            </w:pPr>
          </w:p>
        </w:tc>
        <w:tc>
          <w:tcPr>
            <w:tcW w:w="1180" w:type="dxa"/>
            <w:vAlign w:val="center"/>
          </w:tcPr>
          <w:p w14:paraId="413EFDD5">
            <w:pPr>
              <w:spacing w:line="380" w:lineRule="exact"/>
              <w:jc w:val="center"/>
              <w:rPr>
                <w:rFonts w:ascii="宋体" w:hAnsi="宋体" w:cs="Arial Unicode MS"/>
                <w:b/>
                <w:bCs/>
              </w:rPr>
            </w:pPr>
          </w:p>
        </w:tc>
      </w:tr>
      <w:tr w14:paraId="07E7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20470FD3">
            <w:pPr>
              <w:spacing w:line="380" w:lineRule="exact"/>
              <w:jc w:val="center"/>
              <w:rPr>
                <w:rFonts w:ascii="宋体" w:hAnsi="宋体" w:cs="Arial Unicode MS"/>
                <w:b/>
                <w:bCs/>
              </w:rPr>
            </w:pPr>
          </w:p>
        </w:tc>
        <w:tc>
          <w:tcPr>
            <w:tcW w:w="1948" w:type="dxa"/>
            <w:vAlign w:val="center"/>
          </w:tcPr>
          <w:p w14:paraId="6136DB01">
            <w:pPr>
              <w:spacing w:line="380" w:lineRule="exact"/>
              <w:jc w:val="center"/>
              <w:rPr>
                <w:rFonts w:ascii="宋体" w:hAnsi="宋体" w:cs="Arial Unicode MS"/>
                <w:b/>
                <w:bCs/>
              </w:rPr>
            </w:pPr>
          </w:p>
        </w:tc>
        <w:tc>
          <w:tcPr>
            <w:tcW w:w="1764" w:type="dxa"/>
            <w:vAlign w:val="center"/>
          </w:tcPr>
          <w:p w14:paraId="107CAEE6">
            <w:pPr>
              <w:spacing w:line="380" w:lineRule="exact"/>
              <w:jc w:val="center"/>
              <w:rPr>
                <w:rFonts w:ascii="宋体" w:hAnsi="宋体" w:cs="Arial Unicode MS"/>
                <w:b/>
                <w:bCs/>
              </w:rPr>
            </w:pPr>
          </w:p>
        </w:tc>
        <w:tc>
          <w:tcPr>
            <w:tcW w:w="1203" w:type="dxa"/>
            <w:vAlign w:val="center"/>
          </w:tcPr>
          <w:p w14:paraId="1A4E78DC">
            <w:pPr>
              <w:spacing w:line="380" w:lineRule="exact"/>
              <w:jc w:val="center"/>
              <w:rPr>
                <w:rFonts w:ascii="宋体" w:hAnsi="宋体" w:cs="Arial Unicode MS"/>
                <w:b/>
                <w:bCs/>
              </w:rPr>
            </w:pPr>
          </w:p>
        </w:tc>
        <w:tc>
          <w:tcPr>
            <w:tcW w:w="2403" w:type="dxa"/>
            <w:vAlign w:val="center"/>
          </w:tcPr>
          <w:p w14:paraId="4F7F5874">
            <w:pPr>
              <w:spacing w:line="380" w:lineRule="exact"/>
              <w:jc w:val="center"/>
              <w:rPr>
                <w:rFonts w:ascii="宋体" w:hAnsi="宋体" w:cs="Arial Unicode MS"/>
                <w:b/>
                <w:bCs/>
              </w:rPr>
            </w:pPr>
          </w:p>
        </w:tc>
        <w:tc>
          <w:tcPr>
            <w:tcW w:w="1180" w:type="dxa"/>
            <w:vAlign w:val="center"/>
          </w:tcPr>
          <w:p w14:paraId="63712D62">
            <w:pPr>
              <w:spacing w:line="380" w:lineRule="exact"/>
              <w:jc w:val="center"/>
              <w:rPr>
                <w:rFonts w:ascii="宋体" w:hAnsi="宋体" w:cs="Arial Unicode MS"/>
                <w:b/>
                <w:bCs/>
              </w:rPr>
            </w:pPr>
          </w:p>
        </w:tc>
      </w:tr>
      <w:tr w14:paraId="136C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44274592">
            <w:pPr>
              <w:spacing w:line="380" w:lineRule="exact"/>
              <w:jc w:val="center"/>
              <w:rPr>
                <w:rFonts w:ascii="宋体" w:hAnsi="宋体" w:cs="Arial Unicode MS"/>
                <w:b/>
                <w:bCs/>
              </w:rPr>
            </w:pPr>
          </w:p>
        </w:tc>
        <w:tc>
          <w:tcPr>
            <w:tcW w:w="1948" w:type="dxa"/>
            <w:vAlign w:val="center"/>
          </w:tcPr>
          <w:p w14:paraId="31A4C5A9">
            <w:pPr>
              <w:spacing w:line="380" w:lineRule="exact"/>
              <w:jc w:val="center"/>
              <w:rPr>
                <w:rFonts w:ascii="宋体" w:hAnsi="宋体" w:cs="Arial Unicode MS"/>
                <w:b/>
                <w:bCs/>
              </w:rPr>
            </w:pPr>
          </w:p>
        </w:tc>
        <w:tc>
          <w:tcPr>
            <w:tcW w:w="1764" w:type="dxa"/>
            <w:vAlign w:val="center"/>
          </w:tcPr>
          <w:p w14:paraId="193FB326">
            <w:pPr>
              <w:spacing w:line="380" w:lineRule="exact"/>
              <w:jc w:val="center"/>
              <w:rPr>
                <w:rFonts w:ascii="宋体" w:hAnsi="宋体" w:cs="Arial Unicode MS"/>
                <w:b/>
                <w:bCs/>
              </w:rPr>
            </w:pPr>
          </w:p>
        </w:tc>
        <w:tc>
          <w:tcPr>
            <w:tcW w:w="1203" w:type="dxa"/>
            <w:vAlign w:val="center"/>
          </w:tcPr>
          <w:p w14:paraId="3BC8689C">
            <w:pPr>
              <w:spacing w:line="380" w:lineRule="exact"/>
              <w:jc w:val="center"/>
              <w:rPr>
                <w:rFonts w:ascii="宋体" w:hAnsi="宋体" w:cs="Arial Unicode MS"/>
                <w:b/>
                <w:bCs/>
              </w:rPr>
            </w:pPr>
          </w:p>
        </w:tc>
        <w:tc>
          <w:tcPr>
            <w:tcW w:w="2403" w:type="dxa"/>
            <w:vAlign w:val="center"/>
          </w:tcPr>
          <w:p w14:paraId="1261FE2B">
            <w:pPr>
              <w:spacing w:line="380" w:lineRule="exact"/>
              <w:jc w:val="center"/>
              <w:rPr>
                <w:rFonts w:ascii="宋体" w:hAnsi="宋体" w:cs="Arial Unicode MS"/>
                <w:b/>
                <w:bCs/>
              </w:rPr>
            </w:pPr>
          </w:p>
        </w:tc>
        <w:tc>
          <w:tcPr>
            <w:tcW w:w="1180" w:type="dxa"/>
            <w:vAlign w:val="center"/>
          </w:tcPr>
          <w:p w14:paraId="546074C3">
            <w:pPr>
              <w:spacing w:line="380" w:lineRule="exact"/>
              <w:jc w:val="center"/>
              <w:rPr>
                <w:rFonts w:ascii="宋体" w:hAnsi="宋体" w:cs="Arial Unicode MS"/>
                <w:b/>
                <w:bCs/>
              </w:rPr>
            </w:pPr>
          </w:p>
        </w:tc>
      </w:tr>
      <w:tr w14:paraId="50D2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ABC7466">
            <w:pPr>
              <w:spacing w:line="380" w:lineRule="exact"/>
              <w:jc w:val="center"/>
              <w:rPr>
                <w:rFonts w:ascii="宋体" w:hAnsi="宋体" w:cs="Arial Unicode MS"/>
                <w:b/>
                <w:bCs/>
              </w:rPr>
            </w:pPr>
          </w:p>
        </w:tc>
        <w:tc>
          <w:tcPr>
            <w:tcW w:w="1948" w:type="dxa"/>
            <w:vAlign w:val="center"/>
          </w:tcPr>
          <w:p w14:paraId="6ACA453E">
            <w:pPr>
              <w:spacing w:line="380" w:lineRule="exact"/>
              <w:jc w:val="center"/>
              <w:rPr>
                <w:rFonts w:ascii="宋体" w:hAnsi="宋体" w:cs="Arial Unicode MS"/>
                <w:b/>
                <w:bCs/>
              </w:rPr>
            </w:pPr>
          </w:p>
        </w:tc>
        <w:tc>
          <w:tcPr>
            <w:tcW w:w="1764" w:type="dxa"/>
            <w:vAlign w:val="center"/>
          </w:tcPr>
          <w:p w14:paraId="6CCF53B5">
            <w:pPr>
              <w:spacing w:line="380" w:lineRule="exact"/>
              <w:jc w:val="center"/>
              <w:rPr>
                <w:rFonts w:ascii="宋体" w:hAnsi="宋体" w:cs="Arial Unicode MS"/>
                <w:b/>
                <w:bCs/>
              </w:rPr>
            </w:pPr>
          </w:p>
        </w:tc>
        <w:tc>
          <w:tcPr>
            <w:tcW w:w="1203" w:type="dxa"/>
            <w:vAlign w:val="center"/>
          </w:tcPr>
          <w:p w14:paraId="68CB2E14">
            <w:pPr>
              <w:spacing w:line="380" w:lineRule="exact"/>
              <w:jc w:val="center"/>
              <w:rPr>
                <w:rFonts w:ascii="宋体" w:hAnsi="宋体" w:cs="Arial Unicode MS"/>
                <w:b/>
                <w:bCs/>
              </w:rPr>
            </w:pPr>
          </w:p>
        </w:tc>
        <w:tc>
          <w:tcPr>
            <w:tcW w:w="2403" w:type="dxa"/>
            <w:vAlign w:val="center"/>
          </w:tcPr>
          <w:p w14:paraId="55B3A1B0">
            <w:pPr>
              <w:spacing w:line="380" w:lineRule="exact"/>
              <w:jc w:val="center"/>
              <w:rPr>
                <w:rFonts w:ascii="宋体" w:hAnsi="宋体" w:cs="Arial Unicode MS"/>
                <w:b/>
                <w:bCs/>
              </w:rPr>
            </w:pPr>
          </w:p>
        </w:tc>
        <w:tc>
          <w:tcPr>
            <w:tcW w:w="1180" w:type="dxa"/>
            <w:vAlign w:val="center"/>
          </w:tcPr>
          <w:p w14:paraId="674EB068">
            <w:pPr>
              <w:spacing w:line="380" w:lineRule="exact"/>
              <w:jc w:val="center"/>
              <w:rPr>
                <w:rFonts w:ascii="宋体" w:hAnsi="宋体" w:cs="Arial Unicode MS"/>
                <w:b/>
                <w:bCs/>
              </w:rPr>
            </w:pPr>
          </w:p>
        </w:tc>
      </w:tr>
      <w:tr w14:paraId="5E1A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3AAD16A">
            <w:pPr>
              <w:spacing w:line="380" w:lineRule="exact"/>
              <w:jc w:val="center"/>
              <w:rPr>
                <w:rFonts w:ascii="宋体" w:hAnsi="宋体" w:cs="Arial Unicode MS"/>
                <w:b/>
                <w:bCs/>
              </w:rPr>
            </w:pPr>
          </w:p>
        </w:tc>
        <w:tc>
          <w:tcPr>
            <w:tcW w:w="1948" w:type="dxa"/>
            <w:vAlign w:val="center"/>
          </w:tcPr>
          <w:p w14:paraId="3B30A441">
            <w:pPr>
              <w:spacing w:line="380" w:lineRule="exact"/>
              <w:jc w:val="center"/>
              <w:rPr>
                <w:rFonts w:ascii="宋体" w:hAnsi="宋体" w:cs="Arial Unicode MS"/>
                <w:b/>
                <w:bCs/>
              </w:rPr>
            </w:pPr>
          </w:p>
        </w:tc>
        <w:tc>
          <w:tcPr>
            <w:tcW w:w="1764" w:type="dxa"/>
            <w:vAlign w:val="center"/>
          </w:tcPr>
          <w:p w14:paraId="541A15CC">
            <w:pPr>
              <w:spacing w:line="380" w:lineRule="exact"/>
              <w:jc w:val="center"/>
              <w:rPr>
                <w:rFonts w:ascii="宋体" w:hAnsi="宋体" w:cs="Arial Unicode MS"/>
                <w:b/>
                <w:bCs/>
              </w:rPr>
            </w:pPr>
          </w:p>
        </w:tc>
        <w:tc>
          <w:tcPr>
            <w:tcW w:w="1203" w:type="dxa"/>
            <w:vAlign w:val="center"/>
          </w:tcPr>
          <w:p w14:paraId="07C31831">
            <w:pPr>
              <w:spacing w:line="380" w:lineRule="exact"/>
              <w:jc w:val="center"/>
              <w:rPr>
                <w:rFonts w:ascii="宋体" w:hAnsi="宋体" w:cs="Arial Unicode MS"/>
                <w:b/>
                <w:bCs/>
              </w:rPr>
            </w:pPr>
          </w:p>
        </w:tc>
        <w:tc>
          <w:tcPr>
            <w:tcW w:w="2403" w:type="dxa"/>
            <w:vAlign w:val="center"/>
          </w:tcPr>
          <w:p w14:paraId="6283C48C">
            <w:pPr>
              <w:spacing w:line="380" w:lineRule="exact"/>
              <w:jc w:val="center"/>
              <w:rPr>
                <w:rFonts w:ascii="宋体" w:hAnsi="宋体" w:cs="Arial Unicode MS"/>
                <w:b/>
                <w:bCs/>
              </w:rPr>
            </w:pPr>
          </w:p>
        </w:tc>
        <w:tc>
          <w:tcPr>
            <w:tcW w:w="1180" w:type="dxa"/>
            <w:vAlign w:val="center"/>
          </w:tcPr>
          <w:p w14:paraId="74182A43">
            <w:pPr>
              <w:spacing w:line="380" w:lineRule="exact"/>
              <w:jc w:val="center"/>
              <w:rPr>
                <w:rFonts w:ascii="宋体" w:hAnsi="宋体" w:cs="Arial Unicode MS"/>
                <w:b/>
                <w:bCs/>
              </w:rPr>
            </w:pPr>
          </w:p>
        </w:tc>
      </w:tr>
      <w:tr w14:paraId="0475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2E5D796">
            <w:pPr>
              <w:spacing w:line="380" w:lineRule="exact"/>
              <w:jc w:val="center"/>
              <w:rPr>
                <w:rFonts w:ascii="宋体" w:hAnsi="宋体" w:cs="Arial Unicode MS"/>
                <w:b/>
                <w:bCs/>
              </w:rPr>
            </w:pPr>
          </w:p>
        </w:tc>
        <w:tc>
          <w:tcPr>
            <w:tcW w:w="1948" w:type="dxa"/>
            <w:vAlign w:val="center"/>
          </w:tcPr>
          <w:p w14:paraId="368C59AE">
            <w:pPr>
              <w:spacing w:line="380" w:lineRule="exact"/>
              <w:jc w:val="center"/>
              <w:rPr>
                <w:rFonts w:ascii="宋体" w:hAnsi="宋体" w:cs="Arial Unicode MS"/>
                <w:b/>
                <w:bCs/>
              </w:rPr>
            </w:pPr>
          </w:p>
        </w:tc>
        <w:tc>
          <w:tcPr>
            <w:tcW w:w="1764" w:type="dxa"/>
            <w:vAlign w:val="center"/>
          </w:tcPr>
          <w:p w14:paraId="415926ED">
            <w:pPr>
              <w:spacing w:line="380" w:lineRule="exact"/>
              <w:jc w:val="center"/>
              <w:rPr>
                <w:rFonts w:ascii="宋体" w:hAnsi="宋体" w:cs="Arial Unicode MS"/>
                <w:b/>
                <w:bCs/>
              </w:rPr>
            </w:pPr>
          </w:p>
        </w:tc>
        <w:tc>
          <w:tcPr>
            <w:tcW w:w="1203" w:type="dxa"/>
            <w:vAlign w:val="center"/>
          </w:tcPr>
          <w:p w14:paraId="14372D37">
            <w:pPr>
              <w:spacing w:line="380" w:lineRule="exact"/>
              <w:jc w:val="center"/>
              <w:rPr>
                <w:rFonts w:ascii="宋体" w:hAnsi="宋体" w:cs="Arial Unicode MS"/>
                <w:b/>
                <w:bCs/>
              </w:rPr>
            </w:pPr>
          </w:p>
        </w:tc>
        <w:tc>
          <w:tcPr>
            <w:tcW w:w="2403" w:type="dxa"/>
            <w:vAlign w:val="center"/>
          </w:tcPr>
          <w:p w14:paraId="23CE45AA">
            <w:pPr>
              <w:spacing w:line="380" w:lineRule="exact"/>
              <w:jc w:val="center"/>
              <w:rPr>
                <w:rFonts w:ascii="宋体" w:hAnsi="宋体" w:cs="Arial Unicode MS"/>
                <w:b/>
                <w:bCs/>
              </w:rPr>
            </w:pPr>
          </w:p>
        </w:tc>
        <w:tc>
          <w:tcPr>
            <w:tcW w:w="1180" w:type="dxa"/>
            <w:vAlign w:val="center"/>
          </w:tcPr>
          <w:p w14:paraId="3B534474">
            <w:pPr>
              <w:spacing w:line="380" w:lineRule="exact"/>
              <w:jc w:val="center"/>
              <w:rPr>
                <w:rFonts w:ascii="宋体" w:hAnsi="宋体" w:cs="Arial Unicode MS"/>
                <w:b/>
                <w:bCs/>
              </w:rPr>
            </w:pPr>
          </w:p>
        </w:tc>
      </w:tr>
      <w:tr w14:paraId="46E2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ABB0AE9">
            <w:pPr>
              <w:spacing w:line="380" w:lineRule="exact"/>
              <w:jc w:val="center"/>
              <w:rPr>
                <w:rFonts w:ascii="宋体" w:hAnsi="宋体" w:cs="Arial Unicode MS"/>
                <w:b/>
                <w:bCs/>
              </w:rPr>
            </w:pPr>
          </w:p>
        </w:tc>
        <w:tc>
          <w:tcPr>
            <w:tcW w:w="1948" w:type="dxa"/>
            <w:vAlign w:val="center"/>
          </w:tcPr>
          <w:p w14:paraId="349E539A">
            <w:pPr>
              <w:spacing w:line="380" w:lineRule="exact"/>
              <w:jc w:val="center"/>
              <w:rPr>
                <w:rFonts w:ascii="宋体" w:hAnsi="宋体" w:cs="Arial Unicode MS"/>
                <w:b/>
                <w:bCs/>
              </w:rPr>
            </w:pPr>
          </w:p>
        </w:tc>
        <w:tc>
          <w:tcPr>
            <w:tcW w:w="1764" w:type="dxa"/>
            <w:vAlign w:val="center"/>
          </w:tcPr>
          <w:p w14:paraId="38FA154F">
            <w:pPr>
              <w:spacing w:line="380" w:lineRule="exact"/>
              <w:jc w:val="center"/>
              <w:rPr>
                <w:rFonts w:ascii="宋体" w:hAnsi="宋体" w:cs="Arial Unicode MS"/>
                <w:b/>
                <w:bCs/>
              </w:rPr>
            </w:pPr>
          </w:p>
        </w:tc>
        <w:tc>
          <w:tcPr>
            <w:tcW w:w="1203" w:type="dxa"/>
            <w:vAlign w:val="center"/>
          </w:tcPr>
          <w:p w14:paraId="6D1053C9">
            <w:pPr>
              <w:spacing w:line="380" w:lineRule="exact"/>
              <w:jc w:val="center"/>
              <w:rPr>
                <w:rFonts w:ascii="宋体" w:hAnsi="宋体" w:cs="Arial Unicode MS"/>
                <w:b/>
                <w:bCs/>
              </w:rPr>
            </w:pPr>
          </w:p>
        </w:tc>
        <w:tc>
          <w:tcPr>
            <w:tcW w:w="2403" w:type="dxa"/>
            <w:vAlign w:val="center"/>
          </w:tcPr>
          <w:p w14:paraId="266B28ED">
            <w:pPr>
              <w:spacing w:line="380" w:lineRule="exact"/>
              <w:jc w:val="center"/>
              <w:rPr>
                <w:rFonts w:ascii="宋体" w:hAnsi="宋体" w:cs="Arial Unicode MS"/>
                <w:b/>
                <w:bCs/>
              </w:rPr>
            </w:pPr>
          </w:p>
        </w:tc>
        <w:tc>
          <w:tcPr>
            <w:tcW w:w="1180" w:type="dxa"/>
            <w:vAlign w:val="center"/>
          </w:tcPr>
          <w:p w14:paraId="780DDCF1">
            <w:pPr>
              <w:spacing w:line="380" w:lineRule="exact"/>
              <w:jc w:val="center"/>
              <w:rPr>
                <w:rFonts w:ascii="宋体" w:hAnsi="宋体" w:cs="Arial Unicode MS"/>
                <w:b/>
                <w:bCs/>
              </w:rPr>
            </w:pPr>
          </w:p>
        </w:tc>
      </w:tr>
      <w:tr w14:paraId="33D8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688EA394">
            <w:pPr>
              <w:spacing w:line="380" w:lineRule="exact"/>
              <w:jc w:val="center"/>
              <w:rPr>
                <w:rFonts w:ascii="宋体" w:hAnsi="宋体" w:cs="Arial Unicode MS"/>
                <w:b/>
                <w:bCs/>
              </w:rPr>
            </w:pPr>
          </w:p>
        </w:tc>
        <w:tc>
          <w:tcPr>
            <w:tcW w:w="1948" w:type="dxa"/>
            <w:vAlign w:val="center"/>
          </w:tcPr>
          <w:p w14:paraId="432660B2">
            <w:pPr>
              <w:spacing w:line="380" w:lineRule="exact"/>
              <w:jc w:val="center"/>
              <w:rPr>
                <w:rFonts w:ascii="宋体" w:hAnsi="宋体" w:cs="Arial Unicode MS"/>
                <w:b/>
                <w:bCs/>
              </w:rPr>
            </w:pPr>
          </w:p>
        </w:tc>
        <w:tc>
          <w:tcPr>
            <w:tcW w:w="1764" w:type="dxa"/>
            <w:vAlign w:val="center"/>
          </w:tcPr>
          <w:p w14:paraId="32587723">
            <w:pPr>
              <w:spacing w:line="380" w:lineRule="exact"/>
              <w:jc w:val="center"/>
              <w:rPr>
                <w:rFonts w:ascii="宋体" w:hAnsi="宋体" w:cs="Arial Unicode MS"/>
                <w:b/>
                <w:bCs/>
              </w:rPr>
            </w:pPr>
          </w:p>
        </w:tc>
        <w:tc>
          <w:tcPr>
            <w:tcW w:w="1203" w:type="dxa"/>
            <w:vAlign w:val="center"/>
          </w:tcPr>
          <w:p w14:paraId="06DF57D4">
            <w:pPr>
              <w:spacing w:line="380" w:lineRule="exact"/>
              <w:jc w:val="center"/>
              <w:rPr>
                <w:rFonts w:ascii="宋体" w:hAnsi="宋体" w:cs="Arial Unicode MS"/>
                <w:b/>
                <w:bCs/>
              </w:rPr>
            </w:pPr>
          </w:p>
        </w:tc>
        <w:tc>
          <w:tcPr>
            <w:tcW w:w="2403" w:type="dxa"/>
            <w:vAlign w:val="center"/>
          </w:tcPr>
          <w:p w14:paraId="413918E3">
            <w:pPr>
              <w:spacing w:line="380" w:lineRule="exact"/>
              <w:jc w:val="center"/>
              <w:rPr>
                <w:rFonts w:ascii="宋体" w:hAnsi="宋体" w:cs="Arial Unicode MS"/>
                <w:b/>
                <w:bCs/>
              </w:rPr>
            </w:pPr>
          </w:p>
        </w:tc>
        <w:tc>
          <w:tcPr>
            <w:tcW w:w="1180" w:type="dxa"/>
            <w:vAlign w:val="center"/>
          </w:tcPr>
          <w:p w14:paraId="467C9122">
            <w:pPr>
              <w:spacing w:line="380" w:lineRule="exact"/>
              <w:jc w:val="center"/>
              <w:rPr>
                <w:rFonts w:ascii="宋体" w:hAnsi="宋体" w:cs="Arial Unicode MS"/>
                <w:b/>
                <w:bCs/>
              </w:rPr>
            </w:pPr>
          </w:p>
        </w:tc>
      </w:tr>
      <w:tr w14:paraId="034B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19D59BAA">
            <w:pPr>
              <w:spacing w:line="380" w:lineRule="exact"/>
              <w:jc w:val="center"/>
              <w:rPr>
                <w:rFonts w:ascii="宋体" w:hAnsi="宋体" w:cs="Arial Unicode MS"/>
                <w:b/>
                <w:bCs/>
              </w:rPr>
            </w:pPr>
          </w:p>
        </w:tc>
        <w:tc>
          <w:tcPr>
            <w:tcW w:w="1948" w:type="dxa"/>
            <w:vAlign w:val="center"/>
          </w:tcPr>
          <w:p w14:paraId="32C17D22">
            <w:pPr>
              <w:spacing w:line="380" w:lineRule="exact"/>
              <w:jc w:val="center"/>
              <w:rPr>
                <w:rFonts w:ascii="宋体" w:hAnsi="宋体" w:cs="Arial Unicode MS"/>
                <w:b/>
                <w:bCs/>
              </w:rPr>
            </w:pPr>
          </w:p>
        </w:tc>
        <w:tc>
          <w:tcPr>
            <w:tcW w:w="1764" w:type="dxa"/>
            <w:vAlign w:val="center"/>
          </w:tcPr>
          <w:p w14:paraId="43EA59EB">
            <w:pPr>
              <w:spacing w:line="380" w:lineRule="exact"/>
              <w:jc w:val="center"/>
              <w:rPr>
                <w:rFonts w:ascii="宋体" w:hAnsi="宋体" w:cs="Arial Unicode MS"/>
                <w:b/>
                <w:bCs/>
              </w:rPr>
            </w:pPr>
          </w:p>
        </w:tc>
        <w:tc>
          <w:tcPr>
            <w:tcW w:w="1203" w:type="dxa"/>
            <w:vAlign w:val="center"/>
          </w:tcPr>
          <w:p w14:paraId="10885AAD">
            <w:pPr>
              <w:spacing w:line="380" w:lineRule="exact"/>
              <w:jc w:val="center"/>
              <w:rPr>
                <w:rFonts w:ascii="宋体" w:hAnsi="宋体" w:cs="Arial Unicode MS"/>
                <w:b/>
                <w:bCs/>
              </w:rPr>
            </w:pPr>
          </w:p>
        </w:tc>
        <w:tc>
          <w:tcPr>
            <w:tcW w:w="2403" w:type="dxa"/>
            <w:vAlign w:val="center"/>
          </w:tcPr>
          <w:p w14:paraId="5A0B4B34">
            <w:pPr>
              <w:spacing w:line="380" w:lineRule="exact"/>
              <w:jc w:val="center"/>
              <w:rPr>
                <w:rFonts w:ascii="宋体" w:hAnsi="宋体" w:cs="Arial Unicode MS"/>
                <w:b/>
                <w:bCs/>
              </w:rPr>
            </w:pPr>
          </w:p>
        </w:tc>
        <w:tc>
          <w:tcPr>
            <w:tcW w:w="1180" w:type="dxa"/>
            <w:vAlign w:val="center"/>
          </w:tcPr>
          <w:p w14:paraId="7E50F81B">
            <w:pPr>
              <w:spacing w:line="380" w:lineRule="exact"/>
              <w:jc w:val="center"/>
              <w:rPr>
                <w:rFonts w:ascii="宋体" w:hAnsi="宋体" w:cs="Arial Unicode MS"/>
                <w:b/>
                <w:bCs/>
              </w:rPr>
            </w:pPr>
          </w:p>
        </w:tc>
      </w:tr>
      <w:tr w14:paraId="45B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75CDEC1B">
            <w:pPr>
              <w:spacing w:line="380" w:lineRule="exact"/>
              <w:jc w:val="center"/>
              <w:rPr>
                <w:rFonts w:ascii="宋体" w:hAnsi="宋体" w:cs="Arial Unicode MS"/>
                <w:b/>
                <w:bCs/>
              </w:rPr>
            </w:pPr>
          </w:p>
        </w:tc>
        <w:tc>
          <w:tcPr>
            <w:tcW w:w="1948" w:type="dxa"/>
            <w:vAlign w:val="center"/>
          </w:tcPr>
          <w:p w14:paraId="77E7BD25">
            <w:pPr>
              <w:spacing w:line="380" w:lineRule="exact"/>
              <w:jc w:val="center"/>
              <w:rPr>
                <w:rFonts w:ascii="宋体" w:hAnsi="宋体" w:cs="Arial Unicode MS"/>
                <w:b/>
                <w:bCs/>
              </w:rPr>
            </w:pPr>
          </w:p>
        </w:tc>
        <w:tc>
          <w:tcPr>
            <w:tcW w:w="1764" w:type="dxa"/>
            <w:vAlign w:val="center"/>
          </w:tcPr>
          <w:p w14:paraId="10503698">
            <w:pPr>
              <w:spacing w:line="380" w:lineRule="exact"/>
              <w:jc w:val="center"/>
              <w:rPr>
                <w:rFonts w:ascii="宋体" w:hAnsi="宋体" w:cs="Arial Unicode MS"/>
                <w:b/>
                <w:bCs/>
              </w:rPr>
            </w:pPr>
          </w:p>
        </w:tc>
        <w:tc>
          <w:tcPr>
            <w:tcW w:w="1203" w:type="dxa"/>
            <w:vAlign w:val="center"/>
          </w:tcPr>
          <w:p w14:paraId="704B2C53">
            <w:pPr>
              <w:spacing w:line="380" w:lineRule="exact"/>
              <w:jc w:val="center"/>
              <w:rPr>
                <w:rFonts w:ascii="宋体" w:hAnsi="宋体" w:cs="Arial Unicode MS"/>
                <w:b/>
                <w:bCs/>
              </w:rPr>
            </w:pPr>
          </w:p>
        </w:tc>
        <w:tc>
          <w:tcPr>
            <w:tcW w:w="2403" w:type="dxa"/>
            <w:vAlign w:val="center"/>
          </w:tcPr>
          <w:p w14:paraId="0EF05475">
            <w:pPr>
              <w:spacing w:line="380" w:lineRule="exact"/>
              <w:jc w:val="center"/>
              <w:rPr>
                <w:rFonts w:ascii="宋体" w:hAnsi="宋体" w:cs="Arial Unicode MS"/>
                <w:b/>
                <w:bCs/>
              </w:rPr>
            </w:pPr>
          </w:p>
        </w:tc>
        <w:tc>
          <w:tcPr>
            <w:tcW w:w="1180" w:type="dxa"/>
            <w:vAlign w:val="center"/>
          </w:tcPr>
          <w:p w14:paraId="34E4B9FD">
            <w:pPr>
              <w:spacing w:line="380" w:lineRule="exact"/>
              <w:jc w:val="center"/>
              <w:rPr>
                <w:rFonts w:ascii="宋体" w:hAnsi="宋体" w:cs="Arial Unicode MS"/>
                <w:b/>
                <w:bCs/>
              </w:rPr>
            </w:pPr>
          </w:p>
        </w:tc>
      </w:tr>
      <w:tr w14:paraId="3A1E7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6C6F80B1">
            <w:pPr>
              <w:spacing w:line="380" w:lineRule="exact"/>
              <w:jc w:val="center"/>
              <w:rPr>
                <w:rFonts w:ascii="宋体" w:hAnsi="宋体" w:cs="Arial Unicode MS"/>
                <w:b/>
                <w:bCs/>
              </w:rPr>
            </w:pPr>
          </w:p>
        </w:tc>
        <w:tc>
          <w:tcPr>
            <w:tcW w:w="1948" w:type="dxa"/>
            <w:vAlign w:val="center"/>
          </w:tcPr>
          <w:p w14:paraId="0CA90349">
            <w:pPr>
              <w:spacing w:line="380" w:lineRule="exact"/>
              <w:jc w:val="center"/>
              <w:rPr>
                <w:rFonts w:ascii="宋体" w:hAnsi="宋体" w:cs="Arial Unicode MS"/>
                <w:b/>
                <w:bCs/>
              </w:rPr>
            </w:pPr>
          </w:p>
        </w:tc>
        <w:tc>
          <w:tcPr>
            <w:tcW w:w="1764" w:type="dxa"/>
            <w:vAlign w:val="center"/>
          </w:tcPr>
          <w:p w14:paraId="4AEFBA19">
            <w:pPr>
              <w:spacing w:line="380" w:lineRule="exact"/>
              <w:jc w:val="center"/>
              <w:rPr>
                <w:rFonts w:ascii="宋体" w:hAnsi="宋体" w:cs="Arial Unicode MS"/>
                <w:b/>
                <w:bCs/>
              </w:rPr>
            </w:pPr>
          </w:p>
        </w:tc>
        <w:tc>
          <w:tcPr>
            <w:tcW w:w="1203" w:type="dxa"/>
            <w:vAlign w:val="center"/>
          </w:tcPr>
          <w:p w14:paraId="69C31BDC">
            <w:pPr>
              <w:spacing w:line="380" w:lineRule="exact"/>
              <w:jc w:val="center"/>
              <w:rPr>
                <w:rFonts w:ascii="宋体" w:hAnsi="宋体" w:cs="Arial Unicode MS"/>
                <w:b/>
                <w:bCs/>
              </w:rPr>
            </w:pPr>
          </w:p>
        </w:tc>
        <w:tc>
          <w:tcPr>
            <w:tcW w:w="2403" w:type="dxa"/>
            <w:vAlign w:val="center"/>
          </w:tcPr>
          <w:p w14:paraId="7D10AB66">
            <w:pPr>
              <w:spacing w:line="380" w:lineRule="exact"/>
              <w:jc w:val="center"/>
              <w:rPr>
                <w:rFonts w:ascii="宋体" w:hAnsi="宋体" w:cs="Arial Unicode MS"/>
                <w:b/>
                <w:bCs/>
              </w:rPr>
            </w:pPr>
          </w:p>
        </w:tc>
        <w:tc>
          <w:tcPr>
            <w:tcW w:w="1180" w:type="dxa"/>
            <w:vAlign w:val="center"/>
          </w:tcPr>
          <w:p w14:paraId="038C5827">
            <w:pPr>
              <w:spacing w:line="380" w:lineRule="exact"/>
              <w:jc w:val="center"/>
              <w:rPr>
                <w:rFonts w:ascii="宋体" w:hAnsi="宋体" w:cs="Arial Unicode MS"/>
                <w:b/>
                <w:bCs/>
              </w:rPr>
            </w:pPr>
          </w:p>
        </w:tc>
      </w:tr>
      <w:tr w14:paraId="683D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3E263434">
            <w:pPr>
              <w:spacing w:line="380" w:lineRule="exact"/>
              <w:jc w:val="center"/>
              <w:rPr>
                <w:rFonts w:ascii="宋体" w:hAnsi="宋体" w:cs="Arial Unicode MS"/>
                <w:b/>
                <w:bCs/>
              </w:rPr>
            </w:pPr>
          </w:p>
        </w:tc>
        <w:tc>
          <w:tcPr>
            <w:tcW w:w="1948" w:type="dxa"/>
            <w:vAlign w:val="center"/>
          </w:tcPr>
          <w:p w14:paraId="5AAD794B">
            <w:pPr>
              <w:spacing w:line="380" w:lineRule="exact"/>
              <w:jc w:val="center"/>
              <w:rPr>
                <w:rFonts w:ascii="宋体" w:hAnsi="宋体" w:cs="Arial Unicode MS"/>
                <w:b/>
                <w:bCs/>
              </w:rPr>
            </w:pPr>
          </w:p>
        </w:tc>
        <w:tc>
          <w:tcPr>
            <w:tcW w:w="1764" w:type="dxa"/>
            <w:vAlign w:val="center"/>
          </w:tcPr>
          <w:p w14:paraId="4C131A3F">
            <w:pPr>
              <w:spacing w:line="380" w:lineRule="exact"/>
              <w:jc w:val="center"/>
              <w:rPr>
                <w:rFonts w:ascii="宋体" w:hAnsi="宋体" w:cs="Arial Unicode MS"/>
                <w:b/>
                <w:bCs/>
              </w:rPr>
            </w:pPr>
          </w:p>
        </w:tc>
        <w:tc>
          <w:tcPr>
            <w:tcW w:w="1203" w:type="dxa"/>
            <w:vAlign w:val="center"/>
          </w:tcPr>
          <w:p w14:paraId="13E2C139">
            <w:pPr>
              <w:spacing w:line="380" w:lineRule="exact"/>
              <w:jc w:val="center"/>
              <w:rPr>
                <w:rFonts w:ascii="宋体" w:hAnsi="宋体" w:cs="Arial Unicode MS"/>
                <w:b/>
                <w:bCs/>
              </w:rPr>
            </w:pPr>
          </w:p>
        </w:tc>
        <w:tc>
          <w:tcPr>
            <w:tcW w:w="2403" w:type="dxa"/>
            <w:vAlign w:val="center"/>
          </w:tcPr>
          <w:p w14:paraId="7D1B757B">
            <w:pPr>
              <w:spacing w:line="380" w:lineRule="exact"/>
              <w:jc w:val="center"/>
              <w:rPr>
                <w:rFonts w:ascii="宋体" w:hAnsi="宋体" w:cs="Arial Unicode MS"/>
                <w:b/>
                <w:bCs/>
              </w:rPr>
            </w:pPr>
          </w:p>
        </w:tc>
        <w:tc>
          <w:tcPr>
            <w:tcW w:w="1180" w:type="dxa"/>
            <w:vAlign w:val="center"/>
          </w:tcPr>
          <w:p w14:paraId="2176DE5B">
            <w:pPr>
              <w:spacing w:line="380" w:lineRule="exact"/>
              <w:jc w:val="center"/>
              <w:rPr>
                <w:rFonts w:ascii="宋体" w:hAnsi="宋体" w:cs="Arial Unicode MS"/>
                <w:b/>
                <w:bCs/>
              </w:rPr>
            </w:pPr>
          </w:p>
        </w:tc>
      </w:tr>
      <w:tr w14:paraId="2B96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3" w:type="dxa"/>
            <w:vAlign w:val="center"/>
          </w:tcPr>
          <w:p w14:paraId="08549290">
            <w:pPr>
              <w:spacing w:line="380" w:lineRule="exact"/>
              <w:jc w:val="center"/>
              <w:rPr>
                <w:rFonts w:ascii="宋体" w:hAnsi="宋体" w:cs="Arial Unicode MS"/>
                <w:b/>
                <w:bCs/>
              </w:rPr>
            </w:pPr>
          </w:p>
        </w:tc>
        <w:tc>
          <w:tcPr>
            <w:tcW w:w="1948" w:type="dxa"/>
            <w:vAlign w:val="center"/>
          </w:tcPr>
          <w:p w14:paraId="2F875D7A">
            <w:pPr>
              <w:spacing w:line="380" w:lineRule="exact"/>
              <w:jc w:val="center"/>
              <w:rPr>
                <w:rFonts w:ascii="宋体" w:hAnsi="宋体" w:cs="Arial Unicode MS"/>
                <w:b/>
                <w:bCs/>
              </w:rPr>
            </w:pPr>
          </w:p>
        </w:tc>
        <w:tc>
          <w:tcPr>
            <w:tcW w:w="1764" w:type="dxa"/>
            <w:vAlign w:val="center"/>
          </w:tcPr>
          <w:p w14:paraId="7719EFE0">
            <w:pPr>
              <w:spacing w:line="380" w:lineRule="exact"/>
              <w:jc w:val="center"/>
              <w:rPr>
                <w:rFonts w:ascii="宋体" w:hAnsi="宋体" w:cs="Arial Unicode MS"/>
                <w:b/>
                <w:bCs/>
              </w:rPr>
            </w:pPr>
          </w:p>
        </w:tc>
        <w:tc>
          <w:tcPr>
            <w:tcW w:w="1203" w:type="dxa"/>
            <w:vAlign w:val="center"/>
          </w:tcPr>
          <w:p w14:paraId="39146D6B">
            <w:pPr>
              <w:spacing w:line="380" w:lineRule="exact"/>
              <w:jc w:val="center"/>
              <w:rPr>
                <w:rFonts w:ascii="宋体" w:hAnsi="宋体" w:cs="Arial Unicode MS"/>
                <w:b/>
                <w:bCs/>
              </w:rPr>
            </w:pPr>
          </w:p>
        </w:tc>
        <w:tc>
          <w:tcPr>
            <w:tcW w:w="2403" w:type="dxa"/>
            <w:vAlign w:val="center"/>
          </w:tcPr>
          <w:p w14:paraId="5FB68440">
            <w:pPr>
              <w:spacing w:line="380" w:lineRule="exact"/>
              <w:jc w:val="center"/>
              <w:rPr>
                <w:rFonts w:ascii="宋体" w:hAnsi="宋体" w:cs="Arial Unicode MS"/>
                <w:b/>
                <w:bCs/>
              </w:rPr>
            </w:pPr>
          </w:p>
        </w:tc>
        <w:tc>
          <w:tcPr>
            <w:tcW w:w="1180" w:type="dxa"/>
            <w:vAlign w:val="center"/>
          </w:tcPr>
          <w:p w14:paraId="77FC780B">
            <w:pPr>
              <w:spacing w:line="380" w:lineRule="exact"/>
              <w:jc w:val="center"/>
              <w:rPr>
                <w:rFonts w:ascii="宋体" w:hAnsi="宋体" w:cs="Arial Unicode MS"/>
                <w:b/>
                <w:bCs/>
              </w:rPr>
            </w:pPr>
          </w:p>
        </w:tc>
      </w:tr>
    </w:tbl>
    <w:p w14:paraId="3C618D58">
      <w:pPr>
        <w:autoSpaceDE w:val="0"/>
        <w:autoSpaceDN w:val="0"/>
        <w:adjustRightInd w:val="0"/>
        <w:rPr>
          <w:rFonts w:ascii="宋体" w:hAnsi="宋体" w:cs="宋体"/>
          <w:b/>
          <w:bCs/>
          <w:szCs w:val="21"/>
          <w:lang w:val="zh-CN"/>
        </w:rPr>
      </w:pPr>
      <w:r>
        <w:rPr>
          <w:rFonts w:hint="eastAsia" w:ascii="宋体" w:hAnsi="宋体" w:cs="Arial Unicode MS"/>
          <w:b/>
        </w:rPr>
        <w:t>注：</w:t>
      </w:r>
      <w:r>
        <w:rPr>
          <w:rFonts w:hint="eastAsia" w:ascii="宋体" w:hAnsi="宋体"/>
        </w:rPr>
        <w:t>有效性认定：提供裁判文书复印件加盖公章为评分依据，业绩认定时间以裁判文书落款时间为准。</w:t>
      </w:r>
    </w:p>
    <w:p w14:paraId="05785039">
      <w:pPr>
        <w:spacing w:line="480" w:lineRule="auto"/>
        <w:rPr>
          <w:rFonts w:ascii="Arial" w:hAnsi="Arial"/>
        </w:rPr>
      </w:pPr>
      <w:r>
        <w:rPr>
          <w:rFonts w:hint="eastAsia" w:ascii="Arial" w:hAnsi="Arial"/>
        </w:rPr>
        <w:t>磋商供应商（公章）：</w:t>
      </w:r>
    </w:p>
    <w:p w14:paraId="73AA59B8">
      <w:pPr>
        <w:spacing w:line="480" w:lineRule="auto"/>
        <w:jc w:val="right"/>
        <w:rPr>
          <w:rFonts w:ascii="Arial" w:hAnsi="Arial"/>
        </w:rPr>
      </w:pPr>
      <w:r>
        <w:rPr>
          <w:rFonts w:hint="eastAsia" w:ascii="Arial" w:hAnsi="Arial"/>
        </w:rPr>
        <w:t>法定代表人（法定负责人）或授权代表（签字或盖章）：</w:t>
      </w:r>
    </w:p>
    <w:p w14:paraId="6940DED4">
      <w:pPr>
        <w:pStyle w:val="11"/>
        <w:spacing w:line="480" w:lineRule="auto"/>
        <w:jc w:val="center"/>
        <w:rPr>
          <w:rFonts w:ascii="Arial" w:hAnsi="Arial" w:eastAsia="宋体"/>
          <w:kern w:val="0"/>
          <w:sz w:val="21"/>
        </w:rPr>
      </w:pPr>
      <w:r>
        <w:rPr>
          <w:rFonts w:hint="eastAsia" w:ascii="Arial" w:hAnsi="Arial" w:eastAsia="宋体"/>
          <w:kern w:val="0"/>
          <w:sz w:val="21"/>
        </w:rPr>
        <w:t>日期：</w:t>
      </w:r>
    </w:p>
    <w:p w14:paraId="78B155EF">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right"/>
        <w:rPr>
          <w:rFonts w:ascii="宋体" w:hAnsi="宋体"/>
          <w:b w:val="0"/>
          <w:bCs/>
          <w:sz w:val="28"/>
          <w:szCs w:val="28"/>
        </w:rPr>
        <w:sectPr>
          <w:pgSz w:w="11906" w:h="16838"/>
          <w:pgMar w:top="1588" w:right="1248" w:bottom="1134" w:left="1418" w:header="680" w:footer="992" w:gutter="0"/>
          <w:cols w:space="720" w:num="1"/>
          <w:docGrid w:type="lines" w:linePitch="312" w:charSpace="0"/>
        </w:sectPr>
      </w:pPr>
      <w:bookmarkStart w:id="137" w:name="_Toc14646"/>
    </w:p>
    <w:p w14:paraId="463AB9BE">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b w:val="0"/>
          <w:bCs/>
          <w:sz w:val="28"/>
          <w:szCs w:val="28"/>
        </w:rPr>
      </w:pPr>
      <w:bookmarkStart w:id="138" w:name="_Toc10874"/>
      <w:r>
        <w:rPr>
          <w:rFonts w:hint="eastAsia" w:ascii="宋体" w:hAnsi="宋体"/>
          <w:b w:val="0"/>
          <w:bCs/>
          <w:sz w:val="28"/>
          <w:szCs w:val="28"/>
        </w:rPr>
        <w:t xml:space="preserve">附件十 </w:t>
      </w:r>
      <w:bookmarkEnd w:id="138"/>
      <w:r>
        <w:rPr>
          <w:rFonts w:hint="eastAsia"/>
          <w:b w:val="0"/>
          <w:bCs/>
          <w:sz w:val="28"/>
          <w:szCs w:val="28"/>
        </w:rPr>
        <w:t>总体方案</w:t>
      </w:r>
    </w:p>
    <w:p w14:paraId="55F49B0B">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b w:val="0"/>
          <w:bCs/>
          <w:sz w:val="28"/>
          <w:szCs w:val="28"/>
        </w:rPr>
      </w:pPr>
      <w:r>
        <w:rPr>
          <w:rFonts w:hint="eastAsia"/>
          <w:b w:val="0"/>
          <w:bCs/>
          <w:sz w:val="28"/>
          <w:szCs w:val="28"/>
        </w:rPr>
        <w:t>附件十一 成果</w:t>
      </w:r>
    </w:p>
    <w:p w14:paraId="23ECD9DA">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b w:val="0"/>
          <w:bCs/>
          <w:sz w:val="28"/>
          <w:szCs w:val="28"/>
        </w:rPr>
      </w:pPr>
      <w:r>
        <w:rPr>
          <w:rFonts w:hint="eastAsia"/>
          <w:b w:val="0"/>
          <w:bCs/>
          <w:sz w:val="28"/>
          <w:szCs w:val="28"/>
        </w:rPr>
        <w:t>附件十二 重点难点分析</w:t>
      </w:r>
    </w:p>
    <w:p w14:paraId="506E4667">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b w:val="0"/>
          <w:bCs/>
          <w:sz w:val="28"/>
          <w:szCs w:val="28"/>
        </w:rPr>
      </w:pPr>
      <w:r>
        <w:rPr>
          <w:rFonts w:hint="eastAsia"/>
          <w:b w:val="0"/>
          <w:bCs/>
          <w:sz w:val="28"/>
          <w:szCs w:val="28"/>
        </w:rPr>
        <w:t>附件十三 质量保证措施</w:t>
      </w:r>
    </w:p>
    <w:p w14:paraId="318FBED3">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b w:val="0"/>
          <w:bCs/>
          <w:sz w:val="28"/>
          <w:szCs w:val="28"/>
        </w:rPr>
      </w:pPr>
      <w:r>
        <w:rPr>
          <w:rFonts w:hint="eastAsia"/>
          <w:b w:val="0"/>
          <w:bCs/>
          <w:sz w:val="28"/>
          <w:szCs w:val="28"/>
        </w:rPr>
        <w:t>附件十四 工作人员工作守则及廉政措施</w:t>
      </w:r>
    </w:p>
    <w:p w14:paraId="72988395">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hint="eastAsia" w:ascii="宋体" w:hAnsi="宋体" w:eastAsia="黑体"/>
          <w:b w:val="0"/>
          <w:bCs/>
          <w:sz w:val="28"/>
          <w:szCs w:val="28"/>
          <w:lang w:eastAsia="zh-CN"/>
        </w:rPr>
        <w:sectPr>
          <w:pgSz w:w="11906" w:h="16838"/>
          <w:pgMar w:top="1588" w:right="1248" w:bottom="1134" w:left="1418" w:header="680" w:footer="992" w:gutter="0"/>
          <w:cols w:space="720" w:num="1"/>
          <w:docGrid w:type="lines" w:linePitch="312" w:charSpace="0"/>
        </w:sectPr>
      </w:pPr>
      <w:r>
        <w:rPr>
          <w:rFonts w:hint="eastAsia"/>
          <w:b w:val="0"/>
          <w:bCs/>
          <w:sz w:val="28"/>
          <w:szCs w:val="28"/>
        </w:rPr>
        <w:t xml:space="preserve">附件十五 </w:t>
      </w:r>
      <w:r>
        <w:rPr>
          <w:rFonts w:hint="eastAsia"/>
          <w:b w:val="0"/>
          <w:bCs/>
          <w:color w:val="FFC000"/>
          <w:sz w:val="28"/>
          <w:szCs w:val="28"/>
          <w:lang w:eastAsia="zh-CN"/>
        </w:rPr>
        <w:t>服务响应承诺</w:t>
      </w:r>
    </w:p>
    <w:p w14:paraId="5FFCF0A6">
      <w:pPr>
        <w:pStyle w:val="4"/>
        <w:keepNext w:val="0"/>
        <w:keepLines w:val="0"/>
        <w:pageBreakBefore/>
        <w:widowControl w:val="0"/>
        <w:numPr>
          <w:ilvl w:val="1"/>
          <w:numId w:val="0"/>
        </w:numPr>
        <w:tabs>
          <w:tab w:val="left" w:pos="840"/>
          <w:tab w:val="clear" w:pos="567"/>
        </w:tabs>
        <w:adjustRightInd w:val="0"/>
        <w:snapToGrid w:val="0"/>
        <w:spacing w:before="312" w:beforeLines="100" w:after="312" w:afterLines="100" w:line="240" w:lineRule="auto"/>
        <w:jc w:val="center"/>
        <w:rPr>
          <w:rFonts w:ascii="宋体" w:hAnsi="宋体"/>
          <w:b w:val="0"/>
          <w:bCs/>
          <w:sz w:val="28"/>
          <w:szCs w:val="28"/>
          <w:lang w:val="zh-CN"/>
        </w:rPr>
      </w:pPr>
      <w:bookmarkStart w:id="139" w:name="_Toc2862"/>
      <w:r>
        <w:rPr>
          <w:rFonts w:hint="eastAsia" w:ascii="宋体" w:hAnsi="宋体"/>
          <w:b w:val="0"/>
          <w:bCs/>
          <w:sz w:val="28"/>
          <w:szCs w:val="28"/>
        </w:rPr>
        <w:t>附件十六：联</w:t>
      </w:r>
      <w:r>
        <w:rPr>
          <w:rFonts w:hint="eastAsia" w:ascii="宋体" w:hAnsi="宋体"/>
          <w:b w:val="0"/>
          <w:bCs/>
          <w:sz w:val="28"/>
          <w:szCs w:val="28"/>
          <w:lang w:val="zh-CN"/>
        </w:rPr>
        <w:t>合</w:t>
      </w:r>
      <w:r>
        <w:rPr>
          <w:rFonts w:hint="eastAsia" w:ascii="宋体" w:hAnsi="宋体"/>
          <w:b w:val="0"/>
          <w:bCs/>
          <w:sz w:val="28"/>
          <w:szCs w:val="28"/>
        </w:rPr>
        <w:t>体</w:t>
      </w:r>
      <w:r>
        <w:rPr>
          <w:rFonts w:hint="eastAsia" w:ascii="宋体" w:hAnsi="宋体"/>
          <w:b w:val="0"/>
          <w:bCs/>
          <w:sz w:val="28"/>
          <w:szCs w:val="28"/>
          <w:lang w:val="zh-CN"/>
        </w:rPr>
        <w:t>协议</w:t>
      </w:r>
      <w:bookmarkEnd w:id="139"/>
    </w:p>
    <w:p w14:paraId="05A90486">
      <w:pPr>
        <w:widowControl w:val="0"/>
        <w:snapToGrid w:val="0"/>
        <w:spacing w:line="360" w:lineRule="atLeast"/>
        <w:jc w:val="both"/>
        <w:rPr>
          <w:rFonts w:ascii="仿宋" w:hAnsi="仿宋" w:eastAsia="仿宋" w:cs="仿宋"/>
          <w:i/>
          <w:iCs/>
          <w:sz w:val="24"/>
          <w:lang w:val="zh-CN"/>
        </w:rPr>
      </w:pPr>
      <w:r>
        <w:rPr>
          <w:rFonts w:hint="eastAsia" w:ascii="仿宋" w:hAnsi="仿宋" w:eastAsia="仿宋" w:cs="仿宋"/>
          <w:i/>
          <w:iCs/>
          <w:sz w:val="24"/>
        </w:rPr>
        <w:t>（以联合体形式投标的，提供联合协议；供应商不以联合体形式投标的，则不需要提供）</w:t>
      </w:r>
    </w:p>
    <w:p w14:paraId="401F3197">
      <w:pPr>
        <w:tabs>
          <w:tab w:val="left" w:pos="1070"/>
        </w:tabs>
        <w:spacing w:before="68" w:line="360" w:lineRule="auto"/>
        <w:ind w:right="2"/>
        <w:rPr>
          <w:rFonts w:ascii="宋体" w:hAnsi="宋体" w:cs="宋体"/>
        </w:rPr>
      </w:pPr>
      <w:r>
        <w:rPr>
          <w:rFonts w:hint="eastAsia" w:ascii="宋体" w:hAnsi="宋体" w:cs="宋体"/>
          <w:u w:val="single"/>
        </w:rPr>
        <w:tab/>
      </w:r>
      <w:r>
        <w:rPr>
          <w:rFonts w:hint="eastAsia" w:ascii="宋体" w:hAnsi="宋体" w:cs="宋体"/>
          <w:spacing w:val="-8"/>
          <w:u w:val="single"/>
        </w:rPr>
        <w:t>（所有成员单位名称）</w:t>
      </w:r>
      <w:r>
        <w:rPr>
          <w:rFonts w:hint="eastAsia" w:ascii="宋体" w:hAnsi="宋体" w:cs="宋体"/>
          <w:spacing w:val="-53"/>
        </w:rPr>
        <w:t xml:space="preserve"> </w:t>
      </w:r>
      <w:r>
        <w:rPr>
          <w:rFonts w:hint="eastAsia" w:ascii="宋体" w:hAnsi="宋体" w:cs="宋体"/>
          <w:spacing w:val="-8"/>
        </w:rPr>
        <w:t>自愿组成</w:t>
      </w:r>
      <w:r>
        <w:rPr>
          <w:rFonts w:hint="eastAsia" w:ascii="宋体" w:hAnsi="宋体" w:cs="宋体"/>
          <w:spacing w:val="21"/>
          <w:u w:val="single"/>
        </w:rPr>
        <w:t xml:space="preserve">   </w:t>
      </w:r>
      <w:r>
        <w:rPr>
          <w:rFonts w:hint="eastAsia" w:ascii="宋体" w:hAnsi="宋体" w:cs="宋体"/>
          <w:spacing w:val="-8"/>
          <w:u w:val="single"/>
        </w:rPr>
        <w:t>（联合体名称）</w:t>
      </w:r>
      <w:r>
        <w:rPr>
          <w:rFonts w:hint="eastAsia" w:ascii="宋体" w:hAnsi="宋体" w:cs="宋体"/>
          <w:spacing w:val="-8"/>
        </w:rPr>
        <w:t>联合体，共同参加</w:t>
      </w:r>
      <w:r>
        <w:rPr>
          <w:rFonts w:hint="eastAsia" w:ascii="宋体" w:hAnsi="宋体" w:cs="宋体"/>
          <w:spacing w:val="64"/>
          <w:u w:val="single"/>
        </w:rPr>
        <w:t xml:space="preserve"> </w:t>
      </w:r>
      <w:r>
        <w:rPr>
          <w:rFonts w:hint="eastAsia" w:ascii="宋体" w:hAnsi="宋体" w:cs="宋体"/>
          <w:spacing w:val="-8"/>
          <w:u w:val="single"/>
        </w:rPr>
        <w:t>（项目名称）</w:t>
      </w:r>
      <w:r>
        <w:rPr>
          <w:rFonts w:hint="eastAsia" w:ascii="宋体" w:hAnsi="宋体" w:cs="宋体"/>
        </w:rPr>
        <w:t xml:space="preserve"> </w:t>
      </w:r>
      <w:r>
        <w:rPr>
          <w:rFonts w:hint="eastAsia" w:ascii="宋体" w:hAnsi="宋体" w:cs="宋体"/>
          <w:spacing w:val="-1"/>
        </w:rPr>
        <w:t>项目投标。现就联合体投标事宜订立如下协议。</w:t>
      </w:r>
    </w:p>
    <w:p w14:paraId="07BE4E71">
      <w:pPr>
        <w:pStyle w:val="11"/>
        <w:spacing w:line="232" w:lineRule="auto"/>
        <w:ind w:left="661"/>
        <w:rPr>
          <w:rFonts w:ascii="宋体" w:hAnsi="宋体" w:eastAsia="宋体" w:cs="宋体"/>
          <w:sz w:val="22"/>
        </w:rPr>
      </w:pPr>
      <w:r>
        <w:rPr>
          <w:rFonts w:hint="eastAsia" w:ascii="宋体" w:hAnsi="宋体" w:eastAsia="宋体" w:cs="宋体"/>
          <w:spacing w:val="-1"/>
          <w:sz w:val="22"/>
        </w:rPr>
        <w:t>1.</w:t>
      </w:r>
      <w:r>
        <w:rPr>
          <w:rFonts w:hint="eastAsia" w:ascii="宋体" w:hAnsi="宋体" w:eastAsia="宋体" w:cs="宋体"/>
          <w:spacing w:val="57"/>
          <w:w w:val="101"/>
          <w:sz w:val="22"/>
        </w:rPr>
        <w:t xml:space="preserve"> </w:t>
      </w:r>
      <w:r>
        <w:rPr>
          <w:rFonts w:hint="eastAsia" w:ascii="宋体" w:hAnsi="宋体" w:eastAsia="宋体" w:cs="宋体"/>
          <w:spacing w:val="-1"/>
          <w:sz w:val="22"/>
          <w:u w:val="single"/>
        </w:rPr>
        <w:t xml:space="preserve">   （某成员单位名称）</w:t>
      </w:r>
      <w:r>
        <w:rPr>
          <w:rFonts w:hint="eastAsia" w:ascii="宋体" w:hAnsi="宋体" w:eastAsia="宋体" w:cs="宋体"/>
          <w:spacing w:val="-1"/>
          <w:sz w:val="22"/>
        </w:rPr>
        <w:t xml:space="preserve">为 </w:t>
      </w:r>
      <w:r>
        <w:rPr>
          <w:rFonts w:hint="eastAsia" w:ascii="宋体" w:hAnsi="宋体" w:eastAsia="宋体" w:cs="宋体"/>
          <w:spacing w:val="51"/>
          <w:sz w:val="22"/>
          <w:u w:val="single"/>
        </w:rPr>
        <w:t xml:space="preserve">  </w:t>
      </w:r>
      <w:r>
        <w:rPr>
          <w:rFonts w:hint="eastAsia" w:ascii="宋体" w:hAnsi="宋体" w:eastAsia="宋体" w:cs="宋体"/>
          <w:spacing w:val="-1"/>
          <w:sz w:val="22"/>
          <w:u w:val="single"/>
        </w:rPr>
        <w:t>（联合体名称）</w:t>
      </w:r>
      <w:r>
        <w:rPr>
          <w:rFonts w:hint="eastAsia" w:ascii="宋体" w:hAnsi="宋体" w:eastAsia="宋体" w:cs="宋体"/>
          <w:spacing w:val="-1"/>
          <w:sz w:val="22"/>
        </w:rPr>
        <w:t>牵头人。</w:t>
      </w:r>
    </w:p>
    <w:p w14:paraId="2AD3FDB3">
      <w:pPr>
        <w:pStyle w:val="11"/>
        <w:spacing w:before="143" w:line="313" w:lineRule="auto"/>
        <w:ind w:left="16" w:firstLine="628"/>
        <w:rPr>
          <w:rFonts w:ascii="宋体" w:hAnsi="宋体" w:eastAsia="宋体" w:cs="宋体"/>
          <w:sz w:val="22"/>
        </w:rPr>
      </w:pPr>
      <w:r>
        <w:rPr>
          <w:rFonts w:hint="eastAsia" w:ascii="宋体" w:hAnsi="宋体" w:eastAsia="宋体" w:cs="宋体"/>
          <w:sz w:val="22"/>
        </w:rPr>
        <w:t>2.</w:t>
      </w:r>
      <w:r>
        <w:rPr>
          <w:rFonts w:hint="eastAsia" w:ascii="宋体" w:hAnsi="宋体" w:eastAsia="宋体" w:cs="宋体"/>
          <w:spacing w:val="53"/>
          <w:w w:val="101"/>
          <w:sz w:val="22"/>
        </w:rPr>
        <w:t xml:space="preserve"> </w:t>
      </w:r>
      <w:r>
        <w:rPr>
          <w:rFonts w:hint="eastAsia" w:ascii="宋体" w:hAnsi="宋体" w:eastAsia="宋体" w:cs="宋体"/>
          <w:sz w:val="22"/>
        </w:rPr>
        <w:t>联合体各成员授权牵头人代表联合体参加投标活动， 签署文件， 提交</w:t>
      </w:r>
      <w:r>
        <w:rPr>
          <w:rFonts w:hint="eastAsia" w:ascii="宋体" w:hAnsi="宋体" w:eastAsia="宋体" w:cs="宋体"/>
          <w:spacing w:val="-1"/>
          <w:sz w:val="22"/>
        </w:rPr>
        <w:t>和接收相关的</w:t>
      </w:r>
      <w:r>
        <w:rPr>
          <w:rFonts w:hint="eastAsia" w:ascii="宋体" w:hAnsi="宋体" w:eastAsia="宋体" w:cs="宋体"/>
          <w:sz w:val="22"/>
        </w:rPr>
        <w:t xml:space="preserve"> </w:t>
      </w:r>
      <w:r>
        <w:rPr>
          <w:rFonts w:hint="eastAsia" w:ascii="宋体" w:hAnsi="宋体" w:eastAsia="宋体" w:cs="宋体"/>
          <w:spacing w:val="-2"/>
          <w:sz w:val="22"/>
        </w:rPr>
        <w:t>资料、信息及指示，进行合同谈判活动，负责合同实施阶段的组织和</w:t>
      </w:r>
      <w:r>
        <w:rPr>
          <w:rFonts w:hint="eastAsia" w:ascii="宋体" w:hAnsi="宋体" w:eastAsia="宋体" w:cs="宋体"/>
          <w:spacing w:val="-3"/>
          <w:sz w:val="22"/>
        </w:rPr>
        <w:t>协调工作，以及处理与本招</w:t>
      </w:r>
      <w:r>
        <w:rPr>
          <w:rFonts w:hint="eastAsia" w:ascii="宋体" w:hAnsi="宋体" w:eastAsia="宋体" w:cs="宋体"/>
          <w:sz w:val="22"/>
        </w:rPr>
        <w:t xml:space="preserve"> </w:t>
      </w:r>
      <w:r>
        <w:rPr>
          <w:rFonts w:hint="eastAsia" w:ascii="宋体" w:hAnsi="宋体" w:eastAsia="宋体" w:cs="宋体"/>
          <w:spacing w:val="-2"/>
          <w:sz w:val="22"/>
        </w:rPr>
        <w:t>标项目有关的一切事宜。</w:t>
      </w:r>
    </w:p>
    <w:p w14:paraId="21B87BCB">
      <w:pPr>
        <w:pStyle w:val="11"/>
        <w:spacing w:before="158" w:line="313" w:lineRule="auto"/>
        <w:ind w:left="15" w:firstLine="631"/>
        <w:rPr>
          <w:rFonts w:ascii="宋体" w:hAnsi="宋体" w:eastAsia="宋体" w:cs="宋体"/>
          <w:sz w:val="22"/>
        </w:rPr>
      </w:pPr>
      <w:r>
        <w:rPr>
          <w:rFonts w:hint="eastAsia" w:ascii="宋体" w:hAnsi="宋体" w:eastAsia="宋体" w:cs="宋体"/>
          <w:sz w:val="22"/>
        </w:rPr>
        <w:t>3.</w:t>
      </w:r>
      <w:r>
        <w:rPr>
          <w:rFonts w:hint="eastAsia" w:ascii="宋体" w:hAnsi="宋体" w:eastAsia="宋体" w:cs="宋体"/>
          <w:spacing w:val="53"/>
          <w:w w:val="101"/>
          <w:sz w:val="22"/>
        </w:rPr>
        <w:t xml:space="preserve"> </w:t>
      </w:r>
      <w:r>
        <w:rPr>
          <w:rFonts w:hint="eastAsia" w:ascii="宋体" w:hAnsi="宋体" w:eastAsia="宋体" w:cs="宋体"/>
          <w:sz w:val="22"/>
        </w:rPr>
        <w:t>联合体牵头人在本项目中签署的一切文件和处理的一切事宜，联</w:t>
      </w:r>
      <w:r>
        <w:rPr>
          <w:rFonts w:hint="eastAsia" w:ascii="宋体" w:hAnsi="宋体" w:eastAsia="宋体" w:cs="宋体"/>
          <w:spacing w:val="-1"/>
          <w:sz w:val="22"/>
        </w:rPr>
        <w:t>合体各成员均予以承</w:t>
      </w:r>
      <w:r>
        <w:rPr>
          <w:rFonts w:hint="eastAsia" w:ascii="宋体" w:hAnsi="宋体" w:eastAsia="宋体" w:cs="宋体"/>
          <w:sz w:val="22"/>
        </w:rPr>
        <w:t xml:space="preserve"> </w:t>
      </w:r>
      <w:r>
        <w:rPr>
          <w:rFonts w:hint="eastAsia" w:ascii="宋体" w:hAnsi="宋体" w:eastAsia="宋体" w:cs="宋体"/>
          <w:spacing w:val="-2"/>
          <w:sz w:val="22"/>
        </w:rPr>
        <w:t>认。联合体各成员将严格按照招标文件、投标文件和合同的要求全面履</w:t>
      </w:r>
      <w:r>
        <w:rPr>
          <w:rFonts w:hint="eastAsia" w:ascii="宋体" w:hAnsi="宋体" w:eastAsia="宋体" w:cs="宋体"/>
          <w:spacing w:val="-3"/>
          <w:sz w:val="22"/>
        </w:rPr>
        <w:t>行义务，并向招标人承担</w:t>
      </w:r>
      <w:r>
        <w:rPr>
          <w:rFonts w:hint="eastAsia" w:ascii="宋体" w:hAnsi="宋体" w:eastAsia="宋体" w:cs="宋体"/>
          <w:sz w:val="22"/>
        </w:rPr>
        <w:t xml:space="preserve"> </w:t>
      </w:r>
      <w:r>
        <w:rPr>
          <w:rFonts w:hint="eastAsia" w:ascii="宋体" w:hAnsi="宋体" w:eastAsia="宋体" w:cs="宋体"/>
          <w:spacing w:val="-5"/>
          <w:sz w:val="22"/>
        </w:rPr>
        <w:t>连带责任。</w:t>
      </w:r>
    </w:p>
    <w:p w14:paraId="3D71E453">
      <w:pPr>
        <w:pStyle w:val="11"/>
        <w:spacing w:before="157" w:line="233" w:lineRule="auto"/>
        <w:ind w:left="641"/>
        <w:rPr>
          <w:rFonts w:ascii="宋体" w:hAnsi="宋体" w:eastAsia="宋体" w:cs="宋体"/>
          <w:sz w:val="22"/>
        </w:rPr>
      </w:pPr>
      <w:r>
        <w:rPr>
          <w:rFonts w:hint="eastAsia" w:ascii="宋体" w:hAnsi="宋体" w:eastAsia="宋体" w:cs="宋体"/>
          <w:spacing w:val="-1"/>
          <w:sz w:val="22"/>
        </w:rPr>
        <w:t>4.</w:t>
      </w:r>
      <w:r>
        <w:rPr>
          <w:rFonts w:hint="eastAsia" w:ascii="宋体" w:hAnsi="宋体" w:eastAsia="宋体" w:cs="宋体"/>
          <w:spacing w:val="53"/>
          <w:sz w:val="22"/>
        </w:rPr>
        <w:t xml:space="preserve"> </w:t>
      </w:r>
      <w:r>
        <w:rPr>
          <w:rFonts w:hint="eastAsia" w:ascii="宋体" w:hAnsi="宋体" w:eastAsia="宋体" w:cs="宋体"/>
          <w:spacing w:val="-1"/>
          <w:sz w:val="22"/>
        </w:rPr>
        <w:t>联合体各成员单位内部的职责分工如下：。</w:t>
      </w:r>
    </w:p>
    <w:p w14:paraId="55512C3A">
      <w:pPr>
        <w:pStyle w:val="11"/>
        <w:spacing w:before="142" w:line="291" w:lineRule="auto"/>
        <w:ind w:left="36" w:right="55" w:firstLine="611"/>
        <w:rPr>
          <w:rFonts w:ascii="宋体" w:hAnsi="宋体" w:eastAsia="宋体" w:cs="宋体"/>
          <w:sz w:val="22"/>
        </w:rPr>
      </w:pPr>
      <w:r>
        <w:rPr>
          <w:rFonts w:hint="eastAsia" w:ascii="宋体" w:hAnsi="宋体" w:eastAsia="宋体" w:cs="宋体"/>
          <w:sz w:val="22"/>
        </w:rPr>
        <w:t>5.</w:t>
      </w:r>
      <w:r>
        <w:rPr>
          <w:rFonts w:hint="eastAsia" w:ascii="宋体" w:hAnsi="宋体" w:eastAsia="宋体" w:cs="宋体"/>
          <w:spacing w:val="53"/>
          <w:sz w:val="22"/>
        </w:rPr>
        <w:t xml:space="preserve"> </w:t>
      </w:r>
      <w:r>
        <w:rPr>
          <w:rFonts w:hint="eastAsia" w:ascii="宋体" w:hAnsi="宋体" w:eastAsia="宋体" w:cs="宋体"/>
          <w:sz w:val="22"/>
        </w:rPr>
        <w:t>本协议书自所有成员单位法定代表人或其委</w:t>
      </w:r>
      <w:r>
        <w:rPr>
          <w:rFonts w:hint="eastAsia" w:ascii="宋体" w:hAnsi="宋体" w:eastAsia="宋体" w:cs="宋体"/>
          <w:spacing w:val="-1"/>
          <w:sz w:val="22"/>
        </w:rPr>
        <w:t>托代理人签字或盖单位章之日起生效，合</w:t>
      </w:r>
      <w:r>
        <w:rPr>
          <w:rFonts w:hint="eastAsia" w:ascii="宋体" w:hAnsi="宋体" w:eastAsia="宋体" w:cs="宋体"/>
          <w:sz w:val="22"/>
        </w:rPr>
        <w:t xml:space="preserve"> </w:t>
      </w:r>
      <w:r>
        <w:rPr>
          <w:rFonts w:hint="eastAsia" w:ascii="宋体" w:hAnsi="宋体" w:eastAsia="宋体" w:cs="宋体"/>
          <w:spacing w:val="-4"/>
          <w:sz w:val="22"/>
        </w:rPr>
        <w:t>同履行完毕后自动失效。</w:t>
      </w:r>
    </w:p>
    <w:p w14:paraId="261A9260">
      <w:pPr>
        <w:pStyle w:val="11"/>
        <w:spacing w:before="157" w:line="233" w:lineRule="auto"/>
        <w:ind w:left="646"/>
        <w:rPr>
          <w:rFonts w:ascii="宋体" w:hAnsi="宋体" w:eastAsia="宋体" w:cs="宋体"/>
          <w:sz w:val="22"/>
        </w:rPr>
      </w:pPr>
      <w:r>
        <w:rPr>
          <w:rFonts w:hint="eastAsia" w:ascii="宋体" w:hAnsi="宋体" w:eastAsia="宋体" w:cs="宋体"/>
          <w:spacing w:val="-1"/>
          <w:sz w:val="22"/>
        </w:rPr>
        <w:t>6.</w:t>
      </w:r>
      <w:r>
        <w:rPr>
          <w:rFonts w:hint="eastAsia" w:ascii="宋体" w:hAnsi="宋体" w:eastAsia="宋体" w:cs="宋体"/>
          <w:spacing w:val="66"/>
          <w:sz w:val="22"/>
        </w:rPr>
        <w:t xml:space="preserve"> </w:t>
      </w:r>
      <w:r>
        <w:rPr>
          <w:rFonts w:hint="eastAsia" w:ascii="宋体" w:hAnsi="宋体" w:eastAsia="宋体" w:cs="宋体"/>
          <w:spacing w:val="-1"/>
          <w:sz w:val="22"/>
        </w:rPr>
        <w:t>本协议书一式份，联合体成员和招标人各执一份。</w:t>
      </w:r>
    </w:p>
    <w:p w14:paraId="646E3687">
      <w:pPr>
        <w:pStyle w:val="11"/>
        <w:spacing w:line="435" w:lineRule="auto"/>
        <w:rPr>
          <w:rFonts w:ascii="宋体" w:hAnsi="宋体" w:eastAsia="宋体" w:cs="宋体"/>
          <w:sz w:val="22"/>
        </w:rPr>
      </w:pPr>
    </w:p>
    <w:p w14:paraId="732EC815">
      <w:pPr>
        <w:spacing w:before="69" w:line="360" w:lineRule="auto"/>
        <w:ind w:left="32" w:hanging="17"/>
        <w:rPr>
          <w:rFonts w:ascii="宋体" w:hAnsi="宋体" w:cs="宋体"/>
        </w:rPr>
      </w:pPr>
      <w:r>
        <w:rPr>
          <w:rFonts w:hint="eastAsia" w:ascii="宋体" w:hAnsi="宋体" w:cs="宋体"/>
          <w:spacing w:val="-2"/>
        </w:rPr>
        <w:t>注：本协议书由法定代表人签字或盖章的，应附法定代表人身份证明；</w:t>
      </w:r>
      <w:r>
        <w:rPr>
          <w:rFonts w:hint="eastAsia" w:ascii="宋体" w:hAnsi="宋体" w:cs="宋体"/>
          <w:spacing w:val="-3"/>
        </w:rPr>
        <w:t>由委托代理人签字或盖章</w:t>
      </w:r>
      <w:r>
        <w:rPr>
          <w:rFonts w:hint="eastAsia" w:ascii="宋体" w:hAnsi="宋体" w:cs="宋体"/>
        </w:rPr>
        <w:t xml:space="preserve"> </w:t>
      </w:r>
      <w:r>
        <w:rPr>
          <w:rFonts w:hint="eastAsia" w:ascii="宋体" w:hAnsi="宋体" w:cs="宋体"/>
          <w:spacing w:val="-3"/>
        </w:rPr>
        <w:t>的，应附授权委托书。</w:t>
      </w:r>
    </w:p>
    <w:p w14:paraId="64BED52C">
      <w:pPr>
        <w:pStyle w:val="11"/>
        <w:spacing w:line="288" w:lineRule="auto"/>
        <w:rPr>
          <w:rFonts w:ascii="宋体" w:hAnsi="宋体" w:eastAsia="宋体" w:cs="宋体"/>
          <w:sz w:val="22"/>
        </w:rPr>
      </w:pPr>
    </w:p>
    <w:p w14:paraId="0804E975">
      <w:pPr>
        <w:spacing w:before="69" w:line="220" w:lineRule="auto"/>
        <w:ind w:left="3801"/>
        <w:rPr>
          <w:rFonts w:ascii="宋体" w:hAnsi="宋体" w:cs="宋体"/>
        </w:rPr>
      </w:pPr>
      <w:r>
        <w:rPr>
          <w:rFonts w:hint="eastAsia" w:ascii="宋体" w:hAnsi="宋体" w:cs="宋体"/>
          <w:spacing w:val="-1"/>
        </w:rPr>
        <w:t>联合体牵头人名称：</w:t>
      </w:r>
      <w:r>
        <w:rPr>
          <w:rFonts w:hint="eastAsia" w:ascii="宋体" w:hAnsi="宋体" w:cs="宋体"/>
        </w:rPr>
        <w:t xml:space="preserve"> </w:t>
      </w:r>
      <w:r>
        <w:rPr>
          <w:rFonts w:hint="eastAsia" w:ascii="宋体" w:hAnsi="宋体" w:cs="宋体"/>
          <w:spacing w:val="-1"/>
        </w:rPr>
        <w:t>（盖单位章）</w:t>
      </w:r>
    </w:p>
    <w:p w14:paraId="3F7CD345">
      <w:pPr>
        <w:spacing w:before="160" w:line="220" w:lineRule="auto"/>
        <w:ind w:left="3749"/>
        <w:rPr>
          <w:rFonts w:ascii="宋体" w:hAnsi="宋体" w:cs="宋体"/>
        </w:rPr>
      </w:pPr>
      <w:r>
        <w:rPr>
          <w:rFonts w:hint="eastAsia" w:ascii="宋体" w:hAnsi="宋体" w:cs="宋体"/>
          <w:spacing w:val="1"/>
        </w:rPr>
        <w:t>法定代表人或其委托代理人</w:t>
      </w:r>
      <w:r>
        <w:rPr>
          <w:rFonts w:hint="eastAsia" w:ascii="宋体" w:hAnsi="宋体" w:cs="宋体"/>
          <w:spacing w:val="-15"/>
        </w:rPr>
        <w:t>：（</w:t>
      </w:r>
      <w:r>
        <w:rPr>
          <w:rFonts w:hint="eastAsia" w:ascii="宋体" w:hAnsi="宋体" w:cs="宋体"/>
          <w:spacing w:val="1"/>
        </w:rPr>
        <w:t>签字或盖章）</w:t>
      </w:r>
    </w:p>
    <w:p w14:paraId="32C1C686">
      <w:pPr>
        <w:pStyle w:val="11"/>
        <w:spacing w:line="449" w:lineRule="auto"/>
        <w:rPr>
          <w:rFonts w:ascii="宋体" w:hAnsi="宋体" w:eastAsia="宋体" w:cs="宋体"/>
          <w:sz w:val="22"/>
        </w:rPr>
      </w:pPr>
    </w:p>
    <w:p w14:paraId="4EE9CEF5">
      <w:pPr>
        <w:spacing w:before="68" w:line="220" w:lineRule="auto"/>
        <w:ind w:left="3797"/>
        <w:rPr>
          <w:rFonts w:ascii="宋体" w:hAnsi="宋体" w:cs="宋体"/>
        </w:rPr>
      </w:pPr>
      <w:r>
        <w:rPr>
          <w:rFonts w:hint="eastAsia" w:ascii="宋体" w:hAnsi="宋体" w:cs="宋体"/>
          <w:spacing w:val="-1"/>
        </w:rPr>
        <w:t>联合体成员名称</w:t>
      </w:r>
      <w:r>
        <w:rPr>
          <w:rFonts w:hint="eastAsia" w:ascii="宋体" w:hAnsi="宋体" w:cs="宋体"/>
          <w:spacing w:val="-3"/>
        </w:rPr>
        <w:t>：</w:t>
      </w:r>
      <w:r>
        <w:rPr>
          <w:rFonts w:hint="eastAsia" w:ascii="宋体" w:hAnsi="宋体" w:cs="宋体"/>
          <w:spacing w:val="1"/>
        </w:rPr>
        <w:t xml:space="preserve"> </w:t>
      </w:r>
      <w:r>
        <w:rPr>
          <w:rFonts w:hint="eastAsia" w:ascii="宋体" w:hAnsi="宋体" w:cs="宋体"/>
          <w:spacing w:val="-3"/>
        </w:rPr>
        <w:t>（</w:t>
      </w:r>
      <w:r>
        <w:rPr>
          <w:rFonts w:hint="eastAsia" w:ascii="宋体" w:hAnsi="宋体" w:cs="宋体"/>
          <w:spacing w:val="-1"/>
        </w:rPr>
        <w:t>盖单位章）</w:t>
      </w:r>
    </w:p>
    <w:p w14:paraId="7AB56365">
      <w:pPr>
        <w:spacing w:before="158" w:line="220" w:lineRule="auto"/>
        <w:ind w:left="3749"/>
        <w:rPr>
          <w:rFonts w:ascii="宋体" w:hAnsi="宋体" w:cs="宋体"/>
        </w:rPr>
      </w:pPr>
      <w:r>
        <w:rPr>
          <w:rFonts w:hint="eastAsia" w:ascii="宋体" w:hAnsi="宋体" w:cs="宋体"/>
          <w:spacing w:val="1"/>
        </w:rPr>
        <w:t>法定代表人或其委托代理人</w:t>
      </w:r>
      <w:r>
        <w:rPr>
          <w:rFonts w:hint="eastAsia" w:ascii="宋体" w:hAnsi="宋体" w:cs="宋体"/>
          <w:spacing w:val="-15"/>
        </w:rPr>
        <w:t>：（</w:t>
      </w:r>
      <w:r>
        <w:rPr>
          <w:rFonts w:hint="eastAsia" w:ascii="宋体" w:hAnsi="宋体" w:cs="宋体"/>
          <w:spacing w:val="1"/>
        </w:rPr>
        <w:t>签字或盖章）</w:t>
      </w:r>
    </w:p>
    <w:p w14:paraId="1BB30418">
      <w:pPr>
        <w:spacing w:before="157" w:line="225" w:lineRule="auto"/>
        <w:ind w:left="4229"/>
        <w:rPr>
          <w:rFonts w:ascii="宋体" w:hAnsi="宋体" w:cs="宋体"/>
        </w:rPr>
      </w:pPr>
      <w:r>
        <w:rPr>
          <w:rFonts w:hint="eastAsia" w:ascii="宋体" w:hAnsi="宋体" w:cs="宋体"/>
          <w:spacing w:val="39"/>
          <w:w w:val="153"/>
        </w:rPr>
        <w:t>„„</w:t>
      </w:r>
    </w:p>
    <w:p w14:paraId="3DB0BD7F">
      <w:pPr>
        <w:spacing w:before="154" w:line="221" w:lineRule="auto"/>
        <w:jc w:val="right"/>
        <w:rPr>
          <w:rFonts w:ascii="宋体" w:hAnsi="宋体" w:cs="宋体"/>
        </w:rPr>
      </w:pPr>
      <w:r>
        <w:rPr>
          <w:rFonts w:hint="eastAsia" w:ascii="宋体" w:hAnsi="宋体" w:cs="宋体"/>
          <w:spacing w:val="-22"/>
        </w:rPr>
        <w:t>年</w:t>
      </w:r>
      <w:r>
        <w:rPr>
          <w:rFonts w:hint="eastAsia" w:ascii="宋体" w:hAnsi="宋体" w:cs="宋体"/>
          <w:spacing w:val="3"/>
        </w:rPr>
        <w:t xml:space="preserve">   </w:t>
      </w:r>
      <w:r>
        <w:rPr>
          <w:rFonts w:hint="eastAsia" w:ascii="宋体" w:hAnsi="宋体" w:cs="宋体"/>
          <w:spacing w:val="-22"/>
        </w:rPr>
        <w:t>月</w:t>
      </w:r>
      <w:r>
        <w:rPr>
          <w:rFonts w:hint="eastAsia" w:ascii="宋体" w:hAnsi="宋体" w:cs="宋体"/>
          <w:spacing w:val="23"/>
        </w:rPr>
        <w:t xml:space="preserve">  </w:t>
      </w:r>
      <w:r>
        <w:rPr>
          <w:rFonts w:hint="eastAsia" w:ascii="宋体" w:hAnsi="宋体" w:cs="宋体"/>
          <w:spacing w:val="-22"/>
        </w:rPr>
        <w:t>日</w:t>
      </w:r>
    </w:p>
    <w:p w14:paraId="4062947E">
      <w:pPr>
        <w:rPr>
          <w:rFonts w:ascii="宋体" w:hAnsi="宋体" w:cs="宋体"/>
        </w:rPr>
        <w:sectPr>
          <w:pgSz w:w="11906" w:h="16838"/>
          <w:pgMar w:top="1588" w:right="1248" w:bottom="1134" w:left="1418" w:header="680" w:footer="992" w:gutter="0"/>
          <w:cols w:space="720" w:num="1"/>
          <w:docGrid w:type="lines" w:linePitch="312" w:charSpace="0"/>
        </w:sectPr>
      </w:pPr>
    </w:p>
    <w:bookmarkEnd w:id="119"/>
    <w:bookmarkEnd w:id="120"/>
    <w:bookmarkEnd w:id="121"/>
    <w:bookmarkEnd w:id="122"/>
    <w:bookmarkEnd w:id="123"/>
    <w:bookmarkEnd w:id="124"/>
    <w:bookmarkEnd w:id="125"/>
    <w:bookmarkEnd w:id="126"/>
    <w:bookmarkEnd w:id="137"/>
    <w:p w14:paraId="20E77A12">
      <w:pPr>
        <w:pStyle w:val="15"/>
        <w:adjustRightInd w:val="0"/>
        <w:snapToGrid w:val="0"/>
        <w:spacing w:line="440" w:lineRule="atLeast"/>
        <w:ind w:firstLine="440"/>
        <w:jc w:val="center"/>
        <w:outlineLvl w:val="1"/>
        <w:rPr>
          <w:rFonts w:hAnsi="宋体" w:cs="Arial"/>
          <w:bCs/>
          <w:color w:val="000000"/>
          <w:sz w:val="36"/>
          <w:szCs w:val="36"/>
          <w:lang w:val="zh-CN"/>
        </w:rPr>
      </w:pPr>
      <w:bookmarkStart w:id="140" w:name="_Toc45140223"/>
      <w:bookmarkStart w:id="141" w:name="_Toc15776"/>
      <w:bookmarkStart w:id="142" w:name="_Toc26739"/>
      <w:r>
        <w:rPr>
          <w:rFonts w:hint="eastAsia" w:hAnsi="宋体" w:cs="Arial"/>
          <w:bCs/>
          <w:color w:val="000000"/>
          <w:sz w:val="36"/>
          <w:szCs w:val="36"/>
          <w:lang w:val="zh-CN"/>
        </w:rPr>
        <w:t>附件十七</w:t>
      </w:r>
      <w:r>
        <w:rPr>
          <w:rFonts w:hint="eastAsia" w:hAnsi="宋体" w:cs="Arial"/>
          <w:bCs/>
          <w:color w:val="000000"/>
          <w:sz w:val="36"/>
          <w:szCs w:val="36"/>
        </w:rPr>
        <w:t xml:space="preserve"> </w:t>
      </w:r>
      <w:r>
        <w:rPr>
          <w:rFonts w:hint="eastAsia" w:hAnsi="宋体" w:cs="Arial"/>
          <w:bCs/>
          <w:color w:val="000000"/>
          <w:sz w:val="36"/>
          <w:szCs w:val="36"/>
          <w:lang w:val="zh-CN"/>
        </w:rPr>
        <w:t>偏离表</w:t>
      </w:r>
      <w:bookmarkEnd w:id="140"/>
      <w:bookmarkEnd w:id="141"/>
    </w:p>
    <w:tbl>
      <w:tblPr>
        <w:tblStyle w:val="2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2"/>
        <w:gridCol w:w="2260"/>
        <w:gridCol w:w="2260"/>
        <w:gridCol w:w="2260"/>
        <w:gridCol w:w="2261"/>
      </w:tblGrid>
      <w:tr w14:paraId="7B970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9923" w:type="dxa"/>
            <w:gridSpan w:val="5"/>
            <w:vAlign w:val="center"/>
          </w:tcPr>
          <w:p w14:paraId="6B42C546">
            <w:pPr>
              <w:autoSpaceDE w:val="0"/>
              <w:autoSpaceDN w:val="0"/>
              <w:adjustRightInd w:val="0"/>
              <w:spacing w:line="460" w:lineRule="atLeast"/>
              <w:jc w:val="center"/>
              <w:rPr>
                <w:rFonts w:ascii="宋体" w:hAnsi="宋体"/>
                <w:color w:val="000000"/>
                <w:lang w:val="zh-CN"/>
              </w:rPr>
            </w:pPr>
            <w:r>
              <w:rPr>
                <w:rFonts w:ascii="宋体" w:hAnsi="宋体"/>
                <w:color w:val="000000"/>
                <w:lang w:val="zh-CN"/>
              </w:rPr>
              <w:t>商务</w:t>
            </w:r>
            <w:r>
              <w:rPr>
                <w:rFonts w:hint="eastAsia" w:ascii="宋体" w:hAnsi="宋体"/>
                <w:color w:val="000000"/>
                <w:lang w:val="zh-CN"/>
              </w:rPr>
              <w:t>偏离</w:t>
            </w:r>
          </w:p>
        </w:tc>
      </w:tr>
      <w:tr w14:paraId="1B62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vAlign w:val="center"/>
          </w:tcPr>
          <w:p w14:paraId="6CBD32BC">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序号</w:t>
            </w:r>
          </w:p>
        </w:tc>
        <w:tc>
          <w:tcPr>
            <w:tcW w:w="2260" w:type="dxa"/>
            <w:vAlign w:val="center"/>
          </w:tcPr>
          <w:p w14:paraId="31504784">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内容</w:t>
            </w:r>
          </w:p>
        </w:tc>
        <w:tc>
          <w:tcPr>
            <w:tcW w:w="2260" w:type="dxa"/>
            <w:vAlign w:val="center"/>
          </w:tcPr>
          <w:p w14:paraId="6FD4581C">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磋商文件要求</w:t>
            </w:r>
          </w:p>
        </w:tc>
        <w:tc>
          <w:tcPr>
            <w:tcW w:w="2260" w:type="dxa"/>
            <w:vAlign w:val="center"/>
          </w:tcPr>
          <w:p w14:paraId="40451D1D">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磋商响应文件对应</w:t>
            </w:r>
          </w:p>
        </w:tc>
        <w:tc>
          <w:tcPr>
            <w:tcW w:w="2261" w:type="dxa"/>
            <w:vAlign w:val="center"/>
          </w:tcPr>
          <w:p w14:paraId="367AAD97">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备注</w:t>
            </w:r>
          </w:p>
        </w:tc>
      </w:tr>
      <w:tr w14:paraId="4E8FE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28B6F5E">
            <w:pPr>
              <w:autoSpaceDE w:val="0"/>
              <w:autoSpaceDN w:val="0"/>
              <w:adjustRightInd w:val="0"/>
              <w:spacing w:line="460" w:lineRule="atLeast"/>
              <w:jc w:val="center"/>
              <w:rPr>
                <w:rFonts w:ascii="宋体" w:hAnsi="宋体"/>
                <w:color w:val="000000"/>
                <w:lang w:val="zh-CN"/>
              </w:rPr>
            </w:pPr>
          </w:p>
        </w:tc>
        <w:tc>
          <w:tcPr>
            <w:tcW w:w="2260" w:type="dxa"/>
          </w:tcPr>
          <w:p w14:paraId="5A3C3F2A">
            <w:pPr>
              <w:autoSpaceDE w:val="0"/>
              <w:autoSpaceDN w:val="0"/>
              <w:adjustRightInd w:val="0"/>
              <w:spacing w:line="460" w:lineRule="atLeast"/>
              <w:jc w:val="center"/>
              <w:rPr>
                <w:rFonts w:ascii="宋体" w:hAnsi="宋体"/>
                <w:color w:val="000000"/>
                <w:lang w:val="zh-CN"/>
              </w:rPr>
            </w:pPr>
          </w:p>
        </w:tc>
        <w:tc>
          <w:tcPr>
            <w:tcW w:w="2260" w:type="dxa"/>
          </w:tcPr>
          <w:p w14:paraId="54501C2D">
            <w:pPr>
              <w:autoSpaceDE w:val="0"/>
              <w:autoSpaceDN w:val="0"/>
              <w:adjustRightInd w:val="0"/>
              <w:spacing w:line="460" w:lineRule="atLeast"/>
              <w:jc w:val="center"/>
              <w:rPr>
                <w:rFonts w:ascii="宋体" w:hAnsi="宋体"/>
                <w:color w:val="000000"/>
                <w:lang w:val="zh-CN"/>
              </w:rPr>
            </w:pPr>
          </w:p>
        </w:tc>
        <w:tc>
          <w:tcPr>
            <w:tcW w:w="2260" w:type="dxa"/>
          </w:tcPr>
          <w:p w14:paraId="2055D619">
            <w:pPr>
              <w:autoSpaceDE w:val="0"/>
              <w:autoSpaceDN w:val="0"/>
              <w:adjustRightInd w:val="0"/>
              <w:spacing w:line="460" w:lineRule="atLeast"/>
              <w:jc w:val="center"/>
              <w:rPr>
                <w:rFonts w:ascii="宋体" w:hAnsi="宋体"/>
                <w:color w:val="000000"/>
                <w:lang w:val="zh-CN"/>
              </w:rPr>
            </w:pPr>
          </w:p>
        </w:tc>
        <w:tc>
          <w:tcPr>
            <w:tcW w:w="2261" w:type="dxa"/>
          </w:tcPr>
          <w:p w14:paraId="18033834">
            <w:pPr>
              <w:autoSpaceDE w:val="0"/>
              <w:autoSpaceDN w:val="0"/>
              <w:adjustRightInd w:val="0"/>
              <w:spacing w:line="460" w:lineRule="atLeast"/>
              <w:jc w:val="center"/>
              <w:rPr>
                <w:rFonts w:ascii="宋体" w:hAnsi="宋体"/>
                <w:color w:val="000000"/>
                <w:lang w:val="zh-CN"/>
              </w:rPr>
            </w:pPr>
          </w:p>
        </w:tc>
      </w:tr>
      <w:tr w14:paraId="4D037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00EE7101">
            <w:pPr>
              <w:autoSpaceDE w:val="0"/>
              <w:autoSpaceDN w:val="0"/>
              <w:adjustRightInd w:val="0"/>
              <w:spacing w:line="460" w:lineRule="atLeast"/>
              <w:jc w:val="center"/>
              <w:rPr>
                <w:rFonts w:ascii="宋体" w:hAnsi="宋体"/>
                <w:color w:val="000000"/>
                <w:lang w:val="zh-CN"/>
              </w:rPr>
            </w:pPr>
          </w:p>
        </w:tc>
        <w:tc>
          <w:tcPr>
            <w:tcW w:w="2260" w:type="dxa"/>
          </w:tcPr>
          <w:p w14:paraId="5671DB13">
            <w:pPr>
              <w:autoSpaceDE w:val="0"/>
              <w:autoSpaceDN w:val="0"/>
              <w:adjustRightInd w:val="0"/>
              <w:spacing w:line="460" w:lineRule="atLeast"/>
              <w:jc w:val="center"/>
              <w:rPr>
                <w:rFonts w:ascii="宋体" w:hAnsi="宋体"/>
                <w:color w:val="000000"/>
                <w:lang w:val="zh-CN"/>
              </w:rPr>
            </w:pPr>
          </w:p>
        </w:tc>
        <w:tc>
          <w:tcPr>
            <w:tcW w:w="2260" w:type="dxa"/>
          </w:tcPr>
          <w:p w14:paraId="68EE4C15">
            <w:pPr>
              <w:autoSpaceDE w:val="0"/>
              <w:autoSpaceDN w:val="0"/>
              <w:adjustRightInd w:val="0"/>
              <w:spacing w:line="460" w:lineRule="atLeast"/>
              <w:jc w:val="center"/>
              <w:rPr>
                <w:rFonts w:ascii="宋体" w:hAnsi="宋体"/>
                <w:color w:val="000000"/>
                <w:lang w:val="zh-CN"/>
              </w:rPr>
            </w:pPr>
          </w:p>
        </w:tc>
        <w:tc>
          <w:tcPr>
            <w:tcW w:w="2260" w:type="dxa"/>
          </w:tcPr>
          <w:p w14:paraId="18E9A151">
            <w:pPr>
              <w:autoSpaceDE w:val="0"/>
              <w:autoSpaceDN w:val="0"/>
              <w:adjustRightInd w:val="0"/>
              <w:spacing w:line="460" w:lineRule="atLeast"/>
              <w:jc w:val="center"/>
              <w:rPr>
                <w:rFonts w:ascii="宋体" w:hAnsi="宋体"/>
                <w:color w:val="000000"/>
                <w:lang w:val="zh-CN"/>
              </w:rPr>
            </w:pPr>
          </w:p>
        </w:tc>
        <w:tc>
          <w:tcPr>
            <w:tcW w:w="2261" w:type="dxa"/>
          </w:tcPr>
          <w:p w14:paraId="55DE522D">
            <w:pPr>
              <w:autoSpaceDE w:val="0"/>
              <w:autoSpaceDN w:val="0"/>
              <w:adjustRightInd w:val="0"/>
              <w:spacing w:line="460" w:lineRule="atLeast"/>
              <w:jc w:val="center"/>
              <w:rPr>
                <w:rFonts w:ascii="宋体" w:hAnsi="宋体"/>
                <w:color w:val="000000"/>
                <w:lang w:val="zh-CN"/>
              </w:rPr>
            </w:pPr>
          </w:p>
        </w:tc>
      </w:tr>
      <w:tr w14:paraId="3528C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95B74C3">
            <w:pPr>
              <w:autoSpaceDE w:val="0"/>
              <w:autoSpaceDN w:val="0"/>
              <w:adjustRightInd w:val="0"/>
              <w:spacing w:line="460" w:lineRule="atLeast"/>
              <w:jc w:val="center"/>
              <w:rPr>
                <w:rFonts w:ascii="宋体" w:hAnsi="宋体"/>
                <w:color w:val="000000"/>
                <w:lang w:val="zh-CN"/>
              </w:rPr>
            </w:pPr>
          </w:p>
        </w:tc>
        <w:tc>
          <w:tcPr>
            <w:tcW w:w="2260" w:type="dxa"/>
          </w:tcPr>
          <w:p w14:paraId="649B2272">
            <w:pPr>
              <w:autoSpaceDE w:val="0"/>
              <w:autoSpaceDN w:val="0"/>
              <w:adjustRightInd w:val="0"/>
              <w:spacing w:line="460" w:lineRule="atLeast"/>
              <w:jc w:val="center"/>
              <w:rPr>
                <w:rFonts w:ascii="宋体" w:hAnsi="宋体"/>
                <w:color w:val="000000"/>
                <w:lang w:val="zh-CN"/>
              </w:rPr>
            </w:pPr>
          </w:p>
        </w:tc>
        <w:tc>
          <w:tcPr>
            <w:tcW w:w="2260" w:type="dxa"/>
          </w:tcPr>
          <w:p w14:paraId="2E8565CD">
            <w:pPr>
              <w:autoSpaceDE w:val="0"/>
              <w:autoSpaceDN w:val="0"/>
              <w:adjustRightInd w:val="0"/>
              <w:spacing w:line="460" w:lineRule="atLeast"/>
              <w:jc w:val="center"/>
              <w:rPr>
                <w:rFonts w:ascii="宋体" w:hAnsi="宋体"/>
                <w:color w:val="000000"/>
                <w:lang w:val="zh-CN"/>
              </w:rPr>
            </w:pPr>
          </w:p>
        </w:tc>
        <w:tc>
          <w:tcPr>
            <w:tcW w:w="2260" w:type="dxa"/>
          </w:tcPr>
          <w:p w14:paraId="4E9F4303">
            <w:pPr>
              <w:autoSpaceDE w:val="0"/>
              <w:autoSpaceDN w:val="0"/>
              <w:adjustRightInd w:val="0"/>
              <w:spacing w:line="460" w:lineRule="atLeast"/>
              <w:jc w:val="center"/>
              <w:rPr>
                <w:rFonts w:ascii="宋体" w:hAnsi="宋体"/>
                <w:color w:val="000000"/>
                <w:lang w:val="zh-CN"/>
              </w:rPr>
            </w:pPr>
          </w:p>
        </w:tc>
        <w:tc>
          <w:tcPr>
            <w:tcW w:w="2261" w:type="dxa"/>
          </w:tcPr>
          <w:p w14:paraId="4EDAA640">
            <w:pPr>
              <w:autoSpaceDE w:val="0"/>
              <w:autoSpaceDN w:val="0"/>
              <w:adjustRightInd w:val="0"/>
              <w:spacing w:line="460" w:lineRule="atLeast"/>
              <w:jc w:val="center"/>
              <w:rPr>
                <w:rFonts w:ascii="宋体" w:hAnsi="宋体"/>
                <w:color w:val="000000"/>
                <w:lang w:val="zh-CN"/>
              </w:rPr>
            </w:pPr>
          </w:p>
        </w:tc>
      </w:tr>
      <w:tr w14:paraId="79A85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99ECB59">
            <w:pPr>
              <w:autoSpaceDE w:val="0"/>
              <w:autoSpaceDN w:val="0"/>
              <w:adjustRightInd w:val="0"/>
              <w:spacing w:line="460" w:lineRule="atLeast"/>
              <w:jc w:val="center"/>
              <w:rPr>
                <w:rFonts w:ascii="宋体" w:hAnsi="宋体"/>
                <w:color w:val="000000"/>
                <w:lang w:val="zh-CN"/>
              </w:rPr>
            </w:pPr>
          </w:p>
        </w:tc>
        <w:tc>
          <w:tcPr>
            <w:tcW w:w="2260" w:type="dxa"/>
          </w:tcPr>
          <w:p w14:paraId="5BEC1588">
            <w:pPr>
              <w:autoSpaceDE w:val="0"/>
              <w:autoSpaceDN w:val="0"/>
              <w:adjustRightInd w:val="0"/>
              <w:spacing w:line="460" w:lineRule="atLeast"/>
              <w:jc w:val="center"/>
              <w:rPr>
                <w:rFonts w:ascii="宋体" w:hAnsi="宋体"/>
                <w:color w:val="000000"/>
                <w:lang w:val="zh-CN"/>
              </w:rPr>
            </w:pPr>
          </w:p>
        </w:tc>
        <w:tc>
          <w:tcPr>
            <w:tcW w:w="2260" w:type="dxa"/>
          </w:tcPr>
          <w:p w14:paraId="0B02FA85">
            <w:pPr>
              <w:autoSpaceDE w:val="0"/>
              <w:autoSpaceDN w:val="0"/>
              <w:adjustRightInd w:val="0"/>
              <w:spacing w:line="460" w:lineRule="atLeast"/>
              <w:jc w:val="center"/>
              <w:rPr>
                <w:rFonts w:ascii="宋体" w:hAnsi="宋体"/>
                <w:color w:val="000000"/>
                <w:lang w:val="zh-CN"/>
              </w:rPr>
            </w:pPr>
          </w:p>
        </w:tc>
        <w:tc>
          <w:tcPr>
            <w:tcW w:w="2260" w:type="dxa"/>
          </w:tcPr>
          <w:p w14:paraId="0C517A50">
            <w:pPr>
              <w:autoSpaceDE w:val="0"/>
              <w:autoSpaceDN w:val="0"/>
              <w:adjustRightInd w:val="0"/>
              <w:spacing w:line="460" w:lineRule="atLeast"/>
              <w:jc w:val="center"/>
              <w:rPr>
                <w:rFonts w:ascii="宋体" w:hAnsi="宋体"/>
                <w:color w:val="000000"/>
                <w:lang w:val="zh-CN"/>
              </w:rPr>
            </w:pPr>
          </w:p>
        </w:tc>
        <w:tc>
          <w:tcPr>
            <w:tcW w:w="2261" w:type="dxa"/>
          </w:tcPr>
          <w:p w14:paraId="2CCE192B">
            <w:pPr>
              <w:autoSpaceDE w:val="0"/>
              <w:autoSpaceDN w:val="0"/>
              <w:adjustRightInd w:val="0"/>
              <w:spacing w:line="460" w:lineRule="atLeast"/>
              <w:jc w:val="center"/>
              <w:rPr>
                <w:rFonts w:ascii="宋体" w:hAnsi="宋体"/>
                <w:color w:val="000000"/>
                <w:lang w:val="zh-CN"/>
              </w:rPr>
            </w:pPr>
          </w:p>
        </w:tc>
      </w:tr>
      <w:tr w14:paraId="0BC0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497B5835">
            <w:pPr>
              <w:autoSpaceDE w:val="0"/>
              <w:autoSpaceDN w:val="0"/>
              <w:adjustRightInd w:val="0"/>
              <w:spacing w:line="460" w:lineRule="atLeast"/>
              <w:jc w:val="center"/>
              <w:rPr>
                <w:rFonts w:ascii="宋体" w:hAnsi="宋体"/>
                <w:color w:val="000000"/>
                <w:lang w:val="zh-CN"/>
              </w:rPr>
            </w:pPr>
          </w:p>
        </w:tc>
        <w:tc>
          <w:tcPr>
            <w:tcW w:w="2260" w:type="dxa"/>
          </w:tcPr>
          <w:p w14:paraId="1BF3B59C">
            <w:pPr>
              <w:autoSpaceDE w:val="0"/>
              <w:autoSpaceDN w:val="0"/>
              <w:adjustRightInd w:val="0"/>
              <w:spacing w:line="460" w:lineRule="atLeast"/>
              <w:jc w:val="center"/>
              <w:rPr>
                <w:rFonts w:ascii="宋体" w:hAnsi="宋体"/>
                <w:color w:val="000000"/>
                <w:lang w:val="zh-CN"/>
              </w:rPr>
            </w:pPr>
          </w:p>
        </w:tc>
        <w:tc>
          <w:tcPr>
            <w:tcW w:w="2260" w:type="dxa"/>
          </w:tcPr>
          <w:p w14:paraId="6F8AD8AB">
            <w:pPr>
              <w:autoSpaceDE w:val="0"/>
              <w:autoSpaceDN w:val="0"/>
              <w:adjustRightInd w:val="0"/>
              <w:spacing w:line="460" w:lineRule="atLeast"/>
              <w:jc w:val="center"/>
              <w:rPr>
                <w:rFonts w:ascii="宋体" w:hAnsi="宋体"/>
                <w:color w:val="000000"/>
                <w:lang w:val="zh-CN"/>
              </w:rPr>
            </w:pPr>
          </w:p>
        </w:tc>
        <w:tc>
          <w:tcPr>
            <w:tcW w:w="2260" w:type="dxa"/>
          </w:tcPr>
          <w:p w14:paraId="3CA6FE66">
            <w:pPr>
              <w:autoSpaceDE w:val="0"/>
              <w:autoSpaceDN w:val="0"/>
              <w:adjustRightInd w:val="0"/>
              <w:spacing w:line="460" w:lineRule="atLeast"/>
              <w:jc w:val="center"/>
              <w:rPr>
                <w:rFonts w:ascii="宋体" w:hAnsi="宋体"/>
                <w:color w:val="000000"/>
                <w:lang w:val="zh-CN"/>
              </w:rPr>
            </w:pPr>
          </w:p>
        </w:tc>
        <w:tc>
          <w:tcPr>
            <w:tcW w:w="2261" w:type="dxa"/>
          </w:tcPr>
          <w:p w14:paraId="6D7A66A5">
            <w:pPr>
              <w:autoSpaceDE w:val="0"/>
              <w:autoSpaceDN w:val="0"/>
              <w:adjustRightInd w:val="0"/>
              <w:spacing w:line="460" w:lineRule="atLeast"/>
              <w:jc w:val="center"/>
              <w:rPr>
                <w:rFonts w:ascii="宋体" w:hAnsi="宋体"/>
                <w:color w:val="000000"/>
                <w:lang w:val="zh-CN"/>
              </w:rPr>
            </w:pPr>
          </w:p>
        </w:tc>
      </w:tr>
      <w:tr w14:paraId="759BE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9FC90F4">
            <w:pPr>
              <w:autoSpaceDE w:val="0"/>
              <w:autoSpaceDN w:val="0"/>
              <w:adjustRightInd w:val="0"/>
              <w:spacing w:line="460" w:lineRule="atLeast"/>
              <w:jc w:val="center"/>
              <w:rPr>
                <w:rFonts w:ascii="宋体" w:hAnsi="宋体"/>
                <w:color w:val="000000"/>
                <w:lang w:val="zh-CN"/>
              </w:rPr>
            </w:pPr>
          </w:p>
        </w:tc>
        <w:tc>
          <w:tcPr>
            <w:tcW w:w="2260" w:type="dxa"/>
          </w:tcPr>
          <w:p w14:paraId="6951C9FD">
            <w:pPr>
              <w:autoSpaceDE w:val="0"/>
              <w:autoSpaceDN w:val="0"/>
              <w:adjustRightInd w:val="0"/>
              <w:spacing w:line="460" w:lineRule="atLeast"/>
              <w:jc w:val="center"/>
              <w:rPr>
                <w:rFonts w:ascii="宋体" w:hAnsi="宋体"/>
                <w:color w:val="000000"/>
                <w:lang w:val="zh-CN"/>
              </w:rPr>
            </w:pPr>
          </w:p>
        </w:tc>
        <w:tc>
          <w:tcPr>
            <w:tcW w:w="2260" w:type="dxa"/>
          </w:tcPr>
          <w:p w14:paraId="01BED7BD">
            <w:pPr>
              <w:autoSpaceDE w:val="0"/>
              <w:autoSpaceDN w:val="0"/>
              <w:adjustRightInd w:val="0"/>
              <w:spacing w:line="460" w:lineRule="atLeast"/>
              <w:jc w:val="center"/>
              <w:rPr>
                <w:rFonts w:ascii="宋体" w:hAnsi="宋体"/>
                <w:color w:val="000000"/>
                <w:lang w:val="zh-CN"/>
              </w:rPr>
            </w:pPr>
          </w:p>
        </w:tc>
        <w:tc>
          <w:tcPr>
            <w:tcW w:w="2260" w:type="dxa"/>
          </w:tcPr>
          <w:p w14:paraId="1167258F">
            <w:pPr>
              <w:autoSpaceDE w:val="0"/>
              <w:autoSpaceDN w:val="0"/>
              <w:adjustRightInd w:val="0"/>
              <w:spacing w:line="460" w:lineRule="atLeast"/>
              <w:jc w:val="center"/>
              <w:rPr>
                <w:rFonts w:ascii="宋体" w:hAnsi="宋体"/>
                <w:color w:val="000000"/>
                <w:lang w:val="zh-CN"/>
              </w:rPr>
            </w:pPr>
          </w:p>
        </w:tc>
        <w:tc>
          <w:tcPr>
            <w:tcW w:w="2261" w:type="dxa"/>
          </w:tcPr>
          <w:p w14:paraId="3D18A5C2">
            <w:pPr>
              <w:autoSpaceDE w:val="0"/>
              <w:autoSpaceDN w:val="0"/>
              <w:adjustRightInd w:val="0"/>
              <w:spacing w:line="460" w:lineRule="atLeast"/>
              <w:jc w:val="center"/>
              <w:rPr>
                <w:rFonts w:ascii="宋体" w:hAnsi="宋体"/>
                <w:color w:val="000000"/>
                <w:lang w:val="zh-CN"/>
              </w:rPr>
            </w:pPr>
          </w:p>
        </w:tc>
      </w:tr>
      <w:tr w14:paraId="6DE08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8F62D8A">
            <w:pPr>
              <w:autoSpaceDE w:val="0"/>
              <w:autoSpaceDN w:val="0"/>
              <w:adjustRightInd w:val="0"/>
              <w:spacing w:line="460" w:lineRule="atLeast"/>
              <w:jc w:val="center"/>
              <w:rPr>
                <w:rFonts w:ascii="宋体" w:hAnsi="宋体"/>
                <w:color w:val="000000"/>
                <w:lang w:val="zh-CN"/>
              </w:rPr>
            </w:pPr>
          </w:p>
        </w:tc>
        <w:tc>
          <w:tcPr>
            <w:tcW w:w="2260" w:type="dxa"/>
          </w:tcPr>
          <w:p w14:paraId="173E10A1">
            <w:pPr>
              <w:autoSpaceDE w:val="0"/>
              <w:autoSpaceDN w:val="0"/>
              <w:adjustRightInd w:val="0"/>
              <w:spacing w:line="460" w:lineRule="atLeast"/>
              <w:jc w:val="center"/>
              <w:rPr>
                <w:rFonts w:ascii="宋体" w:hAnsi="宋体"/>
                <w:color w:val="000000"/>
                <w:lang w:val="zh-CN"/>
              </w:rPr>
            </w:pPr>
          </w:p>
        </w:tc>
        <w:tc>
          <w:tcPr>
            <w:tcW w:w="2260" w:type="dxa"/>
          </w:tcPr>
          <w:p w14:paraId="4310AFF4">
            <w:pPr>
              <w:autoSpaceDE w:val="0"/>
              <w:autoSpaceDN w:val="0"/>
              <w:adjustRightInd w:val="0"/>
              <w:spacing w:line="460" w:lineRule="atLeast"/>
              <w:jc w:val="center"/>
              <w:rPr>
                <w:rFonts w:ascii="宋体" w:hAnsi="宋体"/>
                <w:color w:val="000000"/>
                <w:lang w:val="zh-CN"/>
              </w:rPr>
            </w:pPr>
          </w:p>
        </w:tc>
        <w:tc>
          <w:tcPr>
            <w:tcW w:w="2260" w:type="dxa"/>
          </w:tcPr>
          <w:p w14:paraId="723AF7B5">
            <w:pPr>
              <w:autoSpaceDE w:val="0"/>
              <w:autoSpaceDN w:val="0"/>
              <w:adjustRightInd w:val="0"/>
              <w:spacing w:line="460" w:lineRule="atLeast"/>
              <w:jc w:val="center"/>
              <w:rPr>
                <w:rFonts w:ascii="宋体" w:hAnsi="宋体"/>
                <w:color w:val="000000"/>
                <w:lang w:val="zh-CN"/>
              </w:rPr>
            </w:pPr>
          </w:p>
        </w:tc>
        <w:tc>
          <w:tcPr>
            <w:tcW w:w="2261" w:type="dxa"/>
          </w:tcPr>
          <w:p w14:paraId="5B3DD350">
            <w:pPr>
              <w:autoSpaceDE w:val="0"/>
              <w:autoSpaceDN w:val="0"/>
              <w:adjustRightInd w:val="0"/>
              <w:spacing w:line="460" w:lineRule="atLeast"/>
              <w:jc w:val="center"/>
              <w:rPr>
                <w:rFonts w:ascii="宋体" w:hAnsi="宋体"/>
                <w:color w:val="000000"/>
                <w:lang w:val="zh-CN"/>
              </w:rPr>
            </w:pPr>
          </w:p>
        </w:tc>
      </w:tr>
      <w:tr w14:paraId="3A5D1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59CC0742">
            <w:pPr>
              <w:autoSpaceDE w:val="0"/>
              <w:autoSpaceDN w:val="0"/>
              <w:adjustRightInd w:val="0"/>
              <w:spacing w:line="460" w:lineRule="atLeast"/>
              <w:jc w:val="center"/>
              <w:rPr>
                <w:rFonts w:ascii="宋体" w:hAnsi="宋体"/>
                <w:color w:val="000000"/>
                <w:lang w:val="zh-CN"/>
              </w:rPr>
            </w:pPr>
          </w:p>
        </w:tc>
        <w:tc>
          <w:tcPr>
            <w:tcW w:w="2260" w:type="dxa"/>
          </w:tcPr>
          <w:p w14:paraId="033F5F99">
            <w:pPr>
              <w:autoSpaceDE w:val="0"/>
              <w:autoSpaceDN w:val="0"/>
              <w:adjustRightInd w:val="0"/>
              <w:spacing w:line="460" w:lineRule="atLeast"/>
              <w:jc w:val="center"/>
              <w:rPr>
                <w:rFonts w:ascii="宋体" w:hAnsi="宋体"/>
                <w:color w:val="000000"/>
                <w:lang w:val="zh-CN"/>
              </w:rPr>
            </w:pPr>
          </w:p>
        </w:tc>
        <w:tc>
          <w:tcPr>
            <w:tcW w:w="2260" w:type="dxa"/>
          </w:tcPr>
          <w:p w14:paraId="31432449">
            <w:pPr>
              <w:autoSpaceDE w:val="0"/>
              <w:autoSpaceDN w:val="0"/>
              <w:adjustRightInd w:val="0"/>
              <w:spacing w:line="460" w:lineRule="atLeast"/>
              <w:jc w:val="center"/>
              <w:rPr>
                <w:rFonts w:ascii="宋体" w:hAnsi="宋体"/>
                <w:color w:val="000000"/>
                <w:lang w:val="zh-CN"/>
              </w:rPr>
            </w:pPr>
          </w:p>
        </w:tc>
        <w:tc>
          <w:tcPr>
            <w:tcW w:w="2260" w:type="dxa"/>
          </w:tcPr>
          <w:p w14:paraId="77D3C4BB">
            <w:pPr>
              <w:autoSpaceDE w:val="0"/>
              <w:autoSpaceDN w:val="0"/>
              <w:adjustRightInd w:val="0"/>
              <w:spacing w:line="460" w:lineRule="atLeast"/>
              <w:jc w:val="center"/>
              <w:rPr>
                <w:rFonts w:ascii="宋体" w:hAnsi="宋体"/>
                <w:color w:val="000000"/>
                <w:lang w:val="zh-CN"/>
              </w:rPr>
            </w:pPr>
          </w:p>
        </w:tc>
        <w:tc>
          <w:tcPr>
            <w:tcW w:w="2261" w:type="dxa"/>
          </w:tcPr>
          <w:p w14:paraId="122F4454">
            <w:pPr>
              <w:autoSpaceDE w:val="0"/>
              <w:autoSpaceDN w:val="0"/>
              <w:adjustRightInd w:val="0"/>
              <w:spacing w:line="460" w:lineRule="atLeast"/>
              <w:jc w:val="center"/>
              <w:rPr>
                <w:rFonts w:ascii="宋体" w:hAnsi="宋体"/>
                <w:color w:val="000000"/>
                <w:lang w:val="zh-CN"/>
              </w:rPr>
            </w:pPr>
          </w:p>
        </w:tc>
      </w:tr>
      <w:tr w14:paraId="542E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9923" w:type="dxa"/>
            <w:gridSpan w:val="5"/>
          </w:tcPr>
          <w:p w14:paraId="1F5D2A5C">
            <w:pPr>
              <w:autoSpaceDE w:val="0"/>
              <w:autoSpaceDN w:val="0"/>
              <w:adjustRightInd w:val="0"/>
              <w:spacing w:line="460" w:lineRule="atLeast"/>
              <w:jc w:val="center"/>
              <w:rPr>
                <w:rFonts w:ascii="宋体" w:hAnsi="宋体"/>
                <w:color w:val="000000"/>
                <w:lang w:val="zh-CN"/>
              </w:rPr>
            </w:pPr>
            <w:r>
              <w:rPr>
                <w:rFonts w:ascii="宋体" w:hAnsi="宋体"/>
                <w:color w:val="000000"/>
                <w:lang w:val="zh-CN"/>
              </w:rPr>
              <w:t>技术</w:t>
            </w:r>
            <w:r>
              <w:rPr>
                <w:rFonts w:hint="eastAsia" w:ascii="宋体" w:hAnsi="宋体"/>
                <w:color w:val="000000"/>
                <w:lang w:val="zh-CN"/>
              </w:rPr>
              <w:t>偏离</w:t>
            </w:r>
          </w:p>
        </w:tc>
      </w:tr>
      <w:tr w14:paraId="23950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vAlign w:val="center"/>
          </w:tcPr>
          <w:p w14:paraId="1FE594A9">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序号</w:t>
            </w:r>
          </w:p>
        </w:tc>
        <w:tc>
          <w:tcPr>
            <w:tcW w:w="2260" w:type="dxa"/>
            <w:vAlign w:val="center"/>
          </w:tcPr>
          <w:p w14:paraId="4584DE0D">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内容</w:t>
            </w:r>
          </w:p>
        </w:tc>
        <w:tc>
          <w:tcPr>
            <w:tcW w:w="2260" w:type="dxa"/>
            <w:vAlign w:val="center"/>
          </w:tcPr>
          <w:p w14:paraId="15477D94">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磋商文件要求</w:t>
            </w:r>
          </w:p>
        </w:tc>
        <w:tc>
          <w:tcPr>
            <w:tcW w:w="2260" w:type="dxa"/>
            <w:vAlign w:val="center"/>
          </w:tcPr>
          <w:p w14:paraId="72A95CF8">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磋商响应文件对应</w:t>
            </w:r>
          </w:p>
        </w:tc>
        <w:tc>
          <w:tcPr>
            <w:tcW w:w="2261" w:type="dxa"/>
            <w:vAlign w:val="center"/>
          </w:tcPr>
          <w:p w14:paraId="66609DDD">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备注</w:t>
            </w:r>
          </w:p>
        </w:tc>
      </w:tr>
      <w:tr w14:paraId="7D6D2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271C7181">
            <w:pPr>
              <w:autoSpaceDE w:val="0"/>
              <w:autoSpaceDN w:val="0"/>
              <w:adjustRightInd w:val="0"/>
              <w:spacing w:line="460" w:lineRule="atLeast"/>
              <w:jc w:val="center"/>
              <w:rPr>
                <w:rFonts w:ascii="宋体" w:hAnsi="宋体"/>
                <w:color w:val="000000"/>
                <w:lang w:val="zh-CN"/>
              </w:rPr>
            </w:pPr>
          </w:p>
        </w:tc>
        <w:tc>
          <w:tcPr>
            <w:tcW w:w="2260" w:type="dxa"/>
          </w:tcPr>
          <w:p w14:paraId="093B2F91">
            <w:pPr>
              <w:autoSpaceDE w:val="0"/>
              <w:autoSpaceDN w:val="0"/>
              <w:adjustRightInd w:val="0"/>
              <w:spacing w:line="460" w:lineRule="atLeast"/>
              <w:jc w:val="center"/>
              <w:rPr>
                <w:rFonts w:ascii="宋体" w:hAnsi="宋体"/>
                <w:color w:val="000000"/>
                <w:lang w:val="zh-CN"/>
              </w:rPr>
            </w:pPr>
          </w:p>
        </w:tc>
        <w:tc>
          <w:tcPr>
            <w:tcW w:w="2260" w:type="dxa"/>
          </w:tcPr>
          <w:p w14:paraId="3E9C8F03">
            <w:pPr>
              <w:autoSpaceDE w:val="0"/>
              <w:autoSpaceDN w:val="0"/>
              <w:adjustRightInd w:val="0"/>
              <w:spacing w:line="460" w:lineRule="atLeast"/>
              <w:jc w:val="center"/>
              <w:rPr>
                <w:rFonts w:ascii="宋体" w:hAnsi="宋体"/>
                <w:color w:val="000000"/>
                <w:lang w:val="zh-CN"/>
              </w:rPr>
            </w:pPr>
          </w:p>
        </w:tc>
        <w:tc>
          <w:tcPr>
            <w:tcW w:w="2260" w:type="dxa"/>
          </w:tcPr>
          <w:p w14:paraId="17274EEB">
            <w:pPr>
              <w:autoSpaceDE w:val="0"/>
              <w:autoSpaceDN w:val="0"/>
              <w:adjustRightInd w:val="0"/>
              <w:spacing w:line="460" w:lineRule="atLeast"/>
              <w:jc w:val="center"/>
              <w:rPr>
                <w:rFonts w:ascii="宋体" w:hAnsi="宋体"/>
                <w:color w:val="000000"/>
                <w:lang w:val="zh-CN"/>
              </w:rPr>
            </w:pPr>
          </w:p>
        </w:tc>
        <w:tc>
          <w:tcPr>
            <w:tcW w:w="2261" w:type="dxa"/>
          </w:tcPr>
          <w:p w14:paraId="5A0B4544">
            <w:pPr>
              <w:autoSpaceDE w:val="0"/>
              <w:autoSpaceDN w:val="0"/>
              <w:adjustRightInd w:val="0"/>
              <w:spacing w:line="460" w:lineRule="atLeast"/>
              <w:jc w:val="center"/>
              <w:rPr>
                <w:rFonts w:ascii="宋体" w:hAnsi="宋体"/>
                <w:color w:val="000000"/>
                <w:lang w:val="zh-CN"/>
              </w:rPr>
            </w:pPr>
          </w:p>
        </w:tc>
      </w:tr>
      <w:tr w14:paraId="2FFC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60AC13CD">
            <w:pPr>
              <w:autoSpaceDE w:val="0"/>
              <w:autoSpaceDN w:val="0"/>
              <w:adjustRightInd w:val="0"/>
              <w:spacing w:line="460" w:lineRule="atLeast"/>
              <w:jc w:val="center"/>
              <w:rPr>
                <w:rFonts w:ascii="宋体" w:hAnsi="宋体"/>
                <w:color w:val="000000"/>
                <w:lang w:val="zh-CN"/>
              </w:rPr>
            </w:pPr>
          </w:p>
        </w:tc>
        <w:tc>
          <w:tcPr>
            <w:tcW w:w="2260" w:type="dxa"/>
          </w:tcPr>
          <w:p w14:paraId="448083CD">
            <w:pPr>
              <w:autoSpaceDE w:val="0"/>
              <w:autoSpaceDN w:val="0"/>
              <w:adjustRightInd w:val="0"/>
              <w:spacing w:line="460" w:lineRule="atLeast"/>
              <w:jc w:val="center"/>
              <w:rPr>
                <w:rFonts w:ascii="宋体" w:hAnsi="宋体"/>
                <w:color w:val="000000"/>
                <w:lang w:val="zh-CN"/>
              </w:rPr>
            </w:pPr>
          </w:p>
        </w:tc>
        <w:tc>
          <w:tcPr>
            <w:tcW w:w="2260" w:type="dxa"/>
          </w:tcPr>
          <w:p w14:paraId="114D31A2">
            <w:pPr>
              <w:autoSpaceDE w:val="0"/>
              <w:autoSpaceDN w:val="0"/>
              <w:adjustRightInd w:val="0"/>
              <w:spacing w:line="460" w:lineRule="atLeast"/>
              <w:jc w:val="center"/>
              <w:rPr>
                <w:rFonts w:ascii="宋体" w:hAnsi="宋体"/>
                <w:color w:val="000000"/>
                <w:lang w:val="zh-CN"/>
              </w:rPr>
            </w:pPr>
          </w:p>
        </w:tc>
        <w:tc>
          <w:tcPr>
            <w:tcW w:w="2260" w:type="dxa"/>
          </w:tcPr>
          <w:p w14:paraId="5975C561">
            <w:pPr>
              <w:autoSpaceDE w:val="0"/>
              <w:autoSpaceDN w:val="0"/>
              <w:adjustRightInd w:val="0"/>
              <w:spacing w:line="460" w:lineRule="atLeast"/>
              <w:jc w:val="center"/>
              <w:rPr>
                <w:rFonts w:ascii="宋体" w:hAnsi="宋体"/>
                <w:color w:val="000000"/>
                <w:lang w:val="zh-CN"/>
              </w:rPr>
            </w:pPr>
          </w:p>
        </w:tc>
        <w:tc>
          <w:tcPr>
            <w:tcW w:w="2261" w:type="dxa"/>
          </w:tcPr>
          <w:p w14:paraId="1621F68E">
            <w:pPr>
              <w:autoSpaceDE w:val="0"/>
              <w:autoSpaceDN w:val="0"/>
              <w:adjustRightInd w:val="0"/>
              <w:spacing w:line="460" w:lineRule="atLeast"/>
              <w:jc w:val="center"/>
              <w:rPr>
                <w:rFonts w:ascii="宋体" w:hAnsi="宋体"/>
                <w:color w:val="000000"/>
                <w:lang w:val="zh-CN"/>
              </w:rPr>
            </w:pPr>
          </w:p>
        </w:tc>
      </w:tr>
      <w:tr w14:paraId="135CF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DAF9AF7">
            <w:pPr>
              <w:autoSpaceDE w:val="0"/>
              <w:autoSpaceDN w:val="0"/>
              <w:adjustRightInd w:val="0"/>
              <w:spacing w:line="460" w:lineRule="atLeast"/>
              <w:jc w:val="center"/>
              <w:rPr>
                <w:rFonts w:ascii="宋体" w:hAnsi="宋体"/>
                <w:color w:val="000000"/>
                <w:lang w:val="zh-CN"/>
              </w:rPr>
            </w:pPr>
          </w:p>
        </w:tc>
        <w:tc>
          <w:tcPr>
            <w:tcW w:w="2260" w:type="dxa"/>
          </w:tcPr>
          <w:p w14:paraId="54D8F6AE">
            <w:pPr>
              <w:autoSpaceDE w:val="0"/>
              <w:autoSpaceDN w:val="0"/>
              <w:adjustRightInd w:val="0"/>
              <w:spacing w:line="460" w:lineRule="atLeast"/>
              <w:jc w:val="center"/>
              <w:rPr>
                <w:rFonts w:ascii="宋体" w:hAnsi="宋体"/>
                <w:color w:val="000000"/>
                <w:lang w:val="zh-CN"/>
              </w:rPr>
            </w:pPr>
          </w:p>
        </w:tc>
        <w:tc>
          <w:tcPr>
            <w:tcW w:w="2260" w:type="dxa"/>
          </w:tcPr>
          <w:p w14:paraId="227C6248">
            <w:pPr>
              <w:autoSpaceDE w:val="0"/>
              <w:autoSpaceDN w:val="0"/>
              <w:adjustRightInd w:val="0"/>
              <w:spacing w:line="460" w:lineRule="atLeast"/>
              <w:jc w:val="center"/>
              <w:rPr>
                <w:rFonts w:ascii="宋体" w:hAnsi="宋体"/>
                <w:color w:val="000000"/>
                <w:lang w:val="zh-CN"/>
              </w:rPr>
            </w:pPr>
          </w:p>
        </w:tc>
        <w:tc>
          <w:tcPr>
            <w:tcW w:w="2260" w:type="dxa"/>
          </w:tcPr>
          <w:p w14:paraId="18D31B4E">
            <w:pPr>
              <w:autoSpaceDE w:val="0"/>
              <w:autoSpaceDN w:val="0"/>
              <w:adjustRightInd w:val="0"/>
              <w:spacing w:line="460" w:lineRule="atLeast"/>
              <w:jc w:val="center"/>
              <w:rPr>
                <w:rFonts w:ascii="宋体" w:hAnsi="宋体"/>
                <w:color w:val="000000"/>
                <w:lang w:val="zh-CN"/>
              </w:rPr>
            </w:pPr>
          </w:p>
        </w:tc>
        <w:tc>
          <w:tcPr>
            <w:tcW w:w="2261" w:type="dxa"/>
          </w:tcPr>
          <w:p w14:paraId="75CB4D2F">
            <w:pPr>
              <w:autoSpaceDE w:val="0"/>
              <w:autoSpaceDN w:val="0"/>
              <w:adjustRightInd w:val="0"/>
              <w:spacing w:line="460" w:lineRule="atLeast"/>
              <w:jc w:val="center"/>
              <w:rPr>
                <w:rFonts w:ascii="宋体" w:hAnsi="宋体"/>
                <w:color w:val="000000"/>
                <w:lang w:val="zh-CN"/>
              </w:rPr>
            </w:pPr>
          </w:p>
        </w:tc>
      </w:tr>
      <w:tr w14:paraId="3D3C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70E49BD9">
            <w:pPr>
              <w:autoSpaceDE w:val="0"/>
              <w:autoSpaceDN w:val="0"/>
              <w:adjustRightInd w:val="0"/>
              <w:spacing w:line="460" w:lineRule="atLeast"/>
              <w:jc w:val="center"/>
              <w:rPr>
                <w:rFonts w:ascii="宋体" w:hAnsi="宋体"/>
                <w:color w:val="000000"/>
                <w:lang w:val="zh-CN"/>
              </w:rPr>
            </w:pPr>
          </w:p>
        </w:tc>
        <w:tc>
          <w:tcPr>
            <w:tcW w:w="2260" w:type="dxa"/>
          </w:tcPr>
          <w:p w14:paraId="0D3BC0C8">
            <w:pPr>
              <w:autoSpaceDE w:val="0"/>
              <w:autoSpaceDN w:val="0"/>
              <w:adjustRightInd w:val="0"/>
              <w:spacing w:line="460" w:lineRule="atLeast"/>
              <w:jc w:val="center"/>
              <w:rPr>
                <w:rFonts w:ascii="宋体" w:hAnsi="宋体"/>
                <w:color w:val="000000"/>
                <w:lang w:val="zh-CN"/>
              </w:rPr>
            </w:pPr>
          </w:p>
        </w:tc>
        <w:tc>
          <w:tcPr>
            <w:tcW w:w="2260" w:type="dxa"/>
          </w:tcPr>
          <w:p w14:paraId="485F7054">
            <w:pPr>
              <w:autoSpaceDE w:val="0"/>
              <w:autoSpaceDN w:val="0"/>
              <w:adjustRightInd w:val="0"/>
              <w:spacing w:line="460" w:lineRule="atLeast"/>
              <w:jc w:val="center"/>
              <w:rPr>
                <w:rFonts w:ascii="宋体" w:hAnsi="宋体"/>
                <w:color w:val="000000"/>
                <w:lang w:val="zh-CN"/>
              </w:rPr>
            </w:pPr>
          </w:p>
        </w:tc>
        <w:tc>
          <w:tcPr>
            <w:tcW w:w="2260" w:type="dxa"/>
          </w:tcPr>
          <w:p w14:paraId="10651EC9">
            <w:pPr>
              <w:autoSpaceDE w:val="0"/>
              <w:autoSpaceDN w:val="0"/>
              <w:adjustRightInd w:val="0"/>
              <w:spacing w:line="460" w:lineRule="atLeast"/>
              <w:jc w:val="center"/>
              <w:rPr>
                <w:rFonts w:ascii="宋体" w:hAnsi="宋体"/>
                <w:color w:val="000000"/>
                <w:lang w:val="zh-CN"/>
              </w:rPr>
            </w:pPr>
          </w:p>
        </w:tc>
        <w:tc>
          <w:tcPr>
            <w:tcW w:w="2261" w:type="dxa"/>
          </w:tcPr>
          <w:p w14:paraId="125AB773">
            <w:pPr>
              <w:autoSpaceDE w:val="0"/>
              <w:autoSpaceDN w:val="0"/>
              <w:adjustRightInd w:val="0"/>
              <w:spacing w:line="460" w:lineRule="atLeast"/>
              <w:jc w:val="center"/>
              <w:rPr>
                <w:rFonts w:ascii="宋体" w:hAnsi="宋体"/>
                <w:color w:val="000000"/>
                <w:lang w:val="zh-CN"/>
              </w:rPr>
            </w:pPr>
          </w:p>
        </w:tc>
      </w:tr>
      <w:tr w14:paraId="55F50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532C611E">
            <w:pPr>
              <w:autoSpaceDE w:val="0"/>
              <w:autoSpaceDN w:val="0"/>
              <w:adjustRightInd w:val="0"/>
              <w:spacing w:line="460" w:lineRule="atLeast"/>
              <w:jc w:val="center"/>
              <w:rPr>
                <w:rFonts w:ascii="宋体" w:hAnsi="宋体"/>
                <w:color w:val="000000"/>
                <w:lang w:val="zh-CN"/>
              </w:rPr>
            </w:pPr>
          </w:p>
        </w:tc>
        <w:tc>
          <w:tcPr>
            <w:tcW w:w="2260" w:type="dxa"/>
          </w:tcPr>
          <w:p w14:paraId="6896AB3D">
            <w:pPr>
              <w:autoSpaceDE w:val="0"/>
              <w:autoSpaceDN w:val="0"/>
              <w:adjustRightInd w:val="0"/>
              <w:spacing w:line="460" w:lineRule="atLeast"/>
              <w:jc w:val="center"/>
              <w:rPr>
                <w:rFonts w:ascii="宋体" w:hAnsi="宋体"/>
                <w:color w:val="000000"/>
                <w:lang w:val="zh-CN"/>
              </w:rPr>
            </w:pPr>
          </w:p>
        </w:tc>
        <w:tc>
          <w:tcPr>
            <w:tcW w:w="2260" w:type="dxa"/>
          </w:tcPr>
          <w:p w14:paraId="77344036">
            <w:pPr>
              <w:autoSpaceDE w:val="0"/>
              <w:autoSpaceDN w:val="0"/>
              <w:adjustRightInd w:val="0"/>
              <w:spacing w:line="460" w:lineRule="atLeast"/>
              <w:jc w:val="center"/>
              <w:rPr>
                <w:rFonts w:ascii="宋体" w:hAnsi="宋体"/>
                <w:color w:val="000000"/>
                <w:lang w:val="zh-CN"/>
              </w:rPr>
            </w:pPr>
          </w:p>
        </w:tc>
        <w:tc>
          <w:tcPr>
            <w:tcW w:w="2260" w:type="dxa"/>
          </w:tcPr>
          <w:p w14:paraId="2A905DE4">
            <w:pPr>
              <w:autoSpaceDE w:val="0"/>
              <w:autoSpaceDN w:val="0"/>
              <w:adjustRightInd w:val="0"/>
              <w:spacing w:line="460" w:lineRule="atLeast"/>
              <w:jc w:val="center"/>
              <w:rPr>
                <w:rFonts w:ascii="宋体" w:hAnsi="宋体"/>
                <w:color w:val="000000"/>
                <w:lang w:val="zh-CN"/>
              </w:rPr>
            </w:pPr>
          </w:p>
        </w:tc>
        <w:tc>
          <w:tcPr>
            <w:tcW w:w="2261" w:type="dxa"/>
          </w:tcPr>
          <w:p w14:paraId="7F6EBA7B">
            <w:pPr>
              <w:autoSpaceDE w:val="0"/>
              <w:autoSpaceDN w:val="0"/>
              <w:adjustRightInd w:val="0"/>
              <w:spacing w:line="460" w:lineRule="atLeast"/>
              <w:jc w:val="center"/>
              <w:rPr>
                <w:rFonts w:ascii="宋体" w:hAnsi="宋体"/>
                <w:color w:val="000000"/>
                <w:lang w:val="zh-CN"/>
              </w:rPr>
            </w:pPr>
          </w:p>
        </w:tc>
      </w:tr>
      <w:tr w14:paraId="391E6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34D66347">
            <w:pPr>
              <w:autoSpaceDE w:val="0"/>
              <w:autoSpaceDN w:val="0"/>
              <w:adjustRightInd w:val="0"/>
              <w:spacing w:line="460" w:lineRule="atLeast"/>
              <w:jc w:val="center"/>
              <w:rPr>
                <w:rFonts w:ascii="宋体" w:hAnsi="宋体"/>
                <w:color w:val="000000"/>
                <w:lang w:val="zh-CN"/>
              </w:rPr>
            </w:pPr>
          </w:p>
        </w:tc>
        <w:tc>
          <w:tcPr>
            <w:tcW w:w="2260" w:type="dxa"/>
          </w:tcPr>
          <w:p w14:paraId="1FAB63C7">
            <w:pPr>
              <w:autoSpaceDE w:val="0"/>
              <w:autoSpaceDN w:val="0"/>
              <w:adjustRightInd w:val="0"/>
              <w:spacing w:line="460" w:lineRule="atLeast"/>
              <w:jc w:val="center"/>
              <w:rPr>
                <w:rFonts w:ascii="宋体" w:hAnsi="宋体"/>
                <w:color w:val="000000"/>
                <w:lang w:val="zh-CN"/>
              </w:rPr>
            </w:pPr>
          </w:p>
        </w:tc>
        <w:tc>
          <w:tcPr>
            <w:tcW w:w="2260" w:type="dxa"/>
          </w:tcPr>
          <w:p w14:paraId="0D1F79A0">
            <w:pPr>
              <w:autoSpaceDE w:val="0"/>
              <w:autoSpaceDN w:val="0"/>
              <w:adjustRightInd w:val="0"/>
              <w:spacing w:line="460" w:lineRule="atLeast"/>
              <w:jc w:val="center"/>
              <w:rPr>
                <w:rFonts w:ascii="宋体" w:hAnsi="宋体"/>
                <w:color w:val="000000"/>
                <w:lang w:val="zh-CN"/>
              </w:rPr>
            </w:pPr>
          </w:p>
        </w:tc>
        <w:tc>
          <w:tcPr>
            <w:tcW w:w="2260" w:type="dxa"/>
          </w:tcPr>
          <w:p w14:paraId="0B89A8AC">
            <w:pPr>
              <w:autoSpaceDE w:val="0"/>
              <w:autoSpaceDN w:val="0"/>
              <w:adjustRightInd w:val="0"/>
              <w:spacing w:line="460" w:lineRule="atLeast"/>
              <w:jc w:val="center"/>
              <w:rPr>
                <w:rFonts w:ascii="宋体" w:hAnsi="宋体"/>
                <w:color w:val="000000"/>
                <w:lang w:val="zh-CN"/>
              </w:rPr>
            </w:pPr>
          </w:p>
        </w:tc>
        <w:tc>
          <w:tcPr>
            <w:tcW w:w="2261" w:type="dxa"/>
          </w:tcPr>
          <w:p w14:paraId="3B189524">
            <w:pPr>
              <w:autoSpaceDE w:val="0"/>
              <w:autoSpaceDN w:val="0"/>
              <w:adjustRightInd w:val="0"/>
              <w:spacing w:line="460" w:lineRule="atLeast"/>
              <w:jc w:val="center"/>
              <w:rPr>
                <w:rFonts w:ascii="宋体" w:hAnsi="宋体"/>
                <w:color w:val="000000"/>
                <w:lang w:val="zh-CN"/>
              </w:rPr>
            </w:pPr>
          </w:p>
        </w:tc>
      </w:tr>
      <w:tr w14:paraId="33BAA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5EF91908">
            <w:pPr>
              <w:autoSpaceDE w:val="0"/>
              <w:autoSpaceDN w:val="0"/>
              <w:adjustRightInd w:val="0"/>
              <w:spacing w:line="460" w:lineRule="atLeast"/>
              <w:jc w:val="center"/>
              <w:rPr>
                <w:rFonts w:ascii="宋体" w:hAnsi="宋体"/>
                <w:color w:val="000000"/>
                <w:lang w:val="zh-CN"/>
              </w:rPr>
            </w:pPr>
          </w:p>
        </w:tc>
        <w:tc>
          <w:tcPr>
            <w:tcW w:w="2260" w:type="dxa"/>
          </w:tcPr>
          <w:p w14:paraId="15422951">
            <w:pPr>
              <w:autoSpaceDE w:val="0"/>
              <w:autoSpaceDN w:val="0"/>
              <w:adjustRightInd w:val="0"/>
              <w:spacing w:line="460" w:lineRule="atLeast"/>
              <w:jc w:val="center"/>
              <w:rPr>
                <w:rFonts w:ascii="宋体" w:hAnsi="宋体"/>
                <w:color w:val="000000"/>
                <w:lang w:val="zh-CN"/>
              </w:rPr>
            </w:pPr>
          </w:p>
        </w:tc>
        <w:tc>
          <w:tcPr>
            <w:tcW w:w="2260" w:type="dxa"/>
          </w:tcPr>
          <w:p w14:paraId="2637C100">
            <w:pPr>
              <w:autoSpaceDE w:val="0"/>
              <w:autoSpaceDN w:val="0"/>
              <w:adjustRightInd w:val="0"/>
              <w:spacing w:line="460" w:lineRule="atLeast"/>
              <w:jc w:val="center"/>
              <w:rPr>
                <w:rFonts w:ascii="宋体" w:hAnsi="宋体"/>
                <w:color w:val="000000"/>
                <w:lang w:val="zh-CN"/>
              </w:rPr>
            </w:pPr>
          </w:p>
        </w:tc>
        <w:tc>
          <w:tcPr>
            <w:tcW w:w="2260" w:type="dxa"/>
          </w:tcPr>
          <w:p w14:paraId="43F3D5CC">
            <w:pPr>
              <w:autoSpaceDE w:val="0"/>
              <w:autoSpaceDN w:val="0"/>
              <w:adjustRightInd w:val="0"/>
              <w:spacing w:line="460" w:lineRule="atLeast"/>
              <w:jc w:val="center"/>
              <w:rPr>
                <w:rFonts w:ascii="宋体" w:hAnsi="宋体"/>
                <w:color w:val="000000"/>
                <w:lang w:val="zh-CN"/>
              </w:rPr>
            </w:pPr>
          </w:p>
        </w:tc>
        <w:tc>
          <w:tcPr>
            <w:tcW w:w="2261" w:type="dxa"/>
          </w:tcPr>
          <w:p w14:paraId="7C5DC0CF">
            <w:pPr>
              <w:autoSpaceDE w:val="0"/>
              <w:autoSpaceDN w:val="0"/>
              <w:adjustRightInd w:val="0"/>
              <w:spacing w:line="460" w:lineRule="atLeast"/>
              <w:jc w:val="center"/>
              <w:rPr>
                <w:rFonts w:ascii="宋体" w:hAnsi="宋体"/>
                <w:color w:val="000000"/>
                <w:lang w:val="zh-CN"/>
              </w:rPr>
            </w:pPr>
          </w:p>
        </w:tc>
      </w:tr>
      <w:tr w14:paraId="64758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1B87DC62">
            <w:pPr>
              <w:autoSpaceDE w:val="0"/>
              <w:autoSpaceDN w:val="0"/>
              <w:adjustRightInd w:val="0"/>
              <w:spacing w:line="460" w:lineRule="atLeast"/>
              <w:jc w:val="center"/>
              <w:rPr>
                <w:rFonts w:ascii="宋体" w:hAnsi="宋体"/>
                <w:color w:val="000000"/>
                <w:lang w:val="zh-CN"/>
              </w:rPr>
            </w:pPr>
          </w:p>
        </w:tc>
        <w:tc>
          <w:tcPr>
            <w:tcW w:w="2260" w:type="dxa"/>
          </w:tcPr>
          <w:p w14:paraId="461E537F">
            <w:pPr>
              <w:autoSpaceDE w:val="0"/>
              <w:autoSpaceDN w:val="0"/>
              <w:adjustRightInd w:val="0"/>
              <w:spacing w:line="460" w:lineRule="atLeast"/>
              <w:jc w:val="center"/>
              <w:rPr>
                <w:rFonts w:ascii="宋体" w:hAnsi="宋体"/>
                <w:color w:val="000000"/>
                <w:lang w:val="zh-CN"/>
              </w:rPr>
            </w:pPr>
          </w:p>
        </w:tc>
        <w:tc>
          <w:tcPr>
            <w:tcW w:w="2260" w:type="dxa"/>
          </w:tcPr>
          <w:p w14:paraId="14761C4F">
            <w:pPr>
              <w:autoSpaceDE w:val="0"/>
              <w:autoSpaceDN w:val="0"/>
              <w:adjustRightInd w:val="0"/>
              <w:spacing w:line="460" w:lineRule="atLeast"/>
              <w:jc w:val="center"/>
              <w:rPr>
                <w:rFonts w:ascii="宋体" w:hAnsi="宋体"/>
                <w:color w:val="000000"/>
                <w:lang w:val="zh-CN"/>
              </w:rPr>
            </w:pPr>
          </w:p>
        </w:tc>
        <w:tc>
          <w:tcPr>
            <w:tcW w:w="2260" w:type="dxa"/>
          </w:tcPr>
          <w:p w14:paraId="1228CF21">
            <w:pPr>
              <w:autoSpaceDE w:val="0"/>
              <w:autoSpaceDN w:val="0"/>
              <w:adjustRightInd w:val="0"/>
              <w:spacing w:line="460" w:lineRule="atLeast"/>
              <w:jc w:val="center"/>
              <w:rPr>
                <w:rFonts w:ascii="宋体" w:hAnsi="宋体"/>
                <w:color w:val="000000"/>
                <w:lang w:val="zh-CN"/>
              </w:rPr>
            </w:pPr>
          </w:p>
        </w:tc>
        <w:tc>
          <w:tcPr>
            <w:tcW w:w="2261" w:type="dxa"/>
          </w:tcPr>
          <w:p w14:paraId="429EE2F4">
            <w:pPr>
              <w:autoSpaceDE w:val="0"/>
              <w:autoSpaceDN w:val="0"/>
              <w:adjustRightInd w:val="0"/>
              <w:spacing w:line="460" w:lineRule="atLeast"/>
              <w:jc w:val="center"/>
              <w:rPr>
                <w:rFonts w:ascii="宋体" w:hAnsi="宋体"/>
                <w:color w:val="000000"/>
                <w:lang w:val="zh-CN"/>
              </w:rPr>
            </w:pPr>
          </w:p>
        </w:tc>
      </w:tr>
      <w:tr w14:paraId="2CDC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882" w:type="dxa"/>
          </w:tcPr>
          <w:p w14:paraId="0CA74601">
            <w:pPr>
              <w:autoSpaceDE w:val="0"/>
              <w:autoSpaceDN w:val="0"/>
              <w:adjustRightInd w:val="0"/>
              <w:spacing w:line="460" w:lineRule="atLeast"/>
              <w:jc w:val="center"/>
              <w:rPr>
                <w:rFonts w:ascii="宋体" w:hAnsi="宋体"/>
                <w:color w:val="000000"/>
                <w:lang w:val="zh-CN"/>
              </w:rPr>
            </w:pPr>
          </w:p>
        </w:tc>
        <w:tc>
          <w:tcPr>
            <w:tcW w:w="2260" w:type="dxa"/>
          </w:tcPr>
          <w:p w14:paraId="08354A51">
            <w:pPr>
              <w:autoSpaceDE w:val="0"/>
              <w:autoSpaceDN w:val="0"/>
              <w:adjustRightInd w:val="0"/>
              <w:spacing w:line="460" w:lineRule="atLeast"/>
              <w:jc w:val="center"/>
              <w:rPr>
                <w:rFonts w:ascii="宋体" w:hAnsi="宋体"/>
                <w:color w:val="000000"/>
                <w:lang w:val="zh-CN"/>
              </w:rPr>
            </w:pPr>
          </w:p>
        </w:tc>
        <w:tc>
          <w:tcPr>
            <w:tcW w:w="2260" w:type="dxa"/>
          </w:tcPr>
          <w:p w14:paraId="7F70B082">
            <w:pPr>
              <w:autoSpaceDE w:val="0"/>
              <w:autoSpaceDN w:val="0"/>
              <w:adjustRightInd w:val="0"/>
              <w:spacing w:line="460" w:lineRule="atLeast"/>
              <w:jc w:val="center"/>
              <w:rPr>
                <w:rFonts w:ascii="宋体" w:hAnsi="宋体"/>
                <w:color w:val="000000"/>
                <w:lang w:val="zh-CN"/>
              </w:rPr>
            </w:pPr>
          </w:p>
        </w:tc>
        <w:tc>
          <w:tcPr>
            <w:tcW w:w="2260" w:type="dxa"/>
          </w:tcPr>
          <w:p w14:paraId="21305614">
            <w:pPr>
              <w:autoSpaceDE w:val="0"/>
              <w:autoSpaceDN w:val="0"/>
              <w:adjustRightInd w:val="0"/>
              <w:spacing w:line="460" w:lineRule="atLeast"/>
              <w:jc w:val="center"/>
              <w:rPr>
                <w:rFonts w:ascii="宋体" w:hAnsi="宋体"/>
                <w:color w:val="000000"/>
                <w:lang w:val="zh-CN"/>
              </w:rPr>
            </w:pPr>
          </w:p>
        </w:tc>
        <w:tc>
          <w:tcPr>
            <w:tcW w:w="2261" w:type="dxa"/>
          </w:tcPr>
          <w:p w14:paraId="5662F1A4">
            <w:pPr>
              <w:autoSpaceDE w:val="0"/>
              <w:autoSpaceDN w:val="0"/>
              <w:adjustRightInd w:val="0"/>
              <w:spacing w:line="460" w:lineRule="atLeast"/>
              <w:jc w:val="center"/>
              <w:rPr>
                <w:rFonts w:ascii="宋体" w:hAnsi="宋体"/>
                <w:color w:val="000000"/>
                <w:lang w:val="zh-CN"/>
              </w:rPr>
            </w:pPr>
          </w:p>
        </w:tc>
      </w:tr>
      <w:tr w14:paraId="4A14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882" w:type="dxa"/>
          </w:tcPr>
          <w:p w14:paraId="344ECEBE">
            <w:pPr>
              <w:autoSpaceDE w:val="0"/>
              <w:autoSpaceDN w:val="0"/>
              <w:adjustRightInd w:val="0"/>
              <w:spacing w:line="460" w:lineRule="atLeast"/>
              <w:jc w:val="center"/>
              <w:rPr>
                <w:rFonts w:ascii="宋体" w:hAnsi="宋体"/>
                <w:color w:val="000000"/>
                <w:lang w:val="zh-CN"/>
              </w:rPr>
            </w:pPr>
          </w:p>
        </w:tc>
        <w:tc>
          <w:tcPr>
            <w:tcW w:w="2260" w:type="dxa"/>
          </w:tcPr>
          <w:p w14:paraId="4E5E21BE">
            <w:pPr>
              <w:autoSpaceDE w:val="0"/>
              <w:autoSpaceDN w:val="0"/>
              <w:adjustRightInd w:val="0"/>
              <w:spacing w:line="460" w:lineRule="atLeast"/>
              <w:jc w:val="center"/>
              <w:rPr>
                <w:rFonts w:ascii="宋体" w:hAnsi="宋体"/>
                <w:color w:val="000000"/>
                <w:lang w:val="zh-CN"/>
              </w:rPr>
            </w:pPr>
          </w:p>
        </w:tc>
        <w:tc>
          <w:tcPr>
            <w:tcW w:w="2260" w:type="dxa"/>
          </w:tcPr>
          <w:p w14:paraId="0C41643F">
            <w:pPr>
              <w:autoSpaceDE w:val="0"/>
              <w:autoSpaceDN w:val="0"/>
              <w:adjustRightInd w:val="0"/>
              <w:spacing w:line="460" w:lineRule="atLeast"/>
              <w:jc w:val="center"/>
              <w:rPr>
                <w:rFonts w:ascii="宋体" w:hAnsi="宋体"/>
                <w:color w:val="000000"/>
                <w:lang w:val="zh-CN"/>
              </w:rPr>
            </w:pPr>
          </w:p>
        </w:tc>
        <w:tc>
          <w:tcPr>
            <w:tcW w:w="2260" w:type="dxa"/>
          </w:tcPr>
          <w:p w14:paraId="43AF7FC8">
            <w:pPr>
              <w:autoSpaceDE w:val="0"/>
              <w:autoSpaceDN w:val="0"/>
              <w:adjustRightInd w:val="0"/>
              <w:spacing w:line="460" w:lineRule="atLeast"/>
              <w:jc w:val="center"/>
              <w:rPr>
                <w:rFonts w:ascii="宋体" w:hAnsi="宋体"/>
                <w:color w:val="000000"/>
                <w:lang w:val="zh-CN"/>
              </w:rPr>
            </w:pPr>
          </w:p>
        </w:tc>
        <w:tc>
          <w:tcPr>
            <w:tcW w:w="2261" w:type="dxa"/>
          </w:tcPr>
          <w:p w14:paraId="3EC5ECA7">
            <w:pPr>
              <w:autoSpaceDE w:val="0"/>
              <w:autoSpaceDN w:val="0"/>
              <w:adjustRightInd w:val="0"/>
              <w:spacing w:line="460" w:lineRule="atLeast"/>
              <w:jc w:val="center"/>
              <w:rPr>
                <w:rFonts w:ascii="宋体" w:hAnsi="宋体"/>
                <w:color w:val="000000"/>
                <w:lang w:val="zh-CN"/>
              </w:rPr>
            </w:pPr>
          </w:p>
        </w:tc>
      </w:tr>
    </w:tbl>
    <w:p w14:paraId="15CD417E">
      <w:pPr>
        <w:spacing w:before="156" w:beforeLines="50" w:after="156" w:afterLines="50" w:line="460" w:lineRule="atLeast"/>
        <w:ind w:right="-10"/>
        <w:rPr>
          <w:rFonts w:ascii="宋体" w:hAnsi="宋体"/>
          <w:color w:val="000000"/>
        </w:rPr>
      </w:pPr>
      <w:r>
        <w:rPr>
          <w:rFonts w:hint="eastAsia" w:ascii="宋体" w:hAnsi="宋体"/>
          <w:color w:val="000000"/>
        </w:rPr>
        <w:t>注：未填写本表或未提供本表的一律视为无偏离。</w:t>
      </w:r>
    </w:p>
    <w:p w14:paraId="7E564727">
      <w:pPr>
        <w:spacing w:before="156" w:beforeLines="50" w:after="156" w:afterLines="50" w:line="460" w:lineRule="atLeast"/>
        <w:ind w:right="-10"/>
        <w:rPr>
          <w:rFonts w:ascii="宋体" w:hAnsi="宋体"/>
          <w:color w:val="000000"/>
          <w:sz w:val="36"/>
        </w:rPr>
      </w:pPr>
      <w:r>
        <w:rPr>
          <w:rFonts w:hint="eastAsia" w:ascii="宋体" w:hAnsi="宋体"/>
          <w:color w:val="000000"/>
          <w:lang w:val="zh-CN"/>
        </w:rPr>
        <w:t>投标供应商（盖章）：</w:t>
      </w:r>
    </w:p>
    <w:p w14:paraId="4EF48ED7">
      <w:pPr>
        <w:spacing w:before="156" w:beforeLines="50" w:after="156" w:afterLines="50" w:line="460" w:lineRule="atLeast"/>
        <w:ind w:right="-10"/>
        <w:rPr>
          <w:rFonts w:ascii="宋体" w:hAnsi="宋体"/>
          <w:color w:val="000000"/>
        </w:rPr>
      </w:pPr>
      <w:r>
        <w:rPr>
          <w:rFonts w:hint="eastAsia" w:ascii="宋体" w:hAnsi="宋体"/>
          <w:color w:val="000000"/>
        </w:rPr>
        <w:t>日期：</w:t>
      </w:r>
    </w:p>
    <w:p w14:paraId="1718A8B2">
      <w:pPr>
        <w:pStyle w:val="3"/>
        <w:numPr>
          <w:ilvl w:val="0"/>
          <w:numId w:val="0"/>
        </w:numPr>
        <w:spacing w:line="380" w:lineRule="exact"/>
        <w:ind w:left="851" w:hanging="851"/>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第六部分确定成交供应商办法</w:t>
      </w:r>
      <w:bookmarkEnd w:id="127"/>
      <w:bookmarkEnd w:id="142"/>
    </w:p>
    <w:p w14:paraId="280C7F4B">
      <w:pPr>
        <w:autoSpaceDE w:val="0"/>
        <w:autoSpaceDN w:val="0"/>
        <w:adjustRightInd w:val="0"/>
        <w:spacing w:line="460" w:lineRule="atLeast"/>
        <w:jc w:val="center"/>
        <w:rPr>
          <w:rFonts w:ascii="宋体" w:hAnsi="宋体"/>
          <w:color w:val="000000"/>
          <w:lang w:val="zh-CN"/>
        </w:rPr>
      </w:pPr>
      <w:r>
        <w:rPr>
          <w:rFonts w:hint="eastAsia" w:ascii="宋体" w:hAnsi="宋体"/>
          <w:color w:val="000000"/>
          <w:lang w:val="zh-CN"/>
        </w:rPr>
        <w:t>根据《中华人民共和国政府采购法》等有关政府采购法规，结合本次所要采购服务的实际，按照公平、公正、科学、择优的原则选择成交单位，特制定本评审办法。</w:t>
      </w:r>
    </w:p>
    <w:p w14:paraId="027C36CB">
      <w:pPr>
        <w:autoSpaceDE w:val="0"/>
        <w:autoSpaceDN w:val="0"/>
        <w:adjustRightInd w:val="0"/>
        <w:spacing w:line="460" w:lineRule="atLeast"/>
        <w:rPr>
          <w:rFonts w:ascii="宋体" w:hAnsi="宋体"/>
          <w:color w:val="000000"/>
          <w:lang w:val="zh-CN"/>
        </w:rPr>
      </w:pPr>
      <w:r>
        <w:rPr>
          <w:rFonts w:hint="eastAsia" w:ascii="宋体" w:hAnsi="宋体"/>
          <w:color w:val="000000"/>
          <w:lang w:val="zh-CN"/>
        </w:rPr>
        <w:t>一、总则</w:t>
      </w:r>
    </w:p>
    <w:p w14:paraId="724EB55A">
      <w:pPr>
        <w:autoSpaceDE w:val="0"/>
        <w:autoSpaceDN w:val="0"/>
        <w:adjustRightInd w:val="0"/>
        <w:spacing w:line="460" w:lineRule="atLeast"/>
        <w:ind w:firstLine="440" w:firstLineChars="200"/>
        <w:rPr>
          <w:rFonts w:ascii="宋体" w:hAnsi="宋体"/>
          <w:color w:val="000000"/>
          <w:lang w:val="zh-CN"/>
        </w:rPr>
      </w:pPr>
      <w:r>
        <w:rPr>
          <w:rFonts w:hint="eastAsia" w:ascii="宋体" w:hAnsi="宋体"/>
          <w:color w:val="000000"/>
          <w:lang w:val="zh-CN"/>
        </w:rPr>
        <w:t>评审工作遵循公平、公正、民主、科学的原则和诚实、信誉、效率的服务原则。本着科学、严谨的态度，认真进行评审。择优选定提供服务单位，最大限度的保护当事人权益，严格按照竞争性磋商文件的商务、技术要求，对磋商响应文件进行综合评定，提出优选方案，编写评审报告。磋商小组必须严格遵守保密规定，不得泄漏评审的有关情况，不得索贿受贿，不得接受吃请和礼品，不得参加影响公正评审的有关活动。对未成交单位，磋商小组不作任何解释。供应商不得以任何方式干扰采购工作的进行，一经发现其磋商响应文件将被拒绝。</w:t>
      </w:r>
    </w:p>
    <w:p w14:paraId="509032F6">
      <w:pPr>
        <w:autoSpaceDE w:val="0"/>
        <w:autoSpaceDN w:val="0"/>
        <w:adjustRightInd w:val="0"/>
        <w:spacing w:line="460" w:lineRule="atLeast"/>
        <w:rPr>
          <w:rFonts w:ascii="宋体" w:hAnsi="宋体"/>
          <w:color w:val="000000"/>
          <w:lang w:val="zh-CN"/>
        </w:rPr>
      </w:pPr>
      <w:r>
        <w:rPr>
          <w:rFonts w:hint="eastAsia" w:ascii="宋体" w:hAnsi="宋体"/>
          <w:color w:val="000000"/>
          <w:lang w:val="zh-CN"/>
        </w:rPr>
        <w:t>二、评审组织</w:t>
      </w:r>
    </w:p>
    <w:p w14:paraId="46FFDC1C">
      <w:pPr>
        <w:autoSpaceDE w:val="0"/>
        <w:autoSpaceDN w:val="0"/>
        <w:adjustRightInd w:val="0"/>
        <w:spacing w:line="460" w:lineRule="atLeast"/>
        <w:ind w:firstLine="440" w:firstLineChars="200"/>
        <w:rPr>
          <w:rFonts w:ascii="宋体" w:hAnsi="宋体"/>
          <w:color w:val="000000"/>
          <w:lang w:val="zh-CN"/>
        </w:rPr>
      </w:pPr>
      <w:r>
        <w:rPr>
          <w:rFonts w:hint="eastAsia" w:ascii="宋体" w:hAnsi="宋体"/>
          <w:color w:val="000000"/>
          <w:lang w:val="zh-CN"/>
        </w:rPr>
        <w:t>评审工作由采购人依法组建的磋商小组负责，磋商小组由采购人代表以及评审专家库中随机抽取的有关技术、经济专家共同组成。</w:t>
      </w:r>
    </w:p>
    <w:p w14:paraId="60AC08B8">
      <w:pPr>
        <w:autoSpaceDE w:val="0"/>
        <w:autoSpaceDN w:val="0"/>
        <w:adjustRightInd w:val="0"/>
        <w:spacing w:line="460" w:lineRule="atLeast"/>
        <w:rPr>
          <w:rFonts w:ascii="宋体" w:hAnsi="宋体"/>
          <w:color w:val="000000"/>
          <w:lang w:val="zh-CN"/>
        </w:rPr>
      </w:pPr>
      <w:r>
        <w:rPr>
          <w:rFonts w:hint="eastAsia" w:ascii="宋体" w:hAnsi="宋体"/>
          <w:color w:val="000000"/>
          <w:lang w:val="zh-CN"/>
        </w:rPr>
        <w:t>三、响应文件递交截止、磋商程序、磋商原则和方式以及设备技术参数要求。</w:t>
      </w:r>
    </w:p>
    <w:p w14:paraId="42D75FEC">
      <w:pPr>
        <w:autoSpaceDE w:val="0"/>
        <w:autoSpaceDN w:val="0"/>
        <w:adjustRightInd w:val="0"/>
        <w:spacing w:line="460" w:lineRule="atLeast"/>
        <w:ind w:firstLine="440" w:firstLineChars="200"/>
        <w:rPr>
          <w:rFonts w:ascii="宋体" w:hAnsi="宋体"/>
          <w:color w:val="000000"/>
          <w:lang w:val="zh-CN"/>
        </w:rPr>
      </w:pPr>
      <w:r>
        <w:rPr>
          <w:rFonts w:hint="eastAsia" w:ascii="宋体" w:hAnsi="宋体"/>
          <w:color w:val="000000"/>
          <w:lang w:val="zh-CN"/>
        </w:rPr>
        <w:t>具体见本磋商文件第三部分相关内容描述。</w:t>
      </w:r>
    </w:p>
    <w:p w14:paraId="5B87BBD9">
      <w:pPr>
        <w:autoSpaceDE w:val="0"/>
        <w:autoSpaceDN w:val="0"/>
        <w:adjustRightInd w:val="0"/>
        <w:spacing w:line="460" w:lineRule="atLeast"/>
        <w:jc w:val="both"/>
        <w:rPr>
          <w:rFonts w:ascii="宋体" w:hAnsi="宋体"/>
          <w:color w:val="000000"/>
          <w:lang w:val="zh-CN"/>
        </w:rPr>
      </w:pPr>
      <w:r>
        <w:rPr>
          <w:rFonts w:hint="eastAsia" w:ascii="宋体" w:hAnsi="宋体"/>
          <w:color w:val="000000"/>
          <w:lang w:val="zh-CN"/>
        </w:rPr>
        <w:t>四、评分细则</w:t>
      </w:r>
    </w:p>
    <w:p w14:paraId="013E48E1">
      <w:pPr>
        <w:autoSpaceDE w:val="0"/>
        <w:autoSpaceDN w:val="0"/>
        <w:adjustRightInd w:val="0"/>
        <w:spacing w:line="460" w:lineRule="atLeast"/>
        <w:jc w:val="both"/>
        <w:rPr>
          <w:rFonts w:ascii="宋体" w:hAnsi="宋体"/>
          <w:color w:val="000000"/>
          <w:lang w:val="zh-CN"/>
        </w:rPr>
      </w:pPr>
      <w:r>
        <w:rPr>
          <w:rFonts w:hint="eastAsia" w:ascii="宋体" w:hAnsi="宋体"/>
          <w:color w:val="000000"/>
          <w:lang w:val="zh-CN"/>
        </w:rPr>
        <w:t>一）、报价评分</w:t>
      </w:r>
      <w:r>
        <w:rPr>
          <w:rFonts w:hint="eastAsia" w:ascii="宋体" w:hAnsi="宋体"/>
          <w:color w:val="000000"/>
        </w:rPr>
        <w:t>1</w:t>
      </w:r>
      <w:r>
        <w:rPr>
          <w:rFonts w:hint="eastAsia" w:ascii="宋体" w:hAnsi="宋体"/>
          <w:color w:val="000000"/>
          <w:lang w:val="zh-CN"/>
        </w:rPr>
        <w:t xml:space="preserve">0分  </w:t>
      </w:r>
      <w:r>
        <w:rPr>
          <w:rFonts w:hint="eastAsia" w:ascii="宋体" w:hAnsi="宋体"/>
          <w:color w:val="000000"/>
          <w:lang w:val="zh-CN"/>
        </w:rPr>
        <w:tab/>
      </w:r>
    </w:p>
    <w:p w14:paraId="4D7E996F">
      <w:pPr>
        <w:autoSpaceDE w:val="0"/>
        <w:autoSpaceDN w:val="0"/>
        <w:adjustRightInd w:val="0"/>
        <w:spacing w:line="460" w:lineRule="atLeast"/>
        <w:rPr>
          <w:rFonts w:ascii="宋体" w:hAnsi="宋体"/>
          <w:lang w:val="zh-CN"/>
        </w:rPr>
      </w:pPr>
      <w:r>
        <w:rPr>
          <w:rFonts w:hint="eastAsia" w:ascii="宋体" w:hAnsi="宋体"/>
          <w:color w:val="000000"/>
          <w:lang w:val="zh-CN"/>
        </w:rPr>
        <w:t>以满足磋商文件要求且最后报价最低的供应商的价格为磋商基准价，其价格分为满分。其他供应</w:t>
      </w:r>
      <w:r>
        <w:rPr>
          <w:rFonts w:hint="eastAsia" w:ascii="宋体" w:hAnsi="宋体"/>
          <w:lang w:val="zh-CN"/>
        </w:rPr>
        <w:t>商的价格分统一按照下列公式计算：</w:t>
      </w:r>
    </w:p>
    <w:p w14:paraId="0CD10BEC">
      <w:pPr>
        <w:autoSpaceDE w:val="0"/>
        <w:autoSpaceDN w:val="0"/>
        <w:adjustRightInd w:val="0"/>
        <w:spacing w:line="460" w:lineRule="atLeast"/>
        <w:rPr>
          <w:rFonts w:ascii="宋体" w:hAnsi="宋体"/>
          <w:lang w:val="zh-CN"/>
        </w:rPr>
      </w:pPr>
      <w:r>
        <w:rPr>
          <w:rFonts w:hint="eastAsia" w:ascii="宋体" w:hAnsi="宋体"/>
          <w:lang w:val="zh-CN"/>
        </w:rPr>
        <w:t>磋商报价得分=（磋商基准价/最后磋商报价）×</w:t>
      </w:r>
      <w:r>
        <w:rPr>
          <w:rFonts w:hint="eastAsia" w:ascii="宋体" w:hAnsi="宋体"/>
        </w:rPr>
        <w:t>1</w:t>
      </w:r>
      <w:r>
        <w:rPr>
          <w:rFonts w:hint="eastAsia" w:ascii="宋体" w:hAnsi="宋体"/>
          <w:lang w:val="zh-CN"/>
        </w:rPr>
        <w:t>0%×100</w:t>
      </w:r>
    </w:p>
    <w:p w14:paraId="4AC31E72">
      <w:pPr>
        <w:autoSpaceDE w:val="0"/>
        <w:autoSpaceDN w:val="0"/>
        <w:adjustRightInd w:val="0"/>
        <w:spacing w:line="460" w:lineRule="atLeast"/>
        <w:rPr>
          <w:rFonts w:ascii="宋体" w:hAnsi="宋体"/>
        </w:rPr>
      </w:pPr>
      <w:r>
        <w:rPr>
          <w:rFonts w:hint="eastAsia" w:ascii="宋体" w:hAnsi="宋体"/>
        </w:rPr>
        <w:t>商务技术分90分</w:t>
      </w:r>
    </w:p>
    <w:tbl>
      <w:tblPr>
        <w:tblStyle w:val="29"/>
        <w:tblW w:w="1001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19"/>
        <w:gridCol w:w="1260"/>
        <w:gridCol w:w="5560"/>
        <w:gridCol w:w="1180"/>
      </w:tblGrid>
      <w:tr w14:paraId="4380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Align w:val="center"/>
          </w:tcPr>
          <w:p w14:paraId="3A73E0B8">
            <w:pPr>
              <w:pStyle w:val="15"/>
              <w:snapToGrid w:val="0"/>
              <w:jc w:val="center"/>
              <w:rPr>
                <w:rFonts w:hAnsi="宋体" w:cs="宋体"/>
                <w:szCs w:val="22"/>
              </w:rPr>
            </w:pPr>
            <w:r>
              <w:rPr>
                <w:rFonts w:hint="eastAsia" w:hAnsi="宋体" w:cs="宋体"/>
                <w:szCs w:val="22"/>
              </w:rPr>
              <w:t>序号</w:t>
            </w:r>
          </w:p>
        </w:tc>
        <w:tc>
          <w:tcPr>
            <w:tcW w:w="1319" w:type="dxa"/>
            <w:vAlign w:val="center"/>
          </w:tcPr>
          <w:p w14:paraId="0A80BC80">
            <w:pPr>
              <w:pStyle w:val="15"/>
              <w:snapToGrid w:val="0"/>
              <w:rPr>
                <w:rFonts w:hAnsi="宋体" w:cs="宋体"/>
                <w:szCs w:val="22"/>
              </w:rPr>
            </w:pPr>
            <w:r>
              <w:rPr>
                <w:rFonts w:hint="eastAsia" w:hAnsi="宋体" w:cs="宋体"/>
                <w:szCs w:val="22"/>
              </w:rPr>
              <w:t>评定项目</w:t>
            </w:r>
          </w:p>
        </w:tc>
        <w:tc>
          <w:tcPr>
            <w:tcW w:w="1260" w:type="dxa"/>
            <w:vAlign w:val="center"/>
          </w:tcPr>
          <w:p w14:paraId="07CC432F">
            <w:pPr>
              <w:pStyle w:val="15"/>
              <w:snapToGrid w:val="0"/>
              <w:jc w:val="center"/>
              <w:rPr>
                <w:rFonts w:hAnsi="宋体" w:cs="宋体"/>
                <w:szCs w:val="22"/>
              </w:rPr>
            </w:pPr>
            <w:r>
              <w:rPr>
                <w:rFonts w:hint="eastAsia" w:hAnsi="宋体" w:cs="宋体"/>
                <w:szCs w:val="22"/>
              </w:rPr>
              <w:t>分值范围</w:t>
            </w:r>
          </w:p>
        </w:tc>
        <w:tc>
          <w:tcPr>
            <w:tcW w:w="5560" w:type="dxa"/>
            <w:vAlign w:val="center"/>
          </w:tcPr>
          <w:p w14:paraId="423A1CE5">
            <w:pPr>
              <w:pStyle w:val="15"/>
              <w:snapToGrid w:val="0"/>
              <w:jc w:val="center"/>
              <w:rPr>
                <w:rFonts w:hAnsi="宋体" w:cs="宋体"/>
                <w:szCs w:val="22"/>
              </w:rPr>
            </w:pPr>
            <w:r>
              <w:rPr>
                <w:rFonts w:hint="eastAsia" w:hAnsi="宋体" w:cs="宋体"/>
                <w:szCs w:val="22"/>
              </w:rPr>
              <w:t>备注</w:t>
            </w:r>
          </w:p>
        </w:tc>
        <w:tc>
          <w:tcPr>
            <w:tcW w:w="1180" w:type="dxa"/>
            <w:vAlign w:val="center"/>
          </w:tcPr>
          <w:p w14:paraId="4A734738">
            <w:pPr>
              <w:pStyle w:val="15"/>
              <w:snapToGrid w:val="0"/>
              <w:jc w:val="center"/>
              <w:rPr>
                <w:rFonts w:hAnsi="宋体" w:cs="宋体"/>
                <w:szCs w:val="22"/>
              </w:rPr>
            </w:pPr>
            <w:r>
              <w:rPr>
                <w:rFonts w:hint="eastAsia" w:hAnsi="宋体" w:cs="宋体"/>
                <w:szCs w:val="22"/>
              </w:rPr>
              <w:t>主客观分类别</w:t>
            </w:r>
          </w:p>
        </w:tc>
      </w:tr>
      <w:tr w14:paraId="66AB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95" w:type="dxa"/>
            <w:vAlign w:val="center"/>
          </w:tcPr>
          <w:p w14:paraId="2493833A">
            <w:pPr>
              <w:pStyle w:val="15"/>
              <w:snapToGrid w:val="0"/>
              <w:jc w:val="center"/>
              <w:rPr>
                <w:rFonts w:hAnsi="宋体" w:cs="宋体"/>
                <w:szCs w:val="22"/>
              </w:rPr>
            </w:pPr>
            <w:r>
              <w:rPr>
                <w:rFonts w:hint="eastAsia" w:hAnsi="宋体" w:cs="宋体"/>
                <w:szCs w:val="22"/>
              </w:rPr>
              <w:t>1</w:t>
            </w:r>
          </w:p>
        </w:tc>
        <w:tc>
          <w:tcPr>
            <w:tcW w:w="1319" w:type="dxa"/>
            <w:vAlign w:val="center"/>
          </w:tcPr>
          <w:p w14:paraId="4A1E13F9">
            <w:pPr>
              <w:jc w:val="center"/>
              <w:rPr>
                <w:rFonts w:ascii="宋体"/>
              </w:rPr>
            </w:pPr>
            <w:r>
              <w:rPr>
                <w:rFonts w:hint="eastAsia" w:ascii="宋体"/>
              </w:rPr>
              <w:t>业务综合实力</w:t>
            </w:r>
          </w:p>
        </w:tc>
        <w:tc>
          <w:tcPr>
            <w:tcW w:w="1260" w:type="dxa"/>
            <w:vAlign w:val="center"/>
          </w:tcPr>
          <w:p w14:paraId="7EF1115E">
            <w:pPr>
              <w:jc w:val="center"/>
              <w:rPr>
                <w:rFonts w:ascii="宋体"/>
              </w:rPr>
            </w:pPr>
            <w:r>
              <w:rPr>
                <w:rFonts w:hint="eastAsia" w:ascii="宋体"/>
              </w:rPr>
              <w:t>0-</w:t>
            </w:r>
            <w:r>
              <w:rPr>
                <w:rFonts w:ascii="宋体"/>
              </w:rPr>
              <w:t>1</w:t>
            </w:r>
            <w:r>
              <w:rPr>
                <w:rFonts w:hint="eastAsia" w:ascii="宋体"/>
              </w:rPr>
              <w:t>5分</w:t>
            </w:r>
          </w:p>
        </w:tc>
        <w:tc>
          <w:tcPr>
            <w:tcW w:w="5560" w:type="dxa"/>
            <w:vAlign w:val="center"/>
          </w:tcPr>
          <w:p w14:paraId="01344228">
            <w:pPr>
              <w:spacing w:line="360" w:lineRule="exact"/>
              <w:rPr>
                <w:spacing w:val="-1"/>
              </w:rPr>
            </w:pPr>
            <w:r>
              <w:rPr>
                <w:rFonts w:hint="eastAsia" w:cs="宋体"/>
              </w:rPr>
              <w:t>（</w:t>
            </w:r>
            <w:r>
              <w:rPr>
                <w:rFonts w:hint="eastAsia"/>
                <w:spacing w:val="-1"/>
              </w:rPr>
              <w:t>1）投标企业同时具有有效的：</w:t>
            </w:r>
          </w:p>
          <w:p w14:paraId="4CDAA783">
            <w:pPr>
              <w:spacing w:line="360" w:lineRule="exact"/>
              <w:rPr>
                <w:spacing w:val="-1"/>
              </w:rPr>
            </w:pPr>
            <w:r>
              <w:rPr>
                <w:rFonts w:hint="eastAsia"/>
                <w:spacing w:val="-1"/>
              </w:rPr>
              <w:t>ISO质量管理体系认证证书；ISO环境管理体系认证证书；</w:t>
            </w:r>
          </w:p>
          <w:p w14:paraId="7B592228">
            <w:pPr>
              <w:spacing w:line="360" w:lineRule="exact"/>
              <w:rPr>
                <w:spacing w:val="-1"/>
              </w:rPr>
            </w:pPr>
            <w:r>
              <w:rPr>
                <w:rFonts w:hint="eastAsia"/>
                <w:spacing w:val="-1"/>
              </w:rPr>
              <w:t>ISO职业健康安全管理体系认证证书；每提供一项得2分，最高得6分。</w:t>
            </w:r>
          </w:p>
          <w:p w14:paraId="25804E78">
            <w:pPr>
              <w:spacing w:line="360" w:lineRule="exact"/>
              <w:rPr>
                <w:b/>
                <w:bCs/>
                <w:spacing w:val="-1"/>
              </w:rPr>
            </w:pPr>
            <w:r>
              <w:rPr>
                <w:rFonts w:hint="eastAsia"/>
                <w:b/>
                <w:bCs/>
                <w:spacing w:val="-1"/>
              </w:rPr>
              <w:t>注：须提供有效的认证证书扫描件加盖公章。</w:t>
            </w:r>
          </w:p>
          <w:p w14:paraId="464F27D6">
            <w:pPr>
              <w:pStyle w:val="2"/>
              <w:rPr>
                <w:sz w:val="22"/>
                <w:szCs w:val="22"/>
                <w:lang w:eastAsia="zh-CN"/>
              </w:rPr>
            </w:pPr>
            <w:r>
              <w:rPr>
                <w:rFonts w:hint="eastAsia"/>
                <w:sz w:val="22"/>
                <w:szCs w:val="22"/>
                <w:lang w:eastAsia="zh-CN"/>
              </w:rPr>
              <w:t>（2）</w:t>
            </w:r>
            <w:r>
              <w:rPr>
                <w:rFonts w:hint="eastAsia" w:ascii="Times New Roman" w:hAnsi="Times New Roman"/>
                <w:spacing w:val="-1"/>
                <w:sz w:val="22"/>
                <w:szCs w:val="22"/>
                <w:lang w:eastAsia="zh-CN"/>
              </w:rPr>
              <w:t>投标人</w:t>
            </w:r>
            <w:r>
              <w:rPr>
                <w:rFonts w:hint="eastAsia"/>
                <w:sz w:val="22"/>
                <w:szCs w:val="22"/>
                <w:lang w:eastAsia="zh-CN"/>
              </w:rPr>
              <w:t>具有国家级计量认证资质</w:t>
            </w:r>
            <w:r>
              <w:rPr>
                <w:sz w:val="22"/>
                <w:szCs w:val="22"/>
                <w:lang w:eastAsia="zh-CN"/>
              </w:rPr>
              <w:t>CMA</w:t>
            </w:r>
            <w:r>
              <w:rPr>
                <w:rFonts w:hint="eastAsia"/>
                <w:sz w:val="22"/>
                <w:szCs w:val="22"/>
                <w:lang w:eastAsia="zh-CN"/>
              </w:rPr>
              <w:t>证书得</w:t>
            </w:r>
            <w:r>
              <w:rPr>
                <w:sz w:val="22"/>
                <w:szCs w:val="22"/>
                <w:lang w:eastAsia="zh-CN"/>
              </w:rPr>
              <w:t>3</w:t>
            </w:r>
            <w:r>
              <w:rPr>
                <w:rFonts w:hint="eastAsia"/>
                <w:sz w:val="22"/>
                <w:szCs w:val="22"/>
                <w:lang w:eastAsia="zh-CN"/>
              </w:rPr>
              <w:t>分，省级计量认证资质</w:t>
            </w:r>
            <w:r>
              <w:rPr>
                <w:sz w:val="22"/>
                <w:szCs w:val="22"/>
                <w:lang w:eastAsia="zh-CN"/>
              </w:rPr>
              <w:t>CMA</w:t>
            </w:r>
            <w:r>
              <w:rPr>
                <w:rFonts w:hint="eastAsia"/>
                <w:sz w:val="22"/>
                <w:szCs w:val="22"/>
                <w:lang w:eastAsia="zh-CN"/>
              </w:rPr>
              <w:t>证书得2分，最高得</w:t>
            </w:r>
            <w:r>
              <w:rPr>
                <w:sz w:val="22"/>
                <w:szCs w:val="22"/>
                <w:lang w:eastAsia="zh-CN"/>
              </w:rPr>
              <w:t>3</w:t>
            </w:r>
            <w:r>
              <w:rPr>
                <w:rFonts w:hint="eastAsia"/>
                <w:sz w:val="22"/>
                <w:szCs w:val="22"/>
                <w:lang w:eastAsia="zh-CN"/>
              </w:rPr>
              <w:t>分。</w:t>
            </w:r>
          </w:p>
          <w:p w14:paraId="65B81934">
            <w:pPr>
              <w:spacing w:line="360" w:lineRule="exact"/>
              <w:rPr>
                <w:b/>
                <w:bCs/>
                <w:spacing w:val="-1"/>
              </w:rPr>
            </w:pPr>
            <w:r>
              <w:rPr>
                <w:rFonts w:hint="eastAsia"/>
                <w:b/>
                <w:bCs/>
                <w:spacing w:val="-1"/>
              </w:rPr>
              <w:t>注：须提供有效的C</w:t>
            </w:r>
            <w:r>
              <w:rPr>
                <w:b/>
                <w:bCs/>
                <w:spacing w:val="-1"/>
              </w:rPr>
              <w:t>MA</w:t>
            </w:r>
            <w:r>
              <w:rPr>
                <w:rFonts w:hint="eastAsia"/>
                <w:b/>
                <w:bCs/>
                <w:spacing w:val="-1"/>
              </w:rPr>
              <w:t>证书扫描件加盖公章。</w:t>
            </w:r>
          </w:p>
          <w:p w14:paraId="62ABBF46">
            <w:pPr>
              <w:pStyle w:val="2"/>
              <w:rPr>
                <w:rFonts w:cs="宋体"/>
                <w:sz w:val="22"/>
                <w:szCs w:val="22"/>
                <w:lang w:eastAsia="zh-CN"/>
              </w:rPr>
            </w:pPr>
            <w:r>
              <w:rPr>
                <w:rFonts w:hint="eastAsia" w:cs="宋体"/>
                <w:sz w:val="22"/>
                <w:szCs w:val="22"/>
                <w:lang w:eastAsia="zh-CN"/>
              </w:rPr>
              <w:t>（3）</w:t>
            </w:r>
            <w:r>
              <w:rPr>
                <w:rFonts w:hint="eastAsia" w:ascii="Times New Roman" w:hAnsi="Times New Roman"/>
                <w:spacing w:val="-1"/>
                <w:sz w:val="22"/>
                <w:szCs w:val="22"/>
                <w:lang w:eastAsia="zh-CN"/>
              </w:rPr>
              <w:t>投标人</w:t>
            </w:r>
            <w:r>
              <w:rPr>
                <w:rFonts w:hint="eastAsia" w:cs="宋体"/>
                <w:sz w:val="22"/>
                <w:szCs w:val="22"/>
                <w:lang w:eastAsia="zh-CN"/>
              </w:rPr>
              <w:t>具有CNAS认证证书的得3分，最高得3分</w:t>
            </w:r>
          </w:p>
          <w:p w14:paraId="71D5C308">
            <w:pPr>
              <w:spacing w:line="360" w:lineRule="exact"/>
              <w:rPr>
                <w:b/>
                <w:bCs/>
                <w:spacing w:val="-1"/>
              </w:rPr>
            </w:pPr>
            <w:r>
              <w:rPr>
                <w:rFonts w:hint="eastAsia"/>
                <w:b/>
                <w:bCs/>
                <w:spacing w:val="-1"/>
              </w:rPr>
              <w:t>注：须提供有效的</w:t>
            </w:r>
            <w:r>
              <w:rPr>
                <w:b/>
                <w:bCs/>
                <w:spacing w:val="-1"/>
              </w:rPr>
              <w:t>CNAS</w:t>
            </w:r>
            <w:r>
              <w:rPr>
                <w:rFonts w:hint="eastAsia"/>
                <w:b/>
                <w:bCs/>
                <w:spacing w:val="-1"/>
              </w:rPr>
              <w:t>证书扫描件加盖公章。</w:t>
            </w:r>
          </w:p>
          <w:p w14:paraId="30A80B9C">
            <w:pPr>
              <w:pStyle w:val="2"/>
              <w:rPr>
                <w:sz w:val="22"/>
                <w:szCs w:val="22"/>
                <w:lang w:eastAsia="zh-CN"/>
              </w:rPr>
            </w:pPr>
            <w:r>
              <w:rPr>
                <w:rFonts w:hint="eastAsia"/>
                <w:sz w:val="22"/>
                <w:szCs w:val="22"/>
                <w:lang w:eastAsia="zh-CN"/>
              </w:rPr>
              <w:t>（4）投标人具有省科技型中小企业的3分，最高得3分</w:t>
            </w:r>
          </w:p>
          <w:p w14:paraId="39D22355">
            <w:pPr>
              <w:spacing w:line="360" w:lineRule="exact"/>
              <w:rPr>
                <w:rFonts w:ascii="宋体" w:hAnsi="Courier New"/>
              </w:rPr>
            </w:pPr>
            <w:r>
              <w:rPr>
                <w:rFonts w:hint="eastAsia"/>
                <w:b/>
                <w:bCs/>
                <w:spacing w:val="-1"/>
              </w:rPr>
              <w:t>注：须提供有效认定证书扫描件加盖公章。</w:t>
            </w:r>
          </w:p>
        </w:tc>
        <w:tc>
          <w:tcPr>
            <w:tcW w:w="1180" w:type="dxa"/>
            <w:vAlign w:val="center"/>
          </w:tcPr>
          <w:p w14:paraId="4DA24E8B">
            <w:pPr>
              <w:pStyle w:val="15"/>
              <w:snapToGrid w:val="0"/>
              <w:jc w:val="center"/>
              <w:rPr>
                <w:rFonts w:hAnsi="宋体" w:cs="宋体"/>
                <w:szCs w:val="22"/>
              </w:rPr>
            </w:pPr>
            <w:r>
              <w:rPr>
                <w:rFonts w:hint="eastAsia" w:hAnsi="宋体" w:cs="宋体"/>
                <w:szCs w:val="22"/>
              </w:rPr>
              <w:t>客观分</w:t>
            </w:r>
          </w:p>
        </w:tc>
      </w:tr>
      <w:tr w14:paraId="6A30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5" w:type="dxa"/>
            <w:vAlign w:val="center"/>
          </w:tcPr>
          <w:p w14:paraId="6EF2F723">
            <w:pPr>
              <w:pStyle w:val="15"/>
              <w:snapToGrid w:val="0"/>
              <w:jc w:val="center"/>
              <w:rPr>
                <w:rFonts w:hAnsi="宋体" w:cs="宋体"/>
                <w:szCs w:val="22"/>
              </w:rPr>
            </w:pPr>
          </w:p>
        </w:tc>
        <w:tc>
          <w:tcPr>
            <w:tcW w:w="1319" w:type="dxa"/>
            <w:vMerge w:val="restart"/>
            <w:vAlign w:val="center"/>
          </w:tcPr>
          <w:p w14:paraId="79FFF26C">
            <w:pPr>
              <w:jc w:val="center"/>
              <w:rPr>
                <w:rFonts w:ascii="宋体" w:hAnsi="宋体" w:cs="宋体"/>
                <w:bCs/>
                <w:lang w:eastAsia="en-US"/>
              </w:rPr>
            </w:pPr>
            <w:r>
              <w:rPr>
                <w:rFonts w:hint="eastAsia" w:ascii="宋体" w:hAnsi="宋体" w:cs="宋体"/>
                <w:bCs/>
                <w:lang w:eastAsia="en-US"/>
              </w:rPr>
              <w:t>项目人员组成</w:t>
            </w:r>
          </w:p>
        </w:tc>
        <w:tc>
          <w:tcPr>
            <w:tcW w:w="1260" w:type="dxa"/>
            <w:vAlign w:val="center"/>
          </w:tcPr>
          <w:p w14:paraId="6B040B0C">
            <w:pPr>
              <w:jc w:val="center"/>
              <w:rPr>
                <w:rFonts w:ascii="宋体"/>
              </w:rPr>
            </w:pPr>
            <w:r>
              <w:rPr>
                <w:rFonts w:hint="eastAsia" w:ascii="宋体"/>
              </w:rPr>
              <w:t>0-3分</w:t>
            </w:r>
          </w:p>
        </w:tc>
        <w:tc>
          <w:tcPr>
            <w:tcW w:w="5560" w:type="dxa"/>
            <w:shd w:val="clear" w:color="auto" w:fill="auto"/>
            <w:vAlign w:val="center"/>
          </w:tcPr>
          <w:p w14:paraId="1528C845">
            <w:pPr>
              <w:tabs>
                <w:tab w:val="left" w:pos="482"/>
                <w:tab w:val="left" w:pos="2183"/>
                <w:tab w:val="left" w:pos="3884"/>
                <w:tab w:val="left" w:pos="5585"/>
              </w:tabs>
              <w:snapToGrid w:val="0"/>
              <w:rPr>
                <w:rFonts w:ascii="宋体" w:hAnsi="宋体" w:cs="宋体"/>
                <w:b/>
                <w:bCs/>
                <w:spacing w:val="11"/>
              </w:rPr>
            </w:pPr>
            <w:r>
              <w:rPr>
                <w:rFonts w:hint="eastAsia" w:ascii="宋体" w:hAnsi="宋体" w:cs="宋体"/>
                <w:b/>
                <w:bCs/>
                <w:spacing w:val="11"/>
              </w:rPr>
              <w:t>项目总负责人：</w:t>
            </w:r>
          </w:p>
          <w:p w14:paraId="5897AAC0">
            <w:pPr>
              <w:tabs>
                <w:tab w:val="left" w:pos="482"/>
                <w:tab w:val="left" w:pos="2183"/>
                <w:tab w:val="left" w:pos="3884"/>
                <w:tab w:val="left" w:pos="5585"/>
              </w:tabs>
              <w:snapToGrid w:val="0"/>
              <w:rPr>
                <w:rFonts w:ascii="宋体" w:hAnsi="宋体" w:cs="宋体"/>
                <w:spacing w:val="11"/>
              </w:rPr>
            </w:pPr>
            <w:r>
              <w:rPr>
                <w:rFonts w:hint="eastAsia" w:ascii="宋体" w:hAnsi="宋体" w:cs="宋体"/>
                <w:spacing w:val="11"/>
              </w:rPr>
              <w:t>拟派项目负责人具备化学类、环境类、工程类高级工程师职称的得3分；（非化学、环境、工程类）高级技术职称的得</w:t>
            </w:r>
            <w:r>
              <w:rPr>
                <w:rFonts w:ascii="宋体" w:hAnsi="宋体" w:cs="宋体"/>
                <w:spacing w:val="11"/>
              </w:rPr>
              <w:t>2</w:t>
            </w:r>
            <w:r>
              <w:rPr>
                <w:rFonts w:hint="eastAsia" w:ascii="宋体" w:hAnsi="宋体" w:cs="宋体"/>
                <w:spacing w:val="11"/>
              </w:rPr>
              <w:t>分；（所有专业）中级技术职称的得1分，最高得3分。</w:t>
            </w:r>
          </w:p>
          <w:p w14:paraId="4D7E5D9E">
            <w:pPr>
              <w:tabs>
                <w:tab w:val="left" w:pos="482"/>
                <w:tab w:val="left" w:pos="2183"/>
                <w:tab w:val="left" w:pos="3884"/>
                <w:tab w:val="left" w:pos="5585"/>
              </w:tabs>
              <w:snapToGrid w:val="0"/>
              <w:rPr>
                <w:rFonts w:ascii="宋体" w:hAnsi="宋体" w:cs="宋体"/>
                <w:spacing w:val="11"/>
              </w:rPr>
            </w:pPr>
            <w:r>
              <w:rPr>
                <w:rFonts w:hint="eastAsia" w:ascii="宋体" w:hAnsi="宋体" w:cs="宋体"/>
                <w:b/>
                <w:bCs/>
                <w:spacing w:val="11"/>
              </w:rPr>
              <w:t>注：需提供人员证书（复印件加盖公章）及近3个月内任意一个月本单位（分公司亦可）社保证明，否则不计分。</w:t>
            </w:r>
          </w:p>
        </w:tc>
        <w:tc>
          <w:tcPr>
            <w:tcW w:w="1180" w:type="dxa"/>
            <w:shd w:val="clear" w:color="auto" w:fill="auto"/>
            <w:vAlign w:val="center"/>
          </w:tcPr>
          <w:p w14:paraId="03DA5663">
            <w:pPr>
              <w:pStyle w:val="15"/>
              <w:snapToGrid w:val="0"/>
              <w:jc w:val="center"/>
              <w:rPr>
                <w:rFonts w:hAnsi="宋体" w:cs="宋体"/>
                <w:szCs w:val="22"/>
              </w:rPr>
            </w:pPr>
            <w:r>
              <w:rPr>
                <w:rFonts w:hint="eastAsia" w:hAnsi="宋体" w:cs="宋体"/>
                <w:szCs w:val="22"/>
              </w:rPr>
              <w:t>客观分</w:t>
            </w:r>
          </w:p>
        </w:tc>
      </w:tr>
      <w:tr w14:paraId="4B5B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95" w:type="dxa"/>
            <w:vMerge w:val="restart"/>
            <w:vAlign w:val="center"/>
          </w:tcPr>
          <w:p w14:paraId="6A8B80CD">
            <w:pPr>
              <w:pStyle w:val="15"/>
              <w:snapToGrid w:val="0"/>
              <w:jc w:val="center"/>
              <w:rPr>
                <w:rFonts w:hAnsi="宋体" w:cs="宋体"/>
                <w:szCs w:val="22"/>
              </w:rPr>
            </w:pPr>
            <w:r>
              <w:rPr>
                <w:rFonts w:hint="eastAsia" w:hAnsi="宋体" w:cs="宋体"/>
                <w:szCs w:val="22"/>
              </w:rPr>
              <w:t>2</w:t>
            </w:r>
          </w:p>
        </w:tc>
        <w:tc>
          <w:tcPr>
            <w:tcW w:w="1319" w:type="dxa"/>
            <w:vMerge w:val="continue"/>
            <w:vAlign w:val="center"/>
          </w:tcPr>
          <w:p w14:paraId="04D9256C">
            <w:pPr>
              <w:jc w:val="center"/>
              <w:rPr>
                <w:rFonts w:ascii="宋体" w:hAnsi="宋体" w:cs="宋体"/>
                <w:bCs/>
                <w:lang w:eastAsia="en-US"/>
              </w:rPr>
            </w:pPr>
          </w:p>
        </w:tc>
        <w:tc>
          <w:tcPr>
            <w:tcW w:w="1260" w:type="dxa"/>
            <w:vAlign w:val="center"/>
          </w:tcPr>
          <w:p w14:paraId="197D57C2">
            <w:pPr>
              <w:jc w:val="center"/>
              <w:rPr>
                <w:rFonts w:ascii="宋体"/>
                <w:color w:val="FF0000"/>
              </w:rPr>
            </w:pPr>
            <w:r>
              <w:rPr>
                <w:rFonts w:hint="eastAsia" w:ascii="宋体"/>
                <w:color w:val="FF0000"/>
              </w:rPr>
              <w:t>0-</w:t>
            </w:r>
            <w:r>
              <w:rPr>
                <w:rFonts w:ascii="宋体"/>
                <w:color w:val="FF0000"/>
              </w:rPr>
              <w:t>6</w:t>
            </w:r>
            <w:r>
              <w:rPr>
                <w:rFonts w:hint="eastAsia" w:ascii="宋体"/>
                <w:color w:val="FF0000"/>
              </w:rPr>
              <w:t>分</w:t>
            </w:r>
          </w:p>
        </w:tc>
        <w:tc>
          <w:tcPr>
            <w:tcW w:w="5560" w:type="dxa"/>
            <w:vAlign w:val="center"/>
          </w:tcPr>
          <w:p w14:paraId="789C77CD">
            <w:pPr>
              <w:tabs>
                <w:tab w:val="left" w:pos="0"/>
              </w:tabs>
              <w:rPr>
                <w:rFonts w:ascii="宋体" w:hAnsi="Courier New"/>
                <w:color w:val="FF0000"/>
              </w:rPr>
            </w:pPr>
            <w:r>
              <w:rPr>
                <w:rFonts w:hint="eastAsia" w:ascii="宋体" w:hAnsi="Courier New"/>
                <w:color w:val="FF0000"/>
              </w:rPr>
              <w:t>其他负责人（除项目总负责人外）</w:t>
            </w:r>
          </w:p>
          <w:p w14:paraId="25ACFADF">
            <w:pPr>
              <w:tabs>
                <w:tab w:val="left" w:pos="0"/>
              </w:tabs>
              <w:rPr>
                <w:rFonts w:ascii="宋体" w:hAnsi="Courier New"/>
                <w:color w:val="FF0000"/>
              </w:rPr>
            </w:pPr>
            <w:r>
              <w:rPr>
                <w:rFonts w:hint="eastAsia" w:ascii="宋体" w:hAnsi="Courier New"/>
                <w:color w:val="FF0000"/>
              </w:rPr>
              <w:t>1、拟派造价咨询负责人须具备：国家注册一级造价工程师资格（2018年7月前取得注册造价师的不限等级）。得2分，没有不得分。</w:t>
            </w:r>
          </w:p>
          <w:p w14:paraId="7820F92D">
            <w:pPr>
              <w:tabs>
                <w:tab w:val="left" w:pos="0"/>
              </w:tabs>
              <w:rPr>
                <w:rFonts w:ascii="宋体" w:hAnsi="Courier New"/>
                <w:color w:val="FF0000"/>
              </w:rPr>
            </w:pPr>
            <w:r>
              <w:rPr>
                <w:rFonts w:hint="eastAsia" w:ascii="宋体" w:hAnsi="Courier New"/>
                <w:color w:val="FF0000"/>
              </w:rPr>
              <w:t>2、拟派工程监理负责人须具备：国家级注册监理工程师资格（市政专业）的得2分，没有不得分。</w:t>
            </w:r>
          </w:p>
          <w:p w14:paraId="24042E15">
            <w:pPr>
              <w:tabs>
                <w:tab w:val="left" w:pos="0"/>
              </w:tabs>
              <w:rPr>
                <w:rFonts w:ascii="宋体" w:hAnsi="Courier New"/>
                <w:color w:val="FF0000"/>
              </w:rPr>
            </w:pPr>
            <w:r>
              <w:rPr>
                <w:rFonts w:hint="eastAsia" w:ascii="宋体" w:hAnsi="Courier New"/>
                <w:color w:val="FF0000"/>
              </w:rPr>
              <w:t>3、拟派环保监理负责人须具备：环境类中级及以上职称资格得2分，本项最高得</w:t>
            </w:r>
            <w:r>
              <w:rPr>
                <w:rFonts w:ascii="宋体" w:hAnsi="Courier New"/>
                <w:color w:val="FF0000"/>
              </w:rPr>
              <w:t>2</w:t>
            </w:r>
            <w:r>
              <w:rPr>
                <w:rFonts w:hint="eastAsia" w:ascii="宋体" w:hAnsi="Courier New"/>
                <w:color w:val="FF0000"/>
              </w:rPr>
              <w:t>分，没有不得分。</w:t>
            </w:r>
          </w:p>
          <w:p w14:paraId="4F68A37C">
            <w:pPr>
              <w:tabs>
                <w:tab w:val="left" w:pos="0"/>
              </w:tabs>
              <w:rPr>
                <w:rFonts w:ascii="宋体" w:hAnsi="Courier New"/>
                <w:color w:val="FF0000"/>
              </w:rPr>
            </w:pPr>
            <w:r>
              <w:rPr>
                <w:rFonts w:hint="eastAsia" w:ascii="宋体" w:hAnsi="Courier New"/>
                <w:color w:val="FF0000"/>
              </w:rPr>
              <w:t>项目总负责人与以上人员不得兼任；</w:t>
            </w:r>
          </w:p>
          <w:p w14:paraId="7C54AD4D">
            <w:pPr>
              <w:pStyle w:val="2"/>
              <w:rPr>
                <w:color w:val="FF0000"/>
                <w:lang w:eastAsia="zh-CN"/>
              </w:rPr>
            </w:pPr>
            <w:r>
              <w:rPr>
                <w:rFonts w:hint="eastAsia" w:cs="宋体"/>
                <w:b/>
                <w:bCs/>
                <w:color w:val="FF0000"/>
                <w:spacing w:val="11"/>
                <w:sz w:val="22"/>
                <w:szCs w:val="22"/>
                <w:lang w:eastAsia="zh-CN"/>
              </w:rPr>
              <w:t>注：需提供人员证书（复印件加盖公章）及近3个月内任意一个月本单位（分公司亦可）社保证明，否则不计分。</w:t>
            </w:r>
          </w:p>
        </w:tc>
        <w:tc>
          <w:tcPr>
            <w:tcW w:w="1180" w:type="dxa"/>
            <w:vAlign w:val="center"/>
          </w:tcPr>
          <w:p w14:paraId="57895A55">
            <w:pPr>
              <w:pStyle w:val="15"/>
              <w:snapToGrid w:val="0"/>
              <w:jc w:val="center"/>
              <w:rPr>
                <w:rFonts w:hAnsi="宋体" w:cs="宋体"/>
                <w:szCs w:val="22"/>
              </w:rPr>
            </w:pPr>
            <w:r>
              <w:rPr>
                <w:rFonts w:hint="eastAsia" w:hAnsi="宋体" w:cs="宋体"/>
                <w:szCs w:val="22"/>
              </w:rPr>
              <w:t>客观分</w:t>
            </w:r>
          </w:p>
        </w:tc>
      </w:tr>
      <w:tr w14:paraId="4D09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Merge w:val="continue"/>
            <w:vAlign w:val="center"/>
          </w:tcPr>
          <w:p w14:paraId="0A0CB4FB">
            <w:pPr>
              <w:pStyle w:val="15"/>
              <w:snapToGrid w:val="0"/>
              <w:jc w:val="center"/>
              <w:rPr>
                <w:rFonts w:hAnsi="宋体" w:cs="宋体"/>
                <w:szCs w:val="22"/>
              </w:rPr>
            </w:pPr>
          </w:p>
        </w:tc>
        <w:tc>
          <w:tcPr>
            <w:tcW w:w="1319" w:type="dxa"/>
            <w:vMerge w:val="continue"/>
            <w:vAlign w:val="center"/>
          </w:tcPr>
          <w:p w14:paraId="2487C572">
            <w:pPr>
              <w:jc w:val="center"/>
              <w:rPr>
                <w:rFonts w:ascii="宋体" w:hAnsi="宋体" w:cs="宋体"/>
                <w:bCs/>
                <w:lang w:eastAsia="en-US"/>
              </w:rPr>
            </w:pPr>
          </w:p>
        </w:tc>
        <w:tc>
          <w:tcPr>
            <w:tcW w:w="1260" w:type="dxa"/>
            <w:vAlign w:val="center"/>
          </w:tcPr>
          <w:p w14:paraId="07AE6C1A">
            <w:pPr>
              <w:jc w:val="center"/>
              <w:rPr>
                <w:rFonts w:ascii="宋体"/>
              </w:rPr>
            </w:pPr>
            <w:r>
              <w:rPr>
                <w:rFonts w:hint="eastAsia" w:ascii="宋体"/>
              </w:rPr>
              <w:t>0-</w:t>
            </w:r>
            <w:r>
              <w:rPr>
                <w:rFonts w:ascii="宋体"/>
              </w:rPr>
              <w:t>15</w:t>
            </w:r>
            <w:r>
              <w:rPr>
                <w:rFonts w:hint="eastAsia" w:ascii="宋体"/>
              </w:rPr>
              <w:t>分</w:t>
            </w:r>
          </w:p>
        </w:tc>
        <w:tc>
          <w:tcPr>
            <w:tcW w:w="5560" w:type="dxa"/>
            <w:vAlign w:val="center"/>
          </w:tcPr>
          <w:p w14:paraId="4975D213">
            <w:pPr>
              <w:tabs>
                <w:tab w:val="left" w:pos="482"/>
                <w:tab w:val="left" w:pos="2183"/>
                <w:tab w:val="left" w:pos="3884"/>
                <w:tab w:val="left" w:pos="5585"/>
              </w:tabs>
              <w:snapToGrid w:val="0"/>
              <w:rPr>
                <w:rFonts w:ascii="宋体" w:hAnsi="宋体" w:cs="宋体"/>
                <w:spacing w:val="11"/>
              </w:rPr>
            </w:pPr>
            <w:r>
              <w:rPr>
                <w:rFonts w:hint="eastAsia" w:ascii="宋体" w:hAnsi="宋体" w:cs="宋体"/>
                <w:spacing w:val="11"/>
              </w:rPr>
              <w:t>项目团队人员（不含项目总负责人和其他负责人）</w:t>
            </w:r>
          </w:p>
          <w:p w14:paraId="4808F852">
            <w:pPr>
              <w:numPr>
                <w:ilvl w:val="0"/>
                <w:numId w:val="14"/>
              </w:numPr>
              <w:tabs>
                <w:tab w:val="left" w:pos="482"/>
                <w:tab w:val="left" w:pos="2183"/>
                <w:tab w:val="left" w:pos="3884"/>
                <w:tab w:val="left" w:pos="5585"/>
              </w:tabs>
              <w:snapToGrid w:val="0"/>
              <w:rPr>
                <w:rFonts w:ascii="宋体" w:hAnsi="宋体" w:cs="宋体"/>
                <w:spacing w:val="11"/>
              </w:rPr>
            </w:pPr>
            <w:r>
              <w:rPr>
                <w:rFonts w:hint="eastAsia" w:ascii="宋体" w:hAnsi="宋体" w:cs="宋体"/>
                <w:spacing w:val="11"/>
              </w:rPr>
              <w:t>拟派项目团队人员具备化学类、环境类、工程类中级技术职称的得</w:t>
            </w:r>
            <w:r>
              <w:rPr>
                <w:rFonts w:ascii="宋体" w:hAnsi="宋体" w:cs="宋体"/>
                <w:spacing w:val="11"/>
              </w:rPr>
              <w:t>1</w:t>
            </w:r>
            <w:r>
              <w:rPr>
                <w:rFonts w:hint="eastAsia" w:ascii="宋体" w:hAnsi="宋体" w:cs="宋体"/>
                <w:spacing w:val="11"/>
              </w:rPr>
              <w:t>分，最高5分；高级技术职称的得</w:t>
            </w:r>
            <w:r>
              <w:rPr>
                <w:rFonts w:ascii="宋体" w:hAnsi="宋体" w:cs="宋体"/>
                <w:spacing w:val="11"/>
              </w:rPr>
              <w:t>2</w:t>
            </w:r>
            <w:r>
              <w:rPr>
                <w:rFonts w:hint="eastAsia" w:ascii="宋体" w:hAnsi="宋体" w:cs="宋体"/>
                <w:spacing w:val="11"/>
              </w:rPr>
              <w:t>分，最高得10分；</w:t>
            </w:r>
          </w:p>
          <w:p w14:paraId="1B2B3E54">
            <w:pPr>
              <w:tabs>
                <w:tab w:val="left" w:pos="482"/>
                <w:tab w:val="left" w:pos="2183"/>
                <w:tab w:val="left" w:pos="3884"/>
                <w:tab w:val="left" w:pos="5585"/>
              </w:tabs>
              <w:snapToGrid w:val="0"/>
              <w:rPr>
                <w:rFonts w:ascii="宋体" w:hAnsi="宋体" w:cs="宋体"/>
                <w:spacing w:val="11"/>
              </w:rPr>
            </w:pPr>
            <w:r>
              <w:rPr>
                <w:rFonts w:hint="eastAsia" w:ascii="宋体" w:hAnsi="宋体" w:cs="宋体"/>
                <w:spacing w:val="11"/>
              </w:rPr>
              <w:t>本项最高得</w:t>
            </w:r>
            <w:r>
              <w:rPr>
                <w:rFonts w:ascii="宋体" w:hAnsi="宋体" w:cs="宋体"/>
                <w:spacing w:val="11"/>
              </w:rPr>
              <w:t>15</w:t>
            </w:r>
            <w:r>
              <w:rPr>
                <w:rFonts w:hint="eastAsia" w:ascii="宋体" w:hAnsi="宋体" w:cs="宋体"/>
                <w:spacing w:val="11"/>
              </w:rPr>
              <w:t>分。（一人多证只记最高级的证书）；</w:t>
            </w:r>
          </w:p>
          <w:p w14:paraId="6502DC81">
            <w:pPr>
              <w:tabs>
                <w:tab w:val="left" w:pos="482"/>
                <w:tab w:val="left" w:pos="2183"/>
                <w:tab w:val="left" w:pos="3884"/>
                <w:tab w:val="left" w:pos="5585"/>
              </w:tabs>
              <w:snapToGrid w:val="0"/>
              <w:rPr>
                <w:rFonts w:ascii="宋体" w:hAnsi="宋体" w:cs="宋体"/>
                <w:b/>
                <w:bCs/>
                <w:spacing w:val="11"/>
              </w:rPr>
            </w:pPr>
            <w:r>
              <w:rPr>
                <w:rFonts w:hint="eastAsia" w:ascii="宋体" w:hAnsi="宋体" w:cs="宋体"/>
                <w:b/>
                <w:bCs/>
              </w:rPr>
              <w:t>（提供相应证书扫描件并加盖公章及近3个月内任意一个月本单位（分公司亦可）社保证明。一人多证不重复计分。）</w:t>
            </w:r>
          </w:p>
        </w:tc>
        <w:tc>
          <w:tcPr>
            <w:tcW w:w="1180" w:type="dxa"/>
            <w:vAlign w:val="center"/>
          </w:tcPr>
          <w:p w14:paraId="39D21F59">
            <w:pPr>
              <w:pStyle w:val="15"/>
              <w:snapToGrid w:val="0"/>
              <w:jc w:val="center"/>
              <w:rPr>
                <w:rFonts w:hAnsi="宋体" w:cs="宋体"/>
                <w:szCs w:val="22"/>
              </w:rPr>
            </w:pPr>
            <w:r>
              <w:rPr>
                <w:rFonts w:hint="eastAsia" w:hAnsi="宋体" w:cs="宋体"/>
                <w:szCs w:val="22"/>
              </w:rPr>
              <w:t>客观分</w:t>
            </w:r>
          </w:p>
        </w:tc>
      </w:tr>
      <w:tr w14:paraId="1A0A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Align w:val="center"/>
          </w:tcPr>
          <w:p w14:paraId="7EDC0D6B">
            <w:pPr>
              <w:pStyle w:val="15"/>
              <w:snapToGrid w:val="0"/>
              <w:jc w:val="center"/>
              <w:rPr>
                <w:rFonts w:hAnsi="宋体" w:cs="宋体"/>
                <w:szCs w:val="22"/>
              </w:rPr>
            </w:pPr>
            <w:r>
              <w:rPr>
                <w:rFonts w:hint="eastAsia" w:hAnsi="宋体" w:cs="宋体"/>
                <w:szCs w:val="22"/>
              </w:rPr>
              <w:t>4</w:t>
            </w:r>
          </w:p>
        </w:tc>
        <w:tc>
          <w:tcPr>
            <w:tcW w:w="1319" w:type="dxa"/>
            <w:vAlign w:val="center"/>
          </w:tcPr>
          <w:p w14:paraId="5AFBCDB0">
            <w:pPr>
              <w:tabs>
                <w:tab w:val="left" w:pos="482"/>
                <w:tab w:val="left" w:pos="2183"/>
                <w:tab w:val="left" w:pos="3884"/>
                <w:tab w:val="left" w:pos="5585"/>
              </w:tabs>
              <w:snapToGrid w:val="0"/>
              <w:jc w:val="center"/>
              <w:rPr>
                <w:rFonts w:ascii="宋体" w:hAnsi="宋体" w:cs="宋体"/>
              </w:rPr>
            </w:pPr>
            <w:r>
              <w:rPr>
                <w:rFonts w:hint="eastAsia" w:hAnsi="宋体"/>
              </w:rPr>
              <w:t>投标供应商</w:t>
            </w:r>
            <w:r>
              <w:rPr>
                <w:rFonts w:hint="eastAsia" w:ascii="宋体"/>
              </w:rPr>
              <w:t>类似项目的业绩</w:t>
            </w:r>
          </w:p>
        </w:tc>
        <w:tc>
          <w:tcPr>
            <w:tcW w:w="1260" w:type="dxa"/>
            <w:vAlign w:val="center"/>
          </w:tcPr>
          <w:p w14:paraId="090EB0AF">
            <w:pPr>
              <w:tabs>
                <w:tab w:val="left" w:pos="482"/>
                <w:tab w:val="left" w:pos="2183"/>
                <w:tab w:val="left" w:pos="3884"/>
                <w:tab w:val="left" w:pos="5585"/>
              </w:tabs>
              <w:snapToGrid w:val="0"/>
              <w:jc w:val="center"/>
              <w:rPr>
                <w:rFonts w:ascii="宋体" w:hAnsi="宋体" w:cs="宋体"/>
              </w:rPr>
            </w:pPr>
            <w:r>
              <w:rPr>
                <w:rFonts w:hint="eastAsia" w:ascii="宋体" w:hAnsi="宋体" w:cs="宋体"/>
                <w:bCs/>
              </w:rPr>
              <w:t>0-1分</w:t>
            </w:r>
          </w:p>
        </w:tc>
        <w:tc>
          <w:tcPr>
            <w:tcW w:w="5560" w:type="dxa"/>
            <w:vAlign w:val="center"/>
          </w:tcPr>
          <w:p w14:paraId="139CD197">
            <w:pPr>
              <w:tabs>
                <w:tab w:val="left" w:pos="0"/>
              </w:tabs>
              <w:rPr>
                <w:rFonts w:ascii="宋体" w:hAnsi="宋体" w:cs="宋体"/>
              </w:rPr>
            </w:pPr>
            <w:r>
              <w:rPr>
                <w:rFonts w:hint="eastAsia" w:ascii="宋体" w:hAnsi="宋体" w:cs="宋体"/>
              </w:rPr>
              <w:t>投标人自2020年1月1日以来的同类项目的业绩，每个得1分，此项满分1分。</w:t>
            </w:r>
          </w:p>
          <w:p w14:paraId="0221412F">
            <w:pPr>
              <w:tabs>
                <w:tab w:val="left" w:pos="482"/>
                <w:tab w:val="left" w:pos="2183"/>
                <w:tab w:val="left" w:pos="3884"/>
                <w:tab w:val="left" w:pos="5585"/>
              </w:tabs>
              <w:snapToGrid w:val="0"/>
              <w:rPr>
                <w:rFonts w:ascii="宋体" w:hAnsi="宋体" w:cs="宋体"/>
                <w:lang w:val="zh-CN"/>
              </w:rPr>
            </w:pPr>
            <w:r>
              <w:rPr>
                <w:rFonts w:hint="eastAsia" w:ascii="宋体" w:hAnsi="宋体" w:cs="宋体"/>
                <w:b/>
                <w:bCs/>
              </w:rPr>
              <w:t>注：需提供中标通知书或合同加盖公章；如以上资料中的业绩规模和特征无法体现的，还应提供该项目的初步设计批复或项目业主的证明材料，否则该业绩证明不予认可。</w:t>
            </w:r>
          </w:p>
        </w:tc>
        <w:tc>
          <w:tcPr>
            <w:tcW w:w="1180" w:type="dxa"/>
            <w:vAlign w:val="center"/>
          </w:tcPr>
          <w:p w14:paraId="50CE6BCF">
            <w:pPr>
              <w:tabs>
                <w:tab w:val="left" w:pos="482"/>
                <w:tab w:val="left" w:pos="2183"/>
                <w:tab w:val="left" w:pos="3884"/>
                <w:tab w:val="left" w:pos="5585"/>
              </w:tabs>
              <w:snapToGrid w:val="0"/>
              <w:jc w:val="center"/>
              <w:rPr>
                <w:rFonts w:ascii="宋体" w:hAnsi="宋体" w:cs="宋体"/>
                <w:b/>
                <w:bCs/>
                <w:lang w:eastAsia="en-US"/>
              </w:rPr>
            </w:pPr>
            <w:r>
              <w:rPr>
                <w:rFonts w:hint="eastAsia" w:ascii="宋体" w:hAnsi="宋体" w:cs="宋体"/>
              </w:rPr>
              <w:t>客观分</w:t>
            </w:r>
          </w:p>
        </w:tc>
      </w:tr>
      <w:tr w14:paraId="316E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Align w:val="center"/>
          </w:tcPr>
          <w:p w14:paraId="2A5460DC">
            <w:pPr>
              <w:pStyle w:val="15"/>
              <w:snapToGrid w:val="0"/>
              <w:jc w:val="center"/>
              <w:rPr>
                <w:rFonts w:hAnsi="宋体" w:cs="宋体"/>
                <w:szCs w:val="22"/>
              </w:rPr>
            </w:pPr>
            <w:r>
              <w:rPr>
                <w:rFonts w:hAnsi="宋体" w:cs="宋体"/>
                <w:szCs w:val="22"/>
              </w:rPr>
              <w:t>6</w:t>
            </w:r>
          </w:p>
        </w:tc>
        <w:tc>
          <w:tcPr>
            <w:tcW w:w="1319" w:type="dxa"/>
            <w:vAlign w:val="center"/>
          </w:tcPr>
          <w:p w14:paraId="0214A1A8">
            <w:pPr>
              <w:tabs>
                <w:tab w:val="left" w:pos="482"/>
                <w:tab w:val="left" w:pos="2183"/>
                <w:tab w:val="left" w:pos="3884"/>
                <w:tab w:val="left" w:pos="5585"/>
              </w:tabs>
              <w:snapToGrid w:val="0"/>
              <w:jc w:val="center"/>
              <w:rPr>
                <w:rFonts w:ascii="宋体" w:hAnsi="宋体" w:cs="宋体"/>
              </w:rPr>
            </w:pPr>
            <w:r>
              <w:rPr>
                <w:rFonts w:ascii="宋体" w:hAnsi="宋体" w:cs="宋体"/>
              </w:rPr>
              <w:t>总体方案</w:t>
            </w:r>
          </w:p>
        </w:tc>
        <w:tc>
          <w:tcPr>
            <w:tcW w:w="1260" w:type="dxa"/>
            <w:vAlign w:val="center"/>
          </w:tcPr>
          <w:p w14:paraId="6C8A5350">
            <w:pPr>
              <w:tabs>
                <w:tab w:val="left" w:pos="482"/>
                <w:tab w:val="left" w:pos="2183"/>
                <w:tab w:val="left" w:pos="3884"/>
                <w:tab w:val="left" w:pos="5585"/>
              </w:tabs>
              <w:snapToGrid w:val="0"/>
              <w:jc w:val="center"/>
              <w:rPr>
                <w:rFonts w:ascii="宋体" w:hAnsi="宋体" w:cs="宋体"/>
              </w:rPr>
            </w:pPr>
            <w:r>
              <w:rPr>
                <w:rFonts w:hint="eastAsia" w:ascii="宋体" w:hAnsi="宋体" w:cs="宋体"/>
              </w:rPr>
              <w:t>0-</w:t>
            </w:r>
            <w:r>
              <w:rPr>
                <w:rFonts w:ascii="宋体" w:hAnsi="宋体" w:cs="宋体"/>
              </w:rPr>
              <w:t>10</w:t>
            </w:r>
            <w:r>
              <w:rPr>
                <w:rFonts w:hint="eastAsia" w:ascii="宋体" w:hAnsi="宋体" w:cs="宋体"/>
              </w:rPr>
              <w:t>分</w:t>
            </w:r>
          </w:p>
        </w:tc>
        <w:tc>
          <w:tcPr>
            <w:tcW w:w="5560" w:type="dxa"/>
            <w:vAlign w:val="center"/>
          </w:tcPr>
          <w:p w14:paraId="11AB277E">
            <w:pPr>
              <w:tabs>
                <w:tab w:val="left" w:pos="482"/>
                <w:tab w:val="left" w:pos="2183"/>
                <w:tab w:val="left" w:pos="3884"/>
                <w:tab w:val="left" w:pos="5585"/>
              </w:tabs>
              <w:snapToGrid w:val="0"/>
              <w:rPr>
                <w:rFonts w:ascii="宋体" w:hAnsi="宋体" w:cs="宋体"/>
              </w:rPr>
            </w:pPr>
            <w:r>
              <w:rPr>
                <w:rFonts w:hint="eastAsia" w:ascii="宋体" w:hAnsi="宋体" w:cs="宋体"/>
              </w:rPr>
              <w:t>针对项目工程监理、环境监理以及全工程咨询服务的总体方案，思路、方法和服务理念，充分考虑项目的特性等内容。</w:t>
            </w:r>
          </w:p>
          <w:p w14:paraId="6E16C7E4">
            <w:pPr>
              <w:pStyle w:val="2"/>
              <w:rPr>
                <w:rFonts w:cs="宋体"/>
                <w:b/>
                <w:bCs/>
                <w:sz w:val="22"/>
                <w:szCs w:val="22"/>
              </w:rPr>
            </w:pPr>
            <w:r>
              <w:rPr>
                <w:rFonts w:hint="eastAsia" w:cs="宋体"/>
                <w:b/>
                <w:bCs/>
                <w:sz w:val="22"/>
                <w:szCs w:val="22"/>
                <w:lang w:eastAsia="zh-CN"/>
              </w:rPr>
              <w:t>总体方案能满足项目需求的得</w:t>
            </w:r>
            <w:r>
              <w:rPr>
                <w:rFonts w:cs="宋体"/>
                <w:b/>
                <w:bCs/>
                <w:sz w:val="22"/>
                <w:szCs w:val="22"/>
                <w:lang w:eastAsia="zh-CN"/>
              </w:rPr>
              <w:t>10</w:t>
            </w:r>
            <w:r>
              <w:rPr>
                <w:rFonts w:hint="eastAsia" w:cs="宋体"/>
                <w:b/>
                <w:bCs/>
                <w:sz w:val="22"/>
                <w:szCs w:val="22"/>
                <w:lang w:eastAsia="zh-CN"/>
              </w:rPr>
              <w:t>-7分，方案基本满足项目需求的得</w:t>
            </w:r>
            <w:r>
              <w:rPr>
                <w:rFonts w:cs="宋体"/>
                <w:b/>
                <w:bCs/>
                <w:sz w:val="22"/>
                <w:szCs w:val="22"/>
                <w:lang w:eastAsia="zh-CN"/>
              </w:rPr>
              <w:t>7</w:t>
            </w:r>
            <w:r>
              <w:rPr>
                <w:rFonts w:hint="eastAsia" w:cs="宋体"/>
                <w:b/>
                <w:bCs/>
                <w:sz w:val="22"/>
                <w:szCs w:val="22"/>
                <w:lang w:eastAsia="zh-CN"/>
              </w:rPr>
              <w:t>-5分，方案部分满足项目需求且有缺点的得</w:t>
            </w:r>
            <w:r>
              <w:rPr>
                <w:rFonts w:cs="宋体"/>
                <w:b/>
                <w:bCs/>
                <w:sz w:val="22"/>
                <w:szCs w:val="22"/>
                <w:lang w:eastAsia="zh-CN"/>
              </w:rPr>
              <w:t>5</w:t>
            </w:r>
            <w:r>
              <w:rPr>
                <w:rFonts w:hint="eastAsia" w:cs="宋体"/>
                <w:b/>
                <w:bCs/>
                <w:sz w:val="22"/>
                <w:szCs w:val="22"/>
                <w:lang w:eastAsia="zh-CN"/>
              </w:rPr>
              <w:t>-3分，方案简略或无法满足项目需求的得</w:t>
            </w:r>
            <w:r>
              <w:rPr>
                <w:rFonts w:cs="宋体"/>
                <w:b/>
                <w:bCs/>
                <w:sz w:val="22"/>
                <w:szCs w:val="22"/>
                <w:lang w:eastAsia="zh-CN"/>
              </w:rPr>
              <w:t>3</w:t>
            </w:r>
            <w:r>
              <w:rPr>
                <w:rFonts w:hint="eastAsia" w:cs="宋体"/>
                <w:b/>
                <w:bCs/>
                <w:sz w:val="22"/>
                <w:szCs w:val="22"/>
                <w:lang w:eastAsia="zh-CN"/>
              </w:rPr>
              <w:t>-0分。</w:t>
            </w:r>
            <w:r>
              <w:rPr>
                <w:rFonts w:hint="eastAsia" w:cs="宋体"/>
                <w:b/>
                <w:bCs/>
                <w:sz w:val="22"/>
                <w:szCs w:val="22"/>
              </w:rPr>
              <w:t>未提供的不得分。</w:t>
            </w:r>
          </w:p>
        </w:tc>
        <w:tc>
          <w:tcPr>
            <w:tcW w:w="1180" w:type="dxa"/>
            <w:vAlign w:val="center"/>
          </w:tcPr>
          <w:p w14:paraId="7AFF5BBA">
            <w:pPr>
              <w:tabs>
                <w:tab w:val="left" w:pos="482"/>
                <w:tab w:val="left" w:pos="2183"/>
                <w:tab w:val="left" w:pos="3884"/>
                <w:tab w:val="left" w:pos="5585"/>
              </w:tabs>
              <w:snapToGrid w:val="0"/>
              <w:jc w:val="center"/>
              <w:rPr>
                <w:rFonts w:ascii="宋体" w:hAnsi="宋体" w:cs="宋体"/>
              </w:rPr>
            </w:pPr>
            <w:r>
              <w:rPr>
                <w:rFonts w:hint="eastAsia" w:ascii="宋体" w:hAnsi="宋体" w:cs="宋体"/>
              </w:rPr>
              <w:t>主观分</w:t>
            </w:r>
          </w:p>
        </w:tc>
      </w:tr>
      <w:tr w14:paraId="6C14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Align w:val="center"/>
          </w:tcPr>
          <w:p w14:paraId="07F8F19C">
            <w:pPr>
              <w:pStyle w:val="15"/>
              <w:snapToGrid w:val="0"/>
              <w:jc w:val="center"/>
              <w:rPr>
                <w:rFonts w:hAnsi="宋体" w:cs="宋体"/>
                <w:szCs w:val="22"/>
              </w:rPr>
            </w:pPr>
            <w:r>
              <w:rPr>
                <w:rFonts w:hint="eastAsia" w:hAnsi="宋体" w:cs="宋体"/>
                <w:szCs w:val="22"/>
              </w:rPr>
              <w:t>7</w:t>
            </w:r>
          </w:p>
        </w:tc>
        <w:tc>
          <w:tcPr>
            <w:tcW w:w="1319" w:type="dxa"/>
            <w:vAlign w:val="center"/>
          </w:tcPr>
          <w:p w14:paraId="7459B274">
            <w:pPr>
              <w:tabs>
                <w:tab w:val="left" w:pos="482"/>
                <w:tab w:val="left" w:pos="2183"/>
                <w:tab w:val="left" w:pos="3884"/>
                <w:tab w:val="left" w:pos="5585"/>
              </w:tabs>
              <w:snapToGrid w:val="0"/>
              <w:jc w:val="center"/>
              <w:rPr>
                <w:rFonts w:ascii="宋体" w:hAnsi="宋体" w:cs="宋体"/>
              </w:rPr>
            </w:pPr>
            <w:r>
              <w:rPr>
                <w:rFonts w:hint="eastAsia" w:ascii="宋体" w:hAnsi="宋体" w:cs="宋体"/>
              </w:rPr>
              <w:t>成果</w:t>
            </w:r>
          </w:p>
        </w:tc>
        <w:tc>
          <w:tcPr>
            <w:tcW w:w="1260" w:type="dxa"/>
            <w:vAlign w:val="center"/>
          </w:tcPr>
          <w:p w14:paraId="3020029B">
            <w:pPr>
              <w:tabs>
                <w:tab w:val="left" w:pos="482"/>
                <w:tab w:val="left" w:pos="2183"/>
                <w:tab w:val="left" w:pos="3884"/>
                <w:tab w:val="left" w:pos="5585"/>
              </w:tabs>
              <w:snapToGrid w:val="0"/>
              <w:jc w:val="center"/>
              <w:rPr>
                <w:rFonts w:ascii="宋体" w:hAnsi="宋体" w:cs="宋体"/>
              </w:rPr>
            </w:pPr>
            <w:r>
              <w:rPr>
                <w:rFonts w:ascii="宋体" w:hAnsi="宋体" w:cs="宋体"/>
                <w:bCs/>
              </w:rPr>
              <w:t>0-</w:t>
            </w:r>
            <w:r>
              <w:rPr>
                <w:rFonts w:hint="eastAsia" w:ascii="宋体" w:hAnsi="宋体" w:cs="宋体"/>
              </w:rPr>
              <w:t>10</w:t>
            </w:r>
            <w:r>
              <w:rPr>
                <w:rFonts w:hint="eastAsia" w:ascii="宋体" w:hAnsi="宋体" w:cs="宋体"/>
                <w:bCs/>
              </w:rPr>
              <w:t>分</w:t>
            </w:r>
          </w:p>
        </w:tc>
        <w:tc>
          <w:tcPr>
            <w:tcW w:w="5560" w:type="dxa"/>
            <w:vAlign w:val="center"/>
          </w:tcPr>
          <w:p w14:paraId="5710AE87">
            <w:pPr>
              <w:tabs>
                <w:tab w:val="left" w:pos="482"/>
                <w:tab w:val="left" w:pos="2183"/>
                <w:tab w:val="left" w:pos="3884"/>
                <w:tab w:val="left" w:pos="5585"/>
              </w:tabs>
              <w:snapToGrid w:val="0"/>
              <w:rPr>
                <w:rFonts w:ascii="宋体" w:hAnsi="宋体" w:cs="宋体"/>
              </w:rPr>
            </w:pPr>
            <w:r>
              <w:rPr>
                <w:rFonts w:hint="eastAsia" w:ascii="宋体" w:hAnsi="宋体" w:cs="宋体"/>
              </w:rPr>
              <w:t>根据投标人提供的编制成果构成情况进行综合评分</w:t>
            </w:r>
          </w:p>
          <w:p w14:paraId="3604500E">
            <w:pPr>
              <w:tabs>
                <w:tab w:val="left" w:pos="482"/>
                <w:tab w:val="left" w:pos="2183"/>
                <w:tab w:val="left" w:pos="3884"/>
                <w:tab w:val="left" w:pos="5585"/>
              </w:tabs>
              <w:snapToGrid w:val="0"/>
              <w:rPr>
                <w:rFonts w:ascii="宋体" w:hAnsi="宋体" w:cs="宋体"/>
                <w:b/>
                <w:bCs/>
              </w:rPr>
            </w:pPr>
            <w:r>
              <w:rPr>
                <w:rFonts w:hint="eastAsia" w:ascii="宋体" w:hAnsi="宋体" w:cs="宋体"/>
                <w:b/>
                <w:bCs/>
              </w:rPr>
              <w:t>编制构架清晰，成果涉及内容完整全面得10-7分，基本满足项目需求的得7-5分，部分满足项目需求且有缺点的得5-3分，简略或无法满足项目需求的得3-0分。</w:t>
            </w:r>
            <w:r>
              <w:rPr>
                <w:rFonts w:hint="eastAsia" w:ascii="宋体" w:hAnsi="宋体" w:cs="宋体"/>
                <w:b/>
                <w:bCs/>
                <w:lang w:eastAsia="en-US"/>
              </w:rPr>
              <w:t>未提供的不得分。</w:t>
            </w:r>
          </w:p>
        </w:tc>
        <w:tc>
          <w:tcPr>
            <w:tcW w:w="1180" w:type="dxa"/>
            <w:vAlign w:val="center"/>
          </w:tcPr>
          <w:p w14:paraId="5E7FE8D9">
            <w:pPr>
              <w:tabs>
                <w:tab w:val="left" w:pos="482"/>
                <w:tab w:val="left" w:pos="2183"/>
                <w:tab w:val="left" w:pos="3884"/>
                <w:tab w:val="left" w:pos="5585"/>
              </w:tabs>
              <w:snapToGrid w:val="0"/>
              <w:jc w:val="center"/>
              <w:rPr>
                <w:rFonts w:ascii="宋体" w:hAnsi="宋体" w:cs="宋体"/>
              </w:rPr>
            </w:pPr>
            <w:r>
              <w:rPr>
                <w:rFonts w:hint="eastAsia" w:ascii="宋体" w:hAnsi="宋体" w:cs="宋体"/>
              </w:rPr>
              <w:t>主观分</w:t>
            </w:r>
          </w:p>
        </w:tc>
      </w:tr>
      <w:tr w14:paraId="4728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95" w:type="dxa"/>
            <w:vAlign w:val="center"/>
          </w:tcPr>
          <w:p w14:paraId="729AE001">
            <w:pPr>
              <w:pStyle w:val="15"/>
              <w:snapToGrid w:val="0"/>
              <w:jc w:val="center"/>
              <w:rPr>
                <w:rFonts w:hAnsi="宋体" w:cs="宋体"/>
                <w:szCs w:val="22"/>
              </w:rPr>
            </w:pPr>
            <w:r>
              <w:rPr>
                <w:rFonts w:hAnsi="宋体" w:cs="宋体"/>
                <w:szCs w:val="22"/>
              </w:rPr>
              <w:t>8</w:t>
            </w:r>
          </w:p>
        </w:tc>
        <w:tc>
          <w:tcPr>
            <w:tcW w:w="1319" w:type="dxa"/>
            <w:vAlign w:val="center"/>
          </w:tcPr>
          <w:p w14:paraId="3A906BBE">
            <w:pPr>
              <w:tabs>
                <w:tab w:val="left" w:pos="482"/>
                <w:tab w:val="left" w:pos="2183"/>
                <w:tab w:val="left" w:pos="3884"/>
                <w:tab w:val="left" w:pos="5585"/>
              </w:tabs>
              <w:snapToGrid w:val="0"/>
              <w:jc w:val="center"/>
              <w:rPr>
                <w:rFonts w:ascii="宋体" w:hAnsi="宋体" w:cs="宋体"/>
              </w:rPr>
            </w:pPr>
            <w:r>
              <w:rPr>
                <w:rFonts w:hint="eastAsia" w:ascii="宋体" w:hAnsi="宋体" w:cs="宋体"/>
              </w:rPr>
              <w:t>重点难点分析</w:t>
            </w:r>
          </w:p>
        </w:tc>
        <w:tc>
          <w:tcPr>
            <w:tcW w:w="1260" w:type="dxa"/>
            <w:vAlign w:val="center"/>
          </w:tcPr>
          <w:p w14:paraId="518228B8">
            <w:pPr>
              <w:tabs>
                <w:tab w:val="left" w:pos="482"/>
                <w:tab w:val="left" w:pos="2183"/>
                <w:tab w:val="left" w:pos="3884"/>
                <w:tab w:val="left" w:pos="5585"/>
              </w:tabs>
              <w:snapToGrid w:val="0"/>
              <w:jc w:val="center"/>
              <w:rPr>
                <w:rFonts w:ascii="宋体" w:hAnsi="宋体" w:cs="宋体"/>
              </w:rPr>
            </w:pPr>
            <w:r>
              <w:rPr>
                <w:rFonts w:hint="eastAsia" w:ascii="宋体" w:hAnsi="宋体" w:cs="宋体"/>
              </w:rPr>
              <w:t>0-10分</w:t>
            </w:r>
          </w:p>
        </w:tc>
        <w:tc>
          <w:tcPr>
            <w:tcW w:w="5560" w:type="dxa"/>
            <w:vAlign w:val="center"/>
          </w:tcPr>
          <w:p w14:paraId="09610CBD">
            <w:pPr>
              <w:tabs>
                <w:tab w:val="left" w:pos="482"/>
                <w:tab w:val="left" w:pos="2183"/>
                <w:tab w:val="left" w:pos="3884"/>
                <w:tab w:val="left" w:pos="5585"/>
              </w:tabs>
              <w:snapToGrid w:val="0"/>
              <w:rPr>
                <w:rFonts w:ascii="宋体" w:hAnsi="宋体" w:cs="宋体"/>
              </w:rPr>
            </w:pPr>
            <w:r>
              <w:rPr>
                <w:rFonts w:hint="eastAsia" w:ascii="宋体" w:hAnsi="宋体" w:cs="宋体"/>
              </w:rPr>
              <w:t>针对本项目工程特征阐述重点难点及采取的措施等情况由评委会打分。</w:t>
            </w:r>
          </w:p>
          <w:p w14:paraId="6B3265BB">
            <w:pPr>
              <w:tabs>
                <w:tab w:val="left" w:pos="482"/>
                <w:tab w:val="left" w:pos="2183"/>
                <w:tab w:val="left" w:pos="3884"/>
                <w:tab w:val="left" w:pos="5585"/>
              </w:tabs>
              <w:snapToGrid w:val="0"/>
              <w:rPr>
                <w:rFonts w:ascii="宋体" w:hAnsi="宋体" w:cs="宋体"/>
              </w:rPr>
            </w:pPr>
            <w:r>
              <w:rPr>
                <w:rFonts w:hint="eastAsia" w:ascii="宋体" w:hAnsi="宋体" w:cs="宋体"/>
                <w:b/>
                <w:bCs/>
              </w:rPr>
              <w:t>重点难点及措施分析到位，能满足项目需求的得10-7分，方案基本满足项目需求的得7-5分，部分满足项目需求且有缺点的得5-3分，简略或无法满足项目需求的得3-0分。</w:t>
            </w:r>
            <w:r>
              <w:rPr>
                <w:rFonts w:hint="eastAsia" w:ascii="宋体" w:hAnsi="宋体" w:cs="宋体"/>
                <w:b/>
                <w:bCs/>
                <w:lang w:eastAsia="en-US"/>
              </w:rPr>
              <w:t>未提供的不得分。</w:t>
            </w:r>
          </w:p>
        </w:tc>
        <w:tc>
          <w:tcPr>
            <w:tcW w:w="1180" w:type="dxa"/>
            <w:vAlign w:val="center"/>
          </w:tcPr>
          <w:p w14:paraId="0775A42F">
            <w:pPr>
              <w:tabs>
                <w:tab w:val="left" w:pos="482"/>
                <w:tab w:val="left" w:pos="2183"/>
                <w:tab w:val="left" w:pos="3884"/>
                <w:tab w:val="left" w:pos="5585"/>
              </w:tabs>
              <w:snapToGrid w:val="0"/>
              <w:jc w:val="center"/>
              <w:rPr>
                <w:rFonts w:ascii="宋体" w:hAnsi="宋体" w:cs="宋体"/>
              </w:rPr>
            </w:pPr>
            <w:r>
              <w:rPr>
                <w:rFonts w:hint="eastAsia" w:ascii="宋体" w:hAnsi="宋体" w:cs="宋体"/>
              </w:rPr>
              <w:t>主观分</w:t>
            </w:r>
          </w:p>
        </w:tc>
      </w:tr>
      <w:tr w14:paraId="62B4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5" w:type="dxa"/>
            <w:vAlign w:val="center"/>
          </w:tcPr>
          <w:p w14:paraId="700247C1">
            <w:pPr>
              <w:pStyle w:val="15"/>
              <w:snapToGrid w:val="0"/>
              <w:jc w:val="center"/>
              <w:rPr>
                <w:rFonts w:hAnsi="宋体" w:cs="宋体"/>
                <w:szCs w:val="22"/>
              </w:rPr>
            </w:pPr>
            <w:r>
              <w:rPr>
                <w:rFonts w:hAnsi="宋体" w:cs="宋体"/>
                <w:szCs w:val="22"/>
              </w:rPr>
              <w:t>9</w:t>
            </w:r>
          </w:p>
        </w:tc>
        <w:tc>
          <w:tcPr>
            <w:tcW w:w="1319" w:type="dxa"/>
            <w:vAlign w:val="center"/>
          </w:tcPr>
          <w:p w14:paraId="2287B7C4">
            <w:pPr>
              <w:tabs>
                <w:tab w:val="left" w:pos="482"/>
                <w:tab w:val="left" w:pos="2183"/>
                <w:tab w:val="left" w:pos="3884"/>
                <w:tab w:val="left" w:pos="5585"/>
              </w:tabs>
              <w:snapToGrid w:val="0"/>
              <w:jc w:val="center"/>
              <w:rPr>
                <w:rFonts w:ascii="宋体" w:hAnsi="宋体" w:cs="宋体"/>
              </w:rPr>
            </w:pPr>
            <w:r>
              <w:rPr>
                <w:rFonts w:hint="eastAsia" w:ascii="宋体" w:hAnsi="宋体" w:cs="宋体"/>
              </w:rPr>
              <w:t>质量保证措施</w:t>
            </w:r>
          </w:p>
        </w:tc>
        <w:tc>
          <w:tcPr>
            <w:tcW w:w="1260" w:type="dxa"/>
            <w:vAlign w:val="center"/>
          </w:tcPr>
          <w:p w14:paraId="4BA1AF65">
            <w:pPr>
              <w:tabs>
                <w:tab w:val="left" w:pos="482"/>
                <w:tab w:val="left" w:pos="2183"/>
                <w:tab w:val="left" w:pos="3884"/>
                <w:tab w:val="left" w:pos="5585"/>
              </w:tabs>
              <w:snapToGrid w:val="0"/>
              <w:jc w:val="center"/>
              <w:rPr>
                <w:rFonts w:ascii="宋体" w:hAnsi="宋体" w:cs="宋体"/>
              </w:rPr>
            </w:pPr>
            <w:r>
              <w:rPr>
                <w:rFonts w:hint="eastAsia" w:ascii="宋体" w:hAnsi="宋体" w:cs="宋体"/>
              </w:rPr>
              <w:t>0-10分</w:t>
            </w:r>
          </w:p>
        </w:tc>
        <w:tc>
          <w:tcPr>
            <w:tcW w:w="5560" w:type="dxa"/>
          </w:tcPr>
          <w:p w14:paraId="14D2A3B0">
            <w:pPr>
              <w:tabs>
                <w:tab w:val="left" w:pos="482"/>
                <w:tab w:val="left" w:pos="2183"/>
                <w:tab w:val="left" w:pos="3884"/>
                <w:tab w:val="left" w:pos="5585"/>
              </w:tabs>
              <w:snapToGrid w:val="0"/>
              <w:rPr>
                <w:rFonts w:ascii="宋体" w:hAnsi="宋体" w:cs="宋体"/>
              </w:rPr>
            </w:pPr>
            <w:r>
              <w:rPr>
                <w:rFonts w:hint="eastAsia" w:ascii="宋体" w:hAnsi="宋体" w:cs="宋体"/>
              </w:rPr>
              <w:t>成果编制质量保证措施等情况由评委会打分；</w:t>
            </w:r>
          </w:p>
          <w:p w14:paraId="6FDE6349">
            <w:pPr>
              <w:tabs>
                <w:tab w:val="left" w:pos="482"/>
                <w:tab w:val="left" w:pos="2183"/>
                <w:tab w:val="left" w:pos="3884"/>
                <w:tab w:val="left" w:pos="5585"/>
              </w:tabs>
              <w:snapToGrid w:val="0"/>
              <w:rPr>
                <w:rFonts w:ascii="宋体" w:hAnsi="宋体" w:cs="宋体"/>
              </w:rPr>
            </w:pPr>
            <w:r>
              <w:rPr>
                <w:rFonts w:hint="eastAsia" w:ascii="宋体" w:hAnsi="宋体" w:cs="宋体"/>
                <w:b/>
                <w:bCs/>
              </w:rPr>
              <w:t>措施内容全面能满足项目需求的得10-7分，基本满足项目需求的得7-5分，部分满足项目需求且有缺点的得5-3分，简略或无法满足项目需求的得3-0分。</w:t>
            </w:r>
            <w:r>
              <w:rPr>
                <w:rFonts w:hint="eastAsia" w:ascii="宋体" w:hAnsi="宋体" w:cs="宋体"/>
                <w:b/>
                <w:bCs/>
                <w:lang w:eastAsia="en-US"/>
              </w:rPr>
              <w:t>未提供的不得分。</w:t>
            </w:r>
          </w:p>
        </w:tc>
        <w:tc>
          <w:tcPr>
            <w:tcW w:w="1180" w:type="dxa"/>
            <w:vAlign w:val="center"/>
          </w:tcPr>
          <w:p w14:paraId="4193EB3E">
            <w:pPr>
              <w:tabs>
                <w:tab w:val="left" w:pos="482"/>
                <w:tab w:val="left" w:pos="2183"/>
                <w:tab w:val="left" w:pos="3884"/>
                <w:tab w:val="left" w:pos="5585"/>
              </w:tabs>
              <w:snapToGrid w:val="0"/>
              <w:jc w:val="center"/>
              <w:rPr>
                <w:rFonts w:ascii="宋体" w:hAnsi="宋体" w:cs="宋体"/>
                <w:b/>
                <w:bCs/>
              </w:rPr>
            </w:pPr>
            <w:r>
              <w:rPr>
                <w:rFonts w:hint="eastAsia" w:ascii="宋体" w:hAnsi="宋体" w:cs="宋体"/>
              </w:rPr>
              <w:t>主观分</w:t>
            </w:r>
          </w:p>
        </w:tc>
      </w:tr>
      <w:tr w14:paraId="7D1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5" w:type="dxa"/>
            <w:vAlign w:val="center"/>
          </w:tcPr>
          <w:p w14:paraId="440342BB">
            <w:pPr>
              <w:pStyle w:val="15"/>
              <w:snapToGrid w:val="0"/>
              <w:jc w:val="center"/>
              <w:rPr>
                <w:rFonts w:hAnsi="宋体" w:cs="宋体"/>
                <w:szCs w:val="22"/>
              </w:rPr>
            </w:pPr>
            <w:r>
              <w:rPr>
                <w:rFonts w:hint="eastAsia" w:hAnsi="宋体" w:cs="宋体"/>
                <w:szCs w:val="22"/>
              </w:rPr>
              <w:t>10</w:t>
            </w:r>
          </w:p>
        </w:tc>
        <w:tc>
          <w:tcPr>
            <w:tcW w:w="1319" w:type="dxa"/>
            <w:vAlign w:val="center"/>
          </w:tcPr>
          <w:p w14:paraId="4C23D786">
            <w:pPr>
              <w:tabs>
                <w:tab w:val="left" w:pos="482"/>
                <w:tab w:val="left" w:pos="2183"/>
                <w:tab w:val="left" w:pos="3884"/>
                <w:tab w:val="left" w:pos="5585"/>
              </w:tabs>
              <w:snapToGrid w:val="0"/>
              <w:jc w:val="center"/>
              <w:rPr>
                <w:rFonts w:ascii="宋体" w:hAnsi="宋体" w:cs="宋体"/>
              </w:rPr>
            </w:pPr>
            <w:r>
              <w:rPr>
                <w:rFonts w:hint="eastAsia" w:ascii="宋体" w:hAnsi="宋体" w:cs="宋体"/>
              </w:rPr>
              <w:t>工作人员工作守则及廉政措施</w:t>
            </w:r>
          </w:p>
        </w:tc>
        <w:tc>
          <w:tcPr>
            <w:tcW w:w="1260" w:type="dxa"/>
            <w:vAlign w:val="center"/>
          </w:tcPr>
          <w:p w14:paraId="1610167C">
            <w:pPr>
              <w:tabs>
                <w:tab w:val="left" w:pos="482"/>
                <w:tab w:val="left" w:pos="2183"/>
                <w:tab w:val="left" w:pos="3884"/>
                <w:tab w:val="left" w:pos="5585"/>
              </w:tabs>
              <w:snapToGrid w:val="0"/>
              <w:jc w:val="center"/>
              <w:rPr>
                <w:rFonts w:ascii="宋体" w:hAnsi="宋体" w:cs="宋体"/>
              </w:rPr>
            </w:pPr>
            <w:r>
              <w:rPr>
                <w:rFonts w:hint="eastAsia" w:ascii="宋体" w:hAnsi="宋体" w:cs="宋体"/>
              </w:rPr>
              <w:t>0-</w:t>
            </w:r>
            <w:r>
              <w:rPr>
                <w:rFonts w:ascii="宋体" w:hAnsi="宋体" w:cs="宋体"/>
              </w:rPr>
              <w:t>5</w:t>
            </w:r>
            <w:r>
              <w:rPr>
                <w:rFonts w:hint="eastAsia" w:ascii="宋体" w:hAnsi="宋体" w:cs="宋体"/>
              </w:rPr>
              <w:t>分</w:t>
            </w:r>
          </w:p>
        </w:tc>
        <w:tc>
          <w:tcPr>
            <w:tcW w:w="5560" w:type="dxa"/>
          </w:tcPr>
          <w:p w14:paraId="023B4E9E">
            <w:pPr>
              <w:tabs>
                <w:tab w:val="left" w:pos="482"/>
                <w:tab w:val="left" w:pos="2183"/>
                <w:tab w:val="left" w:pos="3884"/>
                <w:tab w:val="left" w:pos="5585"/>
              </w:tabs>
              <w:snapToGrid w:val="0"/>
              <w:rPr>
                <w:rFonts w:ascii="宋体" w:hAnsi="宋体" w:cs="宋体"/>
              </w:rPr>
            </w:pPr>
            <w:r>
              <w:rPr>
                <w:rFonts w:hint="eastAsia" w:ascii="宋体" w:hAnsi="宋体" w:cs="宋体"/>
              </w:rPr>
              <w:t>根据投标人针对工作人员工作守则及廉政措施进行打分：</w:t>
            </w:r>
          </w:p>
          <w:p w14:paraId="3843C663">
            <w:pPr>
              <w:tabs>
                <w:tab w:val="left" w:pos="482"/>
                <w:tab w:val="left" w:pos="2183"/>
                <w:tab w:val="left" w:pos="3884"/>
                <w:tab w:val="left" w:pos="5585"/>
              </w:tabs>
              <w:snapToGrid w:val="0"/>
              <w:rPr>
                <w:rFonts w:ascii="宋体" w:hAnsi="宋体" w:cs="宋体"/>
              </w:rPr>
            </w:pPr>
            <w:r>
              <w:rPr>
                <w:rFonts w:hint="eastAsia" w:ascii="宋体" w:hAnsi="宋体" w:cs="宋体"/>
                <w:b/>
                <w:bCs/>
                <w:lang w:eastAsia="en-US"/>
              </w:rPr>
              <w:t>措施全面、清晰、合理的得5</w:t>
            </w:r>
            <w:r>
              <w:rPr>
                <w:rFonts w:hint="eastAsia" w:ascii="宋体" w:hAnsi="宋体" w:cs="宋体"/>
                <w:b/>
                <w:bCs/>
              </w:rPr>
              <w:t>-3</w:t>
            </w:r>
            <w:r>
              <w:rPr>
                <w:rFonts w:hint="eastAsia" w:ascii="宋体" w:hAnsi="宋体" w:cs="宋体"/>
                <w:b/>
                <w:bCs/>
                <w:lang w:eastAsia="en-US"/>
              </w:rPr>
              <w:t>分，措施基本全面、清晰、合理的得3</w:t>
            </w:r>
            <w:r>
              <w:rPr>
                <w:rFonts w:hint="eastAsia" w:ascii="宋体" w:hAnsi="宋体" w:cs="宋体"/>
                <w:b/>
                <w:bCs/>
              </w:rPr>
              <w:t>-1</w:t>
            </w:r>
            <w:r>
              <w:rPr>
                <w:rFonts w:hint="eastAsia" w:ascii="宋体" w:hAnsi="宋体" w:cs="宋体"/>
                <w:b/>
                <w:bCs/>
                <w:lang w:eastAsia="en-US"/>
              </w:rPr>
              <w:t>分，措施有所欠缺的得1</w:t>
            </w:r>
            <w:r>
              <w:rPr>
                <w:rFonts w:hint="eastAsia" w:ascii="宋体" w:hAnsi="宋体" w:cs="宋体"/>
                <w:b/>
                <w:bCs/>
              </w:rPr>
              <w:t>-0</w:t>
            </w:r>
            <w:r>
              <w:rPr>
                <w:rFonts w:hint="eastAsia" w:ascii="宋体" w:hAnsi="宋体" w:cs="宋体"/>
                <w:b/>
                <w:bCs/>
                <w:lang w:eastAsia="en-US"/>
              </w:rPr>
              <w:t>分。未提供的不得分。</w:t>
            </w:r>
          </w:p>
        </w:tc>
        <w:tc>
          <w:tcPr>
            <w:tcW w:w="1180" w:type="dxa"/>
            <w:vAlign w:val="center"/>
          </w:tcPr>
          <w:p w14:paraId="1B1E8648">
            <w:pPr>
              <w:tabs>
                <w:tab w:val="left" w:pos="482"/>
                <w:tab w:val="left" w:pos="2183"/>
                <w:tab w:val="left" w:pos="3884"/>
                <w:tab w:val="left" w:pos="5585"/>
              </w:tabs>
              <w:snapToGrid w:val="0"/>
              <w:jc w:val="center"/>
              <w:rPr>
                <w:rFonts w:ascii="宋体" w:hAnsi="宋体" w:cs="宋体"/>
                <w:b/>
                <w:bCs/>
              </w:rPr>
            </w:pPr>
            <w:r>
              <w:rPr>
                <w:rFonts w:hint="eastAsia" w:ascii="宋体" w:hAnsi="宋体" w:cs="宋体"/>
              </w:rPr>
              <w:t>主观分</w:t>
            </w:r>
          </w:p>
        </w:tc>
      </w:tr>
      <w:tr w14:paraId="27D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95" w:type="dxa"/>
            <w:vAlign w:val="center"/>
          </w:tcPr>
          <w:p w14:paraId="3F26203F">
            <w:pPr>
              <w:pStyle w:val="15"/>
              <w:snapToGrid w:val="0"/>
              <w:jc w:val="center"/>
              <w:rPr>
                <w:rFonts w:hAnsi="宋体" w:cs="宋体"/>
                <w:szCs w:val="22"/>
              </w:rPr>
            </w:pPr>
            <w:r>
              <w:rPr>
                <w:rFonts w:hint="eastAsia" w:hAnsi="宋体" w:cs="宋体"/>
                <w:szCs w:val="22"/>
              </w:rPr>
              <w:t>1</w:t>
            </w:r>
            <w:r>
              <w:rPr>
                <w:rFonts w:hAnsi="宋体" w:cs="宋体"/>
                <w:szCs w:val="22"/>
              </w:rPr>
              <w:t>1</w:t>
            </w:r>
          </w:p>
        </w:tc>
        <w:tc>
          <w:tcPr>
            <w:tcW w:w="1319" w:type="dxa"/>
            <w:vAlign w:val="center"/>
          </w:tcPr>
          <w:p w14:paraId="34AFDD8A">
            <w:pPr>
              <w:tabs>
                <w:tab w:val="left" w:pos="482"/>
                <w:tab w:val="left" w:pos="2183"/>
                <w:tab w:val="left" w:pos="3884"/>
                <w:tab w:val="left" w:pos="5585"/>
              </w:tabs>
              <w:snapToGrid w:val="0"/>
              <w:jc w:val="center"/>
              <w:rPr>
                <w:rFonts w:hint="eastAsia" w:ascii="宋体" w:hAnsi="宋体" w:eastAsia="宋体" w:cs="宋体"/>
                <w:lang w:eastAsia="zh-CN"/>
              </w:rPr>
            </w:pPr>
            <w:r>
              <w:rPr>
                <w:rFonts w:hint="eastAsia" w:ascii="宋体" w:hAnsi="宋体" w:cs="宋体"/>
                <w:color w:val="FFC000"/>
                <w:lang w:eastAsia="zh-CN"/>
              </w:rPr>
              <w:t>服务响应承诺</w:t>
            </w:r>
          </w:p>
        </w:tc>
        <w:tc>
          <w:tcPr>
            <w:tcW w:w="1260" w:type="dxa"/>
            <w:vAlign w:val="center"/>
          </w:tcPr>
          <w:p w14:paraId="59D2CA01">
            <w:pPr>
              <w:tabs>
                <w:tab w:val="left" w:pos="482"/>
                <w:tab w:val="left" w:pos="2183"/>
                <w:tab w:val="left" w:pos="3884"/>
                <w:tab w:val="left" w:pos="5585"/>
              </w:tabs>
              <w:snapToGrid w:val="0"/>
              <w:jc w:val="center"/>
              <w:rPr>
                <w:rFonts w:ascii="宋体" w:hAnsi="宋体" w:cs="宋体"/>
              </w:rPr>
            </w:pPr>
            <w:r>
              <w:rPr>
                <w:rFonts w:ascii="宋体" w:hAnsi="宋体" w:cs="宋体"/>
              </w:rPr>
              <w:t>0-5</w:t>
            </w:r>
            <w:r>
              <w:rPr>
                <w:rFonts w:hint="eastAsia" w:ascii="宋体" w:hAnsi="宋体" w:cs="宋体"/>
              </w:rPr>
              <w:t>分</w:t>
            </w:r>
          </w:p>
        </w:tc>
        <w:tc>
          <w:tcPr>
            <w:tcW w:w="5560" w:type="dxa"/>
          </w:tcPr>
          <w:p w14:paraId="069C5E29">
            <w:pPr>
              <w:textAlignment w:val="center"/>
              <w:rPr>
                <w:rFonts w:ascii="宋体" w:hAnsi="宋体" w:cs="宋体"/>
              </w:rPr>
            </w:pPr>
            <w:r>
              <w:rPr>
                <w:rFonts w:hint="eastAsia" w:ascii="宋体" w:hAnsi="宋体" w:cs="宋体"/>
              </w:rPr>
              <w:t>1、根据投标人的服务响应时间等情况进行评分：</w:t>
            </w:r>
          </w:p>
          <w:p w14:paraId="37D4FD8C">
            <w:pPr>
              <w:pStyle w:val="27"/>
              <w:spacing w:line="240" w:lineRule="auto"/>
              <w:ind w:firstLine="0" w:firstLineChars="0"/>
              <w:rPr>
                <w:rFonts w:ascii="宋体" w:hAnsi="宋体" w:eastAsia="宋体" w:cs="宋体"/>
                <w:sz w:val="22"/>
              </w:rPr>
            </w:pPr>
            <w:r>
              <w:rPr>
                <w:rFonts w:hint="eastAsia" w:ascii="宋体" w:hAnsi="宋体" w:eastAsia="宋体" w:cs="宋体"/>
                <w:sz w:val="22"/>
              </w:rPr>
              <w:t>在1小时内（含）到达现场且可行的得</w:t>
            </w:r>
            <w:r>
              <w:rPr>
                <w:rFonts w:ascii="宋体" w:hAnsi="宋体" w:eastAsia="宋体" w:cs="宋体"/>
                <w:sz w:val="22"/>
              </w:rPr>
              <w:t>5</w:t>
            </w:r>
            <w:r>
              <w:rPr>
                <w:rFonts w:hint="eastAsia" w:ascii="宋体" w:hAnsi="宋体" w:eastAsia="宋体" w:cs="宋体"/>
                <w:sz w:val="22"/>
              </w:rPr>
              <w:t>分；</w:t>
            </w:r>
          </w:p>
          <w:p w14:paraId="010FB59C">
            <w:pPr>
              <w:pStyle w:val="27"/>
              <w:spacing w:line="240" w:lineRule="auto"/>
              <w:ind w:firstLine="0" w:firstLineChars="0"/>
              <w:rPr>
                <w:rFonts w:ascii="宋体" w:hAnsi="宋体" w:eastAsia="宋体" w:cs="宋体"/>
                <w:sz w:val="22"/>
              </w:rPr>
            </w:pPr>
            <w:r>
              <w:rPr>
                <w:rFonts w:hint="eastAsia" w:ascii="宋体" w:hAnsi="宋体" w:eastAsia="宋体" w:cs="宋体"/>
                <w:sz w:val="22"/>
              </w:rPr>
              <w:t>在2小时内（含）到达现场且可行的得</w:t>
            </w:r>
            <w:r>
              <w:rPr>
                <w:rFonts w:ascii="宋体" w:hAnsi="宋体" w:eastAsia="宋体" w:cs="宋体"/>
                <w:sz w:val="22"/>
              </w:rPr>
              <w:t>3</w:t>
            </w:r>
            <w:r>
              <w:rPr>
                <w:rFonts w:hint="eastAsia" w:ascii="宋体" w:hAnsi="宋体" w:eastAsia="宋体" w:cs="宋体"/>
                <w:sz w:val="22"/>
              </w:rPr>
              <w:t>分；</w:t>
            </w:r>
          </w:p>
          <w:p w14:paraId="52B6DBAA">
            <w:pPr>
              <w:pStyle w:val="27"/>
              <w:spacing w:line="240" w:lineRule="auto"/>
              <w:ind w:firstLine="0" w:firstLineChars="0"/>
              <w:rPr>
                <w:rFonts w:ascii="宋体" w:hAnsi="宋体" w:eastAsia="宋体" w:cs="宋体"/>
                <w:sz w:val="22"/>
              </w:rPr>
            </w:pPr>
            <w:r>
              <w:rPr>
                <w:rFonts w:hint="eastAsia" w:ascii="宋体" w:hAnsi="宋体" w:eastAsia="宋体" w:cs="宋体"/>
                <w:sz w:val="22"/>
              </w:rPr>
              <w:t>在3小时内（含）到达现场且可行的得1分，</w:t>
            </w:r>
          </w:p>
          <w:p w14:paraId="4C15F93A">
            <w:pPr>
              <w:pStyle w:val="27"/>
              <w:spacing w:line="240" w:lineRule="auto"/>
              <w:ind w:firstLine="0" w:firstLineChars="0"/>
              <w:rPr>
                <w:rFonts w:ascii="宋体" w:hAnsi="宋体" w:eastAsia="宋体" w:cs="宋体"/>
                <w:sz w:val="22"/>
              </w:rPr>
            </w:pPr>
            <w:r>
              <w:rPr>
                <w:rFonts w:hint="eastAsia" w:ascii="宋体" w:hAnsi="宋体" w:eastAsia="宋体" w:cs="宋体"/>
                <w:sz w:val="22"/>
              </w:rPr>
              <w:t>在3小时以上到达现场的不得分。</w:t>
            </w:r>
          </w:p>
          <w:p w14:paraId="0206FDAA">
            <w:pPr>
              <w:tabs>
                <w:tab w:val="left" w:pos="482"/>
                <w:tab w:val="left" w:pos="2183"/>
                <w:tab w:val="left" w:pos="3884"/>
                <w:tab w:val="left" w:pos="5585"/>
              </w:tabs>
              <w:snapToGrid w:val="0"/>
              <w:jc w:val="center"/>
              <w:rPr>
                <w:rFonts w:ascii="宋体" w:hAnsi="宋体" w:cs="宋体"/>
              </w:rPr>
            </w:pPr>
            <w:r>
              <w:rPr>
                <w:rFonts w:hint="eastAsia" w:ascii="宋体" w:hAnsi="宋体" w:cs="宋体"/>
              </w:rPr>
              <w:t>（以投标人提供的承诺函为准，承诺函格式自拟并加盖公章，本承诺函作为合同的一部分，请各投标人谨慎填写）</w:t>
            </w:r>
          </w:p>
        </w:tc>
        <w:tc>
          <w:tcPr>
            <w:tcW w:w="1180" w:type="dxa"/>
            <w:vAlign w:val="center"/>
          </w:tcPr>
          <w:p w14:paraId="613E2332">
            <w:pPr>
              <w:tabs>
                <w:tab w:val="left" w:pos="482"/>
                <w:tab w:val="left" w:pos="2183"/>
                <w:tab w:val="left" w:pos="3884"/>
                <w:tab w:val="left" w:pos="5585"/>
              </w:tabs>
              <w:snapToGrid w:val="0"/>
              <w:jc w:val="center"/>
              <w:rPr>
                <w:rFonts w:ascii="宋体" w:hAnsi="宋体" w:cs="宋体"/>
              </w:rPr>
            </w:pPr>
            <w:r>
              <w:rPr>
                <w:rFonts w:hint="eastAsia" w:ascii="宋体" w:hAnsi="宋体" w:cs="宋体"/>
              </w:rPr>
              <w:t>客观分</w:t>
            </w:r>
          </w:p>
        </w:tc>
      </w:tr>
    </w:tbl>
    <w:p w14:paraId="4E57F412">
      <w:pPr>
        <w:autoSpaceDE w:val="0"/>
        <w:autoSpaceDN w:val="0"/>
        <w:adjustRightInd w:val="0"/>
        <w:rPr>
          <w:rFonts w:ascii="宋体" w:hAnsi="宋体" w:cs="宋体"/>
        </w:rPr>
      </w:pPr>
    </w:p>
    <w:p w14:paraId="1F3B3626">
      <w:pPr>
        <w:rPr>
          <w:rFonts w:ascii="宋体" w:hAnsi="宋体" w:cs="宋体"/>
        </w:rPr>
      </w:pPr>
      <w:r>
        <w:rPr>
          <w:rFonts w:hint="eastAsia" w:ascii="宋体" w:hAnsi="宋体" w:cs="宋体"/>
        </w:rPr>
        <w:t>注：①请扫描上传合同、证书、报告及其他相关证明材料的原件至投标文件，并加盖电子印章。</w:t>
      </w:r>
    </w:p>
    <w:p w14:paraId="3D9920F4">
      <w:pPr>
        <w:adjustRightInd w:val="0"/>
        <w:snapToGrid w:val="0"/>
        <w:spacing w:before="100" w:after="50" w:line="400" w:lineRule="exact"/>
        <w:ind w:left="420"/>
        <w:rPr>
          <w:rFonts w:ascii="宋体" w:hAnsi="宋体" w:cs="宋体"/>
        </w:rPr>
      </w:pPr>
      <w:r>
        <w:rPr>
          <w:rFonts w:hint="eastAsia" w:ascii="宋体" w:hAnsi="宋体" w:cs="宋体"/>
        </w:rPr>
        <w:t>三）、说明</w:t>
      </w:r>
    </w:p>
    <w:p w14:paraId="3691FF9E">
      <w:pPr>
        <w:adjustRightInd w:val="0"/>
        <w:snapToGrid w:val="0"/>
        <w:spacing w:before="100" w:after="50" w:line="400" w:lineRule="exact"/>
        <w:ind w:firstLine="431" w:firstLineChars="196"/>
        <w:rPr>
          <w:rFonts w:ascii="宋体" w:hAnsi="宋体" w:cs="宋体"/>
        </w:rPr>
      </w:pPr>
      <w:r>
        <w:rPr>
          <w:rFonts w:hint="eastAsia" w:ascii="宋体" w:hAnsi="宋体" w:cs="宋体"/>
        </w:rPr>
        <w:t>1、每个供应商的综合得分=商务技术得分（所有磋商小组成员打分的算术平均值）＋报价得分。</w:t>
      </w:r>
    </w:p>
    <w:p w14:paraId="1A08151C">
      <w:pPr>
        <w:adjustRightInd w:val="0"/>
        <w:snapToGrid w:val="0"/>
        <w:spacing w:before="100" w:after="50" w:line="400" w:lineRule="exact"/>
        <w:ind w:firstLine="440" w:firstLineChars="200"/>
        <w:rPr>
          <w:rFonts w:ascii="宋体" w:hAnsi="宋体" w:cs="宋体"/>
        </w:rPr>
      </w:pPr>
      <w:r>
        <w:rPr>
          <w:rFonts w:hint="eastAsia" w:ascii="宋体" w:hAnsi="宋体" w:cs="宋体"/>
        </w:rPr>
        <w:t>2、磋商小组推荐综合得分最高的供应商为成交供应商（如果得分相同则按最终磋商报价从低到高顺序依次推荐为中标候选供应商；如果综合得分相同最终磋商报价也相同，则抽签决定），并编写评审报告。</w:t>
      </w:r>
    </w:p>
    <w:p w14:paraId="431E9C4D">
      <w:pPr>
        <w:adjustRightInd w:val="0"/>
        <w:snapToGrid w:val="0"/>
        <w:spacing w:before="100" w:after="50" w:line="400" w:lineRule="exact"/>
        <w:ind w:firstLine="420"/>
        <w:rPr>
          <w:rFonts w:ascii="宋体" w:hAnsi="宋体" w:cs="宋体"/>
        </w:rPr>
      </w:pPr>
      <w:r>
        <w:rPr>
          <w:rFonts w:hint="eastAsia" w:ascii="宋体" w:hAnsi="宋体" w:cs="宋体"/>
        </w:rPr>
        <w:t>3、所有分值计算保留小数点后二位，小数点后第三位起四舍五入。</w:t>
      </w:r>
    </w:p>
    <w:p w14:paraId="085F1A9B">
      <w:pPr>
        <w:adjustRightInd w:val="0"/>
        <w:snapToGrid w:val="0"/>
        <w:spacing w:before="100" w:after="50" w:line="400" w:lineRule="exact"/>
        <w:ind w:firstLine="440" w:firstLineChars="200"/>
        <w:rPr>
          <w:rFonts w:ascii="宋体" w:hAnsi="宋体" w:cs="宋体"/>
        </w:rPr>
      </w:pPr>
      <w:r>
        <w:rPr>
          <w:rFonts w:hint="eastAsia" w:ascii="宋体" w:hAnsi="宋体" w:cs="宋体"/>
        </w:rPr>
        <w:t xml:space="preserve">其它参见本磋商文件第二部分：“供应商须知” 中的相关内容，未尽事宜按有关法律规定处理。 </w:t>
      </w:r>
    </w:p>
    <w:p w14:paraId="438C5D9D">
      <w:pPr>
        <w:adjustRightInd w:val="0"/>
        <w:snapToGrid w:val="0"/>
        <w:spacing w:before="100" w:after="50" w:line="400" w:lineRule="exact"/>
        <w:rPr>
          <w:rFonts w:ascii="宋体" w:hAnsi="宋体" w:cs="宋体"/>
        </w:rPr>
      </w:pPr>
    </w:p>
    <w:sectPr>
      <w:pgSz w:w="11906" w:h="16838"/>
      <w:pgMar w:top="1588" w:right="1248" w:bottom="1134" w:left="1418" w:header="68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FC734B9-1FCE-4E7C-846E-35D69C690894}"/>
  </w:font>
  <w:font w:name="黑体">
    <w:panose1 w:val="02010609060101010101"/>
    <w:charset w:val="86"/>
    <w:family w:val="auto"/>
    <w:pitch w:val="default"/>
    <w:sig w:usb0="800002BF" w:usb1="38CF7CFA" w:usb2="00000016" w:usb3="00000000" w:csb0="00040001" w:csb1="00000000"/>
    <w:embedRegular r:id="rId2" w:fontKey="{2468832F-BC1D-4A6C-AA43-60D22197ACC8}"/>
  </w:font>
  <w:font w:name="Courier New">
    <w:panose1 w:val="02070309020205020404"/>
    <w:charset w:val="01"/>
    <w:family w:val="modern"/>
    <w:pitch w:val="default"/>
    <w:sig w:usb0="E0002EFF" w:usb1="C0007843" w:usb2="00000009" w:usb3="00000000" w:csb0="400001FF" w:csb1="FFFF0000"/>
    <w:embedRegular r:id="rId3" w:fontKey="{ABC70F88-4E32-4354-A2BC-18FE12051C0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424B68E-A708-44FE-B3BF-EFCB1DC1CC8E}"/>
  </w:font>
  <w:font w:name="华文彩云">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5" w:fontKey="{FD15CD6F-24E7-440B-ADB7-571D04816BC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embedRegular r:id="rId6" w:fontKey="{C5D268B0-183D-45E6-BA08-05C2571FC37F}"/>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7" w:fontKey="{A905495E-E0CF-4A2E-B291-57DE26536FB0}"/>
  </w:font>
  <w:font w:name="仿宋">
    <w:panose1 w:val="02010609060101010101"/>
    <w:charset w:val="86"/>
    <w:family w:val="modern"/>
    <w:pitch w:val="default"/>
    <w:sig w:usb0="800002BF" w:usb1="38CF7CFA" w:usb2="00000016" w:usb3="00000000" w:csb0="00040001" w:csb1="00000000"/>
    <w:embedRegular r:id="rId8" w:fontKey="{FA60A9F4-75C5-400F-9FB2-752EB72979A6}"/>
  </w:font>
  <w:font w:name="新宋体">
    <w:panose1 w:val="02010609030101010101"/>
    <w:charset w:val="86"/>
    <w:family w:val="modern"/>
    <w:pitch w:val="default"/>
    <w:sig w:usb0="00000283" w:usb1="288F0000" w:usb2="00000006" w:usb3="00000000" w:csb0="00040001" w:csb1="00000000"/>
    <w:embedRegular r:id="rId9" w:fontKey="{DBBBD692-548C-48CD-80D7-4B7227B86E81}"/>
  </w:font>
  <w:font w:name="Wingdings 2">
    <w:panose1 w:val="05020102010507070707"/>
    <w:charset w:val="02"/>
    <w:family w:val="roman"/>
    <w:pitch w:val="default"/>
    <w:sig w:usb0="00000000" w:usb1="00000000" w:usb2="00000000" w:usb3="00000000" w:csb0="80000000" w:csb1="00000000"/>
    <w:embedRegular r:id="rId10" w:fontKey="{95308EEF-74A0-4702-9937-265F108E3E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3810">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59EEE6">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059EEE6">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43DB">
    <w:pPr>
      <w:pStyle w:val="18"/>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20BD1">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4E20BD1">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BDDA">
    <w:pPr>
      <w:pStyle w:val="18"/>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23D4C">
                          <w:pPr>
                            <w:pStyle w:val="1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ED23D4C">
                    <w:pPr>
                      <w:pStyle w:val="1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D6580">
    <w:pPr>
      <w:pStyle w:val="56"/>
      <w:framePr w:wrap="auto" w:vAnchor="margin" w:hAnchor="text" w:yAlign="inline"/>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2E803">
                          <w:pPr>
                            <w:pStyle w:val="1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622E803">
                    <w:pPr>
                      <w:pStyle w:val="1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4DA5F">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CE5A">
    <w:pPr>
      <w:pStyle w:val="19"/>
      <w:pBdr>
        <w:bottom w:val="none" w:color="auto" w:sz="0" w:space="1"/>
      </w:pBdr>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00C75"/>
    <w:multiLevelType w:val="singleLevel"/>
    <w:tmpl w:val="91A00C75"/>
    <w:lvl w:ilvl="0" w:tentative="0">
      <w:start w:val="1"/>
      <w:numFmt w:val="decimal"/>
      <w:suff w:val="nothing"/>
      <w:lvlText w:val="（%1）"/>
      <w:lvlJc w:val="left"/>
    </w:lvl>
  </w:abstractNum>
  <w:abstractNum w:abstractNumId="1">
    <w:nsid w:val="BD822C83"/>
    <w:multiLevelType w:val="singleLevel"/>
    <w:tmpl w:val="BD822C83"/>
    <w:lvl w:ilvl="0" w:tentative="0">
      <w:start w:val="4"/>
      <w:numFmt w:val="decimal"/>
      <w:suff w:val="nothing"/>
      <w:lvlText w:val="%1、"/>
      <w:lvlJc w:val="left"/>
    </w:lvl>
  </w:abstractNum>
  <w:abstractNum w:abstractNumId="2">
    <w:nsid w:val="E01297A5"/>
    <w:multiLevelType w:val="singleLevel"/>
    <w:tmpl w:val="E01297A5"/>
    <w:lvl w:ilvl="0" w:tentative="0">
      <w:start w:val="3"/>
      <w:numFmt w:val="chineseCounting"/>
      <w:suff w:val="nothing"/>
      <w:lvlText w:val="%1、"/>
      <w:lvlJc w:val="left"/>
      <w:rPr>
        <w:rFonts w:hint="eastAsia"/>
      </w:rPr>
    </w:lvl>
  </w:abstractNum>
  <w:abstractNum w:abstractNumId="3">
    <w:nsid w:val="FA5B4ECA"/>
    <w:multiLevelType w:val="singleLevel"/>
    <w:tmpl w:val="FA5B4ECA"/>
    <w:lvl w:ilvl="0" w:tentative="0">
      <w:start w:val="1"/>
      <w:numFmt w:val="decimal"/>
      <w:suff w:val="nothing"/>
      <w:lvlText w:val="%1、"/>
      <w:lvlJc w:val="left"/>
    </w:lvl>
  </w:abstractNum>
  <w:abstractNum w:abstractNumId="4">
    <w:nsid w:val="FB2CB1E4"/>
    <w:multiLevelType w:val="singleLevel"/>
    <w:tmpl w:val="FB2CB1E4"/>
    <w:lvl w:ilvl="0" w:tentative="0">
      <w:start w:val="1"/>
      <w:numFmt w:val="chineseCounting"/>
      <w:suff w:val="space"/>
      <w:lvlText w:val="第%1部分"/>
      <w:lvlJc w:val="left"/>
      <w:rPr>
        <w:rFonts w:hint="eastAsia"/>
      </w:rPr>
    </w:lvl>
  </w:abstractNum>
  <w:abstractNum w:abstractNumId="5">
    <w:nsid w:val="00000046"/>
    <w:multiLevelType w:val="singleLevel"/>
    <w:tmpl w:val="00000046"/>
    <w:lvl w:ilvl="0" w:tentative="0">
      <w:start w:val="1"/>
      <w:numFmt w:val="chineseCounting"/>
      <w:suff w:val="nothing"/>
      <w:lvlText w:val="第%1条 "/>
      <w:lvlJc w:val="left"/>
      <w:pPr>
        <w:ind w:left="0" w:firstLine="420"/>
      </w:pPr>
      <w:rPr>
        <w:rFonts w:hint="eastAsia"/>
      </w:rPr>
    </w:lvl>
  </w:abstractNum>
  <w:abstractNum w:abstractNumId="6">
    <w:nsid w:val="396720CC"/>
    <w:multiLevelType w:val="singleLevel"/>
    <w:tmpl w:val="396720CC"/>
    <w:lvl w:ilvl="0" w:tentative="0">
      <w:start w:val="1"/>
      <w:numFmt w:val="decimal"/>
      <w:suff w:val="nothing"/>
      <w:lvlText w:val="%1、"/>
      <w:lvlJc w:val="left"/>
      <w:pPr>
        <w:ind w:left="-4"/>
      </w:pPr>
    </w:lvl>
  </w:abstractNum>
  <w:abstractNum w:abstractNumId="7">
    <w:nsid w:val="472BD127"/>
    <w:multiLevelType w:val="singleLevel"/>
    <w:tmpl w:val="472BD127"/>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8A15808"/>
    <w:multiLevelType w:val="singleLevel"/>
    <w:tmpl w:val="58A15808"/>
    <w:lvl w:ilvl="0" w:tentative="0">
      <w:start w:val="2"/>
      <w:numFmt w:val="decimal"/>
      <w:suff w:val="nothing"/>
      <w:lvlText w:val="%1、"/>
      <w:lvlJc w:val="left"/>
    </w:lvl>
  </w:abstractNum>
  <w:abstractNum w:abstractNumId="11">
    <w:nsid w:val="58BFA717"/>
    <w:multiLevelType w:val="multilevel"/>
    <w:tmpl w:val="58BFA717"/>
    <w:lvl w:ilvl="0" w:tentative="0">
      <w:start w:val="1"/>
      <w:numFmt w:val="decimal"/>
      <w:pStyle w:val="36"/>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58C0DEA6"/>
    <w:multiLevelType w:val="multilevel"/>
    <w:tmpl w:val="58C0DEA6"/>
    <w:lvl w:ilvl="0" w:tentative="0">
      <w:start w:val="1"/>
      <w:numFmt w:val="decimal"/>
      <w:pStyle w:val="3"/>
      <w:lvlText w:val="第%1条 "/>
      <w:lvlJc w:val="left"/>
      <w:pPr>
        <w:ind w:left="851" w:hanging="851"/>
      </w:pPr>
      <w:rPr>
        <w:rFonts w:hint="default" w:ascii="宋体" w:hAnsi="宋体" w:eastAsia="宋体" w:cs="宋体"/>
        <w:b/>
        <w:i w:val="0"/>
        <w:color w:val="000000"/>
        <w:kern w:val="21"/>
        <w:sz w:val="24"/>
        <w:szCs w:val="24"/>
      </w:rPr>
    </w:lvl>
    <w:lvl w:ilvl="1" w:tentative="0">
      <w:start w:val="1"/>
      <w:numFmt w:val="decimal"/>
      <w:pStyle w:val="4"/>
      <w:isLgl/>
      <w:lvlText w:val="%1.%2"/>
      <w:lvlJc w:val="left"/>
      <w:pPr>
        <w:tabs>
          <w:tab w:val="left" w:pos="567"/>
        </w:tabs>
        <w:ind w:left="1020" w:hanging="1020"/>
      </w:pPr>
      <w:rPr>
        <w:rFonts w:hint="default" w:ascii="宋体" w:hAnsi="宋体" w:eastAsia="宋体" w:cs="宋体"/>
        <w:b/>
        <w:i w:val="0"/>
        <w:kern w:val="21"/>
        <w:sz w:val="24"/>
        <w:szCs w:val="24"/>
      </w:rPr>
    </w:lvl>
    <w:lvl w:ilvl="2" w:tentative="0">
      <w:start w:val="1"/>
      <w:numFmt w:val="decimal"/>
      <w:pStyle w:val="5"/>
      <w:isLgl/>
      <w:lvlText w:val="%1.%2.%3"/>
      <w:lvlJc w:val="left"/>
      <w:pPr>
        <w:tabs>
          <w:tab w:val="left" w:pos="630"/>
        </w:tabs>
        <w:ind w:left="1680" w:hanging="1680"/>
      </w:pPr>
      <w:rPr>
        <w:rFonts w:hint="default" w:ascii="宋体" w:hAnsi="宋体" w:eastAsia="宋体" w:cs="宋体"/>
      </w:rPr>
    </w:lvl>
    <w:lvl w:ilvl="3" w:tentative="0">
      <w:start w:val="1"/>
      <w:numFmt w:val="decimal"/>
      <w:pStyle w:val="6"/>
      <w:isLgl/>
      <w:lvlText w:val="%1.%2.%3.%4"/>
      <w:lvlJc w:val="left"/>
      <w:pPr>
        <w:ind w:left="420" w:hanging="420"/>
      </w:pPr>
      <w:rPr>
        <w:rFonts w:hint="default" w:ascii="宋体" w:hAnsi="宋体" w:eastAsia="宋体" w:cs="宋体"/>
      </w:rPr>
    </w:lvl>
    <w:lvl w:ilvl="4" w:tentative="0">
      <w:start w:val="1"/>
      <w:numFmt w:val="decimal"/>
      <w:lvlText w:val="%1.%2.%3.%4.%5"/>
      <w:lvlJc w:val="left"/>
      <w:pPr>
        <w:ind w:left="420" w:hanging="420"/>
      </w:pPr>
      <w:rPr>
        <w:rFonts w:hint="eastAsia"/>
      </w:rPr>
    </w:lvl>
    <w:lvl w:ilvl="5" w:tentative="0">
      <w:start w:val="1"/>
      <w:numFmt w:val="decimal"/>
      <w:lvlText w:val="%1.%2.%3.%4.%5.%6"/>
      <w:lvlJc w:val="left"/>
      <w:pPr>
        <w:ind w:left="420" w:hanging="420"/>
      </w:pPr>
      <w:rPr>
        <w:rFonts w:hint="eastAsia"/>
      </w:rPr>
    </w:lvl>
    <w:lvl w:ilvl="6" w:tentative="0">
      <w:start w:val="1"/>
      <w:numFmt w:val="decimal"/>
      <w:lvlText w:val="%1.%2.%3.%4.%5.%6.%7"/>
      <w:lvlJc w:val="left"/>
      <w:pPr>
        <w:ind w:left="420" w:hanging="420"/>
      </w:pPr>
      <w:rPr>
        <w:rFonts w:hint="eastAsia"/>
      </w:rPr>
    </w:lvl>
    <w:lvl w:ilvl="7" w:tentative="0">
      <w:start w:val="1"/>
      <w:numFmt w:val="decimal"/>
      <w:lvlText w:val="%1.%2.%3.%4.%5.%6.%7.%8"/>
      <w:lvlJc w:val="left"/>
      <w:pPr>
        <w:ind w:left="420" w:hanging="420"/>
      </w:pPr>
      <w:rPr>
        <w:rFonts w:hint="eastAsia"/>
      </w:rPr>
    </w:lvl>
    <w:lvl w:ilvl="8" w:tentative="0">
      <w:start w:val="1"/>
      <w:numFmt w:val="decimal"/>
      <w:lvlText w:val="%1.%2.%3.%4.%5.%6.%7.%8.%9"/>
      <w:lvlJc w:val="left"/>
      <w:pPr>
        <w:ind w:left="420" w:hanging="420"/>
      </w:pPr>
      <w:rPr>
        <w:rFonts w:hint="eastAsia"/>
      </w:rPr>
    </w:lvl>
  </w:abstractNum>
  <w:abstractNum w:abstractNumId="13">
    <w:nsid w:val="72747C29"/>
    <w:multiLevelType w:val="singleLevel"/>
    <w:tmpl w:val="72747C29"/>
    <w:lvl w:ilvl="0" w:tentative="0">
      <w:start w:val="5"/>
      <w:numFmt w:val="chineseCounting"/>
      <w:suff w:val="nothing"/>
      <w:lvlText w:val="%1、"/>
      <w:lvlJc w:val="left"/>
      <w:rPr>
        <w:rFonts w:hint="eastAsia"/>
      </w:rPr>
    </w:lvl>
  </w:abstractNum>
  <w:num w:numId="1">
    <w:abstractNumId w:val="12"/>
  </w:num>
  <w:num w:numId="2">
    <w:abstractNumId w:val="11"/>
  </w:num>
  <w:num w:numId="3">
    <w:abstractNumId w:val="1"/>
  </w:num>
  <w:num w:numId="4">
    <w:abstractNumId w:val="7"/>
  </w:num>
  <w:num w:numId="5">
    <w:abstractNumId w:val="13"/>
  </w:num>
  <w:num w:numId="6">
    <w:abstractNumId w:val="8"/>
    <w:lvlOverride w:ilvl="0">
      <w:startOverride w:val="1"/>
    </w:lvlOverride>
  </w:num>
  <w:num w:numId="7">
    <w:abstractNumId w:val="9"/>
    <w:lvlOverride w:ilvl="0">
      <w:startOverride w:val="3"/>
    </w:lvlOverride>
  </w:num>
  <w:num w:numId="8">
    <w:abstractNumId w:val="4"/>
  </w:num>
  <w:num w:numId="9">
    <w:abstractNumId w:val="2"/>
  </w:num>
  <w:num w:numId="10">
    <w:abstractNumId w:val="6"/>
  </w:num>
  <w:num w:numId="11">
    <w:abstractNumId w:val="0"/>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MDNmZDZmYzI4NzlhNzFmNDljNGM0NTVjMjcxOTAifQ=="/>
  </w:docVars>
  <w:rsids>
    <w:rsidRoot w:val="040E210C"/>
    <w:rsid w:val="00170172"/>
    <w:rsid w:val="001B1823"/>
    <w:rsid w:val="00276256"/>
    <w:rsid w:val="0031214B"/>
    <w:rsid w:val="003447D3"/>
    <w:rsid w:val="003838A0"/>
    <w:rsid w:val="00432535"/>
    <w:rsid w:val="00463C56"/>
    <w:rsid w:val="005161B0"/>
    <w:rsid w:val="005E7306"/>
    <w:rsid w:val="00630D0C"/>
    <w:rsid w:val="00667054"/>
    <w:rsid w:val="0069421E"/>
    <w:rsid w:val="006E569C"/>
    <w:rsid w:val="006F47C5"/>
    <w:rsid w:val="006F5E16"/>
    <w:rsid w:val="00712152"/>
    <w:rsid w:val="007644C9"/>
    <w:rsid w:val="00792EA5"/>
    <w:rsid w:val="00817827"/>
    <w:rsid w:val="00881C40"/>
    <w:rsid w:val="00907DD1"/>
    <w:rsid w:val="009C3034"/>
    <w:rsid w:val="00A023EB"/>
    <w:rsid w:val="00A5519E"/>
    <w:rsid w:val="00A67206"/>
    <w:rsid w:val="00AE3482"/>
    <w:rsid w:val="00BD719A"/>
    <w:rsid w:val="00C0709A"/>
    <w:rsid w:val="00C103A2"/>
    <w:rsid w:val="00C21C60"/>
    <w:rsid w:val="00C23AD7"/>
    <w:rsid w:val="00C605D4"/>
    <w:rsid w:val="00C649AB"/>
    <w:rsid w:val="00C734EF"/>
    <w:rsid w:val="00CD712B"/>
    <w:rsid w:val="00D641A0"/>
    <w:rsid w:val="00E53A86"/>
    <w:rsid w:val="00E8479B"/>
    <w:rsid w:val="00E91103"/>
    <w:rsid w:val="00ED7090"/>
    <w:rsid w:val="00F0196E"/>
    <w:rsid w:val="00FB13C8"/>
    <w:rsid w:val="00FB3E78"/>
    <w:rsid w:val="00FB44CF"/>
    <w:rsid w:val="00FF02DD"/>
    <w:rsid w:val="014D0307"/>
    <w:rsid w:val="025D7143"/>
    <w:rsid w:val="02964EDD"/>
    <w:rsid w:val="02D07BA8"/>
    <w:rsid w:val="02D9582E"/>
    <w:rsid w:val="0309038A"/>
    <w:rsid w:val="033E696D"/>
    <w:rsid w:val="034E221B"/>
    <w:rsid w:val="034F0294"/>
    <w:rsid w:val="03893512"/>
    <w:rsid w:val="040E210C"/>
    <w:rsid w:val="04130306"/>
    <w:rsid w:val="04294386"/>
    <w:rsid w:val="04B40EAD"/>
    <w:rsid w:val="04C840A8"/>
    <w:rsid w:val="050D65F7"/>
    <w:rsid w:val="055F4E32"/>
    <w:rsid w:val="056A734F"/>
    <w:rsid w:val="057B65F8"/>
    <w:rsid w:val="05B13428"/>
    <w:rsid w:val="05E3107D"/>
    <w:rsid w:val="05F35F23"/>
    <w:rsid w:val="06BF5D4E"/>
    <w:rsid w:val="07CE0E1D"/>
    <w:rsid w:val="081124C2"/>
    <w:rsid w:val="087A2A52"/>
    <w:rsid w:val="089F1C5C"/>
    <w:rsid w:val="092906CB"/>
    <w:rsid w:val="09552416"/>
    <w:rsid w:val="09F66063"/>
    <w:rsid w:val="0A014251"/>
    <w:rsid w:val="0A0B5CE2"/>
    <w:rsid w:val="0A206DCD"/>
    <w:rsid w:val="0A2D48E9"/>
    <w:rsid w:val="0A9104B3"/>
    <w:rsid w:val="0AC219C7"/>
    <w:rsid w:val="0AF874C3"/>
    <w:rsid w:val="0B025A26"/>
    <w:rsid w:val="0B226B74"/>
    <w:rsid w:val="0B5C544B"/>
    <w:rsid w:val="0B7E029C"/>
    <w:rsid w:val="0CD820AB"/>
    <w:rsid w:val="0CEA04A2"/>
    <w:rsid w:val="0D255355"/>
    <w:rsid w:val="0D7502D2"/>
    <w:rsid w:val="0D785BBE"/>
    <w:rsid w:val="0D7A4DBA"/>
    <w:rsid w:val="0DED3B56"/>
    <w:rsid w:val="0E0E5AAC"/>
    <w:rsid w:val="0E2C0601"/>
    <w:rsid w:val="0E2D7522"/>
    <w:rsid w:val="0E7476E7"/>
    <w:rsid w:val="0E9E5158"/>
    <w:rsid w:val="0EF8190C"/>
    <w:rsid w:val="0F811030"/>
    <w:rsid w:val="1072532D"/>
    <w:rsid w:val="10993435"/>
    <w:rsid w:val="10D26947"/>
    <w:rsid w:val="111923AE"/>
    <w:rsid w:val="11E93F48"/>
    <w:rsid w:val="123B1FD2"/>
    <w:rsid w:val="129678B4"/>
    <w:rsid w:val="135F3F5A"/>
    <w:rsid w:val="13AF129C"/>
    <w:rsid w:val="14063706"/>
    <w:rsid w:val="140838F6"/>
    <w:rsid w:val="1451077D"/>
    <w:rsid w:val="15127C5A"/>
    <w:rsid w:val="153A4224"/>
    <w:rsid w:val="154F0566"/>
    <w:rsid w:val="15962639"/>
    <w:rsid w:val="15AD55A1"/>
    <w:rsid w:val="15DE5D93"/>
    <w:rsid w:val="15DF696E"/>
    <w:rsid w:val="160550C9"/>
    <w:rsid w:val="162C6AF9"/>
    <w:rsid w:val="16501ECC"/>
    <w:rsid w:val="167E1D8E"/>
    <w:rsid w:val="16A354F9"/>
    <w:rsid w:val="16D35433"/>
    <w:rsid w:val="16FA4567"/>
    <w:rsid w:val="177E342D"/>
    <w:rsid w:val="17832E52"/>
    <w:rsid w:val="17C12A25"/>
    <w:rsid w:val="18211795"/>
    <w:rsid w:val="18AC5CCF"/>
    <w:rsid w:val="18AE0A48"/>
    <w:rsid w:val="19F93196"/>
    <w:rsid w:val="1A727E2E"/>
    <w:rsid w:val="1AB64302"/>
    <w:rsid w:val="1AB84DFF"/>
    <w:rsid w:val="1AD63F82"/>
    <w:rsid w:val="1B18769C"/>
    <w:rsid w:val="1B2D5BCB"/>
    <w:rsid w:val="1B5F527B"/>
    <w:rsid w:val="1BAB3E10"/>
    <w:rsid w:val="1C613F41"/>
    <w:rsid w:val="1CC33196"/>
    <w:rsid w:val="1D907689"/>
    <w:rsid w:val="1DAD6CAB"/>
    <w:rsid w:val="1E6A6D96"/>
    <w:rsid w:val="1EA27237"/>
    <w:rsid w:val="1EAA3311"/>
    <w:rsid w:val="1EC738FC"/>
    <w:rsid w:val="207B7068"/>
    <w:rsid w:val="20F52909"/>
    <w:rsid w:val="21052958"/>
    <w:rsid w:val="21257E14"/>
    <w:rsid w:val="213A130A"/>
    <w:rsid w:val="21454103"/>
    <w:rsid w:val="216830DB"/>
    <w:rsid w:val="21A363E7"/>
    <w:rsid w:val="22010D8E"/>
    <w:rsid w:val="22216CD1"/>
    <w:rsid w:val="226A3B3A"/>
    <w:rsid w:val="227C3956"/>
    <w:rsid w:val="23272B22"/>
    <w:rsid w:val="233C481F"/>
    <w:rsid w:val="23447230"/>
    <w:rsid w:val="2381407A"/>
    <w:rsid w:val="23C640E9"/>
    <w:rsid w:val="241F50E8"/>
    <w:rsid w:val="24D42DE8"/>
    <w:rsid w:val="24F071B4"/>
    <w:rsid w:val="24FD202E"/>
    <w:rsid w:val="25033455"/>
    <w:rsid w:val="25126687"/>
    <w:rsid w:val="251B0465"/>
    <w:rsid w:val="2657371E"/>
    <w:rsid w:val="26712A32"/>
    <w:rsid w:val="26D3278C"/>
    <w:rsid w:val="270F3777"/>
    <w:rsid w:val="279F35CF"/>
    <w:rsid w:val="280F112B"/>
    <w:rsid w:val="284952E9"/>
    <w:rsid w:val="28671930"/>
    <w:rsid w:val="288C0999"/>
    <w:rsid w:val="29F15C38"/>
    <w:rsid w:val="2A3646FC"/>
    <w:rsid w:val="2A5D4FDC"/>
    <w:rsid w:val="2A9F7DFD"/>
    <w:rsid w:val="2B396DC9"/>
    <w:rsid w:val="2BE23A8A"/>
    <w:rsid w:val="2BF73EF0"/>
    <w:rsid w:val="2BFE5760"/>
    <w:rsid w:val="2C15347E"/>
    <w:rsid w:val="2C671545"/>
    <w:rsid w:val="2C687F18"/>
    <w:rsid w:val="2D3D2806"/>
    <w:rsid w:val="2D5F0815"/>
    <w:rsid w:val="2D81664B"/>
    <w:rsid w:val="2E074A16"/>
    <w:rsid w:val="2E125D62"/>
    <w:rsid w:val="2E8A0B34"/>
    <w:rsid w:val="2EB47047"/>
    <w:rsid w:val="2ED44E92"/>
    <w:rsid w:val="2EE360CF"/>
    <w:rsid w:val="2EE87282"/>
    <w:rsid w:val="2EF507E8"/>
    <w:rsid w:val="2F146650"/>
    <w:rsid w:val="30101801"/>
    <w:rsid w:val="308B011C"/>
    <w:rsid w:val="30B05386"/>
    <w:rsid w:val="30B5335F"/>
    <w:rsid w:val="30D15875"/>
    <w:rsid w:val="30D81900"/>
    <w:rsid w:val="311D7312"/>
    <w:rsid w:val="31440E7D"/>
    <w:rsid w:val="317042F1"/>
    <w:rsid w:val="317E78C3"/>
    <w:rsid w:val="31A37C1D"/>
    <w:rsid w:val="31BF7608"/>
    <w:rsid w:val="328471DF"/>
    <w:rsid w:val="328569F3"/>
    <w:rsid w:val="32951856"/>
    <w:rsid w:val="32AD67CF"/>
    <w:rsid w:val="32C97E41"/>
    <w:rsid w:val="33641229"/>
    <w:rsid w:val="33EA4B5F"/>
    <w:rsid w:val="348B345F"/>
    <w:rsid w:val="350409B0"/>
    <w:rsid w:val="351153E0"/>
    <w:rsid w:val="35CB35EA"/>
    <w:rsid w:val="366E6BD7"/>
    <w:rsid w:val="3674617B"/>
    <w:rsid w:val="36751585"/>
    <w:rsid w:val="36E255BD"/>
    <w:rsid w:val="36E4518D"/>
    <w:rsid w:val="373E5DFD"/>
    <w:rsid w:val="37657333"/>
    <w:rsid w:val="37DC37E2"/>
    <w:rsid w:val="381F3BED"/>
    <w:rsid w:val="38544EE4"/>
    <w:rsid w:val="38940B48"/>
    <w:rsid w:val="38CA30D9"/>
    <w:rsid w:val="38EE1CC0"/>
    <w:rsid w:val="38F64065"/>
    <w:rsid w:val="39237490"/>
    <w:rsid w:val="39460CFD"/>
    <w:rsid w:val="396E2E01"/>
    <w:rsid w:val="39B76556"/>
    <w:rsid w:val="3A185631"/>
    <w:rsid w:val="3B3E57C0"/>
    <w:rsid w:val="3B457B92"/>
    <w:rsid w:val="3B640A4C"/>
    <w:rsid w:val="3C3D031F"/>
    <w:rsid w:val="3C4C583D"/>
    <w:rsid w:val="3C5502A8"/>
    <w:rsid w:val="3CEC29BB"/>
    <w:rsid w:val="3CFB2BFE"/>
    <w:rsid w:val="3D2667A9"/>
    <w:rsid w:val="3D402DBF"/>
    <w:rsid w:val="3D8B7DB9"/>
    <w:rsid w:val="3DE96EFA"/>
    <w:rsid w:val="3E041ADD"/>
    <w:rsid w:val="3E0755D2"/>
    <w:rsid w:val="3E41432E"/>
    <w:rsid w:val="3E6F6CAB"/>
    <w:rsid w:val="3EE92435"/>
    <w:rsid w:val="3EFA0460"/>
    <w:rsid w:val="3F0A3137"/>
    <w:rsid w:val="3F765ACC"/>
    <w:rsid w:val="3F9B5FD2"/>
    <w:rsid w:val="3FA05CDE"/>
    <w:rsid w:val="3FBC4337"/>
    <w:rsid w:val="40003779"/>
    <w:rsid w:val="40064E24"/>
    <w:rsid w:val="40270807"/>
    <w:rsid w:val="4046605F"/>
    <w:rsid w:val="40687C01"/>
    <w:rsid w:val="409376BD"/>
    <w:rsid w:val="412B15D8"/>
    <w:rsid w:val="416D1BF0"/>
    <w:rsid w:val="41B81047"/>
    <w:rsid w:val="41C01307"/>
    <w:rsid w:val="42561B2D"/>
    <w:rsid w:val="43450BFE"/>
    <w:rsid w:val="43776D56"/>
    <w:rsid w:val="44313406"/>
    <w:rsid w:val="44CE063D"/>
    <w:rsid w:val="44D206E8"/>
    <w:rsid w:val="45181009"/>
    <w:rsid w:val="45246A6E"/>
    <w:rsid w:val="45912351"/>
    <w:rsid w:val="45DE3BE8"/>
    <w:rsid w:val="46510E5A"/>
    <w:rsid w:val="466866A1"/>
    <w:rsid w:val="46C277A8"/>
    <w:rsid w:val="46C77706"/>
    <w:rsid w:val="470A5D9E"/>
    <w:rsid w:val="47146CF3"/>
    <w:rsid w:val="47170634"/>
    <w:rsid w:val="47282841"/>
    <w:rsid w:val="47387179"/>
    <w:rsid w:val="47BB54A9"/>
    <w:rsid w:val="485458B8"/>
    <w:rsid w:val="486C1816"/>
    <w:rsid w:val="487972EA"/>
    <w:rsid w:val="48D01BC6"/>
    <w:rsid w:val="48D82045"/>
    <w:rsid w:val="48DF5182"/>
    <w:rsid w:val="494B6CBB"/>
    <w:rsid w:val="49792D70"/>
    <w:rsid w:val="49B779CF"/>
    <w:rsid w:val="49E50F7C"/>
    <w:rsid w:val="4A23360B"/>
    <w:rsid w:val="4A2B1EF4"/>
    <w:rsid w:val="4A3202E0"/>
    <w:rsid w:val="4A347F6C"/>
    <w:rsid w:val="4A425D89"/>
    <w:rsid w:val="4A5B6AE5"/>
    <w:rsid w:val="4B4B4D50"/>
    <w:rsid w:val="4B9506C1"/>
    <w:rsid w:val="4BC92119"/>
    <w:rsid w:val="4C3E48F8"/>
    <w:rsid w:val="4CD572C9"/>
    <w:rsid w:val="4D2B3BC0"/>
    <w:rsid w:val="4D6C7A2C"/>
    <w:rsid w:val="4D6F609D"/>
    <w:rsid w:val="4D912357"/>
    <w:rsid w:val="4EA2427D"/>
    <w:rsid w:val="4F021BCA"/>
    <w:rsid w:val="4F594562"/>
    <w:rsid w:val="4FA76B0D"/>
    <w:rsid w:val="4FF75DB4"/>
    <w:rsid w:val="50CA52BE"/>
    <w:rsid w:val="50EC4B0C"/>
    <w:rsid w:val="50F94734"/>
    <w:rsid w:val="512F4AF3"/>
    <w:rsid w:val="51E32D51"/>
    <w:rsid w:val="520F7A1E"/>
    <w:rsid w:val="522E0F28"/>
    <w:rsid w:val="526A6351"/>
    <w:rsid w:val="527D3E6D"/>
    <w:rsid w:val="5283254C"/>
    <w:rsid w:val="52B13329"/>
    <w:rsid w:val="52B43B7C"/>
    <w:rsid w:val="52B5075F"/>
    <w:rsid w:val="52D34596"/>
    <w:rsid w:val="52ED23A9"/>
    <w:rsid w:val="52F537F4"/>
    <w:rsid w:val="531915A3"/>
    <w:rsid w:val="533D58C6"/>
    <w:rsid w:val="546B42DB"/>
    <w:rsid w:val="548062A4"/>
    <w:rsid w:val="54CC252E"/>
    <w:rsid w:val="54F2041B"/>
    <w:rsid w:val="55222FC6"/>
    <w:rsid w:val="55226512"/>
    <w:rsid w:val="558F142E"/>
    <w:rsid w:val="55C47654"/>
    <w:rsid w:val="56002BDB"/>
    <w:rsid w:val="5607025D"/>
    <w:rsid w:val="56372DB0"/>
    <w:rsid w:val="564A040D"/>
    <w:rsid w:val="568D0913"/>
    <w:rsid w:val="57183488"/>
    <w:rsid w:val="574D3BFE"/>
    <w:rsid w:val="580E55DE"/>
    <w:rsid w:val="58A61818"/>
    <w:rsid w:val="595546A8"/>
    <w:rsid w:val="59740045"/>
    <w:rsid w:val="597B0EF6"/>
    <w:rsid w:val="5997217F"/>
    <w:rsid w:val="59F16C80"/>
    <w:rsid w:val="5A783688"/>
    <w:rsid w:val="5AA63D51"/>
    <w:rsid w:val="5B0C3268"/>
    <w:rsid w:val="5B61411C"/>
    <w:rsid w:val="5B94144C"/>
    <w:rsid w:val="5BDE41D8"/>
    <w:rsid w:val="5C851511"/>
    <w:rsid w:val="5CAE1FC7"/>
    <w:rsid w:val="5CD166FD"/>
    <w:rsid w:val="5DAA4492"/>
    <w:rsid w:val="5DF247AE"/>
    <w:rsid w:val="5E1D075A"/>
    <w:rsid w:val="5E8573C0"/>
    <w:rsid w:val="5EBA0736"/>
    <w:rsid w:val="5F083FC2"/>
    <w:rsid w:val="60510CE3"/>
    <w:rsid w:val="60543202"/>
    <w:rsid w:val="608F232F"/>
    <w:rsid w:val="61136EC4"/>
    <w:rsid w:val="612B4FB0"/>
    <w:rsid w:val="61CB2B9D"/>
    <w:rsid w:val="6330492C"/>
    <w:rsid w:val="641E4F0B"/>
    <w:rsid w:val="64B075D3"/>
    <w:rsid w:val="64BF463D"/>
    <w:rsid w:val="65672CCB"/>
    <w:rsid w:val="65AF6E90"/>
    <w:rsid w:val="65B01F28"/>
    <w:rsid w:val="666B5E41"/>
    <w:rsid w:val="66CE5797"/>
    <w:rsid w:val="66E825B4"/>
    <w:rsid w:val="67223D80"/>
    <w:rsid w:val="67390C78"/>
    <w:rsid w:val="67912D2E"/>
    <w:rsid w:val="67BC7C8F"/>
    <w:rsid w:val="683230C8"/>
    <w:rsid w:val="683D0B60"/>
    <w:rsid w:val="686A3826"/>
    <w:rsid w:val="68F24F86"/>
    <w:rsid w:val="691D32BA"/>
    <w:rsid w:val="694852B9"/>
    <w:rsid w:val="6A500B80"/>
    <w:rsid w:val="6A6C7D53"/>
    <w:rsid w:val="6AB87A25"/>
    <w:rsid w:val="6ADB724B"/>
    <w:rsid w:val="6B9B71D6"/>
    <w:rsid w:val="6BDB390E"/>
    <w:rsid w:val="6BE52AD5"/>
    <w:rsid w:val="6BF8270E"/>
    <w:rsid w:val="6C237E83"/>
    <w:rsid w:val="6C575ED6"/>
    <w:rsid w:val="6C6D5E16"/>
    <w:rsid w:val="6CB615F5"/>
    <w:rsid w:val="6CB719DB"/>
    <w:rsid w:val="6CD555B4"/>
    <w:rsid w:val="6CE5057C"/>
    <w:rsid w:val="6DB15EE1"/>
    <w:rsid w:val="6DF1359C"/>
    <w:rsid w:val="6EC96338"/>
    <w:rsid w:val="6F1E2C1B"/>
    <w:rsid w:val="6F9000D7"/>
    <w:rsid w:val="6FC53FCE"/>
    <w:rsid w:val="6FE07FF9"/>
    <w:rsid w:val="70012EB0"/>
    <w:rsid w:val="702E6A5D"/>
    <w:rsid w:val="70857FB9"/>
    <w:rsid w:val="70874F19"/>
    <w:rsid w:val="710A74AD"/>
    <w:rsid w:val="711A1F98"/>
    <w:rsid w:val="713752AB"/>
    <w:rsid w:val="71775E53"/>
    <w:rsid w:val="71A52D40"/>
    <w:rsid w:val="71A70A36"/>
    <w:rsid w:val="71C80FEF"/>
    <w:rsid w:val="72B31C71"/>
    <w:rsid w:val="72BC5747"/>
    <w:rsid w:val="731D4E77"/>
    <w:rsid w:val="73BE7169"/>
    <w:rsid w:val="74281823"/>
    <w:rsid w:val="7461016E"/>
    <w:rsid w:val="746B647D"/>
    <w:rsid w:val="749566F1"/>
    <w:rsid w:val="74BA1537"/>
    <w:rsid w:val="74C72DEA"/>
    <w:rsid w:val="74F45726"/>
    <w:rsid w:val="754D6952"/>
    <w:rsid w:val="75897582"/>
    <w:rsid w:val="75C23ADA"/>
    <w:rsid w:val="75C928DF"/>
    <w:rsid w:val="75CD4430"/>
    <w:rsid w:val="75DD2AFA"/>
    <w:rsid w:val="75F86271"/>
    <w:rsid w:val="760119DA"/>
    <w:rsid w:val="7677D57A"/>
    <w:rsid w:val="768A08A8"/>
    <w:rsid w:val="76A72ED3"/>
    <w:rsid w:val="76AB5993"/>
    <w:rsid w:val="7735262E"/>
    <w:rsid w:val="774F1F54"/>
    <w:rsid w:val="779401E3"/>
    <w:rsid w:val="77B358A8"/>
    <w:rsid w:val="77D34069"/>
    <w:rsid w:val="77E85792"/>
    <w:rsid w:val="77F83AFA"/>
    <w:rsid w:val="783650FB"/>
    <w:rsid w:val="78370A95"/>
    <w:rsid w:val="78A413DB"/>
    <w:rsid w:val="798E037A"/>
    <w:rsid w:val="79A1624C"/>
    <w:rsid w:val="79A45E89"/>
    <w:rsid w:val="79CB37B8"/>
    <w:rsid w:val="79D1223C"/>
    <w:rsid w:val="79F0312F"/>
    <w:rsid w:val="7A5A399A"/>
    <w:rsid w:val="7A8B6F14"/>
    <w:rsid w:val="7A916B51"/>
    <w:rsid w:val="7ACA2DCD"/>
    <w:rsid w:val="7B1E128A"/>
    <w:rsid w:val="7B3636C5"/>
    <w:rsid w:val="7B786A26"/>
    <w:rsid w:val="7B9D24C8"/>
    <w:rsid w:val="7BB35E76"/>
    <w:rsid w:val="7BBE2AF4"/>
    <w:rsid w:val="7BC15019"/>
    <w:rsid w:val="7BFA525D"/>
    <w:rsid w:val="7C077F47"/>
    <w:rsid w:val="7C915DCA"/>
    <w:rsid w:val="7CFD2016"/>
    <w:rsid w:val="7D2B7671"/>
    <w:rsid w:val="7DD115C0"/>
    <w:rsid w:val="7E342619"/>
    <w:rsid w:val="7E896BF7"/>
    <w:rsid w:val="7EB443DF"/>
    <w:rsid w:val="7EE16C8C"/>
    <w:rsid w:val="7F0166FE"/>
    <w:rsid w:val="7F7D1C7D"/>
    <w:rsid w:val="7F9D2F9B"/>
    <w:rsid w:val="7FA06B98"/>
    <w:rsid w:val="7FD94E6B"/>
    <w:rsid w:val="9F6B2A43"/>
    <w:rsid w:val="B9FBA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eastAsia="宋体" w:asciiTheme="minorHAnsi" w:hAnsiTheme="minorHAnsi" w:cstheme="minorBidi"/>
      <w:sz w:val="22"/>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40"/>
    <w:autoRedefine/>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4"/>
    <w:next w:val="1"/>
    <w:autoRedefine/>
    <w:unhideWhenUsed/>
    <w:qFormat/>
    <w:uiPriority w:val="0"/>
    <w:pPr>
      <w:numPr>
        <w:ilvl w:val="2"/>
      </w:numPr>
      <w:tabs>
        <w:tab w:val="clear" w:pos="567"/>
      </w:tabs>
      <w:adjustRightInd w:val="0"/>
      <w:spacing w:before="0" w:after="0" w:line="360" w:lineRule="auto"/>
      <w:ind w:left="630" w:leftChars="300" w:firstLine="1260" w:firstLineChars="600"/>
      <w:outlineLvl w:val="2"/>
    </w:pPr>
    <w:rPr>
      <w:rFonts w:ascii="Calibri" w:hAnsi="Calibri" w:eastAsia="宋体"/>
      <w:b w:val="0"/>
      <w:bCs/>
      <w:kern w:val="24"/>
      <w:sz w:val="24"/>
    </w:rPr>
  </w:style>
  <w:style w:type="paragraph" w:styleId="6">
    <w:name w:val="heading 4"/>
    <w:basedOn w:val="5"/>
    <w:next w:val="1"/>
    <w:autoRedefine/>
    <w:unhideWhenUsed/>
    <w:qFormat/>
    <w:uiPriority w:val="0"/>
    <w:pPr>
      <w:numPr>
        <w:ilvl w:val="3"/>
      </w:numPr>
      <w:ind w:left="0" w:firstLine="630" w:firstLineChars="300"/>
      <w:outlineLvl w:val="3"/>
    </w:pPr>
    <w:rPr>
      <w:rFonts w:ascii="Arial" w:hAnsi="Arial" w:cs="华文彩云"/>
    </w:rPr>
  </w:style>
  <w:style w:type="paragraph" w:styleId="7">
    <w:name w:val="heading 5"/>
    <w:basedOn w:val="1"/>
    <w:next w:val="1"/>
    <w:qFormat/>
    <w:uiPriority w:val="0"/>
    <w:pPr>
      <w:keepNext/>
      <w:keepLines/>
      <w:tabs>
        <w:tab w:val="left" w:pos="567"/>
      </w:tabs>
      <w:ind w:left="567" w:hanging="567"/>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lang w:val="en-US" w:eastAsia="en-US" w:bidi="ar-SA"/>
    </w:rPr>
  </w:style>
  <w:style w:type="paragraph" w:styleId="8">
    <w:name w:val="Normal Indent"/>
    <w:basedOn w:val="1"/>
    <w:next w:val="1"/>
    <w:autoRedefine/>
    <w:qFormat/>
    <w:uiPriority w:val="0"/>
    <w:pPr>
      <w:ind w:firstLine="420"/>
    </w:pPr>
  </w:style>
  <w:style w:type="paragraph" w:styleId="9">
    <w:name w:val="annotation text"/>
    <w:basedOn w:val="1"/>
    <w:link w:val="47"/>
    <w:autoRedefine/>
    <w:qFormat/>
    <w:uiPriority w:val="0"/>
    <w:rPr>
      <w:rFonts w:ascii="Calibri" w:hAnsi="Calibri" w:cs="Times New Roman"/>
    </w:rPr>
  </w:style>
  <w:style w:type="paragraph" w:styleId="10">
    <w:name w:val="Closing"/>
    <w:basedOn w:val="1"/>
    <w:autoRedefine/>
    <w:qFormat/>
    <w:uiPriority w:val="0"/>
    <w:pPr>
      <w:ind w:left="4320"/>
    </w:pPr>
    <w:rPr>
      <w:sz w:val="24"/>
      <w:szCs w:val="20"/>
    </w:rPr>
  </w:style>
  <w:style w:type="paragraph" w:styleId="11">
    <w:name w:val="Body Text"/>
    <w:basedOn w:val="1"/>
    <w:autoRedefine/>
    <w:qFormat/>
    <w:uiPriority w:val="0"/>
    <w:pPr>
      <w:widowControl w:val="0"/>
      <w:spacing w:line="360" w:lineRule="auto"/>
      <w:jc w:val="both"/>
    </w:pPr>
    <w:rPr>
      <w:rFonts w:ascii="楷体_GB2312" w:eastAsia="楷体_GB2312"/>
      <w:kern w:val="2"/>
      <w:sz w:val="32"/>
    </w:rPr>
  </w:style>
  <w:style w:type="paragraph" w:styleId="12">
    <w:name w:val="Body Text Indent"/>
    <w:basedOn w:val="1"/>
    <w:next w:val="1"/>
    <w:autoRedefine/>
    <w:qFormat/>
    <w:uiPriority w:val="0"/>
    <w:pPr>
      <w:spacing w:after="120"/>
      <w:ind w:left="420" w:leftChars="200"/>
    </w:pPr>
  </w:style>
  <w:style w:type="paragraph" w:styleId="13">
    <w:name w:val="Block Text"/>
    <w:basedOn w:val="1"/>
    <w:unhideWhenUsed/>
    <w:qFormat/>
    <w:uiPriority w:val="99"/>
    <w:pPr>
      <w:adjustRightInd w:val="0"/>
      <w:spacing w:line="300" w:lineRule="auto"/>
      <w:ind w:left="958" w:right="-120" w:rightChars="-120"/>
    </w:pPr>
    <w:rPr>
      <w:rFonts w:ascii="宋体" w:hAnsi="宋体"/>
      <w:sz w:val="28"/>
    </w:rPr>
  </w:style>
  <w:style w:type="paragraph" w:styleId="14">
    <w:name w:val="toc 3"/>
    <w:basedOn w:val="1"/>
    <w:next w:val="1"/>
    <w:qFormat/>
    <w:uiPriority w:val="0"/>
    <w:pPr>
      <w:ind w:left="840" w:leftChars="400"/>
    </w:p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ind w:left="2500" w:leftChars="2500"/>
    </w:pPr>
    <w:rPr>
      <w:rFonts w:eastAsia="楷体_GB2312"/>
      <w:sz w:val="32"/>
    </w:rPr>
  </w:style>
  <w:style w:type="paragraph" w:styleId="17">
    <w:name w:val="Balloon Text"/>
    <w:basedOn w:val="1"/>
    <w:link w:val="50"/>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right" w:leader="middleDot" w:pos="8948"/>
      </w:tabs>
    </w:pPr>
    <w:rPr>
      <w:rFonts w:ascii="宋体" w:hAnsi="宋体"/>
      <w:b/>
      <w:bCs/>
      <w:caps/>
      <w:szCs w:val="21"/>
    </w:rPr>
  </w:style>
  <w:style w:type="paragraph" w:styleId="21">
    <w:name w:val="Subtitle"/>
    <w:basedOn w:val="1"/>
    <w:next w:val="1"/>
    <w:autoRedefine/>
    <w:qFormat/>
    <w:uiPriority w:val="11"/>
    <w:pPr>
      <w:spacing w:after="720"/>
      <w:jc w:val="right"/>
    </w:pPr>
    <w:rPr>
      <w:rFonts w:ascii="Calibri Light" w:hAnsi="Calibri Light"/>
      <w:sz w:val="20"/>
      <w:szCs w:val="20"/>
    </w:rPr>
  </w:style>
  <w:style w:type="paragraph" w:styleId="22">
    <w:name w:val="toc 6"/>
    <w:basedOn w:val="1"/>
    <w:next w:val="1"/>
    <w:autoRedefine/>
    <w:semiHidden/>
    <w:qFormat/>
    <w:uiPriority w:val="0"/>
    <w:pPr>
      <w:ind w:left="1050"/>
    </w:pPr>
    <w:rPr>
      <w:sz w:val="18"/>
      <w:szCs w:val="18"/>
    </w:rPr>
  </w:style>
  <w:style w:type="paragraph" w:styleId="23">
    <w:name w:val="Body Text Indent 3"/>
    <w:basedOn w:val="1"/>
    <w:autoRedefine/>
    <w:qFormat/>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oc 2"/>
    <w:basedOn w:val="1"/>
    <w:next w:val="1"/>
    <w:autoRedefine/>
    <w:qFormat/>
    <w:uiPriority w:val="39"/>
    <w:pPr>
      <w:tabs>
        <w:tab w:val="right" w:leader="middleDot" w:pos="8948"/>
      </w:tabs>
      <w:spacing w:before="60" w:after="60"/>
      <w:ind w:left="210"/>
    </w:pPr>
    <w:rPr>
      <w:smallCaps/>
    </w:rPr>
  </w:style>
  <w:style w:type="paragraph" w:styleId="25">
    <w:name w:val="Normal (Web)"/>
    <w:basedOn w:val="1"/>
    <w:autoRedefine/>
    <w:qFormat/>
    <w:uiPriority w:val="0"/>
    <w:pPr>
      <w:spacing w:before="100" w:beforeAutospacing="1" w:after="100" w:afterAutospacing="1"/>
    </w:pPr>
    <w:rPr>
      <w:rFonts w:ascii="Arial Unicode MS" w:hAnsi="Arial Unicode MS" w:eastAsia="Times New Roman"/>
      <w:color w:val="000000"/>
      <w:sz w:val="24"/>
      <w:szCs w:val="24"/>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Body Text First Indent"/>
    <w:basedOn w:val="11"/>
    <w:next w:val="22"/>
    <w:autoRedefine/>
    <w:qFormat/>
    <w:uiPriority w:val="99"/>
    <w:pPr>
      <w:ind w:firstLine="420" w:firstLineChars="100"/>
    </w:pPr>
  </w:style>
  <w:style w:type="paragraph" w:styleId="28">
    <w:name w:val="Body Text First Indent 2"/>
    <w:basedOn w:val="12"/>
    <w:next w:val="1"/>
    <w:autoRedefine/>
    <w:qFormat/>
    <w:uiPriority w:val="0"/>
    <w:pPr>
      <w:spacing w:line="360" w:lineRule="auto"/>
      <w:ind w:firstLine="420" w:firstLineChars="200"/>
    </w:pPr>
    <w:rPr>
      <w:rFonts w:ascii="Calibri" w:hAnsi="Calibri"/>
      <w:kern w:val="2"/>
      <w:sz w:val="24"/>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page number"/>
    <w:basedOn w:val="31"/>
    <w:autoRedefine/>
    <w:qFormat/>
    <w:uiPriority w:val="0"/>
  </w:style>
  <w:style w:type="character" w:styleId="34">
    <w:name w:val="Hyperlink"/>
    <w:basedOn w:val="31"/>
    <w:autoRedefine/>
    <w:qFormat/>
    <w:uiPriority w:val="99"/>
    <w:rPr>
      <w:color w:val="000000"/>
      <w:u w:val="none"/>
    </w:rPr>
  </w:style>
  <w:style w:type="character" w:styleId="35">
    <w:name w:val="annotation reference"/>
    <w:basedOn w:val="31"/>
    <w:autoRedefine/>
    <w:qFormat/>
    <w:uiPriority w:val="0"/>
    <w:rPr>
      <w:sz w:val="21"/>
      <w:szCs w:val="21"/>
    </w:rPr>
  </w:style>
  <w:style w:type="paragraph" w:customStyle="1" w:styleId="36">
    <w:name w:val="样式2"/>
    <w:basedOn w:val="6"/>
    <w:next w:val="6"/>
    <w:autoRedefine/>
    <w:qFormat/>
    <w:uiPriority w:val="0"/>
    <w:pPr>
      <w:numPr>
        <w:ilvl w:val="0"/>
        <w:numId w:val="2"/>
      </w:numPr>
    </w:pPr>
  </w:style>
  <w:style w:type="paragraph" w:customStyle="1" w:styleId="37">
    <w:name w:val="中等深浅网格 1 - 强调文字颜色 21"/>
    <w:basedOn w:val="1"/>
    <w:autoRedefine/>
    <w:qFormat/>
    <w:uiPriority w:val="34"/>
    <w:pPr>
      <w:ind w:firstLine="420" w:firstLineChars="200"/>
    </w:pPr>
  </w:style>
  <w:style w:type="paragraph" w:styleId="38">
    <w:name w:val="List Paragraph"/>
    <w:basedOn w:val="1"/>
    <w:next w:val="1"/>
    <w:autoRedefine/>
    <w:qFormat/>
    <w:uiPriority w:val="0"/>
    <w:pPr>
      <w:ind w:firstLine="420" w:firstLineChars="200"/>
    </w:pPr>
  </w:style>
  <w:style w:type="paragraph" w:customStyle="1" w:styleId="39">
    <w:name w:val="Table Text"/>
    <w:basedOn w:val="1"/>
    <w:autoRedefine/>
    <w:semiHidden/>
    <w:qFormat/>
    <w:uiPriority w:val="0"/>
    <w:rPr>
      <w:rFonts w:ascii="宋体" w:hAnsi="宋体" w:cs="宋体"/>
      <w:sz w:val="24"/>
      <w:szCs w:val="24"/>
      <w:lang w:eastAsia="en-US"/>
    </w:rPr>
  </w:style>
  <w:style w:type="character" w:customStyle="1" w:styleId="40">
    <w:name w:val="标题 2 字符"/>
    <w:basedOn w:val="31"/>
    <w:link w:val="4"/>
    <w:autoRedefine/>
    <w:qFormat/>
    <w:uiPriority w:val="9"/>
    <w:rPr>
      <w:rFonts w:ascii="Arial" w:hAnsi="Arial" w:eastAsia="黑体"/>
      <w:b/>
      <w:sz w:val="32"/>
    </w:rPr>
  </w:style>
  <w:style w:type="paragraph" w:customStyle="1" w:styleId="41">
    <w:name w:val="列表段落1"/>
    <w:basedOn w:val="1"/>
    <w:autoRedefine/>
    <w:qFormat/>
    <w:uiPriority w:val="0"/>
    <w:pPr>
      <w:ind w:right="238" w:firstLine="420"/>
    </w:pPr>
    <w:rPr>
      <w:rFonts w:ascii="Calibri" w:hAnsi="Calibri"/>
      <w:sz w:val="24"/>
    </w:rPr>
  </w:style>
  <w:style w:type="paragraph" w:customStyle="1" w:styleId="42">
    <w:name w:val="msolistparagraph"/>
    <w:basedOn w:val="1"/>
    <w:autoRedefine/>
    <w:qFormat/>
    <w:uiPriority w:val="0"/>
    <w:pPr>
      <w:adjustRightInd w:val="0"/>
      <w:spacing w:line="360" w:lineRule="auto"/>
      <w:ind w:firstLine="200" w:firstLineChars="200"/>
    </w:pPr>
    <w:rPr>
      <w:rFonts w:eastAsia="楷体_GB2312"/>
      <w:sz w:val="24"/>
    </w:rPr>
  </w:style>
  <w:style w:type="paragraph" w:customStyle="1" w:styleId="43">
    <w:name w:val="正文2"/>
    <w:basedOn w:val="1"/>
    <w:autoRedefine/>
    <w:qFormat/>
    <w:uiPriority w:val="0"/>
    <w:pPr>
      <w:widowControl w:val="0"/>
      <w:adjustRightInd w:val="0"/>
      <w:spacing w:before="156" w:line="360" w:lineRule="auto"/>
      <w:ind w:firstLine="510" w:firstLineChars="200"/>
      <w:jc w:val="both"/>
    </w:pPr>
    <w:rPr>
      <w:rFonts w:ascii="Times New Roman" w:hAnsi="Times New Roman" w:cs="Times New Roman"/>
      <w:kern w:val="2"/>
      <w:sz w:val="24"/>
      <w:szCs w:val="20"/>
    </w:rPr>
  </w:style>
  <w:style w:type="table" w:customStyle="1" w:styleId="44">
    <w:name w:val="Table Normal"/>
    <w:autoRedefine/>
    <w:unhideWhenUsed/>
    <w:qFormat/>
    <w:uiPriority w:val="0"/>
    <w:tblPr>
      <w:tblCellMar>
        <w:top w:w="0" w:type="dxa"/>
        <w:left w:w="0" w:type="dxa"/>
        <w:bottom w:w="0" w:type="dxa"/>
        <w:right w:w="0" w:type="dxa"/>
      </w:tblCellMar>
    </w:tblPr>
  </w:style>
  <w:style w:type="paragraph" w:customStyle="1" w:styleId="4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6">
    <w:name w:val="首行缩进"/>
    <w:basedOn w:val="1"/>
    <w:next w:val="1"/>
    <w:autoRedefine/>
    <w:qFormat/>
    <w:uiPriority w:val="0"/>
    <w:pPr>
      <w:spacing w:line="360" w:lineRule="auto"/>
      <w:ind w:firstLine="480" w:firstLineChars="200"/>
    </w:pPr>
    <w:rPr>
      <w:rFonts w:ascii="宋体"/>
      <w:sz w:val="24"/>
      <w:szCs w:val="20"/>
    </w:rPr>
  </w:style>
  <w:style w:type="character" w:customStyle="1" w:styleId="47">
    <w:name w:val="批注文字 字符"/>
    <w:basedOn w:val="31"/>
    <w:link w:val="9"/>
    <w:autoRedefine/>
    <w:qFormat/>
    <w:uiPriority w:val="0"/>
    <w:rPr>
      <w:rFonts w:hint="eastAsia" w:ascii="宋体" w:hAnsi="宋体" w:eastAsia="宋体" w:cs="宋体"/>
      <w:sz w:val="22"/>
      <w:szCs w:val="22"/>
    </w:rPr>
  </w:style>
  <w:style w:type="paragraph" w:customStyle="1" w:styleId="48">
    <w:name w:val="修订1"/>
    <w:autoRedefine/>
    <w:hidden/>
    <w:unhideWhenUsed/>
    <w:qFormat/>
    <w:uiPriority w:val="99"/>
    <w:rPr>
      <w:rFonts w:eastAsia="宋体" w:asciiTheme="minorHAnsi" w:hAnsiTheme="minorHAnsi" w:cstheme="minorBidi"/>
      <w:sz w:val="22"/>
      <w:szCs w:val="22"/>
      <w:lang w:val="en-US" w:eastAsia="zh-CN" w:bidi="ar-SA"/>
    </w:rPr>
  </w:style>
  <w:style w:type="paragraph" w:customStyle="1" w:styleId="49">
    <w:name w:val="修订2"/>
    <w:autoRedefine/>
    <w:hidden/>
    <w:unhideWhenUsed/>
    <w:qFormat/>
    <w:uiPriority w:val="99"/>
    <w:rPr>
      <w:rFonts w:eastAsia="宋体" w:asciiTheme="minorHAnsi" w:hAnsiTheme="minorHAnsi" w:cstheme="minorBidi"/>
      <w:sz w:val="22"/>
      <w:szCs w:val="22"/>
      <w:lang w:val="en-US" w:eastAsia="zh-CN" w:bidi="ar-SA"/>
    </w:rPr>
  </w:style>
  <w:style w:type="character" w:customStyle="1" w:styleId="50">
    <w:name w:val="批注框文本 字符"/>
    <w:basedOn w:val="31"/>
    <w:link w:val="17"/>
    <w:autoRedefine/>
    <w:qFormat/>
    <w:uiPriority w:val="0"/>
    <w:rPr>
      <w:rFonts w:asciiTheme="minorHAnsi" w:hAnsiTheme="minorHAnsi" w:cstheme="minorBidi"/>
      <w:sz w:val="18"/>
      <w:szCs w:val="18"/>
    </w:rPr>
  </w:style>
  <w:style w:type="paragraph" w:customStyle="1" w:styleId="51">
    <w:name w:val="无间隔1"/>
    <w:qFormat/>
    <w:uiPriority w:val="0"/>
    <w:pPr>
      <w:widowControl w:val="0"/>
      <w:jc w:val="both"/>
    </w:pPr>
    <w:rPr>
      <w:rFonts w:ascii="Courier New" w:hAnsi="Courier New" w:eastAsia="宋体" w:cs="Courier New"/>
      <w:kern w:val="2"/>
      <w:sz w:val="21"/>
      <w:szCs w:val="21"/>
      <w:lang w:val="en-US" w:eastAsia="zh-CN" w:bidi="ar-SA"/>
    </w:rPr>
  </w:style>
  <w:style w:type="paragraph" w:customStyle="1" w:styleId="52">
    <w:name w:val="纯文本2"/>
    <w:basedOn w:val="53"/>
    <w:qFormat/>
    <w:uiPriority w:val="0"/>
    <w:pPr>
      <w:adjustRightInd w:val="0"/>
      <w:snapToGrid w:val="0"/>
      <w:spacing w:line="288" w:lineRule="auto"/>
      <w:ind w:firstLine="200" w:firstLineChars="200"/>
    </w:pPr>
    <w:rPr>
      <w:rFonts w:ascii="宋体" w:hAnsi="Courier New"/>
    </w:rPr>
  </w:style>
  <w:style w:type="paragraph" w:customStyle="1" w:styleId="53">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6">
    <w:name w:val="页脚1"/>
    <w:qFormat/>
    <w:uiPriority w:val="0"/>
    <w:pPr>
      <w:framePr w:wrap="around" w:vAnchor="margin" w:hAnchor="text" w:y="1"/>
      <w:widowControl w:val="0"/>
      <w:tabs>
        <w:tab w:val="center" w:pos="4153"/>
        <w:tab w:val="right" w:pos="8306"/>
      </w:tabs>
    </w:pPr>
    <w:rPr>
      <w:rFonts w:ascii="Times New Roman" w:hAnsi="Times New Roman" w:eastAsia="Times New Roman"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01A67-69F1-457A-A65E-7F43F9D8B2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16865</Words>
  <Characters>17584</Characters>
  <Lines>316</Lines>
  <Paragraphs>88</Paragraphs>
  <TotalTime>1</TotalTime>
  <ScaleCrop>false</ScaleCrop>
  <LinksUpToDate>false</LinksUpToDate>
  <CharactersWithSpaces>17947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2025-04-15T06:44:00Z</dcterms:created>
  <dc:creator>爱吃猫的鱼鱼</dc:creator>
  <cp:lastModifiedBy>玲兒</cp:lastModifiedBy>
  <cp:lastPrinted>2024-03-28T08:57:00Z</cp:lastPrinted>
  <dcterms:modified xsi:type="dcterms:W3CDTF">2025-04-17T05:45:24Z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D5DA9C3A661B40E9B744A8319ECF2B1B_13</vt:lpwstr>
  </property>
  <property fmtid="{D5CDD505-2E9C-101B-9397-08002B2CF9AE}" pid="4" name="KSOTemplateDocerSaveRecord">
    <vt:lpwstr>eyJoZGlkIjoiNDk2MDNmZDZmYzI4NzlhNzFmNDljNGM0NTVjMjcxOTAiLCJ1c2VySWQiOiIzODQ3NDM1MzUifQ==</vt:lpwstr>
  </property>
</Properties>
</file>